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A03132" w:rsidRDefault="00654E8F" w:rsidP="0001436A">
      <w:pPr>
        <w:pStyle w:val="SupplementaryMaterial"/>
        <w:rPr>
          <w:b w:val="0"/>
        </w:rPr>
      </w:pPr>
      <w:r w:rsidRPr="00A03132">
        <w:t>Supplementary Material</w:t>
      </w:r>
    </w:p>
    <w:p w14:paraId="4CA30A66" w14:textId="075AE564" w:rsidR="00817DD6" w:rsidRPr="001066AF" w:rsidRDefault="00AE3692" w:rsidP="00133BF9">
      <w:pPr>
        <w:pStyle w:val="aff6"/>
        <w:rPr>
          <w:highlight w:val="green"/>
        </w:rPr>
      </w:pPr>
      <w:r>
        <w:t>Flu-CNN: p</w:t>
      </w:r>
      <w:r w:rsidR="00133BF9">
        <w:t>redicting host tropism of influenza A viruses via character-level convolutional networks</w:t>
      </w:r>
    </w:p>
    <w:p w14:paraId="25D2C293" w14:textId="7E97F2DB" w:rsidR="002868E2" w:rsidRPr="00AE3692" w:rsidRDefault="00AE3692" w:rsidP="0001436A">
      <w:pPr>
        <w:pStyle w:val="AuthorList"/>
        <w:rPr>
          <w:sz w:val="40"/>
          <w:szCs w:val="40"/>
          <w:highlight w:val="green"/>
        </w:rPr>
      </w:pPr>
      <w:r w:rsidRPr="00AE3692">
        <w:t>Nan Luo</w:t>
      </w:r>
      <w:r w:rsidRPr="00AE3692">
        <w:rPr>
          <w:vertAlign w:val="superscript"/>
        </w:rPr>
        <w:t>†</w:t>
      </w:r>
      <w:r w:rsidRPr="00AE3692">
        <w:t>, Xin Wang</w:t>
      </w:r>
      <w:r w:rsidRPr="00AE3692">
        <w:rPr>
          <w:vertAlign w:val="superscript"/>
        </w:rPr>
        <w:t>†</w:t>
      </w:r>
      <w:r w:rsidRPr="00AE3692">
        <w:t xml:space="preserve">, </w:t>
      </w:r>
      <w:proofErr w:type="spellStart"/>
      <w:r w:rsidRPr="00AE3692">
        <w:t>Boqian</w:t>
      </w:r>
      <w:proofErr w:type="spellEnd"/>
      <w:r w:rsidRPr="00AE3692">
        <w:t xml:space="preserve"> Wang, </w:t>
      </w:r>
      <w:proofErr w:type="spellStart"/>
      <w:r w:rsidRPr="00AE3692">
        <w:t>Renjie</w:t>
      </w:r>
      <w:proofErr w:type="spellEnd"/>
      <w:r w:rsidRPr="00AE3692">
        <w:t xml:space="preserve"> Meng, </w:t>
      </w:r>
      <w:proofErr w:type="spellStart"/>
      <w:r w:rsidRPr="00AE3692">
        <w:t>Yunxiang</w:t>
      </w:r>
      <w:proofErr w:type="spellEnd"/>
      <w:r w:rsidRPr="00AE3692">
        <w:t xml:space="preserve"> Zhao, </w:t>
      </w:r>
      <w:proofErr w:type="spellStart"/>
      <w:r w:rsidRPr="00AE3692">
        <w:t>Zili</w:t>
      </w:r>
      <w:proofErr w:type="spellEnd"/>
      <w:r w:rsidRPr="00AE3692">
        <w:t xml:space="preserve"> Chai, Yuan </w:t>
      </w:r>
      <w:proofErr w:type="spellStart"/>
      <w:r w:rsidRPr="00AE3692">
        <w:t>Jin</w:t>
      </w:r>
      <w:proofErr w:type="spellEnd"/>
      <w:r w:rsidRPr="00AE3692">
        <w:t xml:space="preserve">, Junjie Yue, </w:t>
      </w:r>
      <w:proofErr w:type="spellStart"/>
      <w:r w:rsidRPr="00AE3692">
        <w:t>Mingda</w:t>
      </w:r>
      <w:proofErr w:type="spellEnd"/>
      <w:r w:rsidRPr="00AE3692">
        <w:t xml:space="preserve"> Hu*, Wei Chen*, </w:t>
      </w:r>
      <w:proofErr w:type="spellStart"/>
      <w:r w:rsidRPr="00AE3692">
        <w:t>Hongguang</w:t>
      </w:r>
      <w:proofErr w:type="spellEnd"/>
      <w:r w:rsidRPr="00AE3692">
        <w:t xml:space="preserve"> Ren*</w:t>
      </w:r>
    </w:p>
    <w:p w14:paraId="5A13593B" w14:textId="595EAC88" w:rsidR="00102A08" w:rsidRDefault="00102A08" w:rsidP="00994A3D">
      <w:pPr>
        <w:spacing w:before="240" w:after="0"/>
        <w:rPr>
          <w:rFonts w:cs="Times New Roman"/>
          <w:b/>
        </w:rPr>
      </w:pPr>
      <w:r w:rsidRPr="00102A08">
        <w:rPr>
          <w:rFonts w:cs="Times New Roman" w:hint="eastAsia"/>
          <w:b/>
        </w:rPr>
        <w:t>†</w:t>
      </w:r>
      <w:r w:rsidR="00233FCD">
        <w:rPr>
          <w:rFonts w:cs="Times New Roman" w:hint="eastAsia"/>
          <w:b/>
          <w:lang w:eastAsia="zh-CN"/>
        </w:rPr>
        <w:t xml:space="preserve"> </w:t>
      </w:r>
      <w:r w:rsidRPr="00102A08">
        <w:rPr>
          <w:rFonts w:cs="Times New Roman"/>
          <w:b/>
        </w:rPr>
        <w:t>Contributed Equally.</w:t>
      </w:r>
    </w:p>
    <w:p w14:paraId="217F3AE0" w14:textId="768A5BE2" w:rsidR="002868E2" w:rsidRDefault="002868E2" w:rsidP="00102A08">
      <w:pPr>
        <w:spacing w:before="0" w:after="0"/>
        <w:rPr>
          <w:rFonts w:cs="Times New Roman"/>
        </w:rPr>
      </w:pPr>
      <w:r w:rsidRPr="00233FCD">
        <w:rPr>
          <w:rFonts w:cs="Times New Roman"/>
          <w:b/>
        </w:rPr>
        <w:t xml:space="preserve">* Correspondence: </w:t>
      </w:r>
      <w:r w:rsidR="00102A08" w:rsidRPr="00102A08">
        <w:rPr>
          <w:rFonts w:cs="Times New Roman"/>
        </w:rPr>
        <w:t xml:space="preserve"> </w:t>
      </w:r>
      <w:proofErr w:type="spellStart"/>
      <w:r w:rsidR="00102A08" w:rsidRPr="00102A08">
        <w:rPr>
          <w:rFonts w:cs="Times New Roman"/>
        </w:rPr>
        <w:t>Hongguang</w:t>
      </w:r>
      <w:proofErr w:type="spellEnd"/>
      <w:r w:rsidR="00102A08" w:rsidRPr="00102A08">
        <w:rPr>
          <w:rFonts w:cs="Times New Roman"/>
        </w:rPr>
        <w:t xml:space="preserve"> Ren, bioren@163.com; </w:t>
      </w:r>
      <w:r w:rsidR="00AE3692" w:rsidRPr="00AE3692">
        <w:rPr>
          <w:rFonts w:cs="Times New Roman"/>
        </w:rPr>
        <w:t>Wei Chen</w:t>
      </w:r>
      <w:r w:rsidR="00AE3692">
        <w:rPr>
          <w:rFonts w:cs="Times New Roman"/>
        </w:rPr>
        <w:t>,</w:t>
      </w:r>
      <w:r w:rsidR="00AE3692" w:rsidRPr="00AE3692">
        <w:rPr>
          <w:rFonts w:cs="Times New Roman"/>
        </w:rPr>
        <w:t xml:space="preserve"> chenwei@nudt.edu.cn</w:t>
      </w:r>
      <w:r w:rsidR="00AE3692">
        <w:rPr>
          <w:rFonts w:cs="Times New Roman"/>
        </w:rPr>
        <w:t>;</w:t>
      </w:r>
      <w:r w:rsidR="00AE3692" w:rsidRPr="00AE3692">
        <w:rPr>
          <w:rFonts w:cs="Times New Roman"/>
        </w:rPr>
        <w:t xml:space="preserve"> </w:t>
      </w:r>
      <w:proofErr w:type="spellStart"/>
      <w:r w:rsidR="00AE3692" w:rsidRPr="00AE3692">
        <w:rPr>
          <w:rFonts w:cs="Times New Roman"/>
        </w:rPr>
        <w:t>Mingda</w:t>
      </w:r>
      <w:proofErr w:type="spellEnd"/>
      <w:r w:rsidR="00AE3692" w:rsidRPr="00AE3692">
        <w:rPr>
          <w:rFonts w:cs="Times New Roman"/>
        </w:rPr>
        <w:t xml:space="preserve"> Hu</w:t>
      </w:r>
      <w:r w:rsidR="00AE3692">
        <w:rPr>
          <w:rFonts w:cs="Times New Roman"/>
        </w:rPr>
        <w:t>,</w:t>
      </w:r>
      <w:r w:rsidR="00AE3692" w:rsidRPr="00AE3692">
        <w:rPr>
          <w:rFonts w:cs="Times New Roman"/>
        </w:rPr>
        <w:t xml:space="preserve"> phdhumingda@163.com</w:t>
      </w:r>
    </w:p>
    <w:p w14:paraId="1A75E4DC" w14:textId="325E4863" w:rsidR="00F03DCD" w:rsidRDefault="00F03DCD" w:rsidP="00F03DCD">
      <w:pPr>
        <w:spacing w:before="0" w:after="200" w:line="276" w:lineRule="auto"/>
        <w:rPr>
          <w:rFonts w:cs="Times New Roman"/>
          <w:szCs w:val="28"/>
          <w:lang w:eastAsia="zh-CN"/>
        </w:rPr>
      </w:pPr>
    </w:p>
    <w:p w14:paraId="26F9FCE3" w14:textId="0CF667D2" w:rsidR="00B92B7C" w:rsidRPr="002112D5" w:rsidRDefault="00B92B7C" w:rsidP="00B92B7C">
      <w:pPr>
        <w:pStyle w:val="1"/>
      </w:pPr>
      <w:r w:rsidRPr="00994A3D">
        <w:t>Supple</w:t>
      </w:r>
      <w:r w:rsidRPr="002112D5">
        <w:t>mentary F</w:t>
      </w:r>
      <w:r w:rsidRPr="002112D5">
        <w:rPr>
          <w:rFonts w:eastAsiaTheme="minorEastAsia"/>
          <w:lang w:eastAsia="zh-CN"/>
        </w:rPr>
        <w:t>igures</w:t>
      </w:r>
    </w:p>
    <w:p w14:paraId="52BAC06B" w14:textId="34CDE125" w:rsidR="008A2E9A" w:rsidRDefault="002B2F15" w:rsidP="008038B8">
      <w:pPr>
        <w:keepNext/>
        <w:jc w:val="center"/>
        <w:rPr>
          <w:rFonts w:cs="Times New Roman"/>
          <w:szCs w:val="24"/>
        </w:rPr>
      </w:pPr>
      <w:r>
        <w:rPr>
          <w:noProof/>
        </w:rPr>
        <w:drawing>
          <wp:inline distT="0" distB="0" distL="0" distR="0" wp14:anchorId="0DEC749C" wp14:editId="2CFC9BF3">
            <wp:extent cx="6208395" cy="2586990"/>
            <wp:effectExtent l="0" t="0" r="1905" b="3810"/>
            <wp:docPr id="1143679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8395" cy="2586990"/>
                    </a:xfrm>
                    <a:prstGeom prst="rect">
                      <a:avLst/>
                    </a:prstGeom>
                    <a:noFill/>
                    <a:ln>
                      <a:noFill/>
                    </a:ln>
                  </pic:spPr>
                </pic:pic>
              </a:graphicData>
            </a:graphic>
          </wp:inline>
        </w:drawing>
      </w:r>
    </w:p>
    <w:p w14:paraId="2822DE34" w14:textId="134D5881" w:rsidR="00C87CDB" w:rsidRDefault="00C87CDB">
      <w:pPr>
        <w:spacing w:before="0" w:after="200" w:line="276" w:lineRule="auto"/>
        <w:rPr>
          <w:rFonts w:cs="Times New Roman"/>
          <w:bCs/>
          <w:szCs w:val="24"/>
          <w:lang w:eastAsia="zh-CN"/>
        </w:rPr>
      </w:pPr>
      <w:r w:rsidRPr="00C87CDB">
        <w:rPr>
          <w:rFonts w:cs="Times New Roman"/>
          <w:b/>
          <w:szCs w:val="24"/>
        </w:rPr>
        <w:t xml:space="preserve">Supplementary Figure 1. </w:t>
      </w:r>
      <w:r w:rsidR="00B052EF" w:rsidRPr="00B052EF">
        <w:rPr>
          <w:rFonts w:cs="Times New Roman"/>
          <w:bCs/>
          <w:szCs w:val="24"/>
          <w:lang w:eastAsia="zh-CN"/>
        </w:rPr>
        <w:t>Temporal distribution of metadata. The horizontal coordinate represents the year and the vertical coordinate represents the number.</w:t>
      </w:r>
    </w:p>
    <w:p w14:paraId="6B604F2D" w14:textId="34652AAC" w:rsidR="00D52B30" w:rsidRDefault="00D52B30">
      <w:pPr>
        <w:spacing w:before="0" w:after="200" w:line="276" w:lineRule="auto"/>
        <w:rPr>
          <w:rFonts w:cs="Times New Roman"/>
          <w:szCs w:val="24"/>
        </w:rPr>
      </w:pPr>
      <w:r>
        <w:rPr>
          <w:rFonts w:cs="Times New Roman"/>
          <w:szCs w:val="24"/>
        </w:rPr>
        <w:br w:type="page"/>
      </w:r>
    </w:p>
    <w:p w14:paraId="5C64C512" w14:textId="22A42F91" w:rsidR="00C93561" w:rsidRDefault="002B2F15" w:rsidP="004170F4">
      <w:pPr>
        <w:keepNext/>
        <w:rPr>
          <w:rFonts w:cs="Times New Roman"/>
          <w:szCs w:val="24"/>
        </w:rPr>
      </w:pPr>
      <w:r>
        <w:rPr>
          <w:noProof/>
        </w:rPr>
        <w:lastRenderedPageBreak/>
        <w:drawing>
          <wp:inline distT="0" distB="0" distL="0" distR="0" wp14:anchorId="3C665FE4" wp14:editId="3979F99A">
            <wp:extent cx="6208395" cy="2283460"/>
            <wp:effectExtent l="0" t="0" r="1905" b="2540"/>
            <wp:docPr id="175820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8395" cy="2283460"/>
                    </a:xfrm>
                    <a:prstGeom prst="rect">
                      <a:avLst/>
                    </a:prstGeom>
                    <a:noFill/>
                    <a:ln>
                      <a:noFill/>
                    </a:ln>
                  </pic:spPr>
                </pic:pic>
              </a:graphicData>
            </a:graphic>
          </wp:inline>
        </w:drawing>
      </w:r>
    </w:p>
    <w:p w14:paraId="2AAED722" w14:textId="18F1EE90" w:rsidR="00C93561" w:rsidRPr="00C93561" w:rsidRDefault="00C93561" w:rsidP="004170F4">
      <w:pPr>
        <w:keepNext/>
        <w:rPr>
          <w:rFonts w:cs="Times New Roman"/>
          <w:bCs/>
          <w:szCs w:val="24"/>
        </w:rPr>
      </w:pPr>
      <w:r w:rsidRPr="00C93561">
        <w:rPr>
          <w:rFonts w:cs="Times New Roman"/>
          <w:b/>
          <w:szCs w:val="24"/>
        </w:rPr>
        <w:t>Supplementary Fig</w:t>
      </w:r>
      <w:r w:rsidR="00F93A20">
        <w:rPr>
          <w:rFonts w:cs="Times New Roman"/>
          <w:b/>
          <w:szCs w:val="24"/>
        </w:rPr>
        <w:t>ure</w:t>
      </w:r>
      <w:r w:rsidRPr="00C93561">
        <w:rPr>
          <w:rFonts w:cs="Times New Roman"/>
          <w:b/>
          <w:szCs w:val="24"/>
        </w:rPr>
        <w:t xml:space="preserve"> </w:t>
      </w:r>
      <w:r w:rsidR="004D275C">
        <w:rPr>
          <w:rFonts w:cs="Times New Roman"/>
          <w:b/>
          <w:szCs w:val="24"/>
        </w:rPr>
        <w:t>2</w:t>
      </w:r>
      <w:r w:rsidRPr="00C93561">
        <w:rPr>
          <w:rFonts w:cs="Times New Roman"/>
          <w:b/>
          <w:szCs w:val="24"/>
        </w:rPr>
        <w:t xml:space="preserve">. </w:t>
      </w:r>
      <w:r w:rsidR="00B052EF" w:rsidRPr="00B052EF">
        <w:rPr>
          <w:rFonts w:cs="Times New Roman"/>
          <w:bCs/>
          <w:szCs w:val="24"/>
          <w:lang w:eastAsia="zh-CN"/>
        </w:rPr>
        <w:t>Geographical distribution of metadata. The pie chart size represents the number, the gray area represents the source country, and the white area represents the sample that was not collected for that region.</w:t>
      </w:r>
    </w:p>
    <w:p w14:paraId="68CCDE31" w14:textId="117C7A47" w:rsidR="00F70EA5" w:rsidRDefault="00F70EA5">
      <w:pPr>
        <w:spacing w:before="0" w:after="200" w:line="276" w:lineRule="auto"/>
        <w:rPr>
          <w:rFonts w:eastAsia="Cambria" w:cs="Times New Roman"/>
          <w:b/>
          <w:szCs w:val="24"/>
        </w:rPr>
      </w:pPr>
      <w:r>
        <w:rPr>
          <w:rFonts w:eastAsia="Cambria" w:cs="Times New Roman"/>
          <w:b/>
          <w:szCs w:val="24"/>
        </w:rPr>
        <w:br w:type="page"/>
      </w:r>
    </w:p>
    <w:p w14:paraId="1674E3A2" w14:textId="7DA57C6C" w:rsidR="004170F4" w:rsidRPr="001549D3" w:rsidRDefault="00047CD2" w:rsidP="004170F4">
      <w:pPr>
        <w:keepNext/>
        <w:jc w:val="center"/>
        <w:rPr>
          <w:rFonts w:cs="Times New Roman"/>
          <w:szCs w:val="24"/>
        </w:rPr>
      </w:pPr>
      <w:r>
        <w:rPr>
          <w:noProof/>
        </w:rPr>
        <w:lastRenderedPageBreak/>
        <w:drawing>
          <wp:inline distT="0" distB="0" distL="0" distR="0" wp14:anchorId="54EB0416" wp14:editId="16A372F5">
            <wp:extent cx="3010395" cy="2895238"/>
            <wp:effectExtent l="0" t="0" r="0" b="635"/>
            <wp:docPr id="96322470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6663" cy="2901266"/>
                    </a:xfrm>
                    <a:prstGeom prst="rect">
                      <a:avLst/>
                    </a:prstGeom>
                    <a:noFill/>
                    <a:ln>
                      <a:noFill/>
                    </a:ln>
                  </pic:spPr>
                </pic:pic>
              </a:graphicData>
            </a:graphic>
          </wp:inline>
        </w:drawing>
      </w:r>
    </w:p>
    <w:p w14:paraId="1D4D6B8F" w14:textId="52F41A69" w:rsidR="004170F4" w:rsidRPr="002B4A57" w:rsidRDefault="004170F4" w:rsidP="004170F4">
      <w:pPr>
        <w:keepNext/>
        <w:rPr>
          <w:rFonts w:cs="Times New Roman"/>
          <w:b/>
          <w:szCs w:val="24"/>
        </w:rPr>
      </w:pPr>
      <w:r w:rsidRPr="0001436A">
        <w:rPr>
          <w:rFonts w:cs="Times New Roman"/>
          <w:b/>
          <w:szCs w:val="24"/>
        </w:rPr>
        <w:t xml:space="preserve">Supplementary Figure </w:t>
      </w:r>
      <w:r w:rsidR="004D275C">
        <w:rPr>
          <w:rFonts w:cs="Times New Roman"/>
          <w:b/>
          <w:szCs w:val="24"/>
        </w:rPr>
        <w:t>3</w:t>
      </w:r>
      <w:r w:rsidRPr="0001436A">
        <w:rPr>
          <w:rFonts w:cs="Times New Roman"/>
          <w:b/>
          <w:szCs w:val="24"/>
        </w:rPr>
        <w:t>.</w:t>
      </w:r>
      <w:r w:rsidRPr="001549D3">
        <w:rPr>
          <w:rFonts w:cs="Times New Roman"/>
          <w:szCs w:val="24"/>
        </w:rPr>
        <w:t xml:space="preserve"> </w:t>
      </w:r>
      <w:r w:rsidR="00B052EF" w:rsidRPr="00B052EF">
        <w:rPr>
          <w:rFonts w:cs="Times New Roman"/>
          <w:szCs w:val="24"/>
          <w:lang w:eastAsia="zh-CN"/>
        </w:rPr>
        <w:t>Subtype distribution of metadata. The left side represents the number of different subtypes, and the right side represents the proportion after normalization of the number.</w:t>
      </w:r>
    </w:p>
    <w:p w14:paraId="6B45D8DC" w14:textId="11FE7A15" w:rsidR="00F70EA5" w:rsidRDefault="00F70EA5">
      <w:pPr>
        <w:spacing w:before="0" w:after="200" w:line="276" w:lineRule="auto"/>
        <w:rPr>
          <w:rFonts w:eastAsia="Cambria" w:cs="Times New Roman"/>
          <w:b/>
          <w:szCs w:val="24"/>
        </w:rPr>
      </w:pPr>
      <w:r>
        <w:rPr>
          <w:rFonts w:eastAsia="Cambria" w:cs="Times New Roman"/>
          <w:b/>
          <w:szCs w:val="24"/>
        </w:rPr>
        <w:br w:type="page"/>
      </w:r>
    </w:p>
    <w:p w14:paraId="719D6FF9" w14:textId="1B51AD09" w:rsidR="004170F4" w:rsidRPr="001549D3" w:rsidRDefault="00ED46B6" w:rsidP="004170F4">
      <w:pPr>
        <w:keepNext/>
        <w:jc w:val="center"/>
        <w:rPr>
          <w:rFonts w:cs="Times New Roman"/>
          <w:szCs w:val="24"/>
        </w:rPr>
      </w:pPr>
      <w:r>
        <w:rPr>
          <w:noProof/>
        </w:rPr>
        <w:lastRenderedPageBreak/>
        <w:drawing>
          <wp:inline distT="0" distB="0" distL="0" distR="0" wp14:anchorId="09EE84D9" wp14:editId="2DDC33D0">
            <wp:extent cx="6208395" cy="3492500"/>
            <wp:effectExtent l="0" t="0" r="1905" b="0"/>
            <wp:docPr id="197356380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8395" cy="3492500"/>
                    </a:xfrm>
                    <a:prstGeom prst="rect">
                      <a:avLst/>
                    </a:prstGeom>
                    <a:noFill/>
                    <a:ln>
                      <a:noFill/>
                    </a:ln>
                  </pic:spPr>
                </pic:pic>
              </a:graphicData>
            </a:graphic>
          </wp:inline>
        </w:drawing>
      </w:r>
    </w:p>
    <w:p w14:paraId="3A2C85C5" w14:textId="72DCC972" w:rsidR="00ED46B6" w:rsidRDefault="004170F4" w:rsidP="004170F4">
      <w:pPr>
        <w:keepNext/>
        <w:rPr>
          <w:rFonts w:cs="Times New Roman"/>
          <w:szCs w:val="24"/>
        </w:rPr>
      </w:pPr>
      <w:r w:rsidRPr="0001436A">
        <w:rPr>
          <w:rFonts w:cs="Times New Roman"/>
          <w:b/>
          <w:szCs w:val="24"/>
        </w:rPr>
        <w:t xml:space="preserve">Supplementary Figure </w:t>
      </w:r>
      <w:r w:rsidR="004D275C">
        <w:rPr>
          <w:rFonts w:cs="Times New Roman"/>
          <w:b/>
          <w:szCs w:val="24"/>
        </w:rPr>
        <w:t>4</w:t>
      </w:r>
      <w:r w:rsidRPr="0001436A">
        <w:rPr>
          <w:rFonts w:cs="Times New Roman"/>
          <w:b/>
          <w:szCs w:val="24"/>
        </w:rPr>
        <w:t>.</w:t>
      </w:r>
      <w:r w:rsidRPr="001549D3">
        <w:rPr>
          <w:rFonts w:cs="Times New Roman"/>
          <w:szCs w:val="24"/>
        </w:rPr>
        <w:t xml:space="preserve"> </w:t>
      </w:r>
      <w:r w:rsidR="00ED46B6" w:rsidRPr="00ED46B6">
        <w:rPr>
          <w:rFonts w:cs="Times New Roman"/>
          <w:szCs w:val="24"/>
        </w:rPr>
        <w:t>The key human-adapted amino acid substitutions of P</w:t>
      </w:r>
      <w:r w:rsidR="006C39E2">
        <w:rPr>
          <w:rFonts w:cs="Times New Roman"/>
          <w:szCs w:val="24"/>
        </w:rPr>
        <w:t>A</w:t>
      </w:r>
      <w:r w:rsidR="00ED46B6" w:rsidRPr="00ED46B6">
        <w:rPr>
          <w:rFonts w:cs="Times New Roman"/>
          <w:szCs w:val="24"/>
        </w:rPr>
        <w:t xml:space="preserve"> protein (PDB: </w:t>
      </w:r>
      <w:r w:rsidR="00ED46B6">
        <w:rPr>
          <w:rFonts w:cs="Times New Roman"/>
          <w:szCs w:val="24"/>
        </w:rPr>
        <w:t>7NHC</w:t>
      </w:r>
      <w:r w:rsidR="00ED46B6" w:rsidRPr="00ED46B6">
        <w:rPr>
          <w:rFonts w:cs="Times New Roman"/>
          <w:szCs w:val="24"/>
        </w:rPr>
        <w:t xml:space="preserve">) </w:t>
      </w:r>
      <w:r w:rsidR="00AD5279">
        <w:rPr>
          <w:rFonts w:cs="Times New Roman"/>
          <w:szCs w:val="24"/>
        </w:rPr>
        <w:fldChar w:fldCharType="begin"/>
      </w:r>
      <w:r w:rsidR="00AD5279">
        <w:rPr>
          <w:rFonts w:cs="Times New Roman"/>
          <w:szCs w:val="24"/>
        </w:rPr>
        <w:instrText xml:space="preserve"> ADDIN NE.Ref.{F28CB5F6-6498-4431-99A0-C5A0174718EB}</w:instrText>
      </w:r>
      <w:r w:rsidR="00AD5279">
        <w:rPr>
          <w:rFonts w:cs="Times New Roman"/>
          <w:szCs w:val="24"/>
        </w:rPr>
        <w:fldChar w:fldCharType="separate"/>
      </w:r>
      <w:r w:rsidR="00AE3692">
        <w:rPr>
          <w:rFonts w:cs="Times New Roman"/>
          <w:color w:val="080000"/>
          <w:szCs w:val="24"/>
        </w:rPr>
        <w:t>[1]</w:t>
      </w:r>
      <w:r w:rsidR="00AD5279">
        <w:rPr>
          <w:rFonts w:cs="Times New Roman"/>
          <w:szCs w:val="24"/>
        </w:rPr>
        <w:fldChar w:fldCharType="end"/>
      </w:r>
      <w:r w:rsidR="00ED46B6" w:rsidRPr="00ED46B6">
        <w:rPr>
          <w:rFonts w:cs="Times New Roman"/>
          <w:szCs w:val="24"/>
        </w:rPr>
        <w:t xml:space="preserve"> screened by Flu-CNN, visualized by Visual Molecular Dynamics (VMD) </w:t>
      </w:r>
      <w:r w:rsidR="00AD5279">
        <w:rPr>
          <w:rFonts w:cs="Times New Roman"/>
          <w:szCs w:val="24"/>
        </w:rPr>
        <w:fldChar w:fldCharType="begin"/>
      </w:r>
      <w:r w:rsidR="00AD5279">
        <w:rPr>
          <w:rFonts w:cs="Times New Roman"/>
          <w:szCs w:val="24"/>
        </w:rPr>
        <w:instrText xml:space="preserve"> ADDIN NE.Ref.{4E5D6B08-4A0E-4C3F-836A-875548FD6893}</w:instrText>
      </w:r>
      <w:r w:rsidR="00AD5279">
        <w:rPr>
          <w:rFonts w:cs="Times New Roman"/>
          <w:szCs w:val="24"/>
        </w:rPr>
        <w:fldChar w:fldCharType="separate"/>
      </w:r>
      <w:r w:rsidR="00AE3692">
        <w:rPr>
          <w:rFonts w:cs="Times New Roman"/>
          <w:color w:val="080000"/>
          <w:szCs w:val="24"/>
        </w:rPr>
        <w:t>[2, 3]</w:t>
      </w:r>
      <w:r w:rsidR="00AD5279">
        <w:rPr>
          <w:rFonts w:cs="Times New Roman"/>
          <w:szCs w:val="24"/>
        </w:rPr>
        <w:fldChar w:fldCharType="end"/>
      </w:r>
      <w:r w:rsidR="00ED46B6" w:rsidRPr="00ED46B6">
        <w:rPr>
          <w:rFonts w:cs="Times New Roman"/>
          <w:szCs w:val="24"/>
        </w:rPr>
        <w:t>. The selected amino acid substitutions are denoted in blue and yellow. Yellow indicates that the substitution has been experimentally verified</w:t>
      </w:r>
      <w:r w:rsidR="00F17267">
        <w:rPr>
          <w:rFonts w:cs="Times New Roman"/>
          <w:szCs w:val="24"/>
        </w:rPr>
        <w:t xml:space="preserve"> </w:t>
      </w:r>
      <w:r w:rsidR="00F17267">
        <w:rPr>
          <w:rFonts w:cs="Times New Roman"/>
          <w:szCs w:val="24"/>
        </w:rPr>
        <w:fldChar w:fldCharType="begin"/>
      </w:r>
      <w:r w:rsidR="00F17267">
        <w:rPr>
          <w:rFonts w:cs="Times New Roman"/>
          <w:szCs w:val="24"/>
        </w:rPr>
        <w:instrText xml:space="preserve"> ADDIN NE.Ref.{06656DC5-B91A-4DE0-8ED6-84165D112AE2}</w:instrText>
      </w:r>
      <w:r w:rsidR="00F17267">
        <w:rPr>
          <w:rFonts w:cs="Times New Roman"/>
          <w:szCs w:val="24"/>
        </w:rPr>
        <w:fldChar w:fldCharType="separate"/>
      </w:r>
      <w:r w:rsidR="00AE3692">
        <w:rPr>
          <w:rFonts w:cs="Times New Roman"/>
          <w:color w:val="080000"/>
          <w:szCs w:val="24"/>
        </w:rPr>
        <w:t>[4, 5]</w:t>
      </w:r>
      <w:r w:rsidR="00F17267">
        <w:rPr>
          <w:rFonts w:cs="Times New Roman"/>
          <w:szCs w:val="24"/>
        </w:rPr>
        <w:fldChar w:fldCharType="end"/>
      </w:r>
      <w:r w:rsidR="00ED46B6" w:rsidRPr="00ED46B6">
        <w:rPr>
          <w:rFonts w:cs="Times New Roman"/>
          <w:szCs w:val="24"/>
        </w:rPr>
        <w:t>, and blue indicates that the substitution has not been reported in the current literature, with other areas in grey.</w:t>
      </w:r>
    </w:p>
    <w:p w14:paraId="56489E01" w14:textId="2DF3C32A" w:rsidR="0040285D" w:rsidRDefault="0040285D">
      <w:pPr>
        <w:spacing w:before="0" w:after="200" w:line="276" w:lineRule="auto"/>
        <w:rPr>
          <w:rFonts w:cs="Times New Roman"/>
          <w:szCs w:val="24"/>
        </w:rPr>
      </w:pPr>
    </w:p>
    <w:p w14:paraId="57711C21" w14:textId="0F8D8934" w:rsidR="009536A1" w:rsidRPr="001549D3" w:rsidRDefault="00773C66" w:rsidP="009536A1">
      <w:pPr>
        <w:keepNext/>
        <w:jc w:val="center"/>
        <w:rPr>
          <w:rFonts w:cs="Times New Roman"/>
          <w:szCs w:val="24"/>
        </w:rPr>
      </w:pPr>
      <w:r>
        <w:rPr>
          <w:noProof/>
        </w:rPr>
        <w:lastRenderedPageBreak/>
        <w:drawing>
          <wp:inline distT="0" distB="0" distL="0" distR="0" wp14:anchorId="67FB4CBF" wp14:editId="31B34E57">
            <wp:extent cx="6208395" cy="3492500"/>
            <wp:effectExtent l="0" t="0" r="1905" b="0"/>
            <wp:docPr id="19912623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8395" cy="3492500"/>
                    </a:xfrm>
                    <a:prstGeom prst="rect">
                      <a:avLst/>
                    </a:prstGeom>
                    <a:noFill/>
                    <a:ln>
                      <a:noFill/>
                    </a:ln>
                  </pic:spPr>
                </pic:pic>
              </a:graphicData>
            </a:graphic>
          </wp:inline>
        </w:drawing>
      </w:r>
    </w:p>
    <w:p w14:paraId="4865D017" w14:textId="4C27C9CA" w:rsidR="009B50C2" w:rsidRDefault="009536A1" w:rsidP="009536A1">
      <w:pPr>
        <w:keepNext/>
        <w:rPr>
          <w:rFonts w:cs="Times New Roman"/>
          <w:szCs w:val="24"/>
        </w:rPr>
      </w:pPr>
      <w:r w:rsidRPr="0001436A">
        <w:rPr>
          <w:rFonts w:cs="Times New Roman"/>
          <w:b/>
          <w:szCs w:val="24"/>
        </w:rPr>
        <w:t xml:space="preserve">Supplementary Figure </w:t>
      </w:r>
      <w:r w:rsidR="004D275C">
        <w:rPr>
          <w:rFonts w:cs="Times New Roman"/>
          <w:b/>
          <w:szCs w:val="24"/>
        </w:rPr>
        <w:t>5</w:t>
      </w:r>
      <w:r w:rsidRPr="0001436A">
        <w:rPr>
          <w:rFonts w:cs="Times New Roman"/>
          <w:b/>
          <w:szCs w:val="24"/>
        </w:rPr>
        <w:t>.</w:t>
      </w:r>
      <w:r w:rsidRPr="001549D3">
        <w:rPr>
          <w:rFonts w:cs="Times New Roman"/>
          <w:szCs w:val="24"/>
        </w:rPr>
        <w:t xml:space="preserve"> </w:t>
      </w:r>
      <w:r w:rsidR="00773C66" w:rsidRPr="00ED46B6">
        <w:rPr>
          <w:rFonts w:cs="Times New Roman"/>
          <w:szCs w:val="24"/>
        </w:rPr>
        <w:t xml:space="preserve">The key human-adapted amino acid substitutions of </w:t>
      </w:r>
      <w:r w:rsidR="006C39E2">
        <w:rPr>
          <w:rFonts w:cs="Times New Roman"/>
          <w:szCs w:val="24"/>
        </w:rPr>
        <w:t>NP</w:t>
      </w:r>
      <w:r w:rsidR="00773C66" w:rsidRPr="00ED46B6">
        <w:rPr>
          <w:rFonts w:cs="Times New Roman"/>
          <w:szCs w:val="24"/>
        </w:rPr>
        <w:t xml:space="preserve"> protein (PDB: </w:t>
      </w:r>
      <w:r w:rsidR="00773C66">
        <w:rPr>
          <w:rFonts w:cs="Times New Roman"/>
          <w:szCs w:val="24"/>
        </w:rPr>
        <w:t>7Q06</w:t>
      </w:r>
      <w:r w:rsidR="00773C66" w:rsidRPr="00ED46B6">
        <w:rPr>
          <w:rFonts w:cs="Times New Roman"/>
          <w:szCs w:val="24"/>
        </w:rPr>
        <w:t xml:space="preserve">) </w:t>
      </w:r>
      <w:r w:rsidR="00AD5279">
        <w:rPr>
          <w:rFonts w:cs="Times New Roman"/>
          <w:szCs w:val="24"/>
        </w:rPr>
        <w:fldChar w:fldCharType="begin"/>
      </w:r>
      <w:r w:rsidR="00AD5279">
        <w:rPr>
          <w:rFonts w:cs="Times New Roman"/>
          <w:szCs w:val="24"/>
        </w:rPr>
        <w:instrText xml:space="preserve"> ADDIN NE.Ref.{C6DD9DEA-ECA6-4609-B52D-32DCC25E108E}</w:instrText>
      </w:r>
      <w:r w:rsidR="00AD5279">
        <w:rPr>
          <w:rFonts w:cs="Times New Roman"/>
          <w:szCs w:val="24"/>
        </w:rPr>
        <w:fldChar w:fldCharType="separate"/>
      </w:r>
      <w:r w:rsidR="00AE3692">
        <w:rPr>
          <w:rFonts w:cs="Times New Roman"/>
          <w:color w:val="080000"/>
          <w:szCs w:val="24"/>
        </w:rPr>
        <w:t>[6]</w:t>
      </w:r>
      <w:r w:rsidR="00AD5279">
        <w:rPr>
          <w:rFonts w:cs="Times New Roman"/>
          <w:szCs w:val="24"/>
        </w:rPr>
        <w:fldChar w:fldCharType="end"/>
      </w:r>
      <w:r w:rsidR="00773C66" w:rsidRPr="00ED46B6">
        <w:rPr>
          <w:rFonts w:cs="Times New Roman"/>
          <w:szCs w:val="24"/>
        </w:rPr>
        <w:t xml:space="preserve"> screened by Flu-CNN, visualized by VMD. The selected amino acid substitutions are denoted in blue and yellow. Yellow indicates that the substitution has been experimentally verified</w:t>
      </w:r>
      <w:r w:rsidR="00F17267">
        <w:rPr>
          <w:rFonts w:cs="Times New Roman"/>
          <w:szCs w:val="24"/>
        </w:rPr>
        <w:t xml:space="preserve"> </w:t>
      </w:r>
      <w:r w:rsidR="00F17267">
        <w:rPr>
          <w:rFonts w:cs="Times New Roman"/>
          <w:szCs w:val="24"/>
        </w:rPr>
        <w:fldChar w:fldCharType="begin"/>
      </w:r>
      <w:r w:rsidR="00F17267">
        <w:rPr>
          <w:rFonts w:cs="Times New Roman"/>
          <w:szCs w:val="24"/>
        </w:rPr>
        <w:instrText xml:space="preserve"> ADDIN NE.Ref.{73B2CFB1-8EFA-4FA7-A925-D79A3A86375C}</w:instrText>
      </w:r>
      <w:r w:rsidR="00F17267">
        <w:rPr>
          <w:rFonts w:cs="Times New Roman"/>
          <w:szCs w:val="24"/>
        </w:rPr>
        <w:fldChar w:fldCharType="separate"/>
      </w:r>
      <w:r w:rsidR="00AE3692">
        <w:rPr>
          <w:rFonts w:cs="Times New Roman"/>
          <w:color w:val="080000"/>
          <w:szCs w:val="24"/>
        </w:rPr>
        <w:t>[4, 5]</w:t>
      </w:r>
      <w:r w:rsidR="00F17267">
        <w:rPr>
          <w:rFonts w:cs="Times New Roman"/>
          <w:szCs w:val="24"/>
        </w:rPr>
        <w:fldChar w:fldCharType="end"/>
      </w:r>
      <w:r w:rsidR="00773C66" w:rsidRPr="00ED46B6">
        <w:rPr>
          <w:rFonts w:cs="Times New Roman"/>
          <w:szCs w:val="24"/>
        </w:rPr>
        <w:t>, and blue indicates that the substitution has not been reported in the current literature, with other areas in grey.</w:t>
      </w:r>
    </w:p>
    <w:p w14:paraId="13B3A420" w14:textId="77777777" w:rsidR="009B50C2" w:rsidRDefault="009B50C2">
      <w:pPr>
        <w:spacing w:before="0" w:after="200" w:line="276" w:lineRule="auto"/>
        <w:rPr>
          <w:rFonts w:cs="Times New Roman"/>
          <w:b/>
          <w:szCs w:val="24"/>
        </w:rPr>
      </w:pPr>
    </w:p>
    <w:p w14:paraId="0275A248" w14:textId="66814F76" w:rsidR="009536A1" w:rsidRPr="001549D3" w:rsidRDefault="0035565B" w:rsidP="009536A1">
      <w:pPr>
        <w:keepNext/>
        <w:jc w:val="center"/>
        <w:rPr>
          <w:rFonts w:cs="Times New Roman"/>
          <w:szCs w:val="24"/>
        </w:rPr>
      </w:pPr>
      <w:r>
        <w:rPr>
          <w:noProof/>
        </w:rPr>
        <w:lastRenderedPageBreak/>
        <w:drawing>
          <wp:inline distT="0" distB="0" distL="0" distR="0" wp14:anchorId="52E233B2" wp14:editId="3BF71EDD">
            <wp:extent cx="4777667" cy="7143750"/>
            <wp:effectExtent l="0" t="0" r="4445" b="0"/>
            <wp:docPr id="97292760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7115" cy="7157877"/>
                    </a:xfrm>
                    <a:prstGeom prst="rect">
                      <a:avLst/>
                    </a:prstGeom>
                    <a:noFill/>
                    <a:ln>
                      <a:noFill/>
                    </a:ln>
                  </pic:spPr>
                </pic:pic>
              </a:graphicData>
            </a:graphic>
          </wp:inline>
        </w:drawing>
      </w:r>
    </w:p>
    <w:p w14:paraId="75DF5156" w14:textId="18CAB25D" w:rsidR="009536A1" w:rsidRDefault="009536A1" w:rsidP="009536A1">
      <w:pPr>
        <w:keepNext/>
        <w:rPr>
          <w:rFonts w:cs="Times New Roman"/>
          <w:szCs w:val="24"/>
          <w:lang w:eastAsia="zh-CN"/>
        </w:rPr>
      </w:pPr>
      <w:r w:rsidRPr="0001436A">
        <w:rPr>
          <w:rFonts w:cs="Times New Roman"/>
          <w:b/>
          <w:szCs w:val="24"/>
        </w:rPr>
        <w:t xml:space="preserve">Supplementary Figure </w:t>
      </w:r>
      <w:r w:rsidR="004D275C">
        <w:rPr>
          <w:rFonts w:cs="Times New Roman"/>
          <w:b/>
          <w:szCs w:val="24"/>
        </w:rPr>
        <w:t>6</w:t>
      </w:r>
      <w:r w:rsidRPr="0001436A">
        <w:rPr>
          <w:rFonts w:cs="Times New Roman"/>
          <w:b/>
          <w:szCs w:val="24"/>
        </w:rPr>
        <w:t>.</w:t>
      </w:r>
      <w:r w:rsidRPr="001549D3">
        <w:rPr>
          <w:rFonts w:cs="Times New Roman"/>
          <w:szCs w:val="24"/>
        </w:rPr>
        <w:t xml:space="preserve"> </w:t>
      </w:r>
      <w:r w:rsidR="00603567" w:rsidRPr="00603567">
        <w:rPr>
          <w:rFonts w:cs="Times New Roman"/>
          <w:szCs w:val="24"/>
          <w:lang w:eastAsia="zh-CN"/>
        </w:rPr>
        <w:t>The phylogenetic tree of H5N1, H7N9</w:t>
      </w:r>
      <w:r w:rsidR="00AE3692">
        <w:rPr>
          <w:rFonts w:cs="Times New Roman"/>
          <w:szCs w:val="24"/>
          <w:lang w:eastAsia="zh-CN"/>
        </w:rPr>
        <w:t>,</w:t>
      </w:r>
      <w:r w:rsidR="00603567" w:rsidRPr="00603567">
        <w:rPr>
          <w:rFonts w:cs="Times New Roman"/>
          <w:szCs w:val="24"/>
          <w:lang w:eastAsia="zh-CN"/>
        </w:rPr>
        <w:t xml:space="preserve"> and H9N2</w:t>
      </w:r>
      <w:r w:rsidR="00D96B55" w:rsidRPr="00D96B55">
        <w:t xml:space="preserve"> </w:t>
      </w:r>
      <w:r w:rsidR="00D96B55" w:rsidRPr="00D96B55">
        <w:rPr>
          <w:rFonts w:cs="Times New Roman"/>
          <w:szCs w:val="24"/>
          <w:lang w:eastAsia="zh-CN"/>
        </w:rPr>
        <w:t>visualized</w:t>
      </w:r>
      <w:r w:rsidR="00D96B55">
        <w:rPr>
          <w:rFonts w:cs="Times New Roman"/>
          <w:szCs w:val="24"/>
          <w:lang w:eastAsia="zh-CN"/>
        </w:rPr>
        <w:t xml:space="preserve"> by </w:t>
      </w:r>
      <w:proofErr w:type="spellStart"/>
      <w:r w:rsidR="00F41F66">
        <w:rPr>
          <w:rFonts w:cs="Times New Roman"/>
          <w:szCs w:val="24"/>
          <w:lang w:eastAsia="zh-CN"/>
        </w:rPr>
        <w:t>ggtree</w:t>
      </w:r>
      <w:proofErr w:type="spellEnd"/>
      <w:r w:rsidR="00AD5279">
        <w:rPr>
          <w:rFonts w:cs="Times New Roman"/>
          <w:szCs w:val="24"/>
          <w:lang w:eastAsia="zh-CN"/>
        </w:rPr>
        <w:t xml:space="preserve"> </w:t>
      </w:r>
      <w:r w:rsidR="00AE3692">
        <w:rPr>
          <w:rFonts w:cs="Times New Roman"/>
          <w:szCs w:val="24"/>
          <w:lang w:eastAsia="zh-CN"/>
        </w:rPr>
        <w:fldChar w:fldCharType="begin"/>
      </w:r>
      <w:r w:rsidR="00AE3692">
        <w:rPr>
          <w:rFonts w:cs="Times New Roman"/>
          <w:szCs w:val="24"/>
          <w:lang w:eastAsia="zh-CN"/>
        </w:rPr>
        <w:instrText xml:space="preserve"> ADDIN NE.Ref.{DC024522-2633-46CD-B192-85ACDE5A36DD}</w:instrText>
      </w:r>
      <w:r w:rsidR="00AE3692">
        <w:rPr>
          <w:rFonts w:cs="Times New Roman"/>
          <w:szCs w:val="24"/>
          <w:lang w:eastAsia="zh-CN"/>
        </w:rPr>
        <w:fldChar w:fldCharType="separate"/>
      </w:r>
      <w:r w:rsidR="00AE3692">
        <w:rPr>
          <w:rFonts w:cs="Times New Roman"/>
          <w:color w:val="080000"/>
          <w:szCs w:val="24"/>
        </w:rPr>
        <w:t>[7]</w:t>
      </w:r>
      <w:r w:rsidR="00AE3692">
        <w:rPr>
          <w:rFonts w:cs="Times New Roman"/>
          <w:szCs w:val="24"/>
          <w:lang w:eastAsia="zh-CN"/>
        </w:rPr>
        <w:fldChar w:fldCharType="end"/>
      </w:r>
      <w:r w:rsidR="00603567" w:rsidRPr="00603567">
        <w:rPr>
          <w:rFonts w:cs="Times New Roman"/>
          <w:szCs w:val="24"/>
          <w:lang w:eastAsia="zh-CN"/>
        </w:rPr>
        <w:t>.</w:t>
      </w:r>
      <w:r w:rsidR="00F41F66">
        <w:rPr>
          <w:rFonts w:cs="Times New Roman"/>
          <w:szCs w:val="24"/>
          <w:lang w:eastAsia="zh-CN"/>
        </w:rPr>
        <w:t xml:space="preserve"> </w:t>
      </w:r>
      <w:r w:rsidR="00603567" w:rsidRPr="00603567">
        <w:rPr>
          <w:rFonts w:cs="Times New Roman"/>
          <w:szCs w:val="24"/>
          <w:lang w:eastAsia="zh-CN"/>
        </w:rPr>
        <w:t xml:space="preserve">The points on the phylogenetic tree represent the subtypes of the strain, the inner ring represents the host of the strain, and the outer ring represents the </w:t>
      </w:r>
      <w:r w:rsidR="003F540E">
        <w:rPr>
          <w:rFonts w:cs="Times New Roman"/>
          <w:szCs w:val="24"/>
          <w:lang w:eastAsia="zh-CN"/>
        </w:rPr>
        <w:t>year</w:t>
      </w:r>
      <w:r w:rsidR="00603567" w:rsidRPr="00603567">
        <w:rPr>
          <w:rFonts w:cs="Times New Roman"/>
          <w:szCs w:val="24"/>
          <w:lang w:eastAsia="zh-CN"/>
        </w:rPr>
        <w:t xml:space="preserve"> of collection of the strain. Each sub</w:t>
      </w:r>
      <w:r w:rsidR="003F540E">
        <w:rPr>
          <w:rFonts w:cs="Times New Roman" w:hint="eastAsia"/>
          <w:szCs w:val="24"/>
          <w:lang w:eastAsia="zh-CN"/>
        </w:rPr>
        <w:t>plot</w:t>
      </w:r>
      <w:r w:rsidR="00603567" w:rsidRPr="00603567">
        <w:rPr>
          <w:rFonts w:cs="Times New Roman"/>
          <w:szCs w:val="24"/>
          <w:lang w:eastAsia="zh-CN"/>
        </w:rPr>
        <w:t xml:space="preserve"> represents an IAV segment. A. PB2.</w:t>
      </w:r>
      <w:r w:rsidR="00603567">
        <w:rPr>
          <w:rFonts w:cs="Times New Roman"/>
          <w:szCs w:val="24"/>
          <w:lang w:eastAsia="zh-CN"/>
        </w:rPr>
        <w:t xml:space="preserve"> </w:t>
      </w:r>
      <w:r w:rsidR="00603567" w:rsidRPr="00603567">
        <w:rPr>
          <w:rFonts w:cs="Times New Roman"/>
          <w:szCs w:val="24"/>
          <w:lang w:eastAsia="zh-CN"/>
        </w:rPr>
        <w:t>B. PB1.</w:t>
      </w:r>
      <w:r w:rsidR="00603567">
        <w:rPr>
          <w:rFonts w:cs="Times New Roman"/>
          <w:szCs w:val="24"/>
          <w:lang w:eastAsia="zh-CN"/>
        </w:rPr>
        <w:t xml:space="preserve"> </w:t>
      </w:r>
      <w:r w:rsidR="00603567" w:rsidRPr="00603567">
        <w:rPr>
          <w:rFonts w:cs="Times New Roman"/>
          <w:szCs w:val="24"/>
          <w:lang w:eastAsia="zh-CN"/>
        </w:rPr>
        <w:t>C.</w:t>
      </w:r>
      <w:r w:rsidR="00603567">
        <w:rPr>
          <w:rFonts w:cs="Times New Roman"/>
          <w:szCs w:val="24"/>
          <w:lang w:eastAsia="zh-CN"/>
        </w:rPr>
        <w:t xml:space="preserve"> </w:t>
      </w:r>
      <w:r w:rsidR="00603567" w:rsidRPr="00603567">
        <w:rPr>
          <w:rFonts w:cs="Times New Roman"/>
          <w:szCs w:val="24"/>
          <w:lang w:eastAsia="zh-CN"/>
        </w:rPr>
        <w:t>PA.</w:t>
      </w:r>
      <w:r w:rsidR="00603567">
        <w:rPr>
          <w:rFonts w:cs="Times New Roman"/>
          <w:szCs w:val="24"/>
          <w:lang w:eastAsia="zh-CN"/>
        </w:rPr>
        <w:t xml:space="preserve"> </w:t>
      </w:r>
      <w:r w:rsidR="00603567" w:rsidRPr="00603567">
        <w:rPr>
          <w:rFonts w:cs="Times New Roman"/>
          <w:szCs w:val="24"/>
          <w:lang w:eastAsia="zh-CN"/>
        </w:rPr>
        <w:t>D.</w:t>
      </w:r>
      <w:r w:rsidR="00603567">
        <w:rPr>
          <w:rFonts w:cs="Times New Roman"/>
          <w:szCs w:val="24"/>
          <w:lang w:eastAsia="zh-CN"/>
        </w:rPr>
        <w:t xml:space="preserve"> </w:t>
      </w:r>
      <w:r w:rsidR="00603567" w:rsidRPr="00603567">
        <w:rPr>
          <w:rFonts w:cs="Times New Roman"/>
          <w:szCs w:val="24"/>
          <w:lang w:eastAsia="zh-CN"/>
        </w:rPr>
        <w:t>HA.</w:t>
      </w:r>
      <w:r w:rsidR="00603567">
        <w:rPr>
          <w:rFonts w:cs="Times New Roman"/>
          <w:szCs w:val="24"/>
          <w:lang w:eastAsia="zh-CN"/>
        </w:rPr>
        <w:t xml:space="preserve"> </w:t>
      </w:r>
      <w:r w:rsidR="00603567" w:rsidRPr="00603567">
        <w:rPr>
          <w:rFonts w:cs="Times New Roman"/>
          <w:szCs w:val="24"/>
          <w:lang w:eastAsia="zh-CN"/>
        </w:rPr>
        <w:t>E.</w:t>
      </w:r>
      <w:r w:rsidR="00603567">
        <w:rPr>
          <w:rFonts w:cs="Times New Roman"/>
          <w:szCs w:val="24"/>
          <w:lang w:eastAsia="zh-CN"/>
        </w:rPr>
        <w:t xml:space="preserve"> </w:t>
      </w:r>
      <w:r w:rsidR="00603567" w:rsidRPr="00603567">
        <w:rPr>
          <w:rFonts w:cs="Times New Roman"/>
          <w:szCs w:val="24"/>
          <w:lang w:eastAsia="zh-CN"/>
        </w:rPr>
        <w:t>NP.</w:t>
      </w:r>
      <w:r w:rsidR="00603567">
        <w:rPr>
          <w:rFonts w:cs="Times New Roman"/>
          <w:szCs w:val="24"/>
          <w:lang w:eastAsia="zh-CN"/>
        </w:rPr>
        <w:t xml:space="preserve"> </w:t>
      </w:r>
      <w:r w:rsidR="00603567" w:rsidRPr="00603567">
        <w:rPr>
          <w:rFonts w:cs="Times New Roman"/>
          <w:szCs w:val="24"/>
          <w:lang w:eastAsia="zh-CN"/>
        </w:rPr>
        <w:t>F.</w:t>
      </w:r>
      <w:r w:rsidR="00603567">
        <w:rPr>
          <w:rFonts w:cs="Times New Roman"/>
          <w:szCs w:val="24"/>
          <w:lang w:eastAsia="zh-CN"/>
        </w:rPr>
        <w:t xml:space="preserve"> </w:t>
      </w:r>
      <w:r w:rsidR="00603567" w:rsidRPr="00603567">
        <w:rPr>
          <w:rFonts w:cs="Times New Roman"/>
          <w:szCs w:val="24"/>
          <w:lang w:eastAsia="zh-CN"/>
        </w:rPr>
        <w:t>NA.</w:t>
      </w:r>
      <w:r w:rsidR="00603567">
        <w:rPr>
          <w:rFonts w:cs="Times New Roman"/>
          <w:szCs w:val="24"/>
          <w:lang w:eastAsia="zh-CN"/>
        </w:rPr>
        <w:t xml:space="preserve"> </w:t>
      </w:r>
      <w:r w:rsidR="00603567" w:rsidRPr="00603567">
        <w:rPr>
          <w:rFonts w:cs="Times New Roman"/>
          <w:szCs w:val="24"/>
          <w:lang w:eastAsia="zh-CN"/>
        </w:rPr>
        <w:t>G.</w:t>
      </w:r>
      <w:r w:rsidR="00603567">
        <w:rPr>
          <w:rFonts w:cs="Times New Roman"/>
          <w:szCs w:val="24"/>
          <w:lang w:eastAsia="zh-CN"/>
        </w:rPr>
        <w:t xml:space="preserve"> </w:t>
      </w:r>
      <w:r w:rsidR="00603567" w:rsidRPr="00603567">
        <w:rPr>
          <w:rFonts w:cs="Times New Roman"/>
          <w:szCs w:val="24"/>
          <w:lang w:eastAsia="zh-CN"/>
        </w:rPr>
        <w:t>MP.</w:t>
      </w:r>
      <w:r w:rsidR="00603567">
        <w:rPr>
          <w:rFonts w:cs="Times New Roman"/>
          <w:szCs w:val="24"/>
          <w:lang w:eastAsia="zh-CN"/>
        </w:rPr>
        <w:t xml:space="preserve"> </w:t>
      </w:r>
      <w:r w:rsidR="00603567" w:rsidRPr="00603567">
        <w:rPr>
          <w:rFonts w:cs="Times New Roman"/>
          <w:szCs w:val="24"/>
          <w:lang w:eastAsia="zh-CN"/>
        </w:rPr>
        <w:t>H.</w:t>
      </w:r>
      <w:r w:rsidR="00603567">
        <w:rPr>
          <w:rFonts w:cs="Times New Roman"/>
          <w:szCs w:val="24"/>
          <w:lang w:eastAsia="zh-CN"/>
        </w:rPr>
        <w:t xml:space="preserve"> </w:t>
      </w:r>
      <w:r w:rsidR="00603567" w:rsidRPr="00603567">
        <w:rPr>
          <w:rFonts w:cs="Times New Roman"/>
          <w:szCs w:val="24"/>
          <w:lang w:eastAsia="zh-CN"/>
        </w:rPr>
        <w:t>NS.</w:t>
      </w:r>
    </w:p>
    <w:p w14:paraId="1E47251B" w14:textId="60F188E6" w:rsidR="009536A1" w:rsidRDefault="009536A1">
      <w:pPr>
        <w:spacing w:before="0" w:after="200" w:line="276" w:lineRule="auto"/>
        <w:rPr>
          <w:rFonts w:cs="Times New Roman"/>
          <w:b/>
          <w:szCs w:val="24"/>
        </w:rPr>
      </w:pPr>
      <w:r>
        <w:rPr>
          <w:rFonts w:cs="Times New Roman"/>
          <w:b/>
          <w:szCs w:val="24"/>
        </w:rPr>
        <w:br w:type="page"/>
      </w:r>
    </w:p>
    <w:p w14:paraId="09631368" w14:textId="5BCFA957" w:rsidR="00AE3692" w:rsidRDefault="00AE3692" w:rsidP="00AE3692">
      <w:pPr>
        <w:widowControl w:val="0"/>
        <w:autoSpaceDE w:val="0"/>
        <w:autoSpaceDN w:val="0"/>
        <w:adjustRightInd w:val="0"/>
        <w:spacing w:before="0" w:after="0"/>
        <w:rPr>
          <w:rFonts w:cs="Times New Roman"/>
          <w:szCs w:val="24"/>
        </w:rPr>
      </w:pPr>
      <w:r>
        <w:lastRenderedPageBreak/>
        <w:fldChar w:fldCharType="begin"/>
      </w:r>
      <w:r>
        <w:instrText xml:space="preserve"> ADDIN NE.Bib</w:instrText>
      </w:r>
      <w:r>
        <w:fldChar w:fldCharType="separate"/>
      </w:r>
    </w:p>
    <w:p w14:paraId="38EC3128" w14:textId="77777777" w:rsidR="00AE3692" w:rsidRDefault="00AE3692" w:rsidP="00AE3692">
      <w:pPr>
        <w:widowControl w:val="0"/>
        <w:autoSpaceDE w:val="0"/>
        <w:autoSpaceDN w:val="0"/>
        <w:adjustRightInd w:val="0"/>
        <w:spacing w:before="0" w:after="0"/>
        <w:jc w:val="center"/>
        <w:rPr>
          <w:rFonts w:cs="Times New Roman"/>
          <w:szCs w:val="24"/>
        </w:rPr>
      </w:pPr>
      <w:r>
        <w:rPr>
          <w:rFonts w:cs="Times New Roman"/>
          <w:b/>
          <w:bCs/>
          <w:color w:val="000000"/>
          <w:sz w:val="40"/>
          <w:szCs w:val="40"/>
        </w:rPr>
        <w:t>References:</w:t>
      </w:r>
    </w:p>
    <w:p w14:paraId="5826A418" w14:textId="77777777" w:rsidR="00AE3692" w:rsidRPr="00732C1A" w:rsidRDefault="00AE3692" w:rsidP="00AE3692">
      <w:pPr>
        <w:widowControl w:val="0"/>
        <w:autoSpaceDE w:val="0"/>
        <w:autoSpaceDN w:val="0"/>
        <w:adjustRightInd w:val="0"/>
        <w:spacing w:before="0" w:after="0"/>
        <w:jc w:val="both"/>
        <w:rPr>
          <w:rFonts w:cs="Times New Roman"/>
          <w:sz w:val="36"/>
          <w:szCs w:val="36"/>
        </w:rPr>
      </w:pPr>
      <w:r w:rsidRPr="00732C1A">
        <w:rPr>
          <w:rFonts w:cs="Times New Roman"/>
          <w:color w:val="000000"/>
          <w:szCs w:val="24"/>
        </w:rPr>
        <w:t>[1].</w:t>
      </w:r>
      <w:r w:rsidRPr="00732C1A">
        <w:rPr>
          <w:rFonts w:cs="Times New Roman"/>
          <w:color w:val="000000"/>
          <w:szCs w:val="24"/>
        </w:rPr>
        <w:tab/>
      </w:r>
      <w:bookmarkStart w:id="0" w:name="_nebECFB1345_ACEE_47E5_9B73_528655FBDF1C"/>
      <w:r w:rsidRPr="00732C1A">
        <w:rPr>
          <w:rFonts w:cs="Times New Roman"/>
          <w:color w:val="000000"/>
          <w:szCs w:val="24"/>
        </w:rPr>
        <w:t>Keown, J.R., et al., Mapping inhibitory sites on the RNA polymerase of the 1918 pandemic influenza  virus using nanobodies. Nat Commun, 2022. 13(1): p. 251.</w:t>
      </w:r>
      <w:bookmarkEnd w:id="0"/>
    </w:p>
    <w:p w14:paraId="5D722161" w14:textId="77777777" w:rsidR="00AE3692" w:rsidRPr="00732C1A" w:rsidRDefault="00AE3692" w:rsidP="00AE3692">
      <w:pPr>
        <w:widowControl w:val="0"/>
        <w:autoSpaceDE w:val="0"/>
        <w:autoSpaceDN w:val="0"/>
        <w:adjustRightInd w:val="0"/>
        <w:spacing w:before="0" w:after="0"/>
        <w:jc w:val="both"/>
        <w:rPr>
          <w:rFonts w:cs="Times New Roman"/>
          <w:sz w:val="36"/>
          <w:szCs w:val="36"/>
        </w:rPr>
      </w:pPr>
      <w:r w:rsidRPr="00732C1A">
        <w:rPr>
          <w:rFonts w:cs="Times New Roman"/>
          <w:color w:val="000000"/>
          <w:szCs w:val="24"/>
        </w:rPr>
        <w:t>[2].</w:t>
      </w:r>
      <w:r w:rsidRPr="00732C1A">
        <w:rPr>
          <w:rFonts w:cs="Times New Roman"/>
          <w:color w:val="000000"/>
          <w:szCs w:val="24"/>
        </w:rPr>
        <w:tab/>
      </w:r>
      <w:bookmarkStart w:id="1" w:name="_nebCF147AA3_3B56_494E_B275_865FAE1B1234"/>
      <w:r w:rsidRPr="00732C1A">
        <w:rPr>
          <w:rFonts w:cs="Times New Roman"/>
          <w:color w:val="000000"/>
          <w:szCs w:val="24"/>
        </w:rPr>
        <w:t>Humphrey, W., A. Dalke and K. Schulten, VMD: visual molecular dynamics. J Mol Graph, 1996. 14(1): p. 33-8, 27-8.</w:t>
      </w:r>
      <w:bookmarkEnd w:id="1"/>
    </w:p>
    <w:p w14:paraId="7E777F52" w14:textId="77777777" w:rsidR="00AE3692" w:rsidRPr="00732C1A" w:rsidRDefault="00AE3692" w:rsidP="00AE3692">
      <w:pPr>
        <w:widowControl w:val="0"/>
        <w:autoSpaceDE w:val="0"/>
        <w:autoSpaceDN w:val="0"/>
        <w:adjustRightInd w:val="0"/>
        <w:spacing w:before="0" w:after="0"/>
        <w:jc w:val="both"/>
        <w:rPr>
          <w:rFonts w:cs="Times New Roman"/>
          <w:sz w:val="36"/>
          <w:szCs w:val="36"/>
        </w:rPr>
      </w:pPr>
      <w:r w:rsidRPr="00732C1A">
        <w:rPr>
          <w:rFonts w:cs="Times New Roman"/>
          <w:color w:val="000000"/>
          <w:szCs w:val="24"/>
        </w:rPr>
        <w:t>[3].</w:t>
      </w:r>
      <w:r w:rsidRPr="00732C1A">
        <w:rPr>
          <w:rFonts w:cs="Times New Roman"/>
          <w:color w:val="000000"/>
          <w:szCs w:val="24"/>
        </w:rPr>
        <w:tab/>
      </w:r>
      <w:bookmarkStart w:id="2" w:name="_neb7D4AA154_5192_44D1_B3D6_694B604ACDAD"/>
      <w:r w:rsidRPr="00732C1A">
        <w:rPr>
          <w:rFonts w:cs="Times New Roman"/>
          <w:color w:val="000000"/>
          <w:szCs w:val="24"/>
        </w:rPr>
        <w:t>Stone, J.E., K.L. Vandivort and K. Schulten. GPU-accelerated molecular visualization on petascale supercomputing platforms. in Proceedings of the 8th International Workshop on Ultrascale Visualization. 2013. Denver, Colorado: Association for Computing Machinery.</w:t>
      </w:r>
      <w:bookmarkEnd w:id="2"/>
    </w:p>
    <w:p w14:paraId="495C5B02" w14:textId="77777777" w:rsidR="00AE3692" w:rsidRPr="00732C1A" w:rsidRDefault="00AE3692" w:rsidP="00AE3692">
      <w:pPr>
        <w:widowControl w:val="0"/>
        <w:autoSpaceDE w:val="0"/>
        <w:autoSpaceDN w:val="0"/>
        <w:adjustRightInd w:val="0"/>
        <w:spacing w:before="0" w:after="0"/>
        <w:jc w:val="both"/>
        <w:rPr>
          <w:rFonts w:cs="Times New Roman"/>
          <w:sz w:val="36"/>
          <w:szCs w:val="36"/>
        </w:rPr>
      </w:pPr>
      <w:r w:rsidRPr="00732C1A">
        <w:rPr>
          <w:rFonts w:cs="Times New Roman"/>
          <w:color w:val="000000"/>
          <w:szCs w:val="24"/>
        </w:rPr>
        <w:t>[4].</w:t>
      </w:r>
      <w:r w:rsidRPr="00732C1A">
        <w:rPr>
          <w:rFonts w:cs="Times New Roman"/>
          <w:color w:val="000000"/>
          <w:szCs w:val="24"/>
        </w:rPr>
        <w:tab/>
      </w:r>
      <w:bookmarkStart w:id="3" w:name="_neb9D5578B1_E0AE_478D_AF54_769EC2153C72"/>
      <w:r w:rsidRPr="00732C1A">
        <w:rPr>
          <w:rFonts w:cs="Times New Roman"/>
          <w:color w:val="000000"/>
          <w:szCs w:val="24"/>
        </w:rPr>
        <w:t>Finkelstein, D.B., et al., Persistent host markers in pandemic and H5N1 influenza viruses. J Virol, 2007. 81(19): p. 10292-9.</w:t>
      </w:r>
      <w:bookmarkEnd w:id="3"/>
    </w:p>
    <w:p w14:paraId="771C3D0E" w14:textId="77777777" w:rsidR="00AE3692" w:rsidRPr="00732C1A" w:rsidRDefault="00AE3692" w:rsidP="00AE3692">
      <w:pPr>
        <w:widowControl w:val="0"/>
        <w:autoSpaceDE w:val="0"/>
        <w:autoSpaceDN w:val="0"/>
        <w:adjustRightInd w:val="0"/>
        <w:spacing w:before="0" w:after="0"/>
        <w:jc w:val="both"/>
        <w:rPr>
          <w:rFonts w:cs="Times New Roman"/>
          <w:sz w:val="36"/>
          <w:szCs w:val="36"/>
        </w:rPr>
      </w:pPr>
      <w:r w:rsidRPr="00732C1A">
        <w:rPr>
          <w:rFonts w:cs="Times New Roman"/>
          <w:color w:val="000000"/>
          <w:szCs w:val="24"/>
        </w:rPr>
        <w:t>[5].</w:t>
      </w:r>
      <w:r w:rsidRPr="00732C1A">
        <w:rPr>
          <w:rFonts w:cs="Times New Roman"/>
          <w:color w:val="000000"/>
          <w:szCs w:val="24"/>
        </w:rPr>
        <w:tab/>
      </w:r>
      <w:bookmarkStart w:id="4" w:name="_neb30EBAD24_6D7A_4A05_9E11_A24AD97492D0"/>
      <w:r w:rsidRPr="00732C1A">
        <w:rPr>
          <w:rFonts w:cs="Times New Roman"/>
          <w:color w:val="000000"/>
          <w:szCs w:val="24"/>
        </w:rPr>
        <w:t>Chen, G.W., et al., Genomic signatures of human versus avian influenza A viruses. Emerg Infect Dis, 2006. 12(9): p. 1353-60.</w:t>
      </w:r>
      <w:bookmarkEnd w:id="4"/>
    </w:p>
    <w:p w14:paraId="115F406B" w14:textId="77777777" w:rsidR="00AE3692" w:rsidRPr="00732C1A" w:rsidRDefault="00AE3692" w:rsidP="00AE3692">
      <w:pPr>
        <w:widowControl w:val="0"/>
        <w:autoSpaceDE w:val="0"/>
        <w:autoSpaceDN w:val="0"/>
        <w:adjustRightInd w:val="0"/>
        <w:spacing w:before="0" w:after="0"/>
        <w:jc w:val="both"/>
        <w:rPr>
          <w:rFonts w:cs="Times New Roman"/>
          <w:sz w:val="36"/>
          <w:szCs w:val="36"/>
        </w:rPr>
      </w:pPr>
      <w:r w:rsidRPr="00732C1A">
        <w:rPr>
          <w:rFonts w:cs="Times New Roman"/>
          <w:color w:val="000000"/>
          <w:szCs w:val="24"/>
        </w:rPr>
        <w:t>[6].</w:t>
      </w:r>
      <w:r w:rsidRPr="00732C1A">
        <w:rPr>
          <w:rFonts w:cs="Times New Roman"/>
          <w:color w:val="000000"/>
          <w:szCs w:val="24"/>
        </w:rPr>
        <w:tab/>
      </w:r>
      <w:bookmarkStart w:id="5" w:name="_neb05090E7E_2833_4279_9046_EDA0CBCD508C"/>
      <w:r w:rsidRPr="00732C1A">
        <w:rPr>
          <w:rFonts w:cs="Times New Roman"/>
          <w:color w:val="000000"/>
          <w:szCs w:val="24"/>
        </w:rPr>
        <w:t>Kincannon, W.M., et al., Biochemical and structural characterization of an aromatic ring-hydroxylating  dioxygenase for terephthalic acid catabolism. Proc Natl Acad Sci U S A, 2022. 119(13): p. e2121426119.</w:t>
      </w:r>
      <w:bookmarkEnd w:id="5"/>
    </w:p>
    <w:p w14:paraId="0E3705F1" w14:textId="77777777" w:rsidR="00AE3692" w:rsidRPr="00732C1A" w:rsidRDefault="00AE3692" w:rsidP="00AE3692">
      <w:pPr>
        <w:widowControl w:val="0"/>
        <w:autoSpaceDE w:val="0"/>
        <w:autoSpaceDN w:val="0"/>
        <w:adjustRightInd w:val="0"/>
        <w:spacing w:before="0" w:after="0"/>
        <w:jc w:val="both"/>
        <w:rPr>
          <w:rFonts w:cs="Times New Roman"/>
          <w:sz w:val="36"/>
          <w:szCs w:val="36"/>
        </w:rPr>
      </w:pPr>
      <w:r w:rsidRPr="00732C1A">
        <w:rPr>
          <w:rFonts w:cs="Times New Roman"/>
          <w:color w:val="000000"/>
          <w:szCs w:val="24"/>
        </w:rPr>
        <w:t>[7].</w:t>
      </w:r>
      <w:r w:rsidRPr="00732C1A">
        <w:rPr>
          <w:rFonts w:cs="Times New Roman"/>
          <w:color w:val="000000"/>
          <w:szCs w:val="24"/>
        </w:rPr>
        <w:tab/>
      </w:r>
      <w:bookmarkStart w:id="6" w:name="_neb3F6C6B2C_9282_4B87_8B5C_475A8C69874F"/>
      <w:r w:rsidRPr="00732C1A">
        <w:rPr>
          <w:rFonts w:cs="Times New Roman"/>
          <w:color w:val="000000"/>
          <w:szCs w:val="24"/>
        </w:rPr>
        <w:t>Guangchuang, et al., ggtree: an r package for visualization and annotation of phylogenetic trees with their covariates and other associated data. Methods in Ecology &amp; Evolution, 2017.</w:t>
      </w:r>
      <w:bookmarkEnd w:id="6"/>
    </w:p>
    <w:p w14:paraId="58F1AED1" w14:textId="7082FC5C" w:rsidR="00DE23E8" w:rsidRPr="001549D3" w:rsidRDefault="00AE3692" w:rsidP="00654E8F">
      <w:pPr>
        <w:spacing w:before="240"/>
      </w:pPr>
      <w:r>
        <w:fldChar w:fldCharType="end"/>
      </w:r>
    </w:p>
    <w:sectPr w:rsidR="00DE23E8" w:rsidRPr="001549D3"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2D649" w14:textId="77777777" w:rsidR="00EB212E" w:rsidRDefault="00EB212E" w:rsidP="00117666">
      <w:pPr>
        <w:spacing w:after="0"/>
      </w:pPr>
      <w:r>
        <w:separator/>
      </w:r>
    </w:p>
  </w:endnote>
  <w:endnote w:type="continuationSeparator" w:id="0">
    <w:p w14:paraId="563F1E29" w14:textId="77777777" w:rsidR="00EB212E" w:rsidRDefault="00EB212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C1092" w14:textId="77777777" w:rsidR="00EB212E" w:rsidRDefault="00EB212E" w:rsidP="00117666">
      <w:pPr>
        <w:spacing w:after="0"/>
      </w:pPr>
      <w:r>
        <w:separator/>
      </w:r>
    </w:p>
  </w:footnote>
  <w:footnote w:type="continuationSeparator" w:id="0">
    <w:p w14:paraId="5B13AC63" w14:textId="77777777" w:rsidR="00EB212E" w:rsidRDefault="00EB212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3ED1DDD1" w:rsidR="00995F6A" w:rsidRDefault="00C52A7B"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方括号]&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92w22sx32vvvbertpqvdzzyaezfa2datr9a&quot;&gt;WX的EndNote库&lt;record-ids&gt;&lt;item&gt;99&lt;/item&gt;&lt;item&gt;101&lt;/item&gt;&lt;item&gt;116&lt;/item&gt;&lt;item&gt;124&lt;/item&gt;&lt;item&gt;129&lt;/item&gt;&lt;item&gt;146&lt;/item&gt;&lt;item&gt;149&lt;/item&gt;&lt;item&gt;225&lt;/item&gt;&lt;item&gt;226&lt;/item&gt;&lt;/record-ids&gt;&lt;/item&gt;&lt;/Libraries&gt;"/>
    <w:docVar w:name="NE.Ref{06656DC5-B91A-4DE0-8ED6-84165D112AE2}" w:val=" ADDIN NE.Ref.{06656DC5-B91A-4DE0-8ED6-84165D112AE2}&lt;Citation&gt;&lt;Group&gt;&lt;References&gt;&lt;Item&gt;&lt;ID&gt;696&lt;/ID&gt;&lt;UID&gt;{9D5578B1-E0AE-478D-AF54-769EC2153C72}&lt;/UID&gt;&lt;Title&gt;Persistent host markers in pandemic and H5N1 influenza viruses&lt;/Title&gt;&lt;Template&gt;Journal Article&lt;/Template&gt;&lt;Star&gt;0&lt;/Star&gt;&lt;Tag&gt;0&lt;/Tag&gt;&lt;Author&gt;Finkelstein, D B; Mukatira, S; Mehta, P K; Obenauer, J C; Su, X; Webster, R G; Naeve, C W&lt;/Author&gt;&lt;Year&gt;2007&lt;/Year&gt;&lt;Details&gt;&lt;_accession_num&gt;17652405&lt;/_accession_num&gt;&lt;_author_adr&gt;Hartwell Center for Bioinformatics and Biotechnology, St. Jude Children&amp;apos;s  Research Hospital, and Department of Pathology, University of Tennessee Health  Science Center, Memphis, TN 38105-2794, USA.&lt;/_author_adr&gt;&lt;_date_display&gt;2007 Oct&lt;/_date_display&gt;&lt;_date&gt;2007-10-01&lt;/_date&gt;&lt;_doi&gt;10.1128/JVI.00921-07&lt;/_doi&gt;&lt;_isbn&gt;0022-538X (Print); 1098-5514 (Electronic); 0022-538X (Linking)&lt;/_isbn&gt;&lt;_issue&gt;19&lt;/_issue&gt;&lt;_journal&gt;J Virol&lt;/_journal&gt;&lt;_language&gt;eng&lt;/_language&gt;&lt;_pages&gt;10292-9&lt;/_pages&gt;&lt;_subject_headings&gt;Amino Acid Substitution/genetics; Animals; Birds/*virology; *Disease Outbreaks; Evolution, Molecular; Genetic Markers; Humans; Influenza A Virus, H5N1 Subtype/*genetics/isolation &amp;amp; purification; Influenza in Birds/epidemiology/*virology; Influenza, Human/epidemiology/*virology; Mutagenesis; Seasons; Sequence Alignment; Sequence Analysis, Protein; Sequence Analysis, RNA; Viral Proteins/genetics&lt;/_subject_headings&gt;&lt;_tertiary_title&gt;Journal of virology&lt;/_tertiary_title&gt;&lt;_type_work&gt;Journal Article; Research Support, Non-U.S. Gov&amp;apos;t&lt;/_type_work&gt;&lt;_url&gt;http://www.ncbi.nlm.nih.gov/entrez/query.fcgi?cmd=Retrieve&amp;amp;db=pubmed&amp;amp;dopt=Abstract&amp;amp;list_uids=17652405&amp;amp;query_hl=1&lt;/_url&gt;&lt;_volume&gt;81&lt;/_volume&gt;&lt;_created&gt;64859728&lt;/_created&gt;&lt;_modified&gt;64859728&lt;/_modified&gt;&lt;_db_updated&gt;PubMed&lt;/_db_updated&gt;&lt;_impact_factor&gt;   5.103&lt;/_impact_factor&gt;&lt;_collection_scope&gt;SCI;SCIE&lt;/_collection_scope&gt;&lt;/Details&gt;&lt;Extra&gt;&lt;DBUID&gt;{F96A950B-833F-4880-A151-76DA2D6A2879}&lt;/DBUID&gt;&lt;/Extra&gt;&lt;/Item&gt;&lt;/References&gt;&lt;/Group&gt;&lt;Group&gt;&lt;References&gt;&lt;Item&gt;&lt;ID&gt;697&lt;/ID&gt;&lt;UID&gt;{30EBAD24-6D7A-4A05-9E11-A24AD97492D0}&lt;/UID&gt;&lt;Title&gt;Genomic signatures of human versus avian influenza A viruses&lt;/Title&gt;&lt;Template&gt;Journal Article&lt;/Template&gt;&lt;Star&gt;0&lt;/Star&gt;&lt;Tag&gt;0&lt;/Tag&gt;&lt;Author&gt;Chen, G W; Chang, S C; Mok, C K; Lo, Y L; Kung, Y N; Huang, J H; Shih, Y H; Wang, J Y; Chiang, C; Chen, C J; Shih, S R&lt;/Author&gt;&lt;Year&gt;2006&lt;/Year&gt;&lt;Details&gt;&lt;_accession_num&gt;17073083&lt;/_accession_num&gt;&lt;_author_adr&gt;Chang Gung University, Taoyuan, Taiwan, Republic of China.&lt;/_author_adr&gt;&lt;_date_display&gt;2006 Sep&lt;/_date_display&gt;&lt;_date&gt;2006-09-01&lt;/_date&gt;&lt;_doi&gt;10.3201/eid1209.060276&lt;/_doi&gt;&lt;_isbn&gt;1080-6040 (Print); 1080-6059 (Electronic); 1080-6040 (Linking)&lt;/_isbn&gt;&lt;_issue&gt;9&lt;/_issue&gt;&lt;_journal&gt;Emerg Infect Dis&lt;/_journal&gt;&lt;_language&gt;eng&lt;/_language&gt;&lt;_pages&gt;1353-60&lt;/_pages&gt;&lt;_subject_headings&gt;*Amino Acid Sequence; Animals; Birds/virology; *Genome, Viral; Humans; Influenza A Virus, H5N1 Subtype/classification/genetics; Influenza A Virus, H7N7 Subtype/classification/genetics; Influenza A Virus, H9N2 Subtype/classification/genetics; Influenza A virus/*classification/*genetics; Influenza in Birds/*virology; Influenza, Human/*virology; Molecular Sequence Data; Mutation; Sequence Analysis, DNA; Species Specificity; Viral Proteins/genetics&lt;/_subject_headings&gt;&lt;_tertiary_title&gt;Emerging infectious diseases&lt;/_tertiary_title&gt;&lt;_type_work&gt;Journal Article; Research Support, Non-U.S. Gov&amp;apos;t&lt;/_type_work&gt;&lt;_url&gt;http://www.ncbi.nlm.nih.gov/entrez/query.fcgi?cmd=Retrieve&amp;amp;db=pubmed&amp;amp;dopt=Abstract&amp;amp;list_uids=17073083&amp;amp;query_hl=1&lt;/_url&gt;&lt;_volume&gt;12&lt;/_volume&gt;&lt;_created&gt;64859729&lt;/_created&gt;&lt;_modified&gt;64859729&lt;/_modified&gt;&lt;_db_updated&gt;PubMed&lt;/_db_updated&gt;&lt;_impact_factor&gt;   6.883&lt;/_impact_factor&gt;&lt;_collection_scope&gt;SCI;SCIE&lt;/_collection_scope&gt;&lt;/Details&gt;&lt;Extra&gt;&lt;DBUID&gt;{F96A950B-833F-4880-A151-76DA2D6A2879}&lt;/DBUID&gt;&lt;/Extra&gt;&lt;/Item&gt;&lt;/References&gt;&lt;/Group&gt;&lt;/Citation&gt;_x000a_"/>
    <w:docVar w:name="NE.Ref{4E5D6B08-4A0E-4C3F-836A-875548FD6893}" w:val=" ADDIN NE.Ref.{4E5D6B08-4A0E-4C3F-836A-875548FD6893}&lt;Citation&gt;&lt;Group&gt;&lt;References&gt;&lt;Item&gt;&lt;ID&gt;686&lt;/ID&gt;&lt;UID&gt;{CF147AA3-3B56-494E-B275-865FAE1B1234}&lt;/UID&gt;&lt;Title&gt;VMD: visual molecular dynamics&lt;/Title&gt;&lt;Template&gt;Journal Article&lt;/Template&gt;&lt;Star&gt;0&lt;/Star&gt;&lt;Tag&gt;0&lt;/Tag&gt;&lt;Author&gt;Humphrey, W; Dalke, A; Schulten, K&lt;/Author&gt;&lt;Year&gt;1996&lt;/Year&gt;&lt;Details&gt;&lt;_accession_num&gt;8744570&lt;/_accession_num&gt;&lt;_author_adr&gt;Theoretical Biophysics Group, University of Illinois, Urbana 61801, USA.&lt;/_author_adr&gt;&lt;_created&gt;64821560&lt;/_created&gt;&lt;_date&gt;1996-02-01&lt;/_date&gt;&lt;_date_display&gt;1996 Feb&lt;/_date_display&gt;&lt;_db_updated&gt;PubMed&lt;/_db_updated&gt;&lt;_doi&gt;10.1016/0263-7855(96)00018-5&lt;/_doi&gt;&lt;_isbn&gt;0263-7855 (Print); 0263-7855 (Linking)&lt;/_isbn&gt;&lt;_issue&gt;1&lt;/_issue&gt;&lt;_journal&gt;J Mol Graph&lt;/_journal&gt;&lt;_language&gt;eng&lt;/_language&gt;&lt;_modified&gt;64821560&lt;/_modified&gt;&lt;_pages&gt;33-8, 27-8&lt;/_pages&gt;&lt;_subject_headings&gt;*Computer Graphics; *Computer Simulation; Computers; *Models, Molecular; Nucleic Acids/chemistry; Proteins/chemistry; User-Computer Interface&lt;/_subject_headings&gt;&lt;_tertiary_title&gt;Journal of molecular graphics&lt;/_tertiary_title&gt;&lt;_type_work&gt;Journal Article; Research Support, Non-U.S. Gov&amp;apos;t; Research Support, U.S. Gov&amp;apos;t, Non-P.H.S.; Research Support, U.S. Gov&amp;apos;t, P.H.S.&lt;/_type_work&gt;&lt;_url&gt;http://www.ncbi.nlm.nih.gov/entrez/query.fcgi?cmd=Retrieve&amp;amp;db=pubmed&amp;amp;dopt=Abstract&amp;amp;list_uids=8744570&amp;amp;query_hl=1&lt;/_url&gt;&lt;_volume&gt;14&lt;/_volume&gt;&lt;/Details&gt;&lt;Extra&gt;&lt;DBUID&gt;{F96A950B-833F-4880-A151-76DA2D6A2879}&lt;/DBUID&gt;&lt;/Extra&gt;&lt;/Item&gt;&lt;/References&gt;&lt;/Group&gt;&lt;Group&gt;&lt;References&gt;&lt;Item&gt;&lt;ID&gt;687&lt;/ID&gt;&lt;UID&gt;{7D4AA154-5192-44D1-B3D6-694B604ACDAD}&lt;/UID&gt;&lt;Title&gt;GPU-accelerated molecular visualization on petascale supercomputing platforms&lt;/Title&gt;&lt;Template&gt;Conference Proceedings&lt;/Template&gt;&lt;Star&gt;0&lt;/Star&gt;&lt;Tag&gt;0&lt;/Tag&gt;&lt;Author&gt;Stone, John E; Vandivort, Kirby L; Schulten, Klaus&lt;/Author&gt;&lt;Year&gt;2013&lt;/Year&gt;&lt;Details&gt;&lt;_created&gt;64821562&lt;/_created&gt;&lt;_doi&gt;10.1145/2535571.2535595&lt;/_doi&gt;&lt;_isbn&gt;9781450325004&lt;/_isbn&gt;&lt;_keywords&gt;parallel rendering, ray tracing, molecular visualization, many-core, molecular surface, GPU&lt;/_keywords&gt;&lt;_modified&gt;64821562&lt;/_modified&gt;&lt;_pages&gt;Article 6&lt;/_pages&gt;&lt;_place_published&gt;Denver, Colorado&lt;/_place_published&gt;&lt;_publisher&gt;Association for Computing Machinery&lt;/_publisher&gt;&lt;_secondary_title&gt;Proceedings of the 8th International Workshop on Ultrascale Visualization&lt;/_secondary_title&gt;&lt;_url&gt;https://doi.org/10.1145/2535571.2535595&lt;/_url&gt;&lt;/Details&gt;&lt;Extra&gt;&lt;DBUID&gt;{F96A950B-833F-4880-A151-76DA2D6A2879}&lt;/DBUID&gt;&lt;/Extra&gt;&lt;/Item&gt;&lt;/References&gt;&lt;/Group&gt;&lt;/Citation&gt;_x000a_"/>
    <w:docVar w:name="NE.Ref{737CE682-FAAB-4204-BB68-8A69C24371B5}" w:val=" ADDIN NE.Ref.{737CE682-FAAB-4204-BB68-8A69C24371B5}&lt;Citation&gt;&lt;Group&gt;&lt;References&gt;&lt;Item&gt;&lt;ID&gt;686&lt;/ID&gt;&lt;UID&gt;{CF147AA3-3B56-494E-B275-865FAE1B1234}&lt;/UID&gt;&lt;Title&gt;VMD: visual molecular dynamics&lt;/Title&gt;&lt;Template&gt;Journal Article&lt;/Template&gt;&lt;Star&gt;0&lt;/Star&gt;&lt;Tag&gt;0&lt;/Tag&gt;&lt;Author&gt;Humphrey, W; Dalke, A; Schulten, K&lt;/Author&gt;&lt;Year&gt;1996&lt;/Year&gt;&lt;Details&gt;&lt;_accession_num&gt;8744570&lt;/_accession_num&gt;&lt;_author_adr&gt;Theoretical Biophysics Group, University of Illinois, Urbana 61801, USA.&lt;/_author_adr&gt;&lt;_created&gt;64821560&lt;/_created&gt;&lt;_date&gt;1996-02-01&lt;/_date&gt;&lt;_date_display&gt;1996 Feb&lt;/_date_display&gt;&lt;_db_updated&gt;PubMed&lt;/_db_updated&gt;&lt;_doi&gt;10.1016/0263-7855(96)00018-5&lt;/_doi&gt;&lt;_isbn&gt;0263-7855 (Print); 0263-7855 (Linking)&lt;/_isbn&gt;&lt;_issue&gt;1&lt;/_issue&gt;&lt;_journal&gt;J Mol Graph&lt;/_journal&gt;&lt;_language&gt;eng&lt;/_language&gt;&lt;_modified&gt;64821560&lt;/_modified&gt;&lt;_pages&gt;33-8, 27-8&lt;/_pages&gt;&lt;_subject_headings&gt;*Computer Graphics; *Computer Simulation; Computers; *Models, Molecular; Nucleic Acids/chemistry; Proteins/chemistry; User-Computer Interface&lt;/_subject_headings&gt;&lt;_tertiary_title&gt;Journal of molecular graphics&lt;/_tertiary_title&gt;&lt;_type_work&gt;Journal Article; Research Support, Non-U.S. Gov&amp;apos;t; Research Support, U.S. Gov&amp;apos;t, Non-P.H.S.; Research Support, U.S. Gov&amp;apos;t, P.H.S.&lt;/_type_work&gt;&lt;_url&gt;http://www.ncbi.nlm.nih.gov/entrez/query.fcgi?cmd=Retrieve&amp;amp;db=pubmed&amp;amp;dopt=Abstract&amp;amp;list_uids=8744570&amp;amp;query_hl=1&lt;/_url&gt;&lt;_volume&gt;14&lt;/_volume&gt;&lt;/Details&gt;&lt;Extra&gt;&lt;DBUID&gt;{F96A950B-833F-4880-A151-76DA2D6A2879}&lt;/DBUID&gt;&lt;/Extra&gt;&lt;/Item&gt;&lt;/References&gt;&lt;/Group&gt;&lt;/Citation&gt;_x000a_"/>
    <w:docVar w:name="NE.Ref{73B2CFB1-8EFA-4FA7-A925-D79A3A86375C}" w:val=" ADDIN NE.Ref.{73B2CFB1-8EFA-4FA7-A925-D79A3A86375C}&lt;Citation&gt;&lt;Group&gt;&lt;References&gt;&lt;Item&gt;&lt;ID&gt;696&lt;/ID&gt;&lt;UID&gt;{9D5578B1-E0AE-478D-AF54-769EC2153C72}&lt;/UID&gt;&lt;Title&gt;Persistent host markers in pandemic and H5N1 influenza viruses&lt;/Title&gt;&lt;Template&gt;Journal Article&lt;/Template&gt;&lt;Star&gt;0&lt;/Star&gt;&lt;Tag&gt;0&lt;/Tag&gt;&lt;Author&gt;Finkelstein, D B; Mukatira, S; Mehta, P K; Obenauer, J C; Su, X; Webster, R G; Naeve, C W&lt;/Author&gt;&lt;Year&gt;2007&lt;/Year&gt;&lt;Details&gt;&lt;_accession_num&gt;17652405&lt;/_accession_num&gt;&lt;_author_adr&gt;Hartwell Center for Bioinformatics and Biotechnology, St. Jude Children&amp;apos;s  Research Hospital, and Department of Pathology, University of Tennessee Health  Science Center, Memphis, TN 38105-2794, USA.&lt;/_author_adr&gt;&lt;_date_display&gt;2007 Oct&lt;/_date_display&gt;&lt;_date&gt;2007-10-01&lt;/_date&gt;&lt;_doi&gt;10.1128/JVI.00921-07&lt;/_doi&gt;&lt;_isbn&gt;0022-538X (Print); 1098-5514 (Electronic); 0022-538X (Linking)&lt;/_isbn&gt;&lt;_issue&gt;19&lt;/_issue&gt;&lt;_journal&gt;J Virol&lt;/_journal&gt;&lt;_language&gt;eng&lt;/_language&gt;&lt;_pages&gt;10292-9&lt;/_pages&gt;&lt;_subject_headings&gt;Amino Acid Substitution/genetics; Animals; Birds/*virology; *Disease Outbreaks; Evolution, Molecular; Genetic Markers; Humans; Influenza A Virus, H5N1 Subtype/*genetics/isolation &amp;amp; purification; Influenza in Birds/epidemiology/*virology; Influenza, Human/epidemiology/*virology; Mutagenesis; Seasons; Sequence Alignment; Sequence Analysis, Protein; Sequence Analysis, RNA; Viral Proteins/genetics&lt;/_subject_headings&gt;&lt;_tertiary_title&gt;Journal of virology&lt;/_tertiary_title&gt;&lt;_type_work&gt;Journal Article; Research Support, Non-U.S. Gov&amp;apos;t&lt;/_type_work&gt;&lt;_url&gt;http://www.ncbi.nlm.nih.gov/entrez/query.fcgi?cmd=Retrieve&amp;amp;db=pubmed&amp;amp;dopt=Abstract&amp;amp;list_uids=17652405&amp;amp;query_hl=1&lt;/_url&gt;&lt;_volume&gt;81&lt;/_volume&gt;&lt;_created&gt;64859728&lt;/_created&gt;&lt;_modified&gt;64859728&lt;/_modified&gt;&lt;_db_updated&gt;PubMed&lt;/_db_updated&gt;&lt;_impact_factor&gt;   5.103&lt;/_impact_factor&gt;&lt;_collection_scope&gt;SCI;SCIE&lt;/_collection_scope&gt;&lt;/Details&gt;&lt;Extra&gt;&lt;DBUID&gt;{F96A950B-833F-4880-A151-76DA2D6A2879}&lt;/DBUID&gt;&lt;/Extra&gt;&lt;/Item&gt;&lt;/References&gt;&lt;/Group&gt;&lt;Group&gt;&lt;References&gt;&lt;Item&gt;&lt;ID&gt;697&lt;/ID&gt;&lt;UID&gt;{30EBAD24-6D7A-4A05-9E11-A24AD97492D0}&lt;/UID&gt;&lt;Title&gt;Genomic signatures of human versus avian influenza A viruses&lt;/Title&gt;&lt;Template&gt;Journal Article&lt;/Template&gt;&lt;Star&gt;0&lt;/Star&gt;&lt;Tag&gt;0&lt;/Tag&gt;&lt;Author&gt;Chen, G W; Chang, S C; Mok, C K; Lo, Y L; Kung, Y N; Huang, J H; Shih, Y H; Wang, J Y; Chiang, C; Chen, C J; Shih, S R&lt;/Author&gt;&lt;Year&gt;2006&lt;/Year&gt;&lt;Details&gt;&lt;_accession_num&gt;17073083&lt;/_accession_num&gt;&lt;_author_adr&gt;Chang Gung University, Taoyuan, Taiwan, Republic of China.&lt;/_author_adr&gt;&lt;_date_display&gt;2006 Sep&lt;/_date_display&gt;&lt;_date&gt;2006-09-01&lt;/_date&gt;&lt;_doi&gt;10.3201/eid1209.060276&lt;/_doi&gt;&lt;_isbn&gt;1080-6040 (Print); 1080-6059 (Electronic); 1080-6040 (Linking)&lt;/_isbn&gt;&lt;_issue&gt;9&lt;/_issue&gt;&lt;_journal&gt;Emerg Infect Dis&lt;/_journal&gt;&lt;_language&gt;eng&lt;/_language&gt;&lt;_pages&gt;1353-60&lt;/_pages&gt;&lt;_subject_headings&gt;*Amino Acid Sequence; Animals; Birds/virology; *Genome, Viral; Humans; Influenza A Virus, H5N1 Subtype/classification/genetics; Influenza A Virus, H7N7 Subtype/classification/genetics; Influenza A Virus, H9N2 Subtype/classification/genetics; Influenza A virus/*classification/*genetics; Influenza in Birds/*virology; Influenza, Human/*virology; Molecular Sequence Data; Mutation; Sequence Analysis, DNA; Species Specificity; Viral Proteins/genetics&lt;/_subject_headings&gt;&lt;_tertiary_title&gt;Emerging infectious diseases&lt;/_tertiary_title&gt;&lt;_type_work&gt;Journal Article; Research Support, Non-U.S. Gov&amp;apos;t&lt;/_type_work&gt;&lt;_url&gt;http://www.ncbi.nlm.nih.gov/entrez/query.fcgi?cmd=Retrieve&amp;amp;db=pubmed&amp;amp;dopt=Abstract&amp;amp;list_uids=17073083&amp;amp;query_hl=1&lt;/_url&gt;&lt;_volume&gt;12&lt;/_volume&gt;&lt;_created&gt;64859729&lt;/_created&gt;&lt;_modified&gt;64859729&lt;/_modified&gt;&lt;_db_updated&gt;PubMed&lt;/_db_updated&gt;&lt;_impact_factor&gt;   6.883&lt;/_impact_factor&gt;&lt;_collection_scope&gt;SCI;SCIE&lt;/_collection_scope&gt;&lt;/Details&gt;&lt;Extra&gt;&lt;DBUID&gt;{F96A950B-833F-4880-A151-76DA2D6A2879}&lt;/DBUID&gt;&lt;/Extra&gt;&lt;/Item&gt;&lt;/References&gt;&lt;/Group&gt;&lt;/Citation&gt;_x000a_"/>
    <w:docVar w:name="NE.Ref{C6DD9DEA-ECA6-4609-B52D-32DCC25E108E}" w:val=" ADDIN NE.Ref.{C6DD9DEA-ECA6-4609-B52D-32DCC25E108E}&lt;Citation&gt;&lt;Group&gt;&lt;References&gt;&lt;Item&gt;&lt;ID&gt;699&lt;/ID&gt;&lt;UID&gt;{05090E7E-2833-4279-9046-EDA0CBCD508C}&lt;/UID&gt;&lt;Title&gt;Biochemical and structural characterization of an aromatic ring-hydroxylating  dioxygenase for terephthalic acid catabolism&lt;/Title&gt;&lt;Template&gt;Journal Article&lt;/Template&gt;&lt;Star&gt;0&lt;/Star&gt;&lt;Tag&gt;0&lt;/Tag&gt;&lt;Author&gt;Kincannon, W M; Zahn, M; Clare, R; Lusty, Beech J; Romberg, A; Larson, J; Bothner, B; Beckham, G T; McGeehan, J E; DuBois, J L&lt;/Author&gt;&lt;Year&gt;2022&lt;/Year&gt;&lt;Details&gt;&lt;_accession_num&gt;35312352&lt;/_accession_num&gt;&lt;_author_adr&gt;Department of Biochemistry, Montana State University, Bozeman, MT 59717.; Centre for Enzyme Innovation, University of Portsmouth, Portsmouth, PO1 2PY,  United Kingdom.; Bio-Optimized Technologies to Keep Thermoplastics out of Landfills and the  Environment Consortium, Golden, CO 80401.; Department of Biochemistry, Montana State University, Bozeman, MT 59717.; Bio-Optimized Technologies to Keep Thermoplastics out of Landfills and the  Environment Consortium, Golden, CO 80401.; Department of Biochemistry, Montana State University, Bozeman, MT 59717.; Bio-Optimized Technologies to Keep Thermoplastics out of Landfills and the  Environment Consortium, Golden, CO 80401.; Department of Biochemistry, Montana State University, Bozeman, MT 59717.; Department of Biochemistry, Montana State University, Bozeman, MT 59717.; Department of Biochemistry, Montana State University, Bozeman, MT 59717.; Bio-Optimized Technologies to Keep Thermoplastics out of Landfills and the  Environment Consortium, Golden, CO 80401.; National Renewable Energy Laboratory, Renewable Resources and Enabling Sciences  Center, Golden, CO 80401.; Centre for Enzyme Innovation, University of Portsmouth, Portsmouth, PO1 2PY,  United Kingdom.; Bio-Optimized Technologies to Keep Thermoplastics out of Landfills and the  Environment Consortium, Golden, CO 80401.; Department of Biochemistry, Montana State University, Bozeman, MT 59717.; Bio-Optimized Technologies to Keep Thermoplastics out of Landfills and the  Environment Consortium, Golden, CO 80401.&lt;/_author_adr&gt;&lt;_date_display&gt;2022 Mar 29&lt;/_date_display&gt;&lt;_date&gt;2022-03-29&lt;/_date&gt;&lt;_doi&gt;10.1073/pnas.2121426119&lt;/_doi&gt;&lt;_isbn&gt;1091-6490 (Electronic); 0027-8424 (Print); 0027-8424 (Linking)&lt;/_isbn&gt;&lt;_issue&gt;13&lt;/_issue&gt;&lt;_journal&gt;Proc Natl Acad Sci U S A&lt;/_journal&gt;&lt;_keywords&gt;Poly(ethylene terephthalate); Rieske dioxygenase; oxygenase; plastic; terephthalate&lt;/_keywords&gt;&lt;_language&gt;eng&lt;/_language&gt;&lt;_pages&gt;e2121426119&lt;/_pages&gt;&lt;_subject_headings&gt;*Dioxygenases; *Phthalic Acids; Plastics/chemistry; Polyethylene Terephthalates/chemistry&lt;/_subject_headings&gt;&lt;_tertiary_title&gt;Proceedings of the National Academy of Sciences of the United States of America&lt;/_tertiary_title&gt;&lt;_type_work&gt;Journal Article&lt;/_type_work&gt;&lt;_url&gt;http://www.ncbi.nlm.nih.gov/entrez/query.fcgi?cmd=Retrieve&amp;amp;db=pubmed&amp;amp;dopt=Abstract&amp;amp;list_uids=35312352&amp;amp;query_hl=1&lt;/_url&gt;&lt;_volume&gt;119&lt;/_volume&gt;&lt;_created&gt;64861008&lt;/_created&gt;&lt;_modified&gt;64861008&lt;/_modified&gt;&lt;_db_updated&gt;PubMed&lt;/_db_updated&gt;&lt;_impact_factor&gt;  11.205&lt;/_impact_factor&gt;&lt;/Details&gt;&lt;Extra&gt;&lt;DBUID&gt;{F96A950B-833F-4880-A151-76DA2D6A2879}&lt;/DBUID&gt;&lt;/Extra&gt;&lt;/Item&gt;&lt;/References&gt;&lt;/Group&gt;&lt;/Citation&gt;_x000a_"/>
    <w:docVar w:name="NE.Ref{DC024522-2633-46CD-B192-85ACDE5A36DD}" w:val=" ADDIN NE.Ref.{DC024522-2633-46CD-B192-85ACDE5A36DD}&lt;Citation&gt;&lt;Group&gt;&lt;References&gt;&lt;Item&gt;&lt;ID&gt;700&lt;/ID&gt;&lt;UID&gt;{3F6C6B2C-9282-4B87-8B5C-475A8C69874F}&lt;/UID&gt;&lt;Title&gt;ggtree: an r package for visualization and annotation of phylogenetic trees with their covariates and other associated data&lt;/Title&gt;&lt;Template&gt;Journal Article&lt;/Template&gt;&lt;Star&gt;0&lt;/Star&gt;&lt;Tag&gt;0&lt;/Tag&gt;&lt;Author&gt;Guangchuang; Yu; David; K.; Smith; Huachen; Zhu; Yi; Guan; Tommy&lt;/Author&gt;&lt;Year&gt;2017&lt;/Year&gt;&lt;Details&gt;&lt;_journal&gt;Methods in Ecology &amp;amp; Evolution&lt;/_journal&gt;&lt;_created&gt;64861017&lt;/_created&gt;&lt;_modified&gt;64861017&lt;/_modified&gt;&lt;/Details&gt;&lt;Extra&gt;&lt;DBUID&gt;{F96A950B-833F-4880-A151-76DA2D6A2879}&lt;/DBUID&gt;&lt;/Extra&gt;&lt;/Item&gt;&lt;/References&gt;&lt;/Group&gt;&lt;/Citation&gt;_x000a_"/>
    <w:docVar w:name="NE.Ref{F28CB5F6-6498-4431-99A0-C5A0174718EB}" w:val=" ADDIN NE.Ref.{F28CB5F6-6498-4431-99A0-C5A0174718EB}&lt;Citation&gt;&lt;Group&gt;&lt;References&gt;&lt;Item&gt;&lt;ID&gt;698&lt;/ID&gt;&lt;UID&gt;{ECFB1345-ACEE-47E5-9B73-528655FBDF1C}&lt;/UID&gt;&lt;Title&gt;Mapping inhibitory sites on the RNA polymerase of the 1918 pandemic influenza  virus using nanobodies&lt;/Title&gt;&lt;Template&gt;Journal Article&lt;/Template&gt;&lt;Star&gt;0&lt;/Star&gt;&lt;Tag&gt;0&lt;/Tag&gt;&lt;Author&gt;Keown, J R; Zhu, Z; Carrique, L; Fan, H; Walker, A P; Serna, Martin I; Pardon, E; Steyaert, J; Fodor, E; Grimes, J M&lt;/Author&gt;&lt;Year&gt;2022&lt;/Year&gt;&lt;Details&gt;&lt;_accession_num&gt;35017564&lt;/_accession_num&gt;&lt;_author_adr&gt;Division of Structural Biology, Wellcome Centre for Human Genetics, University of  Oxford, Oxford, UK.; Sir William Dunn School of Pathology, University of Oxford, Oxford, UK.; Division of Structural Biology, Wellcome Centre for Human Genetics, University of  Oxford, Oxford, UK.; Sir William Dunn School of Pathology, University of Oxford, Oxford, UK.; Sir William Dunn School of Pathology, University of Oxford, Oxford, UK.; School of Cellular and Molecular Medicine, Faculty of Life Sciences, University  of Bristol, Bristol, UK.; Sir William Dunn School of Pathology, University of Oxford, Oxford, UK.; Department of Virology, Faculty of Veterinary Sciences, Utrecht University,  Utrecht, The Netherlands.; VIB-VUB Center for Structural Biology, VIB, Brussels, Belgium.; Structural Biology Brussels, Vrije Universiteit Brussel, Brussels, Belgium.; VIB-VUB Center for Structural Biology, VIB, Brussels, Belgium.; Structural Biology Brussels, Vrije Universiteit Brussel, Brussels, Belgium.; Sir William Dunn School of Pathology, University of Oxford, Oxford, UK.  ervin.fodor@path.ox.ac.uk.; Division of Structural Biology, Wellcome Centre for Human Genetics, University of  Oxford, Oxford, UK. jonathan@strubi.ox.ac.uk.; Harwell Science &amp;amp; Innovation Campus, Diamond Light Source Ltd, Didcot, UK.  jonathan@strubi.ox.ac.uk.&lt;/_author_adr&gt;&lt;_date_display&gt;2022 Jan 11&lt;/_date_display&gt;&lt;_date&gt;2022-01-11&lt;/_date&gt;&lt;_doi&gt;10.1038/s41467-021-27950-w&lt;/_doi&gt;&lt;_isbn&gt;2041-1723 (Electronic); 2041-1723 (Linking)&lt;/_isbn&gt;&lt;_issue&gt;1&lt;/_issue&gt;&lt;_journal&gt;Nat Commun&lt;/_journal&gt;&lt;_language&gt;eng&lt;/_language&gt;&lt;_ori_publication&gt;(c) 2022. The Author(s).&lt;/_ori_publication&gt;&lt;_pages&gt;251&lt;/_pages&gt;&lt;_subject_headings&gt;Animals; Cryoelectron Microscopy; DNA-Directed RNA Polymerases/*chemistry/*genetics; Genome, Viral; HEK293 Cells; Humans; Influenza A virus/genetics; Models, Molecular; Orthomyxoviridae/*genetics; *Pandemics; Protein Binding; Protein Conformation; RNA, Viral/metabolism; RNA-Dependent RNA Polymerase; Sf9 Cells; Single-Domain Antibodies/*chemistry/genetics; Viral Proteins/chemistry/genetics&lt;/_subject_headings&gt;&lt;_tertiary_title&gt;Nature communications&lt;/_tertiary_title&gt;&lt;_type_work&gt;Journal Article; Research Support, Non-U.S. Gov&amp;apos;t&lt;/_type_work&gt;&lt;_url&gt;http://www.ncbi.nlm.nih.gov/entrez/query.fcgi?cmd=Retrieve&amp;amp;db=pubmed&amp;amp;dopt=Abstract&amp;amp;list_uids=35017564&amp;amp;query_hl=1&lt;/_url&gt;&lt;_volume&gt;13&lt;/_volume&gt;&lt;_created&gt;64861007&lt;/_created&gt;&lt;_modified&gt;64861007&lt;/_modified&gt;&lt;_db_updated&gt;PubMed&lt;/_db_updated&gt;&lt;_impact_factor&gt;  14.919&lt;/_impact_factor&gt;&lt;_collection_scope&gt;SCI;SCIE&lt;/_collection_scope&gt;&lt;/Details&gt;&lt;Extra&gt;&lt;DBUID&gt;{F96A950B-833F-4880-A151-76DA2D6A2879}&lt;/DBUID&gt;&lt;/Extra&gt;&lt;/Item&gt;&lt;/References&gt;&lt;/Group&gt;&lt;/Citation&gt;_x000a_"/>
    <w:docVar w:name="ne_docsoft" w:val="MSWord"/>
    <w:docVar w:name="ne_docversion" w:val="NoteExpress 2.0"/>
    <w:docVar w:name="ne_stylename" w:val="Numbered(multilingual)"/>
  </w:docVars>
  <w:rsids>
    <w:rsidRoot w:val="00803D24"/>
    <w:rsid w:val="0001436A"/>
    <w:rsid w:val="00034304"/>
    <w:rsid w:val="00035434"/>
    <w:rsid w:val="00047CD2"/>
    <w:rsid w:val="00052A14"/>
    <w:rsid w:val="00077D53"/>
    <w:rsid w:val="0009566F"/>
    <w:rsid w:val="000A1AE6"/>
    <w:rsid w:val="000B02EC"/>
    <w:rsid w:val="000C6F0B"/>
    <w:rsid w:val="000F1B50"/>
    <w:rsid w:val="000F4122"/>
    <w:rsid w:val="00102A08"/>
    <w:rsid w:val="00105FD9"/>
    <w:rsid w:val="001066AF"/>
    <w:rsid w:val="001071EE"/>
    <w:rsid w:val="00117666"/>
    <w:rsid w:val="00133BF9"/>
    <w:rsid w:val="00137909"/>
    <w:rsid w:val="001425C0"/>
    <w:rsid w:val="001446EE"/>
    <w:rsid w:val="001549D3"/>
    <w:rsid w:val="00160065"/>
    <w:rsid w:val="00161892"/>
    <w:rsid w:val="0016370F"/>
    <w:rsid w:val="0016552E"/>
    <w:rsid w:val="00177D84"/>
    <w:rsid w:val="0018146E"/>
    <w:rsid w:val="001924BF"/>
    <w:rsid w:val="001928FF"/>
    <w:rsid w:val="001A1128"/>
    <w:rsid w:val="001A62CA"/>
    <w:rsid w:val="001C6898"/>
    <w:rsid w:val="001E2654"/>
    <w:rsid w:val="001F2120"/>
    <w:rsid w:val="002112D5"/>
    <w:rsid w:val="0023203C"/>
    <w:rsid w:val="00233FCD"/>
    <w:rsid w:val="002469BF"/>
    <w:rsid w:val="0025344C"/>
    <w:rsid w:val="00267D18"/>
    <w:rsid w:val="002868E2"/>
    <w:rsid w:val="002869C3"/>
    <w:rsid w:val="002936E4"/>
    <w:rsid w:val="002A656D"/>
    <w:rsid w:val="002B2F15"/>
    <w:rsid w:val="002B4A57"/>
    <w:rsid w:val="002C74CA"/>
    <w:rsid w:val="002F212A"/>
    <w:rsid w:val="00306A2B"/>
    <w:rsid w:val="003323AD"/>
    <w:rsid w:val="003544FB"/>
    <w:rsid w:val="0035565B"/>
    <w:rsid w:val="003A7647"/>
    <w:rsid w:val="003D2F2D"/>
    <w:rsid w:val="003F540E"/>
    <w:rsid w:val="00401590"/>
    <w:rsid w:val="0040285D"/>
    <w:rsid w:val="0040675A"/>
    <w:rsid w:val="004138EA"/>
    <w:rsid w:val="00414C55"/>
    <w:rsid w:val="004170F4"/>
    <w:rsid w:val="00447801"/>
    <w:rsid w:val="00452E9C"/>
    <w:rsid w:val="00460A26"/>
    <w:rsid w:val="00463970"/>
    <w:rsid w:val="004735C8"/>
    <w:rsid w:val="0047471A"/>
    <w:rsid w:val="004961FF"/>
    <w:rsid w:val="004A1059"/>
    <w:rsid w:val="004D275C"/>
    <w:rsid w:val="004D65EA"/>
    <w:rsid w:val="004E41DC"/>
    <w:rsid w:val="004E4A53"/>
    <w:rsid w:val="004F7DE7"/>
    <w:rsid w:val="00503400"/>
    <w:rsid w:val="00517A89"/>
    <w:rsid w:val="005250F2"/>
    <w:rsid w:val="005309E2"/>
    <w:rsid w:val="0054446B"/>
    <w:rsid w:val="00571A27"/>
    <w:rsid w:val="00593EEA"/>
    <w:rsid w:val="00596E7E"/>
    <w:rsid w:val="00597EC4"/>
    <w:rsid w:val="005A5EEE"/>
    <w:rsid w:val="00603567"/>
    <w:rsid w:val="0061447D"/>
    <w:rsid w:val="006375C7"/>
    <w:rsid w:val="00654E8F"/>
    <w:rsid w:val="00655EF7"/>
    <w:rsid w:val="00660D05"/>
    <w:rsid w:val="00677228"/>
    <w:rsid w:val="006820B1"/>
    <w:rsid w:val="006B641E"/>
    <w:rsid w:val="006B7D14"/>
    <w:rsid w:val="006C39E2"/>
    <w:rsid w:val="006E7953"/>
    <w:rsid w:val="006F4F7F"/>
    <w:rsid w:val="00701727"/>
    <w:rsid w:val="0070566C"/>
    <w:rsid w:val="00714C50"/>
    <w:rsid w:val="00725A7D"/>
    <w:rsid w:val="00732C1A"/>
    <w:rsid w:val="007501BE"/>
    <w:rsid w:val="007617EC"/>
    <w:rsid w:val="00773C66"/>
    <w:rsid w:val="007771E1"/>
    <w:rsid w:val="00790BB3"/>
    <w:rsid w:val="007B4C4D"/>
    <w:rsid w:val="007C128C"/>
    <w:rsid w:val="007C206C"/>
    <w:rsid w:val="008038B8"/>
    <w:rsid w:val="00803D24"/>
    <w:rsid w:val="00817DD6"/>
    <w:rsid w:val="0083041E"/>
    <w:rsid w:val="00831005"/>
    <w:rsid w:val="00833435"/>
    <w:rsid w:val="008370CC"/>
    <w:rsid w:val="00846374"/>
    <w:rsid w:val="0086419B"/>
    <w:rsid w:val="00883ECB"/>
    <w:rsid w:val="00885156"/>
    <w:rsid w:val="00897920"/>
    <w:rsid w:val="008A2E9A"/>
    <w:rsid w:val="008A552E"/>
    <w:rsid w:val="008C55EF"/>
    <w:rsid w:val="008D1F88"/>
    <w:rsid w:val="008E7BCD"/>
    <w:rsid w:val="009151AA"/>
    <w:rsid w:val="0093429D"/>
    <w:rsid w:val="00943573"/>
    <w:rsid w:val="009536A1"/>
    <w:rsid w:val="00960EC3"/>
    <w:rsid w:val="00970F7D"/>
    <w:rsid w:val="009741AD"/>
    <w:rsid w:val="00994A3D"/>
    <w:rsid w:val="009B267D"/>
    <w:rsid w:val="009B50C2"/>
    <w:rsid w:val="009C2B12"/>
    <w:rsid w:val="009C70F3"/>
    <w:rsid w:val="00A03132"/>
    <w:rsid w:val="00A04DFE"/>
    <w:rsid w:val="00A174D9"/>
    <w:rsid w:val="00A17A42"/>
    <w:rsid w:val="00A25BA2"/>
    <w:rsid w:val="00A44765"/>
    <w:rsid w:val="00A50ECC"/>
    <w:rsid w:val="00A569CD"/>
    <w:rsid w:val="00A7308A"/>
    <w:rsid w:val="00A9315A"/>
    <w:rsid w:val="00AA79EA"/>
    <w:rsid w:val="00AB6715"/>
    <w:rsid w:val="00AD5279"/>
    <w:rsid w:val="00AD64D8"/>
    <w:rsid w:val="00AE3692"/>
    <w:rsid w:val="00AF3FEF"/>
    <w:rsid w:val="00B052EF"/>
    <w:rsid w:val="00B0728D"/>
    <w:rsid w:val="00B1671E"/>
    <w:rsid w:val="00B219D5"/>
    <w:rsid w:val="00B25B17"/>
    <w:rsid w:val="00B25EB8"/>
    <w:rsid w:val="00B267AA"/>
    <w:rsid w:val="00B354E1"/>
    <w:rsid w:val="00B37F4D"/>
    <w:rsid w:val="00B41B9B"/>
    <w:rsid w:val="00B92B7C"/>
    <w:rsid w:val="00BE72CD"/>
    <w:rsid w:val="00C06558"/>
    <w:rsid w:val="00C21BCA"/>
    <w:rsid w:val="00C50527"/>
    <w:rsid w:val="00C52A7B"/>
    <w:rsid w:val="00C56BAF"/>
    <w:rsid w:val="00C679AA"/>
    <w:rsid w:val="00C75972"/>
    <w:rsid w:val="00C81833"/>
    <w:rsid w:val="00C87CDB"/>
    <w:rsid w:val="00C915D0"/>
    <w:rsid w:val="00C93561"/>
    <w:rsid w:val="00CB0643"/>
    <w:rsid w:val="00CC0A3A"/>
    <w:rsid w:val="00CD066B"/>
    <w:rsid w:val="00CE4FEE"/>
    <w:rsid w:val="00D03F15"/>
    <w:rsid w:val="00D363CD"/>
    <w:rsid w:val="00D52B30"/>
    <w:rsid w:val="00D607B3"/>
    <w:rsid w:val="00D62A3A"/>
    <w:rsid w:val="00D66A73"/>
    <w:rsid w:val="00D7409B"/>
    <w:rsid w:val="00D84C78"/>
    <w:rsid w:val="00D96B55"/>
    <w:rsid w:val="00DB59C3"/>
    <w:rsid w:val="00DC259A"/>
    <w:rsid w:val="00DD20FF"/>
    <w:rsid w:val="00DE23E8"/>
    <w:rsid w:val="00DE7735"/>
    <w:rsid w:val="00E01763"/>
    <w:rsid w:val="00E20B2F"/>
    <w:rsid w:val="00E221B2"/>
    <w:rsid w:val="00E34D30"/>
    <w:rsid w:val="00E52377"/>
    <w:rsid w:val="00E525EE"/>
    <w:rsid w:val="00E560FC"/>
    <w:rsid w:val="00E64E17"/>
    <w:rsid w:val="00E866C9"/>
    <w:rsid w:val="00EA3D3C"/>
    <w:rsid w:val="00EB212E"/>
    <w:rsid w:val="00EC4F59"/>
    <w:rsid w:val="00ED1893"/>
    <w:rsid w:val="00ED46B6"/>
    <w:rsid w:val="00EF1612"/>
    <w:rsid w:val="00F03DCD"/>
    <w:rsid w:val="00F10692"/>
    <w:rsid w:val="00F14C95"/>
    <w:rsid w:val="00F17267"/>
    <w:rsid w:val="00F254C6"/>
    <w:rsid w:val="00F27D0B"/>
    <w:rsid w:val="00F31AEA"/>
    <w:rsid w:val="00F41F66"/>
    <w:rsid w:val="00F46900"/>
    <w:rsid w:val="00F61D89"/>
    <w:rsid w:val="00F70EA5"/>
    <w:rsid w:val="00F93A20"/>
    <w:rsid w:val="00FA2DA7"/>
    <w:rsid w:val="00FB4C8C"/>
    <w:rsid w:val="00FE7F83"/>
    <w:rsid w:val="00FF4DDD"/>
    <w:rsid w:val="00FF71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D1893"/>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styleId="aff8">
    <w:name w:val="Revision"/>
    <w:hidden/>
    <w:uiPriority w:val="99"/>
    <w:semiHidden/>
    <w:rsid w:val="00803D24"/>
    <w:pPr>
      <w:spacing w:after="0" w:line="240" w:lineRule="auto"/>
    </w:pPr>
    <w:rPr>
      <w:rFonts w:ascii="Times New Roman" w:hAnsi="Times New Roman"/>
      <w:sz w:val="24"/>
    </w:rPr>
  </w:style>
  <w:style w:type="paragraph" w:customStyle="1" w:styleId="EndNoteBibliographyTitle">
    <w:name w:val="EndNote Bibliography Title"/>
    <w:basedOn w:val="a0"/>
    <w:link w:val="EndNoteBibliographyTitle0"/>
    <w:rsid w:val="0009566F"/>
    <w:pPr>
      <w:spacing w:after="0"/>
      <w:jc w:val="center"/>
    </w:pPr>
    <w:rPr>
      <w:rFonts w:cs="Times New Roman"/>
      <w:noProof/>
    </w:rPr>
  </w:style>
  <w:style w:type="character" w:customStyle="1" w:styleId="EndNoteBibliographyTitle0">
    <w:name w:val="EndNote Bibliography Title 字符"/>
    <w:basedOn w:val="a1"/>
    <w:link w:val="EndNoteBibliographyTitle"/>
    <w:rsid w:val="0009566F"/>
    <w:rPr>
      <w:rFonts w:ascii="Times New Roman" w:hAnsi="Times New Roman" w:cs="Times New Roman"/>
      <w:noProof/>
      <w:sz w:val="24"/>
    </w:rPr>
  </w:style>
  <w:style w:type="paragraph" w:customStyle="1" w:styleId="EndNoteBibliography">
    <w:name w:val="EndNote Bibliography"/>
    <w:basedOn w:val="a0"/>
    <w:link w:val="EndNoteBibliography0"/>
    <w:rsid w:val="0009566F"/>
    <w:rPr>
      <w:rFonts w:cs="Times New Roman"/>
      <w:noProof/>
    </w:rPr>
  </w:style>
  <w:style w:type="character" w:customStyle="1" w:styleId="EndNoteBibliography0">
    <w:name w:val="EndNote Bibliography 字符"/>
    <w:basedOn w:val="a1"/>
    <w:link w:val="EndNoteBibliography"/>
    <w:rsid w:val="0009566F"/>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11838">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37200144">
      <w:bodyDiv w:val="1"/>
      <w:marLeft w:val="0"/>
      <w:marRight w:val="0"/>
      <w:marTop w:val="0"/>
      <w:marBottom w:val="0"/>
      <w:divBdr>
        <w:top w:val="none" w:sz="0" w:space="0" w:color="auto"/>
        <w:left w:val="none" w:sz="0" w:space="0" w:color="auto"/>
        <w:bottom w:val="none" w:sz="0" w:space="0" w:color="auto"/>
        <w:right w:val="none" w:sz="0" w:space="0" w:color="auto"/>
      </w:divBdr>
    </w:div>
    <w:div w:id="943684915">
      <w:bodyDiv w:val="1"/>
      <w:marLeft w:val="0"/>
      <w:marRight w:val="0"/>
      <w:marTop w:val="0"/>
      <w:marBottom w:val="0"/>
      <w:divBdr>
        <w:top w:val="none" w:sz="0" w:space="0" w:color="auto"/>
        <w:left w:val="none" w:sz="0" w:space="0" w:color="auto"/>
        <w:bottom w:val="none" w:sz="0" w:space="0" w:color="auto"/>
        <w:right w:val="none" w:sz="0" w:space="0" w:color="auto"/>
      </w:divBdr>
    </w:div>
    <w:div w:id="1278952839">
      <w:bodyDiv w:val="1"/>
      <w:marLeft w:val="0"/>
      <w:marRight w:val="0"/>
      <w:marTop w:val="0"/>
      <w:marBottom w:val="0"/>
      <w:divBdr>
        <w:top w:val="none" w:sz="0" w:space="0" w:color="auto"/>
        <w:left w:val="none" w:sz="0" w:space="0" w:color="auto"/>
        <w:bottom w:val="none" w:sz="0" w:space="0" w:color="auto"/>
        <w:right w:val="none" w:sz="0" w:space="0" w:color="auto"/>
      </w:divBdr>
    </w:div>
    <w:div w:id="1485005118">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8004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1554</TotalTime>
  <Pages>7</Pages>
  <Words>570</Words>
  <Characters>3254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dc:description>NE.Bib</dc:description>
  <cp:lastModifiedBy>luo ANAN</cp:lastModifiedBy>
  <cp:revision>7</cp:revision>
  <cp:lastPrinted>2013-10-03T12:51:00Z</cp:lastPrinted>
  <dcterms:created xsi:type="dcterms:W3CDTF">2023-04-24T02:04:00Z</dcterms:created>
  <dcterms:modified xsi:type="dcterms:W3CDTF">2023-04-28T01:05:00Z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