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BC24" w14:textId="7CFC8E50" w:rsidR="00E04494" w:rsidRPr="00E04494" w:rsidRDefault="00E04494" w:rsidP="00E04494">
      <w:r w:rsidRPr="00E04494">
        <w:rPr>
          <w:b/>
          <w:bCs/>
        </w:rPr>
        <w:t xml:space="preserve">Table </w:t>
      </w:r>
      <w:r w:rsidR="00753026">
        <w:rPr>
          <w:b/>
          <w:bCs/>
        </w:rPr>
        <w:t>1</w:t>
      </w:r>
      <w:r w:rsidRPr="00E04494">
        <w:rPr>
          <w:b/>
          <w:bCs/>
        </w:rPr>
        <w:t xml:space="preserve">: Population parameters </w:t>
      </w:r>
      <w:r w:rsidR="00CD4FD8">
        <w:rPr>
          <w:b/>
          <w:bCs/>
        </w:rPr>
        <w:t>of viral dynamics model</w:t>
      </w:r>
      <w:r w:rsidRPr="006767DC">
        <w:rPr>
          <w:b/>
          <w:bCs/>
          <w:i/>
          <w:iCs/>
          <w:color w:val="44546A" w:themeColor="text2"/>
          <w:sz w:val="20"/>
          <w:szCs w:val="20"/>
        </w:rPr>
        <w:t>.</w:t>
      </w:r>
      <w:r w:rsidRPr="006767DC">
        <w:rPr>
          <w:b/>
          <w:bCs/>
          <w:color w:val="44546A" w:themeColor="text2"/>
          <w:sz w:val="20"/>
          <w:szCs w:val="20"/>
        </w:rPr>
        <w:t xml:space="preserve"> </w:t>
      </w:r>
      <w:r w:rsidRPr="00E04494">
        <w:t xml:space="preserve">Using the </w:t>
      </w:r>
      <w:r w:rsidR="00C125DA">
        <w:t>viral dynamic</w:t>
      </w:r>
      <w:r w:rsidRPr="00E04494">
        <w:t xml:space="preserve"> model with density and time-dependent clearance of infected cells, we estimated model parameters for </w:t>
      </w:r>
      <w:r w:rsidR="00753026">
        <w:t>589</w:t>
      </w:r>
      <w:r w:rsidRPr="00E04494">
        <w:t xml:space="preserve"> infections in the NBA cohort</w:t>
      </w:r>
      <w:r w:rsidR="00753026">
        <w:t xml:space="preserve"> with known symptom onset</w:t>
      </w:r>
      <w:r w:rsidRPr="00E04494">
        <w:t xml:space="preserve">. For the mixed-effect model, the magnitude of measurement error was fixed at a = 0.25 log10 copies viral RNA/ml. The population parameters are recorded here and estimated individual parameters are available at </w:t>
      </w:r>
      <w:r w:rsidR="0064406F" w:rsidRPr="0064406F">
        <w:t>https://github.com/sEsmaeili/Covid_Rebound</w:t>
      </w:r>
      <w:hyperlink r:id="rId6" w:history="1"/>
      <w:r w:rsidRPr="00E04494">
        <w:t xml:space="preserve">. </w:t>
      </w:r>
    </w:p>
    <w:p w14:paraId="4C6A91F6" w14:textId="77777777" w:rsidR="00E04494" w:rsidRPr="006767DC" w:rsidRDefault="00E04494" w:rsidP="00E04494">
      <w:pPr>
        <w:rPr>
          <w:rFonts w:cstheme="minorHAnsi"/>
          <w:i/>
          <w:iCs/>
          <w:color w:val="44546A" w:themeColor="text2"/>
          <w:sz w:val="20"/>
          <w:szCs w:val="20"/>
        </w:rPr>
      </w:pPr>
    </w:p>
    <w:tbl>
      <w:tblPr>
        <w:tblStyle w:val="TableGrid"/>
        <w:tblW w:w="9265" w:type="dxa"/>
        <w:tblLayout w:type="fixed"/>
        <w:tblLook w:val="04A0" w:firstRow="1" w:lastRow="0" w:firstColumn="1" w:lastColumn="0" w:noHBand="0" w:noVBand="1"/>
      </w:tblPr>
      <w:tblGrid>
        <w:gridCol w:w="3505"/>
        <w:gridCol w:w="900"/>
        <w:gridCol w:w="1260"/>
        <w:gridCol w:w="1080"/>
        <w:gridCol w:w="1350"/>
        <w:gridCol w:w="1170"/>
      </w:tblGrid>
      <w:tr w:rsidR="00E04494" w:rsidRPr="00930AD5" w14:paraId="27CD9675" w14:textId="77777777" w:rsidTr="0012570E">
        <w:tc>
          <w:tcPr>
            <w:tcW w:w="3505" w:type="dxa"/>
          </w:tcPr>
          <w:p w14:paraId="2F6E5EE3" w14:textId="77777777" w:rsidR="00E04494" w:rsidRPr="00236031" w:rsidRDefault="00E04494" w:rsidP="0012570E">
            <w:pPr>
              <w:jc w:val="center"/>
              <w:rPr>
                <w:sz w:val="22"/>
                <w:szCs w:val="22"/>
              </w:rPr>
            </w:pPr>
            <w:r w:rsidRPr="00236031">
              <w:rPr>
                <w:sz w:val="22"/>
                <w:szCs w:val="22"/>
              </w:rPr>
              <w:t>Parameter (unit)</w:t>
            </w:r>
          </w:p>
        </w:tc>
        <w:tc>
          <w:tcPr>
            <w:tcW w:w="900" w:type="dxa"/>
          </w:tcPr>
          <w:p w14:paraId="383B001C" w14:textId="77777777" w:rsidR="00E04494" w:rsidRPr="00930AD5" w:rsidRDefault="00E04494" w:rsidP="00753026">
            <w:pPr>
              <w:jc w:val="center"/>
              <w:rPr>
                <w:sz w:val="22"/>
                <w:szCs w:val="22"/>
              </w:rPr>
            </w:pPr>
            <w:r w:rsidRPr="00930AD5">
              <w:rPr>
                <w:sz w:val="22"/>
                <w:szCs w:val="22"/>
              </w:rPr>
              <w:t>Symbol</w:t>
            </w:r>
          </w:p>
        </w:tc>
        <w:tc>
          <w:tcPr>
            <w:tcW w:w="1260" w:type="dxa"/>
          </w:tcPr>
          <w:p w14:paraId="4A7FFD40" w14:textId="77777777" w:rsidR="00E04494" w:rsidRPr="00930AD5" w:rsidRDefault="00E04494" w:rsidP="00753026">
            <w:pPr>
              <w:jc w:val="center"/>
              <w:rPr>
                <w:sz w:val="22"/>
                <w:szCs w:val="22"/>
              </w:rPr>
            </w:pPr>
            <w:r w:rsidRPr="00930AD5">
              <w:rPr>
                <w:sz w:val="22"/>
                <w:szCs w:val="22"/>
              </w:rPr>
              <w:t>Population Mean</w:t>
            </w:r>
          </w:p>
        </w:tc>
        <w:tc>
          <w:tcPr>
            <w:tcW w:w="1080" w:type="dxa"/>
          </w:tcPr>
          <w:p w14:paraId="2B235A3E" w14:textId="77777777" w:rsidR="00E04494" w:rsidRPr="00930AD5" w:rsidRDefault="00E04494" w:rsidP="00753026">
            <w:pPr>
              <w:jc w:val="center"/>
              <w:rPr>
                <w:sz w:val="22"/>
                <w:szCs w:val="22"/>
              </w:rPr>
            </w:pPr>
            <w:r w:rsidRPr="00930AD5">
              <w:rPr>
                <w:sz w:val="22"/>
                <w:szCs w:val="22"/>
              </w:rPr>
              <w:t>Standard deviation</w:t>
            </w:r>
          </w:p>
        </w:tc>
        <w:tc>
          <w:tcPr>
            <w:tcW w:w="1350" w:type="dxa"/>
          </w:tcPr>
          <w:p w14:paraId="0649B5C6" w14:textId="77777777" w:rsidR="00E04494" w:rsidRPr="00930AD5" w:rsidRDefault="00E04494" w:rsidP="00753026">
            <w:pPr>
              <w:jc w:val="center"/>
              <w:rPr>
                <w:sz w:val="22"/>
                <w:szCs w:val="22"/>
              </w:rPr>
            </w:pPr>
            <w:r w:rsidRPr="00930AD5">
              <w:rPr>
                <w:sz w:val="22"/>
                <w:szCs w:val="22"/>
              </w:rPr>
              <w:t>Distribution</w:t>
            </w:r>
          </w:p>
        </w:tc>
        <w:tc>
          <w:tcPr>
            <w:tcW w:w="1170" w:type="dxa"/>
          </w:tcPr>
          <w:p w14:paraId="54CF17B6" w14:textId="77777777" w:rsidR="00E04494" w:rsidRPr="00930AD5" w:rsidRDefault="00E04494" w:rsidP="0012570E">
            <w:pPr>
              <w:jc w:val="center"/>
              <w:rPr>
                <w:sz w:val="22"/>
                <w:szCs w:val="22"/>
              </w:rPr>
            </w:pPr>
            <w:r w:rsidRPr="00930AD5">
              <w:rPr>
                <w:sz w:val="22"/>
                <w:szCs w:val="22"/>
              </w:rPr>
              <w:t>Source</w:t>
            </w:r>
          </w:p>
        </w:tc>
      </w:tr>
      <w:tr w:rsidR="00E04494" w:rsidRPr="00753026" w14:paraId="2D5E4050" w14:textId="77777777" w:rsidTr="0012570E">
        <w:tc>
          <w:tcPr>
            <w:tcW w:w="3505" w:type="dxa"/>
          </w:tcPr>
          <w:p w14:paraId="1511CB37" w14:textId="77777777" w:rsidR="00E04494" w:rsidRPr="00753026" w:rsidRDefault="00E04494" w:rsidP="0012570E">
            <w:pPr>
              <w:spacing w:line="276" w:lineRule="auto"/>
              <w:rPr>
                <w:sz w:val="22"/>
                <w:szCs w:val="22"/>
              </w:rPr>
            </w:pPr>
            <w:r w:rsidRPr="00753026">
              <w:rPr>
                <w:sz w:val="22"/>
                <w:szCs w:val="22"/>
              </w:rPr>
              <w:t xml:space="preserve">viral infectivity  </w:t>
            </w:r>
          </w:p>
          <w:p w14:paraId="66ADC61C" w14:textId="77777777" w:rsidR="00E04494" w:rsidRPr="00753026" w:rsidRDefault="00E04494" w:rsidP="0012570E">
            <w:pPr>
              <w:spacing w:line="276" w:lineRule="auto"/>
              <w:rPr>
                <w:sz w:val="22"/>
                <w:szCs w:val="22"/>
              </w:rPr>
            </w:pPr>
            <w:r w:rsidRPr="00753026">
              <w:rPr>
                <w:sz w:val="22"/>
                <w:szCs w:val="22"/>
              </w:rPr>
              <w:t>(</w:t>
            </w:r>
            <w:r w:rsidRPr="00753026">
              <w:rPr>
                <w:rFonts w:eastAsiaTheme="minorEastAsia"/>
                <w:sz w:val="22"/>
                <w:szCs w:val="22"/>
              </w:rPr>
              <w:t>log</w:t>
            </w:r>
            <w:r w:rsidRPr="00753026">
              <w:rPr>
                <w:rFonts w:eastAsiaTheme="minorEastAsia"/>
                <w:sz w:val="22"/>
                <w:szCs w:val="22"/>
                <w:vertAlign w:val="subscript"/>
              </w:rPr>
              <w:t>10</w:t>
            </w:r>
            <w:r w:rsidRPr="00753026">
              <w:rPr>
                <w:sz w:val="22"/>
                <w:szCs w:val="22"/>
              </w:rPr>
              <w:t xml:space="preserve"> (</w:t>
            </w:r>
            <w:proofErr w:type="spellStart"/>
            <w:r w:rsidRPr="00753026">
              <w:rPr>
                <w:sz w:val="22"/>
                <w:szCs w:val="22"/>
              </w:rPr>
              <w:t>RNAcopies</w:t>
            </w:r>
            <w:proofErr w:type="spellEnd"/>
            <w:r w:rsidRPr="00753026">
              <w:rPr>
                <w:sz w:val="22"/>
                <w:szCs w:val="22"/>
              </w:rPr>
              <w:t>/mL)</w:t>
            </w:r>
            <w:r w:rsidRPr="00753026">
              <w:rPr>
                <w:sz w:val="22"/>
                <w:szCs w:val="22"/>
                <w:vertAlign w:val="superscript"/>
              </w:rPr>
              <w:t>-1</w:t>
            </w:r>
            <w:r w:rsidRPr="00753026">
              <w:rPr>
                <w:sz w:val="22"/>
                <w:szCs w:val="22"/>
              </w:rPr>
              <w:t xml:space="preserve"> day</w:t>
            </w:r>
            <w:r w:rsidRPr="00753026">
              <w:rPr>
                <w:sz w:val="22"/>
                <w:szCs w:val="22"/>
                <w:vertAlign w:val="superscript"/>
              </w:rPr>
              <w:t>-1</w:t>
            </w:r>
            <w:r w:rsidRPr="00753026">
              <w:rPr>
                <w:sz w:val="22"/>
                <w:szCs w:val="22"/>
              </w:rPr>
              <w:t>)</w:t>
            </w:r>
          </w:p>
        </w:tc>
        <w:tc>
          <w:tcPr>
            <w:tcW w:w="900" w:type="dxa"/>
          </w:tcPr>
          <w:p w14:paraId="339604CD" w14:textId="2B7FD127" w:rsidR="00E04494" w:rsidRPr="00753026" w:rsidRDefault="00E04494" w:rsidP="00753026">
            <w:pPr>
              <w:jc w:val="center"/>
              <w:rPr>
                <w:sz w:val="22"/>
                <w:szCs w:val="22"/>
              </w:rPr>
            </w:pPr>
            <w:r w:rsidRPr="00753026">
              <w:rPr>
                <w:rFonts w:eastAsiaTheme="minorEastAsia"/>
                <w:sz w:val="22"/>
                <w:szCs w:val="22"/>
              </w:rPr>
              <w:t>log</w:t>
            </w:r>
            <w:r w:rsidRPr="00753026">
              <w:rPr>
                <w:rFonts w:eastAsiaTheme="minorEastAsia"/>
                <w:sz w:val="22"/>
                <w:szCs w:val="22"/>
                <w:vertAlign w:val="subscript"/>
              </w:rPr>
              <w:t>10</w:t>
            </w:r>
            <m:oMath>
              <m:r>
                <w:rPr>
                  <w:rFonts w:ascii="Cambria Math" w:eastAsiaTheme="minorEastAsia" w:hAnsi="Cambria Math"/>
                  <w:sz w:val="22"/>
                  <w:szCs w:val="22"/>
                </w:rPr>
                <m:t>β</m:t>
              </m:r>
            </m:oMath>
          </w:p>
        </w:tc>
        <w:tc>
          <w:tcPr>
            <w:tcW w:w="1260" w:type="dxa"/>
          </w:tcPr>
          <w:p w14:paraId="1D430424" w14:textId="67477BC5" w:rsidR="00E04494" w:rsidRPr="00753026" w:rsidRDefault="00C125DA" w:rsidP="00753026">
            <w:pPr>
              <w:jc w:val="center"/>
              <w:rPr>
                <w:sz w:val="22"/>
                <w:szCs w:val="22"/>
              </w:rPr>
            </w:pPr>
            <w:r w:rsidRPr="00753026">
              <w:rPr>
                <w:sz w:val="22"/>
                <w:szCs w:val="22"/>
              </w:rPr>
              <w:t>-7.18</w:t>
            </w:r>
          </w:p>
        </w:tc>
        <w:tc>
          <w:tcPr>
            <w:tcW w:w="1080" w:type="dxa"/>
          </w:tcPr>
          <w:p w14:paraId="2F02A07C" w14:textId="52DF0D40" w:rsidR="00E04494" w:rsidRPr="00753026" w:rsidRDefault="00C125DA" w:rsidP="00753026">
            <w:pPr>
              <w:jc w:val="center"/>
              <w:rPr>
                <w:sz w:val="22"/>
                <w:szCs w:val="22"/>
              </w:rPr>
            </w:pPr>
            <w:r w:rsidRPr="00753026">
              <w:rPr>
                <w:sz w:val="22"/>
                <w:szCs w:val="22"/>
              </w:rPr>
              <w:t>0.31</w:t>
            </w:r>
          </w:p>
        </w:tc>
        <w:tc>
          <w:tcPr>
            <w:tcW w:w="1350" w:type="dxa"/>
          </w:tcPr>
          <w:p w14:paraId="12D392DC" w14:textId="77777777" w:rsidR="00E04494" w:rsidRPr="00753026" w:rsidRDefault="00E04494" w:rsidP="00753026">
            <w:pPr>
              <w:jc w:val="center"/>
              <w:rPr>
                <w:sz w:val="22"/>
                <w:szCs w:val="22"/>
              </w:rPr>
            </w:pPr>
            <w:r w:rsidRPr="00753026">
              <w:rPr>
                <w:sz w:val="22"/>
                <w:szCs w:val="22"/>
              </w:rPr>
              <w:t>normal</w:t>
            </w:r>
          </w:p>
        </w:tc>
        <w:tc>
          <w:tcPr>
            <w:tcW w:w="1170" w:type="dxa"/>
          </w:tcPr>
          <w:p w14:paraId="59B5C548" w14:textId="77777777" w:rsidR="00E04494" w:rsidRPr="00753026" w:rsidRDefault="00E04494" w:rsidP="0012570E">
            <w:pPr>
              <w:rPr>
                <w:sz w:val="22"/>
                <w:szCs w:val="22"/>
              </w:rPr>
            </w:pPr>
            <w:r w:rsidRPr="00753026">
              <w:rPr>
                <w:sz w:val="22"/>
                <w:szCs w:val="22"/>
              </w:rPr>
              <w:t>estimated</w:t>
            </w:r>
          </w:p>
        </w:tc>
      </w:tr>
      <w:tr w:rsidR="00E04494" w:rsidRPr="00753026" w14:paraId="22E61690" w14:textId="77777777" w:rsidTr="0012570E">
        <w:tc>
          <w:tcPr>
            <w:tcW w:w="3505" w:type="dxa"/>
          </w:tcPr>
          <w:p w14:paraId="13D5F8C9" w14:textId="77777777" w:rsidR="00E04494" w:rsidRPr="00753026" w:rsidRDefault="00E04494" w:rsidP="0012570E">
            <w:pPr>
              <w:spacing w:line="276" w:lineRule="auto"/>
              <w:rPr>
                <w:sz w:val="22"/>
                <w:szCs w:val="22"/>
              </w:rPr>
            </w:pPr>
            <w:r w:rsidRPr="00753026">
              <w:rPr>
                <w:sz w:val="22"/>
                <w:szCs w:val="22"/>
              </w:rPr>
              <w:t xml:space="preserve">viral production rate </w:t>
            </w:r>
          </w:p>
          <w:p w14:paraId="12B5E195" w14:textId="77777777" w:rsidR="00E04494" w:rsidRPr="00753026" w:rsidRDefault="00E04494" w:rsidP="0012570E">
            <w:pPr>
              <w:spacing w:line="276" w:lineRule="auto"/>
              <w:rPr>
                <w:sz w:val="22"/>
                <w:szCs w:val="22"/>
              </w:rPr>
            </w:pPr>
            <w:r w:rsidRPr="00753026">
              <w:rPr>
                <w:sz w:val="22"/>
                <w:szCs w:val="22"/>
              </w:rPr>
              <w:t>(</w:t>
            </w:r>
            <w:r w:rsidRPr="00753026">
              <w:rPr>
                <w:rFonts w:eastAsiaTheme="minorEastAsia"/>
                <w:sz w:val="22"/>
                <w:szCs w:val="22"/>
              </w:rPr>
              <w:t>log</w:t>
            </w:r>
            <w:r w:rsidRPr="00753026">
              <w:rPr>
                <w:rFonts w:eastAsiaTheme="minorEastAsia"/>
                <w:sz w:val="22"/>
                <w:szCs w:val="22"/>
                <w:vertAlign w:val="subscript"/>
              </w:rPr>
              <w:t>10</w:t>
            </w:r>
            <w:r w:rsidRPr="00753026">
              <w:rPr>
                <w:sz w:val="22"/>
                <w:szCs w:val="22"/>
              </w:rPr>
              <w:t xml:space="preserve"> day</w:t>
            </w:r>
            <w:r w:rsidRPr="00753026">
              <w:rPr>
                <w:sz w:val="22"/>
                <w:szCs w:val="22"/>
                <w:vertAlign w:val="superscript"/>
              </w:rPr>
              <w:t>-</w:t>
            </w:r>
            <w:proofErr w:type="gramStart"/>
            <w:r w:rsidRPr="00753026">
              <w:rPr>
                <w:sz w:val="22"/>
                <w:szCs w:val="22"/>
                <w:vertAlign w:val="superscript"/>
              </w:rPr>
              <w:t>1</w:t>
            </w:r>
            <w:r w:rsidRPr="00753026">
              <w:rPr>
                <w:sz w:val="22"/>
                <w:szCs w:val="22"/>
              </w:rPr>
              <w:t xml:space="preserve"> )</w:t>
            </w:r>
            <w:proofErr w:type="gramEnd"/>
          </w:p>
        </w:tc>
        <w:tc>
          <w:tcPr>
            <w:tcW w:w="900" w:type="dxa"/>
          </w:tcPr>
          <w:p w14:paraId="669BCB32" w14:textId="61878CDF" w:rsidR="00E04494" w:rsidRPr="00753026" w:rsidRDefault="00E04494" w:rsidP="00753026">
            <w:pPr>
              <w:jc w:val="center"/>
              <w:rPr>
                <w:sz w:val="22"/>
                <w:szCs w:val="22"/>
              </w:rPr>
            </w:pPr>
            <w:r w:rsidRPr="00753026">
              <w:rPr>
                <w:rFonts w:eastAsiaTheme="minorEastAsia"/>
                <w:sz w:val="22"/>
                <w:szCs w:val="22"/>
              </w:rPr>
              <w:t>log</w:t>
            </w:r>
            <w:r w:rsidRPr="00753026">
              <w:rPr>
                <w:rFonts w:eastAsiaTheme="minorEastAsia"/>
                <w:sz w:val="22"/>
                <w:szCs w:val="22"/>
                <w:vertAlign w:val="subscript"/>
              </w:rPr>
              <w:t>10</w:t>
            </w:r>
            <m:oMath>
              <m:r>
                <w:rPr>
                  <w:rFonts w:ascii="Cambria Math" w:eastAsiaTheme="minorEastAsia" w:hAnsi="Cambria Math"/>
                  <w:sz w:val="22"/>
                  <w:szCs w:val="22"/>
                  <w:vertAlign w:val="subscript"/>
                </w:rPr>
                <m:t>π</m:t>
              </m:r>
            </m:oMath>
          </w:p>
        </w:tc>
        <w:tc>
          <w:tcPr>
            <w:tcW w:w="1260" w:type="dxa"/>
          </w:tcPr>
          <w:p w14:paraId="01CF349B" w14:textId="31ACCC95" w:rsidR="00E04494" w:rsidRPr="00753026" w:rsidRDefault="00C125DA" w:rsidP="00753026">
            <w:pPr>
              <w:jc w:val="center"/>
              <w:rPr>
                <w:sz w:val="22"/>
                <w:szCs w:val="22"/>
              </w:rPr>
            </w:pPr>
            <w:r w:rsidRPr="00753026">
              <w:rPr>
                <w:sz w:val="22"/>
                <w:szCs w:val="22"/>
              </w:rPr>
              <w:t>2.72</w:t>
            </w:r>
          </w:p>
        </w:tc>
        <w:tc>
          <w:tcPr>
            <w:tcW w:w="1080" w:type="dxa"/>
          </w:tcPr>
          <w:p w14:paraId="0521BFF5" w14:textId="7F4C267C" w:rsidR="00E04494" w:rsidRPr="00753026" w:rsidRDefault="004A02FE" w:rsidP="00753026">
            <w:pPr>
              <w:jc w:val="center"/>
              <w:rPr>
                <w:sz w:val="22"/>
                <w:szCs w:val="22"/>
              </w:rPr>
            </w:pPr>
            <w:r w:rsidRPr="00753026">
              <w:rPr>
                <w:sz w:val="22"/>
                <w:szCs w:val="22"/>
              </w:rPr>
              <w:t>0.52</w:t>
            </w:r>
          </w:p>
        </w:tc>
        <w:tc>
          <w:tcPr>
            <w:tcW w:w="1350" w:type="dxa"/>
          </w:tcPr>
          <w:p w14:paraId="7ACDBC78" w14:textId="77777777" w:rsidR="00E04494" w:rsidRPr="00753026" w:rsidRDefault="00E04494" w:rsidP="00753026">
            <w:pPr>
              <w:jc w:val="center"/>
              <w:rPr>
                <w:sz w:val="22"/>
                <w:szCs w:val="22"/>
              </w:rPr>
            </w:pPr>
            <w:r w:rsidRPr="00753026">
              <w:rPr>
                <w:sz w:val="22"/>
                <w:szCs w:val="22"/>
              </w:rPr>
              <w:t>normal</w:t>
            </w:r>
          </w:p>
        </w:tc>
        <w:tc>
          <w:tcPr>
            <w:tcW w:w="1170" w:type="dxa"/>
          </w:tcPr>
          <w:p w14:paraId="41C44DB6" w14:textId="77777777" w:rsidR="00E04494" w:rsidRPr="00753026" w:rsidRDefault="00E04494" w:rsidP="0012570E">
            <w:pPr>
              <w:rPr>
                <w:sz w:val="22"/>
                <w:szCs w:val="22"/>
              </w:rPr>
            </w:pPr>
            <w:r w:rsidRPr="00753026">
              <w:rPr>
                <w:sz w:val="22"/>
                <w:szCs w:val="22"/>
              </w:rPr>
              <w:t>estimated</w:t>
            </w:r>
          </w:p>
        </w:tc>
      </w:tr>
      <w:tr w:rsidR="00E04494" w:rsidRPr="00753026" w14:paraId="090C21C7" w14:textId="77777777" w:rsidTr="0012570E">
        <w:tc>
          <w:tcPr>
            <w:tcW w:w="3505" w:type="dxa"/>
          </w:tcPr>
          <w:p w14:paraId="6FFC44D0" w14:textId="77777777" w:rsidR="00E04494" w:rsidRPr="00753026" w:rsidRDefault="00E04494" w:rsidP="0012570E">
            <w:pPr>
              <w:spacing w:line="276" w:lineRule="auto"/>
              <w:rPr>
                <w:sz w:val="22"/>
                <w:szCs w:val="22"/>
              </w:rPr>
            </w:pPr>
            <w:r w:rsidRPr="00753026">
              <w:rPr>
                <w:sz w:val="22"/>
                <w:szCs w:val="22"/>
              </w:rPr>
              <w:t xml:space="preserve">rate at which refractory cells revert to susceptible </w:t>
            </w:r>
            <w:proofErr w:type="gramStart"/>
            <w:r w:rsidRPr="00753026">
              <w:rPr>
                <w:sz w:val="22"/>
                <w:szCs w:val="22"/>
              </w:rPr>
              <w:t>state</w:t>
            </w:r>
            <w:proofErr w:type="gramEnd"/>
            <w:r w:rsidRPr="00753026">
              <w:rPr>
                <w:sz w:val="22"/>
                <w:szCs w:val="22"/>
              </w:rPr>
              <w:t xml:space="preserve"> </w:t>
            </w:r>
          </w:p>
          <w:p w14:paraId="3BE8C9BD" w14:textId="77777777" w:rsidR="00E04494" w:rsidRPr="00753026" w:rsidRDefault="00E04494" w:rsidP="0012570E">
            <w:pPr>
              <w:spacing w:line="276" w:lineRule="auto"/>
              <w:rPr>
                <w:sz w:val="22"/>
                <w:szCs w:val="22"/>
              </w:rPr>
            </w:pPr>
            <w:r w:rsidRPr="00753026">
              <w:rPr>
                <w:sz w:val="22"/>
                <w:szCs w:val="22"/>
              </w:rPr>
              <w:t>(</w:t>
            </w:r>
            <w:r w:rsidRPr="00753026">
              <w:rPr>
                <w:rFonts w:eastAsiaTheme="minorEastAsia"/>
                <w:sz w:val="22"/>
                <w:szCs w:val="22"/>
              </w:rPr>
              <w:t>log</w:t>
            </w:r>
            <w:r w:rsidRPr="00753026">
              <w:rPr>
                <w:rFonts w:eastAsiaTheme="minorEastAsia"/>
                <w:sz w:val="22"/>
                <w:szCs w:val="22"/>
                <w:vertAlign w:val="subscript"/>
              </w:rPr>
              <w:t>10</w:t>
            </w:r>
            <w:r w:rsidRPr="00753026">
              <w:rPr>
                <w:sz w:val="22"/>
                <w:szCs w:val="22"/>
              </w:rPr>
              <w:t xml:space="preserve"> day</w:t>
            </w:r>
            <w:r w:rsidRPr="00753026">
              <w:rPr>
                <w:sz w:val="22"/>
                <w:szCs w:val="22"/>
                <w:vertAlign w:val="superscript"/>
              </w:rPr>
              <w:t>-</w:t>
            </w:r>
            <w:proofErr w:type="gramStart"/>
            <w:r w:rsidRPr="00753026">
              <w:rPr>
                <w:sz w:val="22"/>
                <w:szCs w:val="22"/>
                <w:vertAlign w:val="superscript"/>
              </w:rPr>
              <w:t>1</w:t>
            </w:r>
            <w:r w:rsidRPr="00753026">
              <w:rPr>
                <w:sz w:val="22"/>
                <w:szCs w:val="22"/>
              </w:rPr>
              <w:t xml:space="preserve"> )</w:t>
            </w:r>
            <w:proofErr w:type="gramEnd"/>
          </w:p>
        </w:tc>
        <w:tc>
          <w:tcPr>
            <w:tcW w:w="900" w:type="dxa"/>
          </w:tcPr>
          <w:p w14:paraId="6C9019F8" w14:textId="77777777" w:rsidR="00E04494" w:rsidRPr="00753026" w:rsidRDefault="00E04494" w:rsidP="00753026">
            <w:pPr>
              <w:jc w:val="center"/>
              <w:rPr>
                <w:sz w:val="22"/>
                <w:szCs w:val="22"/>
              </w:rPr>
            </w:pPr>
            <w:r w:rsidRPr="00753026">
              <w:rPr>
                <w:rFonts w:eastAsiaTheme="minorEastAsia"/>
                <w:sz w:val="22"/>
                <w:szCs w:val="22"/>
              </w:rPr>
              <w:t>log</w:t>
            </w:r>
            <w:r w:rsidRPr="00753026">
              <w:rPr>
                <w:rFonts w:eastAsiaTheme="minorEastAsia"/>
                <w:sz w:val="22"/>
                <w:szCs w:val="22"/>
                <w:vertAlign w:val="subscript"/>
              </w:rPr>
              <w:t>10</w:t>
            </w:r>
            <m:oMath>
              <m:r>
                <w:rPr>
                  <w:rFonts w:ascii="Cambria Math" w:eastAsiaTheme="minorEastAsia" w:hAnsi="Cambria Math"/>
                  <w:sz w:val="22"/>
                  <w:szCs w:val="22"/>
                </w:rPr>
                <m:t>ρ</m:t>
              </m:r>
            </m:oMath>
          </w:p>
        </w:tc>
        <w:tc>
          <w:tcPr>
            <w:tcW w:w="1260" w:type="dxa"/>
          </w:tcPr>
          <w:p w14:paraId="6F4135C7" w14:textId="69EB1BE1" w:rsidR="00E04494" w:rsidRPr="00753026" w:rsidRDefault="004A02FE" w:rsidP="00753026">
            <w:pPr>
              <w:jc w:val="center"/>
              <w:rPr>
                <w:sz w:val="22"/>
                <w:szCs w:val="22"/>
              </w:rPr>
            </w:pPr>
            <w:r w:rsidRPr="00753026">
              <w:rPr>
                <w:sz w:val="22"/>
                <w:szCs w:val="22"/>
              </w:rPr>
              <w:t>-2.38</w:t>
            </w:r>
          </w:p>
        </w:tc>
        <w:tc>
          <w:tcPr>
            <w:tcW w:w="1080" w:type="dxa"/>
          </w:tcPr>
          <w:p w14:paraId="33B908B5" w14:textId="296156D3" w:rsidR="00E04494" w:rsidRPr="00753026" w:rsidRDefault="004A02FE" w:rsidP="00753026">
            <w:pPr>
              <w:jc w:val="center"/>
              <w:rPr>
                <w:sz w:val="22"/>
                <w:szCs w:val="22"/>
              </w:rPr>
            </w:pPr>
            <w:r w:rsidRPr="00753026">
              <w:rPr>
                <w:sz w:val="22"/>
                <w:szCs w:val="22"/>
              </w:rPr>
              <w:t>1.04</w:t>
            </w:r>
          </w:p>
        </w:tc>
        <w:tc>
          <w:tcPr>
            <w:tcW w:w="1350" w:type="dxa"/>
          </w:tcPr>
          <w:p w14:paraId="5C8FD381" w14:textId="77777777" w:rsidR="00E04494" w:rsidRPr="00753026" w:rsidRDefault="00E04494" w:rsidP="00753026">
            <w:pPr>
              <w:jc w:val="center"/>
              <w:rPr>
                <w:sz w:val="22"/>
                <w:szCs w:val="22"/>
              </w:rPr>
            </w:pPr>
            <w:r w:rsidRPr="00753026">
              <w:rPr>
                <w:sz w:val="22"/>
                <w:szCs w:val="22"/>
              </w:rPr>
              <w:t>normal</w:t>
            </w:r>
          </w:p>
        </w:tc>
        <w:tc>
          <w:tcPr>
            <w:tcW w:w="1170" w:type="dxa"/>
          </w:tcPr>
          <w:p w14:paraId="14B1EE35" w14:textId="77777777" w:rsidR="00E04494" w:rsidRPr="00753026" w:rsidRDefault="00E04494" w:rsidP="0012570E">
            <w:pPr>
              <w:rPr>
                <w:sz w:val="22"/>
                <w:szCs w:val="22"/>
              </w:rPr>
            </w:pPr>
            <w:r w:rsidRPr="00753026">
              <w:rPr>
                <w:sz w:val="22"/>
                <w:szCs w:val="22"/>
              </w:rPr>
              <w:t>estimated</w:t>
            </w:r>
          </w:p>
        </w:tc>
      </w:tr>
      <w:tr w:rsidR="00E04494" w:rsidRPr="00753026" w14:paraId="22B5FC69" w14:textId="77777777" w:rsidTr="0012570E">
        <w:tc>
          <w:tcPr>
            <w:tcW w:w="3505" w:type="dxa"/>
          </w:tcPr>
          <w:p w14:paraId="31787D73" w14:textId="77777777" w:rsidR="00E04494" w:rsidRPr="00753026" w:rsidRDefault="00E04494" w:rsidP="0012570E">
            <w:pPr>
              <w:spacing w:line="276" w:lineRule="auto"/>
              <w:rPr>
                <w:sz w:val="22"/>
                <w:szCs w:val="22"/>
              </w:rPr>
            </w:pPr>
            <w:r w:rsidRPr="00753026">
              <w:rPr>
                <w:sz w:val="22"/>
                <w:szCs w:val="22"/>
              </w:rPr>
              <w:t>rate constant for conversion of target cells to a refractory state (</w:t>
            </w:r>
            <w:r w:rsidRPr="00753026">
              <w:rPr>
                <w:rFonts w:eastAsiaTheme="minorEastAsia"/>
                <w:sz w:val="22"/>
                <w:szCs w:val="22"/>
              </w:rPr>
              <w:t>log</w:t>
            </w:r>
            <w:r w:rsidRPr="00753026">
              <w:rPr>
                <w:rFonts w:eastAsiaTheme="minorEastAsia"/>
                <w:sz w:val="22"/>
                <w:szCs w:val="22"/>
                <w:vertAlign w:val="subscript"/>
              </w:rPr>
              <w:t>10</w:t>
            </w:r>
            <w:r w:rsidRPr="00753026">
              <w:rPr>
                <w:sz w:val="22"/>
                <w:szCs w:val="22"/>
              </w:rPr>
              <w:t xml:space="preserve"> cell</w:t>
            </w:r>
            <w:r w:rsidRPr="00753026">
              <w:rPr>
                <w:sz w:val="22"/>
                <w:szCs w:val="22"/>
                <w:vertAlign w:val="superscript"/>
              </w:rPr>
              <w:t>-1</w:t>
            </w:r>
            <w:r w:rsidRPr="00753026">
              <w:rPr>
                <w:sz w:val="22"/>
                <w:szCs w:val="22"/>
              </w:rPr>
              <w:t>day</w:t>
            </w:r>
            <w:r w:rsidRPr="00753026">
              <w:rPr>
                <w:sz w:val="22"/>
                <w:szCs w:val="22"/>
                <w:vertAlign w:val="superscript"/>
              </w:rPr>
              <w:t>-</w:t>
            </w:r>
            <w:proofErr w:type="gramStart"/>
            <w:r w:rsidRPr="00753026">
              <w:rPr>
                <w:sz w:val="22"/>
                <w:szCs w:val="22"/>
                <w:vertAlign w:val="superscript"/>
              </w:rPr>
              <w:t>1</w:t>
            </w:r>
            <w:r w:rsidRPr="00753026">
              <w:rPr>
                <w:sz w:val="22"/>
                <w:szCs w:val="22"/>
              </w:rPr>
              <w:t xml:space="preserve"> )</w:t>
            </w:r>
            <w:proofErr w:type="gramEnd"/>
          </w:p>
        </w:tc>
        <w:tc>
          <w:tcPr>
            <w:tcW w:w="900" w:type="dxa"/>
          </w:tcPr>
          <w:p w14:paraId="76717A6B" w14:textId="283440B2" w:rsidR="00E04494" w:rsidRPr="00753026" w:rsidRDefault="00E04494" w:rsidP="00753026">
            <w:pPr>
              <w:jc w:val="center"/>
              <w:rPr>
                <w:sz w:val="22"/>
                <w:szCs w:val="22"/>
              </w:rPr>
            </w:pPr>
            <w:r w:rsidRPr="00753026">
              <w:rPr>
                <w:rFonts w:eastAsiaTheme="minorEastAsia"/>
                <w:sz w:val="22"/>
                <w:szCs w:val="22"/>
              </w:rPr>
              <w:t>log</w:t>
            </w:r>
            <w:r w:rsidRPr="00753026">
              <w:rPr>
                <w:rFonts w:eastAsiaTheme="minorEastAsia"/>
                <w:sz w:val="22"/>
                <w:szCs w:val="22"/>
                <w:vertAlign w:val="subscript"/>
              </w:rPr>
              <w:t>10</w:t>
            </w:r>
            <m:oMath>
              <m:r>
                <w:rPr>
                  <w:rFonts w:ascii="Cambria Math" w:eastAsiaTheme="minorEastAsia" w:hAnsi="Cambria Math"/>
                  <w:sz w:val="22"/>
                  <w:szCs w:val="22"/>
                  <w:vertAlign w:val="subscript"/>
                </w:rPr>
                <m:t>ϕ</m:t>
              </m:r>
            </m:oMath>
          </w:p>
        </w:tc>
        <w:tc>
          <w:tcPr>
            <w:tcW w:w="1260" w:type="dxa"/>
          </w:tcPr>
          <w:p w14:paraId="7A724C4F" w14:textId="7DFD193D" w:rsidR="00E04494" w:rsidRPr="00753026" w:rsidRDefault="004A02FE" w:rsidP="00753026">
            <w:pPr>
              <w:jc w:val="center"/>
              <w:rPr>
                <w:sz w:val="22"/>
                <w:szCs w:val="22"/>
              </w:rPr>
            </w:pPr>
            <w:r w:rsidRPr="00753026">
              <w:rPr>
                <w:sz w:val="22"/>
                <w:szCs w:val="22"/>
              </w:rPr>
              <w:t>-5.31</w:t>
            </w:r>
          </w:p>
        </w:tc>
        <w:tc>
          <w:tcPr>
            <w:tcW w:w="1080" w:type="dxa"/>
          </w:tcPr>
          <w:p w14:paraId="0DE6730E" w14:textId="2C878342" w:rsidR="00E04494" w:rsidRPr="00753026" w:rsidRDefault="004A02FE" w:rsidP="00753026">
            <w:pPr>
              <w:jc w:val="center"/>
              <w:rPr>
                <w:sz w:val="22"/>
                <w:szCs w:val="22"/>
              </w:rPr>
            </w:pPr>
            <w:r w:rsidRPr="00753026">
              <w:rPr>
                <w:sz w:val="22"/>
                <w:szCs w:val="22"/>
              </w:rPr>
              <w:t>1.15</w:t>
            </w:r>
          </w:p>
        </w:tc>
        <w:tc>
          <w:tcPr>
            <w:tcW w:w="1350" w:type="dxa"/>
          </w:tcPr>
          <w:p w14:paraId="5CD89968" w14:textId="77777777" w:rsidR="00E04494" w:rsidRPr="00753026" w:rsidRDefault="00E04494" w:rsidP="00753026">
            <w:pPr>
              <w:jc w:val="center"/>
              <w:rPr>
                <w:sz w:val="22"/>
                <w:szCs w:val="22"/>
              </w:rPr>
            </w:pPr>
            <w:r w:rsidRPr="00753026">
              <w:rPr>
                <w:sz w:val="22"/>
                <w:szCs w:val="22"/>
              </w:rPr>
              <w:t>normal</w:t>
            </w:r>
          </w:p>
        </w:tc>
        <w:tc>
          <w:tcPr>
            <w:tcW w:w="1170" w:type="dxa"/>
          </w:tcPr>
          <w:p w14:paraId="7C8202E5" w14:textId="77777777" w:rsidR="00E04494" w:rsidRPr="00753026" w:rsidRDefault="00E04494" w:rsidP="0012570E">
            <w:pPr>
              <w:rPr>
                <w:sz w:val="22"/>
                <w:szCs w:val="22"/>
              </w:rPr>
            </w:pPr>
            <w:r w:rsidRPr="00753026">
              <w:rPr>
                <w:sz w:val="22"/>
                <w:szCs w:val="22"/>
              </w:rPr>
              <w:t>estimated</w:t>
            </w:r>
          </w:p>
        </w:tc>
      </w:tr>
      <w:tr w:rsidR="00E04494" w:rsidRPr="00753026" w14:paraId="16B8EF3A" w14:textId="77777777" w:rsidTr="0012570E">
        <w:tc>
          <w:tcPr>
            <w:tcW w:w="3505" w:type="dxa"/>
          </w:tcPr>
          <w:p w14:paraId="3AA10D4E" w14:textId="77777777" w:rsidR="00E04494" w:rsidRPr="00753026" w:rsidRDefault="00E04494" w:rsidP="0012570E">
            <w:pPr>
              <w:spacing w:line="276" w:lineRule="auto"/>
              <w:rPr>
                <w:sz w:val="22"/>
                <w:szCs w:val="22"/>
              </w:rPr>
            </w:pPr>
            <w:r w:rsidRPr="00753026">
              <w:rPr>
                <w:sz w:val="22"/>
                <w:szCs w:val="22"/>
              </w:rPr>
              <w:t>infected cell clearance rate when I = 1 (day</w:t>
            </w:r>
            <w:r w:rsidRPr="00753026">
              <w:rPr>
                <w:sz w:val="22"/>
                <w:szCs w:val="22"/>
                <w:vertAlign w:val="superscript"/>
              </w:rPr>
              <w:t>-1</w:t>
            </w:r>
            <w:r w:rsidRPr="00753026">
              <w:rPr>
                <w:sz w:val="22"/>
                <w:szCs w:val="22"/>
              </w:rPr>
              <w:t xml:space="preserve"> cells</w:t>
            </w:r>
            <w:r w:rsidRPr="00753026">
              <w:rPr>
                <w:sz w:val="22"/>
                <w:szCs w:val="22"/>
                <w:vertAlign w:val="superscript"/>
              </w:rPr>
              <w:t>-h</w:t>
            </w:r>
            <w:r w:rsidRPr="00753026">
              <w:rPr>
                <w:sz w:val="22"/>
                <w:szCs w:val="22"/>
              </w:rPr>
              <w:t>)</w:t>
            </w:r>
          </w:p>
        </w:tc>
        <w:tc>
          <w:tcPr>
            <w:tcW w:w="900" w:type="dxa"/>
          </w:tcPr>
          <w:p w14:paraId="4F8835E9" w14:textId="77777777" w:rsidR="00E04494" w:rsidRPr="00753026" w:rsidRDefault="00E04494" w:rsidP="00753026">
            <w:pPr>
              <w:jc w:val="center"/>
              <w:rPr>
                <w:sz w:val="22"/>
                <w:szCs w:val="22"/>
              </w:rPr>
            </w:pPr>
            <m:oMathPara>
              <m:oMath>
                <m:r>
                  <w:rPr>
                    <w:rFonts w:ascii="Cambria Math" w:hAnsi="Cambria Math"/>
                    <w:sz w:val="22"/>
                    <w:szCs w:val="22"/>
                  </w:rPr>
                  <m:t>δ</m:t>
                </m:r>
              </m:oMath>
            </m:oMathPara>
          </w:p>
        </w:tc>
        <w:tc>
          <w:tcPr>
            <w:tcW w:w="1260" w:type="dxa"/>
          </w:tcPr>
          <w:p w14:paraId="37891DE9" w14:textId="5287DF7A" w:rsidR="00E04494" w:rsidRPr="00753026" w:rsidRDefault="004A02FE" w:rsidP="00753026">
            <w:pPr>
              <w:jc w:val="center"/>
              <w:rPr>
                <w:sz w:val="22"/>
                <w:szCs w:val="22"/>
              </w:rPr>
            </w:pPr>
            <w:r w:rsidRPr="00753026">
              <w:rPr>
                <w:sz w:val="22"/>
                <w:szCs w:val="22"/>
              </w:rPr>
              <w:t>1.18</w:t>
            </w:r>
          </w:p>
        </w:tc>
        <w:tc>
          <w:tcPr>
            <w:tcW w:w="1080" w:type="dxa"/>
          </w:tcPr>
          <w:p w14:paraId="224D4D90" w14:textId="70496050" w:rsidR="00E04494" w:rsidRPr="00753026" w:rsidRDefault="004A02FE" w:rsidP="00753026">
            <w:pPr>
              <w:jc w:val="center"/>
              <w:rPr>
                <w:sz w:val="22"/>
                <w:szCs w:val="22"/>
              </w:rPr>
            </w:pPr>
            <w:r w:rsidRPr="00753026">
              <w:rPr>
                <w:sz w:val="22"/>
                <w:szCs w:val="22"/>
              </w:rPr>
              <w:t>0.90</w:t>
            </w:r>
          </w:p>
        </w:tc>
        <w:tc>
          <w:tcPr>
            <w:tcW w:w="1350" w:type="dxa"/>
          </w:tcPr>
          <w:p w14:paraId="0AA53F98" w14:textId="77777777" w:rsidR="00E04494" w:rsidRPr="00753026" w:rsidRDefault="00E04494" w:rsidP="00753026">
            <w:pPr>
              <w:jc w:val="center"/>
              <w:rPr>
                <w:sz w:val="22"/>
                <w:szCs w:val="22"/>
              </w:rPr>
            </w:pPr>
            <w:r w:rsidRPr="00753026">
              <w:rPr>
                <w:sz w:val="22"/>
                <w:szCs w:val="22"/>
              </w:rPr>
              <w:t>lognormal</w:t>
            </w:r>
          </w:p>
        </w:tc>
        <w:tc>
          <w:tcPr>
            <w:tcW w:w="1170" w:type="dxa"/>
          </w:tcPr>
          <w:p w14:paraId="00855921" w14:textId="77777777" w:rsidR="00E04494" w:rsidRPr="00753026" w:rsidRDefault="00E04494" w:rsidP="0012570E">
            <w:pPr>
              <w:rPr>
                <w:sz w:val="22"/>
                <w:szCs w:val="22"/>
              </w:rPr>
            </w:pPr>
            <w:r w:rsidRPr="00753026">
              <w:rPr>
                <w:sz w:val="22"/>
                <w:szCs w:val="22"/>
              </w:rPr>
              <w:t>estimated</w:t>
            </w:r>
          </w:p>
        </w:tc>
      </w:tr>
      <w:tr w:rsidR="00E04494" w:rsidRPr="00753026" w14:paraId="0859A987" w14:textId="77777777" w:rsidTr="0012570E">
        <w:tc>
          <w:tcPr>
            <w:tcW w:w="3505" w:type="dxa"/>
          </w:tcPr>
          <w:p w14:paraId="4FBE4C4D" w14:textId="77777777" w:rsidR="00E04494" w:rsidRPr="00753026" w:rsidRDefault="00E04494" w:rsidP="0012570E">
            <w:pPr>
              <w:spacing w:line="276" w:lineRule="auto"/>
              <w:rPr>
                <w:sz w:val="22"/>
                <w:szCs w:val="22"/>
              </w:rPr>
            </w:pPr>
            <w:r w:rsidRPr="00753026">
              <w:rPr>
                <w:sz w:val="22"/>
                <w:szCs w:val="22"/>
              </w:rPr>
              <w:t>exponent for density-dependent clearance of infected cells</w:t>
            </w:r>
          </w:p>
        </w:tc>
        <w:tc>
          <w:tcPr>
            <w:tcW w:w="900" w:type="dxa"/>
          </w:tcPr>
          <w:p w14:paraId="52820F35" w14:textId="77777777" w:rsidR="00E04494" w:rsidRPr="00753026" w:rsidRDefault="00E04494" w:rsidP="00753026">
            <w:pPr>
              <w:jc w:val="center"/>
              <w:rPr>
                <w:sz w:val="22"/>
                <w:szCs w:val="22"/>
              </w:rPr>
            </w:pPr>
            <m:oMathPara>
              <m:oMath>
                <m:r>
                  <w:rPr>
                    <w:rFonts w:ascii="Cambria Math" w:hAnsi="Cambria Math"/>
                    <w:sz w:val="22"/>
                    <w:szCs w:val="22"/>
                  </w:rPr>
                  <m:t>h</m:t>
                </m:r>
              </m:oMath>
            </m:oMathPara>
          </w:p>
        </w:tc>
        <w:tc>
          <w:tcPr>
            <w:tcW w:w="1260" w:type="dxa"/>
          </w:tcPr>
          <w:p w14:paraId="628E55B2" w14:textId="517F44B2" w:rsidR="00E04494" w:rsidRPr="00753026" w:rsidRDefault="004A02FE" w:rsidP="00753026">
            <w:pPr>
              <w:jc w:val="center"/>
              <w:rPr>
                <w:sz w:val="22"/>
                <w:szCs w:val="22"/>
              </w:rPr>
            </w:pPr>
            <w:r w:rsidRPr="00753026">
              <w:rPr>
                <w:sz w:val="22"/>
                <w:szCs w:val="22"/>
              </w:rPr>
              <w:t>0.007</w:t>
            </w:r>
          </w:p>
        </w:tc>
        <w:tc>
          <w:tcPr>
            <w:tcW w:w="1080" w:type="dxa"/>
          </w:tcPr>
          <w:p w14:paraId="097A67A8" w14:textId="57A853E4" w:rsidR="00E04494" w:rsidRPr="00753026" w:rsidRDefault="00753026" w:rsidP="00753026">
            <w:pPr>
              <w:jc w:val="center"/>
              <w:rPr>
                <w:sz w:val="22"/>
                <w:szCs w:val="22"/>
              </w:rPr>
            </w:pPr>
            <w:r w:rsidRPr="00753026">
              <w:rPr>
                <w:sz w:val="22"/>
                <w:szCs w:val="22"/>
              </w:rPr>
              <w:t>0.0026</w:t>
            </w:r>
          </w:p>
        </w:tc>
        <w:tc>
          <w:tcPr>
            <w:tcW w:w="1350" w:type="dxa"/>
          </w:tcPr>
          <w:p w14:paraId="37E75147" w14:textId="77777777" w:rsidR="00E04494" w:rsidRPr="00753026" w:rsidRDefault="00E04494" w:rsidP="00753026">
            <w:pPr>
              <w:jc w:val="center"/>
              <w:rPr>
                <w:sz w:val="22"/>
                <w:szCs w:val="22"/>
              </w:rPr>
            </w:pPr>
            <w:r w:rsidRPr="00753026">
              <w:rPr>
                <w:sz w:val="22"/>
                <w:szCs w:val="22"/>
              </w:rPr>
              <w:t>lognormal</w:t>
            </w:r>
          </w:p>
        </w:tc>
        <w:tc>
          <w:tcPr>
            <w:tcW w:w="1170" w:type="dxa"/>
          </w:tcPr>
          <w:p w14:paraId="4025E1F1" w14:textId="77777777" w:rsidR="00E04494" w:rsidRPr="00753026" w:rsidRDefault="00E04494" w:rsidP="0012570E">
            <w:pPr>
              <w:rPr>
                <w:sz w:val="22"/>
                <w:szCs w:val="22"/>
              </w:rPr>
            </w:pPr>
            <w:r w:rsidRPr="00753026">
              <w:rPr>
                <w:sz w:val="22"/>
                <w:szCs w:val="22"/>
              </w:rPr>
              <w:t>estimated</w:t>
            </w:r>
          </w:p>
        </w:tc>
      </w:tr>
      <w:tr w:rsidR="00E04494" w:rsidRPr="00753026" w14:paraId="6A15E3C2" w14:textId="77777777" w:rsidTr="0012570E">
        <w:tc>
          <w:tcPr>
            <w:tcW w:w="3505" w:type="dxa"/>
          </w:tcPr>
          <w:p w14:paraId="72C964C0" w14:textId="77777777" w:rsidR="00E04494" w:rsidRPr="00753026" w:rsidRDefault="00E04494" w:rsidP="0012570E">
            <w:pPr>
              <w:spacing w:line="276" w:lineRule="auto"/>
              <w:rPr>
                <w:sz w:val="22"/>
                <w:szCs w:val="22"/>
              </w:rPr>
            </w:pPr>
            <w:r w:rsidRPr="00753026">
              <w:rPr>
                <w:sz w:val="22"/>
                <w:szCs w:val="22"/>
              </w:rPr>
              <w:t>onset of acquired immunity relative to detection (days)</w:t>
            </w:r>
          </w:p>
        </w:tc>
        <w:tc>
          <w:tcPr>
            <w:tcW w:w="900" w:type="dxa"/>
          </w:tcPr>
          <w:p w14:paraId="332B093F" w14:textId="77777777" w:rsidR="00E04494" w:rsidRPr="00753026" w:rsidRDefault="00E04494" w:rsidP="00753026">
            <w:pPr>
              <w:jc w:val="center"/>
              <w:rPr>
                <w:sz w:val="22"/>
                <w:szCs w:val="22"/>
              </w:rPr>
            </w:pPr>
            <m:oMathPara>
              <m:oMath>
                <m:r>
                  <w:rPr>
                    <w:rFonts w:ascii="Cambria Math" w:hAnsi="Cambria Math"/>
                    <w:sz w:val="22"/>
                    <w:szCs w:val="22"/>
                  </w:rPr>
                  <m:t>τ</m:t>
                </m:r>
              </m:oMath>
            </m:oMathPara>
          </w:p>
        </w:tc>
        <w:tc>
          <w:tcPr>
            <w:tcW w:w="1260" w:type="dxa"/>
          </w:tcPr>
          <w:p w14:paraId="150E7428" w14:textId="78EEFDEF" w:rsidR="00E04494" w:rsidRPr="00753026" w:rsidRDefault="00753026" w:rsidP="00753026">
            <w:pPr>
              <w:jc w:val="center"/>
              <w:rPr>
                <w:sz w:val="22"/>
                <w:szCs w:val="22"/>
              </w:rPr>
            </w:pPr>
            <w:r w:rsidRPr="00753026">
              <w:rPr>
                <w:sz w:val="22"/>
                <w:szCs w:val="22"/>
              </w:rPr>
              <w:t>8.82</w:t>
            </w:r>
          </w:p>
        </w:tc>
        <w:tc>
          <w:tcPr>
            <w:tcW w:w="1080" w:type="dxa"/>
          </w:tcPr>
          <w:p w14:paraId="668AD3D5" w14:textId="6AA54E26" w:rsidR="00E04494" w:rsidRPr="00753026" w:rsidRDefault="00753026" w:rsidP="00753026">
            <w:pPr>
              <w:jc w:val="center"/>
              <w:rPr>
                <w:sz w:val="22"/>
                <w:szCs w:val="22"/>
              </w:rPr>
            </w:pPr>
            <w:r w:rsidRPr="00753026">
              <w:rPr>
                <w:sz w:val="22"/>
                <w:szCs w:val="22"/>
              </w:rPr>
              <w:t>0.38</w:t>
            </w:r>
          </w:p>
        </w:tc>
        <w:tc>
          <w:tcPr>
            <w:tcW w:w="1350" w:type="dxa"/>
          </w:tcPr>
          <w:p w14:paraId="76ED8025" w14:textId="77777777" w:rsidR="00E04494" w:rsidRPr="00753026" w:rsidRDefault="00E04494" w:rsidP="00753026">
            <w:pPr>
              <w:jc w:val="center"/>
              <w:rPr>
                <w:sz w:val="22"/>
                <w:szCs w:val="22"/>
              </w:rPr>
            </w:pPr>
            <w:r w:rsidRPr="00753026">
              <w:rPr>
                <w:sz w:val="22"/>
                <w:szCs w:val="22"/>
              </w:rPr>
              <w:t>lognormal</w:t>
            </w:r>
          </w:p>
        </w:tc>
        <w:tc>
          <w:tcPr>
            <w:tcW w:w="1170" w:type="dxa"/>
          </w:tcPr>
          <w:p w14:paraId="105A0F9E" w14:textId="77777777" w:rsidR="00E04494" w:rsidRPr="00753026" w:rsidRDefault="00E04494" w:rsidP="0012570E">
            <w:pPr>
              <w:rPr>
                <w:sz w:val="22"/>
                <w:szCs w:val="22"/>
              </w:rPr>
            </w:pPr>
            <w:r w:rsidRPr="00753026">
              <w:rPr>
                <w:sz w:val="22"/>
                <w:szCs w:val="22"/>
              </w:rPr>
              <w:t>estimated</w:t>
            </w:r>
          </w:p>
        </w:tc>
      </w:tr>
      <w:tr w:rsidR="00E04494" w:rsidRPr="00753026" w14:paraId="4317E28E" w14:textId="77777777" w:rsidTr="0012570E">
        <w:tc>
          <w:tcPr>
            <w:tcW w:w="3505" w:type="dxa"/>
          </w:tcPr>
          <w:p w14:paraId="64CF6EA1" w14:textId="77777777" w:rsidR="00E04494" w:rsidRPr="00753026" w:rsidRDefault="00E04494" w:rsidP="0012570E">
            <w:pPr>
              <w:spacing w:line="276" w:lineRule="auto"/>
              <w:rPr>
                <w:sz w:val="22"/>
                <w:szCs w:val="22"/>
              </w:rPr>
            </w:pPr>
            <w:r w:rsidRPr="00753026">
              <w:rPr>
                <w:sz w:val="22"/>
                <w:szCs w:val="22"/>
              </w:rPr>
              <w:t>Increase in clearance rate of infected cells due to acquired immunity (</w:t>
            </w:r>
            <w:proofErr w:type="gramStart"/>
            <w:r w:rsidRPr="00753026">
              <w:rPr>
                <w:sz w:val="22"/>
                <w:szCs w:val="22"/>
              </w:rPr>
              <w:t>day</w:t>
            </w:r>
            <w:r w:rsidRPr="00753026">
              <w:rPr>
                <w:sz w:val="22"/>
                <w:szCs w:val="22"/>
                <w:vertAlign w:val="superscript"/>
              </w:rPr>
              <w:t>-1</w:t>
            </w:r>
            <w:proofErr w:type="gramEnd"/>
            <w:r w:rsidRPr="00753026">
              <w:rPr>
                <w:sz w:val="22"/>
                <w:szCs w:val="22"/>
              </w:rPr>
              <w:t>)</w:t>
            </w:r>
          </w:p>
        </w:tc>
        <w:tc>
          <w:tcPr>
            <w:tcW w:w="900" w:type="dxa"/>
          </w:tcPr>
          <w:p w14:paraId="04D3F893" w14:textId="77777777" w:rsidR="00E04494" w:rsidRPr="00753026" w:rsidRDefault="00E04494" w:rsidP="00753026">
            <w:pPr>
              <w:jc w:val="center"/>
              <w:rPr>
                <w:sz w:val="22"/>
                <w:szCs w:val="22"/>
              </w:rPr>
            </w:pPr>
            <m:oMathPara>
              <m:oMath>
                <m:r>
                  <w:rPr>
                    <w:rFonts w:ascii="Cambria Math" w:hAnsi="Cambria Math"/>
                    <w:sz w:val="22"/>
                    <w:szCs w:val="22"/>
                  </w:rPr>
                  <m:t>m</m:t>
                </m:r>
              </m:oMath>
            </m:oMathPara>
          </w:p>
        </w:tc>
        <w:tc>
          <w:tcPr>
            <w:tcW w:w="1260" w:type="dxa"/>
          </w:tcPr>
          <w:p w14:paraId="52F3C9F6" w14:textId="2EA257EB" w:rsidR="00E04494" w:rsidRPr="00753026" w:rsidRDefault="00753026" w:rsidP="00753026">
            <w:pPr>
              <w:jc w:val="center"/>
              <w:rPr>
                <w:sz w:val="22"/>
                <w:szCs w:val="22"/>
              </w:rPr>
            </w:pPr>
            <w:r w:rsidRPr="00753026">
              <w:rPr>
                <w:sz w:val="22"/>
                <w:szCs w:val="22"/>
              </w:rPr>
              <w:t>19.62</w:t>
            </w:r>
          </w:p>
        </w:tc>
        <w:tc>
          <w:tcPr>
            <w:tcW w:w="1080" w:type="dxa"/>
          </w:tcPr>
          <w:p w14:paraId="6D97C2CC" w14:textId="60AC6D67" w:rsidR="00753026" w:rsidRPr="00753026" w:rsidRDefault="00753026" w:rsidP="00753026">
            <w:pPr>
              <w:tabs>
                <w:tab w:val="left" w:pos="418"/>
              </w:tabs>
              <w:jc w:val="center"/>
              <w:rPr>
                <w:sz w:val="22"/>
                <w:szCs w:val="22"/>
              </w:rPr>
            </w:pPr>
            <w:r w:rsidRPr="00753026">
              <w:rPr>
                <w:sz w:val="22"/>
                <w:szCs w:val="22"/>
              </w:rPr>
              <w:t>2.06</w:t>
            </w:r>
          </w:p>
        </w:tc>
        <w:tc>
          <w:tcPr>
            <w:tcW w:w="1350" w:type="dxa"/>
          </w:tcPr>
          <w:p w14:paraId="7219038B" w14:textId="77777777" w:rsidR="00E04494" w:rsidRPr="00753026" w:rsidRDefault="00E04494" w:rsidP="00753026">
            <w:pPr>
              <w:jc w:val="center"/>
              <w:rPr>
                <w:sz w:val="22"/>
                <w:szCs w:val="22"/>
              </w:rPr>
            </w:pPr>
            <w:r w:rsidRPr="00753026">
              <w:rPr>
                <w:sz w:val="22"/>
                <w:szCs w:val="22"/>
              </w:rPr>
              <w:t>lognormal</w:t>
            </w:r>
          </w:p>
        </w:tc>
        <w:tc>
          <w:tcPr>
            <w:tcW w:w="1170" w:type="dxa"/>
          </w:tcPr>
          <w:p w14:paraId="44A9D9DE" w14:textId="77777777" w:rsidR="00E04494" w:rsidRPr="00753026" w:rsidRDefault="00E04494" w:rsidP="0012570E">
            <w:pPr>
              <w:rPr>
                <w:sz w:val="22"/>
                <w:szCs w:val="22"/>
              </w:rPr>
            </w:pPr>
            <w:r w:rsidRPr="00753026">
              <w:rPr>
                <w:sz w:val="22"/>
                <w:szCs w:val="22"/>
              </w:rPr>
              <w:t>estimated</w:t>
            </w:r>
          </w:p>
        </w:tc>
      </w:tr>
      <w:tr w:rsidR="00E04494" w:rsidRPr="00753026" w14:paraId="2CFA7AEE" w14:textId="77777777" w:rsidTr="0012570E">
        <w:tc>
          <w:tcPr>
            <w:tcW w:w="3505" w:type="dxa"/>
          </w:tcPr>
          <w:p w14:paraId="065B3150" w14:textId="77777777" w:rsidR="00E04494" w:rsidRPr="00753026" w:rsidRDefault="00E04494" w:rsidP="0012570E">
            <w:pPr>
              <w:spacing w:line="276" w:lineRule="auto"/>
              <w:rPr>
                <w:sz w:val="22"/>
                <w:szCs w:val="22"/>
              </w:rPr>
            </w:pPr>
            <w:r w:rsidRPr="00753026">
              <w:rPr>
                <w:sz w:val="22"/>
                <w:szCs w:val="22"/>
              </w:rPr>
              <w:t>delay between infection in nasal tissue and detection (days)</w:t>
            </w:r>
          </w:p>
        </w:tc>
        <w:tc>
          <w:tcPr>
            <w:tcW w:w="900" w:type="dxa"/>
          </w:tcPr>
          <w:p w14:paraId="737F87BA" w14:textId="77777777" w:rsidR="00E04494" w:rsidRPr="00753026" w:rsidRDefault="00E04494" w:rsidP="00753026">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0</m:t>
                    </m:r>
                  </m:sub>
                </m:sSub>
              </m:oMath>
            </m:oMathPara>
          </w:p>
        </w:tc>
        <w:tc>
          <w:tcPr>
            <w:tcW w:w="1260" w:type="dxa"/>
          </w:tcPr>
          <w:p w14:paraId="7E86D736" w14:textId="01681396" w:rsidR="00E04494" w:rsidRPr="00753026" w:rsidRDefault="00753026" w:rsidP="00753026">
            <w:pPr>
              <w:jc w:val="center"/>
              <w:rPr>
                <w:sz w:val="22"/>
                <w:szCs w:val="22"/>
              </w:rPr>
            </w:pPr>
            <w:r w:rsidRPr="00753026">
              <w:rPr>
                <w:sz w:val="22"/>
                <w:szCs w:val="22"/>
              </w:rPr>
              <w:t>2.18</w:t>
            </w:r>
          </w:p>
        </w:tc>
        <w:tc>
          <w:tcPr>
            <w:tcW w:w="1080" w:type="dxa"/>
          </w:tcPr>
          <w:p w14:paraId="15FB415C" w14:textId="10CA90E7" w:rsidR="00E04494" w:rsidRPr="00753026" w:rsidRDefault="00753026" w:rsidP="00753026">
            <w:pPr>
              <w:jc w:val="center"/>
              <w:rPr>
                <w:sz w:val="22"/>
                <w:szCs w:val="22"/>
              </w:rPr>
            </w:pPr>
            <w:r w:rsidRPr="00753026">
              <w:rPr>
                <w:sz w:val="22"/>
                <w:szCs w:val="22"/>
              </w:rPr>
              <w:t>1.02</w:t>
            </w:r>
          </w:p>
        </w:tc>
        <w:tc>
          <w:tcPr>
            <w:tcW w:w="1350" w:type="dxa"/>
          </w:tcPr>
          <w:p w14:paraId="63071AF2" w14:textId="77777777" w:rsidR="00E04494" w:rsidRPr="00753026" w:rsidRDefault="00E04494" w:rsidP="00753026">
            <w:pPr>
              <w:jc w:val="center"/>
              <w:rPr>
                <w:sz w:val="22"/>
                <w:szCs w:val="22"/>
              </w:rPr>
            </w:pPr>
            <w:proofErr w:type="gramStart"/>
            <w:r w:rsidRPr="00753026">
              <w:rPr>
                <w:sz w:val="22"/>
                <w:szCs w:val="22"/>
              </w:rPr>
              <w:t>logit[</w:t>
            </w:r>
            <w:proofErr w:type="gramEnd"/>
            <w:r w:rsidRPr="00753026">
              <w:rPr>
                <w:sz w:val="22"/>
                <w:szCs w:val="22"/>
              </w:rPr>
              <w:t>0,20]</w:t>
            </w:r>
          </w:p>
        </w:tc>
        <w:tc>
          <w:tcPr>
            <w:tcW w:w="1170" w:type="dxa"/>
          </w:tcPr>
          <w:p w14:paraId="22A19C6B" w14:textId="77777777" w:rsidR="00E04494" w:rsidRPr="00753026" w:rsidRDefault="00E04494" w:rsidP="0012570E">
            <w:pPr>
              <w:rPr>
                <w:sz w:val="22"/>
                <w:szCs w:val="22"/>
              </w:rPr>
            </w:pPr>
            <w:r w:rsidRPr="00753026">
              <w:rPr>
                <w:sz w:val="22"/>
                <w:szCs w:val="22"/>
              </w:rPr>
              <w:t>estimated</w:t>
            </w:r>
          </w:p>
        </w:tc>
      </w:tr>
      <w:tr w:rsidR="00E04494" w:rsidRPr="00753026" w14:paraId="755DB8A2" w14:textId="77777777" w:rsidTr="0012570E">
        <w:tc>
          <w:tcPr>
            <w:tcW w:w="3505" w:type="dxa"/>
          </w:tcPr>
          <w:p w14:paraId="204ACFEF" w14:textId="77777777" w:rsidR="00E04494" w:rsidRPr="00753026" w:rsidRDefault="00E04494" w:rsidP="0012570E">
            <w:pPr>
              <w:spacing w:line="276" w:lineRule="auto"/>
              <w:rPr>
                <w:sz w:val="22"/>
                <w:szCs w:val="22"/>
              </w:rPr>
            </w:pPr>
            <w:r w:rsidRPr="00753026">
              <w:rPr>
                <w:sz w:val="22"/>
                <w:szCs w:val="22"/>
              </w:rPr>
              <w:t>initial viral inoculum (</w:t>
            </w:r>
            <w:proofErr w:type="spellStart"/>
            <w:r w:rsidRPr="00753026">
              <w:rPr>
                <w:sz w:val="22"/>
                <w:szCs w:val="22"/>
              </w:rPr>
              <w:t>RNAcopies</w:t>
            </w:r>
            <w:proofErr w:type="spellEnd"/>
            <w:r w:rsidRPr="00753026">
              <w:rPr>
                <w:sz w:val="22"/>
                <w:szCs w:val="22"/>
              </w:rPr>
              <w:t>/mL)</w:t>
            </w:r>
          </w:p>
        </w:tc>
        <w:tc>
          <w:tcPr>
            <w:tcW w:w="900" w:type="dxa"/>
          </w:tcPr>
          <w:p w14:paraId="7117C4A2" w14:textId="77777777" w:rsidR="00E04494" w:rsidRPr="00753026" w:rsidRDefault="00E04494" w:rsidP="00753026">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oMath>
            </m:oMathPara>
          </w:p>
        </w:tc>
        <w:tc>
          <w:tcPr>
            <w:tcW w:w="1260" w:type="dxa"/>
          </w:tcPr>
          <w:p w14:paraId="37DF7FA0" w14:textId="5B92CA08" w:rsidR="00E04494" w:rsidRPr="00753026" w:rsidRDefault="00753026" w:rsidP="00753026">
            <w:pPr>
              <w:jc w:val="center"/>
              <w:rPr>
                <w:sz w:val="22"/>
                <w:szCs w:val="22"/>
              </w:rPr>
            </w:pPr>
            <w:r w:rsidRPr="00753026">
              <w:rPr>
                <w:sz w:val="22"/>
                <w:szCs w:val="22"/>
              </w:rPr>
              <w:t>187</w:t>
            </w:r>
          </w:p>
        </w:tc>
        <w:tc>
          <w:tcPr>
            <w:tcW w:w="1080" w:type="dxa"/>
          </w:tcPr>
          <w:p w14:paraId="142FF1DF" w14:textId="339FA7C1" w:rsidR="00E04494" w:rsidRPr="00753026" w:rsidRDefault="00753026" w:rsidP="00753026">
            <w:pPr>
              <w:jc w:val="center"/>
              <w:rPr>
                <w:sz w:val="22"/>
                <w:szCs w:val="22"/>
              </w:rPr>
            </w:pPr>
            <w:r w:rsidRPr="00753026">
              <w:rPr>
                <w:sz w:val="22"/>
                <w:szCs w:val="22"/>
              </w:rPr>
              <w:t>0.32</w:t>
            </w:r>
          </w:p>
        </w:tc>
        <w:tc>
          <w:tcPr>
            <w:tcW w:w="1350" w:type="dxa"/>
          </w:tcPr>
          <w:p w14:paraId="0E5EBC33" w14:textId="77777777" w:rsidR="00E04494" w:rsidRPr="00753026" w:rsidRDefault="00E04494" w:rsidP="00753026">
            <w:pPr>
              <w:jc w:val="center"/>
              <w:rPr>
                <w:sz w:val="22"/>
                <w:szCs w:val="22"/>
              </w:rPr>
            </w:pPr>
            <w:proofErr w:type="gramStart"/>
            <w:r w:rsidRPr="00753026">
              <w:rPr>
                <w:sz w:val="22"/>
                <w:szCs w:val="22"/>
              </w:rPr>
              <w:t>logit[</w:t>
            </w:r>
            <w:proofErr w:type="gramEnd"/>
            <w:r w:rsidRPr="00753026">
              <w:rPr>
                <w:sz w:val="22"/>
                <w:szCs w:val="22"/>
              </w:rPr>
              <w:t>0,250]</w:t>
            </w:r>
          </w:p>
        </w:tc>
        <w:tc>
          <w:tcPr>
            <w:tcW w:w="1170" w:type="dxa"/>
          </w:tcPr>
          <w:p w14:paraId="6366AF3E" w14:textId="77777777" w:rsidR="00E04494" w:rsidRPr="00753026" w:rsidRDefault="00E04494" w:rsidP="0012570E">
            <w:pPr>
              <w:rPr>
                <w:sz w:val="22"/>
                <w:szCs w:val="22"/>
              </w:rPr>
            </w:pPr>
            <w:r w:rsidRPr="00753026">
              <w:rPr>
                <w:sz w:val="22"/>
                <w:szCs w:val="22"/>
              </w:rPr>
              <w:t>estimated</w:t>
            </w:r>
          </w:p>
        </w:tc>
      </w:tr>
      <w:tr w:rsidR="00E04494" w:rsidRPr="00753026" w14:paraId="3E26A9A2" w14:textId="77777777" w:rsidTr="0012570E">
        <w:tc>
          <w:tcPr>
            <w:tcW w:w="3505" w:type="dxa"/>
          </w:tcPr>
          <w:p w14:paraId="27811A43" w14:textId="77777777" w:rsidR="00E04494" w:rsidRPr="00753026" w:rsidRDefault="00E04494" w:rsidP="0012570E">
            <w:pPr>
              <w:spacing w:line="276" w:lineRule="auto"/>
              <w:rPr>
                <w:sz w:val="22"/>
                <w:szCs w:val="22"/>
              </w:rPr>
            </w:pPr>
            <w:r w:rsidRPr="00753026">
              <w:rPr>
                <w:sz w:val="22"/>
                <w:szCs w:val="22"/>
              </w:rPr>
              <w:t>viral clearance rate (</w:t>
            </w:r>
            <w:proofErr w:type="gramStart"/>
            <w:r w:rsidRPr="00753026">
              <w:rPr>
                <w:sz w:val="22"/>
                <w:szCs w:val="22"/>
              </w:rPr>
              <w:t>day</w:t>
            </w:r>
            <w:r w:rsidRPr="00753026">
              <w:rPr>
                <w:sz w:val="22"/>
                <w:szCs w:val="22"/>
                <w:vertAlign w:val="superscript"/>
              </w:rPr>
              <w:t>-1</w:t>
            </w:r>
            <w:proofErr w:type="gramEnd"/>
            <w:r w:rsidRPr="00753026">
              <w:rPr>
                <w:sz w:val="22"/>
                <w:szCs w:val="22"/>
              </w:rPr>
              <w:t>)</w:t>
            </w:r>
          </w:p>
        </w:tc>
        <w:tc>
          <w:tcPr>
            <w:tcW w:w="900" w:type="dxa"/>
          </w:tcPr>
          <w:p w14:paraId="1ED9361D" w14:textId="77777777" w:rsidR="00E04494" w:rsidRPr="00753026" w:rsidRDefault="00E04494" w:rsidP="00753026">
            <w:pPr>
              <w:jc w:val="center"/>
              <w:rPr>
                <w:sz w:val="22"/>
                <w:szCs w:val="22"/>
              </w:rPr>
            </w:pPr>
            <m:oMathPara>
              <m:oMath>
                <m:r>
                  <w:rPr>
                    <w:rFonts w:ascii="Cambria Math" w:hAnsi="Cambria Math"/>
                    <w:sz w:val="22"/>
                    <w:szCs w:val="22"/>
                  </w:rPr>
                  <m:t>γ</m:t>
                </m:r>
              </m:oMath>
            </m:oMathPara>
          </w:p>
        </w:tc>
        <w:tc>
          <w:tcPr>
            <w:tcW w:w="1260" w:type="dxa"/>
          </w:tcPr>
          <w:p w14:paraId="0DFDABBD" w14:textId="77777777" w:rsidR="00E04494" w:rsidRPr="00753026" w:rsidRDefault="00E04494" w:rsidP="00753026">
            <w:pPr>
              <w:jc w:val="center"/>
              <w:rPr>
                <w:sz w:val="22"/>
                <w:szCs w:val="22"/>
              </w:rPr>
            </w:pPr>
            <w:r w:rsidRPr="00753026">
              <w:rPr>
                <w:sz w:val="22"/>
                <w:szCs w:val="22"/>
              </w:rPr>
              <w:t>15</w:t>
            </w:r>
          </w:p>
        </w:tc>
        <w:tc>
          <w:tcPr>
            <w:tcW w:w="1080" w:type="dxa"/>
          </w:tcPr>
          <w:p w14:paraId="57B223C9" w14:textId="77777777" w:rsidR="00E04494" w:rsidRPr="00753026" w:rsidRDefault="00E04494" w:rsidP="00753026">
            <w:pPr>
              <w:jc w:val="center"/>
              <w:rPr>
                <w:sz w:val="22"/>
                <w:szCs w:val="22"/>
              </w:rPr>
            </w:pPr>
            <w:r w:rsidRPr="00753026">
              <w:rPr>
                <w:sz w:val="22"/>
                <w:szCs w:val="22"/>
              </w:rPr>
              <w:t>--</w:t>
            </w:r>
          </w:p>
        </w:tc>
        <w:tc>
          <w:tcPr>
            <w:tcW w:w="1350" w:type="dxa"/>
          </w:tcPr>
          <w:p w14:paraId="6813C3B6" w14:textId="77777777" w:rsidR="00E04494" w:rsidRPr="00753026" w:rsidRDefault="00E04494" w:rsidP="00753026">
            <w:pPr>
              <w:jc w:val="center"/>
              <w:rPr>
                <w:sz w:val="22"/>
                <w:szCs w:val="22"/>
              </w:rPr>
            </w:pPr>
            <w:r w:rsidRPr="00753026">
              <w:rPr>
                <w:sz w:val="22"/>
                <w:szCs w:val="22"/>
              </w:rPr>
              <w:t>--</w:t>
            </w:r>
          </w:p>
        </w:tc>
        <w:tc>
          <w:tcPr>
            <w:tcW w:w="1170" w:type="dxa"/>
          </w:tcPr>
          <w:p w14:paraId="59481A52" w14:textId="77777777" w:rsidR="00E04494" w:rsidRPr="00753026" w:rsidRDefault="00E04494" w:rsidP="0012570E">
            <w:pPr>
              <w:rPr>
                <w:sz w:val="22"/>
                <w:szCs w:val="22"/>
              </w:rPr>
            </w:pPr>
            <w:r w:rsidRPr="00753026">
              <w:rPr>
                <w:sz w:val="22"/>
                <w:szCs w:val="22"/>
              </w:rPr>
              <w:t>Goyal et al.</w:t>
            </w:r>
          </w:p>
        </w:tc>
      </w:tr>
      <w:tr w:rsidR="00E04494" w:rsidRPr="00753026" w14:paraId="4192F561" w14:textId="77777777" w:rsidTr="0012570E">
        <w:tc>
          <w:tcPr>
            <w:tcW w:w="3505" w:type="dxa"/>
          </w:tcPr>
          <w:p w14:paraId="6C4690A1" w14:textId="77777777" w:rsidR="00E04494" w:rsidRPr="00753026" w:rsidRDefault="00E04494" w:rsidP="0012570E">
            <w:pPr>
              <w:spacing w:line="276" w:lineRule="auto"/>
              <w:rPr>
                <w:sz w:val="22"/>
                <w:szCs w:val="22"/>
              </w:rPr>
            </w:pPr>
            <w:r w:rsidRPr="00753026">
              <w:rPr>
                <w:sz w:val="22"/>
                <w:szCs w:val="22"/>
              </w:rPr>
              <w:t>mean eclipse phase duration (</w:t>
            </w:r>
            <w:proofErr w:type="gramStart"/>
            <w:r w:rsidRPr="00753026">
              <w:rPr>
                <w:sz w:val="22"/>
                <w:szCs w:val="22"/>
              </w:rPr>
              <w:t>days</w:t>
            </w:r>
            <w:r w:rsidRPr="00753026">
              <w:rPr>
                <w:sz w:val="22"/>
                <w:szCs w:val="22"/>
                <w:vertAlign w:val="superscript"/>
              </w:rPr>
              <w:t>-1</w:t>
            </w:r>
            <w:proofErr w:type="gramEnd"/>
            <w:r w:rsidRPr="00753026">
              <w:rPr>
                <w:sz w:val="22"/>
                <w:szCs w:val="22"/>
              </w:rPr>
              <w:t>)</w:t>
            </w:r>
          </w:p>
        </w:tc>
        <w:tc>
          <w:tcPr>
            <w:tcW w:w="900" w:type="dxa"/>
          </w:tcPr>
          <w:p w14:paraId="6A275617" w14:textId="77777777" w:rsidR="00E04494" w:rsidRPr="00753026" w:rsidRDefault="00E04494" w:rsidP="00753026">
            <w:pPr>
              <w:jc w:val="center"/>
              <w:rPr>
                <w:sz w:val="22"/>
                <w:szCs w:val="22"/>
              </w:rPr>
            </w:pPr>
            <m:oMathPara>
              <m:oMath>
                <m:r>
                  <w:rPr>
                    <w:rFonts w:ascii="Cambria Math" w:hAnsi="Cambria Math"/>
                    <w:sz w:val="22"/>
                    <w:szCs w:val="22"/>
                  </w:rPr>
                  <m:t>1/k</m:t>
                </m:r>
              </m:oMath>
            </m:oMathPara>
          </w:p>
        </w:tc>
        <w:tc>
          <w:tcPr>
            <w:tcW w:w="1260" w:type="dxa"/>
          </w:tcPr>
          <w:p w14:paraId="021E95E3" w14:textId="77777777" w:rsidR="00E04494" w:rsidRPr="00753026" w:rsidRDefault="00E04494" w:rsidP="00753026">
            <w:pPr>
              <w:jc w:val="center"/>
              <w:rPr>
                <w:sz w:val="22"/>
                <w:szCs w:val="22"/>
              </w:rPr>
            </w:pPr>
            <w:r w:rsidRPr="00753026">
              <w:rPr>
                <w:sz w:val="22"/>
                <w:szCs w:val="22"/>
              </w:rPr>
              <w:t>1/4</w:t>
            </w:r>
          </w:p>
        </w:tc>
        <w:tc>
          <w:tcPr>
            <w:tcW w:w="1080" w:type="dxa"/>
          </w:tcPr>
          <w:p w14:paraId="6A68DDA9" w14:textId="77777777" w:rsidR="00E04494" w:rsidRPr="00753026" w:rsidRDefault="00E04494" w:rsidP="00753026">
            <w:pPr>
              <w:jc w:val="center"/>
              <w:rPr>
                <w:sz w:val="22"/>
                <w:szCs w:val="22"/>
              </w:rPr>
            </w:pPr>
            <w:r w:rsidRPr="00753026">
              <w:rPr>
                <w:sz w:val="22"/>
                <w:szCs w:val="22"/>
              </w:rPr>
              <w:t>--</w:t>
            </w:r>
          </w:p>
        </w:tc>
        <w:tc>
          <w:tcPr>
            <w:tcW w:w="1350" w:type="dxa"/>
          </w:tcPr>
          <w:p w14:paraId="540C7F14" w14:textId="77777777" w:rsidR="00E04494" w:rsidRPr="00753026" w:rsidRDefault="00E04494" w:rsidP="00753026">
            <w:pPr>
              <w:jc w:val="center"/>
              <w:rPr>
                <w:sz w:val="22"/>
                <w:szCs w:val="22"/>
              </w:rPr>
            </w:pPr>
            <w:r w:rsidRPr="00753026">
              <w:rPr>
                <w:sz w:val="22"/>
                <w:szCs w:val="22"/>
              </w:rPr>
              <w:t>--</w:t>
            </w:r>
          </w:p>
        </w:tc>
        <w:tc>
          <w:tcPr>
            <w:tcW w:w="1170" w:type="dxa"/>
          </w:tcPr>
          <w:p w14:paraId="7E73F535" w14:textId="77777777" w:rsidR="00E04494" w:rsidRPr="00753026" w:rsidRDefault="00E04494" w:rsidP="0012570E">
            <w:pPr>
              <w:rPr>
                <w:sz w:val="22"/>
                <w:szCs w:val="22"/>
              </w:rPr>
            </w:pPr>
            <w:proofErr w:type="spellStart"/>
            <w:r w:rsidRPr="00753026">
              <w:rPr>
                <w:sz w:val="22"/>
                <w:szCs w:val="22"/>
              </w:rPr>
              <w:t>Ke</w:t>
            </w:r>
            <w:proofErr w:type="spellEnd"/>
            <w:r w:rsidRPr="00753026">
              <w:rPr>
                <w:sz w:val="22"/>
                <w:szCs w:val="22"/>
              </w:rPr>
              <w:t xml:space="preserve"> et al.</w:t>
            </w:r>
          </w:p>
        </w:tc>
      </w:tr>
      <w:tr w:rsidR="00E04494" w:rsidRPr="00753026" w14:paraId="7AB38400" w14:textId="77777777" w:rsidTr="0012570E">
        <w:tc>
          <w:tcPr>
            <w:tcW w:w="3505" w:type="dxa"/>
          </w:tcPr>
          <w:p w14:paraId="3DDC5F22" w14:textId="77777777" w:rsidR="00E04494" w:rsidRPr="00753026" w:rsidRDefault="00E04494" w:rsidP="0012570E">
            <w:pPr>
              <w:spacing w:line="276" w:lineRule="auto"/>
              <w:rPr>
                <w:sz w:val="22"/>
                <w:szCs w:val="22"/>
              </w:rPr>
            </w:pPr>
            <w:r w:rsidRPr="00753026">
              <w:rPr>
                <w:sz w:val="22"/>
                <w:szCs w:val="22"/>
              </w:rPr>
              <w:t>Initial number of susceptible cells</w:t>
            </w:r>
          </w:p>
        </w:tc>
        <w:tc>
          <w:tcPr>
            <w:tcW w:w="900" w:type="dxa"/>
          </w:tcPr>
          <w:p w14:paraId="4A3A6D79" w14:textId="77777777" w:rsidR="00E04494" w:rsidRPr="00753026" w:rsidRDefault="00E04494" w:rsidP="00753026">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0</m:t>
                    </m:r>
                  </m:sub>
                </m:sSub>
              </m:oMath>
            </m:oMathPara>
          </w:p>
        </w:tc>
        <w:tc>
          <w:tcPr>
            <w:tcW w:w="1260" w:type="dxa"/>
          </w:tcPr>
          <w:p w14:paraId="3E8697CB" w14:textId="77777777" w:rsidR="00E04494" w:rsidRPr="00753026" w:rsidRDefault="00E04494" w:rsidP="00753026">
            <w:pPr>
              <w:jc w:val="center"/>
              <w:rPr>
                <w:sz w:val="22"/>
                <w:szCs w:val="22"/>
              </w:rPr>
            </w:pPr>
            <m:oMathPara>
              <m:oMath>
                <m:r>
                  <w:rPr>
                    <w:rFonts w:ascii="Cambria Math" w:hAnsi="Cambria Math"/>
                    <w:sz w:val="22"/>
                    <w:szCs w:val="22"/>
                  </w:rPr>
                  <m:t>1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7</m:t>
                    </m:r>
                  </m:sup>
                </m:sSup>
              </m:oMath>
            </m:oMathPara>
          </w:p>
        </w:tc>
        <w:tc>
          <w:tcPr>
            <w:tcW w:w="1080" w:type="dxa"/>
          </w:tcPr>
          <w:p w14:paraId="4C7A229C" w14:textId="77777777" w:rsidR="00E04494" w:rsidRPr="00753026" w:rsidRDefault="00E04494" w:rsidP="00753026">
            <w:pPr>
              <w:jc w:val="center"/>
              <w:rPr>
                <w:sz w:val="22"/>
                <w:szCs w:val="22"/>
              </w:rPr>
            </w:pPr>
            <w:r w:rsidRPr="00753026">
              <w:rPr>
                <w:sz w:val="22"/>
                <w:szCs w:val="22"/>
              </w:rPr>
              <w:t>--</w:t>
            </w:r>
          </w:p>
        </w:tc>
        <w:tc>
          <w:tcPr>
            <w:tcW w:w="1350" w:type="dxa"/>
          </w:tcPr>
          <w:p w14:paraId="048E88AD" w14:textId="77777777" w:rsidR="00E04494" w:rsidRPr="00753026" w:rsidRDefault="00E04494" w:rsidP="00753026">
            <w:pPr>
              <w:jc w:val="center"/>
              <w:rPr>
                <w:sz w:val="22"/>
                <w:szCs w:val="22"/>
              </w:rPr>
            </w:pPr>
            <w:r w:rsidRPr="00753026">
              <w:rPr>
                <w:sz w:val="22"/>
                <w:szCs w:val="22"/>
              </w:rPr>
              <w:t>--</w:t>
            </w:r>
          </w:p>
        </w:tc>
        <w:tc>
          <w:tcPr>
            <w:tcW w:w="1170" w:type="dxa"/>
          </w:tcPr>
          <w:p w14:paraId="6B1E0BB1" w14:textId="77777777" w:rsidR="00E04494" w:rsidRPr="00753026" w:rsidRDefault="00E04494" w:rsidP="0012570E">
            <w:pPr>
              <w:rPr>
                <w:sz w:val="22"/>
                <w:szCs w:val="22"/>
              </w:rPr>
            </w:pPr>
            <w:r w:rsidRPr="00753026">
              <w:rPr>
                <w:sz w:val="22"/>
                <w:szCs w:val="22"/>
              </w:rPr>
              <w:t>Ortiz et al.</w:t>
            </w:r>
          </w:p>
        </w:tc>
      </w:tr>
      <w:tr w:rsidR="00E04494" w:rsidRPr="00753026" w14:paraId="209E7097" w14:textId="77777777" w:rsidTr="0012570E">
        <w:tc>
          <w:tcPr>
            <w:tcW w:w="3505" w:type="dxa"/>
          </w:tcPr>
          <w:p w14:paraId="53DBFA32" w14:textId="77777777" w:rsidR="00E04494" w:rsidRPr="00753026" w:rsidRDefault="00E04494" w:rsidP="0012570E">
            <w:pPr>
              <w:spacing w:line="276" w:lineRule="auto"/>
              <w:rPr>
                <w:sz w:val="22"/>
                <w:szCs w:val="22"/>
              </w:rPr>
            </w:pPr>
            <w:r w:rsidRPr="00753026">
              <w:rPr>
                <w:sz w:val="22"/>
                <w:szCs w:val="22"/>
              </w:rPr>
              <w:t>Initial number of refractory cells</w:t>
            </w:r>
          </w:p>
        </w:tc>
        <w:tc>
          <w:tcPr>
            <w:tcW w:w="900" w:type="dxa"/>
          </w:tcPr>
          <w:p w14:paraId="391A364B" w14:textId="77777777" w:rsidR="00E04494" w:rsidRPr="00753026" w:rsidRDefault="00E04494" w:rsidP="00753026">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0</m:t>
                    </m:r>
                  </m:sub>
                </m:sSub>
              </m:oMath>
            </m:oMathPara>
          </w:p>
        </w:tc>
        <w:tc>
          <w:tcPr>
            <w:tcW w:w="1260" w:type="dxa"/>
          </w:tcPr>
          <w:p w14:paraId="3DA1A4D3" w14:textId="77777777" w:rsidR="00E04494" w:rsidRPr="00753026" w:rsidRDefault="00E04494" w:rsidP="00753026">
            <w:pPr>
              <w:jc w:val="center"/>
              <w:rPr>
                <w:sz w:val="22"/>
                <w:szCs w:val="22"/>
              </w:rPr>
            </w:pPr>
            <w:r w:rsidRPr="00753026">
              <w:rPr>
                <w:sz w:val="22"/>
                <w:szCs w:val="22"/>
              </w:rPr>
              <w:t>0</w:t>
            </w:r>
          </w:p>
        </w:tc>
        <w:tc>
          <w:tcPr>
            <w:tcW w:w="1080" w:type="dxa"/>
          </w:tcPr>
          <w:p w14:paraId="7D3D1AB9" w14:textId="77777777" w:rsidR="00E04494" w:rsidRPr="00753026" w:rsidRDefault="00E04494" w:rsidP="00753026">
            <w:pPr>
              <w:jc w:val="center"/>
              <w:rPr>
                <w:sz w:val="22"/>
                <w:szCs w:val="22"/>
              </w:rPr>
            </w:pPr>
            <w:r w:rsidRPr="00753026">
              <w:rPr>
                <w:sz w:val="22"/>
                <w:szCs w:val="22"/>
              </w:rPr>
              <w:t>--</w:t>
            </w:r>
          </w:p>
        </w:tc>
        <w:tc>
          <w:tcPr>
            <w:tcW w:w="1350" w:type="dxa"/>
          </w:tcPr>
          <w:p w14:paraId="2C3736E0" w14:textId="77777777" w:rsidR="00E04494" w:rsidRPr="00753026" w:rsidRDefault="00E04494" w:rsidP="00753026">
            <w:pPr>
              <w:jc w:val="center"/>
              <w:rPr>
                <w:sz w:val="22"/>
                <w:szCs w:val="22"/>
              </w:rPr>
            </w:pPr>
            <w:r w:rsidRPr="00753026">
              <w:rPr>
                <w:sz w:val="22"/>
                <w:szCs w:val="22"/>
              </w:rPr>
              <w:t>--</w:t>
            </w:r>
          </w:p>
        </w:tc>
        <w:tc>
          <w:tcPr>
            <w:tcW w:w="1170" w:type="dxa"/>
          </w:tcPr>
          <w:p w14:paraId="5D40F907" w14:textId="77777777" w:rsidR="00E04494" w:rsidRPr="00753026" w:rsidRDefault="00E04494" w:rsidP="0012570E">
            <w:pPr>
              <w:rPr>
                <w:sz w:val="22"/>
                <w:szCs w:val="22"/>
              </w:rPr>
            </w:pPr>
            <w:r w:rsidRPr="00753026">
              <w:rPr>
                <w:sz w:val="22"/>
                <w:szCs w:val="22"/>
              </w:rPr>
              <w:t>--</w:t>
            </w:r>
          </w:p>
        </w:tc>
      </w:tr>
      <w:tr w:rsidR="00E04494" w:rsidRPr="00753026" w14:paraId="427513AF" w14:textId="77777777" w:rsidTr="0012570E">
        <w:tc>
          <w:tcPr>
            <w:tcW w:w="3505" w:type="dxa"/>
          </w:tcPr>
          <w:p w14:paraId="79520BAC" w14:textId="77777777" w:rsidR="00E04494" w:rsidRPr="00753026" w:rsidRDefault="00E04494" w:rsidP="0012570E">
            <w:pPr>
              <w:spacing w:line="276" w:lineRule="auto"/>
              <w:rPr>
                <w:sz w:val="22"/>
                <w:szCs w:val="22"/>
              </w:rPr>
            </w:pPr>
            <w:r w:rsidRPr="00753026">
              <w:rPr>
                <w:sz w:val="22"/>
                <w:szCs w:val="22"/>
              </w:rPr>
              <w:t>Initial number of productively infected cells</w:t>
            </w:r>
          </w:p>
        </w:tc>
        <w:tc>
          <w:tcPr>
            <w:tcW w:w="900" w:type="dxa"/>
          </w:tcPr>
          <w:p w14:paraId="5B96B5E0" w14:textId="77777777" w:rsidR="00E04494" w:rsidRPr="00753026" w:rsidRDefault="00E04494" w:rsidP="00753026">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P,0</m:t>
                    </m:r>
                  </m:sub>
                </m:sSub>
              </m:oMath>
            </m:oMathPara>
          </w:p>
        </w:tc>
        <w:tc>
          <w:tcPr>
            <w:tcW w:w="1260" w:type="dxa"/>
          </w:tcPr>
          <w:p w14:paraId="3FCC3DE6" w14:textId="77777777" w:rsidR="00E04494" w:rsidRPr="00753026" w:rsidRDefault="00E04494" w:rsidP="00753026">
            <w:pPr>
              <w:jc w:val="center"/>
              <w:rPr>
                <w:sz w:val="22"/>
                <w:szCs w:val="22"/>
              </w:rPr>
            </w:pPr>
            <w:r w:rsidRPr="00753026">
              <w:rPr>
                <w:sz w:val="22"/>
                <w:szCs w:val="22"/>
              </w:rPr>
              <w:t>0</w:t>
            </w:r>
          </w:p>
        </w:tc>
        <w:tc>
          <w:tcPr>
            <w:tcW w:w="1080" w:type="dxa"/>
          </w:tcPr>
          <w:p w14:paraId="196F6D22" w14:textId="77777777" w:rsidR="00E04494" w:rsidRPr="00753026" w:rsidRDefault="00E04494" w:rsidP="00753026">
            <w:pPr>
              <w:jc w:val="center"/>
              <w:rPr>
                <w:sz w:val="22"/>
                <w:szCs w:val="22"/>
              </w:rPr>
            </w:pPr>
            <w:r w:rsidRPr="00753026">
              <w:rPr>
                <w:sz w:val="22"/>
                <w:szCs w:val="22"/>
              </w:rPr>
              <w:t>--</w:t>
            </w:r>
          </w:p>
        </w:tc>
        <w:tc>
          <w:tcPr>
            <w:tcW w:w="1350" w:type="dxa"/>
          </w:tcPr>
          <w:p w14:paraId="62BA7D41" w14:textId="77777777" w:rsidR="00E04494" w:rsidRPr="00753026" w:rsidRDefault="00E04494" w:rsidP="00753026">
            <w:pPr>
              <w:jc w:val="center"/>
              <w:rPr>
                <w:sz w:val="22"/>
                <w:szCs w:val="22"/>
              </w:rPr>
            </w:pPr>
            <w:r w:rsidRPr="00753026">
              <w:rPr>
                <w:sz w:val="22"/>
                <w:szCs w:val="22"/>
              </w:rPr>
              <w:t>--</w:t>
            </w:r>
          </w:p>
        </w:tc>
        <w:tc>
          <w:tcPr>
            <w:tcW w:w="1170" w:type="dxa"/>
          </w:tcPr>
          <w:p w14:paraId="27640087" w14:textId="77777777" w:rsidR="00E04494" w:rsidRPr="00753026" w:rsidRDefault="00E04494" w:rsidP="0012570E">
            <w:pPr>
              <w:rPr>
                <w:sz w:val="22"/>
                <w:szCs w:val="22"/>
              </w:rPr>
            </w:pPr>
            <w:r w:rsidRPr="00753026">
              <w:rPr>
                <w:sz w:val="22"/>
                <w:szCs w:val="22"/>
              </w:rPr>
              <w:t>--</w:t>
            </w:r>
          </w:p>
        </w:tc>
      </w:tr>
      <w:tr w:rsidR="00E04494" w:rsidRPr="00753026" w14:paraId="6101D340" w14:textId="77777777" w:rsidTr="0012570E">
        <w:trPr>
          <w:trHeight w:val="90"/>
        </w:trPr>
        <w:tc>
          <w:tcPr>
            <w:tcW w:w="3505" w:type="dxa"/>
          </w:tcPr>
          <w:p w14:paraId="2080F5D8" w14:textId="77777777" w:rsidR="00E04494" w:rsidRPr="00753026" w:rsidRDefault="00E04494" w:rsidP="0012570E">
            <w:pPr>
              <w:spacing w:line="276" w:lineRule="auto"/>
              <w:rPr>
                <w:sz w:val="22"/>
                <w:szCs w:val="22"/>
              </w:rPr>
            </w:pPr>
            <w:r w:rsidRPr="00753026">
              <w:rPr>
                <w:sz w:val="22"/>
                <w:szCs w:val="22"/>
              </w:rPr>
              <w:t xml:space="preserve">Initial number of infected cells in eclipse phase </w:t>
            </w:r>
          </w:p>
        </w:tc>
        <w:tc>
          <w:tcPr>
            <w:tcW w:w="900" w:type="dxa"/>
          </w:tcPr>
          <w:p w14:paraId="0E642E12" w14:textId="77777777" w:rsidR="00E04494" w:rsidRPr="00753026" w:rsidRDefault="00E04494" w:rsidP="00753026">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E,0</m:t>
                    </m:r>
                  </m:sub>
                </m:sSub>
              </m:oMath>
            </m:oMathPara>
          </w:p>
        </w:tc>
        <w:tc>
          <w:tcPr>
            <w:tcW w:w="1260" w:type="dxa"/>
          </w:tcPr>
          <w:p w14:paraId="344830C5" w14:textId="77777777" w:rsidR="00E04494" w:rsidRPr="00753026" w:rsidRDefault="00E04494" w:rsidP="00753026">
            <w:pPr>
              <w:jc w:val="center"/>
              <w:rPr>
                <w:sz w:val="22"/>
                <w:szCs w:val="22"/>
              </w:rPr>
            </w:pPr>
            <w:r w:rsidRPr="00753026">
              <w:rPr>
                <w:sz w:val="22"/>
                <w:szCs w:val="22"/>
              </w:rPr>
              <w:t>0</w:t>
            </w:r>
          </w:p>
        </w:tc>
        <w:tc>
          <w:tcPr>
            <w:tcW w:w="1080" w:type="dxa"/>
          </w:tcPr>
          <w:p w14:paraId="5083D34D" w14:textId="77777777" w:rsidR="00E04494" w:rsidRPr="00753026" w:rsidRDefault="00E04494" w:rsidP="00753026">
            <w:pPr>
              <w:jc w:val="center"/>
              <w:rPr>
                <w:sz w:val="22"/>
                <w:szCs w:val="22"/>
              </w:rPr>
            </w:pPr>
            <w:r w:rsidRPr="00753026">
              <w:rPr>
                <w:sz w:val="22"/>
                <w:szCs w:val="22"/>
              </w:rPr>
              <w:t>--</w:t>
            </w:r>
          </w:p>
        </w:tc>
        <w:tc>
          <w:tcPr>
            <w:tcW w:w="1350" w:type="dxa"/>
          </w:tcPr>
          <w:p w14:paraId="6C4E13BA" w14:textId="77777777" w:rsidR="00E04494" w:rsidRPr="00753026" w:rsidRDefault="00E04494" w:rsidP="00753026">
            <w:pPr>
              <w:jc w:val="center"/>
              <w:rPr>
                <w:sz w:val="22"/>
                <w:szCs w:val="22"/>
              </w:rPr>
            </w:pPr>
            <w:r w:rsidRPr="00753026">
              <w:rPr>
                <w:sz w:val="22"/>
                <w:szCs w:val="22"/>
              </w:rPr>
              <w:t>--</w:t>
            </w:r>
          </w:p>
        </w:tc>
        <w:tc>
          <w:tcPr>
            <w:tcW w:w="1170" w:type="dxa"/>
          </w:tcPr>
          <w:p w14:paraId="0A57AFD9" w14:textId="77777777" w:rsidR="00E04494" w:rsidRPr="00753026" w:rsidRDefault="00E04494" w:rsidP="0012570E">
            <w:pPr>
              <w:rPr>
                <w:sz w:val="22"/>
                <w:szCs w:val="22"/>
              </w:rPr>
            </w:pPr>
            <w:r w:rsidRPr="00753026">
              <w:rPr>
                <w:sz w:val="22"/>
                <w:szCs w:val="22"/>
              </w:rPr>
              <w:t>--</w:t>
            </w:r>
          </w:p>
        </w:tc>
      </w:tr>
    </w:tbl>
    <w:p w14:paraId="1E1219AA" w14:textId="77777777" w:rsidR="00E04494" w:rsidRPr="00753026" w:rsidRDefault="00E04494" w:rsidP="00E04494">
      <w:pPr>
        <w:pStyle w:val="Caption"/>
        <w:jc w:val="center"/>
        <w:rPr>
          <w:i w:val="0"/>
          <w:iCs w:val="0"/>
          <w:color w:val="000000" w:themeColor="text1"/>
          <w:sz w:val="28"/>
          <w:szCs w:val="28"/>
        </w:rPr>
      </w:pPr>
    </w:p>
    <w:p w14:paraId="0E9EB5E6" w14:textId="68F6B2E1" w:rsidR="00684E2F" w:rsidRDefault="00684E2F" w:rsidP="00684E2F">
      <w:r w:rsidRPr="00E04494">
        <w:rPr>
          <w:b/>
          <w:bCs/>
        </w:rPr>
        <w:lastRenderedPageBreak/>
        <w:t xml:space="preserve">Table </w:t>
      </w:r>
      <w:r>
        <w:rPr>
          <w:b/>
          <w:bCs/>
        </w:rPr>
        <w:t>2</w:t>
      </w:r>
      <w:r w:rsidRPr="00E04494">
        <w:rPr>
          <w:b/>
          <w:bCs/>
        </w:rPr>
        <w:t xml:space="preserve">: Population parameters </w:t>
      </w:r>
      <w:r>
        <w:rPr>
          <w:b/>
          <w:bCs/>
        </w:rPr>
        <w:t xml:space="preserve">of </w:t>
      </w:r>
      <w:r>
        <w:rPr>
          <w:b/>
          <w:bCs/>
        </w:rPr>
        <w:t>pharmacokinetic</w:t>
      </w:r>
      <w:r>
        <w:rPr>
          <w:b/>
          <w:bCs/>
        </w:rPr>
        <w:t xml:space="preserve"> model</w:t>
      </w:r>
      <w:r w:rsidRPr="006767DC">
        <w:rPr>
          <w:b/>
          <w:bCs/>
          <w:i/>
          <w:iCs/>
          <w:color w:val="44546A" w:themeColor="text2"/>
          <w:sz w:val="20"/>
          <w:szCs w:val="20"/>
        </w:rPr>
        <w:t>.</w:t>
      </w:r>
      <w:r w:rsidRPr="006767DC">
        <w:rPr>
          <w:b/>
          <w:bCs/>
          <w:color w:val="44546A" w:themeColor="text2"/>
          <w:sz w:val="20"/>
          <w:szCs w:val="20"/>
        </w:rPr>
        <w:t xml:space="preserve"> </w:t>
      </w:r>
      <w:r w:rsidRPr="00E04494">
        <w:t xml:space="preserve">Using the </w:t>
      </w:r>
      <w:r>
        <w:rPr>
          <w:rFonts w:eastAsiaTheme="minorEastAsia"/>
        </w:rPr>
        <w:t>two-compartmental PK model with oral administration of the drug</w:t>
      </w:r>
      <w:r w:rsidRPr="00E04494">
        <w:t xml:space="preserve">, we estimated model parameters for </w:t>
      </w:r>
      <w:r>
        <w:t xml:space="preserve">8 </w:t>
      </w:r>
      <w:r w:rsidR="00F408A2">
        <w:t xml:space="preserve">healthy individuals in the phase I randomized clinical trial by Singh </w:t>
      </w:r>
      <w:proofErr w:type="gramStart"/>
      <w:r w:rsidR="00F408A2">
        <w:t xml:space="preserve">et al. </w:t>
      </w:r>
      <w:r w:rsidRPr="00E04494">
        <w:t>.</w:t>
      </w:r>
      <w:proofErr w:type="gramEnd"/>
      <w:r w:rsidR="00F408A2">
        <w:t xml:space="preserve"> </w:t>
      </w:r>
      <w:r w:rsidRPr="00E04494">
        <w:t xml:space="preserve">The population parameters are recorded here and estimated individual parameters are available at </w:t>
      </w:r>
      <w:r w:rsidRPr="0064406F">
        <w:t>https://github.com/sEsmaeili/Covid_Rebound</w:t>
      </w:r>
      <w:hyperlink r:id="rId7" w:history="1"/>
      <w:r w:rsidRPr="00E04494">
        <w:t xml:space="preserve">. </w:t>
      </w:r>
    </w:p>
    <w:p w14:paraId="76902397" w14:textId="77777777" w:rsidR="00F408A2" w:rsidRPr="00E04494" w:rsidRDefault="00F408A2" w:rsidP="00684E2F"/>
    <w:tbl>
      <w:tblPr>
        <w:tblStyle w:val="TableGrid"/>
        <w:tblW w:w="9265" w:type="dxa"/>
        <w:tblLayout w:type="fixed"/>
        <w:tblLook w:val="04A0" w:firstRow="1" w:lastRow="0" w:firstColumn="1" w:lastColumn="0" w:noHBand="0" w:noVBand="1"/>
      </w:tblPr>
      <w:tblGrid>
        <w:gridCol w:w="4012"/>
        <w:gridCol w:w="1030"/>
        <w:gridCol w:w="1442"/>
        <w:gridCol w:w="1236"/>
        <w:gridCol w:w="1545"/>
      </w:tblGrid>
      <w:tr w:rsidR="00F408A2" w:rsidRPr="00930AD5" w14:paraId="75FAB60C" w14:textId="77777777" w:rsidTr="0012570E">
        <w:tc>
          <w:tcPr>
            <w:tcW w:w="3505" w:type="dxa"/>
          </w:tcPr>
          <w:p w14:paraId="6B58C15E" w14:textId="77777777" w:rsidR="00F408A2" w:rsidRPr="00236031" w:rsidRDefault="00F408A2" w:rsidP="0012570E">
            <w:pPr>
              <w:jc w:val="center"/>
              <w:rPr>
                <w:sz w:val="22"/>
                <w:szCs w:val="22"/>
              </w:rPr>
            </w:pPr>
            <w:r w:rsidRPr="00236031">
              <w:rPr>
                <w:sz w:val="22"/>
                <w:szCs w:val="22"/>
              </w:rPr>
              <w:t>Parameter (unit)</w:t>
            </w:r>
          </w:p>
        </w:tc>
        <w:tc>
          <w:tcPr>
            <w:tcW w:w="900" w:type="dxa"/>
          </w:tcPr>
          <w:p w14:paraId="46FF2E08" w14:textId="77777777" w:rsidR="00F408A2" w:rsidRPr="00930AD5" w:rsidRDefault="00F408A2" w:rsidP="0012570E">
            <w:pPr>
              <w:jc w:val="center"/>
              <w:rPr>
                <w:sz w:val="22"/>
                <w:szCs w:val="22"/>
              </w:rPr>
            </w:pPr>
            <w:r w:rsidRPr="00930AD5">
              <w:rPr>
                <w:sz w:val="22"/>
                <w:szCs w:val="22"/>
              </w:rPr>
              <w:t>Symbol</w:t>
            </w:r>
          </w:p>
        </w:tc>
        <w:tc>
          <w:tcPr>
            <w:tcW w:w="1260" w:type="dxa"/>
          </w:tcPr>
          <w:p w14:paraId="4695BE8D" w14:textId="77777777" w:rsidR="00F408A2" w:rsidRPr="00930AD5" w:rsidRDefault="00F408A2" w:rsidP="0012570E">
            <w:pPr>
              <w:jc w:val="center"/>
              <w:rPr>
                <w:sz w:val="22"/>
                <w:szCs w:val="22"/>
              </w:rPr>
            </w:pPr>
            <w:r w:rsidRPr="00930AD5">
              <w:rPr>
                <w:sz w:val="22"/>
                <w:szCs w:val="22"/>
              </w:rPr>
              <w:t>Population Mean</w:t>
            </w:r>
          </w:p>
        </w:tc>
        <w:tc>
          <w:tcPr>
            <w:tcW w:w="1080" w:type="dxa"/>
          </w:tcPr>
          <w:p w14:paraId="79BBF24C" w14:textId="77777777" w:rsidR="00F408A2" w:rsidRPr="00930AD5" w:rsidRDefault="00F408A2" w:rsidP="0012570E">
            <w:pPr>
              <w:jc w:val="center"/>
              <w:rPr>
                <w:sz w:val="22"/>
                <w:szCs w:val="22"/>
              </w:rPr>
            </w:pPr>
            <w:r w:rsidRPr="00930AD5">
              <w:rPr>
                <w:sz w:val="22"/>
                <w:szCs w:val="22"/>
              </w:rPr>
              <w:t>Standard deviation</w:t>
            </w:r>
          </w:p>
        </w:tc>
        <w:tc>
          <w:tcPr>
            <w:tcW w:w="1350" w:type="dxa"/>
          </w:tcPr>
          <w:p w14:paraId="3A4B4DF6" w14:textId="77777777" w:rsidR="00F408A2" w:rsidRPr="00930AD5" w:rsidRDefault="00F408A2" w:rsidP="0012570E">
            <w:pPr>
              <w:jc w:val="center"/>
              <w:rPr>
                <w:sz w:val="22"/>
                <w:szCs w:val="22"/>
              </w:rPr>
            </w:pPr>
            <w:r w:rsidRPr="00930AD5">
              <w:rPr>
                <w:sz w:val="22"/>
                <w:szCs w:val="22"/>
              </w:rPr>
              <w:t>Distribution</w:t>
            </w:r>
          </w:p>
        </w:tc>
      </w:tr>
      <w:tr w:rsidR="00F408A2" w:rsidRPr="00753026" w14:paraId="5A27ACD4" w14:textId="77777777" w:rsidTr="0012570E">
        <w:tc>
          <w:tcPr>
            <w:tcW w:w="3505" w:type="dxa"/>
          </w:tcPr>
          <w:p w14:paraId="2E26E8D7" w14:textId="22FEE452" w:rsidR="00F408A2" w:rsidRPr="00753026" w:rsidRDefault="00F408A2" w:rsidP="0012570E">
            <w:pPr>
              <w:spacing w:line="276" w:lineRule="auto"/>
              <w:rPr>
                <w:sz w:val="22"/>
                <w:szCs w:val="22"/>
              </w:rPr>
            </w:pPr>
            <w:r>
              <w:rPr>
                <w:sz w:val="22"/>
                <w:szCs w:val="22"/>
              </w:rPr>
              <w:t>Absorption rate</w:t>
            </w:r>
          </w:p>
          <w:p w14:paraId="25BF4AF6" w14:textId="12B244E1" w:rsidR="00F408A2" w:rsidRPr="00753026" w:rsidRDefault="00F408A2" w:rsidP="0012570E">
            <w:pPr>
              <w:spacing w:line="276" w:lineRule="auto"/>
              <w:rPr>
                <w:sz w:val="22"/>
                <w:szCs w:val="22"/>
              </w:rPr>
            </w:pPr>
            <w:r w:rsidRPr="00753026">
              <w:rPr>
                <w:sz w:val="22"/>
                <w:szCs w:val="22"/>
              </w:rPr>
              <w:t>(</w:t>
            </w:r>
            <w:proofErr w:type="gramStart"/>
            <w:r w:rsidRPr="00753026">
              <w:rPr>
                <w:sz w:val="22"/>
                <w:szCs w:val="22"/>
              </w:rPr>
              <w:t>day</w:t>
            </w:r>
            <w:r w:rsidRPr="00753026">
              <w:rPr>
                <w:sz w:val="22"/>
                <w:szCs w:val="22"/>
                <w:vertAlign w:val="superscript"/>
              </w:rPr>
              <w:t>-1</w:t>
            </w:r>
            <w:proofErr w:type="gramEnd"/>
            <w:r w:rsidRPr="00753026">
              <w:rPr>
                <w:sz w:val="22"/>
                <w:szCs w:val="22"/>
              </w:rPr>
              <w:t>)</w:t>
            </w:r>
          </w:p>
        </w:tc>
        <w:tc>
          <w:tcPr>
            <w:tcW w:w="900" w:type="dxa"/>
          </w:tcPr>
          <w:p w14:paraId="36AB8474" w14:textId="3B68B93F" w:rsidR="00F408A2" w:rsidRPr="00753026" w:rsidRDefault="00F408A2" w:rsidP="0012570E">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κ</m:t>
                    </m:r>
                  </m:e>
                  <m:sub>
                    <m:r>
                      <w:rPr>
                        <w:rFonts w:ascii="Cambria Math" w:hAnsi="Cambria Math"/>
                        <w:sz w:val="22"/>
                        <w:szCs w:val="22"/>
                      </w:rPr>
                      <m:t>a</m:t>
                    </m:r>
                  </m:sub>
                </m:sSub>
              </m:oMath>
            </m:oMathPara>
          </w:p>
        </w:tc>
        <w:tc>
          <w:tcPr>
            <w:tcW w:w="1260" w:type="dxa"/>
          </w:tcPr>
          <w:p w14:paraId="6D051BBF" w14:textId="71694042" w:rsidR="00F408A2" w:rsidRPr="00753026" w:rsidRDefault="00113DDF" w:rsidP="0012570E">
            <w:pPr>
              <w:jc w:val="center"/>
              <w:rPr>
                <w:sz w:val="22"/>
                <w:szCs w:val="22"/>
              </w:rPr>
            </w:pPr>
            <w:r>
              <w:rPr>
                <w:sz w:val="22"/>
                <w:szCs w:val="22"/>
              </w:rPr>
              <w:t>9.98</w:t>
            </w:r>
          </w:p>
        </w:tc>
        <w:tc>
          <w:tcPr>
            <w:tcW w:w="1080" w:type="dxa"/>
          </w:tcPr>
          <w:p w14:paraId="780664C5" w14:textId="38050D54" w:rsidR="00F408A2" w:rsidRPr="00753026" w:rsidRDefault="00113DDF" w:rsidP="0012570E">
            <w:pPr>
              <w:jc w:val="center"/>
              <w:rPr>
                <w:sz w:val="22"/>
                <w:szCs w:val="22"/>
              </w:rPr>
            </w:pPr>
            <w:r>
              <w:rPr>
                <w:sz w:val="22"/>
                <w:szCs w:val="22"/>
              </w:rPr>
              <w:t>0.37</w:t>
            </w:r>
          </w:p>
        </w:tc>
        <w:tc>
          <w:tcPr>
            <w:tcW w:w="1350" w:type="dxa"/>
          </w:tcPr>
          <w:p w14:paraId="2854D979" w14:textId="77C2C333" w:rsidR="00F408A2" w:rsidRPr="00753026" w:rsidRDefault="00F408A2" w:rsidP="0012570E">
            <w:pPr>
              <w:jc w:val="center"/>
              <w:rPr>
                <w:sz w:val="22"/>
                <w:szCs w:val="22"/>
              </w:rPr>
            </w:pPr>
            <w:r>
              <w:rPr>
                <w:sz w:val="22"/>
                <w:szCs w:val="22"/>
              </w:rPr>
              <w:t>log</w:t>
            </w:r>
            <w:r w:rsidRPr="00753026">
              <w:rPr>
                <w:sz w:val="22"/>
                <w:szCs w:val="22"/>
              </w:rPr>
              <w:t>normal</w:t>
            </w:r>
          </w:p>
        </w:tc>
      </w:tr>
      <w:tr w:rsidR="00F408A2" w:rsidRPr="00753026" w14:paraId="5D3F070D" w14:textId="77777777" w:rsidTr="0012570E">
        <w:tc>
          <w:tcPr>
            <w:tcW w:w="3505" w:type="dxa"/>
          </w:tcPr>
          <w:p w14:paraId="3F1E31DC" w14:textId="1FB45996" w:rsidR="00F408A2" w:rsidRPr="00753026" w:rsidRDefault="00F408A2" w:rsidP="0012570E">
            <w:pPr>
              <w:spacing w:line="276" w:lineRule="auto"/>
              <w:rPr>
                <w:sz w:val="22"/>
                <w:szCs w:val="22"/>
              </w:rPr>
            </w:pPr>
            <w:r>
              <w:rPr>
                <w:sz w:val="22"/>
                <w:szCs w:val="22"/>
              </w:rPr>
              <w:t>Rate of transfer from plasma to lung</w:t>
            </w:r>
          </w:p>
          <w:p w14:paraId="046B8D88" w14:textId="74F85683" w:rsidR="00F408A2" w:rsidRPr="00753026" w:rsidRDefault="00F408A2" w:rsidP="0012570E">
            <w:pPr>
              <w:spacing w:line="276" w:lineRule="auto"/>
              <w:rPr>
                <w:sz w:val="22"/>
                <w:szCs w:val="22"/>
              </w:rPr>
            </w:pPr>
            <w:r w:rsidRPr="00753026">
              <w:rPr>
                <w:sz w:val="22"/>
                <w:szCs w:val="22"/>
              </w:rPr>
              <w:t>(day</w:t>
            </w:r>
            <w:r w:rsidRPr="00753026">
              <w:rPr>
                <w:sz w:val="22"/>
                <w:szCs w:val="22"/>
                <w:vertAlign w:val="superscript"/>
              </w:rPr>
              <w:t>-</w:t>
            </w:r>
            <w:proofErr w:type="gramStart"/>
            <w:r w:rsidRPr="00753026">
              <w:rPr>
                <w:sz w:val="22"/>
                <w:szCs w:val="22"/>
                <w:vertAlign w:val="superscript"/>
              </w:rPr>
              <w:t>1</w:t>
            </w:r>
            <w:r w:rsidRPr="00753026">
              <w:rPr>
                <w:sz w:val="22"/>
                <w:szCs w:val="22"/>
              </w:rPr>
              <w:t xml:space="preserve"> )</w:t>
            </w:r>
            <w:proofErr w:type="gramEnd"/>
          </w:p>
        </w:tc>
        <w:tc>
          <w:tcPr>
            <w:tcW w:w="900" w:type="dxa"/>
          </w:tcPr>
          <w:p w14:paraId="2D214E42" w14:textId="1853D760" w:rsidR="00F408A2" w:rsidRPr="00753026" w:rsidRDefault="00F408A2" w:rsidP="0012570E">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κ</m:t>
                    </m:r>
                  </m:e>
                  <m:sub>
                    <m:r>
                      <w:rPr>
                        <w:rFonts w:ascii="Cambria Math" w:hAnsi="Cambria Math"/>
                        <w:sz w:val="22"/>
                        <w:szCs w:val="22"/>
                      </w:rPr>
                      <m:t>PL</m:t>
                    </m:r>
                  </m:sub>
                </m:sSub>
              </m:oMath>
            </m:oMathPara>
          </w:p>
        </w:tc>
        <w:tc>
          <w:tcPr>
            <w:tcW w:w="1260" w:type="dxa"/>
          </w:tcPr>
          <w:p w14:paraId="71C40820" w14:textId="0913BD41" w:rsidR="00F408A2" w:rsidRPr="00753026" w:rsidRDefault="00113DDF" w:rsidP="0012570E">
            <w:pPr>
              <w:jc w:val="center"/>
              <w:rPr>
                <w:sz w:val="22"/>
                <w:szCs w:val="22"/>
              </w:rPr>
            </w:pPr>
            <w:r>
              <w:rPr>
                <w:sz w:val="22"/>
                <w:szCs w:val="22"/>
              </w:rPr>
              <w:t>1.58</w:t>
            </w:r>
          </w:p>
        </w:tc>
        <w:tc>
          <w:tcPr>
            <w:tcW w:w="1080" w:type="dxa"/>
          </w:tcPr>
          <w:p w14:paraId="08789EC7" w14:textId="7FFCE173" w:rsidR="00F408A2" w:rsidRPr="00753026" w:rsidRDefault="00113DDF" w:rsidP="0012570E">
            <w:pPr>
              <w:jc w:val="center"/>
              <w:rPr>
                <w:sz w:val="22"/>
                <w:szCs w:val="22"/>
              </w:rPr>
            </w:pPr>
            <w:r>
              <w:rPr>
                <w:sz w:val="22"/>
                <w:szCs w:val="22"/>
              </w:rPr>
              <w:t>0.1</w:t>
            </w:r>
          </w:p>
        </w:tc>
        <w:tc>
          <w:tcPr>
            <w:tcW w:w="1350" w:type="dxa"/>
          </w:tcPr>
          <w:p w14:paraId="166FE208" w14:textId="5AD5C2EC" w:rsidR="00F408A2" w:rsidRPr="00753026" w:rsidRDefault="00F408A2" w:rsidP="0012570E">
            <w:pPr>
              <w:jc w:val="center"/>
              <w:rPr>
                <w:sz w:val="22"/>
                <w:szCs w:val="22"/>
              </w:rPr>
            </w:pPr>
            <w:r>
              <w:rPr>
                <w:sz w:val="22"/>
                <w:szCs w:val="22"/>
              </w:rPr>
              <w:t>log</w:t>
            </w:r>
            <w:r w:rsidRPr="00753026">
              <w:rPr>
                <w:sz w:val="22"/>
                <w:szCs w:val="22"/>
              </w:rPr>
              <w:t>normal</w:t>
            </w:r>
          </w:p>
        </w:tc>
      </w:tr>
      <w:tr w:rsidR="00F408A2" w:rsidRPr="00753026" w14:paraId="6CAC9199" w14:textId="77777777" w:rsidTr="0012570E">
        <w:tc>
          <w:tcPr>
            <w:tcW w:w="3505" w:type="dxa"/>
          </w:tcPr>
          <w:p w14:paraId="33C53C27" w14:textId="3CA27538" w:rsidR="00F408A2" w:rsidRPr="00753026" w:rsidRDefault="00F408A2" w:rsidP="00F408A2">
            <w:pPr>
              <w:spacing w:line="276" w:lineRule="auto"/>
              <w:rPr>
                <w:sz w:val="22"/>
                <w:szCs w:val="22"/>
              </w:rPr>
            </w:pPr>
            <w:r>
              <w:rPr>
                <w:sz w:val="22"/>
                <w:szCs w:val="22"/>
              </w:rPr>
              <w:t xml:space="preserve">Rate of transfer from </w:t>
            </w:r>
            <w:r>
              <w:rPr>
                <w:sz w:val="22"/>
                <w:szCs w:val="22"/>
              </w:rPr>
              <w:t xml:space="preserve">lung to </w:t>
            </w:r>
            <w:r>
              <w:rPr>
                <w:sz w:val="22"/>
                <w:szCs w:val="22"/>
              </w:rPr>
              <w:t xml:space="preserve">plasma </w:t>
            </w:r>
          </w:p>
          <w:p w14:paraId="192D0417" w14:textId="64820D31" w:rsidR="00F408A2" w:rsidRPr="00753026" w:rsidRDefault="00F408A2" w:rsidP="0012570E">
            <w:pPr>
              <w:spacing w:line="276" w:lineRule="auto"/>
              <w:rPr>
                <w:sz w:val="22"/>
                <w:szCs w:val="22"/>
              </w:rPr>
            </w:pPr>
            <w:r w:rsidRPr="00753026">
              <w:rPr>
                <w:sz w:val="22"/>
                <w:szCs w:val="22"/>
              </w:rPr>
              <w:t>(day</w:t>
            </w:r>
            <w:r w:rsidRPr="00753026">
              <w:rPr>
                <w:sz w:val="22"/>
                <w:szCs w:val="22"/>
                <w:vertAlign w:val="superscript"/>
              </w:rPr>
              <w:t>-</w:t>
            </w:r>
            <w:proofErr w:type="gramStart"/>
            <w:r w:rsidRPr="00753026">
              <w:rPr>
                <w:sz w:val="22"/>
                <w:szCs w:val="22"/>
                <w:vertAlign w:val="superscript"/>
              </w:rPr>
              <w:t>1</w:t>
            </w:r>
            <w:r w:rsidRPr="00753026">
              <w:rPr>
                <w:sz w:val="22"/>
                <w:szCs w:val="22"/>
              </w:rPr>
              <w:t xml:space="preserve"> )</w:t>
            </w:r>
            <w:proofErr w:type="gramEnd"/>
          </w:p>
        </w:tc>
        <w:tc>
          <w:tcPr>
            <w:tcW w:w="900" w:type="dxa"/>
          </w:tcPr>
          <w:p w14:paraId="6F02AF8F" w14:textId="29270242" w:rsidR="00F408A2" w:rsidRPr="00753026" w:rsidRDefault="00F408A2" w:rsidP="0012570E">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κ</m:t>
                    </m:r>
                  </m:e>
                  <m:sub>
                    <m:r>
                      <w:rPr>
                        <w:rFonts w:ascii="Cambria Math" w:hAnsi="Cambria Math"/>
                        <w:sz w:val="22"/>
                        <w:szCs w:val="22"/>
                      </w:rPr>
                      <m:t>L</m:t>
                    </m:r>
                    <m:r>
                      <w:rPr>
                        <w:rFonts w:ascii="Cambria Math" w:hAnsi="Cambria Math"/>
                        <w:sz w:val="22"/>
                        <w:szCs w:val="22"/>
                      </w:rPr>
                      <m:t>P</m:t>
                    </m:r>
                  </m:sub>
                </m:sSub>
              </m:oMath>
            </m:oMathPara>
          </w:p>
        </w:tc>
        <w:tc>
          <w:tcPr>
            <w:tcW w:w="1260" w:type="dxa"/>
          </w:tcPr>
          <w:p w14:paraId="5515EC8C" w14:textId="5BE7783D" w:rsidR="00F408A2" w:rsidRPr="00753026" w:rsidRDefault="00113DDF" w:rsidP="0012570E">
            <w:pPr>
              <w:jc w:val="center"/>
              <w:rPr>
                <w:sz w:val="22"/>
                <w:szCs w:val="22"/>
              </w:rPr>
            </w:pPr>
            <w:r>
              <w:rPr>
                <w:sz w:val="22"/>
                <w:szCs w:val="22"/>
              </w:rPr>
              <w:t>1.22</w:t>
            </w:r>
          </w:p>
        </w:tc>
        <w:tc>
          <w:tcPr>
            <w:tcW w:w="1080" w:type="dxa"/>
          </w:tcPr>
          <w:p w14:paraId="45208A68" w14:textId="7D3F7A68" w:rsidR="00F408A2" w:rsidRPr="00753026" w:rsidRDefault="00113DDF" w:rsidP="0012570E">
            <w:pPr>
              <w:jc w:val="center"/>
              <w:rPr>
                <w:sz w:val="22"/>
                <w:szCs w:val="22"/>
              </w:rPr>
            </w:pPr>
            <w:r>
              <w:rPr>
                <w:sz w:val="22"/>
                <w:szCs w:val="22"/>
              </w:rPr>
              <w:t>0.1</w:t>
            </w:r>
          </w:p>
        </w:tc>
        <w:tc>
          <w:tcPr>
            <w:tcW w:w="1350" w:type="dxa"/>
          </w:tcPr>
          <w:p w14:paraId="0C6A7F91" w14:textId="5E89C16C" w:rsidR="00F408A2" w:rsidRPr="00753026" w:rsidRDefault="00F408A2" w:rsidP="0012570E">
            <w:pPr>
              <w:jc w:val="center"/>
              <w:rPr>
                <w:sz w:val="22"/>
                <w:szCs w:val="22"/>
              </w:rPr>
            </w:pPr>
            <w:r>
              <w:rPr>
                <w:sz w:val="22"/>
                <w:szCs w:val="22"/>
              </w:rPr>
              <w:t>log</w:t>
            </w:r>
            <w:r w:rsidRPr="00753026">
              <w:rPr>
                <w:sz w:val="22"/>
                <w:szCs w:val="22"/>
              </w:rPr>
              <w:t>normal</w:t>
            </w:r>
          </w:p>
        </w:tc>
      </w:tr>
      <w:tr w:rsidR="00F408A2" w:rsidRPr="00753026" w14:paraId="5E5C65FB" w14:textId="77777777" w:rsidTr="0012570E">
        <w:tc>
          <w:tcPr>
            <w:tcW w:w="3505" w:type="dxa"/>
          </w:tcPr>
          <w:p w14:paraId="335A9611" w14:textId="5061CE44" w:rsidR="00F408A2" w:rsidRPr="00F408A2" w:rsidRDefault="00F408A2" w:rsidP="0012570E">
            <w:pPr>
              <w:spacing w:line="276" w:lineRule="auto"/>
              <w:rPr>
                <w:sz w:val="22"/>
                <w:szCs w:val="22"/>
              </w:rPr>
            </w:pPr>
            <w:r>
              <w:rPr>
                <w:sz w:val="22"/>
                <w:szCs w:val="22"/>
              </w:rPr>
              <w:t>Clearance rate (</w:t>
            </w:r>
            <w:proofErr w:type="gramStart"/>
            <w:r w:rsidRPr="00753026">
              <w:rPr>
                <w:sz w:val="22"/>
                <w:szCs w:val="22"/>
              </w:rPr>
              <w:t>day</w:t>
            </w:r>
            <w:r w:rsidRPr="00753026">
              <w:rPr>
                <w:sz w:val="22"/>
                <w:szCs w:val="22"/>
                <w:vertAlign w:val="superscript"/>
              </w:rPr>
              <w:t>-1</w:t>
            </w:r>
            <w:proofErr w:type="gramEnd"/>
            <w:r>
              <w:rPr>
                <w:sz w:val="22"/>
                <w:szCs w:val="22"/>
              </w:rPr>
              <w:t>)</w:t>
            </w:r>
          </w:p>
        </w:tc>
        <w:tc>
          <w:tcPr>
            <w:tcW w:w="900" w:type="dxa"/>
          </w:tcPr>
          <w:p w14:paraId="353BCAD7" w14:textId="0A56CD13" w:rsidR="00F408A2" w:rsidRPr="00753026" w:rsidRDefault="00F408A2" w:rsidP="0012570E">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κ</m:t>
                    </m:r>
                  </m:e>
                  <m:sub>
                    <m:r>
                      <w:rPr>
                        <w:rFonts w:ascii="Cambria Math" w:hAnsi="Cambria Math"/>
                        <w:sz w:val="22"/>
                        <w:szCs w:val="22"/>
                      </w:rPr>
                      <m:t>CL</m:t>
                    </m:r>
                  </m:sub>
                </m:sSub>
              </m:oMath>
            </m:oMathPara>
          </w:p>
        </w:tc>
        <w:tc>
          <w:tcPr>
            <w:tcW w:w="1260" w:type="dxa"/>
          </w:tcPr>
          <w:p w14:paraId="51E16A94" w14:textId="6C9B3FDA" w:rsidR="00F408A2" w:rsidRPr="00753026" w:rsidRDefault="00113DDF" w:rsidP="0012570E">
            <w:pPr>
              <w:jc w:val="center"/>
              <w:rPr>
                <w:sz w:val="22"/>
                <w:szCs w:val="22"/>
              </w:rPr>
            </w:pPr>
            <w:r>
              <w:rPr>
                <w:sz w:val="22"/>
                <w:szCs w:val="22"/>
              </w:rPr>
              <w:t>4.96</w:t>
            </w:r>
          </w:p>
        </w:tc>
        <w:tc>
          <w:tcPr>
            <w:tcW w:w="1080" w:type="dxa"/>
          </w:tcPr>
          <w:p w14:paraId="4FC28CC0" w14:textId="0C7C738A" w:rsidR="00F408A2" w:rsidRPr="00753026" w:rsidRDefault="00113DDF" w:rsidP="0012570E">
            <w:pPr>
              <w:jc w:val="center"/>
              <w:rPr>
                <w:sz w:val="22"/>
                <w:szCs w:val="22"/>
              </w:rPr>
            </w:pPr>
            <w:r>
              <w:rPr>
                <w:sz w:val="22"/>
                <w:szCs w:val="22"/>
              </w:rPr>
              <w:t>0.03</w:t>
            </w:r>
          </w:p>
        </w:tc>
        <w:tc>
          <w:tcPr>
            <w:tcW w:w="1350" w:type="dxa"/>
          </w:tcPr>
          <w:p w14:paraId="759E8B8C" w14:textId="578CD95F" w:rsidR="00F408A2" w:rsidRPr="00753026" w:rsidRDefault="00F408A2" w:rsidP="0012570E">
            <w:pPr>
              <w:jc w:val="center"/>
              <w:rPr>
                <w:sz w:val="22"/>
                <w:szCs w:val="22"/>
              </w:rPr>
            </w:pPr>
            <w:r>
              <w:rPr>
                <w:sz w:val="22"/>
                <w:szCs w:val="22"/>
              </w:rPr>
              <w:t>log</w:t>
            </w:r>
            <w:r w:rsidRPr="00753026">
              <w:rPr>
                <w:sz w:val="22"/>
                <w:szCs w:val="22"/>
              </w:rPr>
              <w:t>normal</w:t>
            </w:r>
          </w:p>
        </w:tc>
      </w:tr>
      <w:tr w:rsidR="00F408A2" w:rsidRPr="00753026" w14:paraId="1F050D53" w14:textId="77777777" w:rsidTr="0012570E">
        <w:tc>
          <w:tcPr>
            <w:tcW w:w="3505" w:type="dxa"/>
          </w:tcPr>
          <w:p w14:paraId="19C12C39" w14:textId="1776E686" w:rsidR="00F408A2" w:rsidRPr="00753026" w:rsidRDefault="00113DDF" w:rsidP="0012570E">
            <w:pPr>
              <w:spacing w:line="276" w:lineRule="auto"/>
              <w:rPr>
                <w:sz w:val="22"/>
                <w:szCs w:val="22"/>
              </w:rPr>
            </w:pPr>
            <w:r>
              <w:rPr>
                <w:sz w:val="22"/>
                <w:szCs w:val="22"/>
              </w:rPr>
              <w:t>Plasma Volume (ml)</w:t>
            </w:r>
          </w:p>
        </w:tc>
        <w:tc>
          <w:tcPr>
            <w:tcW w:w="900" w:type="dxa"/>
          </w:tcPr>
          <w:p w14:paraId="22CA389D" w14:textId="7186EBAD" w:rsidR="00F408A2" w:rsidRPr="00753026" w:rsidRDefault="00113DDF" w:rsidP="0012570E">
            <w:pPr>
              <w:jc w:val="center"/>
              <w:rPr>
                <w:sz w:val="22"/>
                <w:szCs w:val="22"/>
              </w:rPr>
            </w:pPr>
            <m:oMathPara>
              <m:oMath>
                <m:r>
                  <w:rPr>
                    <w:rFonts w:ascii="Cambria Math" w:hAnsi="Cambria Math"/>
                    <w:sz w:val="22"/>
                    <w:szCs w:val="22"/>
                  </w:rPr>
                  <m:t>Vol</m:t>
                </m:r>
              </m:oMath>
            </m:oMathPara>
          </w:p>
        </w:tc>
        <w:tc>
          <w:tcPr>
            <w:tcW w:w="1260" w:type="dxa"/>
          </w:tcPr>
          <w:p w14:paraId="42EA9176" w14:textId="5B4F24E1" w:rsidR="00F408A2" w:rsidRPr="00753026" w:rsidRDefault="00113DDF" w:rsidP="0012570E">
            <w:pPr>
              <w:jc w:val="center"/>
              <w:rPr>
                <w:sz w:val="22"/>
                <w:szCs w:val="22"/>
              </w:rPr>
            </w:pPr>
            <w:r>
              <w:rPr>
                <w:sz w:val="22"/>
                <w:szCs w:val="22"/>
              </w:rPr>
              <w:t>41743</w:t>
            </w:r>
          </w:p>
        </w:tc>
        <w:tc>
          <w:tcPr>
            <w:tcW w:w="1080" w:type="dxa"/>
          </w:tcPr>
          <w:p w14:paraId="3BDB3F13" w14:textId="59B56BC4" w:rsidR="00F408A2" w:rsidRPr="00753026" w:rsidRDefault="00113DDF" w:rsidP="0012570E">
            <w:pPr>
              <w:jc w:val="center"/>
              <w:rPr>
                <w:sz w:val="22"/>
                <w:szCs w:val="22"/>
              </w:rPr>
            </w:pPr>
            <w:r>
              <w:rPr>
                <w:sz w:val="22"/>
                <w:szCs w:val="22"/>
              </w:rPr>
              <w:t>0.12</w:t>
            </w:r>
          </w:p>
        </w:tc>
        <w:tc>
          <w:tcPr>
            <w:tcW w:w="1350" w:type="dxa"/>
          </w:tcPr>
          <w:p w14:paraId="650F8242" w14:textId="77777777" w:rsidR="00F408A2" w:rsidRPr="00753026" w:rsidRDefault="00F408A2" w:rsidP="0012570E">
            <w:pPr>
              <w:jc w:val="center"/>
              <w:rPr>
                <w:sz w:val="22"/>
                <w:szCs w:val="22"/>
              </w:rPr>
            </w:pPr>
            <w:r w:rsidRPr="00753026">
              <w:rPr>
                <w:sz w:val="22"/>
                <w:szCs w:val="22"/>
              </w:rPr>
              <w:t>lognormal</w:t>
            </w:r>
          </w:p>
        </w:tc>
      </w:tr>
    </w:tbl>
    <w:p w14:paraId="444A2948" w14:textId="77777777" w:rsidR="00753026" w:rsidRDefault="00753026" w:rsidP="00753026"/>
    <w:p w14:paraId="76D99E40" w14:textId="6F1DF1D6" w:rsidR="002F37AD" w:rsidRDefault="002F37AD">
      <w:r>
        <w:br w:type="page"/>
      </w:r>
    </w:p>
    <w:p w14:paraId="6CE0C974" w14:textId="04285ADF" w:rsidR="00B97686" w:rsidRDefault="00B97686" w:rsidP="00B97686">
      <w:r w:rsidRPr="00E04494">
        <w:rPr>
          <w:b/>
          <w:bCs/>
        </w:rPr>
        <w:lastRenderedPageBreak/>
        <w:t xml:space="preserve">Table </w:t>
      </w:r>
      <w:r>
        <w:rPr>
          <w:b/>
          <w:bCs/>
        </w:rPr>
        <w:t>3</w:t>
      </w:r>
      <w:r w:rsidRPr="00E04494">
        <w:rPr>
          <w:b/>
          <w:bCs/>
        </w:rPr>
        <w:t xml:space="preserve">: </w:t>
      </w:r>
      <w:r>
        <w:rPr>
          <w:b/>
          <w:bCs/>
        </w:rPr>
        <w:t>Pharmacodynamic parameters</w:t>
      </w:r>
      <w:r w:rsidRPr="006767DC">
        <w:rPr>
          <w:b/>
          <w:bCs/>
          <w:i/>
          <w:iCs/>
          <w:color w:val="44546A" w:themeColor="text2"/>
          <w:sz w:val="20"/>
          <w:szCs w:val="20"/>
        </w:rPr>
        <w:t>.</w:t>
      </w:r>
      <w:r w:rsidRPr="006767DC">
        <w:rPr>
          <w:b/>
          <w:bCs/>
          <w:color w:val="44546A" w:themeColor="text2"/>
          <w:sz w:val="20"/>
          <w:szCs w:val="20"/>
        </w:rPr>
        <w:t xml:space="preserve"> </w:t>
      </w:r>
      <w:r w:rsidRPr="00E04494">
        <w:t xml:space="preserve">Using the </w:t>
      </w:r>
      <w:r w:rsidR="00024931">
        <w:rPr>
          <w:rFonts w:eastAsiaTheme="minorEastAsia"/>
        </w:rPr>
        <w:t xml:space="preserve">least square method, we estimated the PD parameters by fitting the Hill equation to the in vitro data. </w:t>
      </w:r>
    </w:p>
    <w:p w14:paraId="069D664C" w14:textId="77777777" w:rsidR="00B97686" w:rsidRPr="00E04494" w:rsidRDefault="00B97686" w:rsidP="00024931">
      <w:pPr>
        <w:jc w:val="center"/>
      </w:pPr>
    </w:p>
    <w:tbl>
      <w:tblPr>
        <w:tblStyle w:val="TableGrid"/>
        <w:tblW w:w="7720" w:type="dxa"/>
        <w:jc w:val="center"/>
        <w:tblLayout w:type="fixed"/>
        <w:tblLook w:val="04A0" w:firstRow="1" w:lastRow="0" w:firstColumn="1" w:lastColumn="0" w:noHBand="0" w:noVBand="1"/>
      </w:tblPr>
      <w:tblGrid>
        <w:gridCol w:w="4012"/>
        <w:gridCol w:w="1030"/>
        <w:gridCol w:w="1442"/>
        <w:gridCol w:w="1236"/>
      </w:tblGrid>
      <w:tr w:rsidR="00024931" w:rsidRPr="00930AD5" w14:paraId="13256096" w14:textId="77777777" w:rsidTr="00024931">
        <w:trPr>
          <w:jc w:val="center"/>
        </w:trPr>
        <w:tc>
          <w:tcPr>
            <w:tcW w:w="4012" w:type="dxa"/>
          </w:tcPr>
          <w:p w14:paraId="5F6A2E86" w14:textId="77777777" w:rsidR="00024931" w:rsidRPr="00236031" w:rsidRDefault="00024931" w:rsidP="0012570E">
            <w:pPr>
              <w:jc w:val="center"/>
              <w:rPr>
                <w:sz w:val="22"/>
                <w:szCs w:val="22"/>
              </w:rPr>
            </w:pPr>
            <w:r w:rsidRPr="00236031">
              <w:rPr>
                <w:sz w:val="22"/>
                <w:szCs w:val="22"/>
              </w:rPr>
              <w:t>Parameter (unit)</w:t>
            </w:r>
          </w:p>
        </w:tc>
        <w:tc>
          <w:tcPr>
            <w:tcW w:w="1030" w:type="dxa"/>
          </w:tcPr>
          <w:p w14:paraId="0787BE5F" w14:textId="77777777" w:rsidR="00024931" w:rsidRPr="00930AD5" w:rsidRDefault="00024931" w:rsidP="0012570E">
            <w:pPr>
              <w:jc w:val="center"/>
              <w:rPr>
                <w:sz w:val="22"/>
                <w:szCs w:val="22"/>
              </w:rPr>
            </w:pPr>
            <w:r w:rsidRPr="00930AD5">
              <w:rPr>
                <w:sz w:val="22"/>
                <w:szCs w:val="22"/>
              </w:rPr>
              <w:t>Symbol</w:t>
            </w:r>
          </w:p>
        </w:tc>
        <w:tc>
          <w:tcPr>
            <w:tcW w:w="1442" w:type="dxa"/>
          </w:tcPr>
          <w:p w14:paraId="7D9F075E" w14:textId="10F11A24" w:rsidR="00024931" w:rsidRPr="00930AD5" w:rsidRDefault="00024931" w:rsidP="0012570E">
            <w:pPr>
              <w:jc w:val="center"/>
              <w:rPr>
                <w:sz w:val="22"/>
                <w:szCs w:val="22"/>
              </w:rPr>
            </w:pPr>
            <w:r>
              <w:rPr>
                <w:sz w:val="22"/>
                <w:szCs w:val="22"/>
              </w:rPr>
              <w:t>M</w:t>
            </w:r>
            <w:r w:rsidRPr="00930AD5">
              <w:rPr>
                <w:sz w:val="22"/>
                <w:szCs w:val="22"/>
              </w:rPr>
              <w:t>ean</w:t>
            </w:r>
          </w:p>
        </w:tc>
        <w:tc>
          <w:tcPr>
            <w:tcW w:w="1236" w:type="dxa"/>
          </w:tcPr>
          <w:p w14:paraId="58EA9E94" w14:textId="559BA60C" w:rsidR="00024931" w:rsidRPr="00930AD5" w:rsidRDefault="00024931" w:rsidP="0012570E">
            <w:pPr>
              <w:jc w:val="center"/>
              <w:rPr>
                <w:sz w:val="22"/>
                <w:szCs w:val="22"/>
              </w:rPr>
            </w:pPr>
            <w:r w:rsidRPr="00930AD5">
              <w:rPr>
                <w:sz w:val="22"/>
                <w:szCs w:val="22"/>
              </w:rPr>
              <w:t xml:space="preserve">Standard </w:t>
            </w:r>
            <w:r>
              <w:rPr>
                <w:sz w:val="22"/>
                <w:szCs w:val="22"/>
              </w:rPr>
              <w:t>Error</w:t>
            </w:r>
          </w:p>
        </w:tc>
      </w:tr>
      <w:tr w:rsidR="00024931" w:rsidRPr="00753026" w14:paraId="3962503C" w14:textId="77777777" w:rsidTr="00024931">
        <w:trPr>
          <w:jc w:val="center"/>
        </w:trPr>
        <w:tc>
          <w:tcPr>
            <w:tcW w:w="4012" w:type="dxa"/>
          </w:tcPr>
          <w:p w14:paraId="71CE1E85" w14:textId="001FC52C" w:rsidR="00024931" w:rsidRPr="00753026" w:rsidRDefault="00024931" w:rsidP="0012570E">
            <w:pPr>
              <w:spacing w:line="276" w:lineRule="auto"/>
              <w:rPr>
                <w:sz w:val="22"/>
                <w:szCs w:val="22"/>
              </w:rPr>
            </w:pPr>
            <w:r>
              <w:rPr>
                <w:sz w:val="22"/>
                <w:szCs w:val="22"/>
              </w:rPr>
              <w:t>Maximum efficacy (%)</w:t>
            </w:r>
          </w:p>
        </w:tc>
        <w:tc>
          <w:tcPr>
            <w:tcW w:w="1030" w:type="dxa"/>
          </w:tcPr>
          <w:p w14:paraId="0B75C1CA" w14:textId="5C033F53" w:rsidR="00024931" w:rsidRPr="00753026" w:rsidRDefault="00024931" w:rsidP="0012570E">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max</m:t>
                    </m:r>
                  </m:sub>
                </m:sSub>
              </m:oMath>
            </m:oMathPara>
          </w:p>
        </w:tc>
        <w:tc>
          <w:tcPr>
            <w:tcW w:w="1442" w:type="dxa"/>
          </w:tcPr>
          <w:p w14:paraId="3F982465" w14:textId="03731DDF" w:rsidR="00024931" w:rsidRPr="00753026" w:rsidRDefault="00024931" w:rsidP="0012570E">
            <w:pPr>
              <w:jc w:val="center"/>
              <w:rPr>
                <w:sz w:val="22"/>
                <w:szCs w:val="22"/>
              </w:rPr>
            </w:pPr>
            <w:r>
              <w:rPr>
                <w:sz w:val="22"/>
                <w:szCs w:val="22"/>
              </w:rPr>
              <w:t>99.9</w:t>
            </w:r>
          </w:p>
        </w:tc>
        <w:tc>
          <w:tcPr>
            <w:tcW w:w="1236" w:type="dxa"/>
          </w:tcPr>
          <w:p w14:paraId="4AB91181" w14:textId="31C7EFA6" w:rsidR="00024931" w:rsidRPr="00753026" w:rsidRDefault="00024931" w:rsidP="0012570E">
            <w:pPr>
              <w:jc w:val="center"/>
              <w:rPr>
                <w:sz w:val="22"/>
                <w:szCs w:val="22"/>
              </w:rPr>
            </w:pPr>
            <w:r>
              <w:rPr>
                <w:sz w:val="22"/>
                <w:szCs w:val="22"/>
              </w:rPr>
              <w:t>0.026</w:t>
            </w:r>
          </w:p>
        </w:tc>
      </w:tr>
      <w:tr w:rsidR="00024931" w:rsidRPr="00753026" w14:paraId="00BE85C6" w14:textId="77777777" w:rsidTr="00024931">
        <w:trPr>
          <w:jc w:val="center"/>
        </w:trPr>
        <w:tc>
          <w:tcPr>
            <w:tcW w:w="4012" w:type="dxa"/>
          </w:tcPr>
          <w:p w14:paraId="023C7588" w14:textId="3662A881" w:rsidR="00024931" w:rsidRPr="00024931" w:rsidRDefault="00024931" w:rsidP="0012570E">
            <w:pPr>
              <w:spacing w:line="276" w:lineRule="auto"/>
              <w:rPr>
                <w:sz w:val="22"/>
                <w:szCs w:val="22"/>
                <w:vertAlign w:val="subscript"/>
              </w:rPr>
            </w:pPr>
            <w:r>
              <w:rPr>
                <w:sz w:val="22"/>
                <w:szCs w:val="22"/>
              </w:rPr>
              <w:t xml:space="preserve">Drug concentration to provide 50% efficacy </w:t>
            </w:r>
            <w:r w:rsidRPr="00753026">
              <w:rPr>
                <w:sz w:val="22"/>
                <w:szCs w:val="22"/>
              </w:rPr>
              <w:t>(</w:t>
            </w:r>
            <m:oMath>
              <m:r>
                <w:rPr>
                  <w:rFonts w:ascii="Cambria Math" w:hAnsi="Cambria Math"/>
                  <w:sz w:val="22"/>
                  <w:szCs w:val="22"/>
                </w:rPr>
                <m:t>nMol</m:t>
              </m:r>
            </m:oMath>
            <w:r w:rsidRPr="00753026">
              <w:rPr>
                <w:sz w:val="22"/>
                <w:szCs w:val="22"/>
              </w:rPr>
              <w:t xml:space="preserve"> )</w:t>
            </w:r>
          </w:p>
        </w:tc>
        <w:tc>
          <w:tcPr>
            <w:tcW w:w="1030" w:type="dxa"/>
          </w:tcPr>
          <w:p w14:paraId="647588B1" w14:textId="65D75F1F" w:rsidR="00024931" w:rsidRPr="00753026" w:rsidRDefault="00024931" w:rsidP="0012570E">
            <w:pPr>
              <w:jc w:val="center"/>
              <w:rPr>
                <w:sz w:val="22"/>
                <w:szCs w:val="22"/>
              </w:rPr>
            </w:pPr>
            <w:r>
              <w:rPr>
                <w:sz w:val="22"/>
                <w:szCs w:val="22"/>
              </w:rPr>
              <w:t>IC</w:t>
            </w:r>
            <w:r>
              <w:rPr>
                <w:sz w:val="22"/>
                <w:szCs w:val="22"/>
                <w:vertAlign w:val="subscript"/>
              </w:rPr>
              <w:t>50</w:t>
            </w:r>
          </w:p>
        </w:tc>
        <w:tc>
          <w:tcPr>
            <w:tcW w:w="1442" w:type="dxa"/>
          </w:tcPr>
          <w:p w14:paraId="0C09E78A" w14:textId="549E271C" w:rsidR="00024931" w:rsidRPr="00753026" w:rsidRDefault="00024931" w:rsidP="0012570E">
            <w:pPr>
              <w:jc w:val="center"/>
              <w:rPr>
                <w:sz w:val="22"/>
                <w:szCs w:val="22"/>
              </w:rPr>
            </w:pPr>
            <w:r>
              <w:rPr>
                <w:sz w:val="22"/>
                <w:szCs w:val="22"/>
              </w:rPr>
              <w:t>43.6</w:t>
            </w:r>
          </w:p>
        </w:tc>
        <w:tc>
          <w:tcPr>
            <w:tcW w:w="1236" w:type="dxa"/>
          </w:tcPr>
          <w:p w14:paraId="73045F90" w14:textId="28FEC29B" w:rsidR="00024931" w:rsidRPr="00753026" w:rsidRDefault="00024931" w:rsidP="0012570E">
            <w:pPr>
              <w:jc w:val="center"/>
              <w:rPr>
                <w:sz w:val="22"/>
                <w:szCs w:val="22"/>
              </w:rPr>
            </w:pPr>
            <w:r>
              <w:rPr>
                <w:sz w:val="22"/>
                <w:szCs w:val="22"/>
              </w:rPr>
              <w:t>3.2</w:t>
            </w:r>
          </w:p>
        </w:tc>
      </w:tr>
      <w:tr w:rsidR="00024931" w:rsidRPr="00753026" w14:paraId="56C8695E" w14:textId="77777777" w:rsidTr="00024931">
        <w:trPr>
          <w:jc w:val="center"/>
        </w:trPr>
        <w:tc>
          <w:tcPr>
            <w:tcW w:w="4012" w:type="dxa"/>
          </w:tcPr>
          <w:p w14:paraId="3E64E04E" w14:textId="299F63A2" w:rsidR="00024931" w:rsidRPr="00753026" w:rsidRDefault="00024931" w:rsidP="0012570E">
            <w:pPr>
              <w:spacing w:line="276" w:lineRule="auto"/>
              <w:rPr>
                <w:sz w:val="22"/>
                <w:szCs w:val="22"/>
              </w:rPr>
            </w:pPr>
            <w:r>
              <w:rPr>
                <w:sz w:val="22"/>
                <w:szCs w:val="22"/>
              </w:rPr>
              <w:t>Hill coefficient</w:t>
            </w:r>
          </w:p>
        </w:tc>
        <w:tc>
          <w:tcPr>
            <w:tcW w:w="1030" w:type="dxa"/>
          </w:tcPr>
          <w:p w14:paraId="3EFDEC76" w14:textId="7A922DD8" w:rsidR="00024931" w:rsidRPr="00753026" w:rsidRDefault="00024931" w:rsidP="0012570E">
            <w:pPr>
              <w:jc w:val="center"/>
              <w:rPr>
                <w:sz w:val="22"/>
                <w:szCs w:val="22"/>
              </w:rPr>
            </w:pPr>
            <m:oMathPara>
              <m:oMath>
                <m:r>
                  <w:rPr>
                    <w:rFonts w:ascii="Cambria Math" w:hAnsi="Cambria Math"/>
                    <w:sz w:val="22"/>
                    <w:szCs w:val="22"/>
                  </w:rPr>
                  <m:t>n</m:t>
                </m:r>
              </m:oMath>
            </m:oMathPara>
          </w:p>
        </w:tc>
        <w:tc>
          <w:tcPr>
            <w:tcW w:w="1442" w:type="dxa"/>
          </w:tcPr>
          <w:p w14:paraId="2E653E1D" w14:textId="4F35FD6C" w:rsidR="00024931" w:rsidRPr="00753026" w:rsidRDefault="00024931" w:rsidP="0012570E">
            <w:pPr>
              <w:jc w:val="center"/>
              <w:rPr>
                <w:sz w:val="22"/>
                <w:szCs w:val="22"/>
              </w:rPr>
            </w:pPr>
            <w:r>
              <w:rPr>
                <w:sz w:val="22"/>
                <w:szCs w:val="22"/>
              </w:rPr>
              <w:t>3.16</w:t>
            </w:r>
          </w:p>
        </w:tc>
        <w:tc>
          <w:tcPr>
            <w:tcW w:w="1236" w:type="dxa"/>
          </w:tcPr>
          <w:p w14:paraId="7D0CB0CE" w14:textId="2359BB2C" w:rsidR="00024931" w:rsidRPr="00753026" w:rsidRDefault="00024931" w:rsidP="0012570E">
            <w:pPr>
              <w:jc w:val="center"/>
              <w:rPr>
                <w:sz w:val="22"/>
                <w:szCs w:val="22"/>
              </w:rPr>
            </w:pPr>
            <w:r>
              <w:rPr>
                <w:sz w:val="22"/>
                <w:szCs w:val="22"/>
              </w:rPr>
              <w:t>0.42</w:t>
            </w:r>
          </w:p>
        </w:tc>
      </w:tr>
    </w:tbl>
    <w:p w14:paraId="261E20E5" w14:textId="77777777" w:rsidR="00B97686" w:rsidRDefault="00B97686" w:rsidP="00753026"/>
    <w:p w14:paraId="3370881B" w14:textId="77777777" w:rsidR="002F37AD" w:rsidRDefault="002F37AD">
      <w:pPr>
        <w:rPr>
          <w:b/>
          <w:bCs/>
        </w:rPr>
      </w:pPr>
      <w:r>
        <w:rPr>
          <w:b/>
          <w:bCs/>
        </w:rPr>
        <w:br w:type="page"/>
      </w:r>
    </w:p>
    <w:p w14:paraId="63653A5E" w14:textId="51BF5018" w:rsidR="00DB2614" w:rsidRDefault="00DB2614" w:rsidP="002910ED">
      <w:r w:rsidRPr="002910ED">
        <w:rPr>
          <w:b/>
          <w:bCs/>
        </w:rPr>
        <w:lastRenderedPageBreak/>
        <w:t xml:space="preserve">Fig S1. </w:t>
      </w:r>
      <w:r w:rsidR="002910ED" w:rsidRPr="002910ED">
        <w:rPr>
          <w:b/>
          <w:bCs/>
        </w:rPr>
        <w:t>Mathematical model recapitulation of untreated SARS-CoV-2 kinetics</w:t>
      </w:r>
      <w:r w:rsidR="002910ED">
        <w:t xml:space="preserve">. Model fit to individual data. </w:t>
      </w:r>
      <w:r w:rsidR="00F04192">
        <w:t>Included panels</w:t>
      </w:r>
      <w:r w:rsidR="002910ED">
        <w:t xml:space="preserve"> are 130 sample individuals from the NBA cohort with a known time of symptom onset. </w:t>
      </w:r>
    </w:p>
    <w:p w14:paraId="17BF9A12" w14:textId="04DDE40D" w:rsidR="002910ED" w:rsidRDefault="002910ED" w:rsidP="002910ED">
      <w:r>
        <w:rPr>
          <w:noProof/>
        </w:rPr>
        <w:drawing>
          <wp:anchor distT="0" distB="0" distL="114300" distR="114300" simplePos="0" relativeHeight="251663360" behindDoc="0" locked="0" layoutInCell="1" allowOverlap="1" wp14:anchorId="3C117CD8" wp14:editId="3F7EAB18">
            <wp:simplePos x="0" y="0"/>
            <wp:positionH relativeFrom="column">
              <wp:posOffset>-257679</wp:posOffset>
            </wp:positionH>
            <wp:positionV relativeFrom="paragraph">
              <wp:posOffset>41910</wp:posOffset>
            </wp:positionV>
            <wp:extent cx="6498523" cy="7441382"/>
            <wp:effectExtent l="0" t="0" r="0" b="0"/>
            <wp:wrapNone/>
            <wp:docPr id="1541366615" name="Picture 2" descr="A graph chart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66615" name="Picture 2" descr="A graph chart with blue lines&#10;&#10;Description automatically generated"/>
                    <pic:cNvPicPr/>
                  </pic:nvPicPr>
                  <pic:blipFill rotWithShape="1">
                    <a:blip r:embed="rId8">
                      <a:extLst>
                        <a:ext uri="{28A0092B-C50C-407E-A947-70E740481C1C}">
                          <a14:useLocalDpi xmlns:a14="http://schemas.microsoft.com/office/drawing/2010/main" val="0"/>
                        </a:ext>
                      </a:extLst>
                    </a:blip>
                    <a:srcRect t="9330" b="9748"/>
                    <a:stretch/>
                  </pic:blipFill>
                  <pic:spPr bwMode="auto">
                    <a:xfrm>
                      <a:off x="0" y="0"/>
                      <a:ext cx="6498523" cy="7441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0D5F0B" w14:textId="2451A30F" w:rsidR="002910ED" w:rsidRDefault="002910ED" w:rsidP="002910ED"/>
    <w:p w14:paraId="7D077C3F" w14:textId="3A438B88" w:rsidR="002910ED" w:rsidRDefault="002910ED" w:rsidP="002910ED"/>
    <w:p w14:paraId="7C894B9A" w14:textId="7D0185BE" w:rsidR="002910ED" w:rsidRDefault="002910ED" w:rsidP="002910ED"/>
    <w:p w14:paraId="6A341747" w14:textId="6DD7A4E5" w:rsidR="002910ED" w:rsidRDefault="002910ED" w:rsidP="002910ED"/>
    <w:p w14:paraId="73B18744" w14:textId="4D6A6E21" w:rsidR="002910ED" w:rsidRDefault="002910ED" w:rsidP="002910ED"/>
    <w:p w14:paraId="0231D765" w14:textId="0EB80C4E" w:rsidR="002910ED" w:rsidRDefault="002910ED" w:rsidP="002910ED"/>
    <w:p w14:paraId="0643741B" w14:textId="023FC6CC" w:rsidR="002910ED" w:rsidRDefault="002910ED" w:rsidP="002910ED"/>
    <w:p w14:paraId="311B4DF1" w14:textId="7D04AB25" w:rsidR="002910ED" w:rsidRDefault="002910ED" w:rsidP="002910ED"/>
    <w:p w14:paraId="6770976D" w14:textId="0B25CDCA" w:rsidR="002910ED" w:rsidRDefault="002910ED" w:rsidP="002910ED">
      <w:r>
        <w:tab/>
      </w:r>
      <w:r>
        <w:br/>
      </w:r>
      <w:r>
        <w:br/>
      </w:r>
      <w:r>
        <w:br/>
      </w:r>
      <w:r>
        <w:br/>
      </w:r>
    </w:p>
    <w:p w14:paraId="4B3CA938" w14:textId="01374DB7" w:rsidR="002910ED" w:rsidRDefault="002910ED">
      <w:r>
        <w:br w:type="page"/>
      </w:r>
    </w:p>
    <w:p w14:paraId="5FDF3241" w14:textId="6B60FC6F" w:rsidR="002910ED" w:rsidRDefault="002910ED" w:rsidP="002910ED"/>
    <w:p w14:paraId="3D7D0A4E" w14:textId="3412135D" w:rsidR="00DB2614" w:rsidRPr="002910ED" w:rsidRDefault="00DB2614" w:rsidP="002910ED">
      <w:r w:rsidRPr="002910ED">
        <w:rPr>
          <w:b/>
          <w:bCs/>
        </w:rPr>
        <w:t xml:space="preserve">Fig S2. </w:t>
      </w:r>
      <w:r w:rsidR="002910ED" w:rsidRPr="002910ED">
        <w:rPr>
          <w:b/>
          <w:bCs/>
        </w:rPr>
        <w:t>P</w:t>
      </w:r>
      <w:r w:rsidR="00FF5330">
        <w:rPr>
          <w:b/>
          <w:bCs/>
        </w:rPr>
        <w:t>harmacokinetic (PK)</w:t>
      </w:r>
      <w:r w:rsidR="002910ED" w:rsidRPr="002910ED">
        <w:rPr>
          <w:b/>
          <w:bCs/>
        </w:rPr>
        <w:t xml:space="preserve"> model recapitulat</w:t>
      </w:r>
      <w:r w:rsidR="00DE1E8D">
        <w:rPr>
          <w:b/>
          <w:bCs/>
        </w:rPr>
        <w:t>ion of</w:t>
      </w:r>
      <w:r w:rsidR="002910ED" w:rsidRPr="002910ED">
        <w:rPr>
          <w:b/>
          <w:bCs/>
        </w:rPr>
        <w:t xml:space="preserve"> plasma concentration of nirmatrelvir</w:t>
      </w:r>
      <w:r w:rsidR="002910ED">
        <w:rPr>
          <w:b/>
          <w:bCs/>
        </w:rPr>
        <w:t xml:space="preserve">. </w:t>
      </w:r>
      <w:r w:rsidR="002910ED">
        <w:t xml:space="preserve">PK model fits individual nirmatrelvir/ritonavir plasma concentration data of 8 individuals (4 fed (F), 4 non-fed (N)) with the 250 mg/100 mg dose of nirmatrelvir/ritonavir.  </w:t>
      </w:r>
    </w:p>
    <w:p w14:paraId="6E35B022" w14:textId="2F595095" w:rsidR="002910ED" w:rsidRDefault="002910ED" w:rsidP="002910ED">
      <w:r>
        <w:rPr>
          <w:noProof/>
        </w:rPr>
        <w:drawing>
          <wp:inline distT="0" distB="0" distL="0" distR="0" wp14:anchorId="7152A63A" wp14:editId="70F12559">
            <wp:extent cx="5943600" cy="2476500"/>
            <wp:effectExtent l="0" t="0" r="0" b="0"/>
            <wp:docPr id="1391990502" name="Picture 3"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90502" name="Picture 3" descr="A graph of a function&#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943600" cy="2476500"/>
                    </a:xfrm>
                    <a:prstGeom prst="rect">
                      <a:avLst/>
                    </a:prstGeom>
                  </pic:spPr>
                </pic:pic>
              </a:graphicData>
            </a:graphic>
          </wp:inline>
        </w:drawing>
      </w:r>
      <w:r>
        <w:br w:type="page"/>
      </w:r>
    </w:p>
    <w:p w14:paraId="01012A3B" w14:textId="29DC91E0" w:rsidR="002910ED" w:rsidRDefault="00DB2614" w:rsidP="002910ED">
      <w:r w:rsidRPr="002910ED">
        <w:rPr>
          <w:b/>
          <w:bCs/>
        </w:rPr>
        <w:lastRenderedPageBreak/>
        <w:t xml:space="preserve">Fig S3. </w:t>
      </w:r>
      <w:r w:rsidR="002910ED" w:rsidRPr="002910ED">
        <w:rPr>
          <w:b/>
          <w:bCs/>
        </w:rPr>
        <w:t>P</w:t>
      </w:r>
      <w:r w:rsidR="00FF5330">
        <w:rPr>
          <w:b/>
          <w:bCs/>
        </w:rPr>
        <w:t>harmacodynamic (P</w:t>
      </w:r>
      <w:r w:rsidR="002910ED" w:rsidRPr="002910ED">
        <w:rPr>
          <w:b/>
          <w:bCs/>
        </w:rPr>
        <w:t>D</w:t>
      </w:r>
      <w:r w:rsidR="00FF5330">
        <w:rPr>
          <w:b/>
          <w:bCs/>
        </w:rPr>
        <w:t>)</w:t>
      </w:r>
      <w:r w:rsidR="002910ED" w:rsidRPr="002910ED">
        <w:rPr>
          <w:b/>
          <w:bCs/>
        </w:rPr>
        <w:t xml:space="preserve"> model fitting to mean </w:t>
      </w:r>
      <w:r w:rsidR="00DE1E8D">
        <w:rPr>
          <w:b/>
          <w:bCs/>
        </w:rPr>
        <w:t xml:space="preserve">antiviral </w:t>
      </w:r>
      <w:r w:rsidR="002910ED" w:rsidRPr="002910ED">
        <w:rPr>
          <w:b/>
          <w:bCs/>
        </w:rPr>
        <w:t>efficacy as a function of drug concentration in vitro</w:t>
      </w:r>
      <w:r w:rsidR="002910ED">
        <w:t xml:space="preserve">. PD model fitting to mean efficacy of </w:t>
      </w:r>
      <w:proofErr w:type="spellStart"/>
      <w:r w:rsidR="002910ED">
        <w:t>nirmatrelvir+efflux</w:t>
      </w:r>
      <w:proofErr w:type="spellEnd"/>
      <w:r w:rsidR="002910ED">
        <w:t xml:space="preserve"> inhibitor </w:t>
      </w:r>
      <w:r w:rsidR="00DE1E8D">
        <w:t xml:space="preserve">was </w:t>
      </w:r>
      <w:r w:rsidR="002910ED">
        <w:t xml:space="preserve">obtained from 5 </w:t>
      </w:r>
      <w:r w:rsidR="002910ED" w:rsidRPr="00DE1E8D">
        <w:rPr>
          <w:i/>
          <w:iCs/>
        </w:rPr>
        <w:t>in vitro</w:t>
      </w:r>
      <w:r w:rsidR="002910ED">
        <w:t xml:space="preserve"> </w:t>
      </w:r>
      <w:r w:rsidR="00DE1E8D">
        <w:t xml:space="preserve">infection </w:t>
      </w:r>
      <w:r w:rsidR="002910ED">
        <w:t xml:space="preserve">experiments using the least square method. </w:t>
      </w:r>
    </w:p>
    <w:p w14:paraId="7CEE23BA" w14:textId="737DC876" w:rsidR="00DB2614" w:rsidRDefault="002910ED" w:rsidP="002910ED">
      <w:r>
        <w:rPr>
          <w:noProof/>
        </w:rPr>
        <w:drawing>
          <wp:anchor distT="0" distB="0" distL="114300" distR="114300" simplePos="0" relativeHeight="251665408" behindDoc="0" locked="0" layoutInCell="1" allowOverlap="1" wp14:anchorId="2819C012" wp14:editId="30C3EB1A">
            <wp:simplePos x="0" y="0"/>
            <wp:positionH relativeFrom="column">
              <wp:posOffset>1005142</wp:posOffset>
            </wp:positionH>
            <wp:positionV relativeFrom="paragraph">
              <wp:posOffset>0</wp:posOffset>
            </wp:positionV>
            <wp:extent cx="3762302" cy="2687473"/>
            <wp:effectExtent l="0" t="0" r="0" b="0"/>
            <wp:wrapNone/>
            <wp:docPr id="497322181" name="Picture 5" descr="A graph with a line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22181" name="Picture 5" descr="A graph with a line and dot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762302" cy="2687473"/>
                    </a:xfrm>
                    <a:prstGeom prst="rect">
                      <a:avLst/>
                    </a:prstGeom>
                  </pic:spPr>
                </pic:pic>
              </a:graphicData>
            </a:graphic>
            <wp14:sizeRelH relativeFrom="page">
              <wp14:pctWidth>0</wp14:pctWidth>
            </wp14:sizeRelH>
            <wp14:sizeRelV relativeFrom="page">
              <wp14:pctHeight>0</wp14:pctHeight>
            </wp14:sizeRelV>
          </wp:anchor>
        </w:drawing>
      </w:r>
      <w:r>
        <w:br w:type="page"/>
      </w:r>
    </w:p>
    <w:p w14:paraId="24BDCF62" w14:textId="20AE0477" w:rsidR="002910ED" w:rsidRPr="002910ED" w:rsidRDefault="00DB2614" w:rsidP="002910ED">
      <w:r w:rsidRPr="002910ED">
        <w:rPr>
          <w:b/>
          <w:bCs/>
        </w:rPr>
        <w:lastRenderedPageBreak/>
        <w:t xml:space="preserve">FigS4. </w:t>
      </w:r>
      <w:r w:rsidR="00DE1E8D">
        <w:rPr>
          <w:b/>
          <w:bCs/>
        </w:rPr>
        <w:t>Clinical trial simulation with delta variant infections</w:t>
      </w:r>
      <w:r w:rsidR="002910ED">
        <w:rPr>
          <w:b/>
          <w:bCs/>
        </w:rPr>
        <w:t xml:space="preserve">. </w:t>
      </w:r>
      <w:r w:rsidR="002910ED">
        <w:t>(a-b) mean (blue), individual (gray), and ranges (labeled dashed lines) of log10 viral load drop from the baseline of delta infections of the NBA cohort treated with (a) placebo or (b) five days of nirmatrelvir / ritonavir 300 mg twice daily. (c) R</w:t>
      </w:r>
      <w:r w:rsidR="002910ED" w:rsidRPr="002910ED">
        <w:rPr>
          <w:vertAlign w:val="superscript"/>
        </w:rPr>
        <w:t>2</w:t>
      </w:r>
      <w:r w:rsidR="002910ED">
        <w:t xml:space="preserve"> of the fit of the model </w:t>
      </w:r>
      <w:r w:rsidR="00DE1E8D">
        <w:t xml:space="preserve">to </w:t>
      </w:r>
      <w:r w:rsidR="002910ED">
        <w:t xml:space="preserve">viral load </w:t>
      </w:r>
      <w:r w:rsidR="00DE1E8D">
        <w:t>decrease with simulations performed at multiple possible potency reduction factors</w:t>
      </w:r>
      <w:r w:rsidR="002910ED">
        <w:t>. The best model fit was at a potency reduction factor of 69</w:t>
      </w:r>
      <w:r w:rsidR="00DE1E8D">
        <w:t>.</w:t>
      </w:r>
    </w:p>
    <w:p w14:paraId="45E3DBEC" w14:textId="449441B3" w:rsidR="00DB2614" w:rsidRDefault="000E5083" w:rsidP="000E5083">
      <w:r>
        <w:rPr>
          <w:noProof/>
        </w:rPr>
        <w:drawing>
          <wp:anchor distT="0" distB="0" distL="114300" distR="114300" simplePos="0" relativeHeight="251666432" behindDoc="0" locked="0" layoutInCell="1" allowOverlap="1" wp14:anchorId="0A637509" wp14:editId="0374637A">
            <wp:simplePos x="0" y="0"/>
            <wp:positionH relativeFrom="column">
              <wp:posOffset>286186</wp:posOffset>
            </wp:positionH>
            <wp:positionV relativeFrom="paragraph">
              <wp:posOffset>90742</wp:posOffset>
            </wp:positionV>
            <wp:extent cx="5815330" cy="3727402"/>
            <wp:effectExtent l="0" t="0" r="0" b="0"/>
            <wp:wrapNone/>
            <wp:docPr id="934806018"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06018" name="Picture 7" descr="A screenshot of a cell phone&#10;&#10;Description automatically generated"/>
                    <pic:cNvPicPr/>
                  </pic:nvPicPr>
                  <pic:blipFill rotWithShape="1">
                    <a:blip r:embed="rId11">
                      <a:extLst>
                        <a:ext uri="{28A0092B-C50C-407E-A947-70E740481C1C}">
                          <a14:useLocalDpi xmlns:a14="http://schemas.microsoft.com/office/drawing/2010/main" val="0"/>
                        </a:ext>
                      </a:extLst>
                    </a:blip>
                    <a:srcRect b="54707"/>
                    <a:stretch/>
                  </pic:blipFill>
                  <pic:spPr bwMode="auto">
                    <a:xfrm>
                      <a:off x="0" y="0"/>
                      <a:ext cx="5815330" cy="37274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0ED">
        <w:br w:type="page"/>
      </w:r>
    </w:p>
    <w:p w14:paraId="20C9B40D" w14:textId="699072B5" w:rsidR="009110E9" w:rsidRDefault="00DB2614" w:rsidP="00551AB1">
      <w:r w:rsidRPr="003C3564">
        <w:rPr>
          <w:b/>
          <w:bCs/>
        </w:rPr>
        <w:lastRenderedPageBreak/>
        <w:t xml:space="preserve">FigS5. </w:t>
      </w:r>
      <w:r w:rsidR="00DE1E8D">
        <w:rPr>
          <w:b/>
          <w:bCs/>
        </w:rPr>
        <w:t>S</w:t>
      </w:r>
      <w:r w:rsidR="00551AB1" w:rsidRPr="003C3564">
        <w:rPr>
          <w:b/>
          <w:bCs/>
        </w:rPr>
        <w:t>ensitiv</w:t>
      </w:r>
      <w:r w:rsidR="00DE1E8D">
        <w:rPr>
          <w:b/>
          <w:bCs/>
        </w:rPr>
        <w:t>ity of viral rebound detection</w:t>
      </w:r>
      <w:r w:rsidR="00551AB1" w:rsidRPr="003C3564">
        <w:rPr>
          <w:b/>
          <w:bCs/>
        </w:rPr>
        <w:t xml:space="preserve"> to </w:t>
      </w:r>
      <w:r w:rsidR="00DE1E8D">
        <w:rPr>
          <w:b/>
          <w:bCs/>
        </w:rPr>
        <w:t>rebound definition</w:t>
      </w:r>
      <w:r w:rsidR="002B7102" w:rsidRPr="003C3564">
        <w:rPr>
          <w:b/>
          <w:bCs/>
        </w:rPr>
        <w:t xml:space="preserve"> and sampling </w:t>
      </w:r>
      <w:r w:rsidR="00DE1E8D">
        <w:rPr>
          <w:b/>
          <w:bCs/>
        </w:rPr>
        <w:t>frequency</w:t>
      </w:r>
      <w:r w:rsidR="002B7102" w:rsidRPr="003C3564">
        <w:rPr>
          <w:b/>
          <w:bCs/>
        </w:rPr>
        <w:t>.</w:t>
      </w:r>
      <w:r w:rsidR="002B7102">
        <w:t xml:space="preserve"> Top row: rebound probability </w:t>
      </w:r>
      <w:r w:rsidR="00CD5109">
        <w:t xml:space="preserve">in the treatment arm </w:t>
      </w:r>
      <w:r w:rsidR="002B7102">
        <w:t xml:space="preserve">measured by sampling every 0.001 of a day after treatment </w:t>
      </w:r>
      <w:r w:rsidR="003C3564">
        <w:t xml:space="preserve">and </w:t>
      </w:r>
      <w:r w:rsidR="00DE1E8D">
        <w:t>defining rebound as</w:t>
      </w:r>
      <w:r w:rsidR="003C3564">
        <w:t xml:space="preserve"> </w:t>
      </w:r>
      <w:r w:rsidR="00DE1E8D">
        <w:t>cases when</w:t>
      </w:r>
      <w:r w:rsidR="003C3564">
        <w:t xml:space="preserve"> viral load exceeds the viral load at the end of the treatment by</w:t>
      </w:r>
      <w:r>
        <w:t xml:space="preserve"> </w:t>
      </w:r>
      <w:r w:rsidR="003C3564">
        <w:t xml:space="preserve">2 </w:t>
      </w:r>
      <w:proofErr w:type="gramStart"/>
      <w:r w:rsidR="003C3564">
        <w:t>log</w:t>
      </w:r>
      <w:proofErr w:type="gramEnd"/>
      <w:r w:rsidR="003C3564">
        <w:t>, 1 log,</w:t>
      </w:r>
      <w:r w:rsidR="00DE1E8D">
        <w:t xml:space="preserve"> or</w:t>
      </w:r>
      <w:r w:rsidR="003C3564">
        <w:t xml:space="preserve"> 0.5 log (left to right). Bottom row: rebound probability measured by sampling on day 5 after treatment ends with the same thresholds as the top row from left to right. </w:t>
      </w:r>
    </w:p>
    <w:p w14:paraId="7D263CC3" w14:textId="042A195B" w:rsidR="00DB2614" w:rsidRDefault="008C4E20" w:rsidP="00B106A4">
      <w:r>
        <w:rPr>
          <w:noProof/>
        </w:rPr>
        <w:drawing>
          <wp:anchor distT="0" distB="0" distL="114300" distR="114300" simplePos="0" relativeHeight="251667456" behindDoc="0" locked="0" layoutInCell="1" allowOverlap="1" wp14:anchorId="2AB9B2CB" wp14:editId="111A434D">
            <wp:simplePos x="0" y="0"/>
            <wp:positionH relativeFrom="column">
              <wp:posOffset>243840</wp:posOffset>
            </wp:positionH>
            <wp:positionV relativeFrom="paragraph">
              <wp:posOffset>285639</wp:posOffset>
            </wp:positionV>
            <wp:extent cx="5943600" cy="4245610"/>
            <wp:effectExtent l="0" t="0" r="0" b="0"/>
            <wp:wrapNone/>
            <wp:docPr id="887238607" name="Picture 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38607" name="Picture 8" descr="A screenshot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4245610"/>
                    </a:xfrm>
                    <a:prstGeom prst="rect">
                      <a:avLst/>
                    </a:prstGeom>
                  </pic:spPr>
                </pic:pic>
              </a:graphicData>
            </a:graphic>
            <wp14:sizeRelH relativeFrom="page">
              <wp14:pctWidth>0</wp14:pctWidth>
            </wp14:sizeRelH>
            <wp14:sizeRelV relativeFrom="page">
              <wp14:pctHeight>0</wp14:pctHeight>
            </wp14:sizeRelV>
          </wp:anchor>
        </w:drawing>
      </w:r>
      <w:r w:rsidR="009110E9">
        <w:br w:type="page"/>
      </w:r>
    </w:p>
    <w:p w14:paraId="750D26B5" w14:textId="148C3360" w:rsidR="00DB2614" w:rsidRDefault="00DB2614" w:rsidP="001A7C8B">
      <w:r w:rsidRPr="00F97853">
        <w:rPr>
          <w:b/>
          <w:bCs/>
        </w:rPr>
        <w:lastRenderedPageBreak/>
        <w:t xml:space="preserve">FigS6. </w:t>
      </w:r>
      <w:r w:rsidR="00DE1E8D">
        <w:rPr>
          <w:b/>
          <w:bCs/>
        </w:rPr>
        <w:t>P</w:t>
      </w:r>
      <w:r w:rsidR="00B6699E" w:rsidRPr="00F97853">
        <w:rPr>
          <w:b/>
          <w:bCs/>
        </w:rPr>
        <w:t>reserv</w:t>
      </w:r>
      <w:r w:rsidR="00DE1E8D">
        <w:rPr>
          <w:b/>
          <w:bCs/>
        </w:rPr>
        <w:t>ation of</w:t>
      </w:r>
      <w:r w:rsidR="00B6699E" w:rsidRPr="00F97853">
        <w:rPr>
          <w:b/>
          <w:bCs/>
        </w:rPr>
        <w:t xml:space="preserve"> </w:t>
      </w:r>
      <w:r w:rsidR="00F97853" w:rsidRPr="00F97853">
        <w:rPr>
          <w:b/>
          <w:bCs/>
        </w:rPr>
        <w:t xml:space="preserve">susceptible cells and </w:t>
      </w:r>
      <w:r w:rsidR="00DE1E8D">
        <w:rPr>
          <w:b/>
          <w:bCs/>
        </w:rPr>
        <w:t>decreased</w:t>
      </w:r>
      <w:r w:rsidR="00F97853" w:rsidRPr="00F97853">
        <w:rPr>
          <w:b/>
          <w:bCs/>
        </w:rPr>
        <w:t xml:space="preserve"> refractory cell</w:t>
      </w:r>
      <w:r w:rsidR="00DE1E8D">
        <w:rPr>
          <w:b/>
          <w:bCs/>
        </w:rPr>
        <w:t xml:space="preserve"> generation with early nirmatrelvir therapy</w:t>
      </w:r>
      <w:r w:rsidR="00F97853" w:rsidRPr="00F97853">
        <w:rPr>
          <w:b/>
          <w:bCs/>
        </w:rPr>
        <w:t>.</w:t>
      </w:r>
      <w:r w:rsidR="00F97853">
        <w:t xml:space="preserve"> </w:t>
      </w:r>
      <w:r>
        <w:t>The ratio</w:t>
      </w:r>
      <w:r w:rsidR="00F31DE5">
        <w:t>s</w:t>
      </w:r>
      <w:r>
        <w:t xml:space="preserve"> of susceptible to refractory cells at the end of the </w:t>
      </w:r>
      <w:r w:rsidR="00D80FD1">
        <w:t xml:space="preserve">5-day </w:t>
      </w:r>
      <w:r>
        <w:t>treatment for different timing</w:t>
      </w:r>
      <w:r w:rsidR="00DA449B">
        <w:t>s</w:t>
      </w:r>
      <w:r>
        <w:t xml:space="preserve"> of treatment</w:t>
      </w:r>
      <w:r w:rsidR="009E5116">
        <w:t xml:space="preserve"> </w:t>
      </w:r>
      <w:r w:rsidR="00D80FD1">
        <w:t>(day 1, day 4, day 7, and day 10) as</w:t>
      </w:r>
      <w:r w:rsidR="00F31DE5">
        <w:t xml:space="preserve"> shown in</w:t>
      </w:r>
      <w:r w:rsidR="009E5116">
        <w:t xml:space="preserve"> </w:t>
      </w:r>
      <w:r w:rsidR="009E5116" w:rsidRPr="00F31DE5">
        <w:rPr>
          <w:b/>
          <w:bCs/>
        </w:rPr>
        <w:t>Fig</w:t>
      </w:r>
      <w:r w:rsidR="00F31DE5" w:rsidRPr="00F31DE5">
        <w:rPr>
          <w:b/>
          <w:bCs/>
        </w:rPr>
        <w:t xml:space="preserve"> </w:t>
      </w:r>
      <w:r w:rsidR="009E5116" w:rsidRPr="00F31DE5">
        <w:rPr>
          <w:b/>
          <w:bCs/>
        </w:rPr>
        <w:t>8</w:t>
      </w:r>
      <w:r>
        <w:t>.</w:t>
      </w:r>
    </w:p>
    <w:p w14:paraId="30309848" w14:textId="0FF04A98" w:rsidR="00DA449B" w:rsidRDefault="00DE64DD">
      <w:r>
        <w:rPr>
          <w:noProof/>
        </w:rPr>
        <w:drawing>
          <wp:anchor distT="0" distB="0" distL="114300" distR="114300" simplePos="0" relativeHeight="251668480" behindDoc="0" locked="0" layoutInCell="1" allowOverlap="1" wp14:anchorId="6EE83296" wp14:editId="315DBA81">
            <wp:simplePos x="0" y="0"/>
            <wp:positionH relativeFrom="column">
              <wp:posOffset>614253</wp:posOffset>
            </wp:positionH>
            <wp:positionV relativeFrom="paragraph">
              <wp:posOffset>121620</wp:posOffset>
            </wp:positionV>
            <wp:extent cx="4732544" cy="2366272"/>
            <wp:effectExtent l="0" t="0" r="0" b="0"/>
            <wp:wrapNone/>
            <wp:docPr id="978723652" name="Picture 9"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23652" name="Picture 9" descr="A screenshot of a graph&#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32544" cy="2366272"/>
                    </a:xfrm>
                    <a:prstGeom prst="rect">
                      <a:avLst/>
                    </a:prstGeom>
                  </pic:spPr>
                </pic:pic>
              </a:graphicData>
            </a:graphic>
            <wp14:sizeRelH relativeFrom="page">
              <wp14:pctWidth>0</wp14:pctWidth>
            </wp14:sizeRelH>
            <wp14:sizeRelV relativeFrom="page">
              <wp14:pctHeight>0</wp14:pctHeight>
            </wp14:sizeRelV>
          </wp:anchor>
        </w:drawing>
      </w:r>
      <w:r w:rsidR="00DA449B">
        <w:br w:type="page"/>
      </w:r>
    </w:p>
    <w:p w14:paraId="3D97354F" w14:textId="77777777" w:rsidR="00F97853" w:rsidRDefault="00F97853" w:rsidP="001A7C8B"/>
    <w:p w14:paraId="5261D34D" w14:textId="00A875D3" w:rsidR="001C21FC" w:rsidRPr="00DE1E8D" w:rsidRDefault="00DB2614" w:rsidP="001C21FC">
      <w:pPr>
        <w:rPr>
          <w:b/>
          <w:bCs/>
        </w:rPr>
      </w:pPr>
      <w:r w:rsidRPr="008C1E07">
        <w:rPr>
          <w:b/>
          <w:bCs/>
        </w:rPr>
        <w:t xml:space="preserve">FigS7. </w:t>
      </w:r>
      <w:r w:rsidR="008C1E07" w:rsidRPr="008C1E07">
        <w:rPr>
          <w:b/>
          <w:bCs/>
        </w:rPr>
        <w:t xml:space="preserve">Higher rebound probability in individuals with larger </w:t>
      </w:r>
      <w:r w:rsidR="00DE1E8D">
        <w:rPr>
          <w:b/>
          <w:bCs/>
        </w:rPr>
        <w:t>viral area under the curve</w:t>
      </w:r>
      <w:r w:rsidR="008C1E07" w:rsidRPr="008C1E07">
        <w:rPr>
          <w:b/>
          <w:bCs/>
        </w:rPr>
        <w:t xml:space="preserve"> after early treatment.</w:t>
      </w:r>
      <w:r w:rsidR="008C1E07">
        <w:t xml:space="preserve"> </w:t>
      </w:r>
      <w:r w:rsidR="001C21FC" w:rsidRPr="00DE1E8D">
        <w:t xml:space="preserve">The probability of rebound and the viral load at the end of the treatment for </w:t>
      </w:r>
      <w:r w:rsidR="00F56624">
        <w:t>six</w:t>
      </w:r>
      <w:r w:rsidR="006C2B86">
        <w:t xml:space="preserve"> </w:t>
      </w:r>
      <w:r w:rsidR="001C21FC" w:rsidRPr="00DE1E8D">
        <w:t>different shedding pattern</w:t>
      </w:r>
      <w:r w:rsidR="00DE1E8D" w:rsidRPr="00DE1E8D">
        <w:t xml:space="preserve"> groups </w:t>
      </w:r>
      <w:r w:rsidR="001C21FC" w:rsidRPr="00DE1E8D">
        <w:t>in the NBA cohort identified in Owens et al</w:t>
      </w:r>
      <w:r w:rsidR="00F56624">
        <w:t xml:space="preserve">. </w:t>
      </w:r>
      <w:r w:rsidR="006C2B86">
        <w:t xml:space="preserve"> by k-means clustering</w:t>
      </w:r>
      <w:r w:rsidR="001C21FC" w:rsidRPr="00DE1E8D">
        <w:t>.</w:t>
      </w:r>
      <w:r w:rsidR="00DE1E8D" w:rsidRPr="00DE1E8D">
        <w:t xml:space="preserve"> Higher</w:t>
      </w:r>
      <w:r w:rsidR="00DE1E8D">
        <w:t xml:space="preserve"> group number indicates higher viral area under the curve assuming untreated infection.</w:t>
      </w:r>
    </w:p>
    <w:p w14:paraId="1492D6FE" w14:textId="0DF41DB2" w:rsidR="00DB2614" w:rsidRDefault="00DB2614" w:rsidP="005B360F"/>
    <w:p w14:paraId="5358DEB8" w14:textId="1D63A842" w:rsidR="004A4FA0" w:rsidRDefault="008003C2">
      <w:r>
        <w:rPr>
          <w:noProof/>
        </w:rPr>
        <w:drawing>
          <wp:inline distT="0" distB="0" distL="0" distR="0" wp14:anchorId="133ABF4D" wp14:editId="67D63129">
            <wp:extent cx="5943600" cy="2751455"/>
            <wp:effectExtent l="0" t="0" r="0" b="0"/>
            <wp:docPr id="431058557"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58557" name="Picture 3" descr="A screenshot of a computer scree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751455"/>
                    </a:xfrm>
                    <a:prstGeom prst="rect">
                      <a:avLst/>
                    </a:prstGeom>
                  </pic:spPr>
                </pic:pic>
              </a:graphicData>
            </a:graphic>
          </wp:inline>
        </w:drawing>
      </w:r>
    </w:p>
    <w:sectPr w:rsidR="004A4FA0" w:rsidSect="004A02FE">
      <w:pgSz w:w="12240" w:h="15840"/>
      <w:pgMar w:top="107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57D"/>
    <w:multiLevelType w:val="hybridMultilevel"/>
    <w:tmpl w:val="B4FE01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61567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14"/>
    <w:rsid w:val="00024931"/>
    <w:rsid w:val="000E5083"/>
    <w:rsid w:val="00113DDF"/>
    <w:rsid w:val="001A7C8B"/>
    <w:rsid w:val="001C21FC"/>
    <w:rsid w:val="002910ED"/>
    <w:rsid w:val="002B7102"/>
    <w:rsid w:val="002F37AD"/>
    <w:rsid w:val="0036279C"/>
    <w:rsid w:val="003C3564"/>
    <w:rsid w:val="004317A3"/>
    <w:rsid w:val="004A02FE"/>
    <w:rsid w:val="004A4FA0"/>
    <w:rsid w:val="00551AB1"/>
    <w:rsid w:val="005B360F"/>
    <w:rsid w:val="00632178"/>
    <w:rsid w:val="0064406F"/>
    <w:rsid w:val="006651DD"/>
    <w:rsid w:val="00684E2F"/>
    <w:rsid w:val="006C2B86"/>
    <w:rsid w:val="00753026"/>
    <w:rsid w:val="00785AC9"/>
    <w:rsid w:val="007D0A2D"/>
    <w:rsid w:val="008003C2"/>
    <w:rsid w:val="008C1E07"/>
    <w:rsid w:val="008C4E20"/>
    <w:rsid w:val="009110E9"/>
    <w:rsid w:val="009D4D2D"/>
    <w:rsid w:val="009E5116"/>
    <w:rsid w:val="00B106A4"/>
    <w:rsid w:val="00B6699E"/>
    <w:rsid w:val="00B97686"/>
    <w:rsid w:val="00C125DA"/>
    <w:rsid w:val="00C81351"/>
    <w:rsid w:val="00C81969"/>
    <w:rsid w:val="00CD4FD8"/>
    <w:rsid w:val="00CD5109"/>
    <w:rsid w:val="00D67A15"/>
    <w:rsid w:val="00D80FD1"/>
    <w:rsid w:val="00DA449B"/>
    <w:rsid w:val="00DB2614"/>
    <w:rsid w:val="00DB7463"/>
    <w:rsid w:val="00DE1E8D"/>
    <w:rsid w:val="00DE64DD"/>
    <w:rsid w:val="00E04494"/>
    <w:rsid w:val="00F04192"/>
    <w:rsid w:val="00F31DE5"/>
    <w:rsid w:val="00F408A2"/>
    <w:rsid w:val="00F56624"/>
    <w:rsid w:val="00F97853"/>
    <w:rsid w:val="00FF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7B62"/>
  <w15:docId w15:val="{2AE152D9-4898-F34E-A1AC-A55EF337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14"/>
    <w:pPr>
      <w:ind w:left="720"/>
      <w:contextualSpacing/>
    </w:pPr>
  </w:style>
  <w:style w:type="paragraph" w:styleId="Caption">
    <w:name w:val="caption"/>
    <w:basedOn w:val="Normal"/>
    <w:next w:val="Normal"/>
    <w:uiPriority w:val="35"/>
    <w:unhideWhenUsed/>
    <w:qFormat/>
    <w:rsid w:val="001C21FC"/>
    <w:pPr>
      <w:spacing w:after="200"/>
    </w:pPr>
    <w:rPr>
      <w:i/>
      <w:iCs/>
      <w:color w:val="44546A" w:themeColor="text2"/>
      <w:sz w:val="18"/>
      <w:szCs w:val="18"/>
    </w:rPr>
  </w:style>
  <w:style w:type="table" w:styleId="TableGrid">
    <w:name w:val="Table Grid"/>
    <w:basedOn w:val="TableNormal"/>
    <w:uiPriority w:val="39"/>
    <w:rsid w:val="00E0449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4494"/>
    <w:rPr>
      <w:color w:val="0563C1" w:themeColor="hyperlink"/>
      <w:u w:val="single"/>
    </w:rPr>
  </w:style>
  <w:style w:type="character" w:styleId="PlaceholderText">
    <w:name w:val="Placeholder Text"/>
    <w:basedOn w:val="DefaultParagraphFont"/>
    <w:uiPriority w:val="99"/>
    <w:semiHidden/>
    <w:rsid w:val="00F408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github.com/lacyk3/SARS-CoV-2Kinetics"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ithub.com/lacyk3/SARS-CoV-2Kinetics"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3F91B3-8CFA-954C-9DA1-8C90B6B17798}">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A816-4107-C941-A09E-AAFDD2CD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Esmaeili-Wellman, Shadi</dc:creator>
  <cp:keywords/>
  <dc:description/>
  <cp:lastModifiedBy>Esmaeili-Wellman, Shadi</cp:lastModifiedBy>
  <cp:revision>10</cp:revision>
  <dcterms:created xsi:type="dcterms:W3CDTF">2023-08-19T07:13:00Z</dcterms:created>
  <dcterms:modified xsi:type="dcterms:W3CDTF">2023-08-23T20:08:00Z</dcterms:modified>
</cp:coreProperties>
</file>