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7E59" w14:textId="77777777" w:rsidR="00DF4B9F" w:rsidRPr="00136114" w:rsidRDefault="00DF4B9F" w:rsidP="00DF4B9F">
      <w:pPr>
        <w:spacing w:before="240" w:after="240" w:line="360" w:lineRule="auto"/>
        <w:rPr>
          <w:b/>
        </w:rPr>
      </w:pPr>
      <w:r w:rsidRPr="00136114">
        <w:rPr>
          <w:b/>
        </w:rPr>
        <w:t>SUPPLEMENTARY DATA</w:t>
      </w:r>
    </w:p>
    <w:p w14:paraId="712CD0C7" w14:textId="77777777" w:rsidR="00DF4B9F" w:rsidRPr="00136114" w:rsidRDefault="00DF4B9F" w:rsidP="00DF4B9F">
      <w:pPr>
        <w:spacing w:before="240" w:after="240" w:line="360" w:lineRule="auto"/>
        <w:rPr>
          <w:b/>
        </w:rPr>
      </w:pPr>
      <w:r w:rsidRPr="00136114">
        <w:rPr>
          <w:b/>
        </w:rPr>
        <w:t>Supplementary Data 1: Serotypes contained within each pneumococcal vaccination and vaccine group.</w:t>
      </w:r>
    </w:p>
    <w:tbl>
      <w:tblPr>
        <w:tblW w:w="958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000"/>
        <w:gridCol w:w="6585"/>
      </w:tblGrid>
      <w:tr w:rsidR="00DF4B9F" w:rsidRPr="00136114" w14:paraId="34E6F527" w14:textId="77777777" w:rsidTr="00F85610">
        <w:trPr>
          <w:trHeight w:val="1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26830" w14:textId="77777777" w:rsidR="00DF4B9F" w:rsidRPr="00136114" w:rsidRDefault="00DF4B9F" w:rsidP="00F85610">
            <w:pPr>
              <w:widowControl w:val="0"/>
              <w:spacing w:line="240" w:lineRule="auto"/>
              <w:rPr>
                <w:b/>
              </w:rPr>
            </w:pPr>
            <w:r w:rsidRPr="00136114">
              <w:rPr>
                <w:b/>
              </w:rPr>
              <w:t>Vaccination</w:t>
            </w:r>
          </w:p>
        </w:tc>
        <w:tc>
          <w:tcPr>
            <w:tcW w:w="6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73EA0D" w14:textId="77777777" w:rsidR="00DF4B9F" w:rsidRPr="00136114" w:rsidRDefault="00DF4B9F" w:rsidP="00F85610">
            <w:pPr>
              <w:widowControl w:val="0"/>
              <w:spacing w:line="240" w:lineRule="auto"/>
              <w:rPr>
                <w:b/>
              </w:rPr>
            </w:pPr>
            <w:r w:rsidRPr="00136114">
              <w:rPr>
                <w:b/>
              </w:rPr>
              <w:t>Serotypes</w:t>
            </w:r>
          </w:p>
        </w:tc>
      </w:tr>
      <w:tr w:rsidR="00DF4B9F" w:rsidRPr="00136114" w14:paraId="2FD1F09F" w14:textId="77777777" w:rsidTr="00F85610">
        <w:trPr>
          <w:trHeight w:val="10"/>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79989" w14:textId="77777777" w:rsidR="00DF4B9F" w:rsidRPr="00136114" w:rsidRDefault="00DF4B9F" w:rsidP="00F85610">
            <w:pPr>
              <w:widowControl w:val="0"/>
              <w:spacing w:line="240" w:lineRule="auto"/>
            </w:pPr>
            <w:r w:rsidRPr="00136114">
              <w:t>PPV-23, PneumoVax®</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0AA9D15F" w14:textId="77777777" w:rsidR="00DF4B9F" w:rsidRPr="00136114" w:rsidRDefault="00DF4B9F" w:rsidP="00F85610">
            <w:pPr>
              <w:widowControl w:val="0"/>
              <w:spacing w:line="240" w:lineRule="auto"/>
            </w:pPr>
            <w:r w:rsidRPr="00136114">
              <w:t>1, 2, 3, 4, 5, 6B, 7F, 8, 9N, 9V, 10A, 11A, 12F, 14, 15B, 17F, 18C, 19F, 19A, 20, 22F, 23F, 33F.</w:t>
            </w:r>
          </w:p>
        </w:tc>
      </w:tr>
      <w:tr w:rsidR="00DF4B9F" w:rsidRPr="00136114" w14:paraId="1A8D49AB" w14:textId="77777777" w:rsidTr="00F85610">
        <w:trPr>
          <w:trHeight w:val="10"/>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8C5B3" w14:textId="77777777" w:rsidR="00DF4B9F" w:rsidRPr="00136114" w:rsidRDefault="00DF4B9F" w:rsidP="00F85610">
            <w:pPr>
              <w:widowControl w:val="0"/>
              <w:spacing w:line="240" w:lineRule="auto"/>
            </w:pPr>
            <w:r w:rsidRPr="00136114">
              <w:t>PCV-7, Prevenar®</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7F9537DE" w14:textId="77777777" w:rsidR="00DF4B9F" w:rsidRPr="00136114" w:rsidRDefault="00DF4B9F" w:rsidP="00F85610">
            <w:pPr>
              <w:widowControl w:val="0"/>
              <w:spacing w:line="240" w:lineRule="auto"/>
            </w:pPr>
            <w:r w:rsidRPr="00136114">
              <w:t>4, 6B, 9V, 14, 18C, 19F and 23F</w:t>
            </w:r>
          </w:p>
        </w:tc>
      </w:tr>
      <w:tr w:rsidR="00DF4B9F" w:rsidRPr="00136114" w14:paraId="1A19A934" w14:textId="77777777" w:rsidTr="00F85610">
        <w:trPr>
          <w:trHeight w:val="625"/>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4FEF13" w14:textId="77777777" w:rsidR="00DF4B9F" w:rsidRPr="00136114" w:rsidRDefault="00DF4B9F" w:rsidP="00F85610">
            <w:pPr>
              <w:widowControl w:val="0"/>
              <w:spacing w:line="240" w:lineRule="auto"/>
            </w:pPr>
            <w:r w:rsidRPr="00136114">
              <w:t>PCV-13, Prevenar13®</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4A939075" w14:textId="77777777" w:rsidR="00DF4B9F" w:rsidRPr="00136114" w:rsidRDefault="00DF4B9F" w:rsidP="00F85610">
            <w:pPr>
              <w:widowControl w:val="0"/>
              <w:spacing w:line="240" w:lineRule="auto"/>
            </w:pPr>
            <w:r w:rsidRPr="00136114">
              <w:t>1, 3, 4, 5, 6A, 6B, 7F, 9V, 14, 18C, 19A, 19F, &amp; 23F</w:t>
            </w:r>
          </w:p>
        </w:tc>
      </w:tr>
      <w:tr w:rsidR="00DF4B9F" w:rsidRPr="00136114" w14:paraId="782C3E94" w14:textId="77777777" w:rsidTr="00F85610">
        <w:trPr>
          <w:cantSplit/>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CFB6B" w14:textId="77777777" w:rsidR="00DF4B9F" w:rsidRPr="00136114" w:rsidRDefault="00DF4B9F" w:rsidP="00F85610">
            <w:pPr>
              <w:widowControl w:val="0"/>
              <w:spacing w:line="240" w:lineRule="auto"/>
            </w:pPr>
            <w:r w:rsidRPr="00136114">
              <w:t>PCV-15, VAXNEUVANCE®</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06C6154F" w14:textId="77777777" w:rsidR="00DF4B9F" w:rsidRPr="00136114" w:rsidRDefault="00DF4B9F" w:rsidP="00F85610">
            <w:pPr>
              <w:widowControl w:val="0"/>
              <w:spacing w:line="240" w:lineRule="auto"/>
            </w:pPr>
            <w:r w:rsidRPr="00136114">
              <w:t>1, 3, 4, 5, 6A, 6B, 7F, 9V, 14, 18C, 19A, 19F, 22F, 23F and 33F</w:t>
            </w:r>
          </w:p>
        </w:tc>
      </w:tr>
      <w:tr w:rsidR="00DF4B9F" w:rsidRPr="00136114" w14:paraId="39143FDE" w14:textId="77777777" w:rsidTr="00F85610">
        <w:trPr>
          <w:cantSplit/>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69AD86" w14:textId="77777777" w:rsidR="00DF4B9F" w:rsidRPr="00136114" w:rsidRDefault="00DF4B9F" w:rsidP="00F85610">
            <w:pPr>
              <w:widowControl w:val="0"/>
              <w:spacing w:line="240" w:lineRule="auto"/>
            </w:pPr>
            <w:r w:rsidRPr="00136114">
              <w:t>PCV-20, Prevenar20®</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7532CDF6" w14:textId="77777777" w:rsidR="00DF4B9F" w:rsidRPr="00136114" w:rsidRDefault="00DF4B9F" w:rsidP="00F85610">
            <w:pPr>
              <w:widowControl w:val="0"/>
              <w:spacing w:line="240" w:lineRule="auto"/>
            </w:pPr>
            <w:r w:rsidRPr="00136114">
              <w:t>1, 3, 4, 5, 6A, 6B, 7F, 8, 9V,10A, 11A, 12F, 14, 15B, 18C, 19A, 19F, 22F, 23F and 33F</w:t>
            </w:r>
          </w:p>
        </w:tc>
      </w:tr>
      <w:tr w:rsidR="00DF4B9F" w:rsidRPr="00136114" w14:paraId="22380F04" w14:textId="77777777" w:rsidTr="00F85610">
        <w:trPr>
          <w:trHeight w:val="10"/>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E2F7E5" w14:textId="77777777" w:rsidR="00DF4B9F" w:rsidRPr="00136114" w:rsidRDefault="00DF4B9F" w:rsidP="00F85610">
            <w:pPr>
              <w:widowControl w:val="0"/>
              <w:spacing w:line="240" w:lineRule="auto"/>
            </w:pPr>
            <w:r w:rsidRPr="00136114">
              <w:t>PCV13-7 serotypes</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164CFAA3" w14:textId="77777777" w:rsidR="00DF4B9F" w:rsidRPr="00136114" w:rsidRDefault="00DF4B9F" w:rsidP="00F85610">
            <w:pPr>
              <w:widowControl w:val="0"/>
              <w:spacing w:line="240" w:lineRule="auto"/>
            </w:pPr>
            <w:r w:rsidRPr="00136114">
              <w:t>1, 3, 5, 6A, 7F, 19A</w:t>
            </w:r>
          </w:p>
        </w:tc>
      </w:tr>
      <w:tr w:rsidR="00DF4B9F" w:rsidRPr="00136114" w14:paraId="6970ADB3" w14:textId="77777777" w:rsidTr="00F85610">
        <w:trPr>
          <w:trHeight w:val="447"/>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A4D116" w14:textId="77777777" w:rsidR="00DF4B9F" w:rsidRPr="00136114" w:rsidRDefault="00DF4B9F" w:rsidP="00F85610">
            <w:pPr>
              <w:widowControl w:val="0"/>
              <w:spacing w:line="240" w:lineRule="auto"/>
            </w:pPr>
            <w:r w:rsidRPr="00136114">
              <w:t>PCV15-13 serotypes</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5CF62184" w14:textId="77777777" w:rsidR="00DF4B9F" w:rsidRPr="00136114" w:rsidRDefault="00DF4B9F" w:rsidP="00F85610">
            <w:pPr>
              <w:widowControl w:val="0"/>
              <w:spacing w:line="240" w:lineRule="auto"/>
            </w:pPr>
            <w:r w:rsidRPr="00136114">
              <w:t>22F, 33F</w:t>
            </w:r>
          </w:p>
        </w:tc>
      </w:tr>
      <w:tr w:rsidR="00DF4B9F" w:rsidRPr="00136114" w14:paraId="571245EA" w14:textId="77777777" w:rsidTr="00F85610">
        <w:trPr>
          <w:trHeight w:val="10"/>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C4A9AF" w14:textId="77777777" w:rsidR="00DF4B9F" w:rsidRPr="00136114" w:rsidRDefault="00DF4B9F" w:rsidP="00F85610">
            <w:pPr>
              <w:widowControl w:val="0"/>
              <w:spacing w:line="240" w:lineRule="auto"/>
            </w:pPr>
            <w:r w:rsidRPr="00136114">
              <w:t>PCV20-15 serotypes</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6DAE6980" w14:textId="77777777" w:rsidR="00DF4B9F" w:rsidRPr="00136114" w:rsidRDefault="00DF4B9F" w:rsidP="00F85610">
            <w:pPr>
              <w:widowControl w:val="0"/>
              <w:spacing w:line="240" w:lineRule="auto"/>
            </w:pPr>
            <w:r w:rsidRPr="00136114">
              <w:t>8, 10A, 11A, 12F, 15B</w:t>
            </w:r>
          </w:p>
        </w:tc>
      </w:tr>
      <w:tr w:rsidR="00DF4B9F" w:rsidRPr="00136114" w14:paraId="57B642D9" w14:textId="77777777" w:rsidTr="00F85610">
        <w:trPr>
          <w:trHeight w:val="475"/>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1109EE" w14:textId="77777777" w:rsidR="00DF4B9F" w:rsidRPr="00136114" w:rsidRDefault="00DF4B9F" w:rsidP="00F85610">
            <w:pPr>
              <w:widowControl w:val="0"/>
              <w:spacing w:line="240" w:lineRule="auto"/>
            </w:pPr>
            <w:r w:rsidRPr="00136114">
              <w:t>PCV20-13 serotypes</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6FB6ED30" w14:textId="77777777" w:rsidR="00DF4B9F" w:rsidRPr="00136114" w:rsidRDefault="00DF4B9F" w:rsidP="00F85610">
            <w:pPr>
              <w:widowControl w:val="0"/>
              <w:spacing w:line="240" w:lineRule="auto"/>
            </w:pPr>
            <w:r w:rsidRPr="00136114">
              <w:t>8, 10A, 11A, 12F, 15B, 22F, 33F</w:t>
            </w:r>
          </w:p>
        </w:tc>
      </w:tr>
      <w:tr w:rsidR="00DF4B9F" w:rsidRPr="00136114" w14:paraId="437EA59B" w14:textId="77777777" w:rsidTr="00F85610">
        <w:trPr>
          <w:trHeight w:val="475"/>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F54C7" w14:textId="77777777" w:rsidR="00DF4B9F" w:rsidRPr="00136114" w:rsidRDefault="00DF4B9F" w:rsidP="00F85610">
            <w:pPr>
              <w:widowControl w:val="0"/>
              <w:spacing w:line="240" w:lineRule="auto"/>
            </w:pPr>
            <w:r w:rsidRPr="00136114">
              <w:t>Non-PCV serotypes</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60D416E1" w14:textId="77777777" w:rsidR="00DF4B9F" w:rsidRPr="00136114" w:rsidRDefault="00DF4B9F" w:rsidP="00F85610">
            <w:pPr>
              <w:widowControl w:val="0"/>
              <w:spacing w:line="240" w:lineRule="auto"/>
            </w:pPr>
            <w:r w:rsidRPr="00136114">
              <w:t>Any serotype not contained in PCV20 (and therefore PCV15, PCV13 and PCV7)</w:t>
            </w:r>
          </w:p>
        </w:tc>
      </w:tr>
    </w:tbl>
    <w:p w14:paraId="6CA40C6A" w14:textId="77777777" w:rsidR="00DF4B9F" w:rsidRPr="00136114" w:rsidRDefault="00DF4B9F" w:rsidP="00DF4B9F">
      <w:pPr>
        <w:spacing w:before="240" w:after="240" w:line="360" w:lineRule="auto"/>
      </w:pPr>
      <w:r w:rsidRPr="00136114">
        <w:t>PCV, Pneumococcal conjugate vaccine; PPV-23, Pneumococcal polysaccharide vaccine, 23 valent</w:t>
      </w:r>
    </w:p>
    <w:p w14:paraId="6C7D27EE" w14:textId="77777777" w:rsidR="00DF4B9F" w:rsidRPr="00136114" w:rsidRDefault="00DF4B9F" w:rsidP="00DF4B9F">
      <w:pPr>
        <w:spacing w:before="240" w:after="240" w:line="360" w:lineRule="auto"/>
      </w:pPr>
    </w:p>
    <w:p w14:paraId="1871C52F" w14:textId="77777777" w:rsidR="00DF4B9F" w:rsidRPr="00136114" w:rsidRDefault="00DF4B9F" w:rsidP="00DF4B9F">
      <w:pPr>
        <w:spacing w:before="240" w:after="240" w:line="360" w:lineRule="auto"/>
      </w:pPr>
      <w:r w:rsidRPr="00136114">
        <w:br w:type="page"/>
      </w:r>
    </w:p>
    <w:p w14:paraId="1338344C" w14:textId="77777777" w:rsidR="00A437DE" w:rsidRDefault="00A437DE" w:rsidP="00DF4B9F">
      <w:pPr>
        <w:spacing w:before="240" w:after="240" w:line="360" w:lineRule="auto"/>
        <w:rPr>
          <w:b/>
        </w:rPr>
        <w:sectPr w:rsidR="00A437DE">
          <w:pgSz w:w="11906" w:h="16838"/>
          <w:pgMar w:top="1440" w:right="1440" w:bottom="1440" w:left="1440" w:header="708" w:footer="708" w:gutter="0"/>
          <w:cols w:space="708"/>
          <w:docGrid w:linePitch="360"/>
        </w:sectPr>
      </w:pPr>
    </w:p>
    <w:p w14:paraId="5FA648F4" w14:textId="5279357E" w:rsidR="00DF4B9F" w:rsidRPr="00136114" w:rsidRDefault="00DF4B9F" w:rsidP="00A437DE">
      <w:pPr>
        <w:spacing w:before="240" w:line="240" w:lineRule="auto"/>
        <w:rPr>
          <w:sz w:val="28"/>
          <w:szCs w:val="28"/>
        </w:rPr>
      </w:pPr>
      <w:r w:rsidRPr="00136114">
        <w:rPr>
          <w:b/>
        </w:rPr>
        <w:lastRenderedPageBreak/>
        <w:t xml:space="preserve">Supplementary Data 2: Demographic comparison between invasive </w:t>
      </w:r>
      <w:r w:rsidR="00A437DE">
        <w:rPr>
          <w:b/>
        </w:rPr>
        <w:t>and non-invasive pneumococcal disease</w:t>
      </w:r>
    </w:p>
    <w:tbl>
      <w:tblPr>
        <w:tblW w:w="0" w:type="auto"/>
        <w:jc w:val="center"/>
        <w:tblLayout w:type="fixed"/>
        <w:tblLook w:val="0420" w:firstRow="1" w:lastRow="0" w:firstColumn="0" w:lastColumn="0" w:noHBand="0" w:noVBand="1"/>
      </w:tblPr>
      <w:tblGrid>
        <w:gridCol w:w="2987"/>
        <w:gridCol w:w="3254"/>
        <w:gridCol w:w="1917"/>
        <w:gridCol w:w="2374"/>
        <w:gridCol w:w="1499"/>
      </w:tblGrid>
      <w:tr w:rsidR="00A437DE" w14:paraId="6BD52183" w14:textId="77777777" w:rsidTr="00A437DE">
        <w:trPr>
          <w:cantSplit/>
          <w:trHeight w:val="264"/>
          <w:jc w:val="center"/>
        </w:trPr>
        <w:tc>
          <w:tcPr>
            <w:tcW w:w="2987"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767ABA"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p>
        </w:tc>
        <w:tc>
          <w:tcPr>
            <w:tcW w:w="325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4F24A8"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p>
        </w:tc>
        <w:tc>
          <w:tcPr>
            <w:tcW w:w="1917"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3E413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Invasive disease</w:t>
            </w:r>
          </w:p>
        </w:tc>
        <w:tc>
          <w:tcPr>
            <w:tcW w:w="237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596C78"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Non-invasive disease</w:t>
            </w:r>
          </w:p>
        </w:tc>
        <w:tc>
          <w:tcPr>
            <w:tcW w:w="1496"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A31122"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p>
        </w:tc>
      </w:tr>
      <w:tr w:rsidR="00A437DE" w14:paraId="0B940031" w14:textId="77777777" w:rsidTr="00A437DE">
        <w:trPr>
          <w:cantSplit/>
          <w:trHeight w:val="224"/>
          <w:jc w:val="center"/>
        </w:trPr>
        <w:tc>
          <w:tcPr>
            <w:tcW w:w="2987"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6A73887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Variable</w:t>
            </w:r>
          </w:p>
        </w:tc>
        <w:tc>
          <w:tcPr>
            <w:tcW w:w="325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6D470A08"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Characteristic</w:t>
            </w:r>
          </w:p>
        </w:tc>
        <w:tc>
          <w:tcPr>
            <w:tcW w:w="1917"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5958B5B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Value (N=1686)</w:t>
            </w:r>
          </w:p>
        </w:tc>
        <w:tc>
          <w:tcPr>
            <w:tcW w:w="237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3B3FFB08"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Value (N=2033)</w:t>
            </w:r>
          </w:p>
        </w:tc>
        <w:tc>
          <w:tcPr>
            <w:tcW w:w="1496"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208E3BAC"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P value</w:t>
            </w:r>
          </w:p>
        </w:tc>
      </w:tr>
      <w:tr w:rsidR="00A437DE" w14:paraId="157B5827" w14:textId="77777777" w:rsidTr="00A437DE">
        <w:trPr>
          <w:cantSplit/>
          <w:trHeight w:val="240"/>
          <w:jc w:val="center"/>
        </w:trPr>
        <w:tc>
          <w:tcPr>
            <w:tcW w:w="2987"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47D80EF3"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Age</w:t>
            </w:r>
          </w:p>
        </w:tc>
        <w:tc>
          <w:tcPr>
            <w:tcW w:w="3254"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46C24E2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Median [IQR]</w:t>
            </w:r>
          </w:p>
        </w:tc>
        <w:tc>
          <w:tcPr>
            <w:tcW w:w="1917"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273C174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65.9 [50.8—79]</w:t>
            </w:r>
          </w:p>
        </w:tc>
        <w:tc>
          <w:tcPr>
            <w:tcW w:w="2374"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475545EC"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66.3 [50—78.8]</w:t>
            </w:r>
          </w:p>
        </w:tc>
        <w:tc>
          <w:tcPr>
            <w:tcW w:w="1496"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2D684DBF"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0.74</w:t>
            </w:r>
          </w:p>
        </w:tc>
      </w:tr>
      <w:tr w:rsidR="00A437DE" w14:paraId="519D1A28" w14:textId="77777777" w:rsidTr="00A437DE">
        <w:trPr>
          <w:cantSplit/>
          <w:trHeight w:val="224"/>
          <w:jc w:val="center"/>
        </w:trPr>
        <w:tc>
          <w:tcPr>
            <w:tcW w:w="2987"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37F199C0"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Gender</w:t>
            </w:r>
          </w:p>
        </w:tc>
        <w:tc>
          <w:tcPr>
            <w:tcW w:w="325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A41C7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Male % (N)</w:t>
            </w:r>
          </w:p>
        </w:tc>
        <w:tc>
          <w:tcPr>
            <w:tcW w:w="1917"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E4C02C"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50.2% (847)</w:t>
            </w:r>
          </w:p>
        </w:tc>
        <w:tc>
          <w:tcPr>
            <w:tcW w:w="237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AD21A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48.8% (993)</w:t>
            </w:r>
          </w:p>
        </w:tc>
        <w:tc>
          <w:tcPr>
            <w:tcW w:w="1496"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5AF05942"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0.41</w:t>
            </w:r>
          </w:p>
        </w:tc>
      </w:tr>
      <w:tr w:rsidR="00A437DE" w14:paraId="33FA3DCB"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130160ED"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36F02942"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Female % (N)</w:t>
            </w:r>
          </w:p>
        </w:tc>
        <w:tc>
          <w:tcPr>
            <w:tcW w:w="1917"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366B958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49.8% (839)</w:t>
            </w:r>
          </w:p>
        </w:tc>
        <w:tc>
          <w:tcPr>
            <w:tcW w:w="237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5855347D"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51.2% (1040)</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57CB7953"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031E6C74" w14:textId="77777777" w:rsidTr="00A437DE">
        <w:trPr>
          <w:cantSplit/>
          <w:trHeight w:val="240"/>
          <w:jc w:val="center"/>
        </w:trPr>
        <w:tc>
          <w:tcPr>
            <w:tcW w:w="2987"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22216A0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Serotype Status</w:t>
            </w:r>
          </w:p>
        </w:tc>
        <w:tc>
          <w:tcPr>
            <w:tcW w:w="325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ECEA0D"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Serotype identified % (N)</w:t>
            </w:r>
          </w:p>
        </w:tc>
        <w:tc>
          <w:tcPr>
            <w:tcW w:w="1917"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DBE350"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89.0% (1501)</w:t>
            </w:r>
          </w:p>
        </w:tc>
        <w:tc>
          <w:tcPr>
            <w:tcW w:w="237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AC782A"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 (0)</w:t>
            </w:r>
          </w:p>
        </w:tc>
        <w:tc>
          <w:tcPr>
            <w:tcW w:w="1496"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0A8A9FB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&lt;0.001</w:t>
            </w:r>
          </w:p>
        </w:tc>
      </w:tr>
      <w:tr w:rsidR="00A437DE" w14:paraId="19B2ABB9"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4133555D"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695EA59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No serotype % (N)</w:t>
            </w:r>
          </w:p>
        </w:tc>
        <w:tc>
          <w:tcPr>
            <w:tcW w:w="1917"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6F040D7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11.0% (185)</w:t>
            </w:r>
          </w:p>
        </w:tc>
        <w:tc>
          <w:tcPr>
            <w:tcW w:w="237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09856620"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100.0% (2033)</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5DAB8FA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2F3B5E55" w14:textId="77777777" w:rsidTr="00A437DE">
        <w:trPr>
          <w:cantSplit/>
          <w:trHeight w:val="224"/>
          <w:jc w:val="center"/>
        </w:trPr>
        <w:tc>
          <w:tcPr>
            <w:tcW w:w="2987"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7672989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Smoker</w:t>
            </w:r>
          </w:p>
        </w:tc>
        <w:tc>
          <w:tcPr>
            <w:tcW w:w="325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53F40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Non-smoker % (N)</w:t>
            </w:r>
          </w:p>
        </w:tc>
        <w:tc>
          <w:tcPr>
            <w:tcW w:w="1917"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C4919F"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29.4% (495)</w:t>
            </w:r>
          </w:p>
        </w:tc>
        <w:tc>
          <w:tcPr>
            <w:tcW w:w="237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1350A3"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29.4% (597)</w:t>
            </w:r>
          </w:p>
        </w:tc>
        <w:tc>
          <w:tcPr>
            <w:tcW w:w="1496"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700948D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0.95</w:t>
            </w:r>
          </w:p>
        </w:tc>
      </w:tr>
      <w:tr w:rsidR="00A437DE" w14:paraId="7BEF4C3C"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139EA5A5"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455859"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Ex-smoker % (N)</w:t>
            </w:r>
          </w:p>
        </w:tc>
        <w:tc>
          <w:tcPr>
            <w:tcW w:w="19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5B2B05"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40.3% (680)</w:t>
            </w:r>
          </w:p>
        </w:tc>
        <w:tc>
          <w:tcPr>
            <w:tcW w:w="23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8E2CBD"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40.8% (829)</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C574B4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0755DB1F"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264CA68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659CCE39"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Current smoker % (N)</w:t>
            </w:r>
          </w:p>
        </w:tc>
        <w:tc>
          <w:tcPr>
            <w:tcW w:w="1917"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4BA04A5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30.3% (511)</w:t>
            </w:r>
          </w:p>
        </w:tc>
        <w:tc>
          <w:tcPr>
            <w:tcW w:w="237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5F51633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29.9% (607)</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505927BA"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654B9358" w14:textId="77777777" w:rsidTr="00A437DE">
        <w:trPr>
          <w:cantSplit/>
          <w:trHeight w:val="224"/>
          <w:jc w:val="center"/>
        </w:trPr>
        <w:tc>
          <w:tcPr>
            <w:tcW w:w="2987"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03C3F1D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CCI</w:t>
            </w:r>
          </w:p>
        </w:tc>
        <w:tc>
          <w:tcPr>
            <w:tcW w:w="3254"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0F221DE0"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Median [IQR]</w:t>
            </w:r>
          </w:p>
        </w:tc>
        <w:tc>
          <w:tcPr>
            <w:tcW w:w="1917"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2AE0E082"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4 [1—6]</w:t>
            </w:r>
          </w:p>
        </w:tc>
        <w:tc>
          <w:tcPr>
            <w:tcW w:w="2374"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1011B5A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4 [1—6]</w:t>
            </w:r>
          </w:p>
        </w:tc>
        <w:tc>
          <w:tcPr>
            <w:tcW w:w="1496"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12731DD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0.31</w:t>
            </w:r>
          </w:p>
        </w:tc>
      </w:tr>
      <w:tr w:rsidR="00A437DE" w14:paraId="3EC42A80" w14:textId="77777777" w:rsidTr="00A437DE">
        <w:trPr>
          <w:cantSplit/>
          <w:trHeight w:val="240"/>
          <w:jc w:val="center"/>
        </w:trPr>
        <w:tc>
          <w:tcPr>
            <w:tcW w:w="2987"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1F608E8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Test Type</w:t>
            </w:r>
          </w:p>
        </w:tc>
        <w:tc>
          <w:tcPr>
            <w:tcW w:w="325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49B387"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Blood culture only % (N)</w:t>
            </w:r>
          </w:p>
        </w:tc>
        <w:tc>
          <w:tcPr>
            <w:tcW w:w="1917"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7928F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78.6% (1325)</w:t>
            </w:r>
          </w:p>
        </w:tc>
        <w:tc>
          <w:tcPr>
            <w:tcW w:w="237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268825"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 (0)</w:t>
            </w:r>
          </w:p>
        </w:tc>
        <w:tc>
          <w:tcPr>
            <w:tcW w:w="1496"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3C41AE30"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&lt;0.001</w:t>
            </w:r>
          </w:p>
        </w:tc>
      </w:tr>
      <w:tr w:rsidR="00A437DE" w14:paraId="1745E93A"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069F39C9"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7879DC" w14:textId="45761842"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Pr>
                <w:rFonts w:eastAsia="DejaVu Sans"/>
                <w:color w:val="000000"/>
                <w:sz w:val="20"/>
                <w:szCs w:val="16"/>
              </w:rPr>
              <w:t>UAT</w:t>
            </w:r>
            <w:r w:rsidRPr="00A437DE">
              <w:rPr>
                <w:rFonts w:eastAsia="DejaVu Sans"/>
                <w:color w:val="000000"/>
                <w:sz w:val="20"/>
                <w:szCs w:val="16"/>
              </w:rPr>
              <w:t xml:space="preserve"> only % (N)</w:t>
            </w:r>
          </w:p>
        </w:tc>
        <w:tc>
          <w:tcPr>
            <w:tcW w:w="19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E7BC59"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3.0% (51)</w:t>
            </w:r>
          </w:p>
        </w:tc>
        <w:tc>
          <w:tcPr>
            <w:tcW w:w="23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316A7C"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100.0% (2033)</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04CF142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04E37404"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7011189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E9D789" w14:textId="3251738E"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 xml:space="preserve">Blood culture and </w:t>
            </w:r>
            <w:r>
              <w:rPr>
                <w:rFonts w:eastAsia="DejaVu Sans"/>
                <w:color w:val="000000"/>
                <w:sz w:val="20"/>
                <w:szCs w:val="16"/>
              </w:rPr>
              <w:t>UAT</w:t>
            </w:r>
            <w:r w:rsidRPr="00A437DE">
              <w:rPr>
                <w:rFonts w:eastAsia="DejaVu Sans"/>
                <w:color w:val="000000"/>
                <w:sz w:val="20"/>
                <w:szCs w:val="16"/>
              </w:rPr>
              <w:t xml:space="preserve"> % (N)</w:t>
            </w:r>
          </w:p>
        </w:tc>
        <w:tc>
          <w:tcPr>
            <w:tcW w:w="19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FE8BE5"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17.5% (295)</w:t>
            </w:r>
          </w:p>
        </w:tc>
        <w:tc>
          <w:tcPr>
            <w:tcW w:w="23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49A3F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 (0)</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323F10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5E38BDD4"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24E66D5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FD3257"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CSF PCR % (N)</w:t>
            </w:r>
          </w:p>
        </w:tc>
        <w:tc>
          <w:tcPr>
            <w:tcW w:w="19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8112F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0.5% (8)</w:t>
            </w:r>
          </w:p>
        </w:tc>
        <w:tc>
          <w:tcPr>
            <w:tcW w:w="23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C2568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 (0)</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1E7DE14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66531A69"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41D76813"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7FC0769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Blood PCR % (N)</w:t>
            </w:r>
          </w:p>
        </w:tc>
        <w:tc>
          <w:tcPr>
            <w:tcW w:w="1917"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159383D0"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0.4% (7)</w:t>
            </w:r>
          </w:p>
        </w:tc>
        <w:tc>
          <w:tcPr>
            <w:tcW w:w="237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5734722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 (0)</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120BB608"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563CC33A" w14:textId="77777777" w:rsidTr="00A437DE">
        <w:trPr>
          <w:cantSplit/>
          <w:trHeight w:val="224"/>
          <w:jc w:val="center"/>
        </w:trPr>
        <w:tc>
          <w:tcPr>
            <w:tcW w:w="2987"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1D290F4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Infection Site</w:t>
            </w:r>
          </w:p>
        </w:tc>
        <w:tc>
          <w:tcPr>
            <w:tcW w:w="325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3AF3AC"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Lung % (N)</w:t>
            </w:r>
          </w:p>
        </w:tc>
        <w:tc>
          <w:tcPr>
            <w:tcW w:w="1917"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A2FD2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84.2% (1419)</w:t>
            </w:r>
          </w:p>
        </w:tc>
        <w:tc>
          <w:tcPr>
            <w:tcW w:w="237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D5A73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99.2% (2017)</w:t>
            </w:r>
          </w:p>
        </w:tc>
        <w:tc>
          <w:tcPr>
            <w:tcW w:w="1496"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117BD23A"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&lt;0.001</w:t>
            </w:r>
          </w:p>
        </w:tc>
      </w:tr>
      <w:tr w:rsidR="00A437DE" w14:paraId="59F94EC0"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741A5ED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B51E9F"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Meningitis % (N)</w:t>
            </w:r>
          </w:p>
        </w:tc>
        <w:tc>
          <w:tcPr>
            <w:tcW w:w="19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647C5F"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10.2% (172)</w:t>
            </w:r>
          </w:p>
        </w:tc>
        <w:tc>
          <w:tcPr>
            <w:tcW w:w="23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0434B5"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 (0)</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6F66E8A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559EC14E"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4C4EF92F"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BA6D53"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Septic arthritis % (N)</w:t>
            </w:r>
          </w:p>
        </w:tc>
        <w:tc>
          <w:tcPr>
            <w:tcW w:w="19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00B62F"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2.1% (36)</w:t>
            </w:r>
          </w:p>
        </w:tc>
        <w:tc>
          <w:tcPr>
            <w:tcW w:w="23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5A0949"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 (0)</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1622F1B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4A4E5667"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466ABB68"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A4581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ENT % (N)</w:t>
            </w:r>
          </w:p>
        </w:tc>
        <w:tc>
          <w:tcPr>
            <w:tcW w:w="19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D4B6AF"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0.9% (15)</w:t>
            </w:r>
          </w:p>
        </w:tc>
        <w:tc>
          <w:tcPr>
            <w:tcW w:w="23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713E39"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0.1% (2)</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6D0B1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0BFBAEB1"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A559558"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004F2857"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Other % (N)</w:t>
            </w:r>
          </w:p>
        </w:tc>
        <w:tc>
          <w:tcPr>
            <w:tcW w:w="1917"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77CB3D23"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2.6% (44)</w:t>
            </w:r>
          </w:p>
        </w:tc>
        <w:tc>
          <w:tcPr>
            <w:tcW w:w="237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4AF55603"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0.7% (14)</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40F18157"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44C98EC6" w14:textId="77777777" w:rsidTr="00A437DE">
        <w:trPr>
          <w:cantSplit/>
          <w:trHeight w:val="224"/>
          <w:jc w:val="center"/>
        </w:trPr>
        <w:tc>
          <w:tcPr>
            <w:tcW w:w="2987"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516965BC" w14:textId="2454E6BE"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P</w:t>
            </w:r>
            <w:r>
              <w:rPr>
                <w:rFonts w:eastAsia="DejaVu Sans"/>
                <w:color w:val="000000"/>
                <w:sz w:val="20"/>
                <w:szCs w:val="16"/>
              </w:rPr>
              <w:t>PV</w:t>
            </w:r>
            <w:r w:rsidRPr="00A437DE">
              <w:rPr>
                <w:rFonts w:eastAsia="DejaVu Sans"/>
                <w:color w:val="000000"/>
                <w:sz w:val="20"/>
                <w:szCs w:val="16"/>
              </w:rPr>
              <w:t>23 Vaccination</w:t>
            </w:r>
          </w:p>
        </w:tc>
        <w:tc>
          <w:tcPr>
            <w:tcW w:w="325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70C84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No % (N)</w:t>
            </w:r>
          </w:p>
        </w:tc>
        <w:tc>
          <w:tcPr>
            <w:tcW w:w="1917"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C0CDC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57.4% (967)</w:t>
            </w:r>
          </w:p>
        </w:tc>
        <w:tc>
          <w:tcPr>
            <w:tcW w:w="2374" w:type="dxa"/>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A2E752"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57.6% (1171)</w:t>
            </w:r>
          </w:p>
        </w:tc>
        <w:tc>
          <w:tcPr>
            <w:tcW w:w="1496" w:type="dxa"/>
            <w:vMerge w:val="restart"/>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0F90E5B8"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0.99</w:t>
            </w:r>
          </w:p>
        </w:tc>
      </w:tr>
      <w:tr w:rsidR="00A437DE" w14:paraId="666B3F99"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03770DFC"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603E0A"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Under 6 months % (N)</w:t>
            </w:r>
          </w:p>
        </w:tc>
        <w:tc>
          <w:tcPr>
            <w:tcW w:w="19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38AFA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3.6% (60)</w:t>
            </w:r>
          </w:p>
        </w:tc>
        <w:tc>
          <w:tcPr>
            <w:tcW w:w="23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B8092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3.5% (72)</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704371A2"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038B3943"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B73B237"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88B57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Over 6 months % (N)</w:t>
            </w:r>
          </w:p>
        </w:tc>
        <w:tc>
          <w:tcPr>
            <w:tcW w:w="19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A61C4C"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39.1% (659)</w:t>
            </w:r>
          </w:p>
        </w:tc>
        <w:tc>
          <w:tcPr>
            <w:tcW w:w="23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9884CC"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38.8% (789)</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082B6340"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21932BD9" w14:textId="77777777" w:rsidTr="00A437DE">
        <w:trPr>
          <w:cantSplit/>
          <w:trHeight w:val="147"/>
          <w:jc w:val="center"/>
        </w:trPr>
        <w:tc>
          <w:tcPr>
            <w:tcW w:w="2987"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0F207CDC"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c>
          <w:tcPr>
            <w:tcW w:w="325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6C62BC4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&lt;missing&gt; % (N)</w:t>
            </w:r>
          </w:p>
        </w:tc>
        <w:tc>
          <w:tcPr>
            <w:tcW w:w="1917"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22DD6D53"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 (0)</w:t>
            </w:r>
          </w:p>
        </w:tc>
        <w:tc>
          <w:tcPr>
            <w:tcW w:w="2374" w:type="dxa"/>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23B7BCE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 (1)</w:t>
            </w:r>
          </w:p>
        </w:tc>
        <w:tc>
          <w:tcPr>
            <w:tcW w:w="1496" w:type="dxa"/>
            <w:vMerge/>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5AD7BDA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before="100" w:after="100" w:line="240" w:lineRule="auto"/>
              <w:ind w:left="100" w:right="100"/>
              <w:rPr>
                <w:sz w:val="20"/>
              </w:rPr>
            </w:pPr>
          </w:p>
        </w:tc>
      </w:tr>
      <w:tr w:rsidR="00A437DE" w14:paraId="602CD4DE" w14:textId="77777777" w:rsidTr="00A437DE">
        <w:trPr>
          <w:cantSplit/>
          <w:trHeight w:val="224"/>
          <w:jc w:val="center"/>
        </w:trPr>
        <w:tc>
          <w:tcPr>
            <w:tcW w:w="2987"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2605F38F" w14:textId="4FF5D8F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Non</w:t>
            </w:r>
            <w:r>
              <w:rPr>
                <w:rFonts w:eastAsia="DejaVu Sans"/>
                <w:color w:val="000000"/>
                <w:sz w:val="20"/>
                <w:szCs w:val="16"/>
              </w:rPr>
              <w:t>-</w:t>
            </w:r>
            <w:r w:rsidRPr="00A437DE">
              <w:rPr>
                <w:rFonts w:eastAsia="DejaVu Sans"/>
                <w:color w:val="000000"/>
                <w:sz w:val="20"/>
                <w:szCs w:val="16"/>
              </w:rPr>
              <w:t>Invasive Ventilation</w:t>
            </w:r>
          </w:p>
        </w:tc>
        <w:tc>
          <w:tcPr>
            <w:tcW w:w="3254"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4D5D729D"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yes % (N)</w:t>
            </w:r>
          </w:p>
        </w:tc>
        <w:tc>
          <w:tcPr>
            <w:tcW w:w="1917"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1502DDAF"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2.3% (39)</w:t>
            </w:r>
          </w:p>
        </w:tc>
        <w:tc>
          <w:tcPr>
            <w:tcW w:w="2374"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29FF449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5.1% (103)</w:t>
            </w:r>
          </w:p>
        </w:tc>
        <w:tc>
          <w:tcPr>
            <w:tcW w:w="1496"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40F7094E"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&lt;0.001</w:t>
            </w:r>
          </w:p>
        </w:tc>
      </w:tr>
      <w:tr w:rsidR="00A437DE" w14:paraId="0111DF62" w14:textId="77777777" w:rsidTr="00A437DE">
        <w:trPr>
          <w:cantSplit/>
          <w:trHeight w:val="240"/>
          <w:jc w:val="center"/>
        </w:trPr>
        <w:tc>
          <w:tcPr>
            <w:tcW w:w="2987"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32EF393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Intubation</w:t>
            </w:r>
          </w:p>
        </w:tc>
        <w:tc>
          <w:tcPr>
            <w:tcW w:w="3254"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1E71DFE6"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yes % (N)</w:t>
            </w:r>
          </w:p>
        </w:tc>
        <w:tc>
          <w:tcPr>
            <w:tcW w:w="1917"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11A73EE4"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14.0% (236)</w:t>
            </w:r>
          </w:p>
        </w:tc>
        <w:tc>
          <w:tcPr>
            <w:tcW w:w="2374"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58247D7B"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11.5% (234)</w:t>
            </w:r>
          </w:p>
        </w:tc>
        <w:tc>
          <w:tcPr>
            <w:tcW w:w="1496"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0AEEAA8F"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0.026</w:t>
            </w:r>
          </w:p>
        </w:tc>
      </w:tr>
      <w:tr w:rsidR="00A437DE" w14:paraId="4E00919E" w14:textId="77777777" w:rsidTr="00A437DE">
        <w:trPr>
          <w:cantSplit/>
          <w:trHeight w:val="224"/>
          <w:jc w:val="center"/>
        </w:trPr>
        <w:tc>
          <w:tcPr>
            <w:tcW w:w="2987"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25B36541"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Inpatient Death</w:t>
            </w:r>
          </w:p>
        </w:tc>
        <w:tc>
          <w:tcPr>
            <w:tcW w:w="3254" w:type="dxa"/>
            <w:tcBorders>
              <w:top w:val="single" w:sz="4"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40405C"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yes % (N)</w:t>
            </w:r>
          </w:p>
        </w:tc>
        <w:tc>
          <w:tcPr>
            <w:tcW w:w="1917" w:type="dxa"/>
            <w:tcBorders>
              <w:top w:val="single" w:sz="4"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1F1F548"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15.1% (255)</w:t>
            </w:r>
          </w:p>
        </w:tc>
        <w:tc>
          <w:tcPr>
            <w:tcW w:w="2374" w:type="dxa"/>
            <w:tcBorders>
              <w:top w:val="single" w:sz="4"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A5BA3F3"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12.4% (253)</w:t>
            </w:r>
          </w:p>
        </w:tc>
        <w:tc>
          <w:tcPr>
            <w:tcW w:w="1496" w:type="dxa"/>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tcPr>
          <w:p w14:paraId="18AD5E1F" w14:textId="77777777"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sidRPr="00A437DE">
              <w:rPr>
                <w:rFonts w:eastAsia="DejaVu Sans"/>
                <w:color w:val="000000"/>
                <w:sz w:val="20"/>
                <w:szCs w:val="16"/>
              </w:rPr>
              <w:t>0.019</w:t>
            </w:r>
          </w:p>
        </w:tc>
      </w:tr>
      <w:tr w:rsidR="00A437DE" w14:paraId="3F1CD4B7" w14:textId="77777777" w:rsidTr="00A437DE">
        <w:trPr>
          <w:cantSplit/>
          <w:trHeight w:val="1440"/>
          <w:jc w:val="center"/>
        </w:trPr>
        <w:tc>
          <w:tcPr>
            <w:tcW w:w="12031" w:type="dxa"/>
            <w:gridSpan w:val="5"/>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1856B7" w14:textId="77777777" w:rsid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rFonts w:eastAsia="DejaVu Sans"/>
                <w:color w:val="000000"/>
                <w:sz w:val="20"/>
                <w:szCs w:val="16"/>
              </w:rPr>
            </w:pPr>
            <w:r w:rsidRPr="00A437DE">
              <w:rPr>
                <w:rFonts w:eastAsia="DejaVu Sans"/>
                <w:color w:val="000000"/>
                <w:sz w:val="20"/>
                <w:szCs w:val="16"/>
              </w:rPr>
              <w:t>Significance determined using Fisher's exact test (categorical variables) or 2 sample Kolmogorov-Smirnov test, 2 sample Wilcoxon Rank Sum test (continuous variables)</w:t>
            </w:r>
            <w:r w:rsidRPr="00A437DE">
              <w:rPr>
                <w:rFonts w:eastAsia="DejaVu Sans"/>
                <w:color w:val="000000"/>
                <w:sz w:val="20"/>
                <w:szCs w:val="16"/>
              </w:rPr>
              <w:br/>
              <w:t xml:space="preserve">Normality of distributions determined using Anderson-Darling normality </w:t>
            </w:r>
            <w:proofErr w:type="gramStart"/>
            <w:r w:rsidRPr="00A437DE">
              <w:rPr>
                <w:rFonts w:eastAsia="DejaVu Sans"/>
                <w:color w:val="000000"/>
                <w:sz w:val="20"/>
                <w:szCs w:val="16"/>
              </w:rPr>
              <w:t>test</w:t>
            </w:r>
            <w:proofErr w:type="gramEnd"/>
          </w:p>
          <w:p w14:paraId="51112B73" w14:textId="77777777" w:rsid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rFonts w:eastAsia="DejaVu Sans"/>
                <w:color w:val="000000"/>
                <w:sz w:val="20"/>
                <w:szCs w:val="16"/>
              </w:rPr>
            </w:pPr>
          </w:p>
          <w:p w14:paraId="06DF49BF" w14:textId="6DC6C7E4" w:rsidR="00A437DE" w:rsidRPr="00A437DE" w:rsidRDefault="00A437DE" w:rsidP="00A437DE">
            <w:pPr>
              <w:keepNext/>
              <w:pBdr>
                <w:top w:val="none" w:sz="0" w:space="0" w:color="000000"/>
                <w:left w:val="none" w:sz="0" w:space="0" w:color="000000"/>
                <w:bottom w:val="none" w:sz="0" w:space="0" w:color="000000"/>
                <w:right w:val="none" w:sz="0" w:space="0" w:color="000000"/>
              </w:pBdr>
              <w:spacing w:line="240" w:lineRule="auto"/>
              <w:ind w:left="40" w:right="40"/>
              <w:rPr>
                <w:sz w:val="20"/>
              </w:rPr>
            </w:pPr>
            <w:r>
              <w:rPr>
                <w:rFonts w:eastAsia="DejaVu Sans"/>
                <w:color w:val="000000"/>
                <w:sz w:val="20"/>
                <w:szCs w:val="16"/>
              </w:rPr>
              <w:t xml:space="preserve">CCI, Charlson comorbidity Index; CSF, cerebrospinal fluid; ENT, ear, </w:t>
            </w:r>
            <w:proofErr w:type="gramStart"/>
            <w:r>
              <w:rPr>
                <w:rFonts w:eastAsia="DejaVu Sans"/>
                <w:color w:val="000000"/>
                <w:sz w:val="20"/>
                <w:szCs w:val="16"/>
              </w:rPr>
              <w:t>nose</w:t>
            </w:r>
            <w:proofErr w:type="gramEnd"/>
            <w:r>
              <w:rPr>
                <w:rFonts w:eastAsia="DejaVu Sans"/>
                <w:color w:val="000000"/>
                <w:sz w:val="20"/>
                <w:szCs w:val="16"/>
              </w:rPr>
              <w:t xml:space="preserve"> and throat; IQR, interquartile range; PCR, polymerase chain reaction; PPV23, pneumococcal polysaccharide vaccine 23-valent; UAT, urinary antigen test</w:t>
            </w:r>
          </w:p>
        </w:tc>
      </w:tr>
    </w:tbl>
    <w:p w14:paraId="0E0CB31E" w14:textId="77777777" w:rsidR="00A437DE" w:rsidRDefault="00A437DE" w:rsidP="00A437DE">
      <w:pPr>
        <w:rPr>
          <w:b/>
        </w:rPr>
      </w:pPr>
      <w:r>
        <w:t xml:space="preserve"> </w:t>
      </w:r>
    </w:p>
    <w:p w14:paraId="7819152E" w14:textId="7B47D6E9" w:rsidR="00A437DE" w:rsidRPr="00A437DE" w:rsidRDefault="7A28CD2A" w:rsidP="00A437DE">
      <w:pPr>
        <w:spacing w:line="259" w:lineRule="auto"/>
        <w:rPr>
          <w:b/>
        </w:rPr>
      </w:pPr>
      <w:r w:rsidRPr="341AF7E1">
        <w:rPr>
          <w:b/>
          <w:bCs/>
        </w:rPr>
        <w:lastRenderedPageBreak/>
        <w:t xml:space="preserve">Supplementary Data 3: Test positive </w:t>
      </w:r>
      <w:r w:rsidR="66330313" w:rsidRPr="341AF7E1">
        <w:rPr>
          <w:b/>
          <w:bCs/>
        </w:rPr>
        <w:t xml:space="preserve">pneumococcal </w:t>
      </w:r>
      <w:r w:rsidRPr="341AF7E1">
        <w:rPr>
          <w:b/>
          <w:bCs/>
        </w:rPr>
        <w:t xml:space="preserve">cases in </w:t>
      </w:r>
      <w:r w:rsidR="619B113B" w:rsidRPr="341AF7E1">
        <w:rPr>
          <w:b/>
          <w:bCs/>
        </w:rPr>
        <w:t>both invasive and non-invasive cohorts by test method</w:t>
      </w:r>
    </w:p>
    <w:p w14:paraId="754E7F9E" w14:textId="77777777" w:rsidR="00A437DE" w:rsidRDefault="00A437DE" w:rsidP="00A437DE">
      <w:pPr>
        <w:spacing w:after="160" w:line="259" w:lineRule="auto"/>
      </w:pPr>
      <w:r>
        <w:t>The incidence of detected pneumococcal disease is mostly stable for blood cultures, and blood culture testing rate has been stable over time, but “other” testing (largely BinaxNOW) has increased over the study period (see Figure 1C in the main paper) and hence there is an ascertainment bias in the case numbers in the non-invasive (</w:t>
      </w:r>
      <w:proofErr w:type="gramStart"/>
      <w:r>
        <w:t>i.e.</w:t>
      </w:r>
      <w:proofErr w:type="gramEnd"/>
      <w:r>
        <w:t xml:space="preserve"> Test type: Other) cohort.</w:t>
      </w:r>
    </w:p>
    <w:p w14:paraId="29DABB6F" w14:textId="3B604A8F" w:rsidR="7A28CD2A" w:rsidRDefault="638B0690" w:rsidP="00B463A9">
      <w:pPr>
        <w:spacing w:before="240" w:after="240" w:line="360" w:lineRule="auto"/>
        <w:jc w:val="center"/>
        <w:rPr>
          <w:b/>
          <w:bCs/>
        </w:rPr>
      </w:pPr>
      <w:r>
        <w:rPr>
          <w:noProof/>
        </w:rPr>
        <w:drawing>
          <wp:inline distT="0" distB="0" distL="0" distR="0" wp14:anchorId="3CCF0B29" wp14:editId="5A74919D">
            <wp:extent cx="8259417" cy="4198537"/>
            <wp:effectExtent l="0" t="0" r="8890" b="0"/>
            <wp:docPr id="1541836807" name="Picture 154183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274374" cy="4206140"/>
                    </a:xfrm>
                    <a:prstGeom prst="rect">
                      <a:avLst/>
                    </a:prstGeom>
                  </pic:spPr>
                </pic:pic>
              </a:graphicData>
            </a:graphic>
          </wp:inline>
        </w:drawing>
      </w:r>
    </w:p>
    <w:p w14:paraId="7337212B" w14:textId="1A1D6068" w:rsidR="341AF7E1" w:rsidRDefault="341AF7E1">
      <w:r>
        <w:br w:type="page"/>
      </w:r>
    </w:p>
    <w:p w14:paraId="453B27B7" w14:textId="0078887D" w:rsidR="15F6B75C" w:rsidRDefault="15F6B75C" w:rsidP="00A437DE">
      <w:pPr>
        <w:spacing w:before="240" w:after="160" w:line="259" w:lineRule="auto"/>
        <w:rPr>
          <w:b/>
          <w:bCs/>
        </w:rPr>
      </w:pPr>
      <w:r w:rsidRPr="341AF7E1">
        <w:rPr>
          <w:b/>
          <w:bCs/>
        </w:rPr>
        <w:lastRenderedPageBreak/>
        <w:t>Supplementary Data 4: Test positive pneumococcal cases in invasive and non-invasive cohorts by test method and CURB65 score</w:t>
      </w:r>
    </w:p>
    <w:p w14:paraId="2B44D392" w14:textId="77777777" w:rsidR="00A437DE" w:rsidRDefault="00A437DE" w:rsidP="00A437DE">
      <w:pPr>
        <w:spacing w:after="160" w:line="259" w:lineRule="auto"/>
      </w:pPr>
      <w:r>
        <w:t>Ascertainment bias in the principally non-invasive (</w:t>
      </w:r>
      <w:proofErr w:type="gramStart"/>
      <w:r>
        <w:t>i.e.</w:t>
      </w:r>
      <w:proofErr w:type="gramEnd"/>
      <w:r>
        <w:t xml:space="preserve"> Test type: Other) cohort is not clearly related to severity, and proportionality through time is broadly similar for different CURB65 scores. Severity analysis in the main paper is focussed only on invasive disease and hence is not affected by these changes in ascertainment over the study period.</w:t>
      </w:r>
    </w:p>
    <w:p w14:paraId="621B77C2" w14:textId="17F44F62" w:rsidR="341AF7E1" w:rsidRDefault="15F6B75C" w:rsidP="00B463A9">
      <w:pPr>
        <w:spacing w:before="240" w:after="240" w:line="360" w:lineRule="auto"/>
        <w:jc w:val="center"/>
      </w:pPr>
      <w:r>
        <w:rPr>
          <w:noProof/>
        </w:rPr>
        <w:drawing>
          <wp:inline distT="0" distB="0" distL="0" distR="0" wp14:anchorId="4BB87493" wp14:editId="1E7B1FA9">
            <wp:extent cx="6987209" cy="4730922"/>
            <wp:effectExtent l="0" t="0" r="4445" b="0"/>
            <wp:docPr id="298043755" name="Picture 29804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5046" cy="4736229"/>
                    </a:xfrm>
                    <a:prstGeom prst="rect">
                      <a:avLst/>
                    </a:prstGeom>
                  </pic:spPr>
                </pic:pic>
              </a:graphicData>
            </a:graphic>
          </wp:inline>
        </w:drawing>
      </w:r>
      <w:r w:rsidR="341AF7E1">
        <w:br w:type="page"/>
      </w:r>
    </w:p>
    <w:p w14:paraId="6E3AFCCE" w14:textId="77777777" w:rsidR="00A437DE" w:rsidRDefault="00A437DE" w:rsidP="341AF7E1">
      <w:pPr>
        <w:spacing w:before="240" w:after="240" w:line="360" w:lineRule="auto"/>
        <w:rPr>
          <w:b/>
          <w:bCs/>
        </w:rPr>
        <w:sectPr w:rsidR="00A437DE" w:rsidSect="00A437DE">
          <w:pgSz w:w="16838" w:h="11906" w:orient="landscape"/>
          <w:pgMar w:top="1440" w:right="1440" w:bottom="1440" w:left="1440" w:header="709" w:footer="709" w:gutter="0"/>
          <w:cols w:space="708"/>
          <w:docGrid w:linePitch="360"/>
        </w:sectPr>
      </w:pPr>
    </w:p>
    <w:p w14:paraId="36F496F3" w14:textId="1ABF8AEA" w:rsidR="00DF4B9F" w:rsidRPr="00136114" w:rsidRDefault="00DF4B9F" w:rsidP="341AF7E1">
      <w:pPr>
        <w:spacing w:before="240" w:after="240" w:line="360" w:lineRule="auto"/>
        <w:rPr>
          <w:b/>
          <w:bCs/>
        </w:rPr>
      </w:pPr>
      <w:r w:rsidRPr="341AF7E1">
        <w:rPr>
          <w:b/>
          <w:bCs/>
        </w:rPr>
        <w:lastRenderedPageBreak/>
        <w:t xml:space="preserve">Supplementary Data </w:t>
      </w:r>
      <w:r w:rsidR="37890675" w:rsidRPr="341AF7E1">
        <w:rPr>
          <w:b/>
          <w:bCs/>
        </w:rPr>
        <w:t>5</w:t>
      </w:r>
      <w:r w:rsidRPr="341AF7E1">
        <w:rPr>
          <w:b/>
          <w:bCs/>
        </w:rPr>
        <w:t xml:space="preserve">: Population estimates in the over 16 age </w:t>
      </w:r>
      <w:proofErr w:type="gramStart"/>
      <w:r w:rsidRPr="341AF7E1">
        <w:rPr>
          <w:b/>
          <w:bCs/>
        </w:rPr>
        <w:t>groups</w:t>
      </w:r>
      <w:proofErr w:type="gramEnd"/>
    </w:p>
    <w:p w14:paraId="2E0998FB" w14:textId="1EF1D1AD" w:rsidR="00DF4B9F" w:rsidRDefault="7385EF23" w:rsidP="00B463A9">
      <w:pPr>
        <w:spacing w:before="240" w:after="240" w:line="360" w:lineRule="auto"/>
        <w:jc w:val="center"/>
      </w:pPr>
      <w:r>
        <w:rPr>
          <w:noProof/>
        </w:rPr>
        <w:drawing>
          <wp:inline distT="0" distB="0" distL="0" distR="0" wp14:anchorId="06A302DB" wp14:editId="1261F1AD">
            <wp:extent cx="4572000" cy="4572000"/>
            <wp:effectExtent l="0" t="0" r="0" b="0"/>
            <wp:docPr id="1408181178" name="Picture 140818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18947B7B" w14:textId="0F8767B9" w:rsidR="00F33974" w:rsidRDefault="00F33974" w:rsidP="341AF7E1">
      <w:pPr>
        <w:spacing w:before="240" w:after="240" w:line="360" w:lineRule="auto"/>
        <w:rPr>
          <w:b/>
          <w:bCs/>
        </w:rPr>
      </w:pPr>
    </w:p>
    <w:p w14:paraId="46FF8A7A" w14:textId="77777777" w:rsidR="00F33974" w:rsidRDefault="00F33974" w:rsidP="00DF4B9F">
      <w:pPr>
        <w:spacing w:before="240" w:after="240" w:line="360" w:lineRule="auto"/>
        <w:rPr>
          <w:b/>
        </w:rPr>
      </w:pPr>
    </w:p>
    <w:p w14:paraId="0E039727" w14:textId="77777777" w:rsidR="00F33974" w:rsidRDefault="00F33974">
      <w:pPr>
        <w:spacing w:after="160" w:line="259" w:lineRule="auto"/>
        <w:rPr>
          <w:b/>
        </w:rPr>
      </w:pPr>
      <w:r>
        <w:rPr>
          <w:b/>
        </w:rPr>
        <w:br w:type="page"/>
      </w:r>
    </w:p>
    <w:p w14:paraId="547049DA" w14:textId="69152BA8" w:rsidR="00F33974" w:rsidRPr="00136114" w:rsidRDefault="00F33974" w:rsidP="341AF7E1">
      <w:pPr>
        <w:spacing w:line="240" w:lineRule="auto"/>
        <w:rPr>
          <w:b/>
          <w:bCs/>
        </w:rPr>
      </w:pPr>
      <w:r w:rsidRPr="341AF7E1">
        <w:rPr>
          <w:b/>
          <w:bCs/>
        </w:rPr>
        <w:lastRenderedPageBreak/>
        <w:t xml:space="preserve">Supplementary Data </w:t>
      </w:r>
      <w:r w:rsidR="6DA38AE1" w:rsidRPr="341AF7E1">
        <w:rPr>
          <w:b/>
          <w:bCs/>
        </w:rPr>
        <w:t>6</w:t>
      </w:r>
      <w:r w:rsidRPr="341AF7E1">
        <w:rPr>
          <w:b/>
          <w:bCs/>
        </w:rPr>
        <w:t>: Severity of presentation and outcome of non</w:t>
      </w:r>
      <w:r w:rsidR="091AABC5" w:rsidRPr="341AF7E1">
        <w:rPr>
          <w:b/>
          <w:bCs/>
        </w:rPr>
        <w:t>-</w:t>
      </w:r>
      <w:r w:rsidRPr="341AF7E1">
        <w:rPr>
          <w:b/>
          <w:bCs/>
        </w:rPr>
        <w:t>invasive pneumococcal disease over time</w:t>
      </w:r>
    </w:p>
    <w:p w14:paraId="72CE20BC" w14:textId="0E121C55" w:rsidR="00F33974" w:rsidRPr="00136114" w:rsidRDefault="00F33974" w:rsidP="00F33974">
      <w:pPr>
        <w:spacing w:line="240" w:lineRule="auto"/>
      </w:pPr>
      <w:r>
        <w:t>The proportion of non-invasive pneumococcal disease in hospitalised adults by (A) age category, (B) CURB65 score, (C) ICU admissions, (D) inpatient mortality and (E) hospital admission length. For panels (A), (B) and (E), categories are provided in the legend adjacent to each panel. The solid line in the multinomial time series models shown in panels (C) and (D) represent binomial time series models with 95% confidence intervals illustrated as grey area. Across all panels, the dates of PCV7 and PCV13 (2+1 and 1+1 schedule) vaccine introduction and SARS-CoV-2 emergence are shown. As this figure relies on UAT data the early part of the time series should be interpreted with caution as routine use was not fully established until around 2010</w:t>
      </w:r>
      <w:r w:rsidR="5DAA0864">
        <w:t xml:space="preserve"> and significant ascertainment bias exists</w:t>
      </w:r>
      <w:r>
        <w:t>.</w:t>
      </w:r>
    </w:p>
    <w:p w14:paraId="329BC75E" w14:textId="77777777" w:rsidR="00F33974" w:rsidRDefault="00F33974" w:rsidP="00B463A9">
      <w:pPr>
        <w:spacing w:before="240" w:after="240" w:line="360" w:lineRule="auto"/>
        <w:jc w:val="center"/>
        <w:rPr>
          <w:b/>
        </w:rPr>
      </w:pPr>
      <w:r w:rsidRPr="00136114">
        <w:rPr>
          <w:rFonts w:eastAsia="Times New Roman"/>
          <w:noProof/>
        </w:rPr>
        <w:drawing>
          <wp:inline distT="114300" distB="114300" distL="114300" distR="114300" wp14:anchorId="5F4068FB" wp14:editId="0B908E22">
            <wp:extent cx="6082748" cy="6152322"/>
            <wp:effectExtent l="0" t="0" r="0" b="1270"/>
            <wp:docPr id="3" name="Picture 3" descr="Char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Chart, diagram&#10;&#10;Description automatically generated"/>
                    <pic:cNvPicPr preferRelativeResize="0"/>
                  </pic:nvPicPr>
                  <pic:blipFill>
                    <a:blip r:embed="rId10"/>
                    <a:srcRect/>
                    <a:stretch>
                      <a:fillRect/>
                    </a:stretch>
                  </pic:blipFill>
                  <pic:spPr>
                    <a:xfrm>
                      <a:off x="0" y="0"/>
                      <a:ext cx="6089340" cy="6158989"/>
                    </a:xfrm>
                    <a:prstGeom prst="rect">
                      <a:avLst/>
                    </a:prstGeom>
                    <a:ln/>
                  </pic:spPr>
                </pic:pic>
              </a:graphicData>
            </a:graphic>
          </wp:inline>
        </w:drawing>
      </w:r>
    </w:p>
    <w:p w14:paraId="285FA83A" w14:textId="77777777" w:rsidR="00F33974" w:rsidRDefault="00F33974" w:rsidP="00DF4B9F">
      <w:pPr>
        <w:spacing w:before="240" w:after="240" w:line="360" w:lineRule="auto"/>
        <w:rPr>
          <w:b/>
        </w:rPr>
      </w:pPr>
    </w:p>
    <w:p w14:paraId="63F87219" w14:textId="61D748D0" w:rsidR="00F33974" w:rsidRPr="00F33974" w:rsidRDefault="00F33974" w:rsidP="00F33974">
      <w:pPr>
        <w:tabs>
          <w:tab w:val="left" w:pos="1526"/>
        </w:tabs>
      </w:pPr>
    </w:p>
    <w:sectPr w:rsidR="00F33974" w:rsidRPr="00F33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9F"/>
    <w:rsid w:val="00185CEC"/>
    <w:rsid w:val="0018621A"/>
    <w:rsid w:val="006D6B99"/>
    <w:rsid w:val="00870DCD"/>
    <w:rsid w:val="008A2D02"/>
    <w:rsid w:val="008C3C49"/>
    <w:rsid w:val="00A437DE"/>
    <w:rsid w:val="00AC5F58"/>
    <w:rsid w:val="00B463A9"/>
    <w:rsid w:val="00BC5BF1"/>
    <w:rsid w:val="00DD0790"/>
    <w:rsid w:val="00DF4B9F"/>
    <w:rsid w:val="00EF4D1E"/>
    <w:rsid w:val="00F32BC4"/>
    <w:rsid w:val="00F33974"/>
    <w:rsid w:val="00F41A81"/>
    <w:rsid w:val="00FB4415"/>
    <w:rsid w:val="06F64F51"/>
    <w:rsid w:val="0764C29D"/>
    <w:rsid w:val="08C4B61C"/>
    <w:rsid w:val="091AABC5"/>
    <w:rsid w:val="093D7D9F"/>
    <w:rsid w:val="0F1FE1E1"/>
    <w:rsid w:val="11C56222"/>
    <w:rsid w:val="13AF4A69"/>
    <w:rsid w:val="15F6B75C"/>
    <w:rsid w:val="16616506"/>
    <w:rsid w:val="16F2DDF3"/>
    <w:rsid w:val="171460A1"/>
    <w:rsid w:val="22EDE5DF"/>
    <w:rsid w:val="24ACE185"/>
    <w:rsid w:val="25758BAD"/>
    <w:rsid w:val="2813DD2A"/>
    <w:rsid w:val="2B3E7EA9"/>
    <w:rsid w:val="2EDE6770"/>
    <w:rsid w:val="312A32C5"/>
    <w:rsid w:val="331D7D67"/>
    <w:rsid w:val="341AF7E1"/>
    <w:rsid w:val="3461D387"/>
    <w:rsid w:val="35099955"/>
    <w:rsid w:val="36664A0D"/>
    <w:rsid w:val="37890675"/>
    <w:rsid w:val="37F664A5"/>
    <w:rsid w:val="388549B6"/>
    <w:rsid w:val="48A35B06"/>
    <w:rsid w:val="4AA7D18C"/>
    <w:rsid w:val="4B479713"/>
    <w:rsid w:val="51A58B56"/>
    <w:rsid w:val="533E003F"/>
    <w:rsid w:val="53415BB7"/>
    <w:rsid w:val="549B9C8D"/>
    <w:rsid w:val="5DAA0864"/>
    <w:rsid w:val="619B113B"/>
    <w:rsid w:val="62F1C0E6"/>
    <w:rsid w:val="638B0690"/>
    <w:rsid w:val="66330313"/>
    <w:rsid w:val="680941D3"/>
    <w:rsid w:val="688FF037"/>
    <w:rsid w:val="6DA38AE1"/>
    <w:rsid w:val="6DD5A0E5"/>
    <w:rsid w:val="728FE9AB"/>
    <w:rsid w:val="7385EF23"/>
    <w:rsid w:val="73C1B321"/>
    <w:rsid w:val="7A28CD2A"/>
    <w:rsid w:val="7DD29C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ECD9"/>
  <w15:chartTrackingRefBased/>
  <w15:docId w15:val="{467A8C67-44B3-4CB1-82F7-9370091C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9F"/>
    <w:pPr>
      <w:spacing w:after="0" w:line="480"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DF4B9F"/>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DF4B9F"/>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DF4B9F"/>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DF4B9F"/>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DF4B9F"/>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DF4B9F"/>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B9F"/>
    <w:rPr>
      <w:rFonts w:ascii="Arial" w:eastAsia="Arial" w:hAnsi="Arial" w:cs="Arial"/>
      <w:kern w:val="0"/>
      <w:sz w:val="40"/>
      <w:szCs w:val="40"/>
      <w:lang w:eastAsia="en-GB"/>
      <w14:ligatures w14:val="none"/>
    </w:rPr>
  </w:style>
  <w:style w:type="character" w:customStyle="1" w:styleId="Heading2Char">
    <w:name w:val="Heading 2 Char"/>
    <w:basedOn w:val="DefaultParagraphFont"/>
    <w:link w:val="Heading2"/>
    <w:uiPriority w:val="9"/>
    <w:semiHidden/>
    <w:rsid w:val="00DF4B9F"/>
    <w:rPr>
      <w:rFonts w:ascii="Arial" w:eastAsia="Arial" w:hAnsi="Arial" w:cs="Arial"/>
      <w:kern w:val="0"/>
      <w:sz w:val="32"/>
      <w:szCs w:val="32"/>
      <w:lang w:eastAsia="en-GB"/>
      <w14:ligatures w14:val="none"/>
    </w:rPr>
  </w:style>
  <w:style w:type="character" w:customStyle="1" w:styleId="Heading3Char">
    <w:name w:val="Heading 3 Char"/>
    <w:basedOn w:val="DefaultParagraphFont"/>
    <w:link w:val="Heading3"/>
    <w:uiPriority w:val="9"/>
    <w:semiHidden/>
    <w:rsid w:val="00DF4B9F"/>
    <w:rPr>
      <w:rFonts w:ascii="Arial" w:eastAsia="Arial" w:hAnsi="Arial" w:cs="Arial"/>
      <w:color w:val="434343"/>
      <w:kern w:val="0"/>
      <w:sz w:val="28"/>
      <w:szCs w:val="28"/>
      <w:lang w:eastAsia="en-GB"/>
      <w14:ligatures w14:val="none"/>
    </w:rPr>
  </w:style>
  <w:style w:type="character" w:customStyle="1" w:styleId="Heading4Char">
    <w:name w:val="Heading 4 Char"/>
    <w:basedOn w:val="DefaultParagraphFont"/>
    <w:link w:val="Heading4"/>
    <w:uiPriority w:val="9"/>
    <w:semiHidden/>
    <w:rsid w:val="00DF4B9F"/>
    <w:rPr>
      <w:rFonts w:ascii="Arial" w:eastAsia="Arial" w:hAnsi="Arial" w:cs="Arial"/>
      <w:color w:val="666666"/>
      <w:kern w:val="0"/>
      <w:sz w:val="24"/>
      <w:szCs w:val="24"/>
      <w:lang w:eastAsia="en-GB"/>
      <w14:ligatures w14:val="none"/>
    </w:rPr>
  </w:style>
  <w:style w:type="character" w:customStyle="1" w:styleId="Heading5Char">
    <w:name w:val="Heading 5 Char"/>
    <w:basedOn w:val="DefaultParagraphFont"/>
    <w:link w:val="Heading5"/>
    <w:uiPriority w:val="9"/>
    <w:semiHidden/>
    <w:rsid w:val="00DF4B9F"/>
    <w:rPr>
      <w:rFonts w:ascii="Arial" w:eastAsia="Arial" w:hAnsi="Arial" w:cs="Arial"/>
      <w:color w:val="666666"/>
      <w:kern w:val="0"/>
      <w:lang w:eastAsia="en-GB"/>
      <w14:ligatures w14:val="none"/>
    </w:rPr>
  </w:style>
  <w:style w:type="character" w:customStyle="1" w:styleId="Heading6Char">
    <w:name w:val="Heading 6 Char"/>
    <w:basedOn w:val="DefaultParagraphFont"/>
    <w:link w:val="Heading6"/>
    <w:uiPriority w:val="9"/>
    <w:semiHidden/>
    <w:rsid w:val="00DF4B9F"/>
    <w:rPr>
      <w:rFonts w:ascii="Arial" w:eastAsia="Arial" w:hAnsi="Arial" w:cs="Arial"/>
      <w:i/>
      <w:color w:val="666666"/>
      <w:kern w:val="0"/>
      <w:lang w:eastAsia="en-GB"/>
      <w14:ligatures w14:val="none"/>
    </w:rPr>
  </w:style>
  <w:style w:type="paragraph" w:styleId="Title">
    <w:name w:val="Title"/>
    <w:basedOn w:val="Normal"/>
    <w:next w:val="Normal"/>
    <w:link w:val="TitleChar"/>
    <w:uiPriority w:val="10"/>
    <w:qFormat/>
    <w:rsid w:val="00DF4B9F"/>
    <w:pPr>
      <w:keepNext/>
      <w:keepLines/>
      <w:spacing w:after="60"/>
    </w:pPr>
    <w:rPr>
      <w:sz w:val="52"/>
      <w:szCs w:val="52"/>
    </w:rPr>
  </w:style>
  <w:style w:type="character" w:customStyle="1" w:styleId="TitleChar">
    <w:name w:val="Title Char"/>
    <w:basedOn w:val="DefaultParagraphFont"/>
    <w:link w:val="Title"/>
    <w:uiPriority w:val="10"/>
    <w:rsid w:val="00DF4B9F"/>
    <w:rPr>
      <w:rFonts w:ascii="Arial" w:eastAsia="Arial" w:hAnsi="Arial" w:cs="Arial"/>
      <w:kern w:val="0"/>
      <w:sz w:val="52"/>
      <w:szCs w:val="52"/>
      <w:lang w:eastAsia="en-GB"/>
      <w14:ligatures w14:val="none"/>
    </w:rPr>
  </w:style>
  <w:style w:type="paragraph" w:styleId="Subtitle">
    <w:name w:val="Subtitle"/>
    <w:basedOn w:val="Normal"/>
    <w:next w:val="Normal"/>
    <w:link w:val="SubtitleChar"/>
    <w:uiPriority w:val="11"/>
    <w:qFormat/>
    <w:rsid w:val="00DF4B9F"/>
    <w:pPr>
      <w:keepNext/>
      <w:keepLines/>
      <w:spacing w:after="320"/>
    </w:pPr>
    <w:rPr>
      <w:color w:val="666666"/>
      <w:sz w:val="30"/>
      <w:szCs w:val="30"/>
    </w:rPr>
  </w:style>
  <w:style w:type="character" w:customStyle="1" w:styleId="SubtitleChar">
    <w:name w:val="Subtitle Char"/>
    <w:basedOn w:val="DefaultParagraphFont"/>
    <w:link w:val="Subtitle"/>
    <w:uiPriority w:val="11"/>
    <w:rsid w:val="00DF4B9F"/>
    <w:rPr>
      <w:rFonts w:ascii="Arial" w:eastAsia="Arial" w:hAnsi="Arial" w:cs="Arial"/>
      <w:color w:val="666666"/>
      <w:kern w:val="0"/>
      <w:sz w:val="30"/>
      <w:szCs w:val="30"/>
      <w:lang w:eastAsia="en-GB"/>
      <w14:ligatures w14:val="none"/>
    </w:rPr>
  </w:style>
  <w:style w:type="paragraph" w:styleId="CommentText">
    <w:name w:val="annotation text"/>
    <w:basedOn w:val="Normal"/>
    <w:link w:val="CommentTextChar"/>
    <w:uiPriority w:val="99"/>
    <w:unhideWhenUsed/>
    <w:rsid w:val="00DF4B9F"/>
    <w:pPr>
      <w:spacing w:line="240" w:lineRule="auto"/>
    </w:pPr>
    <w:rPr>
      <w:sz w:val="20"/>
      <w:szCs w:val="20"/>
    </w:rPr>
  </w:style>
  <w:style w:type="character" w:customStyle="1" w:styleId="CommentTextChar">
    <w:name w:val="Comment Text Char"/>
    <w:basedOn w:val="DefaultParagraphFont"/>
    <w:link w:val="CommentText"/>
    <w:uiPriority w:val="99"/>
    <w:rsid w:val="00DF4B9F"/>
    <w:rPr>
      <w:rFonts w:ascii="Arial" w:eastAsia="Arial" w:hAnsi="Arial" w:cs="Arial"/>
      <w:kern w:val="0"/>
      <w:sz w:val="20"/>
      <w:szCs w:val="20"/>
      <w:lang w:eastAsia="en-GB"/>
      <w14:ligatures w14:val="none"/>
    </w:rPr>
  </w:style>
  <w:style w:type="character" w:styleId="CommentReference">
    <w:name w:val="annotation reference"/>
    <w:basedOn w:val="DefaultParagraphFont"/>
    <w:uiPriority w:val="99"/>
    <w:semiHidden/>
    <w:unhideWhenUsed/>
    <w:rsid w:val="00DF4B9F"/>
    <w:rPr>
      <w:sz w:val="16"/>
      <w:szCs w:val="16"/>
    </w:rPr>
  </w:style>
  <w:style w:type="character" w:styleId="Hyperlink">
    <w:name w:val="Hyperlink"/>
    <w:basedOn w:val="DefaultParagraphFont"/>
    <w:uiPriority w:val="99"/>
    <w:unhideWhenUsed/>
    <w:rsid w:val="00DF4B9F"/>
    <w:rPr>
      <w:color w:val="0563C1" w:themeColor="hyperlink"/>
      <w:u w:val="single"/>
    </w:rPr>
  </w:style>
  <w:style w:type="character" w:styleId="UnresolvedMention">
    <w:name w:val="Unresolved Mention"/>
    <w:basedOn w:val="DefaultParagraphFont"/>
    <w:uiPriority w:val="99"/>
    <w:semiHidden/>
    <w:unhideWhenUsed/>
    <w:rsid w:val="00DF4B9F"/>
    <w:rPr>
      <w:color w:val="605E5C"/>
      <w:shd w:val="clear" w:color="auto" w:fill="E1DFDD"/>
    </w:rPr>
  </w:style>
  <w:style w:type="paragraph" w:styleId="Header">
    <w:name w:val="header"/>
    <w:basedOn w:val="Normal"/>
    <w:link w:val="HeaderChar"/>
    <w:uiPriority w:val="99"/>
    <w:semiHidden/>
    <w:unhideWhenUsed/>
    <w:rsid w:val="00DF4B9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F4B9F"/>
    <w:rPr>
      <w:rFonts w:ascii="Arial" w:eastAsia="Arial" w:hAnsi="Arial" w:cs="Arial"/>
      <w:kern w:val="0"/>
      <w:lang w:eastAsia="en-GB"/>
      <w14:ligatures w14:val="none"/>
    </w:rPr>
  </w:style>
  <w:style w:type="paragraph" w:styleId="Footer">
    <w:name w:val="footer"/>
    <w:basedOn w:val="Normal"/>
    <w:link w:val="FooterChar"/>
    <w:uiPriority w:val="99"/>
    <w:semiHidden/>
    <w:unhideWhenUsed/>
    <w:rsid w:val="00DF4B9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F4B9F"/>
    <w:rPr>
      <w:rFonts w:ascii="Arial" w:eastAsia="Arial" w:hAnsi="Arial" w:cs="Arial"/>
      <w:kern w:val="0"/>
      <w:lang w:eastAsia="en-GB"/>
      <w14:ligatures w14:val="none"/>
    </w:rPr>
  </w:style>
  <w:style w:type="paragraph" w:styleId="Revision">
    <w:name w:val="Revision"/>
    <w:hidden/>
    <w:uiPriority w:val="99"/>
    <w:semiHidden/>
    <w:rsid w:val="00DF4B9F"/>
    <w:pPr>
      <w:spacing w:after="0" w:line="240" w:lineRule="auto"/>
    </w:pPr>
    <w:rPr>
      <w:rFonts w:ascii="Arial" w:eastAsia="Arial" w:hAnsi="Arial" w:cs="Arial"/>
      <w:kern w:val="0"/>
      <w:lang w:eastAsia="en-GB"/>
      <w14:ligatures w14:val="none"/>
    </w:rPr>
  </w:style>
  <w:style w:type="paragraph" w:styleId="CommentSubject">
    <w:name w:val="annotation subject"/>
    <w:basedOn w:val="CommentText"/>
    <w:next w:val="CommentText"/>
    <w:link w:val="CommentSubjectChar"/>
    <w:uiPriority w:val="99"/>
    <w:semiHidden/>
    <w:unhideWhenUsed/>
    <w:rsid w:val="00DF4B9F"/>
    <w:rPr>
      <w:b/>
      <w:bCs/>
    </w:rPr>
  </w:style>
  <w:style w:type="character" w:customStyle="1" w:styleId="CommentSubjectChar">
    <w:name w:val="Comment Subject Char"/>
    <w:basedOn w:val="CommentTextChar"/>
    <w:link w:val="CommentSubject"/>
    <w:uiPriority w:val="99"/>
    <w:semiHidden/>
    <w:rsid w:val="00DF4B9F"/>
    <w:rPr>
      <w:rFonts w:ascii="Arial" w:eastAsia="Arial" w:hAnsi="Arial" w:cs="Arial"/>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DC6022738F94A8E39F37B060CE002" ma:contentTypeVersion="15" ma:contentTypeDescription="Create a new document." ma:contentTypeScope="" ma:versionID="119a3ae3e8030bb1013dc29f5fcf4cb7">
  <xsd:schema xmlns:xsd="http://www.w3.org/2001/XMLSchema" xmlns:xs="http://www.w3.org/2001/XMLSchema" xmlns:p="http://schemas.microsoft.com/office/2006/metadata/properties" xmlns:ns2="0e6b9a8f-19e2-44ab-87b6-2871f92e89b1" xmlns:ns3="a2093613-61a3-4d02-8eed-4935ccfbe012" targetNamespace="http://schemas.microsoft.com/office/2006/metadata/properties" ma:root="true" ma:fieldsID="1f8e6cfebab9fa103951b347db4a95ed" ns2:_="" ns3:_="">
    <xsd:import namespace="0e6b9a8f-19e2-44ab-87b6-2871f92e89b1"/>
    <xsd:import namespace="a2093613-61a3-4d02-8eed-4935ccfbe0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b9a8f-19e2-44ab-87b6-2871f92e8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3613-61a3-4d02-8eed-4935ccfbe0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0abd7f-bfea-4f32-9438-cab22713fcdf}" ma:internalName="TaxCatchAll" ma:showField="CatchAllData" ma:web="a2093613-61a3-4d02-8eed-4935ccfbe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093613-61a3-4d02-8eed-4935ccfbe012" xsi:nil="true"/>
    <lcf76f155ced4ddcb4097134ff3c332f xmlns="0e6b9a8f-19e2-44ab-87b6-2871f92e89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1DA692-4FF2-467C-888F-485E147AC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b9a8f-19e2-44ab-87b6-2871f92e89b1"/>
    <ds:schemaRef ds:uri="a2093613-61a3-4d02-8eed-4935ccfbe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2B7E9-5511-4BF2-9E58-EF80A909F2E5}">
  <ds:schemaRefs>
    <ds:schemaRef ds:uri="http://schemas.microsoft.com/sharepoint/v3/contenttype/forms"/>
  </ds:schemaRefs>
</ds:datastoreItem>
</file>

<file path=customXml/itemProps3.xml><?xml version="1.0" encoding="utf-8"?>
<ds:datastoreItem xmlns:ds="http://schemas.openxmlformats.org/officeDocument/2006/customXml" ds:itemID="{28E8323E-A1A8-499D-BB72-64576C6BEDB1}">
  <ds:schemaRefs>
    <ds:schemaRef ds:uri="http://purl.org/dc/terms/"/>
    <ds:schemaRef ds:uri="http://schemas.microsoft.com/office/infopath/2007/PartnerControls"/>
    <ds:schemaRef ds:uri="http://schemas.microsoft.com/office/2006/documentManagement/types"/>
    <ds:schemaRef ds:uri="a2093613-61a3-4d02-8eed-4935ccfbe012"/>
    <ds:schemaRef ds:uri="http://purl.org/dc/elements/1.1/"/>
    <ds:schemaRef ds:uri="http://schemas.microsoft.com/office/2006/metadata/properties"/>
    <ds:schemaRef ds:uri="http://schemas.openxmlformats.org/package/2006/metadata/core-properties"/>
    <ds:schemaRef ds:uri="0e6b9a8f-19e2-44ab-87b6-2871f92e89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Hyams</dc:creator>
  <cp:keywords/>
  <dc:description/>
  <cp:lastModifiedBy>Catherine Hyams</cp:lastModifiedBy>
  <cp:revision>5</cp:revision>
  <cp:lastPrinted>2023-06-13T09:03:00Z</cp:lastPrinted>
  <dcterms:created xsi:type="dcterms:W3CDTF">2023-05-17T06:50:00Z</dcterms:created>
  <dcterms:modified xsi:type="dcterms:W3CDTF">2023-06-13T09:08:00Z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0x0101006CADC6022738F94A8E39F37B060CE002</vt:lpwstr>
  </property>
  <property fmtid="{D5CDD505-2E9C-101B-9397-08002B2CF9AE}" pid="3" name="MediaServiceImageTags">
    <vt:lpwstr/>
  </property>
</Properties>
</file>