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278" w14:textId="77777777" w:rsidR="00F46460" w:rsidRPr="00014B95" w:rsidRDefault="00F46460" w:rsidP="00FA0507">
      <w:pPr>
        <w:pStyle w:val="Heading1"/>
      </w:pPr>
      <w:bookmarkStart w:id="0" w:name="_Hlk93496317"/>
      <w:bookmarkEnd w:id="0"/>
      <w:r w:rsidRPr="00014B95">
        <w:t>Supplemental Materials</w:t>
      </w:r>
    </w:p>
    <w:p w14:paraId="6C37B730" w14:textId="77777777" w:rsidR="00F46460" w:rsidRDefault="00F46460" w:rsidP="00F464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46460" w14:paraId="12853A78" w14:textId="77777777" w:rsidTr="17D9F58D">
        <w:trPr>
          <w:trHeight w:val="432"/>
        </w:trPr>
        <w:tc>
          <w:tcPr>
            <w:tcW w:w="2515" w:type="dxa"/>
            <w:vAlign w:val="center"/>
          </w:tcPr>
          <w:p w14:paraId="307BA539" w14:textId="77777777" w:rsidR="00F46460" w:rsidRPr="00B95DE8" w:rsidRDefault="00F46460" w:rsidP="00DB2A68">
            <w:pPr>
              <w:rPr>
                <w:b/>
                <w:sz w:val="20"/>
                <w:szCs w:val="20"/>
              </w:rPr>
            </w:pPr>
            <w:r w:rsidRPr="00B95DE8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835" w:type="dxa"/>
            <w:vAlign w:val="center"/>
          </w:tcPr>
          <w:p w14:paraId="127E4E0E" w14:textId="77777777" w:rsidR="00F46460" w:rsidRPr="00B95DE8" w:rsidRDefault="00F46460" w:rsidP="00DB2A68">
            <w:pPr>
              <w:rPr>
                <w:b/>
                <w:sz w:val="20"/>
                <w:szCs w:val="20"/>
              </w:rPr>
            </w:pPr>
            <w:r w:rsidRPr="00B95DE8">
              <w:rPr>
                <w:b/>
                <w:sz w:val="20"/>
                <w:szCs w:val="20"/>
              </w:rPr>
              <w:t>Title/Description</w:t>
            </w:r>
          </w:p>
        </w:tc>
      </w:tr>
      <w:tr w:rsidR="00F46460" w14:paraId="0E8F5919" w14:textId="77777777" w:rsidTr="17D9F58D">
        <w:trPr>
          <w:trHeight w:val="432"/>
        </w:trPr>
        <w:tc>
          <w:tcPr>
            <w:tcW w:w="2515" w:type="dxa"/>
            <w:vAlign w:val="center"/>
          </w:tcPr>
          <w:p w14:paraId="1C20B6BB" w14:textId="77777777" w:rsidR="00F46460" w:rsidRPr="00561BBE" w:rsidRDefault="00F46460" w:rsidP="00DB2A68">
            <w:pPr>
              <w:rPr>
                <w:sz w:val="20"/>
                <w:szCs w:val="20"/>
              </w:rPr>
            </w:pPr>
            <w:r w:rsidRPr="00561BBE">
              <w:rPr>
                <w:sz w:val="20"/>
                <w:szCs w:val="20"/>
              </w:rPr>
              <w:t>Supplemental Methods</w:t>
            </w:r>
          </w:p>
        </w:tc>
        <w:tc>
          <w:tcPr>
            <w:tcW w:w="6835" w:type="dxa"/>
            <w:vAlign w:val="center"/>
          </w:tcPr>
          <w:p w14:paraId="2E0EF30F" w14:textId="6658C950" w:rsidR="00F46460" w:rsidRPr="00561BBE" w:rsidRDefault="00A524AA" w:rsidP="00DB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F46460" w:rsidRPr="00561BBE">
              <w:rPr>
                <w:sz w:val="20"/>
                <w:szCs w:val="20"/>
              </w:rPr>
              <w:t xml:space="preserve">uality </w:t>
            </w:r>
            <w:r>
              <w:rPr>
                <w:sz w:val="20"/>
                <w:szCs w:val="20"/>
              </w:rPr>
              <w:t>C</w:t>
            </w:r>
            <w:r w:rsidR="00F46460" w:rsidRPr="00561BBE">
              <w:rPr>
                <w:sz w:val="20"/>
                <w:szCs w:val="20"/>
              </w:rPr>
              <w:t xml:space="preserve">ontrol (QC) </w:t>
            </w:r>
            <w:r>
              <w:rPr>
                <w:sz w:val="20"/>
                <w:szCs w:val="20"/>
              </w:rPr>
              <w:t>P</w:t>
            </w:r>
            <w:r w:rsidR="00F46460" w:rsidRPr="00561BBE">
              <w:rPr>
                <w:sz w:val="20"/>
                <w:szCs w:val="20"/>
              </w:rPr>
              <w:t>rotocol</w:t>
            </w:r>
          </w:p>
        </w:tc>
      </w:tr>
      <w:tr w:rsidR="00F46460" w14:paraId="6CB980A4" w14:textId="77777777" w:rsidTr="17D9F58D">
        <w:trPr>
          <w:trHeight w:val="432"/>
        </w:trPr>
        <w:tc>
          <w:tcPr>
            <w:tcW w:w="2515" w:type="dxa"/>
            <w:vAlign w:val="center"/>
          </w:tcPr>
          <w:p w14:paraId="550EEDB0" w14:textId="15547A52" w:rsidR="00F46460" w:rsidRPr="00B95DE8" w:rsidRDefault="00A524AA" w:rsidP="00DB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Table 1</w:t>
            </w:r>
          </w:p>
        </w:tc>
        <w:tc>
          <w:tcPr>
            <w:tcW w:w="6835" w:type="dxa"/>
            <w:vAlign w:val="center"/>
          </w:tcPr>
          <w:p w14:paraId="38C15A7F" w14:textId="6F9E8A8F" w:rsidR="00F46460" w:rsidRPr="00B95DE8" w:rsidRDefault="25A9F592" w:rsidP="00DB2A68">
            <w:pPr>
              <w:rPr>
                <w:sz w:val="20"/>
                <w:szCs w:val="20"/>
              </w:rPr>
            </w:pPr>
            <w:r w:rsidRPr="1A30DAFD">
              <w:rPr>
                <w:sz w:val="20"/>
                <w:szCs w:val="20"/>
              </w:rPr>
              <w:t>Topology Readouts for all PRM Classification</w:t>
            </w:r>
            <w:r w:rsidR="368FA677" w:rsidRPr="1A30DAFD">
              <w:rPr>
                <w:sz w:val="20"/>
                <w:szCs w:val="20"/>
              </w:rPr>
              <w:t>s</w:t>
            </w:r>
          </w:p>
        </w:tc>
      </w:tr>
      <w:tr w:rsidR="00F46460" w14:paraId="4D8D9B2B" w14:textId="77777777" w:rsidTr="17D9F58D">
        <w:trPr>
          <w:trHeight w:val="432"/>
        </w:trPr>
        <w:tc>
          <w:tcPr>
            <w:tcW w:w="2515" w:type="dxa"/>
            <w:vAlign w:val="center"/>
          </w:tcPr>
          <w:p w14:paraId="238910DC" w14:textId="31EC8BA4" w:rsidR="00F46460" w:rsidRPr="00B95DE8" w:rsidRDefault="00A524AA" w:rsidP="00DB2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Table 2</w:t>
            </w:r>
          </w:p>
        </w:tc>
        <w:tc>
          <w:tcPr>
            <w:tcW w:w="6835" w:type="dxa"/>
            <w:vAlign w:val="center"/>
          </w:tcPr>
          <w:p w14:paraId="5C58965F" w14:textId="34BF949E" w:rsidR="00F46460" w:rsidRPr="002740CD" w:rsidRDefault="00903D10" w:rsidP="00DB2A68">
            <w:pPr>
              <w:rPr>
                <w:sz w:val="20"/>
                <w:szCs w:val="20"/>
              </w:rPr>
            </w:pPr>
            <w:r w:rsidRPr="00903D10">
              <w:rPr>
                <w:sz w:val="20"/>
                <w:szCs w:val="20"/>
              </w:rPr>
              <w:t>Multivariable Regression for non-COPD Subset</w:t>
            </w:r>
          </w:p>
        </w:tc>
      </w:tr>
    </w:tbl>
    <w:p w14:paraId="65F6BC77" w14:textId="48433689" w:rsidR="00F46460" w:rsidRPr="00A524AA" w:rsidRDefault="00F46460" w:rsidP="1A30DAFD">
      <w:pPr>
        <w:pStyle w:val="Heading1"/>
        <w:rPr>
          <w:rStyle w:val="Heading1Char"/>
        </w:rPr>
      </w:pPr>
      <w:r w:rsidRPr="17D9F58D">
        <w:rPr>
          <w:b/>
          <w:bCs/>
          <w:sz w:val="20"/>
          <w:szCs w:val="20"/>
        </w:rPr>
        <w:br w:type="page"/>
      </w:r>
      <w:r w:rsidR="2B071012">
        <w:lastRenderedPageBreak/>
        <w:t>Supplem</w:t>
      </w:r>
      <w:r w:rsidR="2B071012" w:rsidRPr="17D9F58D">
        <w:rPr>
          <w:rStyle w:val="Heading1Char"/>
        </w:rPr>
        <w:t xml:space="preserve">ental Methods: </w:t>
      </w:r>
      <w:r w:rsidR="770FE6FA" w:rsidRPr="17D9F58D">
        <w:rPr>
          <w:rStyle w:val="Heading1Char"/>
        </w:rPr>
        <w:t>Q</w:t>
      </w:r>
      <w:r w:rsidR="2B071012" w:rsidRPr="17D9F58D">
        <w:rPr>
          <w:rStyle w:val="Heading1Char"/>
        </w:rPr>
        <w:t xml:space="preserve">uality </w:t>
      </w:r>
      <w:r w:rsidR="770FE6FA" w:rsidRPr="17D9F58D">
        <w:rPr>
          <w:rStyle w:val="Heading1Char"/>
        </w:rPr>
        <w:t>C</w:t>
      </w:r>
      <w:r w:rsidR="2B071012" w:rsidRPr="17D9F58D">
        <w:rPr>
          <w:rStyle w:val="Heading1Char"/>
        </w:rPr>
        <w:t xml:space="preserve">ontrol (QC) </w:t>
      </w:r>
      <w:r w:rsidR="770FE6FA" w:rsidRPr="17D9F58D">
        <w:rPr>
          <w:rStyle w:val="Heading1Char"/>
        </w:rPr>
        <w:t>P</w:t>
      </w:r>
      <w:r w:rsidR="2B071012" w:rsidRPr="17D9F58D">
        <w:rPr>
          <w:rStyle w:val="Heading1Char"/>
        </w:rPr>
        <w:t>rotocol</w:t>
      </w:r>
    </w:p>
    <w:p w14:paraId="45A9009D" w14:textId="77777777" w:rsidR="00F46460" w:rsidRDefault="00F46460" w:rsidP="00F46460">
      <w:pPr>
        <w:spacing w:line="360" w:lineRule="auto"/>
        <w:rPr>
          <w:sz w:val="20"/>
          <w:szCs w:val="20"/>
        </w:rPr>
      </w:pPr>
    </w:p>
    <w:p w14:paraId="78B1BA20" w14:textId="24F5BF2F" w:rsidR="00F46460" w:rsidRPr="00517525" w:rsidRDefault="307AABAA" w:rsidP="17D9F58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QC was performed in two steps (e.g.</w:t>
      </w:r>
      <w:r w:rsidR="00B46B16">
        <w:rPr>
          <w:sz w:val="20"/>
          <w:szCs w:val="20"/>
        </w:rPr>
        <w:t>,</w:t>
      </w:r>
      <w:r>
        <w:rPr>
          <w:sz w:val="20"/>
          <w:szCs w:val="20"/>
        </w:rPr>
        <w:t xml:space="preserve"> see 3 and 4 in exclusion diagram below), using GOLD grade, segmented lung volume change (</w:t>
      </w:r>
      <m:oMath>
        <m:r>
          <w:rPr>
            <w:rFonts w:ascii="Cambria Math" w:hAnsi="Cambria Math"/>
            <w:sz w:val="20"/>
            <w:szCs w:val="20"/>
          </w:rPr>
          <m:t>∆</m:t>
        </m:r>
      </m:oMath>
      <w:r>
        <w:rPr>
          <w:sz w:val="20"/>
          <w:szCs w:val="20"/>
        </w:rPr>
        <w:t>V</w:t>
      </w:r>
      <w:r w:rsidR="551EBA3F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="551EBA3F">
        <w:rPr>
          <w:sz w:val="20"/>
          <w:szCs w:val="20"/>
        </w:rPr>
        <w:t xml:space="preserve"> </w:t>
      </w:r>
      <w:r>
        <w:rPr>
          <w:sz w:val="20"/>
          <w:szCs w:val="20"/>
        </w:rPr>
        <w:t>inspiration volume – expiration volume, as a function of segmented voxels), and a correlation test metric (Q) defined as the absolute value of the difference between standard scores of FEV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% predicted and %PRM</w:t>
      </w:r>
      <w:r>
        <w:rPr>
          <w:sz w:val="20"/>
          <w:szCs w:val="20"/>
          <w:vertAlign w:val="superscript"/>
        </w:rPr>
        <w:t>Norm</w:t>
      </w:r>
      <w:r>
        <w:rPr>
          <w:sz w:val="20"/>
          <w:szCs w:val="20"/>
        </w:rPr>
        <w:t>, reported to be highly correlated in COPD studies*.</w:t>
      </w:r>
    </w:p>
    <w:p w14:paraId="7F8969A3" w14:textId="2E674EC9" w:rsidR="00F46460" w:rsidRPr="00517525" w:rsidRDefault="307AABAA" w:rsidP="17D9F58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7EE2444C">
        <w:rPr>
          <w:noProof/>
        </w:rPr>
        <w:drawing>
          <wp:inline distT="0" distB="0" distL="0" distR="0" wp14:anchorId="6CB29EDD" wp14:editId="21561249">
            <wp:extent cx="4810728" cy="2375297"/>
            <wp:effectExtent l="0" t="0" r="0" b="0"/>
            <wp:docPr id="2128253007" name="Picture 212825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28" cy="237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93EA" w14:textId="4009395C" w:rsidR="00F46460" w:rsidRDefault="00F46460" w:rsidP="00F46460">
      <w:pPr>
        <w:spacing w:line="360" w:lineRule="auto"/>
      </w:pPr>
    </w:p>
    <w:p w14:paraId="72856207" w14:textId="0703940E" w:rsidR="00F46460" w:rsidRDefault="307AABAA" w:rsidP="00F46460">
      <w:pPr>
        <w:spacing w:line="360" w:lineRule="auto"/>
        <w:rPr>
          <w:sz w:val="20"/>
          <w:szCs w:val="20"/>
        </w:rPr>
      </w:pPr>
      <w:r w:rsidRPr="17D9F58D">
        <w:rPr>
          <w:sz w:val="20"/>
          <w:szCs w:val="20"/>
        </w:rPr>
        <w:t xml:space="preserve">Specifically, </w:t>
      </w:r>
      <w:r w:rsidR="0A5982AB" w:rsidRPr="17D9F58D">
        <w:rPr>
          <w:sz w:val="20"/>
          <w:szCs w:val="20"/>
        </w:rPr>
        <w:t xml:space="preserve">imaging </w:t>
      </w:r>
      <w:r w:rsidRPr="17D9F58D">
        <w:rPr>
          <w:sz w:val="20"/>
          <w:szCs w:val="20"/>
        </w:rPr>
        <w:t xml:space="preserve">QC tests for exclusion were applied consecutively as follows: </w:t>
      </w:r>
    </w:p>
    <w:p w14:paraId="020EA793" w14:textId="77777777" w:rsidR="00F46460" w:rsidRDefault="00F46460" w:rsidP="00F46460">
      <w:pPr>
        <w:spacing w:line="360" w:lineRule="auto"/>
        <w:rPr>
          <w:sz w:val="20"/>
          <w:szCs w:val="20"/>
        </w:rPr>
      </w:pPr>
    </w:p>
    <w:p w14:paraId="073F5DCA" w14:textId="214D1CFB" w:rsidR="00F46460" w:rsidRPr="00EF2162" w:rsidRDefault="00F46460" w:rsidP="00F46460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EF2162">
        <w:rPr>
          <w:b/>
          <w:sz w:val="20"/>
          <w:szCs w:val="20"/>
        </w:rPr>
        <w:t>∆V</w:t>
      </w:r>
      <w:r w:rsidR="00903373">
        <w:rPr>
          <w:b/>
          <w:sz w:val="20"/>
          <w:szCs w:val="20"/>
        </w:rPr>
        <w:t xml:space="preserve"> </w:t>
      </w:r>
      <w:r w:rsidRPr="00EF2162">
        <w:rPr>
          <w:b/>
          <w:sz w:val="20"/>
          <w:szCs w:val="20"/>
        </w:rPr>
        <w:t>&lt;</w:t>
      </w:r>
      <w:r w:rsidR="00903373">
        <w:rPr>
          <w:b/>
          <w:sz w:val="20"/>
          <w:szCs w:val="20"/>
        </w:rPr>
        <w:t xml:space="preserve"> </w:t>
      </w:r>
      <w:r w:rsidRPr="00EF2162">
        <w:rPr>
          <w:b/>
          <w:sz w:val="20"/>
          <w:szCs w:val="20"/>
        </w:rPr>
        <w:t>-0.5 L OR Q</w:t>
      </w:r>
      <w:r w:rsidR="00903373">
        <w:rPr>
          <w:b/>
          <w:sz w:val="20"/>
          <w:szCs w:val="20"/>
        </w:rPr>
        <w:t xml:space="preserve"> </w:t>
      </w:r>
      <w:r w:rsidRPr="00EF2162">
        <w:rPr>
          <w:b/>
          <w:sz w:val="20"/>
          <w:szCs w:val="20"/>
        </w:rPr>
        <w:t>≥</w:t>
      </w:r>
      <w:r w:rsidR="00903373">
        <w:rPr>
          <w:b/>
          <w:sz w:val="20"/>
          <w:szCs w:val="20"/>
        </w:rPr>
        <w:t xml:space="preserve"> </w:t>
      </w:r>
      <w:r w:rsidRPr="00EF2162">
        <w:rPr>
          <w:b/>
          <w:sz w:val="20"/>
          <w:szCs w:val="20"/>
        </w:rPr>
        <w:t>3</w:t>
      </w:r>
    </w:p>
    <w:p w14:paraId="24FDC862" w14:textId="77777777" w:rsidR="00F46460" w:rsidRDefault="00F46460" w:rsidP="00F46460">
      <w:pPr>
        <w:spacing w:line="360" w:lineRule="auto"/>
        <w:rPr>
          <w:sz w:val="20"/>
          <w:szCs w:val="20"/>
        </w:rPr>
      </w:pPr>
    </w:p>
    <w:p w14:paraId="36FD1256" w14:textId="14D76966" w:rsidR="00F46460" w:rsidRDefault="43FCFB4D" w:rsidP="0026504F">
      <w:pPr>
        <w:spacing w:line="360" w:lineRule="auto"/>
        <w:jc w:val="both"/>
        <w:rPr>
          <w:sz w:val="20"/>
          <w:szCs w:val="20"/>
        </w:rPr>
      </w:pPr>
      <w:r w:rsidRPr="1A30DAFD">
        <w:rPr>
          <w:sz w:val="20"/>
          <w:szCs w:val="20"/>
        </w:rPr>
        <w:t>A large negative volume change, here defined as greater than 0.5</w:t>
      </w:r>
      <w:r w:rsidR="50BAAEEE" w:rsidRPr="1A30DAFD">
        <w:rPr>
          <w:sz w:val="20"/>
          <w:szCs w:val="20"/>
        </w:rPr>
        <w:t xml:space="preserve"> </w:t>
      </w:r>
      <w:r w:rsidRPr="1A30DAFD">
        <w:rPr>
          <w:sz w:val="20"/>
          <w:szCs w:val="20"/>
        </w:rPr>
        <w:t xml:space="preserve">L, often </w:t>
      </w:r>
      <w:r w:rsidR="50BAAEEE" w:rsidRPr="1A30DAFD">
        <w:rPr>
          <w:sz w:val="20"/>
          <w:szCs w:val="20"/>
        </w:rPr>
        <w:t>indicates</w:t>
      </w:r>
      <w:r w:rsidRPr="1A30DAFD">
        <w:rPr>
          <w:sz w:val="20"/>
          <w:szCs w:val="20"/>
        </w:rPr>
        <w:t xml:space="preserve"> transposition of intended respiratory stages (expiration/inspiration), due to faulty maneuver or data handling error. In addition, we test here if a deviation of equal to or greater than 3 standard deviations from the expected positive correlation between FEV</w:t>
      </w:r>
      <w:r w:rsidRPr="1A30DAFD">
        <w:rPr>
          <w:sz w:val="20"/>
          <w:szCs w:val="20"/>
          <w:vertAlign w:val="subscript"/>
        </w:rPr>
        <w:t>1</w:t>
      </w:r>
      <w:r w:rsidRPr="1A30DAFD">
        <w:rPr>
          <w:sz w:val="20"/>
          <w:szCs w:val="20"/>
        </w:rPr>
        <w:t>% pred</w:t>
      </w:r>
      <w:r w:rsidR="50BAAEEE" w:rsidRPr="1A30DAFD">
        <w:rPr>
          <w:sz w:val="20"/>
          <w:szCs w:val="20"/>
        </w:rPr>
        <w:t>icted</w:t>
      </w:r>
      <w:r w:rsidRPr="1A30DAFD">
        <w:rPr>
          <w:sz w:val="20"/>
          <w:szCs w:val="20"/>
        </w:rPr>
        <w:t xml:space="preserve"> and %PRM</w:t>
      </w:r>
      <w:r w:rsidRPr="1A30DAFD">
        <w:rPr>
          <w:sz w:val="20"/>
          <w:szCs w:val="20"/>
          <w:vertAlign w:val="superscript"/>
        </w:rPr>
        <w:t>Norm</w:t>
      </w:r>
      <w:r w:rsidRPr="1A30DAFD">
        <w:rPr>
          <w:sz w:val="20"/>
          <w:szCs w:val="20"/>
        </w:rPr>
        <w:t xml:space="preserve"> has occurred.</w:t>
      </w:r>
    </w:p>
    <w:p w14:paraId="25B5476C" w14:textId="77777777" w:rsidR="00F46460" w:rsidRPr="00EF2162" w:rsidRDefault="00F46460" w:rsidP="00F46460">
      <w:pPr>
        <w:spacing w:line="360" w:lineRule="auto"/>
        <w:rPr>
          <w:sz w:val="20"/>
          <w:szCs w:val="20"/>
        </w:rPr>
      </w:pPr>
    </w:p>
    <w:p w14:paraId="3681B1AF" w14:textId="7F4CDF9B" w:rsidR="00F46460" w:rsidRPr="00EF2162" w:rsidRDefault="00F46460" w:rsidP="00F46460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EF2162">
        <w:rPr>
          <w:b/>
          <w:sz w:val="20"/>
          <w:szCs w:val="20"/>
        </w:rPr>
        <w:t>∆</w:t>
      </w:r>
      <w:r>
        <w:rPr>
          <w:b/>
          <w:sz w:val="20"/>
          <w:szCs w:val="20"/>
        </w:rPr>
        <w:t>V</w:t>
      </w:r>
      <w:r w:rsidR="009033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≤</w:t>
      </w:r>
      <w:r w:rsidR="009033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 L and GOLD </w:t>
      </w:r>
      <w:r w:rsidRPr="00EF2162">
        <w:rPr>
          <w:b/>
          <w:sz w:val="20"/>
          <w:szCs w:val="20"/>
        </w:rPr>
        <w:t>&lt; 3</w:t>
      </w:r>
    </w:p>
    <w:p w14:paraId="288A49F0" w14:textId="77777777" w:rsidR="00F46460" w:rsidRPr="00EF2162" w:rsidRDefault="00F46460" w:rsidP="0026504F">
      <w:pPr>
        <w:pStyle w:val="ListParagraph"/>
        <w:spacing w:line="360" w:lineRule="auto"/>
        <w:ind w:left="1440"/>
        <w:jc w:val="both"/>
        <w:rPr>
          <w:sz w:val="20"/>
          <w:szCs w:val="20"/>
        </w:rPr>
      </w:pPr>
    </w:p>
    <w:p w14:paraId="5C433AFA" w14:textId="71B08500" w:rsidR="00F46460" w:rsidRDefault="00F46460" w:rsidP="002650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second step goes on to test if a non-severe COPD participant (GOLD &lt; 3) has zero or negative volume change. N.B. here and in step 1 </w:t>
      </w:r>
      <w:r w:rsidR="00903373">
        <w:rPr>
          <w:sz w:val="20"/>
          <w:szCs w:val="20"/>
        </w:rPr>
        <w:t>we have</w:t>
      </w:r>
      <w:r>
        <w:rPr>
          <w:sz w:val="20"/>
          <w:szCs w:val="20"/>
        </w:rPr>
        <w:t xml:space="preserve"> considered that there may be participants with severe disease that have some abnormal volume changes (close to 0 due to very limited lung function).</w:t>
      </w:r>
    </w:p>
    <w:p w14:paraId="1A3A6AE7" w14:textId="77777777" w:rsidR="00F46460" w:rsidRDefault="00F46460" w:rsidP="00F46460">
      <w:pPr>
        <w:spacing w:line="360" w:lineRule="auto"/>
        <w:rPr>
          <w:sz w:val="20"/>
          <w:szCs w:val="20"/>
        </w:rPr>
      </w:pPr>
    </w:p>
    <w:p w14:paraId="2F5B38BB" w14:textId="410604BE" w:rsidR="00F46460" w:rsidRDefault="307AABAA" w:rsidP="0026504F">
      <w:pPr>
        <w:spacing w:line="360" w:lineRule="auto"/>
        <w:jc w:val="both"/>
        <w:rPr>
          <w:sz w:val="20"/>
          <w:szCs w:val="20"/>
        </w:rPr>
      </w:pPr>
      <w:r w:rsidRPr="17D9F58D">
        <w:rPr>
          <w:sz w:val="16"/>
          <w:szCs w:val="16"/>
          <w:lang w:val="fr-FR"/>
        </w:rPr>
        <w:t>*</w:t>
      </w:r>
      <w:r w:rsidR="72C8C144" w:rsidRPr="17D9F58D">
        <w:rPr>
          <w:sz w:val="16"/>
          <w:szCs w:val="16"/>
          <w:lang w:val="fr-FR"/>
        </w:rPr>
        <w:t xml:space="preserve"> Galbán, C. J. et al. </w:t>
      </w:r>
      <w:r w:rsidR="72C8C144" w:rsidRPr="17D9F58D">
        <w:rPr>
          <w:sz w:val="16"/>
          <w:szCs w:val="16"/>
        </w:rPr>
        <w:t>Computed tomography–based biomarker provides unique signature for diagnosis of COPD phenotypes and disease progression. Nature Medicine 18, 1711-1715, doi:10.1038/nm.2971 (2012).</w:t>
      </w:r>
      <w:r w:rsidR="00F46460" w:rsidRPr="17D9F58D">
        <w:rPr>
          <w:sz w:val="20"/>
          <w:szCs w:val="20"/>
        </w:rPr>
        <w:br w:type="page"/>
      </w:r>
    </w:p>
    <w:p w14:paraId="59D10948" w14:textId="5C1FC719" w:rsidR="00A524AA" w:rsidRDefault="00A524AA" w:rsidP="00FA0507">
      <w:pPr>
        <w:pStyle w:val="Heading1"/>
      </w:pPr>
      <w:r>
        <w:lastRenderedPageBreak/>
        <w:t xml:space="preserve">Supplemental Table 1: </w:t>
      </w:r>
      <w:r w:rsidRPr="00A524AA">
        <w:t>Topology Readouts for all PRM Classification</w:t>
      </w:r>
      <w:r w:rsidR="00BE74B7">
        <w:t>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655"/>
        <w:gridCol w:w="1292"/>
        <w:gridCol w:w="1294"/>
        <w:gridCol w:w="1294"/>
        <w:gridCol w:w="1292"/>
        <w:gridCol w:w="1292"/>
        <w:gridCol w:w="1295"/>
      </w:tblGrid>
      <w:tr w:rsidR="00503B0B" w:rsidRPr="009D17E0" w14:paraId="55ED4BF2" w14:textId="77777777" w:rsidTr="00032EAE">
        <w:trPr>
          <w:trHeight w:val="405"/>
        </w:trPr>
        <w:tc>
          <w:tcPr>
            <w:tcW w:w="505" w:type="pct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FAFD0B" w14:textId="77777777" w:rsidR="00503B0B" w:rsidRPr="00032EAE" w:rsidRDefault="00503B0B" w:rsidP="009D17E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single" w:sz="24" w:space="0" w:color="000000" w:themeColor="text1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CA4CD0" w14:textId="77777777" w:rsidR="00503B0B" w:rsidRPr="00032EAE" w:rsidRDefault="00503B0B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24" w:space="0" w:color="auto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4918BCC" w14:textId="2E2E2435" w:rsidR="00503B0B" w:rsidRPr="00032EAE" w:rsidRDefault="00503B0B" w:rsidP="00E97391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Non-COPD</w:t>
            </w:r>
          </w:p>
        </w:tc>
        <w:tc>
          <w:tcPr>
            <w:tcW w:w="2763" w:type="pct"/>
            <w:gridSpan w:val="4"/>
            <w:tcBorders>
              <w:top w:val="single" w:sz="24" w:space="0" w:color="000000" w:themeColor="text1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227CB" w14:textId="77777777" w:rsidR="00503B0B" w:rsidRPr="00032EAE" w:rsidRDefault="00503B0B" w:rsidP="00E97391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COPD</w:t>
            </w:r>
          </w:p>
        </w:tc>
      </w:tr>
      <w:tr w:rsidR="009D17E0" w:rsidRPr="009D17E0" w14:paraId="4BFFC971" w14:textId="77777777" w:rsidTr="00032EAE">
        <w:trPr>
          <w:trHeight w:val="701"/>
        </w:trPr>
        <w:tc>
          <w:tcPr>
            <w:tcW w:w="505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875B68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Topology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 w:themeColor="text1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2CA6C1C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PRM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A26B61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GOLD 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 w:themeColor="text1"/>
              <w:right w:val="dashed" w:sz="8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FE2FB9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PRISm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798AA0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GOLD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6C7DB5D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GOLD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376451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GOLD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102FA0" w14:textId="77777777" w:rsidR="009D17E0" w:rsidRPr="00032EAE" w:rsidRDefault="009D17E0" w:rsidP="00E97391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GOLD 4</w:t>
            </w:r>
          </w:p>
        </w:tc>
      </w:tr>
      <w:tr w:rsidR="009D17E0" w:rsidRPr="009D17E0" w14:paraId="1E0F79DD" w14:textId="77777777" w:rsidTr="00032EAE">
        <w:trPr>
          <w:trHeight w:val="432"/>
        </w:trPr>
        <w:tc>
          <w:tcPr>
            <w:tcW w:w="505" w:type="pct"/>
            <w:vMerge w:val="restart"/>
            <w:tcBorders>
              <w:top w:val="single" w:sz="8" w:space="0" w:color="000000" w:themeColor="text1"/>
              <w:left w:val="nil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vAlign w:val="center"/>
            <w:hideMark/>
          </w:tcPr>
          <w:p w14:paraId="2EDFD65C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Volume Density [V]</w:t>
            </w:r>
          </w:p>
        </w:tc>
        <w:tc>
          <w:tcPr>
            <w:tcW w:w="350" w:type="pct"/>
            <w:tcBorders>
              <w:top w:val="single" w:sz="8" w:space="0" w:color="000000" w:themeColor="text1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2F46E2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Norm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BF4689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0.62 (0.13)</w:t>
            </w:r>
          </w:p>
        </w:tc>
        <w:tc>
          <w:tcPr>
            <w:tcW w:w="691" w:type="pct"/>
            <w:tcBorders>
              <w:top w:val="single" w:sz="8" w:space="0" w:color="000000" w:themeColor="text1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01C7F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0.54 (0.15)</w:t>
            </w:r>
          </w:p>
        </w:tc>
        <w:tc>
          <w:tcPr>
            <w:tcW w:w="691" w:type="pct"/>
            <w:tcBorders>
              <w:top w:val="single" w:sz="8" w:space="0" w:color="000000" w:themeColor="text1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613288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0.57 (0.12)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8982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0.5 (0.14)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94350B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0.33 (0.13)</w:t>
            </w:r>
          </w:p>
        </w:tc>
        <w:tc>
          <w:tcPr>
            <w:tcW w:w="692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C3A14A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0.21 (0.09)</w:t>
            </w:r>
          </w:p>
        </w:tc>
      </w:tr>
      <w:tr w:rsidR="009D17E0" w:rsidRPr="009D17E0" w14:paraId="689CE4C3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52C2CEED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894A6B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fSAD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F8A910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0.1 (0.09)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7A9B82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0.09 (0.08)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ACBC1E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0.17 (0.11)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B9A855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0.22 (0.12)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7BB221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0.31 (0.11)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6D492B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0.36 (0.09)</w:t>
            </w:r>
          </w:p>
        </w:tc>
      </w:tr>
      <w:tr w:rsidR="009D17E0" w:rsidRPr="009D17E0" w14:paraId="6B01F354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66010D7D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16F6FE4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Emph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2464DB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0.01 (0.01)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3DF60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0.01 (0.02)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146DE5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0.03 (0.04)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C8ADB3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0.05 (0.07)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BC9F1D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0.15 (0.12)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311BBE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0.26 (0.14)</w:t>
            </w:r>
          </w:p>
        </w:tc>
      </w:tr>
      <w:tr w:rsidR="009D17E0" w:rsidRPr="009D17E0" w14:paraId="068476BD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44E0DD45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dashed" w:sz="8" w:space="0" w:color="000000" w:themeColor="text1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1956E5F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PD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B7DEDE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0.25 (0.13)</w:t>
            </w:r>
          </w:p>
        </w:tc>
        <w:tc>
          <w:tcPr>
            <w:tcW w:w="691" w:type="pct"/>
            <w:tcBorders>
              <w:top w:val="nil"/>
              <w:left w:val="nil"/>
              <w:bottom w:val="dashed" w:sz="8" w:space="0" w:color="000000" w:themeColor="text1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EDD8DF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0.35 (0.16)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A5A960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 (0.08)</w:t>
            </w:r>
          </w:p>
        </w:tc>
        <w:tc>
          <w:tcPr>
            <w:tcW w:w="690" w:type="pct"/>
            <w:tcBorders>
              <w:top w:val="nil"/>
              <w:left w:val="nil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5F6A7F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0.21 (0.09)</w:t>
            </w:r>
          </w:p>
        </w:tc>
        <w:tc>
          <w:tcPr>
            <w:tcW w:w="690" w:type="pct"/>
            <w:tcBorders>
              <w:top w:val="nil"/>
              <w:left w:val="nil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853A7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0.19 (0.09)</w:t>
            </w:r>
          </w:p>
        </w:tc>
        <w:tc>
          <w:tcPr>
            <w:tcW w:w="692" w:type="pct"/>
            <w:tcBorders>
              <w:top w:val="nil"/>
              <w:left w:val="nil"/>
              <w:bottom w:val="dashed" w:sz="8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20C723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0.15 (0.05)</w:t>
            </w:r>
          </w:p>
        </w:tc>
      </w:tr>
      <w:tr w:rsidR="009D17E0" w:rsidRPr="009D17E0" w14:paraId="6345BAB7" w14:textId="77777777" w:rsidTr="00032EAE">
        <w:trPr>
          <w:trHeight w:val="432"/>
        </w:trPr>
        <w:tc>
          <w:tcPr>
            <w:tcW w:w="505" w:type="pct"/>
            <w:vMerge w:val="restart"/>
            <w:tcBorders>
              <w:top w:val="dashed" w:sz="8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vAlign w:val="center"/>
            <w:hideMark/>
          </w:tcPr>
          <w:p w14:paraId="22CBEF27" w14:textId="2BBC7893" w:rsidR="009D17E0" w:rsidRPr="00032EAE" w:rsidRDefault="4BB3D1DC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Euler-Poncair</w:t>
            </w:r>
            <w:r w:rsidR="70B011DF"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é</w:t>
            </w: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Characteristic [</w:t>
            </w:r>
            <w:r w:rsidRPr="00032EAE">
              <w:rPr>
                <w:rFonts w:ascii="Symbol" w:eastAsia="Times New Roman" w:hAnsi="Symbol"/>
                <w:color w:val="000000" w:themeColor="text1"/>
                <w:kern w:val="24"/>
                <w:sz w:val="18"/>
                <w:szCs w:val="18"/>
                <w:lang w:val="en-US"/>
              </w:rPr>
              <w:t>c</w:t>
            </w: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]</w:t>
            </w:r>
          </w:p>
        </w:tc>
        <w:tc>
          <w:tcPr>
            <w:tcW w:w="350" w:type="pct"/>
            <w:tcBorders>
              <w:top w:val="dashed" w:sz="8" w:space="0" w:color="000000" w:themeColor="text1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4A27161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Norm</w:t>
            </w:r>
          </w:p>
        </w:tc>
        <w:tc>
          <w:tcPr>
            <w:tcW w:w="690" w:type="pct"/>
            <w:tcBorders>
              <w:top w:val="dashed" w:sz="8" w:space="0" w:color="000000" w:themeColor="text1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E45148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-0.0095 (0.0063)</w:t>
            </w:r>
          </w:p>
        </w:tc>
        <w:tc>
          <w:tcPr>
            <w:tcW w:w="691" w:type="pct"/>
            <w:tcBorders>
              <w:top w:val="dashed" w:sz="8" w:space="0" w:color="000000" w:themeColor="text1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0F161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-0.0095 (0.008)</w:t>
            </w:r>
          </w:p>
        </w:tc>
        <w:tc>
          <w:tcPr>
            <w:tcW w:w="691" w:type="pct"/>
            <w:tcBorders>
              <w:top w:val="dashed" w:sz="8" w:space="0" w:color="000000" w:themeColor="text1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CF4F84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-0.0091 (0.0055)</w:t>
            </w:r>
          </w:p>
        </w:tc>
        <w:tc>
          <w:tcPr>
            <w:tcW w:w="690" w:type="pct"/>
            <w:tcBorders>
              <w:top w:val="dashed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2A48A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-0.0084 (0.0071)</w:t>
            </w:r>
          </w:p>
        </w:tc>
        <w:tc>
          <w:tcPr>
            <w:tcW w:w="690" w:type="pct"/>
            <w:tcBorders>
              <w:top w:val="dashed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32165E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-0.0016 (0.0078)</w:t>
            </w:r>
          </w:p>
        </w:tc>
        <w:tc>
          <w:tcPr>
            <w:tcW w:w="692" w:type="pct"/>
            <w:tcBorders>
              <w:top w:val="dashed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90FCF9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0.0039 (0.0055)</w:t>
            </w:r>
          </w:p>
        </w:tc>
      </w:tr>
      <w:tr w:rsidR="009D17E0" w:rsidRPr="009D17E0" w14:paraId="495197D6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0518EBA8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153219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fSAD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2FA70C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0.0081 (0.0059)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285984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0.0096 (0.0065)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FEF4D8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0.0058 (0.0057)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03DEC8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0.0047 (0.0074)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86701B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-0.0009 (0.0071)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87804B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-0.0036 (0.0048)</w:t>
            </w:r>
          </w:p>
        </w:tc>
      </w:tr>
      <w:tr w:rsidR="009D17E0" w:rsidRPr="009D17E0" w14:paraId="07B7E6EB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5A3AB75F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998E0E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Emph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EB810F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0.0024 (0.003)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C2EB5A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0.0018 (0.0025)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CB9970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0.0046 (0.0039)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CA2AF0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0.005 (0.0039)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DE1D72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0.0052 (0.0039)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1C5364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0.0033 (0.0032)</w:t>
            </w:r>
          </w:p>
        </w:tc>
      </w:tr>
      <w:tr w:rsidR="009D17E0" w:rsidRPr="009D17E0" w14:paraId="6B5F4179" w14:textId="77777777" w:rsidTr="00032EAE">
        <w:trPr>
          <w:trHeight w:val="432"/>
        </w:trPr>
        <w:tc>
          <w:tcPr>
            <w:tcW w:w="505" w:type="pct"/>
            <w:vMerge/>
            <w:vAlign w:val="center"/>
            <w:hideMark/>
          </w:tcPr>
          <w:p w14:paraId="352272B4" w14:textId="77777777" w:rsidR="009D17E0" w:rsidRPr="00032EAE" w:rsidRDefault="009D17E0" w:rsidP="009D17E0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24" w:space="0" w:color="000000" w:themeColor="text1"/>
              <w:right w:val="dashed" w:sz="8" w:space="0" w:color="000000" w:themeColor="text1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97391D" w14:textId="77777777" w:rsidR="009D17E0" w:rsidRPr="00032EAE" w:rsidRDefault="009D17E0" w:rsidP="009D17E0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>PD</w:t>
            </w:r>
          </w:p>
        </w:tc>
        <w:tc>
          <w:tcPr>
            <w:tcW w:w="690" w:type="pct"/>
            <w:tcBorders>
              <w:top w:val="nil"/>
              <w:left w:val="dashed" w:sz="8" w:space="0" w:color="000000" w:themeColor="text1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76B939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0.0044 (0.0033)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24" w:space="0" w:color="000000" w:themeColor="text1"/>
              <w:right w:val="dashed" w:sz="8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AC6F37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0.0028 (0.0046)</w:t>
            </w:r>
          </w:p>
        </w:tc>
        <w:tc>
          <w:tcPr>
            <w:tcW w:w="691" w:type="pct"/>
            <w:tcBorders>
              <w:top w:val="nil"/>
              <w:left w:val="dashed" w:sz="8" w:space="0" w:color="auto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334A9A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0.0043 (0.0018)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C1C392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0.004 (0.0022)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7898C6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0.0031 (0.0017)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89AA82" w14:textId="77777777" w:rsidR="009D17E0" w:rsidRPr="00032EAE" w:rsidRDefault="009D17E0" w:rsidP="00E97391">
            <w:pPr>
              <w:spacing w:line="240" w:lineRule="auto"/>
              <w:jc w:val="center"/>
              <w:textAlignment w:val="bottom"/>
              <w:rPr>
                <w:rFonts w:eastAsia="Times New Roman"/>
                <w:sz w:val="18"/>
                <w:szCs w:val="18"/>
                <w:lang w:val="en-US"/>
              </w:rPr>
            </w:pPr>
            <w:r w:rsidRPr="00032EA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/>
              </w:rPr>
              <w:t>0.0024 (0.0009)</w:t>
            </w:r>
          </w:p>
        </w:tc>
      </w:tr>
    </w:tbl>
    <w:p w14:paraId="1746A1D2" w14:textId="77777777" w:rsidR="00D55270" w:rsidRDefault="00D55270" w:rsidP="0080081B">
      <w:pPr>
        <w:jc w:val="both"/>
        <w:rPr>
          <w:b/>
          <w:bCs/>
          <w:sz w:val="20"/>
          <w:szCs w:val="20"/>
        </w:rPr>
      </w:pPr>
    </w:p>
    <w:p w14:paraId="48008D88" w14:textId="74CC6263" w:rsidR="00A524AA" w:rsidRPr="00D55270" w:rsidRDefault="00B65225" w:rsidP="0080081B">
      <w:pPr>
        <w:jc w:val="both"/>
        <w:rPr>
          <w:sz w:val="20"/>
          <w:szCs w:val="20"/>
        </w:rPr>
      </w:pPr>
      <w:r w:rsidRPr="00D55270">
        <w:rPr>
          <w:b/>
          <w:bCs/>
          <w:sz w:val="20"/>
          <w:szCs w:val="20"/>
        </w:rPr>
        <w:t>Notes:</w:t>
      </w:r>
      <w:r w:rsidRPr="00D55270">
        <w:rPr>
          <w:sz w:val="20"/>
          <w:szCs w:val="20"/>
        </w:rPr>
        <w:t xml:space="preserve"> </w:t>
      </w:r>
      <w:r w:rsidR="00E97391" w:rsidRPr="00D55270">
        <w:rPr>
          <w:sz w:val="20"/>
          <w:szCs w:val="20"/>
        </w:rPr>
        <w:t xml:space="preserve">Data are presented as the mean (standard deviation). </w:t>
      </w:r>
      <w:r w:rsidR="008226FD" w:rsidRPr="00D55270">
        <w:rPr>
          <w:sz w:val="20"/>
          <w:szCs w:val="20"/>
        </w:rPr>
        <w:t>The entire study population was separated in subsets of those with (FEV</w:t>
      </w:r>
      <w:r w:rsidR="008226FD" w:rsidRPr="00D55270">
        <w:rPr>
          <w:sz w:val="20"/>
          <w:szCs w:val="20"/>
          <w:vertAlign w:val="subscript"/>
        </w:rPr>
        <w:t>1</w:t>
      </w:r>
      <w:r w:rsidR="008226FD" w:rsidRPr="00D55270">
        <w:rPr>
          <w:sz w:val="20"/>
          <w:szCs w:val="20"/>
        </w:rPr>
        <w:t>/FVC &lt; 0.7) and without (FEV</w:t>
      </w:r>
      <w:r w:rsidR="008226FD" w:rsidRPr="00D55270">
        <w:rPr>
          <w:sz w:val="20"/>
          <w:szCs w:val="20"/>
          <w:vertAlign w:val="subscript"/>
        </w:rPr>
        <w:t>1</w:t>
      </w:r>
      <w:r w:rsidR="008226FD" w:rsidRPr="00D55270">
        <w:rPr>
          <w:sz w:val="20"/>
          <w:szCs w:val="20"/>
        </w:rPr>
        <w:t xml:space="preserve">/FVC ≥ 0.7) COPD. </w:t>
      </w:r>
      <w:r w:rsidR="00202FD6" w:rsidRPr="00D55270">
        <w:rPr>
          <w:sz w:val="20"/>
          <w:szCs w:val="20"/>
        </w:rPr>
        <w:t>GOLD, Global Initiative for Chronic Obstructive Lung Disease; PRISm, preserved ratio impaired spirometry; GOLD 0, at-risk smokers with normal spirometry</w:t>
      </w:r>
      <w:r w:rsidR="0080081B" w:rsidRPr="00D55270">
        <w:rPr>
          <w:sz w:val="20"/>
          <w:szCs w:val="20"/>
        </w:rPr>
        <w:t>;</w:t>
      </w:r>
      <w:r w:rsidR="00202FD6" w:rsidRPr="00D55270">
        <w:rPr>
          <w:sz w:val="20"/>
          <w:szCs w:val="20"/>
        </w:rPr>
        <w:t xml:space="preserve"> </w:t>
      </w:r>
      <w:r w:rsidR="00EF2AF9" w:rsidRPr="00D55270">
        <w:rPr>
          <w:sz w:val="20"/>
          <w:szCs w:val="20"/>
        </w:rPr>
        <w:t xml:space="preserve">PRM, Parametric Response Map; Norm, normal lung parenchyma; fSAD, functional small airways disease; Emph, emphysema; </w:t>
      </w:r>
      <w:r w:rsidR="008D6776" w:rsidRPr="00D55270">
        <w:rPr>
          <w:sz w:val="20"/>
          <w:szCs w:val="20"/>
        </w:rPr>
        <w:t>and PD, parenchymal disease.</w:t>
      </w:r>
    </w:p>
    <w:p w14:paraId="1EC3A8DA" w14:textId="712588DE" w:rsidR="00A524AA" w:rsidRDefault="00A524AA" w:rsidP="00FA0507">
      <w:pPr>
        <w:pStyle w:val="Heading1"/>
      </w:pPr>
      <w:r>
        <w:br w:type="page"/>
      </w:r>
    </w:p>
    <w:p w14:paraId="7C18DDFC" w14:textId="06D05E0F" w:rsidR="006D7D87" w:rsidRDefault="00A524AA" w:rsidP="00BB7FB2">
      <w:pPr>
        <w:pStyle w:val="Heading1"/>
      </w:pPr>
      <w:r w:rsidRPr="00FA0507">
        <w:lastRenderedPageBreak/>
        <w:t xml:space="preserve">Supplemental Table </w:t>
      </w:r>
      <w:r w:rsidR="00903D10" w:rsidRPr="00FA0507">
        <w:t>2</w:t>
      </w:r>
      <w:r w:rsidRPr="00FA0507">
        <w:t xml:space="preserve">: </w:t>
      </w:r>
      <w:r w:rsidR="00903D10" w:rsidRPr="00FA0507">
        <w:t>Multivariable Regression for non-COPD Subset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735"/>
        <w:gridCol w:w="1735"/>
        <w:gridCol w:w="1850"/>
        <w:gridCol w:w="1848"/>
      </w:tblGrid>
      <w:tr w:rsidR="00281257" w:rsidRPr="00281257" w14:paraId="0899C9C7" w14:textId="77777777" w:rsidTr="1A30DAFD">
        <w:trPr>
          <w:trHeight w:val="888"/>
        </w:trPr>
        <w:tc>
          <w:tcPr>
            <w:tcW w:w="1171" w:type="pct"/>
            <w:tcBorders>
              <w:top w:val="single" w:sz="2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B1FB3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Performance </w:t>
            </w:r>
          </w:p>
        </w:tc>
        <w:tc>
          <w:tcPr>
            <w:tcW w:w="927" w:type="pct"/>
            <w:tcBorders>
              <w:top w:val="single" w:sz="2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BE4DB" w14:textId="77777777" w:rsidR="00281257" w:rsidRPr="00281257" w:rsidRDefault="454D3B78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FEV</w:t>
            </w:r>
            <w:r w:rsidRPr="008203FF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vertAlign w:val="subscript"/>
                <w:lang w:val="en-US"/>
              </w:rPr>
              <w:t>1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pp</w:t>
            </w:r>
          </w:p>
        </w:tc>
        <w:tc>
          <w:tcPr>
            <w:tcW w:w="927" w:type="pct"/>
            <w:tcBorders>
              <w:top w:val="single" w:sz="2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75C5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FEV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val="en-US"/>
              </w:rPr>
              <w:t>1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/FVC</w:t>
            </w:r>
          </w:p>
        </w:tc>
        <w:tc>
          <w:tcPr>
            <w:tcW w:w="988" w:type="pct"/>
            <w:tcBorders>
              <w:top w:val="single" w:sz="2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DFA3F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Theme="minorHAnsi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FEF</w:t>
            </w:r>
            <w:r w:rsidRPr="00281257">
              <w:rPr>
                <w:rFonts w:asciiTheme="minorHAnsi" w:hAnsi="Calibri" w:cs="Times New Roman"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val="en-US"/>
              </w:rPr>
              <w:t>25-75</w:t>
            </w:r>
            <w:r w:rsidRPr="00281257">
              <w:rPr>
                <w:rFonts w:asciiTheme="minorHAnsi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987" w:type="pct"/>
            <w:tcBorders>
              <w:top w:val="single" w:sz="2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64D2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V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Emph</w:t>
            </w:r>
          </w:p>
        </w:tc>
      </w:tr>
      <w:tr w:rsidR="00281257" w:rsidRPr="00281257" w14:paraId="60410B24" w14:textId="77777777" w:rsidTr="1A30DAFD">
        <w:trPr>
          <w:trHeight w:val="537"/>
        </w:trPr>
        <w:tc>
          <w:tcPr>
            <w:tcW w:w="1171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E8228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Adjusted R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27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3E81D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927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C6120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0.126</w:t>
            </w:r>
          </w:p>
        </w:tc>
        <w:tc>
          <w:tcPr>
            <w:tcW w:w="988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6D22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0.265</w:t>
            </w:r>
          </w:p>
        </w:tc>
        <w:tc>
          <w:tcPr>
            <w:tcW w:w="987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81D19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0.263</w:t>
            </w:r>
          </w:p>
        </w:tc>
      </w:tr>
      <w:tr w:rsidR="00281257" w:rsidRPr="00281257" w14:paraId="04B6E957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553B9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SE</w:t>
            </w:r>
          </w:p>
        </w:tc>
        <w:tc>
          <w:tcPr>
            <w:tcW w:w="92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9AC68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14.39</w:t>
            </w:r>
          </w:p>
        </w:tc>
        <w:tc>
          <w:tcPr>
            <w:tcW w:w="92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8079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988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7343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0.883</w:t>
            </w:r>
          </w:p>
        </w:tc>
        <w:tc>
          <w:tcPr>
            <w:tcW w:w="98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A38EE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0.014</w:t>
            </w:r>
          </w:p>
        </w:tc>
      </w:tr>
      <w:tr w:rsidR="00281257" w:rsidRPr="00281257" w14:paraId="301506EB" w14:textId="77777777" w:rsidTr="1A30DAFD">
        <w:trPr>
          <w:trHeight w:val="537"/>
        </w:trPr>
        <w:tc>
          <w:tcPr>
            <w:tcW w:w="1171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27124" w14:textId="10EDE385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Age</w:t>
            </w:r>
            <w:r w:rsidR="00E065B5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(yrs)</w:t>
            </w:r>
          </w:p>
        </w:tc>
        <w:tc>
          <w:tcPr>
            <w:tcW w:w="92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B574E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13476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-0.119**</w:t>
            </w:r>
          </w:p>
        </w:tc>
        <w:tc>
          <w:tcPr>
            <w:tcW w:w="988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666A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-0.290**</w:t>
            </w:r>
          </w:p>
        </w:tc>
        <w:tc>
          <w:tcPr>
            <w:tcW w:w="98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C57E6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0.042*</w:t>
            </w:r>
          </w:p>
        </w:tc>
      </w:tr>
      <w:tr w:rsidR="00281257" w:rsidRPr="00281257" w14:paraId="258127B2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742A8" w14:textId="113E277B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Sex</w:t>
            </w:r>
            <w:r w:rsidR="00E065B5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(M/F)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50657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-0.027 (0.05)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1133E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0.014 (0.298)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C10FC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-0.381**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456C2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-0.062**</w:t>
            </w:r>
          </w:p>
        </w:tc>
      </w:tr>
      <w:tr w:rsidR="00281257" w:rsidRPr="00281257" w14:paraId="7C10B4BF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C9B9F" w14:textId="0331D819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BMI</w:t>
            </w:r>
            <w:r w:rsidR="00E065B5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(kg/cm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2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B194D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-0.075**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66016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0.104**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0FFE9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67844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-0.130**</w:t>
            </w:r>
          </w:p>
        </w:tc>
      </w:tr>
      <w:tr w:rsidR="00281257" w:rsidRPr="00281257" w14:paraId="5F0E14DF" w14:textId="77777777" w:rsidTr="1A30DAFD">
        <w:trPr>
          <w:trHeight w:val="82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300BE" w14:textId="6846E7A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Smoking </w:t>
            </w:r>
            <w:r w:rsidR="00E065B5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Pack-Years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04E8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-0.105**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1017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-0.098**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1C7BB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-0.098**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85627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81257" w:rsidRPr="00281257" w14:paraId="6482A757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38ED8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CT vendor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BDA8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-0.052**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B094B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04814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-0.015 (0.252)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A0C31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0.185**</w:t>
            </w:r>
          </w:p>
        </w:tc>
      </w:tr>
      <w:tr w:rsidR="00281257" w:rsidRPr="00281257" w14:paraId="3EA99251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A91E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Race</w:t>
            </w:r>
          </w:p>
        </w:tc>
        <w:tc>
          <w:tcPr>
            <w:tcW w:w="92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BB723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D955B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0.117**</w:t>
            </w:r>
          </w:p>
        </w:tc>
        <w:tc>
          <w:tcPr>
            <w:tcW w:w="988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77D27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-0.068**</w:t>
            </w:r>
          </w:p>
        </w:tc>
        <w:tc>
          <w:tcPr>
            <w:tcW w:w="987" w:type="pct"/>
            <w:tcBorders>
              <w:top w:val="nil"/>
              <w:left w:val="nil"/>
              <w:bottom w:val="dashSmallGap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92ABE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81257" w:rsidRPr="00281257" w14:paraId="09F2705C" w14:textId="77777777" w:rsidTr="1A30DAFD">
        <w:trPr>
          <w:trHeight w:val="537"/>
        </w:trPr>
        <w:tc>
          <w:tcPr>
            <w:tcW w:w="1171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EF85C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V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Norm</w:t>
            </w:r>
          </w:p>
        </w:tc>
        <w:tc>
          <w:tcPr>
            <w:tcW w:w="92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A871C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0.325**</w:t>
            </w:r>
          </w:p>
        </w:tc>
        <w:tc>
          <w:tcPr>
            <w:tcW w:w="92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E2506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-0.044*</w:t>
            </w:r>
          </w:p>
        </w:tc>
        <w:tc>
          <w:tcPr>
            <w:tcW w:w="988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F27BA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0.109**</w:t>
            </w:r>
          </w:p>
        </w:tc>
        <w:tc>
          <w:tcPr>
            <w:tcW w:w="987" w:type="pct"/>
            <w:tcBorders>
              <w:top w:val="dashSmallGap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3EE87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-0.157**</w:t>
            </w:r>
          </w:p>
        </w:tc>
      </w:tr>
      <w:tr w:rsidR="00281257" w:rsidRPr="00281257" w14:paraId="421281A3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D3F8E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V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fSAD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C0506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0.134**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99A3D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-0.218**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ECE9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-0.075**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7FB5A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0.373**</w:t>
            </w:r>
          </w:p>
        </w:tc>
      </w:tr>
      <w:tr w:rsidR="00281257" w:rsidRPr="00281257" w14:paraId="38175ABE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4312A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Symbol" w:eastAsia="Symbol" w:hAnsi="Symbol" w:cs="Symbol"/>
                <w:color w:val="000000" w:themeColor="text1"/>
                <w:kern w:val="24"/>
                <w:sz w:val="20"/>
                <w:szCs w:val="20"/>
                <w:lang w:val="en-US"/>
              </w:rPr>
              <w:t>c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Norm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F0820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794BB" w14:textId="77777777" w:rsidR="00281257" w:rsidRPr="00281257" w:rsidRDefault="00281257" w:rsidP="002812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1B35B" w14:textId="77777777" w:rsidR="00281257" w:rsidRPr="00281257" w:rsidRDefault="00281257" w:rsidP="002812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A99B3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-0.038 (0.01)</w:t>
            </w:r>
          </w:p>
        </w:tc>
      </w:tr>
      <w:tr w:rsidR="00281257" w:rsidRPr="00281257" w14:paraId="19DAF8FC" w14:textId="77777777" w:rsidTr="1A30DAFD">
        <w:trPr>
          <w:trHeight w:val="537"/>
        </w:trPr>
        <w:tc>
          <w:tcPr>
            <w:tcW w:w="1171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10875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ascii="Symbol" w:eastAsia="Symbol" w:hAnsi="Symbol" w:cs="Symbol"/>
                <w:color w:val="000000" w:themeColor="text1"/>
                <w:kern w:val="24"/>
                <w:sz w:val="20"/>
                <w:szCs w:val="20"/>
                <w:lang w:val="en-US"/>
              </w:rPr>
              <w:t>c</w:t>
            </w:r>
            <w:r w:rsidRPr="00281257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fSAD</w:t>
            </w:r>
          </w:p>
        </w:tc>
        <w:tc>
          <w:tcPr>
            <w:tcW w:w="927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E5DC1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-0.105**</w:t>
            </w:r>
          </w:p>
        </w:tc>
        <w:tc>
          <w:tcPr>
            <w:tcW w:w="927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F624D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-0.075**</w:t>
            </w:r>
          </w:p>
        </w:tc>
        <w:tc>
          <w:tcPr>
            <w:tcW w:w="988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AC564" w14:textId="77777777" w:rsidR="00281257" w:rsidRPr="00281257" w:rsidRDefault="00281257" w:rsidP="0028125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81257">
              <w:rPr>
                <w:rFonts w:cs="Times New Roman"/>
                <w:color w:val="000000" w:themeColor="text1"/>
                <w:kern w:val="24"/>
                <w:sz w:val="20"/>
                <w:szCs w:val="20"/>
                <w:lang w:val="en-US"/>
              </w:rPr>
              <w:t>-0.058**</w:t>
            </w:r>
          </w:p>
        </w:tc>
        <w:tc>
          <w:tcPr>
            <w:tcW w:w="987" w:type="pct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3679E" w14:textId="77777777" w:rsidR="00281257" w:rsidRPr="00281257" w:rsidRDefault="00281257" w:rsidP="0028125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3DD8992A" w14:textId="77777777" w:rsidR="00521308" w:rsidRDefault="00521308" w:rsidP="00405E48">
      <w:pPr>
        <w:jc w:val="both"/>
        <w:rPr>
          <w:b/>
          <w:bCs/>
          <w:sz w:val="20"/>
          <w:szCs w:val="20"/>
          <w:lang w:val="en-US"/>
        </w:rPr>
      </w:pPr>
    </w:p>
    <w:p w14:paraId="24E476D2" w14:textId="29A7EF91" w:rsidR="006D7D87" w:rsidRPr="00405E48" w:rsidRDefault="44438B1B" w:rsidP="00405E48">
      <w:pPr>
        <w:jc w:val="both"/>
      </w:pPr>
      <w:r w:rsidRPr="1A30DAFD">
        <w:rPr>
          <w:b/>
          <w:bCs/>
          <w:sz w:val="20"/>
          <w:szCs w:val="20"/>
          <w:lang w:val="en-US"/>
        </w:rPr>
        <w:t>Notes:</w:t>
      </w:r>
      <w:r w:rsidRPr="1A30DAFD">
        <w:rPr>
          <w:sz w:val="20"/>
          <w:szCs w:val="20"/>
          <w:lang w:val="en-US"/>
        </w:rPr>
        <w:t xml:space="preserve"> </w:t>
      </w:r>
      <w:r w:rsidRPr="1A30DAFD">
        <w:rPr>
          <w:sz w:val="20"/>
          <w:szCs w:val="20"/>
        </w:rPr>
        <w:t>Multivariable regression modelling using volume density (V) and Euler-Poincar</w:t>
      </w:r>
      <w:r w:rsidR="0F482084" w:rsidRPr="1A30DAFD">
        <w:rPr>
          <w:sz w:val="20"/>
          <w:szCs w:val="20"/>
        </w:rPr>
        <w:t>é</w:t>
      </w:r>
      <w:r w:rsidRPr="1A30DAFD">
        <w:rPr>
          <w:sz w:val="20"/>
          <w:szCs w:val="20"/>
        </w:rPr>
        <w:t xml:space="preserve"> Characteristic (</w:t>
      </w:r>
      <w:r w:rsidRPr="1A30DAFD">
        <w:rPr>
          <w:rFonts w:ascii="Symbol" w:hAnsi="Symbol"/>
          <w:sz w:val="20"/>
          <w:szCs w:val="20"/>
        </w:rPr>
        <w:t>c</w:t>
      </w:r>
      <w:r w:rsidRPr="1A30DAFD">
        <w:rPr>
          <w:sz w:val="20"/>
          <w:szCs w:val="20"/>
        </w:rPr>
        <w:t xml:space="preserve">) for PRM-derived Normal and fSAD (introduced stepwise) to model </w:t>
      </w:r>
      <w:r w:rsidR="00BF069D">
        <w:rPr>
          <w:sz w:val="20"/>
          <w:szCs w:val="20"/>
        </w:rPr>
        <w:t>pulmonary function test</w:t>
      </w:r>
      <w:r w:rsidRPr="1A30DAFD">
        <w:rPr>
          <w:sz w:val="20"/>
          <w:szCs w:val="20"/>
        </w:rPr>
        <w:t xml:space="preserve"> measures in the COPD subset. Each column presents results for a different regression model. </w:t>
      </w:r>
      <w:r w:rsidR="0056223A" w:rsidRPr="1A30DAFD">
        <w:rPr>
          <w:sz w:val="20"/>
          <w:szCs w:val="20"/>
        </w:rPr>
        <w:t>FEV</w:t>
      </w:r>
      <w:r w:rsidR="0056223A" w:rsidRPr="1A30DAFD">
        <w:rPr>
          <w:sz w:val="20"/>
          <w:szCs w:val="20"/>
          <w:vertAlign w:val="subscript"/>
        </w:rPr>
        <w:t>1</w:t>
      </w:r>
      <w:r w:rsidR="0056223A" w:rsidRPr="0056223A">
        <w:rPr>
          <w:sz w:val="20"/>
          <w:szCs w:val="20"/>
        </w:rPr>
        <w:t>pp</w:t>
      </w:r>
      <w:r w:rsidR="0056223A" w:rsidRPr="1A30DAFD">
        <w:rPr>
          <w:sz w:val="20"/>
          <w:szCs w:val="20"/>
        </w:rPr>
        <w:t>, forced expiratory volume in one second</w:t>
      </w:r>
      <w:r w:rsidR="0056223A">
        <w:rPr>
          <w:sz w:val="20"/>
          <w:szCs w:val="20"/>
        </w:rPr>
        <w:t xml:space="preserve"> percent predicted</w:t>
      </w:r>
      <w:r w:rsidR="0056223A" w:rsidRPr="1A30DAFD">
        <w:rPr>
          <w:sz w:val="20"/>
          <w:szCs w:val="20"/>
        </w:rPr>
        <w:t xml:space="preserve">; </w:t>
      </w:r>
      <w:r w:rsidRPr="1A30DAFD">
        <w:rPr>
          <w:sz w:val="20"/>
          <w:szCs w:val="20"/>
        </w:rPr>
        <w:t>FEV</w:t>
      </w:r>
      <w:r w:rsidRPr="1A30DAFD">
        <w:rPr>
          <w:sz w:val="20"/>
          <w:szCs w:val="20"/>
          <w:vertAlign w:val="subscript"/>
        </w:rPr>
        <w:t>1</w:t>
      </w:r>
      <w:r w:rsidRPr="1A30DAFD">
        <w:rPr>
          <w:sz w:val="20"/>
          <w:szCs w:val="20"/>
        </w:rPr>
        <w:t>, forced expiratory volume in one second; FVC, forced vital capacity; FEF</w:t>
      </w:r>
      <w:r w:rsidR="00AA7142" w:rsidRPr="00AA7142">
        <w:rPr>
          <w:sz w:val="20"/>
          <w:szCs w:val="20"/>
          <w:vertAlign w:val="subscript"/>
        </w:rPr>
        <w:t>25-75</w:t>
      </w:r>
      <w:r w:rsidRPr="1A30DAFD">
        <w:rPr>
          <w:sz w:val="20"/>
          <w:szCs w:val="20"/>
        </w:rPr>
        <w:t xml:space="preserve">, forced </w:t>
      </w:r>
      <w:r w:rsidR="00DF1B41">
        <w:rPr>
          <w:sz w:val="20"/>
          <w:szCs w:val="20"/>
        </w:rPr>
        <w:t>mid-</w:t>
      </w:r>
      <w:r w:rsidRPr="1A30DAFD">
        <w:rPr>
          <w:sz w:val="20"/>
          <w:szCs w:val="20"/>
        </w:rPr>
        <w:t xml:space="preserve">expiratory flow; </w:t>
      </w:r>
      <w:r w:rsidR="00A45894">
        <w:rPr>
          <w:sz w:val="20"/>
          <w:szCs w:val="20"/>
        </w:rPr>
        <w:t xml:space="preserve">Emph, emphysema; </w:t>
      </w:r>
      <w:r w:rsidRPr="1A30DAFD">
        <w:rPr>
          <w:sz w:val="20"/>
          <w:szCs w:val="20"/>
        </w:rPr>
        <w:t xml:space="preserve">SE, standard error of the estimate; BMI, body mass index; </w:t>
      </w:r>
      <w:r w:rsidR="00A45894">
        <w:rPr>
          <w:sz w:val="20"/>
          <w:szCs w:val="20"/>
        </w:rPr>
        <w:t xml:space="preserve">Norm, normal; and </w:t>
      </w:r>
      <w:r w:rsidRPr="1A30DAFD">
        <w:rPr>
          <w:sz w:val="20"/>
          <w:szCs w:val="20"/>
        </w:rPr>
        <w:t>fSAD, functional small airways disease. Model performance is reported as adjusted R</w:t>
      </w:r>
      <w:r w:rsidRPr="1A30DAFD">
        <w:rPr>
          <w:sz w:val="20"/>
          <w:szCs w:val="20"/>
          <w:vertAlign w:val="superscript"/>
        </w:rPr>
        <w:t>2</w:t>
      </w:r>
      <w:r w:rsidRPr="1A30DAFD">
        <w:rPr>
          <w:sz w:val="20"/>
          <w:szCs w:val="20"/>
        </w:rPr>
        <w:t xml:space="preserve"> and standard error of the estimate. Feature association is reported as standardized beta coefficients (β); cells for stepwise variables removed from final model. All regression models were controlled for age, sex, race, BMI, pack years and CT vendor. </w:t>
      </w:r>
      <w:r w:rsidRPr="1A30DAFD">
        <w:rPr>
          <w:sz w:val="20"/>
          <w:szCs w:val="20"/>
          <w:lang w:val="en-US"/>
        </w:rPr>
        <w:t>P values ≥ 0.01, &lt; 0.01 and ≥ 0.001, and &lt; 0.001 are presented as values in par</w:t>
      </w:r>
      <w:r w:rsidR="0AB57AB9" w:rsidRPr="1A30DAFD">
        <w:rPr>
          <w:sz w:val="20"/>
          <w:szCs w:val="20"/>
          <w:lang w:val="en-US"/>
        </w:rPr>
        <w:t>en</w:t>
      </w:r>
      <w:r w:rsidRPr="1A30DAFD">
        <w:rPr>
          <w:sz w:val="20"/>
          <w:szCs w:val="20"/>
          <w:lang w:val="en-US"/>
        </w:rPr>
        <w:t>theses, *</w:t>
      </w:r>
      <w:r w:rsidR="0D65C467" w:rsidRPr="1A30DAFD">
        <w:rPr>
          <w:sz w:val="20"/>
          <w:szCs w:val="20"/>
          <w:lang w:val="en-US"/>
        </w:rPr>
        <w:t>,</w:t>
      </w:r>
      <w:r w:rsidRPr="1A30DAFD">
        <w:rPr>
          <w:sz w:val="20"/>
          <w:szCs w:val="20"/>
          <w:lang w:val="en-US"/>
        </w:rPr>
        <w:t xml:space="preserve"> and **, respectively.</w:t>
      </w:r>
    </w:p>
    <w:sectPr w:rsidR="006D7D87" w:rsidRPr="00405E48" w:rsidSect="00B46B1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F12B" w14:textId="77777777" w:rsidR="00C2078A" w:rsidRDefault="00C2078A" w:rsidP="00E97A6F">
      <w:pPr>
        <w:spacing w:line="240" w:lineRule="auto"/>
      </w:pPr>
      <w:r>
        <w:separator/>
      </w:r>
    </w:p>
  </w:endnote>
  <w:endnote w:type="continuationSeparator" w:id="0">
    <w:p w14:paraId="20771DCA" w14:textId="77777777" w:rsidR="00C2078A" w:rsidRDefault="00C2078A" w:rsidP="00E9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E622" w14:textId="77777777" w:rsidR="00C2078A" w:rsidRDefault="00C2078A" w:rsidP="00E97A6F">
      <w:pPr>
        <w:spacing w:line="240" w:lineRule="auto"/>
      </w:pPr>
      <w:r>
        <w:separator/>
      </w:r>
    </w:p>
  </w:footnote>
  <w:footnote w:type="continuationSeparator" w:id="0">
    <w:p w14:paraId="5B3C0D05" w14:textId="77777777" w:rsidR="00C2078A" w:rsidRDefault="00C2078A" w:rsidP="00E97A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3CB1"/>
    <w:multiLevelType w:val="hybridMultilevel"/>
    <w:tmpl w:val="D7D0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35A5"/>
    <w:multiLevelType w:val="hybridMultilevel"/>
    <w:tmpl w:val="C1546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3517532">
    <w:abstractNumId w:val="1"/>
  </w:num>
  <w:num w:numId="2" w16cid:durableId="84143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9"/>
    <w:rsid w:val="00030556"/>
    <w:rsid w:val="00032EAE"/>
    <w:rsid w:val="0004535E"/>
    <w:rsid w:val="000F74C2"/>
    <w:rsid w:val="00122CF4"/>
    <w:rsid w:val="00146859"/>
    <w:rsid w:val="00153923"/>
    <w:rsid w:val="001B1A92"/>
    <w:rsid w:val="00202FD6"/>
    <w:rsid w:val="0026504F"/>
    <w:rsid w:val="00272249"/>
    <w:rsid w:val="00281257"/>
    <w:rsid w:val="003036FD"/>
    <w:rsid w:val="00360529"/>
    <w:rsid w:val="003B7373"/>
    <w:rsid w:val="003F53D8"/>
    <w:rsid w:val="0040494C"/>
    <w:rsid w:val="00405E48"/>
    <w:rsid w:val="00422A61"/>
    <w:rsid w:val="004830F1"/>
    <w:rsid w:val="00503B0B"/>
    <w:rsid w:val="00516BB3"/>
    <w:rsid w:val="00521308"/>
    <w:rsid w:val="005455DB"/>
    <w:rsid w:val="00560FCF"/>
    <w:rsid w:val="0056223A"/>
    <w:rsid w:val="005D5AE0"/>
    <w:rsid w:val="005F0063"/>
    <w:rsid w:val="0063424C"/>
    <w:rsid w:val="00655255"/>
    <w:rsid w:val="006B2539"/>
    <w:rsid w:val="006D7D87"/>
    <w:rsid w:val="00703C72"/>
    <w:rsid w:val="00790DA1"/>
    <w:rsid w:val="00797AC4"/>
    <w:rsid w:val="007E12F1"/>
    <w:rsid w:val="0080081B"/>
    <w:rsid w:val="008203FF"/>
    <w:rsid w:val="008226FD"/>
    <w:rsid w:val="00893AA9"/>
    <w:rsid w:val="008A48E1"/>
    <w:rsid w:val="008A7387"/>
    <w:rsid w:val="008C5516"/>
    <w:rsid w:val="008D6776"/>
    <w:rsid w:val="00903373"/>
    <w:rsid w:val="00903D10"/>
    <w:rsid w:val="009452A9"/>
    <w:rsid w:val="009646DB"/>
    <w:rsid w:val="009B1055"/>
    <w:rsid w:val="009C05B8"/>
    <w:rsid w:val="009C76B8"/>
    <w:rsid w:val="009D17E0"/>
    <w:rsid w:val="009E4C85"/>
    <w:rsid w:val="00A45894"/>
    <w:rsid w:val="00A524AA"/>
    <w:rsid w:val="00A55D3F"/>
    <w:rsid w:val="00A63AB4"/>
    <w:rsid w:val="00A855E5"/>
    <w:rsid w:val="00AA43C6"/>
    <w:rsid w:val="00AA7142"/>
    <w:rsid w:val="00AC6FA7"/>
    <w:rsid w:val="00B42FBA"/>
    <w:rsid w:val="00B46B16"/>
    <w:rsid w:val="00B65225"/>
    <w:rsid w:val="00B671D8"/>
    <w:rsid w:val="00B868B0"/>
    <w:rsid w:val="00B94589"/>
    <w:rsid w:val="00BA6145"/>
    <w:rsid w:val="00BB7FB2"/>
    <w:rsid w:val="00BD6FAE"/>
    <w:rsid w:val="00BE74B7"/>
    <w:rsid w:val="00BF069D"/>
    <w:rsid w:val="00BF10F1"/>
    <w:rsid w:val="00C04FB1"/>
    <w:rsid w:val="00C062EB"/>
    <w:rsid w:val="00C13623"/>
    <w:rsid w:val="00C2078A"/>
    <w:rsid w:val="00C4289D"/>
    <w:rsid w:val="00CA0361"/>
    <w:rsid w:val="00D51E89"/>
    <w:rsid w:val="00D55270"/>
    <w:rsid w:val="00DC5535"/>
    <w:rsid w:val="00DD0677"/>
    <w:rsid w:val="00DF1B41"/>
    <w:rsid w:val="00E065B5"/>
    <w:rsid w:val="00E84C41"/>
    <w:rsid w:val="00E97391"/>
    <w:rsid w:val="00E97A6F"/>
    <w:rsid w:val="00EF2AF9"/>
    <w:rsid w:val="00F46460"/>
    <w:rsid w:val="00FA0507"/>
    <w:rsid w:val="00FD4B41"/>
    <w:rsid w:val="00FD5306"/>
    <w:rsid w:val="00FE36D4"/>
    <w:rsid w:val="02D0DB19"/>
    <w:rsid w:val="02ED89CE"/>
    <w:rsid w:val="0A5982AB"/>
    <w:rsid w:val="0AB57AB9"/>
    <w:rsid w:val="0D65C467"/>
    <w:rsid w:val="0F482084"/>
    <w:rsid w:val="146807D7"/>
    <w:rsid w:val="163E252C"/>
    <w:rsid w:val="17D9F58D"/>
    <w:rsid w:val="19FAB768"/>
    <w:rsid w:val="1A30DAFD"/>
    <w:rsid w:val="1BAA5CEE"/>
    <w:rsid w:val="1BFB5784"/>
    <w:rsid w:val="1F4AA3D5"/>
    <w:rsid w:val="1F54BC6A"/>
    <w:rsid w:val="254F4B2C"/>
    <w:rsid w:val="25A9F592"/>
    <w:rsid w:val="2868C111"/>
    <w:rsid w:val="2B071012"/>
    <w:rsid w:val="307AABAA"/>
    <w:rsid w:val="368FA677"/>
    <w:rsid w:val="3EB454D8"/>
    <w:rsid w:val="429BF08E"/>
    <w:rsid w:val="43FCFB4D"/>
    <w:rsid w:val="44438B1B"/>
    <w:rsid w:val="454D3B78"/>
    <w:rsid w:val="47AA4558"/>
    <w:rsid w:val="4BB3D1DC"/>
    <w:rsid w:val="50BAAEEE"/>
    <w:rsid w:val="52389803"/>
    <w:rsid w:val="52B14A0F"/>
    <w:rsid w:val="551EBA3F"/>
    <w:rsid w:val="59D87312"/>
    <w:rsid w:val="66B50212"/>
    <w:rsid w:val="68CBAC53"/>
    <w:rsid w:val="6B05D72F"/>
    <w:rsid w:val="6B0CCBD1"/>
    <w:rsid w:val="6DFFEFBF"/>
    <w:rsid w:val="70B011DF"/>
    <w:rsid w:val="72C8C144"/>
    <w:rsid w:val="770FE6FA"/>
    <w:rsid w:val="7AA27EA4"/>
    <w:rsid w:val="7B38E2AA"/>
    <w:rsid w:val="7EE2444C"/>
    <w:rsid w:val="7FBA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D783"/>
  <w15:chartTrackingRefBased/>
  <w15:docId w15:val="{EAD98AED-F285-4A74-807C-520E9C0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60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07"/>
    <w:pPr>
      <w:keepNext/>
      <w:keepLines/>
      <w:spacing w:before="200"/>
      <w:outlineLvl w:val="0"/>
    </w:pPr>
    <w:rPr>
      <w:rFonts w:eastAsia="Trebuchet MS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07"/>
    <w:rPr>
      <w:rFonts w:ascii="Arial" w:eastAsia="Trebuchet MS" w:hAnsi="Arial" w:cs="Arial"/>
      <w:sz w:val="28"/>
      <w:szCs w:val="28"/>
    </w:rPr>
  </w:style>
  <w:style w:type="table" w:styleId="TableGrid">
    <w:name w:val="Table Grid"/>
    <w:basedOn w:val="TableNormal"/>
    <w:uiPriority w:val="39"/>
    <w:rsid w:val="00F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46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46460"/>
  </w:style>
  <w:style w:type="character" w:styleId="Hyperlink">
    <w:name w:val="Hyperlink"/>
    <w:basedOn w:val="DefaultParagraphFont"/>
    <w:uiPriority w:val="99"/>
    <w:unhideWhenUsed/>
    <w:rsid w:val="00DC5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A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6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97A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6F"/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903373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EndNoteBibliography">
    <w:name w:val="EndNote Bibliography"/>
    <w:basedOn w:val="Normal"/>
    <w:link w:val="EndNoteBibliographyChar"/>
    <w:rsid w:val="00790DA1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0DA1"/>
    <w:rPr>
      <w:rFonts w:ascii="Arial" w:eastAsia="Arial" w:hAnsi="Arial" w:cs="Arial"/>
      <w:noProof/>
    </w:rPr>
  </w:style>
  <w:style w:type="paragraph" w:styleId="NormalWeb">
    <w:name w:val="Normal (Web)"/>
    <w:basedOn w:val="Normal"/>
    <w:uiPriority w:val="99"/>
    <w:semiHidden/>
    <w:unhideWhenUsed/>
    <w:rsid w:val="009D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405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E48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405E48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405E48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CF4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698</Words>
  <Characters>3982</Characters>
  <Application>Microsoft Office Word</Application>
  <DocSecurity>0</DocSecurity>
  <Lines>33</Lines>
  <Paragraphs>9</Paragraphs>
  <ScaleCrop>false</ScaleCrop>
  <Company>Michigan Medicine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Alexander</dc:creator>
  <cp:keywords/>
  <dc:description/>
  <cp:lastModifiedBy>Olsen, Lee</cp:lastModifiedBy>
  <cp:revision>24</cp:revision>
  <dcterms:created xsi:type="dcterms:W3CDTF">2023-02-08T12:13:00Z</dcterms:created>
  <dcterms:modified xsi:type="dcterms:W3CDTF">2023-05-18T15:27:00Z</dcterms:modified>
</cp:coreProperties>
</file>