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114" w14:textId="00893374" w:rsidR="00790699" w:rsidRDefault="00BF63D5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Electronic Supplementary Material 7</w:t>
      </w:r>
    </w:p>
    <w:p w14:paraId="278C8C65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2C965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50533" w14:textId="77777777" w:rsidR="00790699" w:rsidRDefault="00790699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569BE" w14:textId="584AC18B" w:rsidR="00790699" w:rsidRDefault="00BF63D5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F00138">
        <w:rPr>
          <w:rFonts w:ascii="Times New Roman" w:eastAsia="Times New Roman" w:hAnsi="Times New Roman" w:cs="Times New Roman"/>
          <w:b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exercise on aerobic capacity in individuals with spinal cord injury: A systematic review with meta-analysis</w:t>
      </w:r>
      <w:r>
        <w:rPr>
          <w:rFonts w:ascii="Times New Roman" w:eastAsia="Times New Roman" w:hAnsi="Times New Roman" w:cs="Times New Roman"/>
          <w:b/>
        </w:rPr>
        <w:t xml:space="preserve"> and meta-regression</w:t>
      </w:r>
    </w:p>
    <w:p w14:paraId="7AF66D4B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BDD31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17FE2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3EE33" w14:textId="77777777" w:rsidR="00790699" w:rsidRDefault="00BF63D5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PLoS Medicine</w:t>
      </w:r>
    </w:p>
    <w:p w14:paraId="1795DFFD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EAEFF" w14:textId="77777777" w:rsidR="00790699" w:rsidRDefault="00790699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C4E6C" w14:textId="77777777" w:rsidR="00790699" w:rsidRDefault="00790699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93A5C" w14:textId="77777777" w:rsidR="00790699" w:rsidRDefault="00BF63D5">
      <w:pPr>
        <w:spacing w:line="240" w:lineRule="auto"/>
        <w:ind w:left="-360"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Hodgkiss, D.D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Bhangu, 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</w:t>
      </w:r>
      <w:r>
        <w:rPr>
          <w:rFonts w:ascii="Times New Roman" w:eastAsia="Times New Roman" w:hAnsi="Times New Roman" w:cs="Times New Roman"/>
          <w:sz w:val="24"/>
          <w:szCs w:val="24"/>
        </w:rPr>
        <w:t>, Lunny, C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Jutzeler C.R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5,6</w:t>
      </w:r>
      <w:r>
        <w:rPr>
          <w:rFonts w:ascii="Times New Roman" w:eastAsia="Times New Roman" w:hAnsi="Times New Roman" w:cs="Times New Roman"/>
          <w:sz w:val="24"/>
          <w:szCs w:val="24"/>
        </w:rPr>
        <w:t>, Chiou S.Y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1,7,8,9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Walter,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2,10</w:t>
      </w:r>
      <w:r>
        <w:rPr>
          <w:rFonts w:ascii="Times New Roman" w:eastAsia="Times New Roman" w:hAnsi="Times New Roman" w:cs="Times New Roman"/>
          <w:sz w:val="24"/>
          <w:szCs w:val="24"/>
        </w:rPr>
        <w:t>, Lucas S.E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1,7</w:t>
      </w:r>
      <w:r>
        <w:rPr>
          <w:rFonts w:ascii="Times New Roman" w:eastAsia="Times New Roman" w:hAnsi="Times New Roman" w:cs="Times New Roman"/>
          <w:sz w:val="24"/>
          <w:szCs w:val="24"/>
        </w:rPr>
        <w:t>, Krassioukov, A.V.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2,11,12</w:t>
      </w:r>
      <w:r>
        <w:rPr>
          <w:rFonts w:ascii="Times New Roman" w:eastAsia="Times New Roman" w:hAnsi="Times New Roman" w:cs="Times New Roman"/>
          <w:sz w:val="24"/>
          <w:szCs w:val="24"/>
        </w:rPr>
        <w:t>, Nightingale, T.E.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1,2,9</w:t>
      </w:r>
    </w:p>
    <w:p w14:paraId="36F0ACF2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78B5E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A6B9D" w14:textId="77777777" w:rsidR="00790699" w:rsidRDefault="00790699">
      <w:pPr>
        <w:spacing w:line="240" w:lineRule="auto"/>
        <w:ind w:left="-360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F5768" w14:textId="77777777" w:rsidR="00790699" w:rsidRDefault="00BF63D5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School of Sport, Exercise and Rehabilitation Sciences, University of Birmingham, UK. </w:t>
      </w:r>
    </w:p>
    <w:p w14:paraId="05E8DD71" w14:textId="77777777" w:rsidR="00790699" w:rsidRDefault="00BF63D5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International Collaboration on Repair Discoveries (ICORD), University of British Columbia, Vancouver, British Columbia, Canada. </w:t>
      </w:r>
      <w:r>
        <w:rPr>
          <w:rFonts w:ascii="Times New Roman" w:eastAsia="Times New Roman" w:hAnsi="Times New Roman" w:cs="Times New Roman"/>
          <w:b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MD Undergraduate Program, Faculty of Medicine, University of British Columbia, Vancouver, Canada. </w:t>
      </w:r>
      <w:r>
        <w:rPr>
          <w:rFonts w:ascii="Times New Roman" w:eastAsia="Times New Roman" w:hAnsi="Times New Roman" w:cs="Times New Roman"/>
          <w:b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Knowledge Translation Program, Li Ka Shing Knowledge Institute, St. Michael’s Hospital, Toronto, and the University of British Columbia, </w:t>
      </w:r>
      <w:r>
        <w:rPr>
          <w:rFonts w:ascii="Times New Roman" w:eastAsia="Times New Roman" w:hAnsi="Times New Roman" w:cs="Times New Roman"/>
        </w:rPr>
        <w:t xml:space="preserve">Vancouver, British Columbia, Canada. </w:t>
      </w:r>
    </w:p>
    <w:p w14:paraId="5183F56B" w14:textId="77777777" w:rsidR="00790699" w:rsidRDefault="00BF63D5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5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Department of Health Sciences and Technology, ETH Zurich, Zurich, Switzerland. </w:t>
      </w:r>
      <w:r>
        <w:rPr>
          <w:rFonts w:ascii="Times New Roman" w:eastAsia="Times New Roman" w:hAnsi="Times New Roman" w:cs="Times New Roman"/>
          <w:b/>
          <w:vertAlign w:val="superscript"/>
        </w:rPr>
        <w:t>6</w:t>
      </w:r>
      <w:r>
        <w:rPr>
          <w:rFonts w:ascii="Times New Roman" w:eastAsia="Times New Roman" w:hAnsi="Times New Roman" w:cs="Times New Roman"/>
        </w:rPr>
        <w:t xml:space="preserve"> Schulthess Clinic, Zurich, Switzerland. </w:t>
      </w:r>
      <w:r>
        <w:rPr>
          <w:rFonts w:ascii="Times New Roman" w:eastAsia="Times New Roman" w:hAnsi="Times New Roman" w:cs="Times New Roman"/>
          <w:b/>
          <w:vertAlign w:val="superscript"/>
        </w:rPr>
        <w:t>7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Centre for Human Brain Health, University of Birmingham, United Kingdom. </w:t>
      </w:r>
      <w:r>
        <w:rPr>
          <w:rFonts w:ascii="Times New Roman" w:eastAsia="Times New Roman" w:hAnsi="Times New Roman" w:cs="Times New Roman"/>
          <w:b/>
          <w:vertAlign w:val="superscript"/>
        </w:rPr>
        <w:t>8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MRC Versus Arthritis Centre for Musculoskeletal Ageing Research, University of Birmingham, United Kingdom. </w:t>
      </w:r>
    </w:p>
    <w:p w14:paraId="4E6ADAA5" w14:textId="77777777" w:rsidR="00790699" w:rsidRDefault="00BF63D5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9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Centre for Trauma Science Research, University of Birmingham, United Kingdom. </w:t>
      </w:r>
      <w:r>
        <w:rPr>
          <w:rFonts w:ascii="Times New Roman" w:eastAsia="Times New Roman" w:hAnsi="Times New Roman" w:cs="Times New Roman"/>
          <w:b/>
          <w:vertAlign w:val="superscript"/>
        </w:rPr>
        <w:t>10</w:t>
      </w:r>
      <w:r>
        <w:rPr>
          <w:rFonts w:ascii="Times New Roman" w:eastAsia="Times New Roman" w:hAnsi="Times New Roman" w:cs="Times New Roman"/>
        </w:rPr>
        <w:t xml:space="preserve"> Department of Urology, University Hospital Basel, University of Basel, Basel, Switzerland.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11 </w:t>
      </w:r>
      <w:r>
        <w:rPr>
          <w:rFonts w:ascii="Times New Roman" w:eastAsia="Times New Roman" w:hAnsi="Times New Roman" w:cs="Times New Roman"/>
        </w:rPr>
        <w:t xml:space="preserve">Department of Medicine, Division of Physical Medicine and Rehabilitation, University of British Columbia, Vancouver, British Columbia, Canada. </w:t>
      </w:r>
      <w:r>
        <w:rPr>
          <w:rFonts w:ascii="Times New Roman" w:eastAsia="Times New Roman" w:hAnsi="Times New Roman" w:cs="Times New Roman"/>
          <w:b/>
          <w:vertAlign w:val="superscript"/>
        </w:rPr>
        <w:t>12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GF Strong Rehabilitation Centre, Vancouver Coastal Health, Vancouver, British Columbia, Canada.</w:t>
      </w:r>
    </w:p>
    <w:p w14:paraId="7452BE6F" w14:textId="77777777" w:rsidR="00790699" w:rsidRDefault="00790699">
      <w:pPr>
        <w:spacing w:line="480" w:lineRule="auto"/>
        <w:ind w:left="-360" w:right="-330"/>
        <w:rPr>
          <w:rFonts w:ascii="Times New Roman" w:eastAsia="Times New Roman" w:hAnsi="Times New Roman" w:cs="Times New Roman"/>
        </w:rPr>
      </w:pPr>
    </w:p>
    <w:p w14:paraId="2560A801" w14:textId="77777777" w:rsidR="00790699" w:rsidRDefault="00BF63D5">
      <w:pPr>
        <w:spacing w:line="480" w:lineRule="auto"/>
        <w:ind w:left="-360" w:right="-330"/>
        <w:jc w:val="center"/>
        <w:sectPr w:rsidR="0079069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Corresponding author: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Tom E. Nightingale PhD,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T.E.Nightingale@bham.ac.uk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542BD8" w14:textId="24F9AF5C" w:rsidR="00BF63D5" w:rsidRDefault="000D7D2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B76702" wp14:editId="25360496">
            <wp:simplePos x="0" y="0"/>
            <wp:positionH relativeFrom="column">
              <wp:posOffset>-255270</wp:posOffset>
            </wp:positionH>
            <wp:positionV relativeFrom="paragraph">
              <wp:posOffset>0</wp:posOffset>
            </wp:positionV>
            <wp:extent cx="8795385" cy="5677535"/>
            <wp:effectExtent l="0" t="0" r="0" b="0"/>
            <wp:wrapSquare wrapText="bothSides"/>
            <wp:docPr id="980161294" name="Picture 1" descr="A person in a wheelc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61294" name="Picture 1" descr="A person in a wheelchair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9" b="18598"/>
                    <a:stretch/>
                  </pic:blipFill>
                  <pic:spPr bwMode="auto">
                    <a:xfrm>
                      <a:off x="0" y="0"/>
                      <a:ext cx="8795385" cy="567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0"/>
        <w:tblW w:w="14454" w:type="dxa"/>
        <w:tblInd w:w="-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5"/>
        <w:gridCol w:w="1698"/>
        <w:gridCol w:w="795"/>
        <w:gridCol w:w="5271"/>
        <w:gridCol w:w="1216"/>
        <w:gridCol w:w="1637"/>
        <w:gridCol w:w="1230"/>
        <w:gridCol w:w="1231"/>
        <w:gridCol w:w="21"/>
      </w:tblGrid>
      <w:tr w:rsidR="00790699" w14:paraId="38E8CCD1" w14:textId="77777777">
        <w:trPr>
          <w:trHeight w:val="309"/>
        </w:trPr>
        <w:tc>
          <w:tcPr>
            <w:tcW w:w="14455" w:type="dxa"/>
            <w:gridSpan w:val="9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A4A2" w14:textId="012EE972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Table 1. </w:t>
            </w:r>
            <w:r>
              <w:rPr>
                <w:rFonts w:ascii="Times New Roman" w:eastAsia="Times New Roman" w:hAnsi="Times New Roman" w:cs="Times New Roman"/>
              </w:rPr>
              <w:t>Adverse events described in the exercise intervention studies included in the primary meta-analysis.</w:t>
            </w:r>
          </w:p>
        </w:tc>
      </w:tr>
      <w:tr w:rsidR="00790699" w14:paraId="6ED9D842" w14:textId="77777777">
        <w:trPr>
          <w:gridAfter w:val="1"/>
          <w:wAfter w:w="21" w:type="dxa"/>
          <w:trHeight w:val="648"/>
        </w:trPr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5254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9149A4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Author/</w:t>
            </w:r>
          </w:p>
          <w:p w14:paraId="1FC2EC5A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16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EF05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6B60BE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Exercise Modality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2F45" w14:textId="77777777" w:rsidR="00790699" w:rsidRDefault="007906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012029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N</w:t>
            </w:r>
          </w:p>
        </w:tc>
        <w:tc>
          <w:tcPr>
            <w:tcW w:w="105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CAA3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Adverse Event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790699" w14:paraId="61F6224D" w14:textId="77777777">
        <w:trPr>
          <w:gridAfter w:val="1"/>
          <w:wAfter w:w="21" w:type="dxa"/>
          <w:trHeight w:val="1107"/>
        </w:trPr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3E5C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15EE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2261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B1B0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Adverse Events (%N)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8D9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Bone, joint or muscular pain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E65A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Autonomic or CV function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ADE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Skin irritation/ pressure sores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BA18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</w:p>
        </w:tc>
      </w:tr>
      <w:tr w:rsidR="00790699" w14:paraId="4967EDED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E048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Beillot et al. (1996)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EABF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Walking with reciprocating gait orthosis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6AE5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8DF0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(71%)</w:t>
            </w:r>
          </w:p>
          <w:p w14:paraId="683EF33F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(“10 participants had to stop the training programme, the major complications included spontaneous fractures of lower limbs, occurrence of a syringomyelia and pressure sores at the foot and ankle”)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A787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D89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A818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8F3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</w:tc>
      </w:tr>
      <w:tr w:rsidR="00790699" w14:paraId="3C840F24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83FA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Berry et al. (2008)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D05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Home-based FES-cycling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184A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9191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(9%)</w:t>
            </w:r>
          </w:p>
          <w:p w14:paraId="5D315AD7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(“one subject dropped out of the study after baseline testing due to an adverse autonomic response to stimulation, data not included”)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CAF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206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1C26F19B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9277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99D2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4122D9C3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A9A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Bombardier et al. (2021)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2445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Behaviour change (with tele-health intervention)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3D6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D6E2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(14%)</w:t>
            </w:r>
          </w:p>
          <w:p w14:paraId="4693921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(“arm of the DXA scanner struck a participant's knee as it was returning to the start position but the physician detected no injury”)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3FAC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7AD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0770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3266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  <w:p w14:paraId="361E3D4F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90699" w14:paraId="63184EFB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F46A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Brazg et al. (2017)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79E5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Low-intensity locomotor training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3BE8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F48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(7%)</w:t>
            </w:r>
          </w:p>
          <w:p w14:paraId="01625A5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(“one individual terminated participation due to an increase in his back pain”)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1114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3668F2B3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987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6194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3BE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3B7FB8A2" w14:textId="77777777">
        <w:trPr>
          <w:gridAfter w:val="1"/>
          <w:wAfter w:w="21" w:type="dxa"/>
          <w:trHeight w:val="1016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DE42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Brurok et al. (2011)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531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Aerobic HIIT hybrid cycling (arm crank ergometry and FES cycling)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1770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FB6F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(33%)</w:t>
            </w:r>
          </w:p>
          <w:p w14:paraId="25777956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(“two persons exacerbated a latent shoulder dysfunction during training but commenced shortly after a period of rest and therapy”)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B1EE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2B94E190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0C96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7D9C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761A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1831D1E5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FBF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Duran et al. (2001)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EA48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Mixed exercise programme (mobility, strength, coordination, aerobic resistance,</w:t>
            </w:r>
          </w:p>
          <w:p w14:paraId="7585B008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 relaxation activities)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27F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9270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(8%)</w:t>
            </w:r>
          </w:p>
          <w:p w14:paraId="0A97ACC1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(“one patient developed transient sinus bradycardia and hypotension after the arm crank exercise test”)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2853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14:paraId="47D6EB8B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02D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0005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9AB4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0749D45F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0440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Gauthier et al. (2018)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DEB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Home-based, high-intensity wheelchair ergometry (HIIT group)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2005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3E3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(25%)</w:t>
            </w:r>
          </w:p>
          <w:p w14:paraId="24E30BD1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(“one dropout in the HIIT group was due to development of significant shoulder pain over the course of the training program”)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151D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4FBBB840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A5C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6D4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F326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3FA68567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F2A4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Gibbons et al. (2016)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44E9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FES-rowing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757C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03E3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  <w:p w14:paraId="65BB269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(“a number of participants showed some level of autonomic dysreflexia during the FES response test”)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EDFC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C90B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  <w:p w14:paraId="222F8570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D662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2605" w14:textId="77777777" w:rsidR="00790699" w:rsidRDefault="00BF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2F852976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965C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Gorman et al. (2016)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2E5F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Robotically assisted BWSTT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E289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441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(17%)</w:t>
            </w:r>
          </w:p>
          <w:p w14:paraId="3DDBE12D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(“skin irritation in hip, groin, penis, back, wrist, glutei and scapula”)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5C6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D7B2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9510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  <w:p w14:paraId="30AC7901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EE4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5AE5068A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68C3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Janssen et al. (2008)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D2F6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FES-cycling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0435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1AC2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  <w:p w14:paraId="674E2C1D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(“lightheadedness in some subjects”)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31B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44BB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735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3C9A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</w:t>
            </w:r>
          </w:p>
          <w:p w14:paraId="3E97A6C1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90699" w14:paraId="7A8DF5D2" w14:textId="77777777">
        <w:trPr>
          <w:gridAfter w:val="1"/>
          <w:wAfter w:w="21" w:type="dxa"/>
          <w:trHeight w:val="143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C077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Koontz et al. (2021)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5106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High-intensity handcycling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2B1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2DDA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(10%)</w:t>
            </w:r>
          </w:p>
          <w:p w14:paraId="226DD5A5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(“one participant experienced bad spasms during a session - but repeated this session on another day”)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DF6C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11ED3330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831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F9B8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D9D0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4343EABB" w14:textId="77777777">
        <w:trPr>
          <w:gridAfter w:val="1"/>
          <w:wAfter w:w="21" w:type="dxa"/>
          <w:trHeight w:val="749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83D5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Kressler et al. (2013)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56AC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Treadmill- based locomotor training with transcutaneous FES (TS)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EB97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B0E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(6%)</w:t>
            </w:r>
          </w:p>
          <w:p w14:paraId="243599B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(“increase in spasticity and increase in chronic back pain in a patient”)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DF1D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745D1DC5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FE49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09C5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7679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05E6A9A3" w14:textId="77777777">
        <w:trPr>
          <w:gridAfter w:val="1"/>
          <w:wAfter w:w="21" w:type="dxa"/>
          <w:trHeight w:val="418"/>
        </w:trPr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DB8E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Lotter et al. (2020)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A557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Impairment- based training (e.g., recumbent cycling or stepping)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AA69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53A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(31%)</w:t>
            </w:r>
          </w:p>
          <w:p w14:paraId="360D77B8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(“4 incidents of soreness/ankle foot orthoses– related abrasions and one incident of nausea”)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B01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A7C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BC07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185F50BB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D6E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3748FB8A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90699" w14:paraId="6F2992B7" w14:textId="77777777">
        <w:trPr>
          <w:gridAfter w:val="1"/>
          <w:wAfter w:w="21" w:type="dxa"/>
          <w:trHeight w:val="418"/>
        </w:trPr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9725" w14:textId="77777777" w:rsidR="00790699" w:rsidRDefault="00790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6AD8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Task-specific training (e.g., stepping practice including speed- dependent treadmill training, over-ground training, skill-dependent treadmill training, and stair climbing)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9272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FF2C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(100%)</w:t>
            </w:r>
          </w:p>
          <w:p w14:paraId="6FBC2588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(“11 falls without significant injury outside of task-specific training, with subsequent discomfort in 4 incidences; one incident of hypertension; 10 incidents of soreness/ankle foot orthoses– related abrasions; one incident of anxiety related to the perception of unsteadiness such that assistance was required”)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B77D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23A3EB3D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38C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05843924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C8A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14:paraId="196FBAAB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E478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6341D231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90699" w14:paraId="4A2E0C01" w14:textId="77777777">
        <w:trPr>
          <w:gridAfter w:val="1"/>
          <w:wAfter w:w="21" w:type="dxa"/>
          <w:trHeight w:val="1516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6C6B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Mcleod et al. (2020)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1B1D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Sprint interval training (high-intensity) using arm crank ergometry</w:t>
            </w:r>
          </w:p>
          <w:p w14:paraId="7A9703FE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(HIIT group)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2D0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FB80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(10%)</w:t>
            </w:r>
          </w:p>
          <w:p w14:paraId="49C5197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(“post-exercise hypotension”)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E9E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30CE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67074765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D19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ACB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22844357" w14:textId="77777777">
        <w:trPr>
          <w:gridAfter w:val="1"/>
          <w:wAfter w:w="21" w:type="dxa"/>
          <w:trHeight w:val="1266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5C6D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Mohr et al. (1997)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A82E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FES-cycling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935F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9939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(40%)</w:t>
            </w:r>
          </w:p>
          <w:p w14:paraId="2ADA075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(“three subjects experienced post-exercise hypotension…one subject experienced a small hematoma in the media portion of the quads after 15 min of exercise in the 2nd exercise bout”)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29BD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F3AE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14A220A6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29E4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E26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578FC123" w14:textId="77777777">
        <w:trPr>
          <w:gridAfter w:val="1"/>
          <w:wAfter w:w="21" w:type="dxa"/>
          <w:trHeight w:val="249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23BE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Nooijen et al. (2015)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0047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Handcycling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4582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8263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(4%)</w:t>
            </w:r>
          </w:p>
          <w:p w14:paraId="4980FAF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(“2 participants did not complete training due to severe pressure ulcers”)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97E4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EE94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7B35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5F4B791E" w14:textId="77777777" w:rsidR="00790699" w:rsidRDefault="00790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5E12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790699" w14:paraId="7A4991DE" w14:textId="77777777">
        <w:trPr>
          <w:gridAfter w:val="1"/>
          <w:wAfter w:w="21" w:type="dxa"/>
          <w:trHeight w:val="249"/>
        </w:trPr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4B6F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Vestergaard et al. (2022)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B480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FES-</w:t>
            </w:r>
          </w:p>
          <w:p w14:paraId="6B043770" w14:textId="77777777" w:rsidR="00790699" w:rsidRDefault="00BF63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skiergometry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B295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D16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NS - It cannot be determined whether these adverse events were in one participant or multiple.</w:t>
            </w:r>
          </w:p>
          <w:p w14:paraId="2927222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(“Only a few minor adverse effects occurred: slight non-persisting pain in neck (n = 1), arms and shoulders (n = 4) during and between training sessions, dizziness that disappeared after 5 min (n = 1), feeling tired in the head/dizziness that disappeared after training with no other signs of autonomic hyperreflexia (n = 2), increased spasms (n = 2), and vomiting just after training (n = 2)”</w:t>
            </w:r>
          </w:p>
        </w:tc>
        <w:tc>
          <w:tcPr>
            <w:tcW w:w="1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D03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A19A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5FB1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05D6" w14:textId="77777777" w:rsidR="00790699" w:rsidRDefault="00BF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90699" w14:paraId="5D56D92F" w14:textId="77777777">
        <w:trPr>
          <w:trHeight w:val="741"/>
        </w:trPr>
        <w:tc>
          <w:tcPr>
            <w:tcW w:w="14455" w:type="dxa"/>
            <w:gridSpan w:val="9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FB84" w14:textId="77777777" w:rsidR="00790699" w:rsidRDefault="00BF63D5">
            <w:pPr>
              <w:widowControl w:val="0"/>
              <w:spacing w:line="240" w:lineRule="auto"/>
              <w:ind w:left="-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participants in each intervention (N), and the percentage of those who experienced an adverse event (%N). BWSTT, body-weight supported treadmill training; CV, cardiovascular; FES, functional electrical stimulation; HIIT, high-intensity interval training NS, not specified.</w:t>
            </w:r>
          </w:p>
        </w:tc>
      </w:tr>
    </w:tbl>
    <w:p w14:paraId="67D6BF02" w14:textId="77777777" w:rsidR="00790699" w:rsidRDefault="00790699">
      <w:pPr>
        <w:rPr>
          <w:b/>
        </w:rPr>
      </w:pPr>
    </w:p>
    <w:p w14:paraId="346A8EE3" w14:textId="77777777" w:rsidR="00790699" w:rsidRDefault="00790699">
      <w:pPr>
        <w:rPr>
          <w:b/>
        </w:rPr>
      </w:pPr>
    </w:p>
    <w:p w14:paraId="76F8682A" w14:textId="77777777" w:rsidR="00790699" w:rsidRDefault="00790699"/>
    <w:sectPr w:rsidR="0079069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9260" w14:textId="77777777" w:rsidR="00916990" w:rsidRDefault="00BF63D5">
      <w:pPr>
        <w:spacing w:line="240" w:lineRule="auto"/>
      </w:pPr>
      <w:r>
        <w:separator/>
      </w:r>
    </w:p>
  </w:endnote>
  <w:endnote w:type="continuationSeparator" w:id="0">
    <w:p w14:paraId="6D4A5C43" w14:textId="77777777" w:rsidR="00916990" w:rsidRDefault="00BF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09" w14:textId="77777777" w:rsidR="00790699" w:rsidRDefault="00BF63D5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FAF6" w14:textId="77777777" w:rsidR="00916990" w:rsidRDefault="00BF63D5">
      <w:pPr>
        <w:spacing w:line="240" w:lineRule="auto"/>
      </w:pPr>
      <w:r>
        <w:separator/>
      </w:r>
    </w:p>
  </w:footnote>
  <w:footnote w:type="continuationSeparator" w:id="0">
    <w:p w14:paraId="31E3B047" w14:textId="77777777" w:rsidR="00916990" w:rsidRDefault="00BF6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D61C" w14:textId="24525582" w:rsidR="00790699" w:rsidRDefault="00BF63D5">
    <w:pPr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</w:rPr>
      <w:t xml:space="preserve">Supplementary material 7 (S7): Adverse events                                                                  </w:t>
    </w:r>
    <w:r w:rsidR="00F00138"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 xml:space="preserve">Hodgkiss </w:t>
    </w:r>
    <w:r>
      <w:rPr>
        <w:rFonts w:ascii="Times New Roman" w:eastAsia="Times New Roman" w:hAnsi="Times New Roman" w:cs="Times New Roman"/>
        <w:i/>
      </w:rPr>
      <w:t>et al.</w:t>
    </w:r>
    <w:r>
      <w:rPr>
        <w:rFonts w:ascii="Times New Roman" w:eastAsia="Times New Roman" w:hAnsi="Times New Roman" w:cs="Times New Roman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99"/>
    <w:rsid w:val="000D7D28"/>
    <w:rsid w:val="00790699"/>
    <w:rsid w:val="00916990"/>
    <w:rsid w:val="009F41F8"/>
    <w:rsid w:val="00BF63D5"/>
    <w:rsid w:val="00F00138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3BA"/>
  <w15:docId w15:val="{CB958B78-6E6C-DF4A-A98D-03E08375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3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D5"/>
  </w:style>
  <w:style w:type="paragraph" w:styleId="Footer">
    <w:name w:val="footer"/>
    <w:basedOn w:val="Normal"/>
    <w:link w:val="FooterChar"/>
    <w:uiPriority w:val="99"/>
    <w:unhideWhenUsed/>
    <w:rsid w:val="00BF63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.E.Nightingale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hzIA1My+l6g8GK0bz1pxUZIJQ==">AMUW2mUltsc38E0bo/O7+FJaY+6XOqR0hK/D9Yi91BxVocULwuGOvWrn9UC4VQ1ma2nz7xsRMA3pLSifVlSaHBQdWBAf9d43Tl74VfrwIffciW5AFfSvUOc=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Hodgkiss (PhD School of Sprt+Ex Scie FT)</cp:lastModifiedBy>
  <cp:revision>6</cp:revision>
  <dcterms:created xsi:type="dcterms:W3CDTF">2022-07-12T09:27:00Z</dcterms:created>
  <dcterms:modified xsi:type="dcterms:W3CDTF">2023-05-19T12:47:00Z</dcterms:modified>
</cp:coreProperties>
</file>