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BD8D" w14:textId="34D4FC64" w:rsidR="00994874" w:rsidRPr="000B0ECC" w:rsidRDefault="000B0ECC" w:rsidP="000B0ECC">
      <w:pPr>
        <w:pStyle w:val="Caption"/>
        <w:keepNext/>
        <w:spacing w:beforeLines="50" w:before="120" w:afterLines="50" w:after="120" w:line="240" w:lineRule="auto"/>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S</w:t>
      </w:r>
      <w:r>
        <w:rPr>
          <w:rFonts w:ascii="Times New Roman" w:hAnsi="Times New Roman" w:cs="Times New Roman" w:hint="eastAsia"/>
          <w:color w:val="4472C4" w:themeColor="accent1"/>
          <w:sz w:val="24"/>
          <w:szCs w:val="24"/>
        </w:rPr>
        <w:t>upplement</w:t>
      </w:r>
      <w:r>
        <w:rPr>
          <w:rFonts w:ascii="Times New Roman" w:hAnsi="Times New Roman" w:cs="Times New Roman"/>
          <w:color w:val="4472C4" w:themeColor="accent1"/>
          <w:sz w:val="24"/>
          <w:szCs w:val="24"/>
        </w:rPr>
        <w:t xml:space="preserve">al Table 1 </w:t>
      </w:r>
      <w:r w:rsidR="00994874" w:rsidRPr="007D68BE">
        <w:rPr>
          <w:rFonts w:ascii="Times New Roman" w:hAnsi="Times New Roman" w:cs="Times New Roman"/>
          <w:sz w:val="24"/>
          <w:szCs w:val="24"/>
        </w:rPr>
        <w:t>Four parameters of parametric IRT model</w:t>
      </w:r>
    </w:p>
    <w:tbl>
      <w:tblPr>
        <w:tblStyle w:val="TableGrid"/>
        <w:tblW w:w="4998" w:type="pct"/>
        <w:tblInd w:w="0"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25"/>
        <w:gridCol w:w="2111"/>
        <w:gridCol w:w="6048"/>
      </w:tblGrid>
      <w:tr w:rsidR="00994874" w:rsidRPr="007D68BE" w14:paraId="6CEF05B7" w14:textId="77777777" w:rsidTr="00015B67">
        <w:trPr>
          <w:trHeight w:val="20"/>
          <w:tblHeader/>
        </w:trPr>
        <w:tc>
          <w:tcPr>
            <w:tcW w:w="606" w:type="pct"/>
            <w:tcBorders>
              <w:top w:val="single" w:sz="4" w:space="0" w:color="auto"/>
              <w:bottom w:val="single" w:sz="4" w:space="0" w:color="auto"/>
            </w:tcBorders>
            <w:hideMark/>
          </w:tcPr>
          <w:p w14:paraId="43308E8F" w14:textId="77777777" w:rsidR="00994874" w:rsidRPr="002E1CC8" w:rsidRDefault="00994874" w:rsidP="00015B67">
            <w:pPr>
              <w:snapToGrid w:val="0"/>
              <w:jc w:val="both"/>
              <w:rPr>
                <w:rFonts w:ascii="Times New Roman" w:eastAsia="SimSun" w:hAnsi="Times New Roman" w:cs="Times New Roman"/>
                <w:sz w:val="24"/>
              </w:rPr>
            </w:pPr>
            <w:r w:rsidRPr="002E1CC8">
              <w:rPr>
                <w:rFonts w:ascii="Times New Roman" w:eastAsia="SimSun" w:hAnsi="Times New Roman" w:cs="Times New Roman"/>
                <w:sz w:val="24"/>
              </w:rPr>
              <w:t>Parameter</w:t>
            </w:r>
          </w:p>
        </w:tc>
        <w:tc>
          <w:tcPr>
            <w:tcW w:w="1137" w:type="pct"/>
            <w:tcBorders>
              <w:top w:val="single" w:sz="4" w:space="0" w:color="auto"/>
              <w:bottom w:val="single" w:sz="4" w:space="0" w:color="auto"/>
            </w:tcBorders>
            <w:hideMark/>
          </w:tcPr>
          <w:p w14:paraId="38D9D09A" w14:textId="77777777" w:rsidR="00994874" w:rsidRPr="002E1CC8" w:rsidRDefault="00994874" w:rsidP="00015B67">
            <w:pPr>
              <w:snapToGrid w:val="0"/>
              <w:rPr>
                <w:rFonts w:ascii="Times New Roman" w:eastAsia="SimSun" w:hAnsi="Times New Roman" w:cs="Times New Roman"/>
                <w:sz w:val="24"/>
              </w:rPr>
            </w:pPr>
            <w:r w:rsidRPr="002E1CC8">
              <w:rPr>
                <w:rFonts w:ascii="Times New Roman" w:eastAsia="SimSun" w:hAnsi="Times New Roman" w:cs="Times New Roman"/>
                <w:sz w:val="24"/>
              </w:rPr>
              <w:t>Terminology</w:t>
            </w:r>
          </w:p>
        </w:tc>
        <w:tc>
          <w:tcPr>
            <w:tcW w:w="3257" w:type="pct"/>
            <w:tcBorders>
              <w:top w:val="single" w:sz="4" w:space="0" w:color="auto"/>
              <w:bottom w:val="single" w:sz="4" w:space="0" w:color="auto"/>
            </w:tcBorders>
            <w:hideMark/>
          </w:tcPr>
          <w:p w14:paraId="172476D2" w14:textId="77777777" w:rsidR="00994874" w:rsidRPr="007D68BE" w:rsidRDefault="00994874" w:rsidP="00015B67">
            <w:pPr>
              <w:snapToGrid w:val="0"/>
              <w:jc w:val="both"/>
              <w:rPr>
                <w:rFonts w:ascii="Times New Roman" w:eastAsia="SimSun" w:hAnsi="Times New Roman" w:cs="Times New Roman"/>
                <w:sz w:val="24"/>
              </w:rPr>
            </w:pPr>
            <w:r w:rsidRPr="007D68BE">
              <w:rPr>
                <w:rFonts w:ascii="Times New Roman" w:eastAsia="SimSun" w:hAnsi="Times New Roman" w:cs="Times New Roman"/>
                <w:sz w:val="24"/>
              </w:rPr>
              <w:t>Explanation</w:t>
            </w:r>
          </w:p>
        </w:tc>
      </w:tr>
      <w:tr w:rsidR="00994874" w:rsidRPr="007D68BE" w14:paraId="50FBB5C9" w14:textId="77777777" w:rsidTr="00015B67">
        <w:trPr>
          <w:trHeight w:val="20"/>
        </w:trPr>
        <w:tc>
          <w:tcPr>
            <w:tcW w:w="606" w:type="pct"/>
            <w:tcBorders>
              <w:top w:val="single" w:sz="4" w:space="0" w:color="auto"/>
              <w:bottom w:val="single" w:sz="4" w:space="0" w:color="auto"/>
            </w:tcBorders>
            <w:hideMark/>
          </w:tcPr>
          <w:p w14:paraId="28BB3CDC" w14:textId="77777777" w:rsidR="00994874" w:rsidRPr="007D68BE" w:rsidRDefault="00994874" w:rsidP="00015B67">
            <w:pPr>
              <w:snapToGrid w:val="0"/>
              <w:spacing w:line="360" w:lineRule="auto"/>
              <w:jc w:val="both"/>
              <w:rPr>
                <w:rFonts w:ascii="Times New Roman" w:eastAsia="SimSun" w:hAnsi="Times New Roman" w:cs="Times New Roman"/>
                <w:sz w:val="24"/>
              </w:rPr>
            </w:pPr>
            <w:r w:rsidRPr="007D68BE">
              <w:rPr>
                <w:rFonts w:ascii="Times New Roman" w:eastAsia="SimSun" w:hAnsi="Times New Roman" w:cs="Times New Roman"/>
                <w:sz w:val="24"/>
              </w:rPr>
              <w:t>a</w:t>
            </w:r>
          </w:p>
        </w:tc>
        <w:tc>
          <w:tcPr>
            <w:tcW w:w="1137" w:type="pct"/>
            <w:tcBorders>
              <w:top w:val="single" w:sz="4" w:space="0" w:color="auto"/>
              <w:bottom w:val="single" w:sz="4" w:space="0" w:color="auto"/>
            </w:tcBorders>
            <w:hideMark/>
          </w:tcPr>
          <w:p w14:paraId="321A95AB" w14:textId="77777777" w:rsidR="00994874" w:rsidRPr="007D68BE" w:rsidRDefault="00994874" w:rsidP="00015B67">
            <w:pPr>
              <w:snapToGrid w:val="0"/>
              <w:rPr>
                <w:rFonts w:ascii="Times New Roman" w:eastAsia="SimSun" w:hAnsi="Times New Roman" w:cs="Times New Roman"/>
                <w:sz w:val="24"/>
              </w:rPr>
            </w:pPr>
            <w:r w:rsidRPr="007D68BE">
              <w:rPr>
                <w:rFonts w:ascii="Times New Roman" w:eastAsia="SimSun" w:hAnsi="Times New Roman" w:cs="Times New Roman"/>
                <w:sz w:val="24"/>
              </w:rPr>
              <w:t>discrimination/</w:t>
            </w:r>
            <w:r w:rsidRPr="007D68BE">
              <w:rPr>
                <w:rFonts w:ascii="Times New Roman" w:eastAsia="SimSun" w:hAnsi="Times New Roman" w:cs="Times New Roman"/>
                <w:sz w:val="24"/>
              </w:rPr>
              <w:br/>
              <w:t>slope</w:t>
            </w:r>
          </w:p>
        </w:tc>
        <w:tc>
          <w:tcPr>
            <w:tcW w:w="3257" w:type="pct"/>
            <w:tcBorders>
              <w:top w:val="single" w:sz="4" w:space="0" w:color="auto"/>
              <w:bottom w:val="single" w:sz="4" w:space="0" w:color="auto"/>
            </w:tcBorders>
            <w:hideMark/>
          </w:tcPr>
          <w:p w14:paraId="40ECA17B" w14:textId="77777777" w:rsidR="00994874" w:rsidRPr="007D68BE" w:rsidRDefault="00994874" w:rsidP="00015B67">
            <w:pPr>
              <w:snapToGrid w:val="0"/>
              <w:jc w:val="both"/>
              <w:rPr>
                <w:rFonts w:ascii="Times New Roman" w:eastAsia="SimSun" w:hAnsi="Times New Roman" w:cs="Times New Roman"/>
                <w:sz w:val="24"/>
              </w:rPr>
            </w:pPr>
            <w:r w:rsidRPr="007D68BE">
              <w:rPr>
                <w:rFonts w:ascii="Times New Roman" w:eastAsia="SimSun" w:hAnsi="Times New Roman" w:cs="Times New Roman"/>
                <w:sz w:val="24"/>
              </w:rPr>
              <w:t xml:space="preserve">As the slope line with two-side arrows along with the red curve </w:t>
            </w:r>
            <w:r w:rsidRPr="00072C9A">
              <w:rPr>
                <w:rFonts w:ascii="Times New Roman" w:eastAsia="SimSun" w:hAnsi="Times New Roman" w:cs="Times New Roman"/>
                <w:sz w:val="24"/>
              </w:rPr>
              <w:t>depict</w:t>
            </w:r>
            <w:r>
              <w:rPr>
                <w:rFonts w:ascii="Times New Roman" w:eastAsia="SimSun" w:hAnsi="Times New Roman" w:cs="Times New Roman"/>
                <w:sz w:val="24"/>
              </w:rPr>
              <w:t>ed</w:t>
            </w:r>
            <w:r w:rsidRPr="007D68BE">
              <w:rPr>
                <w:rFonts w:ascii="Times New Roman" w:eastAsia="SimSun" w:hAnsi="Times New Roman" w:cs="Times New Roman"/>
                <w:sz w:val="24"/>
              </w:rPr>
              <w:t xml:space="preserve"> in </w:t>
            </w:r>
            <w:r w:rsidRPr="007D68BE">
              <w:rPr>
                <w:rFonts w:ascii="Times New Roman" w:eastAsia="SimSun" w:hAnsi="Times New Roman" w:cs="Times New Roman"/>
                <w:color w:val="0070C0"/>
                <w:sz w:val="24"/>
              </w:rPr>
              <w:t>Figure 2</w:t>
            </w:r>
            <w:r w:rsidRPr="007D68BE">
              <w:rPr>
                <w:rFonts w:ascii="Times New Roman" w:eastAsia="SimSun" w:hAnsi="Times New Roman" w:cs="Times New Roman"/>
                <w:sz w:val="24"/>
              </w:rPr>
              <w:t xml:space="preserve">, the item discrimination is the slope value at </w:t>
            </w:r>
            <w:r>
              <w:rPr>
                <w:rFonts w:ascii="Times New Roman" w:eastAsia="SimSun" w:hAnsi="Times New Roman" w:cs="Times New Roman"/>
                <w:sz w:val="24"/>
              </w:rPr>
              <w:t xml:space="preserve">the </w:t>
            </w:r>
            <w:r w:rsidRPr="007D68BE">
              <w:rPr>
                <w:rFonts w:ascii="Times New Roman" w:eastAsia="SimSun" w:hAnsi="Times New Roman" w:cs="Times New Roman"/>
                <w:sz w:val="24"/>
              </w:rPr>
              <w:t>inflection point of the item characteristic curve (ICC). The test scores will be most affected by the variation of person abilit</w:t>
            </w:r>
            <w:r>
              <w:rPr>
                <w:rFonts w:ascii="Times New Roman" w:eastAsia="SimSun" w:hAnsi="Times New Roman" w:cs="Times New Roman"/>
                <w:sz w:val="24"/>
              </w:rPr>
              <w:t>ies</w:t>
            </w:r>
            <w:r w:rsidRPr="007D68BE">
              <w:rPr>
                <w:rFonts w:ascii="Times New Roman" w:eastAsia="SimSun" w:hAnsi="Times New Roman" w:cs="Times New Roman"/>
                <w:sz w:val="24"/>
              </w:rPr>
              <w:t xml:space="preserve"> at this inflection point. Accordingly, a slight change in the individual ability will greatly impact the item scores, so as to hierarchize examinees’ ability level</w:t>
            </w:r>
            <w:r>
              <w:rPr>
                <w:rFonts w:ascii="Times New Roman" w:eastAsia="SimSun" w:hAnsi="Times New Roman" w:cs="Times New Roman"/>
                <w:sz w:val="24"/>
              </w:rPr>
              <w:t>s</w:t>
            </w:r>
            <w:r w:rsidRPr="007D68BE">
              <w:rPr>
                <w:rFonts w:ascii="Times New Roman" w:eastAsia="SimSun" w:hAnsi="Times New Roman" w:cs="Times New Roman"/>
                <w:sz w:val="24"/>
              </w:rPr>
              <w:t>.</w:t>
            </w:r>
          </w:p>
        </w:tc>
      </w:tr>
      <w:tr w:rsidR="00994874" w:rsidRPr="007D68BE" w14:paraId="1E28CF9C" w14:textId="77777777" w:rsidTr="00015B67">
        <w:trPr>
          <w:trHeight w:val="20"/>
        </w:trPr>
        <w:tc>
          <w:tcPr>
            <w:tcW w:w="606" w:type="pct"/>
            <w:tcBorders>
              <w:top w:val="single" w:sz="4" w:space="0" w:color="auto"/>
              <w:bottom w:val="single" w:sz="4" w:space="0" w:color="auto"/>
            </w:tcBorders>
            <w:hideMark/>
          </w:tcPr>
          <w:p w14:paraId="6379D282" w14:textId="77777777" w:rsidR="00994874" w:rsidRPr="007D68BE" w:rsidRDefault="00994874" w:rsidP="00015B67">
            <w:pPr>
              <w:snapToGrid w:val="0"/>
              <w:spacing w:line="360" w:lineRule="auto"/>
              <w:jc w:val="both"/>
              <w:rPr>
                <w:rFonts w:ascii="Times New Roman" w:eastAsia="SimSun" w:hAnsi="Times New Roman" w:cs="Times New Roman"/>
                <w:sz w:val="24"/>
              </w:rPr>
            </w:pPr>
            <w:r w:rsidRPr="007D68BE">
              <w:rPr>
                <w:rFonts w:ascii="Times New Roman" w:eastAsia="SimSun" w:hAnsi="Times New Roman" w:cs="Times New Roman"/>
                <w:sz w:val="24"/>
              </w:rPr>
              <w:t>b</w:t>
            </w:r>
          </w:p>
        </w:tc>
        <w:tc>
          <w:tcPr>
            <w:tcW w:w="1137" w:type="pct"/>
            <w:tcBorders>
              <w:top w:val="single" w:sz="4" w:space="0" w:color="auto"/>
              <w:bottom w:val="single" w:sz="4" w:space="0" w:color="auto"/>
            </w:tcBorders>
            <w:hideMark/>
          </w:tcPr>
          <w:p w14:paraId="538DB40B" w14:textId="77777777" w:rsidR="00994874" w:rsidRPr="007D68BE" w:rsidRDefault="00994874" w:rsidP="00015B67">
            <w:pPr>
              <w:snapToGrid w:val="0"/>
              <w:rPr>
                <w:rFonts w:ascii="Times New Roman" w:eastAsia="SimSun" w:hAnsi="Times New Roman" w:cs="Times New Roman"/>
                <w:sz w:val="24"/>
              </w:rPr>
            </w:pPr>
            <w:r w:rsidRPr="007D68BE">
              <w:rPr>
                <w:rFonts w:ascii="Times New Roman" w:eastAsia="SimSun" w:hAnsi="Times New Roman" w:cs="Times New Roman"/>
                <w:sz w:val="24"/>
              </w:rPr>
              <w:t>difficulty/</w:t>
            </w:r>
            <w:r w:rsidRPr="007D68BE">
              <w:rPr>
                <w:rFonts w:ascii="Times New Roman" w:eastAsia="SimSun" w:hAnsi="Times New Roman" w:cs="Times New Roman"/>
                <w:sz w:val="24"/>
              </w:rPr>
              <w:br/>
              <w:t>location</w:t>
            </w:r>
            <w:r>
              <w:rPr>
                <w:rFonts w:ascii="Times New Roman" w:eastAsia="SimSun" w:hAnsi="Times New Roman" w:cs="Times New Roman"/>
                <w:sz w:val="24"/>
              </w:rPr>
              <w:t>/</w:t>
            </w:r>
            <w:r>
              <w:rPr>
                <w:rFonts w:ascii="Times New Roman" w:eastAsia="SimSun" w:hAnsi="Times New Roman" w:cs="Times New Roman"/>
                <w:sz w:val="24"/>
              </w:rPr>
              <w:br/>
              <w:t>threshold</w:t>
            </w:r>
          </w:p>
        </w:tc>
        <w:tc>
          <w:tcPr>
            <w:tcW w:w="3257" w:type="pct"/>
            <w:tcBorders>
              <w:top w:val="single" w:sz="4" w:space="0" w:color="auto"/>
              <w:bottom w:val="single" w:sz="4" w:space="0" w:color="auto"/>
            </w:tcBorders>
            <w:hideMark/>
          </w:tcPr>
          <w:p w14:paraId="7E40FCA2" w14:textId="77777777" w:rsidR="00994874" w:rsidRPr="007D68BE" w:rsidRDefault="00994874" w:rsidP="00015B67">
            <w:pPr>
              <w:snapToGrid w:val="0"/>
              <w:jc w:val="both"/>
              <w:rPr>
                <w:rFonts w:ascii="Times New Roman" w:eastAsia="SimSun" w:hAnsi="Times New Roman" w:cs="Times New Roman"/>
                <w:sz w:val="24"/>
              </w:rPr>
            </w:pPr>
            <w:r w:rsidRPr="007D68BE">
              <w:rPr>
                <w:rFonts w:ascii="Times New Roman" w:eastAsia="SimSun" w:hAnsi="Times New Roman" w:cs="Times New Roman"/>
                <w:sz w:val="24"/>
              </w:rPr>
              <w:t xml:space="preserve">The vertical arrow across the inflection point in </w:t>
            </w:r>
            <w:r w:rsidRPr="007D68BE">
              <w:rPr>
                <w:rFonts w:ascii="Times New Roman" w:eastAsia="SimSun" w:hAnsi="Times New Roman" w:cs="Times New Roman"/>
                <w:color w:val="0070C0"/>
                <w:sz w:val="24"/>
              </w:rPr>
              <w:t>Figure 2</w:t>
            </w:r>
            <w:r w:rsidRPr="007D68BE">
              <w:rPr>
                <w:rFonts w:ascii="Times New Roman" w:eastAsia="SimSun" w:hAnsi="Times New Roman" w:cs="Times New Roman"/>
                <w:sz w:val="24"/>
              </w:rPr>
              <w:t xml:space="preserve"> pointing vertically to</w:t>
            </w:r>
            <w:r>
              <w:rPr>
                <w:rFonts w:ascii="Times New Roman" w:eastAsia="SimSun" w:hAnsi="Times New Roman" w:cs="Times New Roman"/>
                <w:sz w:val="24"/>
              </w:rPr>
              <w:t xml:space="preserve"> the</w:t>
            </w:r>
            <w:r w:rsidRPr="007D68BE">
              <w:rPr>
                <w:rFonts w:ascii="Times New Roman" w:eastAsia="SimSun" w:hAnsi="Times New Roman" w:cs="Times New Roman"/>
                <w:sz w:val="24"/>
              </w:rPr>
              <w:t xml:space="preserve"> horizontal axis demonstrates the latent trait</w:t>
            </w:r>
            <w:r>
              <w:rPr>
                <w:rFonts w:ascii="Times New Roman" w:eastAsia="SimSun" w:hAnsi="Times New Roman" w:cs="Times New Roman"/>
                <w:sz w:val="24"/>
              </w:rPr>
              <w:t xml:space="preserve"> (</w:t>
            </w:r>
            <w:r w:rsidRPr="00D00ABB">
              <w:rPr>
                <w:rFonts w:ascii="Times New Roman" w:eastAsia="SimSun" w:hAnsi="Times New Roman" w:cs="Times New Roman"/>
                <w:sz w:val="24"/>
              </w:rPr>
              <w:t>θ</w:t>
            </w:r>
            <w:r>
              <w:rPr>
                <w:rFonts w:ascii="Times New Roman" w:eastAsia="SimSun" w:hAnsi="Times New Roman" w:cs="Times New Roman"/>
                <w:sz w:val="24"/>
              </w:rPr>
              <w:t>)</w:t>
            </w:r>
            <w:r w:rsidRPr="007D68BE">
              <w:rPr>
                <w:rFonts w:ascii="Times New Roman" w:eastAsia="SimSun" w:hAnsi="Times New Roman" w:cs="Times New Roman"/>
                <w:sz w:val="24"/>
              </w:rPr>
              <w:t xml:space="preserve"> of the ICC, that is, the “location” of</w:t>
            </w:r>
            <w:r>
              <w:rPr>
                <w:rFonts w:ascii="Times New Roman" w:eastAsia="SimSun" w:hAnsi="Times New Roman" w:cs="Times New Roman"/>
                <w:sz w:val="24"/>
              </w:rPr>
              <w:t xml:space="preserve"> the</w:t>
            </w:r>
            <w:r w:rsidRPr="007D68BE">
              <w:rPr>
                <w:rFonts w:ascii="Times New Roman" w:eastAsia="SimSun" w:hAnsi="Times New Roman" w:cs="Times New Roman"/>
                <w:sz w:val="24"/>
              </w:rPr>
              <w:t xml:space="preserve"> horizontal axis at the point of maximum slope. The IC</w:t>
            </w:r>
            <w:r>
              <w:rPr>
                <w:rFonts w:ascii="Times New Roman" w:eastAsia="SimSun" w:hAnsi="Times New Roman" w:cs="Times New Roman"/>
                <w:sz w:val="24"/>
              </w:rPr>
              <w:t>C</w:t>
            </w:r>
            <w:r w:rsidRPr="007D68BE">
              <w:rPr>
                <w:rFonts w:ascii="Times New Roman" w:eastAsia="SimSun" w:hAnsi="Times New Roman" w:cs="Times New Roman"/>
                <w:sz w:val="24"/>
              </w:rPr>
              <w:t xml:space="preserve"> maintain</w:t>
            </w:r>
            <w:r>
              <w:rPr>
                <w:rFonts w:ascii="Times New Roman" w:eastAsia="SimSun" w:hAnsi="Times New Roman" w:cs="Times New Roman"/>
                <w:sz w:val="24"/>
              </w:rPr>
              <w:t>s</w:t>
            </w:r>
            <w:r w:rsidRPr="007D68BE">
              <w:rPr>
                <w:rFonts w:ascii="Times New Roman" w:eastAsia="SimSun" w:hAnsi="Times New Roman" w:cs="Times New Roman"/>
                <w:sz w:val="24"/>
              </w:rPr>
              <w:t xml:space="preserve"> its shape and shift</w:t>
            </w:r>
            <w:r>
              <w:rPr>
                <w:rFonts w:ascii="Times New Roman" w:eastAsia="SimSun" w:hAnsi="Times New Roman" w:cs="Times New Roman"/>
                <w:sz w:val="24"/>
              </w:rPr>
              <w:t>s</w:t>
            </w:r>
            <w:r w:rsidRPr="007D68BE">
              <w:rPr>
                <w:rFonts w:ascii="Times New Roman" w:eastAsia="SimSun" w:hAnsi="Times New Roman" w:cs="Times New Roman"/>
                <w:sz w:val="24"/>
              </w:rPr>
              <w:t xml:space="preserve"> to the left or right with the changes </w:t>
            </w:r>
            <w:r>
              <w:rPr>
                <w:rFonts w:ascii="Times New Roman" w:eastAsia="SimSun" w:hAnsi="Times New Roman" w:cs="Times New Roman"/>
                <w:sz w:val="24"/>
              </w:rPr>
              <w:t xml:space="preserve">in </w:t>
            </w:r>
            <w:r w:rsidRPr="007D68BE">
              <w:rPr>
                <w:rFonts w:ascii="Times New Roman" w:eastAsia="SimSun" w:hAnsi="Times New Roman" w:cs="Times New Roman"/>
                <w:sz w:val="24"/>
              </w:rPr>
              <w:t>the b value. As the b value increase</w:t>
            </w:r>
            <w:r>
              <w:rPr>
                <w:rFonts w:ascii="Times New Roman" w:eastAsia="SimSun" w:hAnsi="Times New Roman" w:cs="Times New Roman"/>
                <w:sz w:val="24"/>
              </w:rPr>
              <w:t>s</w:t>
            </w:r>
            <w:r w:rsidRPr="007D68BE">
              <w:rPr>
                <w:rFonts w:ascii="Times New Roman" w:eastAsia="SimSun" w:hAnsi="Times New Roman" w:cs="Times New Roman"/>
                <w:sz w:val="24"/>
              </w:rPr>
              <w:t xml:space="preserve">, the ICC curve will shift to the right. It will lead to a decrease in the scoring rate of the test items, even though </w:t>
            </w:r>
            <w:r>
              <w:rPr>
                <w:rFonts w:ascii="Times New Roman" w:eastAsia="SimSun" w:hAnsi="Times New Roman" w:cs="Times New Roman"/>
                <w:sz w:val="24"/>
              </w:rPr>
              <w:t>person</w:t>
            </w:r>
            <w:r w:rsidRPr="007D68BE">
              <w:rPr>
                <w:rFonts w:ascii="Times New Roman" w:eastAsia="SimSun" w:hAnsi="Times New Roman" w:cs="Times New Roman"/>
                <w:sz w:val="24"/>
              </w:rPr>
              <w:t xml:space="preserve"> abilit</w:t>
            </w:r>
            <w:r>
              <w:rPr>
                <w:rFonts w:ascii="Times New Roman" w:eastAsia="SimSun" w:hAnsi="Times New Roman" w:cs="Times New Roman"/>
                <w:sz w:val="24"/>
              </w:rPr>
              <w:t>ies</w:t>
            </w:r>
            <w:r w:rsidRPr="007D68BE">
              <w:rPr>
                <w:rFonts w:ascii="Times New Roman" w:eastAsia="SimSun" w:hAnsi="Times New Roman" w:cs="Times New Roman"/>
                <w:sz w:val="24"/>
              </w:rPr>
              <w:t xml:space="preserve"> remain unchanged, indicating that the </w:t>
            </w:r>
            <w:r>
              <w:rPr>
                <w:rFonts w:ascii="Times New Roman" w:eastAsia="SimSun" w:hAnsi="Times New Roman" w:cs="Times New Roman"/>
                <w:sz w:val="24"/>
              </w:rPr>
              <w:t xml:space="preserve">item </w:t>
            </w:r>
            <w:r w:rsidRPr="007D68BE">
              <w:rPr>
                <w:rFonts w:ascii="Times New Roman" w:eastAsia="SimSun" w:hAnsi="Times New Roman" w:cs="Times New Roman"/>
                <w:sz w:val="24"/>
              </w:rPr>
              <w:t>difficult</w:t>
            </w:r>
            <w:r>
              <w:rPr>
                <w:rFonts w:ascii="Times New Roman" w:eastAsia="SimSun" w:hAnsi="Times New Roman" w:cs="Times New Roman"/>
                <w:sz w:val="24"/>
              </w:rPr>
              <w:t>ies</w:t>
            </w:r>
            <w:r w:rsidRPr="007D68BE">
              <w:rPr>
                <w:rFonts w:ascii="Times New Roman" w:eastAsia="SimSun" w:hAnsi="Times New Roman" w:cs="Times New Roman"/>
                <w:sz w:val="24"/>
              </w:rPr>
              <w:t xml:space="preserve"> increase. </w:t>
            </w:r>
            <w:r>
              <w:rPr>
                <w:rFonts w:ascii="Times New Roman" w:eastAsia="SimSun" w:hAnsi="Times New Roman" w:cs="Times New Roman"/>
                <w:sz w:val="24"/>
              </w:rPr>
              <w:t>Instead</w:t>
            </w:r>
            <w:r w:rsidRPr="007D68BE">
              <w:rPr>
                <w:rFonts w:ascii="Times New Roman" w:eastAsia="SimSun" w:hAnsi="Times New Roman" w:cs="Times New Roman"/>
                <w:sz w:val="24"/>
              </w:rPr>
              <w:t>, when the b value decreases, the ICC curve moves to the left</w:t>
            </w:r>
            <w:r>
              <w:rPr>
                <w:rFonts w:ascii="Times New Roman" w:eastAsia="SimSun" w:hAnsi="Times New Roman" w:cs="Times New Roman"/>
                <w:sz w:val="24"/>
              </w:rPr>
              <w:t>,</w:t>
            </w:r>
            <w:r w:rsidRPr="007D68BE">
              <w:rPr>
                <w:rFonts w:ascii="Times New Roman" w:eastAsia="SimSun" w:hAnsi="Times New Roman" w:cs="Times New Roman"/>
                <w:sz w:val="24"/>
              </w:rPr>
              <w:t xml:space="preserve"> and item difficult</w:t>
            </w:r>
            <w:r>
              <w:rPr>
                <w:rFonts w:ascii="Times New Roman" w:eastAsia="SimSun" w:hAnsi="Times New Roman" w:cs="Times New Roman"/>
                <w:sz w:val="24"/>
              </w:rPr>
              <w:t>ies</w:t>
            </w:r>
            <w:r w:rsidRPr="007D68BE">
              <w:rPr>
                <w:rFonts w:ascii="Times New Roman" w:eastAsia="SimSun" w:hAnsi="Times New Roman" w:cs="Times New Roman"/>
                <w:sz w:val="24"/>
              </w:rPr>
              <w:t xml:space="preserve"> decrease.</w:t>
            </w:r>
            <w:r>
              <w:rPr>
                <w:rFonts w:ascii="Times New Roman" w:eastAsia="SimSun" w:hAnsi="Times New Roman" w:cs="Times New Roman"/>
                <w:sz w:val="24"/>
              </w:rPr>
              <w:t xml:space="preserve"> For the 2-parameter logistic (2PL) model, the b value can be converted to easiness (the intercept parameter denoted by “d”) through the following equation:  </w:t>
            </w:r>
            <w:r w:rsidRPr="000D0A3B">
              <w:rPr>
                <w:rFonts w:ascii="Times New Roman" w:eastAsia="SimSun" w:hAnsi="Times New Roman" w:cs="Times New Roman"/>
                <w:i/>
                <w:iCs/>
                <w:sz w:val="24"/>
              </w:rPr>
              <w:t>d=-ab</w:t>
            </w:r>
            <w:r>
              <w:rPr>
                <w:rFonts w:ascii="Times New Roman" w:eastAsia="SimSun" w:hAnsi="Times New Roman" w:cs="Times New Roman"/>
                <w:sz w:val="24"/>
              </w:rPr>
              <w:t>.</w:t>
            </w:r>
          </w:p>
        </w:tc>
      </w:tr>
      <w:tr w:rsidR="00994874" w:rsidRPr="007D68BE" w14:paraId="49EA72A3" w14:textId="77777777" w:rsidTr="00015B67">
        <w:trPr>
          <w:trHeight w:val="20"/>
        </w:trPr>
        <w:tc>
          <w:tcPr>
            <w:tcW w:w="606" w:type="pct"/>
            <w:tcBorders>
              <w:top w:val="single" w:sz="4" w:space="0" w:color="auto"/>
              <w:bottom w:val="single" w:sz="4" w:space="0" w:color="auto"/>
            </w:tcBorders>
            <w:hideMark/>
          </w:tcPr>
          <w:p w14:paraId="1EB157C9" w14:textId="77777777" w:rsidR="00994874" w:rsidRPr="007D68BE" w:rsidRDefault="00994874" w:rsidP="00015B67">
            <w:pPr>
              <w:snapToGrid w:val="0"/>
              <w:spacing w:line="360" w:lineRule="auto"/>
              <w:jc w:val="both"/>
              <w:rPr>
                <w:rFonts w:ascii="Times New Roman" w:eastAsia="SimSun" w:hAnsi="Times New Roman" w:cs="Times New Roman"/>
                <w:sz w:val="24"/>
              </w:rPr>
            </w:pPr>
            <w:r w:rsidRPr="007D68BE">
              <w:rPr>
                <w:rFonts w:ascii="Times New Roman" w:eastAsia="SimSun" w:hAnsi="Times New Roman" w:cs="Times New Roman"/>
                <w:sz w:val="24"/>
              </w:rPr>
              <w:t>g</w:t>
            </w:r>
          </w:p>
        </w:tc>
        <w:tc>
          <w:tcPr>
            <w:tcW w:w="1137" w:type="pct"/>
            <w:tcBorders>
              <w:top w:val="single" w:sz="4" w:space="0" w:color="auto"/>
              <w:bottom w:val="single" w:sz="4" w:space="0" w:color="auto"/>
            </w:tcBorders>
            <w:hideMark/>
          </w:tcPr>
          <w:p w14:paraId="148171C5" w14:textId="77777777" w:rsidR="00994874" w:rsidRPr="007D68BE" w:rsidRDefault="00994874" w:rsidP="00015B67">
            <w:pPr>
              <w:snapToGrid w:val="0"/>
              <w:rPr>
                <w:rFonts w:ascii="Times New Roman" w:eastAsia="SimSun" w:hAnsi="Times New Roman" w:cs="Times New Roman"/>
                <w:sz w:val="24"/>
              </w:rPr>
            </w:pPr>
            <w:r w:rsidRPr="007D68BE">
              <w:rPr>
                <w:rFonts w:ascii="Times New Roman" w:eastAsia="SimSun" w:hAnsi="Times New Roman" w:cs="Times New Roman"/>
                <w:sz w:val="24"/>
              </w:rPr>
              <w:t>pseudo-guessing/</w:t>
            </w:r>
          </w:p>
          <w:p w14:paraId="44F64B70" w14:textId="77777777" w:rsidR="00994874" w:rsidRPr="007D68BE" w:rsidRDefault="00994874" w:rsidP="00015B67">
            <w:pPr>
              <w:snapToGrid w:val="0"/>
              <w:rPr>
                <w:rFonts w:ascii="Times New Roman" w:eastAsia="SimSun" w:hAnsi="Times New Roman" w:cs="Times New Roman"/>
                <w:sz w:val="24"/>
              </w:rPr>
            </w:pPr>
            <w:r w:rsidRPr="007D68BE">
              <w:rPr>
                <w:rFonts w:ascii="Times New Roman" w:eastAsia="SimSun" w:hAnsi="Times New Roman" w:cs="Times New Roman"/>
                <w:sz w:val="24"/>
              </w:rPr>
              <w:t>lower asymptote</w:t>
            </w:r>
          </w:p>
        </w:tc>
        <w:tc>
          <w:tcPr>
            <w:tcW w:w="3257" w:type="pct"/>
            <w:tcBorders>
              <w:top w:val="single" w:sz="4" w:space="0" w:color="auto"/>
              <w:bottom w:val="single" w:sz="4" w:space="0" w:color="auto"/>
            </w:tcBorders>
            <w:hideMark/>
          </w:tcPr>
          <w:p w14:paraId="37B8DC5B" w14:textId="77777777" w:rsidR="00994874" w:rsidRPr="007D68BE" w:rsidRDefault="00994874" w:rsidP="00015B67">
            <w:pPr>
              <w:snapToGrid w:val="0"/>
              <w:jc w:val="both"/>
              <w:rPr>
                <w:rFonts w:ascii="Times New Roman" w:eastAsia="SimSun" w:hAnsi="Times New Roman" w:cs="Times New Roman"/>
                <w:sz w:val="24"/>
              </w:rPr>
            </w:pPr>
            <w:r w:rsidRPr="007D68BE">
              <w:rPr>
                <w:rFonts w:ascii="Times New Roman" w:eastAsia="SimSun" w:hAnsi="Times New Roman" w:cs="Times New Roman"/>
                <w:sz w:val="24"/>
              </w:rPr>
              <w:t xml:space="preserve">The lower arrow pointing horizontally to the left vertical axis shown in </w:t>
            </w:r>
            <w:r w:rsidRPr="007D68BE">
              <w:rPr>
                <w:rFonts w:ascii="Times New Roman" w:eastAsia="SimSun" w:hAnsi="Times New Roman" w:cs="Times New Roman"/>
                <w:color w:val="0070C0"/>
                <w:sz w:val="24"/>
              </w:rPr>
              <w:t>Figure 2</w:t>
            </w:r>
            <w:r w:rsidRPr="007D68BE">
              <w:rPr>
                <w:rFonts w:ascii="Times New Roman" w:eastAsia="SimSun" w:hAnsi="Times New Roman" w:cs="Times New Roman"/>
                <w:sz w:val="24"/>
              </w:rPr>
              <w:t xml:space="preserve"> is the lower limit of the ICC, that is, the lowest accuracy rate that items can achieve. It emphasizes the possibility that guesses will result in getting a point (false score). The ideal test performance would be zero guesses, meaning that examinees with low</w:t>
            </w:r>
            <w:r>
              <w:rPr>
                <w:rFonts w:ascii="Times New Roman" w:eastAsia="SimSun" w:hAnsi="Times New Roman" w:cs="Times New Roman"/>
                <w:sz w:val="24"/>
              </w:rPr>
              <w:t xml:space="preserve"> person</w:t>
            </w:r>
            <w:r w:rsidRPr="007D68BE">
              <w:rPr>
                <w:rFonts w:ascii="Times New Roman" w:eastAsia="SimSun" w:hAnsi="Times New Roman" w:cs="Times New Roman"/>
                <w:sz w:val="24"/>
              </w:rPr>
              <w:t xml:space="preserve"> abilit</w:t>
            </w:r>
            <w:r>
              <w:rPr>
                <w:rFonts w:ascii="Times New Roman" w:eastAsia="SimSun" w:hAnsi="Times New Roman" w:cs="Times New Roman"/>
                <w:sz w:val="24"/>
              </w:rPr>
              <w:t>ies</w:t>
            </w:r>
            <w:r w:rsidRPr="007D68BE">
              <w:rPr>
                <w:rFonts w:ascii="Times New Roman" w:eastAsia="SimSun" w:hAnsi="Times New Roman" w:cs="Times New Roman"/>
                <w:sz w:val="24"/>
              </w:rPr>
              <w:t xml:space="preserve"> would not be able to get a score by guessing.</w:t>
            </w:r>
            <w:r>
              <w:rPr>
                <w:rFonts w:ascii="Times New Roman" w:eastAsia="SimSun" w:hAnsi="Times New Roman" w:cs="Times New Roman"/>
                <w:sz w:val="24"/>
              </w:rPr>
              <w:t xml:space="preserve"> </w:t>
            </w:r>
            <w:r w:rsidRPr="007D68BE">
              <w:rPr>
                <w:rFonts w:ascii="Times New Roman" w:eastAsia="SimSun" w:hAnsi="Times New Roman" w:cs="Times New Roman"/>
                <w:sz w:val="24"/>
              </w:rPr>
              <w:t xml:space="preserve">High guess possibility may underestimate </w:t>
            </w:r>
            <w:r>
              <w:rPr>
                <w:rFonts w:ascii="Times New Roman" w:eastAsia="SimSun" w:hAnsi="Times New Roman" w:cs="Times New Roman"/>
                <w:sz w:val="24"/>
              </w:rPr>
              <w:t xml:space="preserve">item </w:t>
            </w:r>
            <w:r w:rsidRPr="007D68BE">
              <w:rPr>
                <w:rFonts w:ascii="Times New Roman" w:eastAsia="SimSun" w:hAnsi="Times New Roman" w:cs="Times New Roman"/>
                <w:sz w:val="24"/>
              </w:rPr>
              <w:t>difficul</w:t>
            </w:r>
            <w:r>
              <w:rPr>
                <w:rFonts w:ascii="Times New Roman" w:eastAsia="SimSun" w:hAnsi="Times New Roman" w:cs="Times New Roman"/>
                <w:sz w:val="24"/>
              </w:rPr>
              <w:t>ties</w:t>
            </w:r>
            <w:r w:rsidRPr="007D68BE">
              <w:rPr>
                <w:rFonts w:ascii="Times New Roman" w:eastAsia="SimSun" w:hAnsi="Times New Roman" w:cs="Times New Roman"/>
                <w:sz w:val="24"/>
              </w:rPr>
              <w:t>.</w:t>
            </w:r>
            <w:r>
              <w:rPr>
                <w:rFonts w:ascii="Times New Roman" w:eastAsia="SimSun" w:hAnsi="Times New Roman" w:cs="Times New Roman"/>
                <w:sz w:val="24"/>
              </w:rPr>
              <w:t xml:space="preserve"> </w:t>
            </w:r>
          </w:p>
        </w:tc>
      </w:tr>
      <w:tr w:rsidR="00994874" w:rsidRPr="007D68BE" w14:paraId="66A9F3C5" w14:textId="77777777" w:rsidTr="00015B67">
        <w:trPr>
          <w:trHeight w:val="1179"/>
        </w:trPr>
        <w:tc>
          <w:tcPr>
            <w:tcW w:w="606" w:type="pct"/>
            <w:tcBorders>
              <w:top w:val="single" w:sz="4" w:space="0" w:color="auto"/>
            </w:tcBorders>
            <w:hideMark/>
          </w:tcPr>
          <w:p w14:paraId="423CC06A" w14:textId="77777777" w:rsidR="00994874" w:rsidRPr="007D68BE" w:rsidRDefault="00994874" w:rsidP="00015B67">
            <w:pPr>
              <w:snapToGrid w:val="0"/>
              <w:spacing w:line="360" w:lineRule="auto"/>
              <w:jc w:val="both"/>
              <w:rPr>
                <w:rFonts w:ascii="Times New Roman" w:eastAsia="SimSun" w:hAnsi="Times New Roman" w:cs="Times New Roman"/>
                <w:sz w:val="24"/>
              </w:rPr>
            </w:pPr>
            <w:r w:rsidRPr="007D68BE">
              <w:rPr>
                <w:rFonts w:ascii="Times New Roman" w:eastAsia="SimSun" w:hAnsi="Times New Roman" w:cs="Times New Roman"/>
                <w:sz w:val="24"/>
              </w:rPr>
              <w:t>u</w:t>
            </w:r>
          </w:p>
        </w:tc>
        <w:tc>
          <w:tcPr>
            <w:tcW w:w="1137" w:type="pct"/>
            <w:tcBorders>
              <w:top w:val="single" w:sz="4" w:space="0" w:color="auto"/>
            </w:tcBorders>
            <w:hideMark/>
          </w:tcPr>
          <w:p w14:paraId="2FAE7D3F" w14:textId="77777777" w:rsidR="00994874" w:rsidRPr="007D68BE" w:rsidRDefault="00994874" w:rsidP="00015B67">
            <w:pPr>
              <w:snapToGrid w:val="0"/>
              <w:rPr>
                <w:rFonts w:ascii="Times New Roman" w:eastAsia="SimSun" w:hAnsi="Times New Roman" w:cs="Times New Roman"/>
                <w:sz w:val="24"/>
              </w:rPr>
            </w:pPr>
            <w:r w:rsidRPr="007D68BE">
              <w:rPr>
                <w:rFonts w:ascii="Times New Roman" w:eastAsia="SimSun" w:hAnsi="Times New Roman" w:cs="Times New Roman"/>
                <w:sz w:val="24"/>
              </w:rPr>
              <w:t>upper asymptote/</w:t>
            </w:r>
            <w:r w:rsidRPr="007D68BE">
              <w:rPr>
                <w:rFonts w:ascii="Times New Roman" w:eastAsia="SimSun" w:hAnsi="Times New Roman" w:cs="Times New Roman"/>
                <w:sz w:val="24"/>
              </w:rPr>
              <w:br/>
              <w:t>slipping/</w:t>
            </w:r>
          </w:p>
          <w:p w14:paraId="5407B273" w14:textId="77777777" w:rsidR="00994874" w:rsidRPr="007D68BE" w:rsidRDefault="00994874" w:rsidP="00015B67">
            <w:pPr>
              <w:snapToGrid w:val="0"/>
              <w:rPr>
                <w:rFonts w:ascii="Times New Roman" w:eastAsia="SimSun" w:hAnsi="Times New Roman" w:cs="Times New Roman"/>
                <w:sz w:val="24"/>
              </w:rPr>
            </w:pPr>
            <w:r w:rsidRPr="007D68BE">
              <w:rPr>
                <w:rFonts w:ascii="Times New Roman" w:eastAsia="SimSun" w:hAnsi="Times New Roman" w:cs="Times New Roman"/>
                <w:sz w:val="24"/>
              </w:rPr>
              <w:t>pseudo-carelessness</w:t>
            </w:r>
          </w:p>
        </w:tc>
        <w:tc>
          <w:tcPr>
            <w:tcW w:w="3257" w:type="pct"/>
            <w:tcBorders>
              <w:top w:val="single" w:sz="4" w:space="0" w:color="auto"/>
            </w:tcBorders>
            <w:hideMark/>
          </w:tcPr>
          <w:p w14:paraId="4655DA71" w14:textId="77777777" w:rsidR="00994874" w:rsidRPr="007D68BE" w:rsidRDefault="00994874" w:rsidP="00015B67">
            <w:pPr>
              <w:snapToGrid w:val="0"/>
              <w:jc w:val="both"/>
              <w:rPr>
                <w:rFonts w:ascii="Times New Roman" w:eastAsia="SimSun" w:hAnsi="Times New Roman" w:cs="Times New Roman"/>
                <w:sz w:val="24"/>
              </w:rPr>
            </w:pPr>
            <w:r w:rsidRPr="007D68BE">
              <w:rPr>
                <w:rFonts w:ascii="Times New Roman" w:eastAsia="SimSun" w:hAnsi="Times New Roman" w:cs="Times New Roman"/>
                <w:sz w:val="24"/>
              </w:rPr>
              <w:t xml:space="preserve">The upper arrow pointing horizontally to the left vertical axis </w:t>
            </w:r>
            <w:r w:rsidRPr="00933AB5">
              <w:rPr>
                <w:rFonts w:ascii="Times New Roman" w:eastAsia="SimSun" w:hAnsi="Times New Roman" w:cs="Times New Roman"/>
                <w:sz w:val="24"/>
              </w:rPr>
              <w:t>display</w:t>
            </w:r>
            <w:r>
              <w:rPr>
                <w:rFonts w:ascii="Times New Roman" w:eastAsia="SimSun" w:hAnsi="Times New Roman" w:cs="Times New Roman"/>
                <w:sz w:val="24"/>
              </w:rPr>
              <w:t>ed</w:t>
            </w:r>
            <w:r w:rsidRPr="007D68BE">
              <w:rPr>
                <w:rFonts w:ascii="Times New Roman" w:eastAsia="SimSun" w:hAnsi="Times New Roman" w:cs="Times New Roman"/>
                <w:sz w:val="24"/>
              </w:rPr>
              <w:t xml:space="preserve"> in </w:t>
            </w:r>
            <w:r w:rsidRPr="007D68BE">
              <w:rPr>
                <w:rFonts w:ascii="Times New Roman" w:eastAsia="SimSun" w:hAnsi="Times New Roman" w:cs="Times New Roman"/>
                <w:color w:val="0070C0"/>
                <w:sz w:val="24"/>
              </w:rPr>
              <w:t>Figure 2</w:t>
            </w:r>
            <w:r w:rsidRPr="007D68BE">
              <w:rPr>
                <w:rFonts w:ascii="Times New Roman" w:eastAsia="SimSun" w:hAnsi="Times New Roman" w:cs="Times New Roman"/>
                <w:sz w:val="24"/>
              </w:rPr>
              <w:t xml:space="preserve"> is the upper limit of the ICC, that is, the highest accuracy rate that items can achieve. It focuses on the possibility of losing points for an item due to carelessness. The ideal test performance would be zero carelessness or </w:t>
            </w:r>
            <w:r>
              <w:rPr>
                <w:rFonts w:ascii="Times New Roman" w:eastAsia="SimSun" w:hAnsi="Times New Roman" w:cs="Times New Roman" w:hint="eastAsia"/>
                <w:sz w:val="24"/>
              </w:rPr>
              <w:t>c</w:t>
            </w:r>
            <w:r>
              <w:rPr>
                <w:rFonts w:ascii="Times New Roman" w:eastAsia="SimSun" w:hAnsi="Times New Roman" w:cs="Times New Roman"/>
                <w:sz w:val="24"/>
              </w:rPr>
              <w:t>omplete</w:t>
            </w:r>
            <w:r w:rsidRPr="007D68BE">
              <w:rPr>
                <w:rFonts w:ascii="Times New Roman" w:eastAsia="SimSun" w:hAnsi="Times New Roman" w:cs="Times New Roman"/>
                <w:sz w:val="24"/>
              </w:rPr>
              <w:t xml:space="preserve"> carefulness, meaning that examinees with high </w:t>
            </w:r>
            <w:r>
              <w:rPr>
                <w:rFonts w:ascii="Times New Roman" w:eastAsia="SimSun" w:hAnsi="Times New Roman" w:cs="Times New Roman"/>
                <w:sz w:val="24"/>
              </w:rPr>
              <w:t xml:space="preserve">person </w:t>
            </w:r>
            <w:r w:rsidRPr="007D68BE">
              <w:rPr>
                <w:rFonts w:ascii="Times New Roman" w:eastAsia="SimSun" w:hAnsi="Times New Roman" w:cs="Times New Roman"/>
                <w:sz w:val="24"/>
              </w:rPr>
              <w:t>abilit</w:t>
            </w:r>
            <w:r>
              <w:rPr>
                <w:rFonts w:ascii="Times New Roman" w:eastAsia="SimSun" w:hAnsi="Times New Roman" w:cs="Times New Roman"/>
                <w:sz w:val="24"/>
              </w:rPr>
              <w:t>ies</w:t>
            </w:r>
            <w:r w:rsidRPr="007D68BE">
              <w:rPr>
                <w:rFonts w:ascii="Times New Roman" w:eastAsia="SimSun" w:hAnsi="Times New Roman" w:cs="Times New Roman"/>
                <w:sz w:val="24"/>
              </w:rPr>
              <w:t xml:space="preserve"> would likely score 100%. </w:t>
            </w:r>
            <w:r>
              <w:rPr>
                <w:rFonts w:ascii="Times New Roman" w:eastAsia="SimSun" w:hAnsi="Times New Roman" w:cs="Times New Roman"/>
                <w:sz w:val="24"/>
              </w:rPr>
              <w:t>The l</w:t>
            </w:r>
            <w:r w:rsidRPr="007D68BE">
              <w:rPr>
                <w:rFonts w:ascii="Times New Roman" w:eastAsia="SimSun" w:hAnsi="Times New Roman" w:cs="Times New Roman"/>
                <w:sz w:val="24"/>
              </w:rPr>
              <w:t xml:space="preserve">ow value of </w:t>
            </w:r>
            <w:r>
              <w:rPr>
                <w:rFonts w:ascii="Times New Roman" w:eastAsia="SimSun" w:hAnsi="Times New Roman" w:cs="Times New Roman"/>
                <w:sz w:val="24"/>
              </w:rPr>
              <w:t xml:space="preserve">the </w:t>
            </w:r>
            <w:r w:rsidRPr="007D68BE">
              <w:rPr>
                <w:rFonts w:ascii="Times New Roman" w:eastAsia="SimSun" w:hAnsi="Times New Roman" w:cs="Times New Roman"/>
                <w:sz w:val="24"/>
              </w:rPr>
              <w:t xml:space="preserve">upper asymptote may overestimate </w:t>
            </w:r>
            <w:r>
              <w:rPr>
                <w:rFonts w:ascii="Times New Roman" w:eastAsia="SimSun" w:hAnsi="Times New Roman" w:cs="Times New Roman"/>
                <w:sz w:val="24"/>
              </w:rPr>
              <w:t xml:space="preserve">item </w:t>
            </w:r>
            <w:r w:rsidRPr="007D68BE">
              <w:rPr>
                <w:rFonts w:ascii="Times New Roman" w:eastAsia="SimSun" w:hAnsi="Times New Roman" w:cs="Times New Roman"/>
                <w:sz w:val="24"/>
              </w:rPr>
              <w:t>difficult</w:t>
            </w:r>
            <w:r>
              <w:rPr>
                <w:rFonts w:ascii="Times New Roman" w:eastAsia="SimSun" w:hAnsi="Times New Roman" w:cs="Times New Roman"/>
                <w:sz w:val="24"/>
              </w:rPr>
              <w:t>ies</w:t>
            </w:r>
            <w:r w:rsidRPr="007D68BE">
              <w:rPr>
                <w:rFonts w:ascii="Times New Roman" w:eastAsia="SimSun" w:hAnsi="Times New Roman" w:cs="Times New Roman"/>
                <w:sz w:val="24"/>
              </w:rPr>
              <w:t>. Quick assessment</w:t>
            </w:r>
            <w:r>
              <w:rPr>
                <w:rFonts w:ascii="Times New Roman" w:eastAsia="SimSun" w:hAnsi="Times New Roman" w:cs="Times New Roman"/>
                <w:sz w:val="24"/>
              </w:rPr>
              <w:t>s</w:t>
            </w:r>
            <w:r w:rsidRPr="007D68BE">
              <w:rPr>
                <w:rFonts w:ascii="Times New Roman" w:eastAsia="SimSun" w:hAnsi="Times New Roman" w:cs="Times New Roman"/>
                <w:sz w:val="24"/>
              </w:rPr>
              <w:t xml:space="preserve"> might </w:t>
            </w:r>
            <w:r>
              <w:rPr>
                <w:rFonts w:ascii="Times New Roman" w:eastAsia="SimSun" w:hAnsi="Times New Roman" w:cs="Times New Roman"/>
                <w:sz w:val="24"/>
              </w:rPr>
              <w:t>lead to the</w:t>
            </w:r>
            <w:r w:rsidRPr="007D68BE">
              <w:rPr>
                <w:rFonts w:ascii="Times New Roman" w:eastAsia="SimSun" w:hAnsi="Times New Roman" w:cs="Times New Roman"/>
                <w:sz w:val="24"/>
              </w:rPr>
              <w:t xml:space="preserve"> </w:t>
            </w:r>
            <w:r>
              <w:rPr>
                <w:rFonts w:ascii="Times New Roman" w:eastAsia="SimSun" w:hAnsi="Times New Roman" w:cs="Times New Roman"/>
                <w:sz w:val="24"/>
              </w:rPr>
              <w:t xml:space="preserve">lower </w:t>
            </w:r>
            <w:r w:rsidRPr="007D68BE">
              <w:rPr>
                <w:rFonts w:ascii="Times New Roman" w:eastAsia="SimSun" w:hAnsi="Times New Roman" w:cs="Times New Roman"/>
                <w:sz w:val="24"/>
              </w:rPr>
              <w:t xml:space="preserve">item upper asymptote. </w:t>
            </w:r>
          </w:p>
        </w:tc>
      </w:tr>
    </w:tbl>
    <w:p w14:paraId="20F9BACA" w14:textId="77777777" w:rsidR="00994874" w:rsidRDefault="00994874" w:rsidP="00994874">
      <w:pPr>
        <w:spacing w:line="360" w:lineRule="auto"/>
        <w:ind w:firstLineChars="200" w:firstLine="480"/>
        <w:jc w:val="both"/>
        <w:rPr>
          <w:rFonts w:ascii="Times New Roman" w:hAnsi="Times New Roman" w:cs="Times New Roman"/>
          <w:sz w:val="24"/>
        </w:rPr>
      </w:pPr>
    </w:p>
    <w:p w14:paraId="5B1B7C59" w14:textId="77777777" w:rsidR="00932C91" w:rsidRDefault="00932C91"/>
    <w:sectPr w:rsidR="00932C91" w:rsidSect="005B7A0F">
      <w:pgSz w:w="11907" w:h="16840" w:code="9"/>
      <w:pgMar w:top="1440" w:right="1281" w:bottom="1378" w:left="133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5D"/>
    <w:rsid w:val="000B0ECC"/>
    <w:rsid w:val="005B7A0F"/>
    <w:rsid w:val="007D2F5D"/>
    <w:rsid w:val="00932C91"/>
    <w:rsid w:val="00994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F9BD"/>
  <w15:chartTrackingRefBased/>
  <w15:docId w15:val="{FEC69F31-BE0F-45D0-B17E-35C8A9CF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8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4874"/>
    <w:rPr>
      <w:rFonts w:asciiTheme="majorHAnsi" w:eastAsia="SimHei"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feng</dc:creator>
  <cp:keywords/>
  <dc:description/>
  <cp:lastModifiedBy>feng chun</cp:lastModifiedBy>
  <cp:revision>3</cp:revision>
  <dcterms:created xsi:type="dcterms:W3CDTF">2022-08-22T02:32:00Z</dcterms:created>
  <dcterms:modified xsi:type="dcterms:W3CDTF">2023-03-30T00:11:00Z</dcterms:modified>
</cp:coreProperties>
</file>