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FD59" w14:textId="4CBAC60C" w:rsidR="005E54A2" w:rsidRPr="008C0118" w:rsidRDefault="008C0118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 xml:space="preserve">Appendices </w:t>
      </w:r>
    </w:p>
    <w:p w14:paraId="09EAA87D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25CD0C77" w14:textId="60635CEB" w:rsidR="008C0118" w:rsidRPr="008C0118" w:rsidRDefault="008C0118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b/>
          <w:bCs/>
          <w:sz w:val="22"/>
          <w:szCs w:val="22"/>
        </w:rPr>
        <w:t>Appendix 1</w:t>
      </w:r>
      <w:r>
        <w:rPr>
          <w:rFonts w:ascii="Arial Nova" w:hAnsi="Arial Nova"/>
          <w:sz w:val="22"/>
          <w:szCs w:val="22"/>
        </w:rPr>
        <w:t xml:space="preserve">. </w:t>
      </w:r>
      <w:r w:rsidRPr="008C0118">
        <w:rPr>
          <w:rFonts w:ascii="Arial Nova" w:hAnsi="Arial Nova"/>
          <w:sz w:val="22"/>
          <w:szCs w:val="22"/>
        </w:rPr>
        <w:t>Medline search strategy and grey literature search.</w:t>
      </w:r>
    </w:p>
    <w:p w14:paraId="40BBE853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tbl>
      <w:tblPr>
        <w:tblStyle w:val="GridTable4-Accent1"/>
        <w:tblpPr w:leftFromText="181" w:rightFromText="181" w:vertAnchor="text" w:tblpY="1"/>
        <w:tblW w:w="5000" w:type="pct"/>
        <w:tblLook w:val="04A0" w:firstRow="1" w:lastRow="0" w:firstColumn="1" w:lastColumn="0" w:noHBand="0" w:noVBand="1"/>
      </w:tblPr>
      <w:tblGrid>
        <w:gridCol w:w="11258"/>
        <w:gridCol w:w="2692"/>
      </w:tblGrid>
      <w:tr w:rsidR="008C0118" w:rsidRPr="008C0118" w14:paraId="1C418F6E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</w:tcPr>
          <w:p w14:paraId="3E4028E7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i/>
                <w:iCs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i/>
                <w:iCs/>
                <w:sz w:val="22"/>
                <w:szCs w:val="22"/>
              </w:rPr>
              <w:t>Search items</w:t>
            </w:r>
          </w:p>
        </w:tc>
        <w:tc>
          <w:tcPr>
            <w:tcW w:w="965" w:type="pct"/>
          </w:tcPr>
          <w:p w14:paraId="3E6DFAF6" w14:textId="77777777" w:rsidR="008C0118" w:rsidRPr="008C0118" w:rsidRDefault="008C0118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  <w:i/>
                <w:iCs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i/>
                <w:iCs/>
                <w:sz w:val="22"/>
                <w:szCs w:val="22"/>
              </w:rPr>
              <w:t>Concepts</w:t>
            </w:r>
          </w:p>
        </w:tc>
      </w:tr>
      <w:tr w:rsidR="008C0118" w:rsidRPr="008C0118" w14:paraId="56F8984E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1A281D32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8C0118">
              <w:rPr>
                <w:b w:val="0"/>
                <w:bCs w:val="0"/>
                <w:sz w:val="22"/>
                <w:szCs w:val="22"/>
              </w:rPr>
              <w:t>telemedicine</w:t>
            </w:r>
            <w:proofErr w:type="gramEnd"/>
            <w:r w:rsidRPr="008C0118">
              <w:rPr>
                <w:b w:val="0"/>
                <w:bCs w:val="0"/>
                <w:sz w:val="22"/>
                <w:szCs w:val="22"/>
              </w:rPr>
              <w:t xml:space="preserve"> or tele medicine or telehealth or tele health or telecare or tele care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teleconsult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((virtual* or remote*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telephon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>* or phone* or video* or online) adj3 (consult* or appointment*)))</w:t>
            </w:r>
          </w:p>
          <w:p w14:paraId="0FF4BD6A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telemedicine/ or remote consultation/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3B135277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1 or 2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65" w:type="pct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6F4F7997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Remote consultation</w:t>
            </w:r>
          </w:p>
        </w:tc>
      </w:tr>
      <w:tr w:rsidR="008C0118" w:rsidRPr="008C0118" w14:paraId="42AB66F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19F7CB52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8C0118">
              <w:rPr>
                <w:b w:val="0"/>
                <w:bCs w:val="0"/>
                <w:sz w:val="22"/>
                <w:szCs w:val="22"/>
              </w:rPr>
              <w:t>primary</w:t>
            </w:r>
            <w:proofErr w:type="gramEnd"/>
            <w:r w:rsidRPr="008C0118">
              <w:rPr>
                <w:b w:val="0"/>
                <w:bCs w:val="0"/>
                <w:sz w:val="22"/>
                <w:szCs w:val="22"/>
              </w:rPr>
              <w:t xml:space="preserve"> care or primary health care or primary healthcare or general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practic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general medical practice or family medicine or family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practic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>* or family physician*)</w:t>
            </w:r>
          </w:p>
          <w:p w14:paraId="523FBA3E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exp General Practice/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71D8B1DD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Primary Health Care/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212C6738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4 or 5 or 6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3F80939B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Primary care</w:t>
            </w:r>
          </w:p>
        </w:tc>
      </w:tr>
      <w:tr w:rsidR="008C0118" w:rsidRPr="008C0118" w14:paraId="4AEC918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449AF544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 xml:space="preserve">(((experience* or satisfaction) adj4 (patient* or consumer* or client* or survey* or questionnaire*)) or PREM* or patient-reported experience measure*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patient-</w:t>
            </w:r>
            <w:proofErr w:type="gramStart"/>
            <w:r w:rsidRPr="008C0118">
              <w:rPr>
                <w:b w:val="0"/>
                <w:bCs w:val="0"/>
                <w:sz w:val="22"/>
                <w:szCs w:val="22"/>
              </w:rPr>
              <w:t>cent?red</w:t>
            </w:r>
            <w:proofErr w:type="spellEnd"/>
            <w:proofErr w:type="gramEnd"/>
            <w:r w:rsidRPr="008C0118">
              <w:rPr>
                <w:b w:val="0"/>
                <w:bCs w:val="0"/>
                <w:sz w:val="22"/>
                <w:szCs w:val="22"/>
              </w:rPr>
              <w:t xml:space="preserve">*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person-cent?red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>*)</w:t>
            </w:r>
          </w:p>
          <w:p w14:paraId="07C00720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Patient Satisfaction/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6CDE0CCC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8 or 9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1D9DD477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Patient-centredness</w:t>
            </w:r>
          </w:p>
        </w:tc>
      </w:tr>
      <w:tr w:rsidR="008C0118" w:rsidRPr="008C0118" w14:paraId="62FC702F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7096C525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Treatment Outcome/ or ((health or clinical* or treatment*) adj3 (outcome* or effective* or efficacy))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631620FD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Effectiveness</w:t>
            </w:r>
          </w:p>
        </w:tc>
      </w:tr>
      <w:tr w:rsidR="008C0118" w:rsidRPr="008C0118" w14:paraId="5914B03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0968B8F5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 xml:space="preserve">((patient adj3 (safety or harm))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misdiagnos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safety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manag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(accident* adj2 prevent*) or error* or medication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reconcil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>* or near miss*)</w:t>
            </w:r>
          </w:p>
          <w:p w14:paraId="118C487A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patient harm/ or patient safety/ or Diagnostic Errors/</w:t>
            </w:r>
          </w:p>
          <w:p w14:paraId="4DC53002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12 or 13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20CFA5B4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Safety</w:t>
            </w:r>
          </w:p>
        </w:tc>
      </w:tr>
      <w:tr w:rsidR="008C0118" w:rsidRPr="008C0118" w14:paraId="5CEC829D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09B95FA4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8C0118">
              <w:rPr>
                <w:b w:val="0"/>
                <w:bCs w:val="0"/>
                <w:sz w:val="22"/>
                <w:szCs w:val="22"/>
              </w:rPr>
              <w:t>efficiency</w:t>
            </w:r>
            <w:proofErr w:type="gramEnd"/>
            <w:r w:rsidRPr="008C0118">
              <w:rPr>
                <w:b w:val="0"/>
                <w:bCs w:val="0"/>
                <w:sz w:val="22"/>
                <w:szCs w:val="22"/>
              </w:rPr>
              <w:t xml:space="preserve"> or economic* or cost* or expenditure* or charge* or (number adj3 appointment*) or (number adj3 admission*) or (number adj3 consultation*))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2796BD65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Efficiency</w:t>
            </w:r>
          </w:p>
        </w:tc>
      </w:tr>
      <w:tr w:rsidR="008C0118" w:rsidRPr="008C0118" w14:paraId="5C94934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785BA057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(wait* list* or wait* time* or timeliness)</w:t>
            </w:r>
          </w:p>
          <w:p w14:paraId="6E232B9B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lastRenderedPageBreak/>
              <w:t>Time-to-Treatment/ or Waiting Lists/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564CB8D7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16 or 17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585C00B9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lastRenderedPageBreak/>
              <w:t>Timeliness</w:t>
            </w:r>
          </w:p>
        </w:tc>
      </w:tr>
      <w:tr w:rsidR="008C0118" w:rsidRPr="008C0118" w14:paraId="06428FB5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4AE2A4A5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 xml:space="preserve">((health* or health care or access) adj3 (equity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disparit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inequit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 xml:space="preserve">* or </w:t>
            </w:r>
            <w:proofErr w:type="spellStart"/>
            <w:r w:rsidRPr="008C0118">
              <w:rPr>
                <w:b w:val="0"/>
                <w:bCs w:val="0"/>
                <w:sz w:val="22"/>
                <w:szCs w:val="22"/>
              </w:rPr>
              <w:t>inequalit</w:t>
            </w:r>
            <w:proofErr w:type="spellEnd"/>
            <w:r w:rsidRPr="008C0118">
              <w:rPr>
                <w:b w:val="0"/>
                <w:bCs w:val="0"/>
                <w:sz w:val="22"/>
                <w:szCs w:val="22"/>
              </w:rPr>
              <w:t>* or equality or gap))</w:t>
            </w:r>
          </w:p>
          <w:p w14:paraId="73D31AF7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Health Equity/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04BE6B72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19 or 20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182CB5AE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Equity</w:t>
            </w:r>
          </w:p>
        </w:tc>
      </w:tr>
      <w:tr w:rsidR="008C0118" w:rsidRPr="008C0118" w14:paraId="1476E9D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pct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8FCEC6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10 or 11 or 14 or 15 or 18 or 21</w:t>
            </w:r>
            <w:r w:rsidRPr="008C0118">
              <w:rPr>
                <w:b w:val="0"/>
                <w:bCs w:val="0"/>
                <w:sz w:val="22"/>
                <w:szCs w:val="22"/>
              </w:rPr>
              <w:tab/>
            </w:r>
          </w:p>
          <w:p w14:paraId="21FC485D" w14:textId="77777777" w:rsidR="008C0118" w:rsidRPr="008C0118" w:rsidRDefault="008C0118" w:rsidP="008C0118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8C0118">
              <w:rPr>
                <w:b w:val="0"/>
                <w:bCs w:val="0"/>
                <w:sz w:val="22"/>
                <w:szCs w:val="22"/>
              </w:rPr>
              <w:t>3 and 7 and 22</w:t>
            </w:r>
          </w:p>
        </w:tc>
        <w:tc>
          <w:tcPr>
            <w:tcW w:w="965" w:type="pct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70E7BB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56CAD452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291242F3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4210CE3D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166C2796" w14:textId="77777777" w:rsidR="00DD2072" w:rsidRDefault="00DD2072">
      <w:pPr>
        <w:rPr>
          <w:rFonts w:ascii="Arial Nova" w:hAnsi="Arial Nova"/>
          <w:b/>
          <w:bCs/>
          <w:color w:val="000000" w:themeColor="text1"/>
          <w:sz w:val="22"/>
          <w:szCs w:val="22"/>
        </w:rPr>
      </w:pPr>
      <w:r>
        <w:rPr>
          <w:rFonts w:ascii="Arial Nova" w:hAnsi="Arial Nova"/>
          <w:b/>
          <w:bCs/>
          <w:color w:val="000000" w:themeColor="text1"/>
          <w:sz w:val="22"/>
          <w:szCs w:val="22"/>
        </w:rPr>
        <w:br w:type="page"/>
      </w:r>
    </w:p>
    <w:p w14:paraId="2CFD8D15" w14:textId="33DF3E77" w:rsidR="008C0118" w:rsidRPr="008C0118" w:rsidRDefault="008C0118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2</w:t>
      </w:r>
      <w:r w:rsidRPr="008C0118">
        <w:rPr>
          <w:rFonts w:ascii="Arial Nova" w:hAnsi="Arial Nova"/>
          <w:color w:val="000000" w:themeColor="text1"/>
          <w:sz w:val="22"/>
          <w:szCs w:val="22"/>
        </w:rPr>
        <w:t>. Study inclusion and exclusion criteria</w:t>
      </w:r>
    </w:p>
    <w:p w14:paraId="68E4FBB9" w14:textId="77777777" w:rsidR="008C0118" w:rsidRPr="008C0118" w:rsidRDefault="008C0118">
      <w:pPr>
        <w:rPr>
          <w:rFonts w:ascii="Arial Nova" w:hAnsi="Arial Nova"/>
          <w:color w:val="000000" w:themeColor="text1"/>
          <w:sz w:val="22"/>
          <w:szCs w:val="22"/>
        </w:rPr>
      </w:pPr>
    </w:p>
    <w:tbl>
      <w:tblPr>
        <w:tblStyle w:val="GridTable3-Accent1"/>
        <w:tblW w:w="5000" w:type="pct"/>
        <w:tblLook w:val="04A0" w:firstRow="1" w:lastRow="0" w:firstColumn="1" w:lastColumn="0" w:noHBand="0" w:noVBand="1"/>
      </w:tblPr>
      <w:tblGrid>
        <w:gridCol w:w="2142"/>
        <w:gridCol w:w="5620"/>
        <w:gridCol w:w="6198"/>
      </w:tblGrid>
      <w:tr w:rsidR="008C0118" w:rsidRPr="008C0118" w14:paraId="2A6271F6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7" w:type="pct"/>
          </w:tcPr>
          <w:p w14:paraId="525C81E3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013" w:type="pct"/>
          </w:tcPr>
          <w:p w14:paraId="41EFB95B" w14:textId="77777777" w:rsidR="008C0118" w:rsidRPr="008C0118" w:rsidRDefault="008C0118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Inclusion criteria</w:t>
            </w:r>
          </w:p>
        </w:tc>
        <w:tc>
          <w:tcPr>
            <w:tcW w:w="2220" w:type="pct"/>
          </w:tcPr>
          <w:p w14:paraId="24A6B45F" w14:textId="77777777" w:rsidR="008C0118" w:rsidRPr="008C0118" w:rsidRDefault="008C0118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Exclusion criteria</w:t>
            </w:r>
          </w:p>
        </w:tc>
      </w:tr>
      <w:tr w:rsidR="008C0118" w:rsidRPr="008C0118" w14:paraId="5BD62ED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DBAAEDB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Population (and setting)</w:t>
            </w:r>
          </w:p>
        </w:tc>
        <w:tc>
          <w:tcPr>
            <w:tcW w:w="2013" w:type="pct"/>
          </w:tcPr>
          <w:p w14:paraId="1DD2BBC9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Adult patients (mean age </w:t>
            </w:r>
            <w:r w:rsidRPr="008C0118">
              <w:rPr>
                <w:rFonts w:ascii="Cambria Math" w:hAnsi="Cambria Math" w:cs="Cambria Math"/>
                <w:sz w:val="22"/>
                <w:szCs w:val="22"/>
              </w:rPr>
              <w:t>≥</w:t>
            </w:r>
            <w:r w:rsidRPr="008C0118">
              <w:rPr>
                <w:rFonts w:ascii="Arial Nova" w:hAnsi="Arial Nova"/>
                <w:sz w:val="22"/>
                <w:szCs w:val="22"/>
              </w:rPr>
              <w:t>18 years) with any health condition, accessing primary care services in any geographical location</w:t>
            </w:r>
          </w:p>
        </w:tc>
        <w:tc>
          <w:tcPr>
            <w:tcW w:w="2220" w:type="pct"/>
          </w:tcPr>
          <w:p w14:paraId="387AD8A6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Patients accessing secondary, tertiary, or quaternary care; direct-to-consumer services; care delivered in retail clinics; or care that is not integrated into primary care </w:t>
            </w:r>
          </w:p>
        </w:tc>
      </w:tr>
      <w:tr w:rsidR="008C0118" w:rsidRPr="008C0118" w14:paraId="1587C0B0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2D00CCE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Intervention</w:t>
            </w:r>
          </w:p>
        </w:tc>
        <w:tc>
          <w:tcPr>
            <w:tcW w:w="2013" w:type="pct"/>
          </w:tcPr>
          <w:p w14:paraId="428809BC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Two-way, synchronous patient-provider remote consultations delivered via:  </w:t>
            </w:r>
          </w:p>
          <w:p w14:paraId="77EA5566" w14:textId="77777777" w:rsidR="008C0118" w:rsidRPr="008C0118" w:rsidRDefault="008C0118" w:rsidP="008C011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C0118">
              <w:rPr>
                <w:b/>
                <w:bCs/>
                <w:sz w:val="22"/>
                <w:szCs w:val="22"/>
              </w:rPr>
              <w:t xml:space="preserve">telephone </w:t>
            </w:r>
          </w:p>
          <w:p w14:paraId="73DB1DAB" w14:textId="77777777" w:rsidR="008C0118" w:rsidRPr="008C0118" w:rsidRDefault="008C0118" w:rsidP="008C011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C0118">
              <w:rPr>
                <w:b/>
                <w:bCs/>
                <w:sz w:val="22"/>
                <w:szCs w:val="22"/>
              </w:rPr>
              <w:t xml:space="preserve">videoconference </w:t>
            </w:r>
          </w:p>
          <w:p w14:paraId="380E0D73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by primary care healthcare professionals, or multi-component interventions involving synchronous remote consultations </w:t>
            </w:r>
          </w:p>
        </w:tc>
        <w:tc>
          <w:tcPr>
            <w:tcW w:w="2220" w:type="pct"/>
          </w:tcPr>
          <w:p w14:paraId="0E26D703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Consultations involving only asynchronous communication; synchronous online messaging; remote-patient monitoring, automated services; or interventions for education or administrative </w:t>
            </w:r>
            <w:proofErr w:type="gramStart"/>
            <w:r w:rsidRPr="008C0118">
              <w:rPr>
                <w:rFonts w:ascii="Arial Nova" w:hAnsi="Arial Nova"/>
                <w:sz w:val="22"/>
                <w:szCs w:val="22"/>
              </w:rPr>
              <w:t>purposes</w:t>
            </w:r>
            <w:proofErr w:type="gramEnd"/>
          </w:p>
          <w:p w14:paraId="03134697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Consultations delivered by non-healthcare professionals or specialist clinicians, delivered in retail clinics or by direct-to-consumer models</w:t>
            </w:r>
          </w:p>
        </w:tc>
      </w:tr>
      <w:tr w:rsidR="008C0118" w:rsidRPr="008C0118" w14:paraId="6D18A36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3F7CB67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Comparator</w:t>
            </w:r>
          </w:p>
        </w:tc>
        <w:tc>
          <w:tcPr>
            <w:tcW w:w="2013" w:type="pct"/>
          </w:tcPr>
          <w:p w14:paraId="2442E006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Consultation delivered face-to-face, or the outcomes assessed indicate comparison with previous experience of face-to-face care (survey questions)</w:t>
            </w:r>
          </w:p>
        </w:tc>
        <w:tc>
          <w:tcPr>
            <w:tcW w:w="2220" w:type="pct"/>
          </w:tcPr>
          <w:p w14:paraId="34990319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No face-to-face comparison group; or no indication of comparison with face-to-face care</w:t>
            </w:r>
          </w:p>
        </w:tc>
      </w:tr>
      <w:tr w:rsidR="008C0118" w:rsidRPr="008C0118" w14:paraId="13DF73DF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541B800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Outcomes</w:t>
            </w:r>
          </w:p>
        </w:tc>
        <w:tc>
          <w:tcPr>
            <w:tcW w:w="2013" w:type="pct"/>
          </w:tcPr>
          <w:p w14:paraId="253CD582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Studies reporting any quantitative measures related to (1) efficiency (e.g., service costs, follow-up care), (2) effectiveness (e.g., health outcomes); (3) patient safety (e.g., misdiagnoses); (4) patient-centredness (e.g., patient satisfaction measures), (5) timeliness (e.g., wait times) and (6) equity (e.g., disparities in access or outcomes between different patient subgroups)</w:t>
            </w:r>
          </w:p>
        </w:tc>
        <w:tc>
          <w:tcPr>
            <w:tcW w:w="2220" w:type="pct"/>
          </w:tcPr>
          <w:p w14:paraId="29D79938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Studies reporting only qualitative outcomes; outcomes that do not fit under any of the IOM’s quality framework </w:t>
            </w:r>
            <w:proofErr w:type="gramStart"/>
            <w:r w:rsidRPr="008C0118">
              <w:rPr>
                <w:rFonts w:ascii="Arial Nova" w:hAnsi="Arial Nova"/>
                <w:sz w:val="22"/>
                <w:szCs w:val="22"/>
              </w:rPr>
              <w:t>domains</w:t>
            </w:r>
            <w:proofErr w:type="gramEnd"/>
          </w:p>
          <w:p w14:paraId="4F1DCDA3" w14:textId="77777777" w:rsidR="008C0118" w:rsidRPr="008C0118" w:rsidRDefault="008C0118" w:rsidP="001F2C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Studies evaluating prescribing outcomes only, as changes in prescription patterns are not necessarily reflective of the quality of care and are highly context </w:t>
            </w:r>
            <w:proofErr w:type="gramStart"/>
            <w:r w:rsidRPr="008C0118">
              <w:rPr>
                <w:rFonts w:ascii="Arial Nova" w:hAnsi="Arial Nova"/>
                <w:sz w:val="22"/>
                <w:szCs w:val="22"/>
              </w:rPr>
              <w:t>specific</w:t>
            </w:r>
            <w:proofErr w:type="gramEnd"/>
          </w:p>
          <w:p w14:paraId="4566CD51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  <w:tr w:rsidR="008C0118" w:rsidRPr="008C0118" w14:paraId="6EC5202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7E6CE483" w14:textId="77777777" w:rsidR="008C0118" w:rsidRPr="008C0118" w:rsidRDefault="008C0118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Study type</w:t>
            </w:r>
          </w:p>
        </w:tc>
        <w:tc>
          <w:tcPr>
            <w:tcW w:w="2013" w:type="pct"/>
          </w:tcPr>
          <w:p w14:paraId="32875FC4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Randomised controlled trials, cluster randomised trials, quasi-experimental studies, case-control studies, cohort studies, cross-sectional studies, cost-effectiveness </w:t>
            </w:r>
            <w:proofErr w:type="gramStart"/>
            <w:r w:rsidRPr="008C0118">
              <w:rPr>
                <w:rFonts w:ascii="Arial Nova" w:hAnsi="Arial Nova"/>
                <w:sz w:val="22"/>
                <w:szCs w:val="22"/>
              </w:rPr>
              <w:t>studies</w:t>
            </w:r>
            <w:proofErr w:type="gramEnd"/>
          </w:p>
          <w:p w14:paraId="0E71A485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220" w:type="pct"/>
          </w:tcPr>
          <w:p w14:paraId="38C12C47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 xml:space="preserve">Incomplete studies, interim reports, scoping reviews, case series, case reports, opinion pieces, trial protocols </w:t>
            </w:r>
          </w:p>
          <w:p w14:paraId="65CC6ED7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30734CF8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020533AE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72369AD8" w14:textId="77777777" w:rsidR="00DD2072" w:rsidRDefault="00DD2072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br w:type="page"/>
      </w:r>
    </w:p>
    <w:p w14:paraId="338288EE" w14:textId="576253D3" w:rsidR="008C0118" w:rsidRDefault="008C0118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b/>
          <w:bCs/>
          <w:sz w:val="22"/>
          <w:szCs w:val="22"/>
        </w:rPr>
        <w:lastRenderedPageBreak/>
        <w:t>Appendix 3</w:t>
      </w:r>
      <w:r>
        <w:rPr>
          <w:rFonts w:ascii="Arial Nova" w:hAnsi="Arial Nova"/>
          <w:sz w:val="22"/>
          <w:szCs w:val="22"/>
        </w:rPr>
        <w:t xml:space="preserve">. </w:t>
      </w:r>
      <w:r w:rsidRPr="008C0118">
        <w:rPr>
          <w:rFonts w:ascii="Arial Nova" w:hAnsi="Arial Nova"/>
          <w:sz w:val="22"/>
          <w:szCs w:val="22"/>
        </w:rPr>
        <w:t>Data extraction form template</w:t>
      </w:r>
    </w:p>
    <w:p w14:paraId="35D822C1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tbl>
      <w:tblPr>
        <w:tblStyle w:val="PlainTable3"/>
        <w:tblW w:w="0" w:type="auto"/>
        <w:tblLook w:val="0480" w:firstRow="0" w:lastRow="0" w:firstColumn="1" w:lastColumn="0" w:noHBand="0" w:noVBand="1"/>
      </w:tblPr>
      <w:tblGrid>
        <w:gridCol w:w="3828"/>
        <w:gridCol w:w="3822"/>
      </w:tblGrid>
      <w:tr w:rsidR="008C0118" w:rsidRPr="008C0118" w14:paraId="1CC41D0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CB9661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Author, year</w:t>
            </w:r>
          </w:p>
        </w:tc>
        <w:tc>
          <w:tcPr>
            <w:tcW w:w="3822" w:type="dxa"/>
          </w:tcPr>
          <w:p w14:paraId="6854EAE4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64FD515D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993941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Country of publication</w:t>
            </w:r>
          </w:p>
        </w:tc>
        <w:tc>
          <w:tcPr>
            <w:tcW w:w="3822" w:type="dxa"/>
          </w:tcPr>
          <w:p w14:paraId="53364B8D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41614CF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5274143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Study type</w:t>
            </w:r>
          </w:p>
        </w:tc>
        <w:tc>
          <w:tcPr>
            <w:tcW w:w="3822" w:type="dxa"/>
          </w:tcPr>
          <w:p w14:paraId="2DFF976F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384023D8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CD2C984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>S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ample size (n (</w:t>
            </w:r>
            <w:proofErr w:type="spellStart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i</w:t>
            </w:r>
            <w:proofErr w:type="spellEnd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;</w:t>
            </w: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 xml:space="preserve"> 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c))</w:t>
            </w:r>
          </w:p>
        </w:tc>
        <w:tc>
          <w:tcPr>
            <w:tcW w:w="3822" w:type="dxa"/>
          </w:tcPr>
          <w:p w14:paraId="4D89BDB8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02F2965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FABF3CF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Date of intervention</w:t>
            </w:r>
          </w:p>
        </w:tc>
        <w:tc>
          <w:tcPr>
            <w:tcW w:w="3822" w:type="dxa"/>
          </w:tcPr>
          <w:p w14:paraId="52B4F39C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51F04A88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F7E6C4F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 xml:space="preserve">Duration of intervention </w:t>
            </w:r>
          </w:p>
        </w:tc>
        <w:tc>
          <w:tcPr>
            <w:tcW w:w="3822" w:type="dxa"/>
          </w:tcPr>
          <w:p w14:paraId="200DF157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48D7F73A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A681887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Participants</w:t>
            </w:r>
          </w:p>
        </w:tc>
        <w:tc>
          <w:tcPr>
            <w:tcW w:w="3822" w:type="dxa"/>
          </w:tcPr>
          <w:p w14:paraId="5681B3B4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03E0D53A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34490F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 xml:space="preserve">Setting </w:t>
            </w:r>
          </w:p>
        </w:tc>
        <w:tc>
          <w:tcPr>
            <w:tcW w:w="3822" w:type="dxa"/>
          </w:tcPr>
          <w:p w14:paraId="10E387E3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1F3CC3C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60C9AA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>S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ource of data</w:t>
            </w:r>
          </w:p>
        </w:tc>
        <w:tc>
          <w:tcPr>
            <w:tcW w:w="3822" w:type="dxa"/>
          </w:tcPr>
          <w:p w14:paraId="1325766C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4E26079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92FB27C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>S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tudy design and comparison</w:t>
            </w:r>
          </w:p>
        </w:tc>
        <w:tc>
          <w:tcPr>
            <w:tcW w:w="3822" w:type="dxa"/>
          </w:tcPr>
          <w:p w14:paraId="35DF2F4A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78CF20C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3FF1B28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Retention or adherence rate</w:t>
            </w: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 xml:space="preserve"> 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(n (</w:t>
            </w:r>
            <w:proofErr w:type="spellStart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i</w:t>
            </w:r>
            <w:proofErr w:type="spellEnd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;</w:t>
            </w: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 xml:space="preserve"> 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c))</w:t>
            </w:r>
          </w:p>
        </w:tc>
        <w:tc>
          <w:tcPr>
            <w:tcW w:w="3822" w:type="dxa"/>
          </w:tcPr>
          <w:p w14:paraId="0CC19072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0BE69D38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2886EC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Response rate (n (</w:t>
            </w:r>
            <w:proofErr w:type="spellStart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i</w:t>
            </w:r>
            <w:proofErr w:type="spellEnd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;</w:t>
            </w:r>
            <w:r w:rsidRPr="008C0118">
              <w:rPr>
                <w:rFonts w:ascii="Arial Nova" w:hAnsi="Arial Nova"/>
                <w:b w:val="0"/>
                <w:bCs w:val="0"/>
                <w:sz w:val="22"/>
                <w:szCs w:val="22"/>
              </w:rPr>
              <w:t xml:space="preserve"> </w:t>
            </w: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c))</w:t>
            </w:r>
          </w:p>
        </w:tc>
        <w:tc>
          <w:tcPr>
            <w:tcW w:w="3822" w:type="dxa"/>
          </w:tcPr>
          <w:p w14:paraId="56CCDA7C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5CDD5E1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92A1C7A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Consultation description</w:t>
            </w:r>
          </w:p>
        </w:tc>
        <w:tc>
          <w:tcPr>
            <w:tcW w:w="3822" w:type="dxa"/>
          </w:tcPr>
          <w:p w14:paraId="4F933176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230766D9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36FC3F1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Type of technology</w:t>
            </w:r>
          </w:p>
        </w:tc>
        <w:tc>
          <w:tcPr>
            <w:tcW w:w="3822" w:type="dxa"/>
          </w:tcPr>
          <w:p w14:paraId="61BCCCBD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2F30885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E0153CB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Outcomes assessed</w:t>
            </w:r>
          </w:p>
        </w:tc>
        <w:tc>
          <w:tcPr>
            <w:tcW w:w="3822" w:type="dxa"/>
          </w:tcPr>
          <w:p w14:paraId="43F87F18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6B5DBBC7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3EC7761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 xml:space="preserve">Key results (mean difference, </w:t>
            </w:r>
            <w:proofErr w:type="gramStart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OR,</w:t>
            </w:r>
            <w:proofErr w:type="gramEnd"/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 xml:space="preserve"> RRR)</w:t>
            </w:r>
          </w:p>
        </w:tc>
        <w:tc>
          <w:tcPr>
            <w:tcW w:w="3822" w:type="dxa"/>
          </w:tcPr>
          <w:p w14:paraId="51ACC065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4D69083A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5F9C060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 xml:space="preserve">Adjustment for confounders </w:t>
            </w:r>
          </w:p>
        </w:tc>
        <w:tc>
          <w:tcPr>
            <w:tcW w:w="3822" w:type="dxa"/>
          </w:tcPr>
          <w:p w14:paraId="5955D8BF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55016FFB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6D880A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Domain(s) of quality</w:t>
            </w:r>
          </w:p>
        </w:tc>
        <w:tc>
          <w:tcPr>
            <w:tcW w:w="3822" w:type="dxa"/>
          </w:tcPr>
          <w:p w14:paraId="7208C1D8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125C903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331DB68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Method of recruitment</w:t>
            </w:r>
          </w:p>
        </w:tc>
        <w:tc>
          <w:tcPr>
            <w:tcW w:w="3822" w:type="dxa"/>
          </w:tcPr>
          <w:p w14:paraId="1ABAFBDA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459106DB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158CC3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Source of funding</w:t>
            </w:r>
          </w:p>
        </w:tc>
        <w:tc>
          <w:tcPr>
            <w:tcW w:w="3822" w:type="dxa"/>
          </w:tcPr>
          <w:p w14:paraId="49C5D534" w14:textId="77777777" w:rsidR="008C0118" w:rsidRPr="008C0118" w:rsidRDefault="008C0118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8C0118" w:rsidRPr="008C0118" w14:paraId="2D16234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7C0C6AA" w14:textId="77777777" w:rsidR="008C0118" w:rsidRPr="008C0118" w:rsidRDefault="008C0118" w:rsidP="001F2CB3">
            <w:pPr>
              <w:rPr>
                <w:rFonts w:ascii="Arial Nova" w:hAnsi="Arial Nova"/>
                <w:b w:val="0"/>
                <w:bCs w:val="0"/>
                <w:sz w:val="22"/>
                <w:szCs w:val="22"/>
              </w:rPr>
            </w:pPr>
            <w:r w:rsidRPr="008C0118">
              <w:rPr>
                <w:rFonts w:ascii="Arial Nova" w:hAnsi="Arial Nova"/>
                <w:b w:val="0"/>
                <w:bCs w:val="0"/>
                <w:caps w:val="0"/>
                <w:sz w:val="22"/>
                <w:szCs w:val="22"/>
              </w:rPr>
              <w:t>Possible conflicts of interest</w:t>
            </w:r>
          </w:p>
        </w:tc>
        <w:tc>
          <w:tcPr>
            <w:tcW w:w="3822" w:type="dxa"/>
          </w:tcPr>
          <w:p w14:paraId="6992500E" w14:textId="77777777" w:rsidR="008C0118" w:rsidRPr="008C0118" w:rsidRDefault="008C0118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17B66626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097F31F4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370B1E38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6528500A" w14:textId="77777777" w:rsidR="008C0118" w:rsidRPr="008C0118" w:rsidRDefault="008C0118">
      <w:pPr>
        <w:rPr>
          <w:rFonts w:ascii="Arial Nova" w:hAnsi="Arial Nova"/>
          <w:sz w:val="22"/>
          <w:szCs w:val="22"/>
        </w:rPr>
      </w:pPr>
    </w:p>
    <w:p w14:paraId="674B860B" w14:textId="77777777" w:rsidR="00DD2072" w:rsidRDefault="00DD2072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br w:type="page"/>
      </w:r>
    </w:p>
    <w:p w14:paraId="6CA2B30F" w14:textId="654370CE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b/>
          <w:bCs/>
          <w:sz w:val="22"/>
          <w:szCs w:val="22"/>
        </w:rPr>
        <w:lastRenderedPageBreak/>
        <w:t>Appendix 4</w:t>
      </w:r>
      <w:r>
        <w:rPr>
          <w:rFonts w:ascii="Arial Nova" w:hAnsi="Arial Nova"/>
          <w:sz w:val="22"/>
          <w:szCs w:val="22"/>
        </w:rPr>
        <w:t xml:space="preserve">. </w:t>
      </w:r>
      <w:r w:rsidRPr="008C0118">
        <w:rPr>
          <w:rFonts w:ascii="Arial Nova" w:hAnsi="Arial Nova"/>
          <w:sz w:val="22"/>
          <w:szCs w:val="22"/>
        </w:rPr>
        <w:t xml:space="preserve">Mixed Methods Appraisal Tool assessments with justifications for decisions. </w:t>
      </w:r>
    </w:p>
    <w:p w14:paraId="38BC2B3B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425"/>
        <w:gridCol w:w="1611"/>
        <w:gridCol w:w="1659"/>
        <w:gridCol w:w="1659"/>
        <w:gridCol w:w="1484"/>
        <w:gridCol w:w="1603"/>
        <w:gridCol w:w="4729"/>
      </w:tblGrid>
      <w:tr w:rsidR="00DD2072" w:rsidRPr="008C0118" w14:paraId="32C1CCE2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7"/>
          </w:tcPr>
          <w:p w14:paraId="25D335C0" w14:textId="77777777" w:rsidR="00DD2072" w:rsidRPr="008C0118" w:rsidRDefault="00DD2072" w:rsidP="001F2CB3">
            <w:pPr>
              <w:jc w:val="center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QUANTITATIVE DESCRIPTIVE STUDIES</w:t>
            </w:r>
          </w:p>
        </w:tc>
      </w:tr>
      <w:tr w:rsidR="00DD2072" w:rsidRPr="008C0118" w14:paraId="55219F2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FDDD48A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Author, year</w:t>
            </w:r>
          </w:p>
        </w:tc>
        <w:tc>
          <w:tcPr>
            <w:tcW w:w="1611" w:type="dxa"/>
          </w:tcPr>
          <w:p w14:paraId="0C2F953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Is the sampling strategy relevant to address the research question?</w:t>
            </w:r>
          </w:p>
          <w:p w14:paraId="187B313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91C28E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Is the sample representative of the target population?</w:t>
            </w:r>
          </w:p>
          <w:p w14:paraId="585B086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75E3E5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Are the measurements appropriate?</w:t>
            </w:r>
          </w:p>
          <w:p w14:paraId="358B8C0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587568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Is the risk of nonresponse bias low?</w:t>
            </w:r>
          </w:p>
          <w:p w14:paraId="7410955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B3F4D2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Is the statistical analysis appropriate to answer the research question?</w:t>
            </w:r>
          </w:p>
          <w:p w14:paraId="067FC3E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E8A927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Comments</w:t>
            </w:r>
          </w:p>
        </w:tc>
      </w:tr>
      <w:tr w:rsidR="00DD2072" w:rsidRPr="008C0118" w14:paraId="6F577BC1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5E32609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Manski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-Nankervis,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42</w:t>
            </w:r>
          </w:p>
          <w:p w14:paraId="7636E7B4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63ECB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B7BDF0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A26CC4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D77B25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40242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5CE26D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0B5989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1AAD9E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02773E7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3A49EF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D726E7A" w14:textId="77777777" w:rsidR="00DD2072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Sampling strategy (online surveys) may have led to a selection bias Sample was not representative of target population (highly educated, young and majority female)</w:t>
            </w:r>
          </w:p>
          <w:p w14:paraId="3A05108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Low response rate likely to introduce bias</w:t>
            </w:r>
          </w:p>
        </w:tc>
      </w:tr>
      <w:tr w:rsidR="00DD2072" w:rsidRPr="008C0118" w14:paraId="6F67B42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339939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McGrail, 2017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47</w:t>
            </w:r>
          </w:p>
          <w:p w14:paraId="7889C7CA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8C2976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C37308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C4E347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F3E94C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EDDE22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1396F1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367DAC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22404C0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7B14C3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7C578C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3DB736D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Sampling strategy (online surveys) may have led to a selection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bias</w:t>
            </w:r>
            <w:proofErr w:type="gram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</w:t>
            </w:r>
          </w:p>
          <w:p w14:paraId="38C0D4E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Low response rate likely to introduce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bias</w:t>
            </w:r>
            <w:proofErr w:type="gramEnd"/>
          </w:p>
          <w:p w14:paraId="58B4EEE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Survey sample was not representative of entire target population (majority female and married)</w:t>
            </w:r>
          </w:p>
          <w:p w14:paraId="303EAC6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 matching for race and ethnicity which may confound results</w:t>
            </w:r>
          </w:p>
        </w:tc>
      </w:tr>
      <w:tr w:rsidR="00DD2072" w:rsidRPr="008C0118" w14:paraId="29BACB4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876BE0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Mohan,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43</w:t>
            </w:r>
          </w:p>
          <w:p w14:paraId="7E65744C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52B92C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3A9B56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0A2031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25D8A2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98A039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EB8704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4B8250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0770E06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05D69A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AAAA87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300CFE8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26.7% response rate may have introduced bias and selected for those with better digital literacy Overrepresentation of participants who were female and from higher educational/income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backgrounds</w:t>
            </w:r>
            <w:proofErr w:type="gramEnd"/>
          </w:p>
          <w:p w14:paraId="7D8D1D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Study only captures those who could attend a remote visit </w:t>
            </w:r>
          </w:p>
        </w:tc>
      </w:tr>
      <w:tr w:rsidR="00DD2072" w:rsidRPr="008C0118" w14:paraId="35FCAC4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7"/>
          </w:tcPr>
          <w:p w14:paraId="7E163BAF" w14:textId="77777777" w:rsidR="00DD2072" w:rsidRPr="008C0118" w:rsidRDefault="00DD2072" w:rsidP="001F2CB3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RANDOMI</w:t>
            </w:r>
            <w:r>
              <w:rPr>
                <w:sz w:val="22"/>
                <w:szCs w:val="22"/>
              </w:rPr>
              <w:t>S</w:t>
            </w:r>
            <w:r w:rsidRPr="008C0118">
              <w:rPr>
                <w:rFonts w:ascii="Arial Nova" w:hAnsi="Arial Nova"/>
                <w:sz w:val="22"/>
                <w:szCs w:val="22"/>
              </w:rPr>
              <w:t>ED CONTROLLED TRIALS</w:t>
            </w:r>
          </w:p>
        </w:tc>
      </w:tr>
      <w:tr w:rsidR="00DD2072" w:rsidRPr="008C0118" w14:paraId="2A576CE2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96AC609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lastRenderedPageBreak/>
              <w:t>Author, year</w:t>
            </w:r>
          </w:p>
        </w:tc>
        <w:tc>
          <w:tcPr>
            <w:tcW w:w="1611" w:type="dxa"/>
          </w:tcPr>
          <w:p w14:paraId="503C2CB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Is randomization appropriately performed?</w:t>
            </w:r>
          </w:p>
          <w:p w14:paraId="2F8C8CC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E0254E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Are the groups comparable at baseline?</w:t>
            </w:r>
          </w:p>
          <w:p w14:paraId="7A80509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A000C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Are there complete outcome data?</w:t>
            </w:r>
          </w:p>
          <w:p w14:paraId="4049AE9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5BB1BA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Are outcome assessors blinded to the intervention provided?</w:t>
            </w:r>
          </w:p>
          <w:p w14:paraId="56210F9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D5EFA1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Did the participants adhere to the assigned intervention?</w:t>
            </w:r>
          </w:p>
          <w:p w14:paraId="4FAD9BC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23DDD1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Comments</w:t>
            </w:r>
          </w:p>
        </w:tc>
      </w:tr>
      <w:tr w:rsidR="00DD2072" w:rsidRPr="008C0118" w14:paraId="6666DD2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6F8F669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Befort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2021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55</w:t>
            </w:r>
          </w:p>
          <w:p w14:paraId="481211F4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847A88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01A7DD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35B9AA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C49770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968FAE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B6E26D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BD4E56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171EF2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7AF03DF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D8669F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89D553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 blinding of outcome assessors to the intervention</w:t>
            </w:r>
          </w:p>
          <w:p w14:paraId="26DC243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Session attendance was notably different between the groups from 6 - 24 months</w:t>
            </w:r>
          </w:p>
        </w:tc>
      </w:tr>
      <w:tr w:rsidR="00DD2072" w:rsidRPr="008C0118" w14:paraId="3EDD247B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33FD6D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Egede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2017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50</w:t>
            </w:r>
          </w:p>
          <w:p w14:paraId="132211F6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D17B6A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1C6E58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6615DF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05E9D5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8C7709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6383EF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6D4038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E978F9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76C1C8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9900366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4DF200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There were significant differences between groups in health status compared to the previous year (</w:t>
            </w:r>
            <w:r w:rsidRPr="008C0118">
              <w:rPr>
                <w:rFonts w:ascii="Arial Nova" w:hAnsi="Arial Nova"/>
                <w:i/>
                <w:iCs/>
                <w:color w:val="000000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= 0.02) Unclear if there were differences between treatment groups in terms of completion of interventions</w:t>
            </w:r>
          </w:p>
        </w:tc>
      </w:tr>
      <w:tr w:rsidR="00DD2072" w:rsidRPr="008C0118" w14:paraId="35E8985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4CD5E65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Harder, 2020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51</w:t>
            </w:r>
          </w:p>
          <w:p w14:paraId="15AB2F1F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33B775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7B5E8F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5ABCA5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A7D8DB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DB2B54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BE0E15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D31DF8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6D595A4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7E8D83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ABAA272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4F6D6A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No description of how randomisation was performed23% of those initially randomised did not complete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intervention</w:t>
            </w:r>
            <w:proofErr w:type="gramEnd"/>
          </w:p>
          <w:p w14:paraId="4C961D2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 mention of assessors being blinded to the interventions.</w:t>
            </w:r>
          </w:p>
        </w:tc>
      </w:tr>
      <w:tr w:rsidR="00DD2072" w:rsidRPr="008C0118" w14:paraId="7675B8E5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29062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Nomura, 2019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52</w:t>
            </w:r>
          </w:p>
          <w:p w14:paraId="3BDE5AD1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C4ECA6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5B8DB3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FBFA7F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69BDC1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4582A8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563C59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FA048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30B94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E4604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F34EAB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C1D98A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Outcome assessors were not blinded to intervention assignment</w:t>
            </w:r>
          </w:p>
        </w:tc>
      </w:tr>
      <w:tr w:rsidR="00DD2072" w:rsidRPr="008C0118" w14:paraId="34ABF89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7"/>
          </w:tcPr>
          <w:p w14:paraId="1D4329EC" w14:textId="77777777" w:rsidR="00DD2072" w:rsidRPr="008C0118" w:rsidRDefault="00DD2072" w:rsidP="001F2CB3">
            <w:pPr>
              <w:jc w:val="center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NON-RANDOMI</w:t>
            </w:r>
            <w:r>
              <w:rPr>
                <w:color w:val="000000"/>
                <w:sz w:val="22"/>
                <w:szCs w:val="22"/>
              </w:rPr>
              <w:t>S</w:t>
            </w: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ED STUDIES</w:t>
            </w:r>
          </w:p>
        </w:tc>
      </w:tr>
      <w:tr w:rsidR="00DD2072" w:rsidRPr="008C0118" w14:paraId="023897BF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46D4327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t>Author, year</w:t>
            </w:r>
          </w:p>
        </w:tc>
        <w:tc>
          <w:tcPr>
            <w:tcW w:w="1611" w:type="dxa"/>
          </w:tcPr>
          <w:p w14:paraId="2EB5F7C6" w14:textId="77777777" w:rsidR="00DD2072" w:rsidRPr="008C0118" w:rsidRDefault="00DD2072" w:rsidP="001F2CB3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Are the participants representative of the target population?</w:t>
            </w:r>
          </w:p>
          <w:p w14:paraId="15EF412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6A2F69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Are measurements appropriate regarding both the outcome and intervention (or exposure)?</w:t>
            </w:r>
          </w:p>
          <w:p w14:paraId="04DAEA0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D4FF87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lastRenderedPageBreak/>
              <w:t>Are there complete outcome data?</w:t>
            </w:r>
          </w:p>
          <w:p w14:paraId="5FFBA76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450E5E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Are the confounders accounted for in the design and analysis?</w:t>
            </w:r>
          </w:p>
          <w:p w14:paraId="3E912C4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25BA92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During the study period, is the intervention administered (or exposure occurred) as intended?</w:t>
            </w:r>
          </w:p>
          <w:p w14:paraId="7176354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EE7EB3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8C0118">
              <w:rPr>
                <w:rFonts w:ascii="Arial Nova" w:hAnsi="Arial Nova"/>
                <w:sz w:val="22"/>
                <w:szCs w:val="22"/>
              </w:rPr>
              <w:lastRenderedPageBreak/>
              <w:t>Comments</w:t>
            </w:r>
          </w:p>
        </w:tc>
      </w:tr>
      <w:tr w:rsidR="00DD2072" w:rsidRPr="008C0118" w14:paraId="5DC239A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0223548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Baughman, 2022a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28</w:t>
            </w:r>
          </w:p>
          <w:p w14:paraId="4B62DC28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2AA4C2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DC9454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D73F116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63F4C496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026A86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6173F3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4E061D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0F15640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2ABE10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6E473A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535AAA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in accuracies in recording visit modality</w:t>
            </w:r>
          </w:p>
          <w:p w14:paraId="46E0B27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Considerable variability of eligible follow-up plans which may have taken varying lengths of time to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complete</w:t>
            </w:r>
            <w:proofErr w:type="gramEnd"/>
          </w:p>
          <w:p w14:paraId="352B6B5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Confounders such as number of visits or type of follow up plan were not accounted for</w:t>
            </w:r>
          </w:p>
        </w:tc>
      </w:tr>
      <w:tr w:rsidR="00DD2072" w:rsidRPr="008C0118" w14:paraId="6865ADDD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F2AB353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Baughman, 2022b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29</w:t>
            </w:r>
          </w:p>
          <w:p w14:paraId="242E7A6E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261B8A6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99A67D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38E80B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0CEBDB2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F41FF6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31F06677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E97BEB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E7C6A5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609639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013EE16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45A6A8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Possible in accuracies in recording visit modality and identifying patients with red flag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complaints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</w:t>
            </w:r>
          </w:p>
          <w:p w14:paraId="7BB4F69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Confounders such as severity of pain not accounted for</w:t>
            </w:r>
          </w:p>
        </w:tc>
      </w:tr>
      <w:tr w:rsidR="00DD2072" w:rsidRPr="008C0118" w14:paraId="48D6F7A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FCBE668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Bernstein, 2021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30</w:t>
            </w: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</w:t>
            </w:r>
          </w:p>
          <w:p w14:paraId="6C52E591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33DD7F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6924AE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54FB67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7E18B2F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495F07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735E2B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9473AC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4CA6DC4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85C7C0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F0F379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5D573C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in accuracies in recording visit modality</w:t>
            </w:r>
          </w:p>
          <w:p w14:paraId="38C768C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Possible misclassification of resolved episodes due to 30-day cut off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window</w:t>
            </w:r>
            <w:proofErr w:type="gramEnd"/>
          </w:p>
          <w:p w14:paraId="550C02D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Confounders mostly accounted for except for severity of condition</w:t>
            </w:r>
          </w:p>
        </w:tc>
      </w:tr>
      <w:tr w:rsidR="00DD2072" w:rsidRPr="008C0118" w14:paraId="2FCAF4E0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9E7CF47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Chavez,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31</w:t>
            </w:r>
          </w:p>
          <w:p w14:paraId="4D07E289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28A727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5456311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9A74FB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72A94CE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3F85A0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9A311E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FF3278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7E3F767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3B0EE6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5B6B55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D58A9B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 data on patient characteristics other than mean age and sex</w:t>
            </w:r>
          </w:p>
          <w:p w14:paraId="6D73D82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in accuracies in recording visit modality</w:t>
            </w:r>
          </w:p>
          <w:p w14:paraId="10372D2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misclassification of short interval-follow ups due to 60-day cut off window</w:t>
            </w:r>
          </w:p>
        </w:tc>
      </w:tr>
      <w:tr w:rsidR="00DD2072" w:rsidRPr="008C0118" w14:paraId="04267AE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820FD75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Dai,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32</w:t>
            </w:r>
          </w:p>
          <w:p w14:paraId="44A8414D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5DE11F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3643F9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E9792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42D97E1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CC7500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5554F2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4C9FFE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46C1E0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2C816A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11AF6E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27E4EF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in accuracies in recording visit modality</w:t>
            </w:r>
          </w:p>
          <w:p w14:paraId="02A80D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Possible misclassification of pension status </w:t>
            </w:r>
          </w:p>
        </w:tc>
      </w:tr>
      <w:tr w:rsidR="00DD2072" w:rsidRPr="008C0118" w14:paraId="5A25DD2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3455B9D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Frank, 2021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33</w:t>
            </w:r>
          </w:p>
          <w:p w14:paraId="26D87E41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A70413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F824D9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4E6A02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E9B926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14D1C4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764321D0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8752E1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275CF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CB360B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893399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315CE5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Missing data for outcomes on number of psychiatric problems</w:t>
            </w:r>
          </w:p>
          <w:p w14:paraId="5698DF8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Confounders not accounted for</w:t>
            </w:r>
          </w:p>
          <w:p w14:paraId="41C5142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Small sample (n = 18) for outcomes on clinical effectiveness</w:t>
            </w:r>
          </w:p>
          <w:p w14:paraId="40A3775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lastRenderedPageBreak/>
              <w:t>Academic centre may limit generalisability to wider population</w:t>
            </w:r>
          </w:p>
        </w:tc>
      </w:tr>
      <w:tr w:rsidR="00DD2072" w:rsidRPr="008C0118" w14:paraId="7E44411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9A31DB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lastRenderedPageBreak/>
              <w:t>Gordon, 2017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34</w:t>
            </w:r>
          </w:p>
          <w:p w14:paraId="01B8579E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806035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9BC051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D1D23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61F3F38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6D32DF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E97D42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31B260B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23360F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C0036D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F45D2E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4B8529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Possible in accuracies in recording visit modality</w:t>
            </w:r>
          </w:p>
        </w:tc>
      </w:tr>
      <w:tr w:rsidR="00DD2072" w:rsidRPr="008C0118" w14:paraId="0D1F801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B811274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Govier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35</w:t>
            </w:r>
          </w:p>
          <w:p w14:paraId="41ADA78F" w14:textId="77777777" w:rsidR="00DD2072" w:rsidRPr="008C0118" w:rsidRDefault="00DD2072" w:rsidP="001F2CB3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E01F45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C085E5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817FF2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BA55DF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212361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FB262F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98C015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B1D1FE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603" w:type="dxa"/>
          </w:tcPr>
          <w:p w14:paraId="075CE57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1DAC65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0F7CA7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Includes only patients who tested positive for COVID-19, may have missed those who did not test and may be biased towards those with better access to testing May not have captured care accessed by patients in a different healthcare system</w:t>
            </w:r>
          </w:p>
        </w:tc>
      </w:tr>
      <w:tr w:rsidR="00DD2072" w:rsidRPr="008C0118" w14:paraId="38E4F20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C82B18E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Graetz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36</w:t>
            </w:r>
          </w:p>
          <w:p w14:paraId="0CE23FF9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EBCED7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0EE453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FE34E0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E34B7E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78031E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C0801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A25D2D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81657F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5C39CB7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303E7BA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81B7C9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Sample may not be representative of target population as only included appointments booked via online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portal</w:t>
            </w:r>
            <w:proofErr w:type="gramEnd"/>
          </w:p>
          <w:p w14:paraId="018726B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Unclear if the appointments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actually occurred</w:t>
            </w:r>
            <w:proofErr w:type="gram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by the modality requested by the patient</w:t>
            </w:r>
          </w:p>
        </w:tc>
      </w:tr>
      <w:tr w:rsidR="00DD2072" w:rsidRPr="008C0118" w14:paraId="6F9CB57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224DAB2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Haderlein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37</w:t>
            </w:r>
          </w:p>
        </w:tc>
        <w:tc>
          <w:tcPr>
            <w:tcW w:w="1611" w:type="dxa"/>
          </w:tcPr>
          <w:p w14:paraId="1AE6A4C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D4D008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E1ADDE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7C038C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44F94F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C12C40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6F7743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E32785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14050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B5EA64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91E046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Sample may not be representative of the wider target population</w:t>
            </w:r>
          </w:p>
        </w:tc>
      </w:tr>
      <w:tr w:rsidR="00DD2072" w:rsidRPr="008C0118" w14:paraId="1A9320F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9EB9231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Li, 2022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27</w:t>
            </w:r>
          </w:p>
          <w:p w14:paraId="0D543F8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4164D8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6A8F6F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B16D06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65469AA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0A79CD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939738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C10A53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59F96F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66F1CA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FAA2E5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2EC0C85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May not be wholly representative of the target population Potential inaccuracies of claims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data</w:t>
            </w:r>
            <w:proofErr w:type="gramEnd"/>
          </w:p>
          <w:p w14:paraId="34D2EB2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confounders are not accounted for as data is unknown</w:t>
            </w:r>
          </w:p>
        </w:tc>
      </w:tr>
      <w:tr w:rsidR="00DD2072" w:rsidRPr="008C0118" w14:paraId="6E592E0E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96369C3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Lovell, 2021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41</w:t>
            </w:r>
          </w:p>
          <w:p w14:paraId="15DD17C3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DE556F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246851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66BCB9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06F629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C24F2F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089167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362EAF7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80D32F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D69921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6172E9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263186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May not be wholly representative of the target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population</w:t>
            </w:r>
            <w:proofErr w:type="gramEnd"/>
          </w:p>
          <w:p w14:paraId="6EAC983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confounders not accounted for as data is unknown</w:t>
            </w:r>
          </w:p>
        </w:tc>
      </w:tr>
      <w:tr w:rsidR="00DD2072" w:rsidRPr="008C0118" w14:paraId="3613064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E48BD74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McGrail, 2017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47</w:t>
            </w:r>
          </w:p>
          <w:p w14:paraId="7798FA68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2CB5DF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EDFD1A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B79B04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466B923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7D62C3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E6A1B3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7A29E1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2496B58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44BF2DE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55198D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6605AD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Sampling strategy (online surveys) may have led to a selection bias Low response rate likely to introduce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bias</w:t>
            </w:r>
            <w:proofErr w:type="gramEnd"/>
          </w:p>
          <w:p w14:paraId="498A174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Survey sample was not representative of entire target population (majority female and married)</w:t>
            </w:r>
          </w:p>
          <w:p w14:paraId="51AB5CC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lastRenderedPageBreak/>
              <w:t>No matching for race and ethnicity which may confound results</w:t>
            </w:r>
          </w:p>
        </w:tc>
      </w:tr>
      <w:tr w:rsidR="00DD2072" w:rsidRPr="008C0118" w14:paraId="067F8EEB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2E580CE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lastRenderedPageBreak/>
              <w:t>Miller, 2019</w:t>
            </w:r>
            <w:r w:rsidRPr="002A138B">
              <w:rPr>
                <w:noProof/>
                <w:color w:val="000000"/>
                <w:sz w:val="22"/>
                <w:szCs w:val="22"/>
                <w:vertAlign w:val="superscript"/>
              </w:rPr>
              <w:t>48</w:t>
            </w:r>
          </w:p>
          <w:p w14:paraId="098B2798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A7AB40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05876A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CCC10C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BAB5EC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860E27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7DDFD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63342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AD3B7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072C9CC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5867B6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23389F0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May not be generalisable to wider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population</w:t>
            </w:r>
            <w:proofErr w:type="gramEnd"/>
          </w:p>
          <w:p w14:paraId="4E3947A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Did not report any numerical evidence for change in delays to appointment</w:t>
            </w:r>
          </w:p>
        </w:tc>
      </w:tr>
      <w:tr w:rsidR="00DD2072" w:rsidRPr="008C0118" w14:paraId="238966BB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69A8364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Neufeld, 2022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49</w:t>
            </w:r>
          </w:p>
          <w:p w14:paraId="50AF921B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A84FC8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AD8EEB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F4B698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B1D3C7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BA5467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E8D4E0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DF618C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520C49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523715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BC0A45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86DC0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Sample not representative of wider population (middle-to-upper class, majority white and female)</w:t>
            </w:r>
          </w:p>
          <w:p w14:paraId="3581A3D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Use of convenience sampling at the physician's discretion may also have led to some selection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bias</w:t>
            </w:r>
            <w:proofErr w:type="gramEnd"/>
          </w:p>
          <w:p w14:paraId="497834A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Survey response rate was 63.5% </w:t>
            </w:r>
          </w:p>
        </w:tc>
      </w:tr>
      <w:tr w:rsidR="00DD2072" w:rsidRPr="008C0118" w14:paraId="447AF6DC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936C8E8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Pierce, 2020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44</w:t>
            </w:r>
          </w:p>
          <w:p w14:paraId="75C6563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4E6E92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98A6CC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E7C0DA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4825513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AAA24C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C5249D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BE7FC5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DC7C49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53CE60F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F6A20A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5742A8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Sample may not be representative of wider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population</w:t>
            </w:r>
            <w:proofErr w:type="gramEnd"/>
          </w:p>
          <w:p w14:paraId="2490077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Potential inaccuracies of claims data Possible confounders not accounted for</w:t>
            </w:r>
          </w:p>
        </w:tc>
      </w:tr>
      <w:tr w:rsidR="00DD2072" w:rsidRPr="008C0118" w14:paraId="759F2BC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C5D2A37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Quinton, 2021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45</w:t>
            </w:r>
          </w:p>
          <w:p w14:paraId="5D296715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864681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59" w:type="dxa"/>
          </w:tcPr>
          <w:p w14:paraId="5EF9536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E018098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AAF097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80A96D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94A491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31E2E90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91253C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F25203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E526BF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Potential inaccuracies of data</w:t>
            </w:r>
          </w:p>
          <w:p w14:paraId="4B040E2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confounders not accounted for</w:t>
            </w:r>
          </w:p>
        </w:tc>
      </w:tr>
      <w:tr w:rsidR="00DD2072" w:rsidRPr="008C0118" w14:paraId="5570038D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65F740A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Reed, 2020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46</w:t>
            </w:r>
          </w:p>
          <w:p w14:paraId="46F3A27C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BAD5CD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14CE9B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539650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15E555F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A1FED2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5DAA84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0763F8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36EE29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FF6E96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E6529F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A08249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Sample may not be representative of wider population Potential inaccuracies of data and misclassification of patients in sociodemographic groups (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e.g.</w:t>
            </w:r>
            <w:proofErr w:type="gram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socioeconomic status was inferred from area level data). </w:t>
            </w:r>
          </w:p>
        </w:tc>
      </w:tr>
      <w:tr w:rsidR="00DD2072" w:rsidRPr="008C0118" w14:paraId="7FF95B1E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545247E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Reed, 2021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38</w:t>
            </w:r>
          </w:p>
          <w:p w14:paraId="0895E1AD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8FF4C8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752827C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08B72A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Can't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tell</w:t>
            </w:r>
            <w:proofErr w:type="gramEnd"/>
          </w:p>
          <w:p w14:paraId="20BB789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30F257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71CCE1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71B71B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72E5809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9842E3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EED3DA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3E633BC9" w14:textId="77777777" w:rsidR="00DD2072" w:rsidRPr="008C0118" w:rsidRDefault="00DD2072" w:rsidP="001F2CB3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Sample may not be representative of wider population Potential inaccuracies of data and misclassification of index visits or patients requiring follow-ups due to the </w:t>
            </w:r>
            <w:proofErr w:type="gram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7 day</w:t>
            </w:r>
            <w:proofErr w:type="gram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 xml:space="preserve"> time frame used</w:t>
            </w:r>
          </w:p>
        </w:tc>
      </w:tr>
      <w:tr w:rsidR="00DD2072" w:rsidRPr="008C0118" w14:paraId="0E015130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C298A95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Rene, 2022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39</w:t>
            </w:r>
          </w:p>
          <w:p w14:paraId="00B63333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8D6E06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66C989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F26490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ACD1EA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A1F0AC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3EE0B2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3E2F99B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432999B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2DFAC1D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7EB566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6A5FA76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Potential inaccuracies of data</w:t>
            </w:r>
          </w:p>
          <w:p w14:paraId="72A70F4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Unclear follow-up period</w:t>
            </w:r>
          </w:p>
        </w:tc>
      </w:tr>
      <w:tr w:rsidR="00DD2072" w:rsidRPr="008C0118" w14:paraId="0C6C901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3945BCD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lastRenderedPageBreak/>
              <w:t>Ryskina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2021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40</w:t>
            </w:r>
          </w:p>
          <w:p w14:paraId="4D92BE9C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1A7392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5748FFE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68F617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59A224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65223C7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6D77457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3B035E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A10B2C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1DA6C67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219BFF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50E5572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Hispanic patients were underrepresented in the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sample</w:t>
            </w:r>
            <w:proofErr w:type="gramEnd"/>
          </w:p>
          <w:p w14:paraId="094DE59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Possible confounders not accounted for </w:t>
            </w:r>
          </w:p>
        </w:tc>
      </w:tr>
      <w:tr w:rsidR="00DD2072" w:rsidRPr="008C0118" w14:paraId="5E780D7C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BE0A6D6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Tan, 2020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26</w:t>
            </w:r>
          </w:p>
          <w:p w14:paraId="346D2979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ADCD69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6521D55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E0367E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3B6640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7277F1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142569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900A72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919B49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5A32303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527097A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4475D9AC" w14:textId="77777777" w:rsidR="00DD2072" w:rsidRPr="008C0118" w:rsidRDefault="00DD2072" w:rsidP="001F2CB3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Sample very small and not representative of wider military population</w:t>
            </w:r>
          </w:p>
          <w:p w14:paraId="782C81AF" w14:textId="77777777" w:rsidR="00DD2072" w:rsidRPr="008C0118" w:rsidRDefault="00DD2072" w:rsidP="001F2CB3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Did not use a validated satisfaction questionnaire</w:t>
            </w:r>
          </w:p>
        </w:tc>
      </w:tr>
      <w:tr w:rsidR="00DD2072" w:rsidRPr="008C0118" w14:paraId="27A0246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EAA3214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Ure</w:t>
            </w:r>
            <w:proofErr w:type="spellEnd"/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, 2022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53</w:t>
            </w:r>
          </w:p>
          <w:p w14:paraId="224FEF8D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FA5B63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434CF69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A9D9E3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0BCB217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0ACE72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D0E1D5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1874A7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0E40D79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89B178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0E1F91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81EEFC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Not representative of wider population</w:t>
            </w:r>
          </w:p>
          <w:p w14:paraId="75E0A29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Possible confounders not accounted for</w:t>
            </w:r>
          </w:p>
          <w:p w14:paraId="45CB69A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</w:tr>
      <w:tr w:rsidR="00DD2072" w:rsidRPr="008C0118" w14:paraId="1C9C5BAD" w14:textId="77777777" w:rsidTr="001F2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5A22265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Wickstrom, 2018</w:t>
            </w:r>
            <w:r w:rsidRPr="00E26191">
              <w:rPr>
                <w:noProof/>
                <w:color w:val="000000"/>
                <w:sz w:val="22"/>
                <w:szCs w:val="22"/>
                <w:vertAlign w:val="superscript"/>
              </w:rPr>
              <w:t>54</w:t>
            </w:r>
          </w:p>
          <w:p w14:paraId="780E4A64" w14:textId="77777777" w:rsidR="00DD2072" w:rsidRPr="008C0118" w:rsidRDefault="00DD2072" w:rsidP="001F2CB3">
            <w:pPr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748C60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1DE1E35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7DDC6B6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0C1161F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1E79A2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No</w:t>
            </w:r>
          </w:p>
          <w:p w14:paraId="7D11425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A2C3AE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2DDCD4F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0BE3A74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/>
                <w:sz w:val="22"/>
                <w:szCs w:val="22"/>
              </w:rPr>
              <w:t>Yes</w:t>
            </w:r>
          </w:p>
          <w:p w14:paraId="37963A6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94C07F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Use of different measurement techniques between the study and control groups may have resulted in differences between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groups</w:t>
            </w:r>
            <w:proofErr w:type="gramEnd"/>
          </w:p>
          <w:p w14:paraId="14DA7A8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 rates of 6 month follow up, especially for the control group</w:t>
            </w:r>
          </w:p>
        </w:tc>
      </w:tr>
    </w:tbl>
    <w:p w14:paraId="3575B744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0004871F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48C05474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br w:type="page"/>
      </w: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5</w:t>
      </w:r>
      <w:r w:rsidRPr="008C0118">
        <w:rPr>
          <w:rFonts w:ascii="Arial Nova" w:hAnsi="Arial Nova"/>
          <w:b/>
          <w:bCs/>
          <w:i/>
          <w:iCs/>
          <w:color w:val="000000" w:themeColor="text1"/>
          <w:sz w:val="22"/>
          <w:szCs w:val="22"/>
        </w:rPr>
        <w:t>.</w:t>
      </w:r>
      <w:r w:rsidRPr="008C0118">
        <w:rPr>
          <w:rFonts w:ascii="Arial Nova" w:hAnsi="Arial Nova"/>
          <w:i/>
          <w:iCs/>
          <w:color w:val="000000" w:themeColor="text1"/>
          <w:sz w:val="22"/>
          <w:szCs w:val="22"/>
        </w:rPr>
        <w:t xml:space="preserve"> </w:t>
      </w:r>
      <w:r w:rsidRPr="008C0118">
        <w:rPr>
          <w:rFonts w:ascii="Arial Nova" w:hAnsi="Arial Nova"/>
          <w:color w:val="000000" w:themeColor="text1"/>
          <w:sz w:val="22"/>
          <w:szCs w:val="22"/>
        </w:rPr>
        <w:t>The efficiency of remote vs face-to face (F2F) consultations.</w:t>
      </w:r>
    </w:p>
    <w:tbl>
      <w:tblPr>
        <w:tblStyle w:val="ListTable6ColourfulAccent1"/>
        <w:tblW w:w="5000" w:type="pct"/>
        <w:tblLook w:val="04A0" w:firstRow="1" w:lastRow="0" w:firstColumn="1" w:lastColumn="0" w:noHBand="0" w:noVBand="1"/>
      </w:tblPr>
      <w:tblGrid>
        <w:gridCol w:w="2072"/>
        <w:gridCol w:w="3501"/>
        <w:gridCol w:w="1993"/>
        <w:gridCol w:w="1759"/>
        <w:gridCol w:w="2834"/>
        <w:gridCol w:w="1801"/>
      </w:tblGrid>
      <w:tr w:rsidR="00DD2072" w:rsidRPr="008C0118" w14:paraId="58DAB4A9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bottom w:val="single" w:sz="4" w:space="0" w:color="auto"/>
            </w:tcBorders>
          </w:tcPr>
          <w:p w14:paraId="1574B5B8" w14:textId="77777777" w:rsidR="00DD2072" w:rsidRPr="008C0118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Author, year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396C116F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Outcome measure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1E5B502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RC mean (95% CI or SD)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645DAD7F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F2F mean (95% CI or SD)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8D5BB93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Mean difference or effect size (95% CI and/or P value) 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3A89F076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79F1C3B2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59519068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59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1DDDE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a) Rates of follow up and hospitalizations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79D6542F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14:paraId="2E687F8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E3AF389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</w:tcBorders>
          </w:tcPr>
          <w:p w14:paraId="4AED7973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Bernstein, 2021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54" w:type="pct"/>
            <w:tcBorders>
              <w:top w:val="single" w:sz="4" w:space="0" w:color="auto"/>
            </w:tcBorders>
          </w:tcPr>
          <w:p w14:paraId="13591F4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 resolution (no follow-up within 30 days) (%)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5D127D6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84.00 (76.50, 90.90)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14:paraId="2960B2C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90.70 (87.70, 93.40)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14:paraId="7DB658A5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5773BD8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383223E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69D7C2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62B1A70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Episodes of care required for resolution</w:t>
            </w:r>
          </w:p>
        </w:tc>
        <w:tc>
          <w:tcPr>
            <w:tcW w:w="714" w:type="pct"/>
          </w:tcPr>
          <w:p w14:paraId="5461D23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2.50 (2.11, 2.72)</w:t>
            </w:r>
          </w:p>
        </w:tc>
        <w:tc>
          <w:tcPr>
            <w:tcW w:w="630" w:type="pct"/>
          </w:tcPr>
          <w:p w14:paraId="47C99E6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2.90 (2.01, 2.42) </w:t>
            </w:r>
          </w:p>
        </w:tc>
        <w:tc>
          <w:tcPr>
            <w:tcW w:w="1015" w:type="pct"/>
          </w:tcPr>
          <w:p w14:paraId="1CCED83F" w14:textId="77777777" w:rsidR="00DD2072" w:rsidRPr="008C0118" w:rsidRDefault="00DD2072" w:rsidP="001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</w:tcPr>
          <w:p w14:paraId="464AA1E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E56AEB0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69796C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3081206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Index visits requiring additional episodes of care (%)</w:t>
            </w:r>
          </w:p>
        </w:tc>
        <w:tc>
          <w:tcPr>
            <w:tcW w:w="714" w:type="pct"/>
          </w:tcPr>
          <w:p w14:paraId="64C5A31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14.80</w:t>
            </w:r>
          </w:p>
        </w:tc>
        <w:tc>
          <w:tcPr>
            <w:tcW w:w="630" w:type="pct"/>
          </w:tcPr>
          <w:p w14:paraId="0D0E19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8.10</w:t>
            </w:r>
          </w:p>
        </w:tc>
        <w:tc>
          <w:tcPr>
            <w:tcW w:w="1015" w:type="pct"/>
          </w:tcPr>
          <w:p w14:paraId="71053C89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</w:tcPr>
          <w:p w14:paraId="70F050B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556819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E788727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Chavez, 2022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31</w:t>
            </w:r>
          </w:p>
        </w:tc>
        <w:tc>
          <w:tcPr>
            <w:tcW w:w="1254" w:type="pct"/>
          </w:tcPr>
          <w:p w14:paraId="20E5CE9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Short-interval follow-up rate (any visit within 60 days) (%)</w:t>
            </w:r>
          </w:p>
        </w:tc>
        <w:tc>
          <w:tcPr>
            <w:tcW w:w="714" w:type="pct"/>
          </w:tcPr>
          <w:p w14:paraId="2B34492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22.80</w:t>
            </w:r>
          </w:p>
        </w:tc>
        <w:tc>
          <w:tcPr>
            <w:tcW w:w="630" w:type="pct"/>
          </w:tcPr>
          <w:p w14:paraId="0FE7617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16.80</w:t>
            </w:r>
          </w:p>
        </w:tc>
        <w:tc>
          <w:tcPr>
            <w:tcW w:w="1015" w:type="pct"/>
          </w:tcPr>
          <w:p w14:paraId="3A93F01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586DBF7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4599E324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2B7078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22A989C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Visits requiring follow-up within 15 days (%)</w:t>
            </w:r>
          </w:p>
        </w:tc>
        <w:tc>
          <w:tcPr>
            <w:tcW w:w="714" w:type="pct"/>
          </w:tcPr>
          <w:p w14:paraId="5D189F0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31.34</w:t>
            </w:r>
          </w:p>
        </w:tc>
        <w:tc>
          <w:tcPr>
            <w:tcW w:w="630" w:type="pct"/>
          </w:tcPr>
          <w:p w14:paraId="14994DF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23.44</w:t>
            </w:r>
          </w:p>
        </w:tc>
        <w:tc>
          <w:tcPr>
            <w:tcW w:w="1015" w:type="pct"/>
          </w:tcPr>
          <w:p w14:paraId="5851040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3715423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AED9E8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BABA788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Li, 2022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27</w:t>
            </w:r>
          </w:p>
        </w:tc>
        <w:tc>
          <w:tcPr>
            <w:tcW w:w="1254" w:type="pct"/>
          </w:tcPr>
          <w:p w14:paraId="4346E2E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Rate of ACSC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visits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(high practice RC vs low practice RC)</w:t>
            </w:r>
          </w:p>
        </w:tc>
        <w:tc>
          <w:tcPr>
            <w:tcW w:w="714" w:type="pct"/>
          </w:tcPr>
          <w:p w14:paraId="117A766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221C3A4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FF3D9B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2.10 (0.22, 3.97)</w:t>
            </w:r>
          </w:p>
        </w:tc>
        <w:tc>
          <w:tcPr>
            <w:tcW w:w="645" w:type="pct"/>
          </w:tcPr>
          <w:p w14:paraId="38F3C58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1AE89E3F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8E7ED73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48D1C0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Rate of ACSC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visits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(medium practice RC vs low practice RC)</w:t>
            </w:r>
          </w:p>
        </w:tc>
        <w:tc>
          <w:tcPr>
            <w:tcW w:w="714" w:type="pct"/>
          </w:tcPr>
          <w:p w14:paraId="7479552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6DC4380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1BA6E27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0.69 (-0.93, 2.21)</w:t>
            </w:r>
          </w:p>
        </w:tc>
        <w:tc>
          <w:tcPr>
            <w:tcW w:w="645" w:type="pct"/>
          </w:tcPr>
          <w:p w14:paraId="6C4B2C1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B0369AE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90B8976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Lovell, 2021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41</w:t>
            </w:r>
          </w:p>
        </w:tc>
        <w:tc>
          <w:tcPr>
            <w:tcW w:w="1254" w:type="pct"/>
          </w:tcPr>
          <w:p w14:paraId="7AA5650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ED follow-up rate (within 21 days) (%)</w:t>
            </w:r>
          </w:p>
        </w:tc>
        <w:tc>
          <w:tcPr>
            <w:tcW w:w="714" w:type="pct"/>
          </w:tcPr>
          <w:p w14:paraId="3620E23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1.80</w:t>
            </w:r>
          </w:p>
        </w:tc>
        <w:tc>
          <w:tcPr>
            <w:tcW w:w="630" w:type="pct"/>
          </w:tcPr>
          <w:p w14:paraId="2692D50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2.60</w:t>
            </w:r>
          </w:p>
        </w:tc>
        <w:tc>
          <w:tcPr>
            <w:tcW w:w="1015" w:type="pct"/>
          </w:tcPr>
          <w:p w14:paraId="6A04771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1.49 (0.87,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2.12;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4858A01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07AF823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1CF9F65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3C6BBE3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Inpatient follow-up rate (within 21 days) (%)</w:t>
            </w:r>
          </w:p>
        </w:tc>
        <w:tc>
          <w:tcPr>
            <w:tcW w:w="714" w:type="pct"/>
          </w:tcPr>
          <w:p w14:paraId="0C6E46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630" w:type="pct"/>
          </w:tcPr>
          <w:p w14:paraId="7D94D2D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1015" w:type="pct"/>
          </w:tcPr>
          <w:p w14:paraId="5168FFC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1.77 (0.22, 3,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32;P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442983B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DD2072" w:rsidRPr="008C0118" w14:paraId="239C0D9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32427D0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D18459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Any visit follow-up rate (within 21 days) (%)</w:t>
            </w:r>
          </w:p>
        </w:tc>
        <w:tc>
          <w:tcPr>
            <w:tcW w:w="714" w:type="pct"/>
          </w:tcPr>
          <w:p w14:paraId="37332CA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35.30</w:t>
            </w:r>
          </w:p>
        </w:tc>
        <w:tc>
          <w:tcPr>
            <w:tcW w:w="630" w:type="pct"/>
          </w:tcPr>
          <w:p w14:paraId="4144678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35.70</w:t>
            </w:r>
          </w:p>
        </w:tc>
        <w:tc>
          <w:tcPr>
            <w:tcW w:w="1015" w:type="pct"/>
          </w:tcPr>
          <w:p w14:paraId="784522C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1.01 (0.94, 1.09: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0F53F99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24767A5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4C363D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6D9986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E&amp;M follow-up rate (within 21 days) (%)</w:t>
            </w:r>
          </w:p>
        </w:tc>
        <w:tc>
          <w:tcPr>
            <w:tcW w:w="714" w:type="pct"/>
          </w:tcPr>
          <w:p w14:paraId="24B87FD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26.60</w:t>
            </w:r>
          </w:p>
        </w:tc>
        <w:tc>
          <w:tcPr>
            <w:tcW w:w="630" w:type="pct"/>
          </w:tcPr>
          <w:p w14:paraId="550CF51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22.60</w:t>
            </w:r>
          </w:p>
        </w:tc>
        <w:tc>
          <w:tcPr>
            <w:tcW w:w="1015" w:type="pct"/>
          </w:tcPr>
          <w:p w14:paraId="6D23E7C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0.85 (0.77,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0.93;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157F5E0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87195A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185FFFC2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McGrail, 2017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47</w:t>
            </w:r>
          </w:p>
        </w:tc>
        <w:tc>
          <w:tcPr>
            <w:tcW w:w="1254" w:type="pct"/>
          </w:tcPr>
          <w:p w14:paraId="35E36EA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GP follow-up rate (within 30 days) (%)</w:t>
            </w:r>
          </w:p>
        </w:tc>
        <w:tc>
          <w:tcPr>
            <w:tcW w:w="714" w:type="pct"/>
          </w:tcPr>
          <w:p w14:paraId="7118A07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1.55</w:t>
            </w:r>
          </w:p>
        </w:tc>
        <w:tc>
          <w:tcPr>
            <w:tcW w:w="630" w:type="pct"/>
          </w:tcPr>
          <w:p w14:paraId="58D1882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1.43</w:t>
            </w:r>
          </w:p>
        </w:tc>
        <w:tc>
          <w:tcPr>
            <w:tcW w:w="1015" w:type="pct"/>
          </w:tcPr>
          <w:p w14:paraId="7960B7D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0.45)</w:t>
            </w:r>
          </w:p>
        </w:tc>
        <w:tc>
          <w:tcPr>
            <w:tcW w:w="645" w:type="pct"/>
          </w:tcPr>
          <w:p w14:paraId="0E79F9D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3D9B66A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887E40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5043431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Medical specialist follow-up rate (within 30 days) (%)</w:t>
            </w:r>
          </w:p>
        </w:tc>
        <w:tc>
          <w:tcPr>
            <w:tcW w:w="714" w:type="pct"/>
          </w:tcPr>
          <w:p w14:paraId="3F71E12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1.72</w:t>
            </w:r>
          </w:p>
        </w:tc>
        <w:tc>
          <w:tcPr>
            <w:tcW w:w="630" w:type="pct"/>
          </w:tcPr>
          <w:p w14:paraId="0ED7BBE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1.62</w:t>
            </w:r>
          </w:p>
        </w:tc>
        <w:tc>
          <w:tcPr>
            <w:tcW w:w="1015" w:type="pct"/>
          </w:tcPr>
          <w:p w14:paraId="054FACB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0.58)</w:t>
            </w:r>
          </w:p>
        </w:tc>
        <w:tc>
          <w:tcPr>
            <w:tcW w:w="645" w:type="pct"/>
          </w:tcPr>
          <w:p w14:paraId="5CA1934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7A5C12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DBEE5EC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6F8757D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Surgical specialist follow-up rate (within 30 days) (%)</w:t>
            </w:r>
          </w:p>
        </w:tc>
        <w:tc>
          <w:tcPr>
            <w:tcW w:w="714" w:type="pct"/>
          </w:tcPr>
          <w:p w14:paraId="36429DE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630" w:type="pct"/>
          </w:tcPr>
          <w:p w14:paraId="34B0F1C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2.18</w:t>
            </w:r>
          </w:p>
        </w:tc>
        <w:tc>
          <w:tcPr>
            <w:tcW w:w="1015" w:type="pct"/>
          </w:tcPr>
          <w:p w14:paraId="0337212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74FEA25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3DFBD3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5CF03A9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lastRenderedPageBreak/>
              <w:t>Gordon, 2017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34</w:t>
            </w:r>
          </w:p>
        </w:tc>
        <w:tc>
          <w:tcPr>
            <w:tcW w:w="1254" w:type="pct"/>
          </w:tcPr>
          <w:p w14:paraId="070517B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Outpatient follow-up rate (within 3 weeks) (%)</w:t>
            </w:r>
          </w:p>
        </w:tc>
        <w:tc>
          <w:tcPr>
            <w:tcW w:w="714" w:type="pct"/>
          </w:tcPr>
          <w:p w14:paraId="696A8A6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28.09</w:t>
            </w:r>
          </w:p>
        </w:tc>
        <w:tc>
          <w:tcPr>
            <w:tcW w:w="630" w:type="pct"/>
          </w:tcPr>
          <w:p w14:paraId="374DB9D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28.10</w:t>
            </w:r>
          </w:p>
        </w:tc>
        <w:tc>
          <w:tcPr>
            <w:tcW w:w="1015" w:type="pct"/>
          </w:tcPr>
          <w:p w14:paraId="3BDE333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0.96)</w:t>
            </w:r>
          </w:p>
        </w:tc>
        <w:tc>
          <w:tcPr>
            <w:tcW w:w="645" w:type="pct"/>
          </w:tcPr>
          <w:p w14:paraId="565F5F8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288E535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596BC425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1650AA5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ED follow-up rate (within 3 weeks) (%)</w:t>
            </w:r>
          </w:p>
        </w:tc>
        <w:tc>
          <w:tcPr>
            <w:tcW w:w="714" w:type="pct"/>
          </w:tcPr>
          <w:p w14:paraId="2FA4935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1.32</w:t>
            </w:r>
          </w:p>
        </w:tc>
        <w:tc>
          <w:tcPr>
            <w:tcW w:w="630" w:type="pct"/>
          </w:tcPr>
          <w:p w14:paraId="57B55D7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1.84</w:t>
            </w:r>
          </w:p>
        </w:tc>
        <w:tc>
          <w:tcPr>
            <w:tcW w:w="1015" w:type="pct"/>
          </w:tcPr>
          <w:p w14:paraId="63CFE83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0.02)</w:t>
            </w:r>
          </w:p>
        </w:tc>
        <w:tc>
          <w:tcPr>
            <w:tcW w:w="645" w:type="pct"/>
          </w:tcPr>
          <w:p w14:paraId="3A0D3A9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24E3907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71FA37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13CFFAC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Inpatient hospitalization (within 3 weeks) (%)</w:t>
            </w:r>
          </w:p>
        </w:tc>
        <w:tc>
          <w:tcPr>
            <w:tcW w:w="714" w:type="pct"/>
          </w:tcPr>
          <w:p w14:paraId="2CD4949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630" w:type="pct"/>
          </w:tcPr>
          <w:p w14:paraId="7256093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1015" w:type="pct"/>
          </w:tcPr>
          <w:p w14:paraId="69ACC6C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0.02)</w:t>
            </w:r>
          </w:p>
        </w:tc>
        <w:tc>
          <w:tcPr>
            <w:tcW w:w="645" w:type="pct"/>
          </w:tcPr>
          <w:p w14:paraId="24523F2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DD2072" w:rsidRPr="008C0118" w14:paraId="1634EB8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DEE844F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Reed, 2021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38</w:t>
            </w:r>
          </w:p>
        </w:tc>
        <w:tc>
          <w:tcPr>
            <w:tcW w:w="1254" w:type="pct"/>
          </w:tcPr>
          <w:p w14:paraId="1256781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Office follow-up rate (within 7 days) (%) (RC = video)</w:t>
            </w:r>
          </w:p>
        </w:tc>
        <w:tc>
          <w:tcPr>
            <w:tcW w:w="714" w:type="pct"/>
          </w:tcPr>
          <w:p w14:paraId="1A4A978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25.40 (24.70, 26.00)</w:t>
            </w:r>
          </w:p>
        </w:tc>
        <w:tc>
          <w:tcPr>
            <w:tcW w:w="630" w:type="pct"/>
          </w:tcPr>
          <w:p w14:paraId="3AA2CE5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24.50 (24.50, 24.60)</w:t>
            </w:r>
          </w:p>
        </w:tc>
        <w:tc>
          <w:tcPr>
            <w:tcW w:w="1015" w:type="pct"/>
          </w:tcPr>
          <w:p w14:paraId="12D3767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0.05)</w:t>
            </w:r>
          </w:p>
        </w:tc>
        <w:tc>
          <w:tcPr>
            <w:tcW w:w="645" w:type="pct"/>
          </w:tcPr>
          <w:p w14:paraId="557575C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53BFA4AC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73C5A6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316522B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Office follow-up rate (within 7 days) (%) (RC = telephone)</w:t>
            </w:r>
          </w:p>
        </w:tc>
        <w:tc>
          <w:tcPr>
            <w:tcW w:w="714" w:type="pct"/>
          </w:tcPr>
          <w:p w14:paraId="0FF2C07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26.00 (25.90, 26.20)</w:t>
            </w:r>
          </w:p>
        </w:tc>
        <w:tc>
          <w:tcPr>
            <w:tcW w:w="630" w:type="pct"/>
          </w:tcPr>
          <w:p w14:paraId="6ECF8A1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24.50 (24.50, 24.60)</w:t>
            </w:r>
          </w:p>
        </w:tc>
        <w:tc>
          <w:tcPr>
            <w:tcW w:w="1015" w:type="pct"/>
          </w:tcPr>
          <w:p w14:paraId="2AF0CEC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0.05)</w:t>
            </w:r>
          </w:p>
        </w:tc>
        <w:tc>
          <w:tcPr>
            <w:tcW w:w="645" w:type="pct"/>
          </w:tcPr>
          <w:p w14:paraId="7338591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BC9344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A1D2D21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C59323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ED follow-up rate (within 7 days) (%) (RC = video)</w:t>
            </w:r>
          </w:p>
        </w:tc>
        <w:tc>
          <w:tcPr>
            <w:tcW w:w="714" w:type="pct"/>
          </w:tcPr>
          <w:p w14:paraId="14E933B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1.23 (1.06, 1.40)</w:t>
            </w:r>
          </w:p>
        </w:tc>
        <w:tc>
          <w:tcPr>
            <w:tcW w:w="630" w:type="pct"/>
          </w:tcPr>
          <w:p w14:paraId="5170C57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1.30 (1.29, 1.32)</w:t>
            </w:r>
          </w:p>
        </w:tc>
        <w:tc>
          <w:tcPr>
            <w:tcW w:w="1015" w:type="pct"/>
          </w:tcPr>
          <w:p w14:paraId="6E557B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607BE33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7AA28D9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40E6C26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6FBD085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ED follow-up rate (within 7 days) (%) (RC: telephone)</w:t>
            </w:r>
          </w:p>
        </w:tc>
        <w:tc>
          <w:tcPr>
            <w:tcW w:w="714" w:type="pct"/>
          </w:tcPr>
          <w:p w14:paraId="41F5D56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1.37 (1.33, 1.41)</w:t>
            </w:r>
          </w:p>
        </w:tc>
        <w:tc>
          <w:tcPr>
            <w:tcW w:w="630" w:type="pct"/>
          </w:tcPr>
          <w:p w14:paraId="0F08F4E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1.30 (1.29, 1.32)</w:t>
            </w:r>
          </w:p>
        </w:tc>
        <w:tc>
          <w:tcPr>
            <w:tcW w:w="1015" w:type="pct"/>
          </w:tcPr>
          <w:p w14:paraId="65A776D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6486EFC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9C6EFE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45EDC81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E225AE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Hospitalization rate (within 7 days) (%) (RC = video)</w:t>
            </w:r>
          </w:p>
        </w:tc>
        <w:tc>
          <w:tcPr>
            <w:tcW w:w="714" w:type="pct"/>
          </w:tcPr>
          <w:p w14:paraId="1706E28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0.23 (0.14, 0.32)</w:t>
            </w:r>
          </w:p>
        </w:tc>
        <w:tc>
          <w:tcPr>
            <w:tcW w:w="630" w:type="pct"/>
          </w:tcPr>
          <w:p w14:paraId="7E2D4A3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0.23 (0.22, 0.24)</w:t>
            </w:r>
          </w:p>
        </w:tc>
        <w:tc>
          <w:tcPr>
            <w:tcW w:w="1015" w:type="pct"/>
          </w:tcPr>
          <w:p w14:paraId="2A85969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61EE307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DD2072" w:rsidRPr="008C0118" w14:paraId="616ED892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2FEDFEC8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5854094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Hospitalization rate (within 7 days) (%) (RC = telephone)</w:t>
            </w:r>
          </w:p>
        </w:tc>
        <w:tc>
          <w:tcPr>
            <w:tcW w:w="714" w:type="pct"/>
          </w:tcPr>
          <w:p w14:paraId="2AF50C1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0.22 (0.21, 0.24)</w:t>
            </w:r>
          </w:p>
        </w:tc>
        <w:tc>
          <w:tcPr>
            <w:tcW w:w="630" w:type="pct"/>
          </w:tcPr>
          <w:p w14:paraId="15DC93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0.23 (0.22, 0.24)</w:t>
            </w:r>
          </w:p>
        </w:tc>
        <w:tc>
          <w:tcPr>
            <w:tcW w:w="1015" w:type="pct"/>
          </w:tcPr>
          <w:p w14:paraId="4A1E54E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08AC9F7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DD2072" w:rsidRPr="008C0118" w14:paraId="7E0A475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4773D4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Ure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, 2022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53</w:t>
            </w:r>
          </w:p>
        </w:tc>
        <w:tc>
          <w:tcPr>
            <w:tcW w:w="1254" w:type="pct"/>
          </w:tcPr>
          <w:p w14:paraId="1D77417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Rate of re-triage (within 7 days) (%)</w:t>
            </w:r>
          </w:p>
        </w:tc>
        <w:tc>
          <w:tcPr>
            <w:tcW w:w="714" w:type="pct"/>
          </w:tcPr>
          <w:p w14:paraId="03161B6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630" w:type="pct"/>
          </w:tcPr>
          <w:p w14:paraId="02266E0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7.00</w:t>
            </w:r>
          </w:p>
        </w:tc>
        <w:tc>
          <w:tcPr>
            <w:tcW w:w="1015" w:type="pct"/>
          </w:tcPr>
          <w:p w14:paraId="1758B9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(P &lt; 0.05)</w:t>
            </w:r>
          </w:p>
        </w:tc>
        <w:tc>
          <w:tcPr>
            <w:tcW w:w="645" w:type="pct"/>
          </w:tcPr>
          <w:p w14:paraId="41D4068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5EDDB3D9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B60B3D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Ryskina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, 2021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254" w:type="pct"/>
          </w:tcPr>
          <w:p w14:paraId="77E139D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Odds of ACSC hospitalization (within 14 days) (RC vs F2F)</w:t>
            </w:r>
          </w:p>
        </w:tc>
        <w:tc>
          <w:tcPr>
            <w:tcW w:w="714" w:type="pct"/>
          </w:tcPr>
          <w:p w14:paraId="1675DAF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425EA73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44421FF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0.78 (0.61, 1.00;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0.049)</w:t>
            </w:r>
          </w:p>
        </w:tc>
        <w:tc>
          <w:tcPr>
            <w:tcW w:w="645" w:type="pct"/>
          </w:tcPr>
          <w:p w14:paraId="37D0C33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793AB6D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A4985B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719C91C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Odds of all-cause hospitalization (within 14 days) (RC vs F2F)</w:t>
            </w:r>
          </w:p>
        </w:tc>
        <w:tc>
          <w:tcPr>
            <w:tcW w:w="714" w:type="pct"/>
          </w:tcPr>
          <w:p w14:paraId="1E92664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716A6E8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1B2049B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0.72 (0.57, 0.90;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0.004)</w:t>
            </w:r>
          </w:p>
        </w:tc>
        <w:tc>
          <w:tcPr>
            <w:tcW w:w="645" w:type="pct"/>
          </w:tcPr>
          <w:p w14:paraId="40B84BA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7A4E84B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5C84E491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Miller, 2019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48</w:t>
            </w:r>
          </w:p>
        </w:tc>
        <w:tc>
          <w:tcPr>
            <w:tcW w:w="1254" w:type="pct"/>
          </w:tcPr>
          <w:p w14:paraId="71416AC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GP visits per patient per year</w:t>
            </w:r>
          </w:p>
        </w:tc>
        <w:tc>
          <w:tcPr>
            <w:tcW w:w="714" w:type="pct"/>
          </w:tcPr>
          <w:p w14:paraId="75A99DB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0715793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5DD8CC5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0.193)</w:t>
            </w:r>
          </w:p>
        </w:tc>
        <w:tc>
          <w:tcPr>
            <w:tcW w:w="645" w:type="pct"/>
          </w:tcPr>
          <w:p w14:paraId="6123DB6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3B4CD65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4C7051F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0C05974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referrals to hospital per month</w:t>
            </w:r>
          </w:p>
        </w:tc>
        <w:tc>
          <w:tcPr>
            <w:tcW w:w="714" w:type="pct"/>
          </w:tcPr>
          <w:p w14:paraId="4D8A10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630" w:type="pct"/>
          </w:tcPr>
          <w:p w14:paraId="449F738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1015" w:type="pct"/>
          </w:tcPr>
          <w:p w14:paraId="3420901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11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0.181)</w:t>
            </w:r>
          </w:p>
        </w:tc>
        <w:tc>
          <w:tcPr>
            <w:tcW w:w="645" w:type="pct"/>
          </w:tcPr>
          <w:p w14:paraId="604467B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DD2072" w:rsidRPr="008C0118" w14:paraId="1DCB4DB0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DC88EAC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62160AA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visits to GP out-of-hours per month</w:t>
            </w:r>
          </w:p>
        </w:tc>
        <w:tc>
          <w:tcPr>
            <w:tcW w:w="714" w:type="pct"/>
          </w:tcPr>
          <w:p w14:paraId="02A30B3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630" w:type="pct"/>
          </w:tcPr>
          <w:p w14:paraId="43F254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304</w:t>
            </w:r>
          </w:p>
        </w:tc>
        <w:tc>
          <w:tcPr>
            <w:tcW w:w="1015" w:type="pct"/>
          </w:tcPr>
          <w:p w14:paraId="42AB7D0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9(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0.56)</w:t>
            </w:r>
          </w:p>
        </w:tc>
        <w:tc>
          <w:tcPr>
            <w:tcW w:w="645" w:type="pct"/>
          </w:tcPr>
          <w:p w14:paraId="47E7AC5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B92F8DB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bottom w:val="single" w:sz="4" w:space="0" w:color="auto"/>
            </w:tcBorders>
          </w:tcPr>
          <w:p w14:paraId="1B7028B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38D79F4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Sum of local ED visits per intervention period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306E8C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3700 of 66228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B1CB65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6771 of 122428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178B18B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0.73)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4E4015D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D52C283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2061A6E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5D4DA2D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b) Patient costs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66E178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14:paraId="4888AF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3EC32EC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14:paraId="60E571F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8CA9FA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</w:tcBorders>
          </w:tcPr>
          <w:p w14:paraId="4AFCFFF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Gordon, 2017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34</w:t>
            </w:r>
          </w:p>
        </w:tc>
        <w:tc>
          <w:tcPr>
            <w:tcW w:w="1254" w:type="pct"/>
            <w:tcBorders>
              <w:top w:val="single" w:sz="4" w:space="0" w:color="auto"/>
            </w:tcBorders>
          </w:tcPr>
          <w:p w14:paraId="66F59C6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Cost of index visit (USD)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777DC8D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$49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14:paraId="2F8E235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$109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14:paraId="7AEE8E9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$60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2CE1AD8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19113B3A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405BCFC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1D3F577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Average medical costs within 3-week follow-up (USD)</w:t>
            </w:r>
          </w:p>
        </w:tc>
        <w:tc>
          <w:tcPr>
            <w:tcW w:w="714" w:type="pct"/>
          </w:tcPr>
          <w:p w14:paraId="220B5D5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$200</w:t>
            </w:r>
          </w:p>
        </w:tc>
        <w:tc>
          <w:tcPr>
            <w:tcW w:w="630" w:type="pct"/>
          </w:tcPr>
          <w:p w14:paraId="290824F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$288</w:t>
            </w:r>
          </w:p>
        </w:tc>
        <w:tc>
          <w:tcPr>
            <w:tcW w:w="1015" w:type="pct"/>
          </w:tcPr>
          <w:p w14:paraId="387F4CE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06B6421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3EDA07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4519EAA0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Lovell, 2021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41</w:t>
            </w:r>
          </w:p>
        </w:tc>
        <w:tc>
          <w:tcPr>
            <w:tcW w:w="1254" w:type="pct"/>
          </w:tcPr>
          <w:p w14:paraId="0E4ACBB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Cost of index visit (USD)</w:t>
            </w:r>
          </w:p>
        </w:tc>
        <w:tc>
          <w:tcPr>
            <w:tcW w:w="714" w:type="pct"/>
          </w:tcPr>
          <w:p w14:paraId="6675681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$45</w:t>
            </w:r>
          </w:p>
        </w:tc>
        <w:tc>
          <w:tcPr>
            <w:tcW w:w="630" w:type="pct"/>
          </w:tcPr>
          <w:p w14:paraId="41283BC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$114</w:t>
            </w:r>
          </w:p>
        </w:tc>
        <w:tc>
          <w:tcPr>
            <w:tcW w:w="1015" w:type="pct"/>
          </w:tcPr>
          <w:p w14:paraId="3F8A75A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2.54 (2.46,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2.62;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3DD01CC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09B9CA26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E32C83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7D37693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Pharmacy costs within 21 days of index (USD)</w:t>
            </w:r>
          </w:p>
        </w:tc>
        <w:tc>
          <w:tcPr>
            <w:tcW w:w="714" w:type="pct"/>
          </w:tcPr>
          <w:p w14:paraId="51CBC28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$111</w:t>
            </w:r>
          </w:p>
        </w:tc>
        <w:tc>
          <w:tcPr>
            <w:tcW w:w="630" w:type="pct"/>
          </w:tcPr>
          <w:p w14:paraId="10F2E91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$117</w:t>
            </w:r>
          </w:p>
        </w:tc>
        <w:tc>
          <w:tcPr>
            <w:tcW w:w="1015" w:type="pct"/>
          </w:tcPr>
          <w:p w14:paraId="51E52A1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1.06 (0.82, 1.29;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5" w:type="pct"/>
          </w:tcPr>
          <w:p w14:paraId="5F8B9AA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F6F06E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78CCB7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2F66DF9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Follow-up costs within 21 days (USD) </w:t>
            </w:r>
          </w:p>
        </w:tc>
        <w:tc>
          <w:tcPr>
            <w:tcW w:w="714" w:type="pct"/>
          </w:tcPr>
          <w:p w14:paraId="189C564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$288</w:t>
            </w:r>
          </w:p>
        </w:tc>
        <w:tc>
          <w:tcPr>
            <w:tcW w:w="630" w:type="pct"/>
          </w:tcPr>
          <w:p w14:paraId="40A6EB5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$490</w:t>
            </w:r>
          </w:p>
        </w:tc>
        <w:tc>
          <w:tcPr>
            <w:tcW w:w="1015" w:type="pct"/>
          </w:tcPr>
          <w:p w14:paraId="5EA0152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1.70 (1.04,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2.36;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0.038)</w:t>
            </w:r>
          </w:p>
        </w:tc>
        <w:tc>
          <w:tcPr>
            <w:tcW w:w="645" w:type="pct"/>
          </w:tcPr>
          <w:p w14:paraId="3E57F56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002A6C3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71699201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7A131D6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Average total costs (USD)</w:t>
            </w:r>
          </w:p>
        </w:tc>
        <w:tc>
          <w:tcPr>
            <w:tcW w:w="714" w:type="pct"/>
          </w:tcPr>
          <w:p w14:paraId="4A5B1D8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$429</w:t>
            </w:r>
          </w:p>
        </w:tc>
        <w:tc>
          <w:tcPr>
            <w:tcW w:w="630" w:type="pct"/>
          </w:tcPr>
          <w:p w14:paraId="2488B7A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$707</w:t>
            </w:r>
          </w:p>
        </w:tc>
        <w:tc>
          <w:tcPr>
            <w:tcW w:w="1015" w:type="pct"/>
          </w:tcPr>
          <w:p w14:paraId="2BFA8C4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1.65 (1.26,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2.04;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45E4A7B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EBDCFB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0C4892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Egede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, 2017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254" w:type="pct"/>
          </w:tcPr>
          <w:p w14:paraId="7ECDFF1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Inpatient cost trajectories over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time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(RC vs F2F)</w:t>
            </w:r>
          </w:p>
        </w:tc>
        <w:tc>
          <w:tcPr>
            <w:tcW w:w="714" w:type="pct"/>
          </w:tcPr>
          <w:p w14:paraId="3FC1285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7034A68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EE599F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0.17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0.845)</w:t>
            </w:r>
          </w:p>
        </w:tc>
        <w:tc>
          <w:tcPr>
            <w:tcW w:w="645" w:type="pct"/>
          </w:tcPr>
          <w:p w14:paraId="39500AD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26D5AA0D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2D5D2D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005EFD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Outpatient cost trajectories over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time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(RC vs F2F)</w:t>
            </w:r>
          </w:p>
        </w:tc>
        <w:tc>
          <w:tcPr>
            <w:tcW w:w="714" w:type="pct"/>
          </w:tcPr>
          <w:p w14:paraId="3ECE3F3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095B87A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177002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−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0.07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0.071)</w:t>
            </w:r>
          </w:p>
        </w:tc>
        <w:tc>
          <w:tcPr>
            <w:tcW w:w="645" w:type="pct"/>
          </w:tcPr>
          <w:p w14:paraId="3F25C3C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A31C21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DE983FF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3279AE3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Pharmacy cost trajectories over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time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(RC vs F2F)</w:t>
            </w:r>
          </w:p>
        </w:tc>
        <w:tc>
          <w:tcPr>
            <w:tcW w:w="714" w:type="pct"/>
          </w:tcPr>
          <w:p w14:paraId="011D796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62C837B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360D6D2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0.01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0.805)</w:t>
            </w:r>
          </w:p>
        </w:tc>
        <w:tc>
          <w:tcPr>
            <w:tcW w:w="645" w:type="pct"/>
          </w:tcPr>
          <w:p w14:paraId="3C20322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7E51E4A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21F09D3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Manski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-Nankervis, 2022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42</w:t>
            </w:r>
          </w:p>
        </w:tc>
        <w:tc>
          <w:tcPr>
            <w:tcW w:w="1254" w:type="pct"/>
          </w:tcPr>
          <w:p w14:paraId="26CD0AA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Mean total cost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saving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c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from RC vs F2F (AUD)</w:t>
            </w:r>
          </w:p>
        </w:tc>
        <w:tc>
          <w:tcPr>
            <w:tcW w:w="714" w:type="pct"/>
          </w:tcPr>
          <w:p w14:paraId="231F365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</w:tcPr>
          <w:p w14:paraId="7F74508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</w:tcPr>
          <w:p w14:paraId="2C41B8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$61.36 ($53.24, $69.48)</w:t>
            </w:r>
          </w:p>
        </w:tc>
        <w:tc>
          <w:tcPr>
            <w:tcW w:w="645" w:type="pct"/>
          </w:tcPr>
          <w:p w14:paraId="70513ED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650E020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bottom w:val="single" w:sz="4" w:space="0" w:color="auto"/>
            </w:tcBorders>
          </w:tcPr>
          <w:p w14:paraId="2BC7E8B5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McGrail, 2017</w:t>
            </w:r>
            <w:r w:rsidRPr="00E26191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47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2F3729E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Trend in cost of primary care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services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d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(CAD) (RC vs F2F)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24FDEC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D218FC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0B95439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-$3.79 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0.01)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784E0B2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65D948C8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6571795F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A2AB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c) Appointment characteristics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14:paraId="3156B72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66BE38B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14:paraId="2A9309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A1C176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4" w:space="0" w:color="auto"/>
            </w:tcBorders>
          </w:tcPr>
          <w:p w14:paraId="5BCA111F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Frank, 2021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33</w:t>
            </w:r>
          </w:p>
        </w:tc>
        <w:tc>
          <w:tcPr>
            <w:tcW w:w="1254" w:type="pct"/>
            <w:tcBorders>
              <w:top w:val="single" w:sz="4" w:space="0" w:color="auto"/>
            </w:tcBorders>
          </w:tcPr>
          <w:p w14:paraId="71FFC4C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Number of appointments attended 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7C2BE89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2.17 (4.46)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14:paraId="3B85F56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1.19 (2.08)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14:paraId="1D23DAC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0.002)</w:t>
            </w: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038C581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1BAF437F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62BA112C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1731A78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appointment cancellations</w:t>
            </w:r>
          </w:p>
        </w:tc>
        <w:tc>
          <w:tcPr>
            <w:tcW w:w="714" w:type="pct"/>
          </w:tcPr>
          <w:p w14:paraId="66F447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0.14 (0.49)</w:t>
            </w:r>
          </w:p>
        </w:tc>
        <w:tc>
          <w:tcPr>
            <w:tcW w:w="630" w:type="pct"/>
          </w:tcPr>
          <w:p w14:paraId="446102D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0.53 (1.03)</w:t>
            </w:r>
          </w:p>
        </w:tc>
        <w:tc>
          <w:tcPr>
            <w:tcW w:w="1015" w:type="pct"/>
          </w:tcPr>
          <w:p w14:paraId="58B7853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137F74C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9A7DD8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2DBD0CC5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Rene,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39</w:t>
            </w:r>
          </w:p>
        </w:tc>
        <w:tc>
          <w:tcPr>
            <w:tcW w:w="1254" w:type="pct"/>
          </w:tcPr>
          <w:p w14:paraId="489FACC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appointment cancellations</w:t>
            </w:r>
          </w:p>
        </w:tc>
        <w:tc>
          <w:tcPr>
            <w:tcW w:w="714" w:type="pct"/>
          </w:tcPr>
          <w:p w14:paraId="30B4CFA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0.45 (0.81)</w:t>
            </w:r>
          </w:p>
        </w:tc>
        <w:tc>
          <w:tcPr>
            <w:tcW w:w="630" w:type="pct"/>
          </w:tcPr>
          <w:p w14:paraId="238FD0D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0.36 (0.76)</w:t>
            </w:r>
          </w:p>
        </w:tc>
        <w:tc>
          <w:tcPr>
            <w:tcW w:w="1015" w:type="pct"/>
          </w:tcPr>
          <w:p w14:paraId="5F4C0D1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0.003)</w:t>
            </w:r>
          </w:p>
        </w:tc>
        <w:tc>
          <w:tcPr>
            <w:tcW w:w="645" w:type="pct"/>
          </w:tcPr>
          <w:p w14:paraId="039F19A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38E8076B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7EA774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48EEECE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appointment no-shows</w:t>
            </w:r>
          </w:p>
        </w:tc>
        <w:tc>
          <w:tcPr>
            <w:tcW w:w="714" w:type="pct"/>
          </w:tcPr>
          <w:p w14:paraId="1104564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0.38 (0.67)</w:t>
            </w:r>
          </w:p>
        </w:tc>
        <w:tc>
          <w:tcPr>
            <w:tcW w:w="630" w:type="pct"/>
          </w:tcPr>
          <w:p w14:paraId="6E6DD5C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0.25 (0.54)</w:t>
            </w:r>
          </w:p>
        </w:tc>
        <w:tc>
          <w:tcPr>
            <w:tcW w:w="1015" w:type="pct"/>
          </w:tcPr>
          <w:p w14:paraId="06AE144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0.26)</w:t>
            </w:r>
          </w:p>
        </w:tc>
        <w:tc>
          <w:tcPr>
            <w:tcW w:w="645" w:type="pct"/>
          </w:tcPr>
          <w:p w14:paraId="5F4D70A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4B83F7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38716FA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pct"/>
          </w:tcPr>
          <w:p w14:paraId="72D56D6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appointments attended</w:t>
            </w:r>
          </w:p>
        </w:tc>
        <w:tc>
          <w:tcPr>
            <w:tcW w:w="714" w:type="pct"/>
          </w:tcPr>
          <w:p w14:paraId="00D3CFE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2.15 (2.24)</w:t>
            </w:r>
          </w:p>
        </w:tc>
        <w:tc>
          <w:tcPr>
            <w:tcW w:w="630" w:type="pct"/>
          </w:tcPr>
          <w:p w14:paraId="58DCB58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3.32 (1.49)</w:t>
            </w:r>
          </w:p>
        </w:tc>
        <w:tc>
          <w:tcPr>
            <w:tcW w:w="1015" w:type="pct"/>
          </w:tcPr>
          <w:p w14:paraId="262BD9C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5" w:type="pct"/>
          </w:tcPr>
          <w:p w14:paraId="7B4D6F6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FAD2F5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B67080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Tan, 2020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26</w:t>
            </w:r>
          </w:p>
        </w:tc>
        <w:tc>
          <w:tcPr>
            <w:tcW w:w="1254" w:type="pct"/>
          </w:tcPr>
          <w:p w14:paraId="0AACBC6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Consultation length</w:t>
            </w:r>
          </w:p>
        </w:tc>
        <w:tc>
          <w:tcPr>
            <w:tcW w:w="714" w:type="pct"/>
          </w:tcPr>
          <w:p w14:paraId="1FC59C6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 min 19 sec</w:t>
            </w:r>
          </w:p>
        </w:tc>
        <w:tc>
          <w:tcPr>
            <w:tcW w:w="630" w:type="pct"/>
          </w:tcPr>
          <w:p w14:paraId="7B0E107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 min 34 sec</w:t>
            </w:r>
          </w:p>
        </w:tc>
        <w:tc>
          <w:tcPr>
            <w:tcW w:w="1015" w:type="pct"/>
          </w:tcPr>
          <w:p w14:paraId="659A27B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0.048)</w:t>
            </w:r>
          </w:p>
        </w:tc>
        <w:tc>
          <w:tcPr>
            <w:tcW w:w="645" w:type="pct"/>
          </w:tcPr>
          <w:p w14:paraId="65F1FE1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050AD23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</w:tcPr>
          <w:p w14:paraId="01FEE46C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Baughman, 2022b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1254" w:type="pct"/>
          </w:tcPr>
          <w:p w14:paraId="2A8DAA5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Patients receiving imaging within 28 days (%) </w:t>
            </w:r>
          </w:p>
        </w:tc>
        <w:tc>
          <w:tcPr>
            <w:tcW w:w="714" w:type="pct"/>
          </w:tcPr>
          <w:p w14:paraId="17CCEB2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11.20</w:t>
            </w:r>
          </w:p>
        </w:tc>
        <w:tc>
          <w:tcPr>
            <w:tcW w:w="630" w:type="pct"/>
          </w:tcPr>
          <w:p w14:paraId="2B6536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16.32</w:t>
            </w:r>
          </w:p>
        </w:tc>
        <w:tc>
          <w:tcPr>
            <w:tcW w:w="1015" w:type="pct"/>
          </w:tcPr>
          <w:p w14:paraId="64F4C3F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5.12(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P 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&lt; 0.01)</w:t>
            </w:r>
          </w:p>
        </w:tc>
        <w:tc>
          <w:tcPr>
            <w:tcW w:w="645" w:type="pct"/>
          </w:tcPr>
          <w:p w14:paraId="1D0FDFD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</w:tbl>
    <w:p w14:paraId="0B2E2CD2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 xml:space="preserve">ACSC, ambulatory care-sensitive conditions; CI, confidence intervals; ED, emergency department; E&amp;M, </w:t>
      </w:r>
      <w:proofErr w:type="gramStart"/>
      <w:r w:rsidRPr="008C0118">
        <w:rPr>
          <w:rFonts w:ascii="Arial Nova" w:hAnsi="Arial Nova"/>
          <w:sz w:val="22"/>
          <w:szCs w:val="22"/>
        </w:rPr>
        <w:t>evaluation</w:t>
      </w:r>
      <w:proofErr w:type="gramEnd"/>
      <w:r w:rsidRPr="008C0118">
        <w:rPr>
          <w:rFonts w:ascii="Arial Nova" w:hAnsi="Arial Nova"/>
          <w:sz w:val="22"/>
          <w:szCs w:val="22"/>
        </w:rPr>
        <w:t xml:space="preserve"> and management; F2F, face-to-face; GP, general practitioner; RC, remote consultation; SD, standard deviation</w:t>
      </w:r>
    </w:p>
    <w:p w14:paraId="057A1C4E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color w:val="000000" w:themeColor="text1"/>
          <w:sz w:val="22"/>
          <w:szCs w:val="22"/>
          <w:vertAlign w:val="superscript"/>
        </w:rPr>
        <w:t>a</w:t>
      </w:r>
      <w:r w:rsidRPr="008C0118">
        <w:rPr>
          <w:rFonts w:ascii="Arial Nova" w:hAnsi="Arial Nova"/>
          <w:color w:val="000000" w:themeColor="text1"/>
          <w:sz w:val="22"/>
          <w:szCs w:val="22"/>
        </w:rPr>
        <w:t xml:space="preserve"> Visits per 1000 patients per year</w:t>
      </w:r>
    </w:p>
    <w:p w14:paraId="389C8FAA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b </w:t>
      </w:r>
      <w:r w:rsidRPr="008C0118">
        <w:rPr>
          <w:rFonts w:ascii="Arial Nova" w:hAnsi="Arial Nova"/>
          <w:sz w:val="22"/>
          <w:szCs w:val="22"/>
        </w:rPr>
        <w:t>Including the 8-week intervention period, and the two years prior- and post-intervention</w:t>
      </w:r>
    </w:p>
    <w:p w14:paraId="6940307E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c </w:t>
      </w:r>
      <w:r w:rsidRPr="008C0118">
        <w:rPr>
          <w:rFonts w:ascii="Arial Nova" w:hAnsi="Arial Nova"/>
          <w:sz w:val="22"/>
          <w:szCs w:val="22"/>
        </w:rPr>
        <w:t xml:space="preserve">Including paid work, unpaid </w:t>
      </w:r>
      <w:proofErr w:type="gramStart"/>
      <w:r w:rsidRPr="008C0118">
        <w:rPr>
          <w:rFonts w:ascii="Arial Nova" w:hAnsi="Arial Nova"/>
          <w:sz w:val="22"/>
          <w:szCs w:val="22"/>
        </w:rPr>
        <w:t>time</w:t>
      </w:r>
      <w:proofErr w:type="gramEnd"/>
      <w:r w:rsidRPr="008C0118">
        <w:rPr>
          <w:rFonts w:ascii="Arial Nova" w:hAnsi="Arial Nova"/>
          <w:sz w:val="22"/>
          <w:szCs w:val="22"/>
        </w:rPr>
        <w:t xml:space="preserve"> and travel costs </w:t>
      </w:r>
    </w:p>
    <w:p w14:paraId="5E913367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d </w:t>
      </w:r>
      <w:r w:rsidRPr="008C0118">
        <w:rPr>
          <w:rFonts w:ascii="Arial Nova" w:hAnsi="Arial Nova"/>
          <w:sz w:val="22"/>
          <w:szCs w:val="22"/>
        </w:rPr>
        <w:t>Average change in spending per quarter over 3 years</w:t>
      </w:r>
    </w:p>
    <w:p w14:paraId="036DEA43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2AC0B8C6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3E7D52C1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68DC933F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br w:type="page"/>
      </w: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6</w:t>
      </w:r>
      <w:r w:rsidRPr="008C0118">
        <w:rPr>
          <w:rFonts w:ascii="Arial Nova" w:hAnsi="Arial Nova"/>
          <w:color w:val="000000" w:themeColor="text1"/>
          <w:sz w:val="22"/>
          <w:szCs w:val="22"/>
        </w:rPr>
        <w:t>. The effectiveness of remote vs face-to-face (F2F) consultations.</w:t>
      </w:r>
    </w:p>
    <w:p w14:paraId="7109CF9F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</w:p>
    <w:tbl>
      <w:tblPr>
        <w:tblStyle w:val="ListTable6ColourfulAccent1"/>
        <w:tblW w:w="5000" w:type="pct"/>
        <w:tblLook w:val="04A0" w:firstRow="1" w:lastRow="0" w:firstColumn="1" w:lastColumn="0" w:noHBand="0" w:noVBand="1"/>
      </w:tblPr>
      <w:tblGrid>
        <w:gridCol w:w="2078"/>
        <w:gridCol w:w="3357"/>
        <w:gridCol w:w="1989"/>
        <w:gridCol w:w="2080"/>
        <w:gridCol w:w="2652"/>
        <w:gridCol w:w="1804"/>
      </w:tblGrid>
      <w:tr w:rsidR="00DD2072" w:rsidRPr="008C0118" w14:paraId="78AF58C7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206EEAA5" w14:textId="77777777" w:rsidR="00DD2072" w:rsidRPr="008C0118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Author, year</w:t>
            </w:r>
          </w:p>
        </w:tc>
        <w:tc>
          <w:tcPr>
            <w:tcW w:w="1202" w:type="pct"/>
          </w:tcPr>
          <w:p w14:paraId="5A2C745C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Outcome measure</w:t>
            </w:r>
          </w:p>
        </w:tc>
        <w:tc>
          <w:tcPr>
            <w:tcW w:w="712" w:type="pct"/>
          </w:tcPr>
          <w:p w14:paraId="7678E501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RC mean (95% CI or SD)</w:t>
            </w:r>
          </w:p>
        </w:tc>
        <w:tc>
          <w:tcPr>
            <w:tcW w:w="745" w:type="pct"/>
          </w:tcPr>
          <w:p w14:paraId="16F653AC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F2F mean (95% CI or SD)</w:t>
            </w:r>
          </w:p>
        </w:tc>
        <w:tc>
          <w:tcPr>
            <w:tcW w:w="950" w:type="pct"/>
          </w:tcPr>
          <w:p w14:paraId="02F4AE27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Mean difference (95% CI and/or P value) </w:t>
            </w:r>
          </w:p>
        </w:tc>
        <w:tc>
          <w:tcPr>
            <w:tcW w:w="646" w:type="pct"/>
          </w:tcPr>
          <w:p w14:paraId="7FC9B846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583B1A2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79EDCB17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Baughman, 2022a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1202" w:type="pct"/>
          </w:tcPr>
          <w:p w14:paraId="32953AD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Patients with completed weight management plan at 1.5 years (%)</w:t>
            </w:r>
          </w:p>
        </w:tc>
        <w:tc>
          <w:tcPr>
            <w:tcW w:w="712" w:type="pct"/>
          </w:tcPr>
          <w:p w14:paraId="21FF7CA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7.90</w:t>
            </w:r>
          </w:p>
        </w:tc>
        <w:tc>
          <w:tcPr>
            <w:tcW w:w="745" w:type="pct"/>
          </w:tcPr>
          <w:p w14:paraId="615E337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12.19</w:t>
            </w:r>
          </w:p>
        </w:tc>
        <w:tc>
          <w:tcPr>
            <w:tcW w:w="950" w:type="pct"/>
          </w:tcPr>
          <w:p w14:paraId="75E92E6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4.29(2.84, 5.54: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6" w:type="pct"/>
          </w:tcPr>
          <w:p w14:paraId="0DA6EF6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586BCA7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6E67654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FA4E1C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Patients with completed weight management plan at 3 months (%)</w:t>
            </w:r>
          </w:p>
        </w:tc>
        <w:tc>
          <w:tcPr>
            <w:tcW w:w="712" w:type="pct"/>
          </w:tcPr>
          <w:p w14:paraId="4375934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1.80</w:t>
            </w:r>
          </w:p>
        </w:tc>
        <w:tc>
          <w:tcPr>
            <w:tcW w:w="745" w:type="pct"/>
          </w:tcPr>
          <w:p w14:paraId="10A0401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6.59</w:t>
            </w:r>
          </w:p>
        </w:tc>
        <w:tc>
          <w:tcPr>
            <w:tcW w:w="950" w:type="pct"/>
          </w:tcPr>
          <w:p w14:paraId="6EC8AE9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4.79(3.99,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5.35;P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6" w:type="pct"/>
          </w:tcPr>
          <w:p w14:paraId="23DFB69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074B5A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3A441A3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1AF878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Patients with completed weight management plan at 1.5 years (%) (blended RC vs F2F)</w:t>
            </w:r>
          </w:p>
        </w:tc>
        <w:tc>
          <w:tcPr>
            <w:tcW w:w="712" w:type="pct"/>
          </w:tcPr>
          <w:p w14:paraId="25EF191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24.82</w:t>
            </w:r>
          </w:p>
        </w:tc>
        <w:tc>
          <w:tcPr>
            <w:tcW w:w="745" w:type="pct"/>
          </w:tcPr>
          <w:p w14:paraId="60A15E8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12.19</w:t>
            </w:r>
          </w:p>
        </w:tc>
        <w:tc>
          <w:tcPr>
            <w:tcW w:w="950" w:type="pct"/>
          </w:tcPr>
          <w:p w14:paraId="29B4CB4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12.65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%(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12.29, 13.01;P &lt; 0.001)</w:t>
            </w:r>
          </w:p>
        </w:tc>
        <w:tc>
          <w:tcPr>
            <w:tcW w:w="646" w:type="pct"/>
          </w:tcPr>
          <w:p w14:paraId="17E6E89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CCB6D24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6868A8B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21E774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Patients with completed weight management plan at 3 months (%) (blended RC vs F2F)</w:t>
            </w:r>
          </w:p>
        </w:tc>
        <w:tc>
          <w:tcPr>
            <w:tcW w:w="712" w:type="pct"/>
          </w:tcPr>
          <w:p w14:paraId="35D210F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17.75</w:t>
            </w:r>
          </w:p>
        </w:tc>
        <w:tc>
          <w:tcPr>
            <w:tcW w:w="745" w:type="pct"/>
          </w:tcPr>
          <w:p w14:paraId="56E0D1F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6.59</w:t>
            </w:r>
          </w:p>
        </w:tc>
        <w:tc>
          <w:tcPr>
            <w:tcW w:w="950" w:type="pct"/>
          </w:tcPr>
          <w:p w14:paraId="09E366C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11.16 (10.85,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11.48;P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6" w:type="pct"/>
          </w:tcPr>
          <w:p w14:paraId="73EA40F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63C07C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2326F272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Befort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, 2021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202" w:type="pct"/>
          </w:tcPr>
          <w:p w14:paraId="282FB65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Weight loss (kgs) at 24 months (RC vs group F2F)</w:t>
            </w:r>
          </w:p>
        </w:tc>
        <w:tc>
          <w:tcPr>
            <w:tcW w:w="712" w:type="pct"/>
          </w:tcPr>
          <w:p w14:paraId="4972E08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–3.90 (–5.00, –2.90)</w:t>
            </w:r>
          </w:p>
        </w:tc>
        <w:tc>
          <w:tcPr>
            <w:tcW w:w="745" w:type="pct"/>
          </w:tcPr>
          <w:p w14:paraId="571D5CD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–4.40 (–5.50, –3.40)</w:t>
            </w:r>
          </w:p>
        </w:tc>
        <w:tc>
          <w:tcPr>
            <w:tcW w:w="950" w:type="pct"/>
          </w:tcPr>
          <w:p w14:paraId="1C80436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–0.50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 –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1.90, 0.90;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0.48) </w:t>
            </w:r>
          </w:p>
        </w:tc>
        <w:tc>
          <w:tcPr>
            <w:tcW w:w="646" w:type="pct"/>
          </w:tcPr>
          <w:p w14:paraId="7FA5C9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236E2C8C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1803479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50DF489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Weight loss (kgs) at 24 months (RC vs individual F2F)</w:t>
            </w:r>
          </w:p>
        </w:tc>
        <w:tc>
          <w:tcPr>
            <w:tcW w:w="712" w:type="pct"/>
          </w:tcPr>
          <w:p w14:paraId="20EFF08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–3.90 (–5.00, –2.90)</w:t>
            </w:r>
          </w:p>
        </w:tc>
        <w:tc>
          <w:tcPr>
            <w:tcW w:w="745" w:type="pct"/>
          </w:tcPr>
          <w:p w14:paraId="2FEACBE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–2.60 (–3.60, –1.50)</w:t>
            </w:r>
          </w:p>
        </w:tc>
        <w:tc>
          <w:tcPr>
            <w:tcW w:w="950" w:type="pct"/>
          </w:tcPr>
          <w:p w14:paraId="5D9C14A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–1.40 (–3.00,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0.30;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.06)</w:t>
            </w:r>
          </w:p>
        </w:tc>
        <w:tc>
          <w:tcPr>
            <w:tcW w:w="646" w:type="pct"/>
          </w:tcPr>
          <w:p w14:paraId="47D076E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2A87AC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54AFCC47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Frank, 2021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33</w:t>
            </w:r>
          </w:p>
        </w:tc>
        <w:tc>
          <w:tcPr>
            <w:tcW w:w="1202" w:type="pct"/>
          </w:tcPr>
          <w:p w14:paraId="773C9C5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CGI-S scores at end of 8-month wave</w:t>
            </w:r>
          </w:p>
        </w:tc>
        <w:tc>
          <w:tcPr>
            <w:tcW w:w="712" w:type="pct"/>
          </w:tcPr>
          <w:p w14:paraId="6B4628D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3.33 (0.97)</w:t>
            </w:r>
          </w:p>
        </w:tc>
        <w:tc>
          <w:tcPr>
            <w:tcW w:w="745" w:type="pct"/>
          </w:tcPr>
          <w:p w14:paraId="7D9AAB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3.61(0.70)</w:t>
            </w:r>
          </w:p>
        </w:tc>
        <w:tc>
          <w:tcPr>
            <w:tcW w:w="950" w:type="pct"/>
          </w:tcPr>
          <w:p w14:paraId="31A9D2E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0.02)</w:t>
            </w:r>
          </w:p>
        </w:tc>
        <w:tc>
          <w:tcPr>
            <w:tcW w:w="646" w:type="pct"/>
          </w:tcPr>
          <w:p w14:paraId="5B0BE6F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33C770A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447B1775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13FC46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CGI-I scores at end of 8-month wave</w:t>
            </w:r>
          </w:p>
        </w:tc>
        <w:tc>
          <w:tcPr>
            <w:tcW w:w="712" w:type="pct"/>
          </w:tcPr>
          <w:p w14:paraId="465DDE7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2.44 (0.51)</w:t>
            </w:r>
          </w:p>
        </w:tc>
        <w:tc>
          <w:tcPr>
            <w:tcW w:w="745" w:type="pct"/>
          </w:tcPr>
          <w:p w14:paraId="1A2D10B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3.06 (0.87)</w:t>
            </w:r>
          </w:p>
        </w:tc>
        <w:tc>
          <w:tcPr>
            <w:tcW w:w="950" w:type="pct"/>
          </w:tcPr>
          <w:p w14:paraId="4DE6216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0.002)</w:t>
            </w:r>
          </w:p>
        </w:tc>
        <w:tc>
          <w:tcPr>
            <w:tcW w:w="646" w:type="pct"/>
          </w:tcPr>
          <w:p w14:paraId="109B603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C80DC9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053A945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Rene,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39</w:t>
            </w:r>
          </w:p>
        </w:tc>
        <w:tc>
          <w:tcPr>
            <w:tcW w:w="1202" w:type="pct"/>
          </w:tcPr>
          <w:p w14:paraId="335A5C6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Change in PHQ-9 score</w:t>
            </w:r>
          </w:p>
        </w:tc>
        <w:tc>
          <w:tcPr>
            <w:tcW w:w="712" w:type="pct"/>
          </w:tcPr>
          <w:p w14:paraId="2C9779C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-2.90</w:t>
            </w:r>
          </w:p>
        </w:tc>
        <w:tc>
          <w:tcPr>
            <w:tcW w:w="745" w:type="pct"/>
          </w:tcPr>
          <w:p w14:paraId="4A271D5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-2.80</w:t>
            </w:r>
          </w:p>
        </w:tc>
        <w:tc>
          <w:tcPr>
            <w:tcW w:w="950" w:type="pct"/>
          </w:tcPr>
          <w:p w14:paraId="599D2A8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0.05)</w:t>
            </w:r>
          </w:p>
        </w:tc>
        <w:tc>
          <w:tcPr>
            <w:tcW w:w="646" w:type="pct"/>
          </w:tcPr>
          <w:p w14:paraId="7D7494E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4F52F068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769BB777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EDA40F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Change in GAD-7 score</w:t>
            </w:r>
          </w:p>
        </w:tc>
        <w:tc>
          <w:tcPr>
            <w:tcW w:w="712" w:type="pct"/>
          </w:tcPr>
          <w:p w14:paraId="25FC5EB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-3.10</w:t>
            </w:r>
          </w:p>
        </w:tc>
        <w:tc>
          <w:tcPr>
            <w:tcW w:w="745" w:type="pct"/>
          </w:tcPr>
          <w:p w14:paraId="5DCA516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-2.30</w:t>
            </w:r>
          </w:p>
        </w:tc>
        <w:tc>
          <w:tcPr>
            <w:tcW w:w="950" w:type="pct"/>
          </w:tcPr>
          <w:p w14:paraId="35A265E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</w:t>
            </w:r>
          </w:p>
        </w:tc>
        <w:tc>
          <w:tcPr>
            <w:tcW w:w="646" w:type="pct"/>
          </w:tcPr>
          <w:p w14:paraId="322BA48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F29BD4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3BDDB62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Harder, 2020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51</w:t>
            </w:r>
          </w:p>
        </w:tc>
        <w:tc>
          <w:tcPr>
            <w:tcW w:w="1202" w:type="pct"/>
          </w:tcPr>
          <w:p w14:paraId="43A2A18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AUDIT-C scores at 1 month follow-up</w:t>
            </w:r>
          </w:p>
        </w:tc>
        <w:tc>
          <w:tcPr>
            <w:tcW w:w="712" w:type="pct"/>
          </w:tcPr>
          <w:p w14:paraId="511AC4C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pct"/>
          </w:tcPr>
          <w:p w14:paraId="0AFCDEB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21F9D29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0.20(-0.60, </w:t>
            </w: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1.00;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0.63)</w:t>
            </w:r>
          </w:p>
        </w:tc>
        <w:tc>
          <w:tcPr>
            <w:tcW w:w="646" w:type="pct"/>
          </w:tcPr>
          <w:p w14:paraId="08102A0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71D82C8E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2F4EA84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779B80A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AUDIT-C scores at 6 months follow-up</w:t>
            </w:r>
          </w:p>
        </w:tc>
        <w:tc>
          <w:tcPr>
            <w:tcW w:w="712" w:type="pct"/>
          </w:tcPr>
          <w:p w14:paraId="23A2F84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pct"/>
          </w:tcPr>
          <w:p w14:paraId="3E1BC0CB" w14:textId="77777777" w:rsidR="00DD2072" w:rsidRPr="008C0118" w:rsidRDefault="00DD2072" w:rsidP="001F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49BFEF0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0.44(-0.47, 1.36;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0.34)</w:t>
            </w:r>
          </w:p>
        </w:tc>
        <w:tc>
          <w:tcPr>
            <w:tcW w:w="646" w:type="pct"/>
          </w:tcPr>
          <w:p w14:paraId="6341E41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71AF6BA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0D323A80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Nomura, 2019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52</w:t>
            </w:r>
          </w:p>
        </w:tc>
        <w:tc>
          <w:tcPr>
            <w:tcW w:w="1202" w:type="pct"/>
          </w:tcPr>
          <w:p w14:paraId="5AFAFE2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CAR (%) from weeks 9-12 </w:t>
            </w:r>
          </w:p>
        </w:tc>
        <w:tc>
          <w:tcPr>
            <w:tcW w:w="712" w:type="pct"/>
          </w:tcPr>
          <w:p w14:paraId="69F57DE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81.00 (71.00, 91.00)</w:t>
            </w:r>
          </w:p>
        </w:tc>
        <w:tc>
          <w:tcPr>
            <w:tcW w:w="745" w:type="pct"/>
          </w:tcPr>
          <w:p w14:paraId="09EBEF4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78.90 (68.00, 89.00)</w:t>
            </w:r>
          </w:p>
        </w:tc>
        <w:tc>
          <w:tcPr>
            <w:tcW w:w="950" w:type="pct"/>
          </w:tcPr>
          <w:p w14:paraId="3B47EB0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2.10 (–12.80, 17.00)</w:t>
            </w:r>
          </w:p>
        </w:tc>
        <w:tc>
          <w:tcPr>
            <w:tcW w:w="646" w:type="pct"/>
          </w:tcPr>
          <w:p w14:paraId="51117DF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</w:t>
            </w:r>
          </w:p>
        </w:tc>
      </w:tr>
      <w:tr w:rsidR="00DD2072" w:rsidRPr="008C0118" w14:paraId="0760E762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507810A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924347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CAR (%) from weeks 9 -24</w:t>
            </w:r>
          </w:p>
        </w:tc>
        <w:tc>
          <w:tcPr>
            <w:tcW w:w="712" w:type="pct"/>
          </w:tcPr>
          <w:p w14:paraId="6CFD392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74.10 (63.00, 85.00)</w:t>
            </w:r>
          </w:p>
        </w:tc>
        <w:tc>
          <w:tcPr>
            <w:tcW w:w="745" w:type="pct"/>
          </w:tcPr>
          <w:p w14:paraId="4986866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71.90 (60.00, 84.00)</w:t>
            </w:r>
          </w:p>
        </w:tc>
        <w:tc>
          <w:tcPr>
            <w:tcW w:w="950" w:type="pct"/>
          </w:tcPr>
          <w:p w14:paraId="48DEF35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2.20 (–14.00, 18.40)</w:t>
            </w:r>
          </w:p>
        </w:tc>
        <w:tc>
          <w:tcPr>
            <w:tcW w:w="646" w:type="pct"/>
          </w:tcPr>
          <w:p w14:paraId="2C2AF76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B8C469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2B995559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Wickstrom, 2018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54</w:t>
            </w:r>
          </w:p>
        </w:tc>
        <w:tc>
          <w:tcPr>
            <w:tcW w:w="1202" w:type="pct"/>
          </w:tcPr>
          <w:p w14:paraId="346BFA6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Number of days between consultation and complete</w:t>
            </w:r>
          </w:p>
          <w:p w14:paraId="2D71BDF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ulcer healing </w:t>
            </w:r>
          </w:p>
        </w:tc>
        <w:tc>
          <w:tcPr>
            <w:tcW w:w="712" w:type="pct"/>
          </w:tcPr>
          <w:p w14:paraId="7F91C5A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78 (40, 78)</w:t>
            </w:r>
          </w:p>
        </w:tc>
        <w:tc>
          <w:tcPr>
            <w:tcW w:w="745" w:type="pct"/>
          </w:tcPr>
          <w:p w14:paraId="1658B3D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118 (75, 89) </w:t>
            </w:r>
          </w:p>
        </w:tc>
        <w:tc>
          <w:tcPr>
            <w:tcW w:w="950" w:type="pct"/>
          </w:tcPr>
          <w:p w14:paraId="63F7477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0.001)</w:t>
            </w:r>
          </w:p>
        </w:tc>
        <w:tc>
          <w:tcPr>
            <w:tcW w:w="646" w:type="pct"/>
          </w:tcPr>
          <w:p w14:paraId="207CB72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</w:tbl>
    <w:p w14:paraId="7F7CD163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 xml:space="preserve">AUDIT-C, Alcohol Use Disorders Identification Test – Consumption; CAR, </w:t>
      </w:r>
      <w:r w:rsidRPr="008C0118">
        <w:rPr>
          <w:rFonts w:ascii="Arial Nova" w:hAnsi="Arial Nova"/>
          <w:color w:val="000000" w:themeColor="text1"/>
          <w:sz w:val="22"/>
          <w:szCs w:val="22"/>
        </w:rPr>
        <w:t xml:space="preserve">continuous abstinence rate; </w:t>
      </w:r>
      <w:r w:rsidRPr="008C0118">
        <w:rPr>
          <w:rFonts w:ascii="Arial Nova" w:hAnsi="Arial Nova"/>
          <w:sz w:val="22"/>
          <w:szCs w:val="22"/>
        </w:rPr>
        <w:t>CGI-I, Clinical Global Impressions – Improvement; CGI-S, Clinical Global Impressions – Severity; CI, confidence intervals; F2F, face-to-face; GAD-7, Generalised Anxiety Disorder-7; kgs, kilograms; PHQ-9, Patient Health Questionnaire-9; RC, remote consultation; SD, standard deviation</w:t>
      </w:r>
    </w:p>
    <w:p w14:paraId="7279CE8E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45F606B6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3BBD3913" w14:textId="77777777" w:rsidR="00DD2072" w:rsidRDefault="00DD2072">
      <w:pPr>
        <w:rPr>
          <w:rFonts w:ascii="Arial Nova" w:hAnsi="Arial Nova"/>
          <w:b/>
          <w:bCs/>
          <w:color w:val="000000" w:themeColor="text1"/>
          <w:sz w:val="22"/>
          <w:szCs w:val="22"/>
        </w:rPr>
      </w:pPr>
      <w:r>
        <w:rPr>
          <w:rFonts w:ascii="Arial Nova" w:hAnsi="Arial Nova"/>
          <w:b/>
          <w:bCs/>
          <w:color w:val="000000" w:themeColor="text1"/>
          <w:sz w:val="22"/>
          <w:szCs w:val="22"/>
        </w:rPr>
        <w:br w:type="page"/>
      </w:r>
    </w:p>
    <w:p w14:paraId="0A6C47F7" w14:textId="4A6C6721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7.</w:t>
      </w:r>
      <w:r w:rsidRPr="008C0118">
        <w:rPr>
          <w:rFonts w:ascii="Arial Nova" w:hAnsi="Arial Nova"/>
          <w:color w:val="000000" w:themeColor="text1"/>
          <w:sz w:val="22"/>
          <w:szCs w:val="22"/>
        </w:rPr>
        <w:t xml:space="preserve"> The impact of remote consultations on patient-centredness.</w:t>
      </w:r>
    </w:p>
    <w:p w14:paraId="77118C05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</w:p>
    <w:tbl>
      <w:tblPr>
        <w:tblStyle w:val="ListTable6ColourfulAccent1"/>
        <w:tblW w:w="5000" w:type="pct"/>
        <w:tblLook w:val="04A0" w:firstRow="1" w:lastRow="0" w:firstColumn="1" w:lastColumn="0" w:noHBand="0" w:noVBand="1"/>
      </w:tblPr>
      <w:tblGrid>
        <w:gridCol w:w="2189"/>
        <w:gridCol w:w="4663"/>
        <w:gridCol w:w="1753"/>
        <w:gridCol w:w="1611"/>
        <w:gridCol w:w="1974"/>
        <w:gridCol w:w="1770"/>
      </w:tblGrid>
      <w:tr w:rsidR="00DD2072" w:rsidRPr="008C0118" w14:paraId="551ACDF4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77358BFB" w14:textId="77777777" w:rsidR="00DD2072" w:rsidRPr="008C0118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Author, year</w:t>
            </w:r>
          </w:p>
        </w:tc>
        <w:tc>
          <w:tcPr>
            <w:tcW w:w="1670" w:type="pct"/>
          </w:tcPr>
          <w:p w14:paraId="5C48193D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Outcome measure</w:t>
            </w:r>
          </w:p>
        </w:tc>
        <w:tc>
          <w:tcPr>
            <w:tcW w:w="628" w:type="pct"/>
          </w:tcPr>
          <w:p w14:paraId="54FD1924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RC mean (SE)</w:t>
            </w:r>
          </w:p>
        </w:tc>
        <w:tc>
          <w:tcPr>
            <w:tcW w:w="577" w:type="pct"/>
          </w:tcPr>
          <w:p w14:paraId="0CBA6E12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F2F mean (SE)</w:t>
            </w:r>
          </w:p>
        </w:tc>
        <w:tc>
          <w:tcPr>
            <w:tcW w:w="707" w:type="pct"/>
          </w:tcPr>
          <w:p w14:paraId="671D62E8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Mean difference (P value) </w:t>
            </w:r>
          </w:p>
        </w:tc>
        <w:tc>
          <w:tcPr>
            <w:tcW w:w="634" w:type="pct"/>
          </w:tcPr>
          <w:p w14:paraId="6D684B39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2891057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bottom w:val="single" w:sz="4" w:space="0" w:color="4472C4" w:themeColor="accent1"/>
            </w:tcBorders>
          </w:tcPr>
          <w:p w14:paraId="005BFA6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Neufeld,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49</w:t>
            </w:r>
          </w:p>
        </w:tc>
        <w:tc>
          <w:tcPr>
            <w:tcW w:w="1670" w:type="pct"/>
            <w:tcBorders>
              <w:bottom w:val="single" w:sz="4" w:space="0" w:color="4472C4" w:themeColor="accent1"/>
            </w:tcBorders>
          </w:tcPr>
          <w:p w14:paraId="63A24FC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Patient perceived autonomy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support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628" w:type="pct"/>
            <w:tcBorders>
              <w:bottom w:val="single" w:sz="4" w:space="0" w:color="4472C4" w:themeColor="accent1"/>
            </w:tcBorders>
          </w:tcPr>
          <w:p w14:paraId="64DB89F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5.75 (0.17)</w:t>
            </w:r>
          </w:p>
        </w:tc>
        <w:tc>
          <w:tcPr>
            <w:tcW w:w="577" w:type="pct"/>
            <w:tcBorders>
              <w:bottom w:val="single" w:sz="4" w:space="0" w:color="4472C4" w:themeColor="accent1"/>
            </w:tcBorders>
          </w:tcPr>
          <w:p w14:paraId="5549B16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6.28 (0.16)</w:t>
            </w:r>
          </w:p>
        </w:tc>
        <w:tc>
          <w:tcPr>
            <w:tcW w:w="707" w:type="pct"/>
            <w:tcBorders>
              <w:bottom w:val="single" w:sz="4" w:space="0" w:color="4472C4" w:themeColor="accent1"/>
            </w:tcBorders>
          </w:tcPr>
          <w:p w14:paraId="0728D93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0.032)</w:t>
            </w:r>
          </w:p>
        </w:tc>
        <w:tc>
          <w:tcPr>
            <w:tcW w:w="634" w:type="pct"/>
            <w:tcBorders>
              <w:bottom w:val="single" w:sz="4" w:space="0" w:color="4472C4" w:themeColor="accent1"/>
            </w:tcBorders>
          </w:tcPr>
          <w:p w14:paraId="4521464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14773166" w14:textId="77777777" w:rsidTr="001F2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E8B04D0" w14:textId="77777777" w:rsidR="00DD2072" w:rsidRPr="00C178A4" w:rsidRDefault="00DD2072" w:rsidP="001F2CB3">
            <w:pPr>
              <w:jc w:val="center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64478F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Survey question responses</w:t>
            </w:r>
          </w:p>
        </w:tc>
        <w:tc>
          <w:tcPr>
            <w:tcW w:w="707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BE0F6D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606B6E6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8E9C50C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BAED093" w14:textId="77777777" w:rsidR="00DD2072" w:rsidRPr="00C178A4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C846BE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F2D126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  <w:t>Agree/ Better</w:t>
            </w:r>
          </w:p>
        </w:tc>
        <w:tc>
          <w:tcPr>
            <w:tcW w:w="577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F26DE5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  <w:t>Neutral/ Equal</w:t>
            </w:r>
          </w:p>
        </w:tc>
        <w:tc>
          <w:tcPr>
            <w:tcW w:w="707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12BA36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  <w:t>Disagree/ Worse</w:t>
            </w:r>
          </w:p>
        </w:tc>
        <w:tc>
          <w:tcPr>
            <w:tcW w:w="63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228F91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1C0105D5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tcBorders>
              <w:top w:val="single" w:sz="4" w:space="0" w:color="4472C4" w:themeColor="accent1"/>
            </w:tcBorders>
          </w:tcPr>
          <w:p w14:paraId="4B392C5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Manski</w:t>
            </w:r>
            <w:proofErr w:type="spellEnd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-Nankervis,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42</w:t>
            </w:r>
          </w:p>
        </w:tc>
        <w:tc>
          <w:tcPr>
            <w:tcW w:w="1670" w:type="pct"/>
            <w:tcBorders>
              <w:top w:val="single" w:sz="4" w:space="0" w:color="4472C4" w:themeColor="accent1"/>
            </w:tcBorders>
          </w:tcPr>
          <w:p w14:paraId="6B66A3F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RC visit was as good as F2F (%)</w:t>
            </w:r>
          </w:p>
        </w:tc>
        <w:tc>
          <w:tcPr>
            <w:tcW w:w="628" w:type="pct"/>
            <w:tcBorders>
              <w:top w:val="single" w:sz="4" w:space="0" w:color="4472C4" w:themeColor="accent1"/>
            </w:tcBorders>
          </w:tcPr>
          <w:p w14:paraId="5BAC90C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84.00</w:t>
            </w:r>
          </w:p>
        </w:tc>
        <w:tc>
          <w:tcPr>
            <w:tcW w:w="577" w:type="pct"/>
            <w:tcBorders>
              <w:top w:val="single" w:sz="4" w:space="0" w:color="4472C4" w:themeColor="accent1"/>
            </w:tcBorders>
          </w:tcPr>
          <w:p w14:paraId="063ABA3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4472C4" w:themeColor="accent1"/>
            </w:tcBorders>
          </w:tcPr>
          <w:p w14:paraId="1605E7D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11.40</w:t>
            </w:r>
          </w:p>
        </w:tc>
        <w:tc>
          <w:tcPr>
            <w:tcW w:w="634" w:type="pct"/>
            <w:tcBorders>
              <w:top w:val="single" w:sz="4" w:space="0" w:color="4472C4" w:themeColor="accent1"/>
            </w:tcBorders>
          </w:tcPr>
          <w:p w14:paraId="7B9B9DC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3718B41E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6E497FB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McGrail, 2017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47</w:t>
            </w:r>
          </w:p>
        </w:tc>
        <w:tc>
          <w:tcPr>
            <w:tcW w:w="1670" w:type="pct"/>
          </w:tcPr>
          <w:p w14:paraId="14B65A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RC visit was as thorough as F2F (%)</w:t>
            </w:r>
          </w:p>
        </w:tc>
        <w:tc>
          <w:tcPr>
            <w:tcW w:w="628" w:type="pct"/>
          </w:tcPr>
          <w:p w14:paraId="32C6BFC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79.00</w:t>
            </w:r>
          </w:p>
        </w:tc>
        <w:tc>
          <w:tcPr>
            <w:tcW w:w="577" w:type="pct"/>
          </w:tcPr>
          <w:p w14:paraId="0DB8AD9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pct"/>
          </w:tcPr>
          <w:p w14:paraId="00E8EB8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21.00</w:t>
            </w:r>
          </w:p>
        </w:tc>
        <w:tc>
          <w:tcPr>
            <w:tcW w:w="634" w:type="pct"/>
          </w:tcPr>
          <w:p w14:paraId="029F5F5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79693AA7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9C2B46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Mohan,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43</w:t>
            </w:r>
          </w:p>
        </w:tc>
        <w:tc>
          <w:tcPr>
            <w:tcW w:w="1670" w:type="pct"/>
          </w:tcPr>
          <w:p w14:paraId="4D8ED7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Convenience of RC compared to F2F (%)</w:t>
            </w:r>
          </w:p>
        </w:tc>
        <w:tc>
          <w:tcPr>
            <w:tcW w:w="628" w:type="pct"/>
          </w:tcPr>
          <w:p w14:paraId="7BF91F1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91.00</w:t>
            </w:r>
          </w:p>
        </w:tc>
        <w:tc>
          <w:tcPr>
            <w:tcW w:w="577" w:type="pct"/>
          </w:tcPr>
          <w:p w14:paraId="1F2ADD3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4.00</w:t>
            </w:r>
          </w:p>
        </w:tc>
        <w:tc>
          <w:tcPr>
            <w:tcW w:w="707" w:type="pct"/>
          </w:tcPr>
          <w:p w14:paraId="4A749C3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4.00</w:t>
            </w:r>
          </w:p>
        </w:tc>
        <w:tc>
          <w:tcPr>
            <w:tcW w:w="634" w:type="pct"/>
          </w:tcPr>
          <w:p w14:paraId="76997D4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6842D8B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54FC1BB7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pct"/>
          </w:tcPr>
          <w:p w14:paraId="66C02FD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Value of RC compared to F2F (%)</w:t>
            </w:r>
          </w:p>
        </w:tc>
        <w:tc>
          <w:tcPr>
            <w:tcW w:w="628" w:type="pct"/>
          </w:tcPr>
          <w:p w14:paraId="75F84EA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37.00</w:t>
            </w:r>
          </w:p>
        </w:tc>
        <w:tc>
          <w:tcPr>
            <w:tcW w:w="577" w:type="pct"/>
          </w:tcPr>
          <w:p w14:paraId="51EF418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30.00</w:t>
            </w:r>
          </w:p>
        </w:tc>
        <w:tc>
          <w:tcPr>
            <w:tcW w:w="707" w:type="pct"/>
          </w:tcPr>
          <w:p w14:paraId="62B29E0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33.00</w:t>
            </w:r>
          </w:p>
        </w:tc>
        <w:tc>
          <w:tcPr>
            <w:tcW w:w="634" w:type="pct"/>
          </w:tcPr>
          <w:p w14:paraId="7966652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E10BAAD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677FC43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Tan, 2020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26</w:t>
            </w:r>
          </w:p>
        </w:tc>
        <w:tc>
          <w:tcPr>
            <w:tcW w:w="1670" w:type="pct"/>
          </w:tcPr>
          <w:p w14:paraId="2B97112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F2F visits provide better quality care than RC (%)</w:t>
            </w:r>
          </w:p>
        </w:tc>
        <w:tc>
          <w:tcPr>
            <w:tcW w:w="628" w:type="pct"/>
          </w:tcPr>
          <w:p w14:paraId="5D79CE3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32.00</w:t>
            </w:r>
          </w:p>
        </w:tc>
        <w:tc>
          <w:tcPr>
            <w:tcW w:w="577" w:type="pct"/>
          </w:tcPr>
          <w:p w14:paraId="24E93E5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50.10</w:t>
            </w:r>
          </w:p>
        </w:tc>
        <w:tc>
          <w:tcPr>
            <w:tcW w:w="707" w:type="pct"/>
          </w:tcPr>
          <w:p w14:paraId="230A77F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17.90</w:t>
            </w:r>
          </w:p>
        </w:tc>
        <w:tc>
          <w:tcPr>
            <w:tcW w:w="634" w:type="pct"/>
          </w:tcPr>
          <w:p w14:paraId="63A7F93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0939FBF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22D656D1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670" w:type="pct"/>
          </w:tcPr>
          <w:p w14:paraId="13CD4CD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Prefer F2F visits over RC in the future (%)</w:t>
            </w:r>
          </w:p>
        </w:tc>
        <w:tc>
          <w:tcPr>
            <w:tcW w:w="628" w:type="pct"/>
          </w:tcPr>
          <w:p w14:paraId="4609C7C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28.60</w:t>
            </w:r>
          </w:p>
        </w:tc>
        <w:tc>
          <w:tcPr>
            <w:tcW w:w="577" w:type="pct"/>
          </w:tcPr>
          <w:p w14:paraId="0042A1F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39.90</w:t>
            </w:r>
          </w:p>
        </w:tc>
        <w:tc>
          <w:tcPr>
            <w:tcW w:w="707" w:type="pct"/>
          </w:tcPr>
          <w:p w14:paraId="174C7E2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32.10</w:t>
            </w:r>
          </w:p>
        </w:tc>
        <w:tc>
          <w:tcPr>
            <w:tcW w:w="634" w:type="pct"/>
          </w:tcPr>
          <w:p w14:paraId="6C90C7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10831010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>F2F, face-to-face; RC, remote consultation; SE, standard error</w:t>
      </w:r>
    </w:p>
    <w:p w14:paraId="0F0C028B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a </w:t>
      </w:r>
      <w:r w:rsidRPr="008C0118">
        <w:rPr>
          <w:rFonts w:ascii="Arial Nova" w:hAnsi="Arial Nova"/>
          <w:sz w:val="22"/>
          <w:szCs w:val="22"/>
        </w:rPr>
        <w:t xml:space="preserve">Measured using the Healthcare Climate and Basic Need Satisfaction in Relationships </w:t>
      </w:r>
      <w:proofErr w:type="gramStart"/>
      <w:r w:rsidRPr="008C0118">
        <w:rPr>
          <w:rFonts w:ascii="Arial Nova" w:hAnsi="Arial Nova"/>
          <w:sz w:val="22"/>
          <w:szCs w:val="22"/>
        </w:rPr>
        <w:t>questionnaires</w:t>
      </w:r>
      <w:proofErr w:type="gramEnd"/>
    </w:p>
    <w:p w14:paraId="5ACA41F8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1C51BF22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071E2E62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7410FAA4" w14:textId="77777777" w:rsidR="00DD2072" w:rsidRDefault="00DD2072">
      <w:pPr>
        <w:rPr>
          <w:rFonts w:ascii="Arial Nova" w:hAnsi="Arial Nova"/>
          <w:b/>
          <w:bCs/>
          <w:color w:val="000000" w:themeColor="text1"/>
          <w:sz w:val="22"/>
          <w:szCs w:val="22"/>
        </w:rPr>
      </w:pPr>
      <w:r>
        <w:rPr>
          <w:rFonts w:ascii="Arial Nova" w:hAnsi="Arial Nova"/>
          <w:b/>
          <w:bCs/>
          <w:color w:val="000000" w:themeColor="text1"/>
          <w:sz w:val="22"/>
          <w:szCs w:val="22"/>
        </w:rPr>
        <w:br w:type="page"/>
      </w:r>
    </w:p>
    <w:p w14:paraId="2BE60D77" w14:textId="5221C1B4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8.</w:t>
      </w:r>
      <w:r w:rsidRPr="008C0118">
        <w:rPr>
          <w:rFonts w:ascii="Arial Nova" w:hAnsi="Arial Nova"/>
          <w:color w:val="000000" w:themeColor="text1"/>
          <w:sz w:val="22"/>
          <w:szCs w:val="22"/>
        </w:rPr>
        <w:t xml:space="preserve"> The timeliness of remote vs face-to-face consultations.</w:t>
      </w:r>
    </w:p>
    <w:p w14:paraId="339F59FC" w14:textId="77777777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</w:p>
    <w:tbl>
      <w:tblPr>
        <w:tblStyle w:val="ListTable6ColourfulAccent1"/>
        <w:tblW w:w="5000" w:type="pct"/>
        <w:tblLook w:val="04A0" w:firstRow="1" w:lastRow="0" w:firstColumn="1" w:lastColumn="0" w:noHBand="0" w:noVBand="1"/>
      </w:tblPr>
      <w:tblGrid>
        <w:gridCol w:w="1960"/>
        <w:gridCol w:w="4428"/>
        <w:gridCol w:w="1999"/>
        <w:gridCol w:w="1913"/>
        <w:gridCol w:w="1929"/>
        <w:gridCol w:w="1731"/>
      </w:tblGrid>
      <w:tr w:rsidR="00DD2072" w:rsidRPr="008C0118" w14:paraId="07227598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34BE487" w14:textId="77777777" w:rsidR="00DD2072" w:rsidRPr="008C0118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Author, year</w:t>
            </w:r>
          </w:p>
        </w:tc>
        <w:tc>
          <w:tcPr>
            <w:tcW w:w="1586" w:type="pct"/>
          </w:tcPr>
          <w:p w14:paraId="118AC991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Outcome measure</w:t>
            </w:r>
          </w:p>
        </w:tc>
        <w:tc>
          <w:tcPr>
            <w:tcW w:w="716" w:type="pct"/>
          </w:tcPr>
          <w:p w14:paraId="14636DD6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RC mean (95% CI or SD)</w:t>
            </w:r>
          </w:p>
        </w:tc>
        <w:tc>
          <w:tcPr>
            <w:tcW w:w="685" w:type="pct"/>
          </w:tcPr>
          <w:p w14:paraId="45797106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F2F mean (95% CI or SD)</w:t>
            </w:r>
          </w:p>
        </w:tc>
        <w:tc>
          <w:tcPr>
            <w:tcW w:w="691" w:type="pct"/>
          </w:tcPr>
          <w:p w14:paraId="5EF1DB8E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Mean difference (P value) </w:t>
            </w:r>
          </w:p>
        </w:tc>
        <w:tc>
          <w:tcPr>
            <w:tcW w:w="620" w:type="pct"/>
          </w:tcPr>
          <w:p w14:paraId="7F80B165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73871CA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5005EC1C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Graetz</w:t>
            </w:r>
            <w:proofErr w:type="spellEnd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36</w:t>
            </w:r>
          </w:p>
        </w:tc>
        <w:tc>
          <w:tcPr>
            <w:tcW w:w="1586" w:type="pct"/>
          </w:tcPr>
          <w:p w14:paraId="0E3FC83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Days between scheduling and visit (RC = telephone)</w:t>
            </w:r>
          </w:p>
        </w:tc>
        <w:tc>
          <w:tcPr>
            <w:tcW w:w="716" w:type="pct"/>
          </w:tcPr>
          <w:p w14:paraId="3FF18C6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1.80</w:t>
            </w:r>
          </w:p>
        </w:tc>
        <w:tc>
          <w:tcPr>
            <w:tcW w:w="685" w:type="pct"/>
          </w:tcPr>
          <w:p w14:paraId="30A30BE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3.50</w:t>
            </w:r>
          </w:p>
        </w:tc>
        <w:tc>
          <w:tcPr>
            <w:tcW w:w="691" w:type="pct"/>
          </w:tcPr>
          <w:p w14:paraId="7A0C6C4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1.70</w:t>
            </w:r>
          </w:p>
        </w:tc>
        <w:tc>
          <w:tcPr>
            <w:tcW w:w="620" w:type="pct"/>
          </w:tcPr>
          <w:p w14:paraId="49A2544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1BDE2EE9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16300B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</w:tcPr>
          <w:p w14:paraId="6E205D5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Days between scheduling and visit (RC = video)</w:t>
            </w:r>
          </w:p>
        </w:tc>
        <w:tc>
          <w:tcPr>
            <w:tcW w:w="716" w:type="pct"/>
          </w:tcPr>
          <w:p w14:paraId="6AAA27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2.30</w:t>
            </w:r>
          </w:p>
        </w:tc>
        <w:tc>
          <w:tcPr>
            <w:tcW w:w="685" w:type="pct"/>
          </w:tcPr>
          <w:p w14:paraId="1CC7AE3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3.50</w:t>
            </w:r>
          </w:p>
        </w:tc>
        <w:tc>
          <w:tcPr>
            <w:tcW w:w="691" w:type="pct"/>
          </w:tcPr>
          <w:p w14:paraId="33741E0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1.20</w:t>
            </w:r>
          </w:p>
        </w:tc>
        <w:tc>
          <w:tcPr>
            <w:tcW w:w="620" w:type="pct"/>
          </w:tcPr>
          <w:p w14:paraId="08B17B9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E2AB16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35BA743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</w:tcPr>
          <w:p w14:paraId="4D08439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Visits occurring within 1 day of scheduling (%) (RC: telephone)</w:t>
            </w:r>
          </w:p>
        </w:tc>
        <w:tc>
          <w:tcPr>
            <w:tcW w:w="716" w:type="pct"/>
          </w:tcPr>
          <w:p w14:paraId="5115856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66.60 (66.40, 66.80)</w:t>
            </w:r>
          </w:p>
        </w:tc>
        <w:tc>
          <w:tcPr>
            <w:tcW w:w="685" w:type="pct"/>
          </w:tcPr>
          <w:p w14:paraId="41AC2EF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46.50 (46.40, 46.60)</w:t>
            </w:r>
          </w:p>
        </w:tc>
        <w:tc>
          <w:tcPr>
            <w:tcW w:w="691" w:type="pct"/>
          </w:tcPr>
          <w:p w14:paraId="059386F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0" w:type="pct"/>
          </w:tcPr>
          <w:p w14:paraId="07AC75A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9C75B19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46E3C00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</w:tcPr>
          <w:p w14:paraId="2A4B056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Visits occurring within 1 day of scheduling (%) (RC: video)</w:t>
            </w:r>
          </w:p>
        </w:tc>
        <w:tc>
          <w:tcPr>
            <w:tcW w:w="716" w:type="pct"/>
          </w:tcPr>
          <w:p w14:paraId="1B1AAB4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56.60 (55.90, 57.30)</w:t>
            </w:r>
          </w:p>
        </w:tc>
        <w:tc>
          <w:tcPr>
            <w:tcW w:w="685" w:type="pct"/>
          </w:tcPr>
          <w:p w14:paraId="692A072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46.50 (46.40, 46.60)</w:t>
            </w:r>
          </w:p>
        </w:tc>
        <w:tc>
          <w:tcPr>
            <w:tcW w:w="691" w:type="pct"/>
          </w:tcPr>
          <w:p w14:paraId="0C624CA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0" w:type="pct"/>
          </w:tcPr>
          <w:p w14:paraId="3222529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BCAB60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FFEABA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Haderlein</w:t>
            </w:r>
            <w:proofErr w:type="spellEnd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, 2022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37</w:t>
            </w:r>
          </w:p>
        </w:tc>
        <w:tc>
          <w:tcPr>
            <w:tcW w:w="1586" w:type="pct"/>
          </w:tcPr>
          <w:p w14:paraId="080C93F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Patients receiving same-day mental health care (%)</w:t>
            </w:r>
          </w:p>
        </w:tc>
        <w:tc>
          <w:tcPr>
            <w:tcW w:w="716" w:type="pct"/>
          </w:tcPr>
          <w:p w14:paraId="65944FB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19.70</w:t>
            </w:r>
          </w:p>
        </w:tc>
        <w:tc>
          <w:tcPr>
            <w:tcW w:w="685" w:type="pct"/>
          </w:tcPr>
          <w:p w14:paraId="05C28D5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36.00</w:t>
            </w:r>
          </w:p>
        </w:tc>
        <w:tc>
          <w:tcPr>
            <w:tcW w:w="691" w:type="pct"/>
          </w:tcPr>
          <w:p w14:paraId="13B56AD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0.01)</w:t>
            </w:r>
          </w:p>
        </w:tc>
        <w:tc>
          <w:tcPr>
            <w:tcW w:w="620" w:type="pct"/>
          </w:tcPr>
          <w:p w14:paraId="31CFCBD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</w:t>
            </w:r>
          </w:p>
        </w:tc>
      </w:tr>
      <w:tr w:rsidR="00DD2072" w:rsidRPr="008C0118" w14:paraId="518D3923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AB58DE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Wickstrom, 2018</w:t>
            </w:r>
            <w:r w:rsidRPr="00C178A4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54</w:t>
            </w:r>
          </w:p>
        </w:tc>
        <w:tc>
          <w:tcPr>
            <w:tcW w:w="1586" w:type="pct"/>
          </w:tcPr>
          <w:p w14:paraId="221261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Number of days between referral and consultation </w:t>
            </w:r>
          </w:p>
        </w:tc>
        <w:tc>
          <w:tcPr>
            <w:tcW w:w="716" w:type="pct"/>
          </w:tcPr>
          <w:p w14:paraId="363C62C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25.00</w:t>
            </w:r>
          </w:p>
        </w:tc>
        <w:tc>
          <w:tcPr>
            <w:tcW w:w="685" w:type="pct"/>
          </w:tcPr>
          <w:p w14:paraId="45A570D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43.00</w:t>
            </w:r>
          </w:p>
        </w:tc>
        <w:tc>
          <w:tcPr>
            <w:tcW w:w="691" w:type="pct"/>
          </w:tcPr>
          <w:p w14:paraId="76E5A83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(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= 0.017)</w:t>
            </w:r>
          </w:p>
        </w:tc>
        <w:tc>
          <w:tcPr>
            <w:tcW w:w="620" w:type="pct"/>
          </w:tcPr>
          <w:p w14:paraId="637318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</w:tbl>
    <w:p w14:paraId="31D5DAAB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>CI, confidence intervals; F2F, face-to-face; RC, remote consultation; SD, standard deviation</w:t>
      </w:r>
    </w:p>
    <w:p w14:paraId="74329B9F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54892A3B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20DDBE8D" w14:textId="77777777" w:rsidR="00DD2072" w:rsidRDefault="00DD2072">
      <w:pPr>
        <w:rPr>
          <w:rFonts w:ascii="Arial Nova" w:hAnsi="Arial Nova"/>
          <w:b/>
          <w:bCs/>
          <w:color w:val="000000" w:themeColor="text1"/>
          <w:sz w:val="22"/>
          <w:szCs w:val="22"/>
        </w:rPr>
      </w:pPr>
      <w:r>
        <w:rPr>
          <w:rFonts w:ascii="Arial Nova" w:hAnsi="Arial Nova"/>
          <w:b/>
          <w:bCs/>
          <w:color w:val="000000" w:themeColor="text1"/>
          <w:sz w:val="22"/>
          <w:szCs w:val="22"/>
        </w:rPr>
        <w:br w:type="page"/>
      </w:r>
    </w:p>
    <w:p w14:paraId="2D2602DC" w14:textId="386F4CB0" w:rsidR="00DD2072" w:rsidRPr="008C0118" w:rsidRDefault="00DD2072" w:rsidP="00DD2072">
      <w:pPr>
        <w:rPr>
          <w:rFonts w:ascii="Arial Nova" w:hAnsi="Arial Nova"/>
          <w:color w:val="000000" w:themeColor="text1"/>
          <w:sz w:val="22"/>
          <w:szCs w:val="22"/>
        </w:rPr>
      </w:pPr>
      <w:r w:rsidRPr="008C0118">
        <w:rPr>
          <w:rFonts w:ascii="Arial Nova" w:hAnsi="Arial Nova"/>
          <w:b/>
          <w:bCs/>
          <w:color w:val="000000" w:themeColor="text1"/>
          <w:sz w:val="22"/>
          <w:szCs w:val="22"/>
        </w:rPr>
        <w:lastRenderedPageBreak/>
        <w:t>Appendix 9</w:t>
      </w:r>
      <w:r w:rsidRPr="008C0118">
        <w:rPr>
          <w:rFonts w:ascii="Arial Nova" w:hAnsi="Arial Nova"/>
          <w:color w:val="000000" w:themeColor="text1"/>
          <w:sz w:val="22"/>
          <w:szCs w:val="22"/>
        </w:rPr>
        <w:t>. The impact of remote consultations on equity of care.</w:t>
      </w:r>
    </w:p>
    <w:tbl>
      <w:tblPr>
        <w:tblStyle w:val="ListTable6ColourfulAccent1"/>
        <w:tblW w:w="5000" w:type="pct"/>
        <w:tblLook w:val="04A0" w:firstRow="1" w:lastRow="0" w:firstColumn="1" w:lastColumn="0" w:noHBand="0" w:noVBand="1"/>
      </w:tblPr>
      <w:tblGrid>
        <w:gridCol w:w="1965"/>
        <w:gridCol w:w="5241"/>
        <w:gridCol w:w="2644"/>
        <w:gridCol w:w="2340"/>
        <w:gridCol w:w="1770"/>
      </w:tblGrid>
      <w:tr w:rsidR="00DD2072" w:rsidRPr="008C0118" w14:paraId="166ACA36" w14:textId="77777777" w:rsidTr="001F2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4472C4" w:themeColor="accent1"/>
            </w:tcBorders>
          </w:tcPr>
          <w:p w14:paraId="26487B34" w14:textId="77777777" w:rsidR="00DD2072" w:rsidRPr="008C0118" w:rsidRDefault="00DD2072" w:rsidP="001F2CB3">
            <w:pPr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Author, year</w:t>
            </w:r>
          </w:p>
        </w:tc>
        <w:tc>
          <w:tcPr>
            <w:tcW w:w="1877" w:type="pct"/>
            <w:tcBorders>
              <w:top w:val="single" w:sz="4" w:space="0" w:color="4472C4" w:themeColor="accent1"/>
            </w:tcBorders>
          </w:tcPr>
          <w:p w14:paraId="45AB4618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Outcome measure</w:t>
            </w:r>
          </w:p>
        </w:tc>
        <w:tc>
          <w:tcPr>
            <w:tcW w:w="947" w:type="pct"/>
            <w:tcBorders>
              <w:top w:val="single" w:sz="4" w:space="0" w:color="4472C4" w:themeColor="accent1"/>
            </w:tcBorders>
          </w:tcPr>
          <w:p w14:paraId="56ACD624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 xml:space="preserve">Mean difference (%), OR, or RRR </w:t>
            </w:r>
          </w:p>
        </w:tc>
        <w:tc>
          <w:tcPr>
            <w:tcW w:w="838" w:type="pct"/>
            <w:tcBorders>
              <w:top w:val="single" w:sz="4" w:space="0" w:color="4472C4" w:themeColor="accent1"/>
            </w:tcBorders>
          </w:tcPr>
          <w:p w14:paraId="3FA01199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95% CI and/or P value</w:t>
            </w:r>
          </w:p>
        </w:tc>
        <w:tc>
          <w:tcPr>
            <w:tcW w:w="634" w:type="pct"/>
            <w:tcBorders>
              <w:top w:val="single" w:sz="4" w:space="0" w:color="4472C4" w:themeColor="accent1"/>
            </w:tcBorders>
          </w:tcPr>
          <w:p w14:paraId="7ACFF159" w14:textId="77777777" w:rsidR="00DD2072" w:rsidRPr="008C0118" w:rsidRDefault="00DD2072" w:rsidP="001F2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Risk of bias</w:t>
            </w:r>
          </w:p>
        </w:tc>
      </w:tr>
      <w:tr w:rsidR="00DD2072" w:rsidRPr="008C0118" w14:paraId="5E501F5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9DC3C3B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0FF694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a) Use of RC vs F2F</w:t>
            </w:r>
          </w:p>
        </w:tc>
        <w:tc>
          <w:tcPr>
            <w:tcW w:w="947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51763AA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FB4260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7D23B7D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25949FD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4472C4" w:themeColor="accent1"/>
            </w:tcBorders>
          </w:tcPr>
          <w:p w14:paraId="42CE8EC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Dai, 2022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32</w:t>
            </w:r>
          </w:p>
        </w:tc>
        <w:tc>
          <w:tcPr>
            <w:tcW w:w="1877" w:type="pct"/>
            <w:tcBorders>
              <w:top w:val="single" w:sz="4" w:space="0" w:color="4472C4" w:themeColor="accent1"/>
            </w:tcBorders>
          </w:tcPr>
          <w:p w14:paraId="0948BAD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Male vs female</w:t>
            </w:r>
          </w:p>
        </w:tc>
        <w:tc>
          <w:tcPr>
            <w:tcW w:w="947" w:type="pct"/>
            <w:tcBorders>
              <w:top w:val="single" w:sz="4" w:space="0" w:color="4472C4" w:themeColor="accent1"/>
            </w:tcBorders>
          </w:tcPr>
          <w:p w14:paraId="4634B3A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1.02 </w:t>
            </w:r>
          </w:p>
        </w:tc>
        <w:tc>
          <w:tcPr>
            <w:tcW w:w="838" w:type="pct"/>
            <w:tcBorders>
              <w:top w:val="single" w:sz="4" w:space="0" w:color="4472C4" w:themeColor="accent1"/>
            </w:tcBorders>
          </w:tcPr>
          <w:p w14:paraId="6EDDF16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1.0, 1.04</w:t>
            </w:r>
          </w:p>
        </w:tc>
        <w:tc>
          <w:tcPr>
            <w:tcW w:w="634" w:type="pct"/>
            <w:tcBorders>
              <w:top w:val="single" w:sz="4" w:space="0" w:color="4472C4" w:themeColor="accent1"/>
            </w:tcBorders>
          </w:tcPr>
          <w:p w14:paraId="5383CC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</w:t>
            </w:r>
          </w:p>
        </w:tc>
      </w:tr>
      <w:tr w:rsidR="00DD2072" w:rsidRPr="008C0118" w14:paraId="73F6BC1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67810A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722C04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70-74 vs 65-69</w:t>
            </w:r>
          </w:p>
        </w:tc>
        <w:tc>
          <w:tcPr>
            <w:tcW w:w="947" w:type="pct"/>
          </w:tcPr>
          <w:p w14:paraId="4B37B28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0.96 </w:t>
            </w:r>
          </w:p>
        </w:tc>
        <w:tc>
          <w:tcPr>
            <w:tcW w:w="838" w:type="pct"/>
          </w:tcPr>
          <w:p w14:paraId="32C877C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0.9, 1.03</w:t>
            </w:r>
          </w:p>
        </w:tc>
        <w:tc>
          <w:tcPr>
            <w:tcW w:w="634" w:type="pct"/>
          </w:tcPr>
          <w:p w14:paraId="4FA7D08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02C79CA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5B9A359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606B21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75-79 vs 64-69</w:t>
            </w:r>
          </w:p>
        </w:tc>
        <w:tc>
          <w:tcPr>
            <w:tcW w:w="947" w:type="pct"/>
          </w:tcPr>
          <w:p w14:paraId="09EB7DE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0.87 </w:t>
            </w:r>
          </w:p>
        </w:tc>
        <w:tc>
          <w:tcPr>
            <w:tcW w:w="838" w:type="pct"/>
          </w:tcPr>
          <w:p w14:paraId="2A4963A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0.82, 0.93*</w:t>
            </w:r>
          </w:p>
        </w:tc>
        <w:tc>
          <w:tcPr>
            <w:tcW w:w="634" w:type="pct"/>
          </w:tcPr>
          <w:p w14:paraId="5C7FDC1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F969BE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548FCC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C15E8D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80-84 vs 65-69</w:t>
            </w:r>
          </w:p>
        </w:tc>
        <w:tc>
          <w:tcPr>
            <w:tcW w:w="947" w:type="pct"/>
          </w:tcPr>
          <w:p w14:paraId="7F930AD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0.86 </w:t>
            </w:r>
          </w:p>
        </w:tc>
        <w:tc>
          <w:tcPr>
            <w:tcW w:w="838" w:type="pct"/>
          </w:tcPr>
          <w:p w14:paraId="4714193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0.81, 0.91*</w:t>
            </w:r>
          </w:p>
        </w:tc>
        <w:tc>
          <w:tcPr>
            <w:tcW w:w="634" w:type="pct"/>
          </w:tcPr>
          <w:p w14:paraId="69196D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4126B36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FE8CB5C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0CE505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85+ vs 64-69</w:t>
            </w:r>
          </w:p>
        </w:tc>
        <w:tc>
          <w:tcPr>
            <w:tcW w:w="947" w:type="pct"/>
          </w:tcPr>
          <w:p w14:paraId="45ED74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0.70 </w:t>
            </w:r>
          </w:p>
        </w:tc>
        <w:tc>
          <w:tcPr>
            <w:tcW w:w="838" w:type="pct"/>
          </w:tcPr>
          <w:p w14:paraId="41AB4E9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0.66, 0.74*</w:t>
            </w:r>
          </w:p>
        </w:tc>
        <w:tc>
          <w:tcPr>
            <w:tcW w:w="634" w:type="pct"/>
          </w:tcPr>
          <w:p w14:paraId="63F39E7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C6718D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21A7AA6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840ABE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Pension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holders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vs not on pension</w:t>
            </w:r>
          </w:p>
        </w:tc>
        <w:tc>
          <w:tcPr>
            <w:tcW w:w="947" w:type="pct"/>
          </w:tcPr>
          <w:p w14:paraId="240E794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838" w:type="pct"/>
          </w:tcPr>
          <w:p w14:paraId="5A4F8EE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1.10, 1.17*</w:t>
            </w:r>
          </w:p>
        </w:tc>
        <w:tc>
          <w:tcPr>
            <w:tcW w:w="634" w:type="pct"/>
          </w:tcPr>
          <w:p w14:paraId="392931C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27EAD55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A31253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6A6D3D2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Rural vs urban</w:t>
            </w:r>
          </w:p>
        </w:tc>
        <w:tc>
          <w:tcPr>
            <w:tcW w:w="947" w:type="pct"/>
          </w:tcPr>
          <w:p w14:paraId="7BCF749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1.72</w:t>
            </w:r>
          </w:p>
        </w:tc>
        <w:tc>
          <w:tcPr>
            <w:tcW w:w="838" w:type="pct"/>
          </w:tcPr>
          <w:p w14:paraId="60B83E2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1.57, 1.90*</w:t>
            </w:r>
          </w:p>
        </w:tc>
        <w:tc>
          <w:tcPr>
            <w:tcW w:w="634" w:type="pct"/>
          </w:tcPr>
          <w:p w14:paraId="17368AF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99A43C3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70CC49C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Pierce, 2020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44</w:t>
            </w:r>
          </w:p>
        </w:tc>
        <w:tc>
          <w:tcPr>
            <w:tcW w:w="1877" w:type="pct"/>
          </w:tcPr>
          <w:p w14:paraId="683838F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Female vs male</w:t>
            </w:r>
          </w:p>
        </w:tc>
        <w:tc>
          <w:tcPr>
            <w:tcW w:w="947" w:type="pct"/>
          </w:tcPr>
          <w:p w14:paraId="4FEDCFA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838" w:type="pct"/>
          </w:tcPr>
          <w:p w14:paraId="7144A39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1.04, 1.26*</w:t>
            </w:r>
          </w:p>
        </w:tc>
        <w:tc>
          <w:tcPr>
            <w:tcW w:w="634" w:type="pct"/>
          </w:tcPr>
          <w:p w14:paraId="7144DB3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6C70C0D6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2E268302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167C9E4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&lt;18 vs 18-44</w:t>
            </w:r>
          </w:p>
        </w:tc>
        <w:tc>
          <w:tcPr>
            <w:tcW w:w="947" w:type="pct"/>
          </w:tcPr>
          <w:p w14:paraId="45CFAB6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838" w:type="pct"/>
          </w:tcPr>
          <w:p w14:paraId="4AEF8A6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0.29, 0.41*</w:t>
            </w:r>
          </w:p>
        </w:tc>
        <w:tc>
          <w:tcPr>
            <w:tcW w:w="634" w:type="pct"/>
          </w:tcPr>
          <w:p w14:paraId="629E42A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0FE59B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CA2B15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87A9AD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45-65 vs 18-44</w:t>
            </w:r>
          </w:p>
        </w:tc>
        <w:tc>
          <w:tcPr>
            <w:tcW w:w="947" w:type="pct"/>
          </w:tcPr>
          <w:p w14:paraId="22931F7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1.08</w:t>
            </w:r>
          </w:p>
        </w:tc>
        <w:tc>
          <w:tcPr>
            <w:tcW w:w="838" w:type="pct"/>
          </w:tcPr>
          <w:p w14:paraId="012A1D2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0.97, 1.21</w:t>
            </w:r>
          </w:p>
        </w:tc>
        <w:tc>
          <w:tcPr>
            <w:tcW w:w="634" w:type="pct"/>
          </w:tcPr>
          <w:p w14:paraId="47AC1DC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A5D1101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28C5B128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32A0AE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&gt;65 vs 18-44</w:t>
            </w:r>
          </w:p>
        </w:tc>
        <w:tc>
          <w:tcPr>
            <w:tcW w:w="947" w:type="pct"/>
          </w:tcPr>
          <w:p w14:paraId="3EF1CCD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1.21</w:t>
            </w:r>
          </w:p>
        </w:tc>
        <w:tc>
          <w:tcPr>
            <w:tcW w:w="838" w:type="pct"/>
          </w:tcPr>
          <w:p w14:paraId="5D4C040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1.05, 1.40*</w:t>
            </w:r>
          </w:p>
        </w:tc>
        <w:tc>
          <w:tcPr>
            <w:tcW w:w="634" w:type="pct"/>
          </w:tcPr>
          <w:p w14:paraId="484496E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60010A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2F620FF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600BE7F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</w:tcPr>
          <w:p w14:paraId="43D01D5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838" w:type="pct"/>
          </w:tcPr>
          <w:p w14:paraId="22028E8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0.56, 0.75*</w:t>
            </w:r>
          </w:p>
        </w:tc>
        <w:tc>
          <w:tcPr>
            <w:tcW w:w="634" w:type="pct"/>
          </w:tcPr>
          <w:p w14:paraId="5723083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5C27D72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7B8AF61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1D0F7E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Other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race vs white</w:t>
            </w:r>
          </w:p>
        </w:tc>
        <w:tc>
          <w:tcPr>
            <w:tcW w:w="947" w:type="pct"/>
          </w:tcPr>
          <w:p w14:paraId="767DDCE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838" w:type="pct"/>
          </w:tcPr>
          <w:p w14:paraId="55910F6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0.50, 0.82*</w:t>
            </w:r>
          </w:p>
        </w:tc>
        <w:tc>
          <w:tcPr>
            <w:tcW w:w="634" w:type="pct"/>
          </w:tcPr>
          <w:p w14:paraId="3909530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0952B2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15352B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7498D0D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Hispanic vs non-Hispanic</w:t>
            </w:r>
          </w:p>
        </w:tc>
        <w:tc>
          <w:tcPr>
            <w:tcW w:w="947" w:type="pct"/>
          </w:tcPr>
          <w:p w14:paraId="2591390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0.87</w:t>
            </w:r>
          </w:p>
        </w:tc>
        <w:tc>
          <w:tcPr>
            <w:tcW w:w="838" w:type="pct"/>
          </w:tcPr>
          <w:p w14:paraId="4F44997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0.62, 1.22 </w:t>
            </w:r>
          </w:p>
        </w:tc>
        <w:tc>
          <w:tcPr>
            <w:tcW w:w="634" w:type="pct"/>
          </w:tcPr>
          <w:p w14:paraId="15C0CD6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5F758E0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5A57A98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085CE3A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Self-pay vs insurance</w:t>
            </w:r>
          </w:p>
        </w:tc>
        <w:tc>
          <w:tcPr>
            <w:tcW w:w="947" w:type="pct"/>
          </w:tcPr>
          <w:p w14:paraId="6E9532C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1.26</w:t>
            </w:r>
          </w:p>
        </w:tc>
        <w:tc>
          <w:tcPr>
            <w:tcW w:w="838" w:type="pct"/>
          </w:tcPr>
          <w:p w14:paraId="6CC9412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1.04, 1.52*</w:t>
            </w:r>
          </w:p>
        </w:tc>
        <w:tc>
          <w:tcPr>
            <w:tcW w:w="634" w:type="pct"/>
          </w:tcPr>
          <w:p w14:paraId="7FD6293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29B49B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D19710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2410EED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Medicaid vs insurance</w:t>
            </w:r>
          </w:p>
        </w:tc>
        <w:tc>
          <w:tcPr>
            <w:tcW w:w="947" w:type="pct"/>
          </w:tcPr>
          <w:p w14:paraId="38A829F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1.29</w:t>
            </w:r>
          </w:p>
        </w:tc>
        <w:tc>
          <w:tcPr>
            <w:tcW w:w="838" w:type="pct"/>
          </w:tcPr>
          <w:p w14:paraId="265DC8F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1.04, 1.61*</w:t>
            </w:r>
          </w:p>
        </w:tc>
        <w:tc>
          <w:tcPr>
            <w:tcW w:w="634" w:type="pct"/>
          </w:tcPr>
          <w:p w14:paraId="76F43B7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69AC77D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6A67852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206D538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Medicare vs insurance</w:t>
            </w:r>
          </w:p>
        </w:tc>
        <w:tc>
          <w:tcPr>
            <w:tcW w:w="947" w:type="pct"/>
          </w:tcPr>
          <w:p w14:paraId="1D29909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838" w:type="pct"/>
          </w:tcPr>
          <w:p w14:paraId="5E9D066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1.18, 1.60*</w:t>
            </w:r>
          </w:p>
        </w:tc>
        <w:tc>
          <w:tcPr>
            <w:tcW w:w="634" w:type="pct"/>
          </w:tcPr>
          <w:p w14:paraId="490BD94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70F250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5AE3F2AE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75E1E91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Rural vs urban</w:t>
            </w:r>
          </w:p>
        </w:tc>
        <w:tc>
          <w:tcPr>
            <w:tcW w:w="947" w:type="pct"/>
          </w:tcPr>
          <w:p w14:paraId="76B8A03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838" w:type="pct"/>
          </w:tcPr>
          <w:p w14:paraId="23E7AE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0.74, 0.90*</w:t>
            </w:r>
          </w:p>
        </w:tc>
        <w:tc>
          <w:tcPr>
            <w:tcW w:w="634" w:type="pct"/>
          </w:tcPr>
          <w:p w14:paraId="0A29F7A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AE1335E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6B0B4E9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Ryskina</w:t>
            </w:r>
            <w:proofErr w:type="spellEnd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, 2021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877" w:type="pct"/>
          </w:tcPr>
          <w:p w14:paraId="2BD2A55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Female vs male</w:t>
            </w:r>
          </w:p>
        </w:tc>
        <w:tc>
          <w:tcPr>
            <w:tcW w:w="947" w:type="pct"/>
          </w:tcPr>
          <w:p w14:paraId="4B1CB93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838" w:type="pct"/>
          </w:tcPr>
          <w:p w14:paraId="27FA53F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0.99, 1.59</w:t>
            </w:r>
          </w:p>
        </w:tc>
        <w:tc>
          <w:tcPr>
            <w:tcW w:w="634" w:type="pct"/>
          </w:tcPr>
          <w:p w14:paraId="4972F9A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70C18B49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C7C8EF8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2185703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75-84 vs 65-74</w:t>
            </w:r>
          </w:p>
        </w:tc>
        <w:tc>
          <w:tcPr>
            <w:tcW w:w="947" w:type="pct"/>
          </w:tcPr>
          <w:p w14:paraId="172E1F8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838" w:type="pct"/>
          </w:tcPr>
          <w:p w14:paraId="5F7C776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0.97, 1.24</w:t>
            </w:r>
          </w:p>
        </w:tc>
        <w:tc>
          <w:tcPr>
            <w:tcW w:w="634" w:type="pct"/>
          </w:tcPr>
          <w:p w14:paraId="44FE745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85D79C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4C09686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1FF62AA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&gt;84 vs 65-74</w:t>
            </w:r>
          </w:p>
        </w:tc>
        <w:tc>
          <w:tcPr>
            <w:tcW w:w="947" w:type="pct"/>
          </w:tcPr>
          <w:p w14:paraId="41CE30B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838" w:type="pct"/>
          </w:tcPr>
          <w:p w14:paraId="1E2FA83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1.0, 1.41</w:t>
            </w:r>
          </w:p>
        </w:tc>
        <w:tc>
          <w:tcPr>
            <w:tcW w:w="634" w:type="pct"/>
          </w:tcPr>
          <w:p w14:paraId="2555D1C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82DBBE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6516F514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CC4FC4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</w:tcPr>
          <w:p w14:paraId="6C0ED48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1.30 </w:t>
            </w:r>
          </w:p>
        </w:tc>
        <w:tc>
          <w:tcPr>
            <w:tcW w:w="838" w:type="pct"/>
          </w:tcPr>
          <w:p w14:paraId="0FFB593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1.14, 1.47*</w:t>
            </w:r>
          </w:p>
        </w:tc>
        <w:tc>
          <w:tcPr>
            <w:tcW w:w="634" w:type="pct"/>
          </w:tcPr>
          <w:p w14:paraId="389A72A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FF698A3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single" w:sz="4" w:space="0" w:color="auto"/>
            </w:tcBorders>
          </w:tcPr>
          <w:p w14:paraId="2D8D4B3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14:paraId="208BDB8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Asian vs white 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307142E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04214E2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0.47, 1.12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0CBED4C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28CF74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14:paraId="024A68B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7BA0744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b) Use of RC vs no care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14:paraId="559A617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14:paraId="1E99617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14:paraId="7D3C6F7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55B08AC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</w:tcBorders>
          </w:tcPr>
          <w:p w14:paraId="44F750E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Govier</w:t>
            </w:r>
            <w:proofErr w:type="spellEnd"/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, 2022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877" w:type="pct"/>
            <w:tcBorders>
              <w:top w:val="single" w:sz="4" w:space="0" w:color="auto"/>
            </w:tcBorders>
          </w:tcPr>
          <w:p w14:paraId="5EE7C69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Non-Hispanic Black vs non-Hispanic white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14:paraId="7CBBA2A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+ 3.30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14:paraId="455B687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  <w:tcBorders>
              <w:top w:val="single" w:sz="4" w:space="0" w:color="auto"/>
            </w:tcBorders>
          </w:tcPr>
          <w:p w14:paraId="5EC34C8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51EFD38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068621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0F88ABC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Non-Hispanic Asian vs non-Hispanic white</w:t>
            </w:r>
          </w:p>
        </w:tc>
        <w:tc>
          <w:tcPr>
            <w:tcW w:w="947" w:type="pct"/>
          </w:tcPr>
          <w:p w14:paraId="0932E8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+ 0.30</w:t>
            </w:r>
          </w:p>
        </w:tc>
        <w:tc>
          <w:tcPr>
            <w:tcW w:w="838" w:type="pct"/>
          </w:tcPr>
          <w:p w14:paraId="0119F5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</w:t>
            </w:r>
          </w:p>
        </w:tc>
        <w:tc>
          <w:tcPr>
            <w:tcW w:w="634" w:type="pct"/>
          </w:tcPr>
          <w:p w14:paraId="5BF7F14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AE84D6E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7894050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619246A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Non-Hispanic NH/PI vs non-Hispanic white</w:t>
            </w:r>
          </w:p>
        </w:tc>
        <w:tc>
          <w:tcPr>
            <w:tcW w:w="947" w:type="pct"/>
          </w:tcPr>
          <w:p w14:paraId="43AD051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+ 0.60</w:t>
            </w:r>
          </w:p>
        </w:tc>
        <w:tc>
          <w:tcPr>
            <w:tcW w:w="838" w:type="pct"/>
          </w:tcPr>
          <w:p w14:paraId="5FA8A1A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</w:t>
            </w:r>
          </w:p>
        </w:tc>
        <w:tc>
          <w:tcPr>
            <w:tcW w:w="634" w:type="pct"/>
          </w:tcPr>
          <w:p w14:paraId="634DCE1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65684D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7CEF3F3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0158FB0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Non-Hispanic other vs non-Hispanic white</w:t>
            </w:r>
          </w:p>
        </w:tc>
        <w:tc>
          <w:tcPr>
            <w:tcW w:w="947" w:type="pct"/>
          </w:tcPr>
          <w:p w14:paraId="4DA3BBB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−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2.53</w:t>
            </w:r>
          </w:p>
        </w:tc>
        <w:tc>
          <w:tcPr>
            <w:tcW w:w="838" w:type="pct"/>
          </w:tcPr>
          <w:p w14:paraId="1D65832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5A66018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4977E2D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0342227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B0EDC0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Hispanic/Latino vs non-Hispanic white</w:t>
            </w:r>
          </w:p>
        </w:tc>
        <w:tc>
          <w:tcPr>
            <w:tcW w:w="947" w:type="pct"/>
          </w:tcPr>
          <w:p w14:paraId="441CCD2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−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2.11 </w:t>
            </w:r>
          </w:p>
        </w:tc>
        <w:tc>
          <w:tcPr>
            <w:tcW w:w="838" w:type="pct"/>
          </w:tcPr>
          <w:p w14:paraId="1FF7BA6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gramStart"/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 &lt;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0.01*</w:t>
            </w:r>
          </w:p>
        </w:tc>
        <w:tc>
          <w:tcPr>
            <w:tcW w:w="634" w:type="pct"/>
          </w:tcPr>
          <w:p w14:paraId="7DB785D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56CDCA2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42D046C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B39517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SES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Theme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47" w:type="pct"/>
          </w:tcPr>
          <w:p w14:paraId="70F6E2A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+ 0.03</w:t>
            </w:r>
          </w:p>
        </w:tc>
        <w:tc>
          <w:tcPr>
            <w:tcW w:w="838" w:type="pct"/>
          </w:tcPr>
          <w:p w14:paraId="4A62D34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</w:t>
            </w:r>
          </w:p>
        </w:tc>
        <w:tc>
          <w:tcPr>
            <w:tcW w:w="634" w:type="pct"/>
          </w:tcPr>
          <w:p w14:paraId="4C5008C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6504F30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2C590ABE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6EFDF75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Minority Status/Language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Theme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47" w:type="pct"/>
          </w:tcPr>
          <w:p w14:paraId="20066FB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Cambria Math" w:hAnsi="Cambria Math" w:cs="Cambria Math"/>
                <w:color w:val="000000" w:themeColor="text1"/>
                <w:sz w:val="22"/>
                <w:szCs w:val="22"/>
              </w:rPr>
              <w:t>−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0.83</w:t>
            </w:r>
          </w:p>
        </w:tc>
        <w:tc>
          <w:tcPr>
            <w:tcW w:w="838" w:type="pct"/>
          </w:tcPr>
          <w:p w14:paraId="31F79DD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&gt; 0.05</w:t>
            </w:r>
          </w:p>
        </w:tc>
        <w:tc>
          <w:tcPr>
            <w:tcW w:w="634" w:type="pct"/>
          </w:tcPr>
          <w:p w14:paraId="036FE27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4DEDBEB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1FAE1B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Quinton, 2021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877" w:type="pct"/>
          </w:tcPr>
          <w:p w14:paraId="10B21E4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Female vs male</w:t>
            </w:r>
          </w:p>
        </w:tc>
        <w:tc>
          <w:tcPr>
            <w:tcW w:w="947" w:type="pct"/>
          </w:tcPr>
          <w:p w14:paraId="1C4103E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838" w:type="pct"/>
          </w:tcPr>
          <w:p w14:paraId="053FB1E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0.80, 1.08</w:t>
            </w:r>
          </w:p>
        </w:tc>
        <w:tc>
          <w:tcPr>
            <w:tcW w:w="634" w:type="pct"/>
          </w:tcPr>
          <w:p w14:paraId="77989D7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2DE6C16E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64A784A2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099838E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</w:tcPr>
          <w:p w14:paraId="2FCAFD8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838" w:type="pct"/>
          </w:tcPr>
          <w:p w14:paraId="196C420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0.42, 0.70;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692E3CF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DA0B86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89754A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098682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Other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vs white</w:t>
            </w:r>
          </w:p>
        </w:tc>
        <w:tc>
          <w:tcPr>
            <w:tcW w:w="947" w:type="pct"/>
          </w:tcPr>
          <w:p w14:paraId="61DFC0C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838" w:type="pct"/>
          </w:tcPr>
          <w:p w14:paraId="5FF3B01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0.44, 1.67</w:t>
            </w:r>
          </w:p>
        </w:tc>
        <w:tc>
          <w:tcPr>
            <w:tcW w:w="634" w:type="pct"/>
          </w:tcPr>
          <w:p w14:paraId="22B750B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6F377C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49CF102C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27AC503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Self-pay vs commercial </w:t>
            </w:r>
          </w:p>
        </w:tc>
        <w:tc>
          <w:tcPr>
            <w:tcW w:w="947" w:type="pct"/>
          </w:tcPr>
          <w:p w14:paraId="188DF47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838" w:type="pct"/>
          </w:tcPr>
          <w:p w14:paraId="18E96D8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0.55, 0.96;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4E1C83A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59054B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5480762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2750038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Medicaid vs commercial</w:t>
            </w:r>
          </w:p>
        </w:tc>
        <w:tc>
          <w:tcPr>
            <w:tcW w:w="947" w:type="pct"/>
          </w:tcPr>
          <w:p w14:paraId="43A361F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838" w:type="pct"/>
          </w:tcPr>
          <w:p w14:paraId="6DF18B4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0.31, 0.61;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667A1BF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E9E5FA0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D0E8C8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7231084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Medicare vs commercial </w:t>
            </w:r>
          </w:p>
        </w:tc>
        <w:tc>
          <w:tcPr>
            <w:tcW w:w="947" w:type="pct"/>
          </w:tcPr>
          <w:p w14:paraId="5E18713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838" w:type="pct"/>
          </w:tcPr>
          <w:p w14:paraId="6ABB9B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0.55, 0.89;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3A56CA5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118361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CC7510C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557CFD9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80-100% broadband access vs 0-20%</w:t>
            </w:r>
          </w:p>
        </w:tc>
        <w:tc>
          <w:tcPr>
            <w:tcW w:w="947" w:type="pct"/>
          </w:tcPr>
          <w:p w14:paraId="371A827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2.24</w:t>
            </w:r>
          </w:p>
        </w:tc>
        <w:tc>
          <w:tcPr>
            <w:tcW w:w="838" w:type="pct"/>
          </w:tcPr>
          <w:p w14:paraId="0F0B266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1.70, 2.95;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39CD393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7AD71FC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68DEEA2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ACA2BB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60-80% broadband access vs 0-20%</w:t>
            </w:r>
          </w:p>
        </w:tc>
        <w:tc>
          <w:tcPr>
            <w:tcW w:w="947" w:type="pct"/>
          </w:tcPr>
          <w:p w14:paraId="48FCF3B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838" w:type="pct"/>
          </w:tcPr>
          <w:p w14:paraId="2B1F59B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0.86, 1.41;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6CC1F3A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957E06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03FAB76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445B932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40-60% broadband access vs 0-20%</w:t>
            </w:r>
          </w:p>
        </w:tc>
        <w:tc>
          <w:tcPr>
            <w:tcW w:w="947" w:type="pct"/>
          </w:tcPr>
          <w:p w14:paraId="0828649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838" w:type="pct"/>
          </w:tcPr>
          <w:p w14:paraId="10A76AD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0.54, 2.10;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01B9A0B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F05A824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4B47B6C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193C542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20-40% broadband access vs 0-20%</w:t>
            </w:r>
          </w:p>
        </w:tc>
        <w:tc>
          <w:tcPr>
            <w:tcW w:w="947" w:type="pct"/>
          </w:tcPr>
          <w:p w14:paraId="3A751DC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1.09</w:t>
            </w:r>
          </w:p>
        </w:tc>
        <w:tc>
          <w:tcPr>
            <w:tcW w:w="838" w:type="pct"/>
          </w:tcPr>
          <w:p w14:paraId="3A05462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0.86, 1.37</w:t>
            </w:r>
          </w:p>
        </w:tc>
        <w:tc>
          <w:tcPr>
            <w:tcW w:w="634" w:type="pct"/>
          </w:tcPr>
          <w:p w14:paraId="7761D3C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7B5005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1710783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</w:tcPr>
          <w:p w14:paraId="6DE0E20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Partially rural vs rural</w:t>
            </w:r>
          </w:p>
        </w:tc>
        <w:tc>
          <w:tcPr>
            <w:tcW w:w="947" w:type="pct"/>
          </w:tcPr>
          <w:p w14:paraId="674BC64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2.64</w:t>
            </w:r>
          </w:p>
        </w:tc>
        <w:tc>
          <w:tcPr>
            <w:tcW w:w="838" w:type="pct"/>
          </w:tcPr>
          <w:p w14:paraId="6103C58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2.25, 3.11; </w:t>
            </w:r>
            <w:r w:rsidRPr="008C0118"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&lt; 0.05*</w:t>
            </w:r>
          </w:p>
        </w:tc>
        <w:tc>
          <w:tcPr>
            <w:tcW w:w="634" w:type="pct"/>
          </w:tcPr>
          <w:p w14:paraId="68BCA28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FC2B015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single" w:sz="4" w:space="0" w:color="auto"/>
            </w:tcBorders>
          </w:tcPr>
          <w:p w14:paraId="65DC0DB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4" w:space="0" w:color="auto"/>
            </w:tcBorders>
          </w:tcPr>
          <w:p w14:paraId="4607BB3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Non-rural vs rural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31A6FA1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6DD5F40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0.26, 1.88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440004B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D2B8EF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auto"/>
              <w:bottom w:val="single" w:sz="4" w:space="0" w:color="4472C4" w:themeColor="accent1"/>
            </w:tcBorders>
          </w:tcPr>
          <w:p w14:paraId="7AEA054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4472C4" w:themeColor="accent1"/>
            </w:tcBorders>
          </w:tcPr>
          <w:p w14:paraId="7ED91AA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c) Use of video vs F2F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4472C4" w:themeColor="accent1"/>
            </w:tcBorders>
          </w:tcPr>
          <w:p w14:paraId="69DF885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4472C4" w:themeColor="accent1"/>
            </w:tcBorders>
          </w:tcPr>
          <w:p w14:paraId="3F7EB3E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4472C4" w:themeColor="accent1"/>
            </w:tcBorders>
          </w:tcPr>
          <w:p w14:paraId="7AC831C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DA4D391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single" w:sz="4" w:space="0" w:color="4472C4" w:themeColor="accent1"/>
              <w:bottom w:val="nil"/>
            </w:tcBorders>
          </w:tcPr>
          <w:p w14:paraId="3B187F8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Reed, 2020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46</w:t>
            </w:r>
          </w:p>
        </w:tc>
        <w:tc>
          <w:tcPr>
            <w:tcW w:w="1877" w:type="pct"/>
            <w:tcBorders>
              <w:top w:val="single" w:sz="4" w:space="0" w:color="4472C4" w:themeColor="accent1"/>
              <w:bottom w:val="nil"/>
            </w:tcBorders>
          </w:tcPr>
          <w:p w14:paraId="35E2651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Male vs female</w:t>
            </w:r>
          </w:p>
        </w:tc>
        <w:tc>
          <w:tcPr>
            <w:tcW w:w="947" w:type="pct"/>
            <w:tcBorders>
              <w:top w:val="single" w:sz="4" w:space="0" w:color="4472C4" w:themeColor="accent1"/>
              <w:bottom w:val="nil"/>
            </w:tcBorders>
          </w:tcPr>
          <w:p w14:paraId="494D22E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838" w:type="pct"/>
            <w:tcBorders>
              <w:top w:val="single" w:sz="4" w:space="0" w:color="4472C4" w:themeColor="accent1"/>
              <w:bottom w:val="nil"/>
            </w:tcBorders>
          </w:tcPr>
          <w:p w14:paraId="2F4017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0.90, 0.96*</w:t>
            </w:r>
          </w:p>
        </w:tc>
        <w:tc>
          <w:tcPr>
            <w:tcW w:w="634" w:type="pct"/>
            <w:tcBorders>
              <w:top w:val="single" w:sz="4" w:space="0" w:color="4472C4" w:themeColor="accent1"/>
              <w:bottom w:val="nil"/>
            </w:tcBorders>
          </w:tcPr>
          <w:p w14:paraId="48DD522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19D217F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67554D1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4E7C8A6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&lt;18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1AD5AF9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12BCF89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0.91, 1.09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769A559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E7853FB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2BEE0253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64DBE85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45-64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636D48A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0.61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728993A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0.58, 0.63*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22F224B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D8C7CE7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293A9E8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48E13CF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&gt;65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03EBF2D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0DCF332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0.22, 0.26*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60E99F2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308B570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11A097E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58F0B85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25DD7E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1.62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3D55A4E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1.52, 1.73*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19A53C5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8308578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30256FBE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73C8EC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Hispanic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593E88C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F128A1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0.88, 0.97*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1547A278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1396C6C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87D4F6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7A5C9B6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Asian vs white 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4DC2AF0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1.26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0C1C66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1.22, 1.32*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64E5715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DF8B85F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single" w:sz="4" w:space="0" w:color="4472C4" w:themeColor="accent1"/>
            </w:tcBorders>
          </w:tcPr>
          <w:p w14:paraId="23013AF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single" w:sz="4" w:space="0" w:color="4472C4" w:themeColor="accent1"/>
            </w:tcBorders>
          </w:tcPr>
          <w:p w14:paraId="013FAD0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 SES neighbourhood vs high</w:t>
            </w:r>
          </w:p>
        </w:tc>
        <w:tc>
          <w:tcPr>
            <w:tcW w:w="947" w:type="pct"/>
            <w:tcBorders>
              <w:top w:val="nil"/>
              <w:bottom w:val="single" w:sz="4" w:space="0" w:color="4472C4" w:themeColor="accent1"/>
            </w:tcBorders>
          </w:tcPr>
          <w:p w14:paraId="02DDF88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838" w:type="pct"/>
            <w:tcBorders>
              <w:top w:val="nil"/>
              <w:bottom w:val="single" w:sz="4" w:space="0" w:color="4472C4" w:themeColor="accent1"/>
            </w:tcBorders>
          </w:tcPr>
          <w:p w14:paraId="1895219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0.89, 0.97*</w:t>
            </w:r>
          </w:p>
        </w:tc>
        <w:tc>
          <w:tcPr>
            <w:tcW w:w="634" w:type="pct"/>
            <w:tcBorders>
              <w:top w:val="nil"/>
              <w:bottom w:val="single" w:sz="4" w:space="0" w:color="4472C4" w:themeColor="accent1"/>
            </w:tcBorders>
          </w:tcPr>
          <w:p w14:paraId="2C36D0E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E2B9DB1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single" w:sz="4" w:space="0" w:color="4472C4" w:themeColor="accent1"/>
            </w:tcBorders>
          </w:tcPr>
          <w:p w14:paraId="59C5E82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4" w:space="0" w:color="4472C4" w:themeColor="accent1"/>
            </w:tcBorders>
          </w:tcPr>
          <w:p w14:paraId="18689F1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 xml:space="preserve">d) Use of telephone vs F2F </w:t>
            </w:r>
          </w:p>
        </w:tc>
        <w:tc>
          <w:tcPr>
            <w:tcW w:w="947" w:type="pct"/>
            <w:tcBorders>
              <w:bottom w:val="single" w:sz="4" w:space="0" w:color="4472C4" w:themeColor="accent1"/>
            </w:tcBorders>
          </w:tcPr>
          <w:p w14:paraId="00AB737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tcBorders>
              <w:bottom w:val="single" w:sz="4" w:space="0" w:color="4472C4" w:themeColor="accent1"/>
            </w:tcBorders>
          </w:tcPr>
          <w:p w14:paraId="4C7A8F9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bottom w:val="single" w:sz="4" w:space="0" w:color="4472C4" w:themeColor="accent1"/>
            </w:tcBorders>
          </w:tcPr>
          <w:p w14:paraId="14E2DC5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70E83D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nil"/>
            </w:tcBorders>
          </w:tcPr>
          <w:p w14:paraId="4A4D6FF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Reed, 2020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46</w:t>
            </w:r>
          </w:p>
        </w:tc>
        <w:tc>
          <w:tcPr>
            <w:tcW w:w="1877" w:type="pct"/>
            <w:tcBorders>
              <w:bottom w:val="nil"/>
            </w:tcBorders>
          </w:tcPr>
          <w:p w14:paraId="17CCEFF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Male vs female</w:t>
            </w:r>
          </w:p>
        </w:tc>
        <w:tc>
          <w:tcPr>
            <w:tcW w:w="947" w:type="pct"/>
            <w:tcBorders>
              <w:bottom w:val="nil"/>
            </w:tcBorders>
          </w:tcPr>
          <w:p w14:paraId="2C1F523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838" w:type="pct"/>
            <w:tcBorders>
              <w:bottom w:val="nil"/>
            </w:tcBorders>
          </w:tcPr>
          <w:p w14:paraId="48A0EBC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0.79, 0.81*</w:t>
            </w:r>
          </w:p>
        </w:tc>
        <w:tc>
          <w:tcPr>
            <w:tcW w:w="634" w:type="pct"/>
            <w:tcBorders>
              <w:bottom w:val="nil"/>
            </w:tcBorders>
          </w:tcPr>
          <w:p w14:paraId="60812FA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Moderate</w:t>
            </w:r>
          </w:p>
        </w:tc>
      </w:tr>
      <w:tr w:rsidR="00DD2072" w:rsidRPr="008C0118" w14:paraId="1AB1196E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62E3DAD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5A4E615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&lt;18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0BF9F3A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0F05BA8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0.40, 0.43*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69D13A2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BC97C8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17293EF8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46177C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45-64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4A3DC6C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3F0032F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0.70, 0.81*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05B0D43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EF09762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2BBAEBE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3CF90B35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&gt;65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92FC79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0.55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7909F0A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0.54, 0.57*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0D624B5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424E6B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3EEC311D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06250D5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567C7F7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1.28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0133DEE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1.25, 1.31*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3DFB7E31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845A869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46B388F1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709961A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Hispanic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47438D1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0589AF1D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0.98, 1.01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0E0F9EA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A115F0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35A8BC6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73B11DA4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Asian vs white 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6CCB206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7A5F03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0.94, 0.97*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43FC889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D9D0BD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single" w:sz="4" w:space="0" w:color="4472C4" w:themeColor="accent1"/>
            </w:tcBorders>
          </w:tcPr>
          <w:p w14:paraId="177661C9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single" w:sz="4" w:space="0" w:color="4472C4" w:themeColor="accent1"/>
            </w:tcBorders>
          </w:tcPr>
          <w:p w14:paraId="33922D3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 SES neighbourhood vs high</w:t>
            </w:r>
          </w:p>
        </w:tc>
        <w:tc>
          <w:tcPr>
            <w:tcW w:w="947" w:type="pct"/>
            <w:tcBorders>
              <w:top w:val="nil"/>
              <w:bottom w:val="single" w:sz="4" w:space="0" w:color="4472C4" w:themeColor="accent1"/>
            </w:tcBorders>
          </w:tcPr>
          <w:p w14:paraId="09DE797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1.01</w:t>
            </w:r>
          </w:p>
        </w:tc>
        <w:tc>
          <w:tcPr>
            <w:tcW w:w="838" w:type="pct"/>
            <w:tcBorders>
              <w:top w:val="nil"/>
              <w:bottom w:val="single" w:sz="4" w:space="0" w:color="4472C4" w:themeColor="accent1"/>
            </w:tcBorders>
          </w:tcPr>
          <w:p w14:paraId="36E6B12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1.00, 1.03</w:t>
            </w:r>
          </w:p>
        </w:tc>
        <w:tc>
          <w:tcPr>
            <w:tcW w:w="634" w:type="pct"/>
            <w:tcBorders>
              <w:top w:val="nil"/>
              <w:bottom w:val="single" w:sz="4" w:space="0" w:color="4472C4" w:themeColor="accent1"/>
            </w:tcBorders>
          </w:tcPr>
          <w:p w14:paraId="4B28219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9555310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single" w:sz="4" w:space="0" w:color="4472C4" w:themeColor="accent1"/>
            </w:tcBorders>
          </w:tcPr>
          <w:p w14:paraId="6CDD536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4" w:space="0" w:color="4472C4" w:themeColor="accent1"/>
            </w:tcBorders>
          </w:tcPr>
          <w:p w14:paraId="01D6B8F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  <w:t>e) Use of video vs telephone</w:t>
            </w:r>
          </w:p>
        </w:tc>
        <w:tc>
          <w:tcPr>
            <w:tcW w:w="947" w:type="pct"/>
            <w:tcBorders>
              <w:bottom w:val="single" w:sz="4" w:space="0" w:color="4472C4" w:themeColor="accent1"/>
            </w:tcBorders>
          </w:tcPr>
          <w:p w14:paraId="2582CE7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tcBorders>
              <w:bottom w:val="single" w:sz="4" w:space="0" w:color="4472C4" w:themeColor="accent1"/>
            </w:tcBorders>
          </w:tcPr>
          <w:p w14:paraId="2636C8C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tcBorders>
              <w:bottom w:val="single" w:sz="4" w:space="0" w:color="4472C4" w:themeColor="accent1"/>
            </w:tcBorders>
          </w:tcPr>
          <w:p w14:paraId="1EC1513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29A0E8E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bottom w:val="nil"/>
            </w:tcBorders>
          </w:tcPr>
          <w:p w14:paraId="596093D5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Dai, 2022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32</w:t>
            </w:r>
          </w:p>
        </w:tc>
        <w:tc>
          <w:tcPr>
            <w:tcW w:w="1877" w:type="pct"/>
            <w:tcBorders>
              <w:bottom w:val="nil"/>
            </w:tcBorders>
          </w:tcPr>
          <w:p w14:paraId="6914388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Male vs female</w:t>
            </w:r>
          </w:p>
        </w:tc>
        <w:tc>
          <w:tcPr>
            <w:tcW w:w="947" w:type="pct"/>
            <w:tcBorders>
              <w:bottom w:val="nil"/>
            </w:tcBorders>
          </w:tcPr>
          <w:p w14:paraId="47C89CC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0.94 </w:t>
            </w:r>
          </w:p>
        </w:tc>
        <w:tc>
          <w:tcPr>
            <w:tcW w:w="838" w:type="pct"/>
            <w:tcBorders>
              <w:bottom w:val="nil"/>
            </w:tcBorders>
          </w:tcPr>
          <w:p w14:paraId="763472E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0.86, 1.02</w:t>
            </w:r>
          </w:p>
        </w:tc>
        <w:tc>
          <w:tcPr>
            <w:tcW w:w="634" w:type="pct"/>
            <w:tcBorders>
              <w:bottom w:val="nil"/>
            </w:tcBorders>
          </w:tcPr>
          <w:p w14:paraId="552939F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Low</w:t>
            </w:r>
          </w:p>
        </w:tc>
      </w:tr>
      <w:tr w:rsidR="00DD2072" w:rsidRPr="008C0118" w14:paraId="02079AD1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1D14E182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451BF30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70-74 vs 65-69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5C47DD6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0.80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C050A7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0.61, 1.03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787029F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697675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8CAF78C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1D87BBD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75-79 vs 64-69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7B3DC29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1.13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0B5F813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0.89, 1.44 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69EBCFF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9A708F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4965530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4F2FBB4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80-84 vs 65-69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7530EE1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1.03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712B750C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0.82, 1.29 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2B36354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DDE2F90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80F9E3B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0A36279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85+ vs 64-69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5A9A4DF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1.20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6CAE8CDE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0.97, 1.49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7F5F160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02BBACB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4FD399B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03BD5C80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Pension </w:t>
            </w:r>
            <w:proofErr w:type="spell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holders</w:t>
            </w: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  <w:vertAlign w:val="superscript"/>
              </w:rPr>
              <w:t>a</w:t>
            </w:r>
            <w:proofErr w:type="spell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vs not on pension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12924B8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1.01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116765C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0.90, 1.13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46B7B1C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10FCC44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8A9CA9F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4CF1D8A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Rural vs urban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8AD00A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0.41 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5FFE4E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0.29, 0.57*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3A0F893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729645A4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561BF28A" w14:textId="77777777" w:rsidR="00DD2072" w:rsidRPr="00C178A4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178A4">
              <w:rPr>
                <w:rFonts w:ascii="Arial Nova" w:hAnsi="Arial Nova"/>
                <w:color w:val="000000" w:themeColor="text1"/>
                <w:sz w:val="22"/>
                <w:szCs w:val="22"/>
              </w:rPr>
              <w:t>Pierce, 2020</w:t>
            </w:r>
            <w:r w:rsidRPr="005909AC">
              <w:rPr>
                <w:noProof/>
                <w:color w:val="000000" w:themeColor="text1"/>
                <w:sz w:val="22"/>
                <w:szCs w:val="22"/>
                <w:vertAlign w:val="superscript"/>
              </w:rPr>
              <w:t>44</w:t>
            </w: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09348DE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Female vs male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40356A5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1.08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5C3DF3C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0.91, 1.27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4FBF225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High</w:t>
            </w:r>
          </w:p>
        </w:tc>
      </w:tr>
      <w:tr w:rsidR="00DD2072" w:rsidRPr="008C0118" w14:paraId="7EE81CC6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09FA8816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6B436FD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&lt;18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152729C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1A7AB60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0.59, 1.45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70A4D764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3F7799E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29A4C51A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312A42F3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45-65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D57293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0.51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53D4DAA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0.41, 0.62*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27D510E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49D7A0AF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38015F3E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7AF93E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&gt;65 vs 18-44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15C90E16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5D2E125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0.21, 0.33*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4B81B3B2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CEA2196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03C3E6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5233C82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Black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2792FB1B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CB7FA5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0.55, 0.93*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490C035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697FE55B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6D175BAB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3424A9C8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gramStart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Other</w:t>
            </w:r>
            <w:proofErr w:type="gramEnd"/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race vs white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7D921E77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69A7C000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0.48, 1.82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637DBB1B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18EF62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6A8EB922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00614ED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Hispanic vs non-Hispanic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3019F00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6E1B4F82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0.48, 1.82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28C61135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54058EC6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485C5C0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4B004E8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Self-pay vs insurance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65D2AEDF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5E8B829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0.49, 0.95*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291CE18C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032E0D1D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744336BD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5197F7AE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Medicaid vs insurance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4E05B456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4BE4372F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0.26, 0.51*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0D25EE2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374B473E" w14:textId="77777777" w:rsidTr="001F2CB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18B9B4D4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75AF1B3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Medicare vs insurance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66F731D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34403929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0.64, 0.99*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1EDD9FE1" w14:textId="77777777" w:rsidR="00DD2072" w:rsidRPr="008C0118" w:rsidRDefault="00DD2072" w:rsidP="001F2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DD2072" w:rsidRPr="008C0118" w14:paraId="135CEF35" w14:textId="77777777" w:rsidTr="001F2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tcBorders>
              <w:top w:val="nil"/>
              <w:bottom w:val="nil"/>
            </w:tcBorders>
          </w:tcPr>
          <w:p w14:paraId="5DF8DA75" w14:textId="77777777" w:rsidR="00DD2072" w:rsidRPr="008C0118" w:rsidRDefault="00DD2072" w:rsidP="001F2CB3">
            <w:pPr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nil"/>
              <w:bottom w:val="nil"/>
            </w:tcBorders>
          </w:tcPr>
          <w:p w14:paraId="2EE1988A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Rural vs urban</w:t>
            </w:r>
          </w:p>
        </w:tc>
        <w:tc>
          <w:tcPr>
            <w:tcW w:w="947" w:type="pct"/>
            <w:tcBorders>
              <w:top w:val="nil"/>
              <w:bottom w:val="nil"/>
            </w:tcBorders>
          </w:tcPr>
          <w:p w14:paraId="1FA5BE67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1.36</w:t>
            </w:r>
          </w:p>
        </w:tc>
        <w:tc>
          <w:tcPr>
            <w:tcW w:w="838" w:type="pct"/>
            <w:tcBorders>
              <w:top w:val="nil"/>
              <w:bottom w:val="nil"/>
            </w:tcBorders>
          </w:tcPr>
          <w:p w14:paraId="348627D9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C0118">
              <w:rPr>
                <w:rFonts w:ascii="Arial Nova" w:hAnsi="Arial Nova"/>
                <w:color w:val="000000" w:themeColor="text1"/>
                <w:sz w:val="22"/>
                <w:szCs w:val="22"/>
              </w:rPr>
              <w:t>1.14, 1.61*</w:t>
            </w:r>
          </w:p>
        </w:tc>
        <w:tc>
          <w:tcPr>
            <w:tcW w:w="634" w:type="pct"/>
            <w:tcBorders>
              <w:top w:val="nil"/>
              <w:bottom w:val="nil"/>
            </w:tcBorders>
          </w:tcPr>
          <w:p w14:paraId="19B36CAD" w14:textId="77777777" w:rsidR="00DD2072" w:rsidRPr="008C0118" w:rsidRDefault="00DD2072" w:rsidP="001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6F518D3B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</w:p>
    <w:p w14:paraId="26A40D7E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 xml:space="preserve">CI, confidence intervals; F2F, face-to-face; NH/PI, Native Hawaiian/ Pacific Islander; </w:t>
      </w:r>
      <w:proofErr w:type="gramStart"/>
      <w:r w:rsidRPr="008C0118">
        <w:rPr>
          <w:rFonts w:ascii="Arial Nova" w:hAnsi="Arial Nova"/>
          <w:sz w:val="22"/>
          <w:szCs w:val="22"/>
        </w:rPr>
        <w:t>OR,</w:t>
      </w:r>
      <w:proofErr w:type="gramEnd"/>
      <w:r w:rsidRPr="008C0118">
        <w:rPr>
          <w:rFonts w:ascii="Arial Nova" w:hAnsi="Arial Nova"/>
          <w:sz w:val="22"/>
          <w:szCs w:val="22"/>
        </w:rPr>
        <w:t xml:space="preserve"> odds ratio; RC, remote consultation; RRR, relative risk ratio; SES, socioeconomic status</w:t>
      </w:r>
    </w:p>
    <w:p w14:paraId="7EA65464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</w:rPr>
        <w:t xml:space="preserve">* Statistically significant findings </w:t>
      </w:r>
    </w:p>
    <w:p w14:paraId="4E007451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a </w:t>
      </w:r>
      <w:r w:rsidRPr="008C0118">
        <w:rPr>
          <w:rFonts w:ascii="Arial Nova" w:hAnsi="Arial Nova"/>
          <w:sz w:val="22"/>
          <w:szCs w:val="22"/>
        </w:rPr>
        <w:t xml:space="preserve">Pension holder status was used as a proxy indicator of lower </w:t>
      </w:r>
      <w:proofErr w:type="gramStart"/>
      <w:r w:rsidRPr="008C0118">
        <w:rPr>
          <w:rFonts w:ascii="Arial Nova" w:hAnsi="Arial Nova"/>
          <w:sz w:val="22"/>
          <w:szCs w:val="22"/>
        </w:rPr>
        <w:t>SES</w:t>
      </w:r>
      <w:proofErr w:type="gramEnd"/>
    </w:p>
    <w:p w14:paraId="027B282A" w14:textId="77777777" w:rsidR="00DD2072" w:rsidRPr="008C0118" w:rsidRDefault="00DD2072" w:rsidP="00DD2072">
      <w:pPr>
        <w:rPr>
          <w:rFonts w:ascii="Arial Nova" w:hAnsi="Arial Nova"/>
          <w:sz w:val="22"/>
          <w:szCs w:val="22"/>
        </w:rPr>
      </w:pPr>
      <w:r w:rsidRPr="008C0118">
        <w:rPr>
          <w:rFonts w:ascii="Arial Nova" w:hAnsi="Arial Nova"/>
          <w:sz w:val="22"/>
          <w:szCs w:val="22"/>
          <w:vertAlign w:val="superscript"/>
        </w:rPr>
        <w:t xml:space="preserve">b </w:t>
      </w:r>
      <w:r w:rsidRPr="008C0118">
        <w:rPr>
          <w:rFonts w:ascii="Arial Nova" w:hAnsi="Arial Nova"/>
          <w:sz w:val="22"/>
          <w:szCs w:val="22"/>
        </w:rPr>
        <w:t>Reference category indicates those less vulnerable for the respective theme, defined using the Social Vulnerability Index</w:t>
      </w:r>
    </w:p>
    <w:p w14:paraId="5F0AEB96" w14:textId="440A1704" w:rsidR="00DD2072" w:rsidRPr="00DD2072" w:rsidRDefault="00DD2072" w:rsidP="00DD2072">
      <w:pPr>
        <w:spacing w:afterAutospacing="1"/>
        <w:rPr>
          <w:sz w:val="20"/>
          <w:szCs w:val="20"/>
        </w:rPr>
        <w:sectPr w:rsidR="00DD2072" w:rsidRPr="00DD2072" w:rsidSect="00591F84">
          <w:headerReference w:type="default" r:id="rId5"/>
          <w:headerReference w:type="first" r:id="rId6"/>
          <w:footerReference w:type="first" r:id="rId7"/>
          <w:pgSz w:w="16840" w:h="1190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5500A7" w14:textId="77777777" w:rsidR="008C0118" w:rsidRPr="008C0118" w:rsidRDefault="008C0118">
      <w:pPr>
        <w:rPr>
          <w:rFonts w:ascii="Arial Nova" w:hAnsi="Arial Nova"/>
        </w:rPr>
      </w:pPr>
    </w:p>
    <w:sectPr w:rsidR="008C0118" w:rsidRPr="008C0118" w:rsidSect="008C0118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B93C" w14:textId="77777777" w:rsidR="37330B0C" w:rsidRDefault="00000000" w:rsidP="37330B0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B188" w14:textId="77777777" w:rsidR="37330B0C" w:rsidRDefault="00000000" w:rsidP="37330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2E3D" w14:textId="77777777" w:rsidR="37330B0C" w:rsidRDefault="00000000" w:rsidP="37330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12B2"/>
    <w:multiLevelType w:val="hybridMultilevel"/>
    <w:tmpl w:val="EE3ACA9E"/>
    <w:lvl w:ilvl="0" w:tplc="BF2C8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07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F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0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B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B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3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CA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B5D"/>
    <w:multiLevelType w:val="hybridMultilevel"/>
    <w:tmpl w:val="271CC4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1B14"/>
    <w:multiLevelType w:val="hybridMultilevel"/>
    <w:tmpl w:val="0C5CA642"/>
    <w:lvl w:ilvl="0" w:tplc="F4B45D4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F1C"/>
    <w:multiLevelType w:val="hybridMultilevel"/>
    <w:tmpl w:val="25E663DE"/>
    <w:lvl w:ilvl="0" w:tplc="61462D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2317"/>
    <w:multiLevelType w:val="hybridMultilevel"/>
    <w:tmpl w:val="E2FC73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4D6818"/>
    <w:multiLevelType w:val="hybridMultilevel"/>
    <w:tmpl w:val="353CAD10"/>
    <w:lvl w:ilvl="0" w:tplc="F482A1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25EA"/>
    <w:multiLevelType w:val="hybridMultilevel"/>
    <w:tmpl w:val="5A54B6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3E035B"/>
    <w:multiLevelType w:val="hybridMultilevel"/>
    <w:tmpl w:val="CF5A40A8"/>
    <w:lvl w:ilvl="0" w:tplc="059C73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5EDE"/>
    <w:multiLevelType w:val="hybridMultilevel"/>
    <w:tmpl w:val="92C034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FB5F87"/>
    <w:multiLevelType w:val="hybridMultilevel"/>
    <w:tmpl w:val="0B38DC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975EE"/>
    <w:multiLevelType w:val="hybridMultilevel"/>
    <w:tmpl w:val="5F0E07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06813"/>
    <w:multiLevelType w:val="hybridMultilevel"/>
    <w:tmpl w:val="9E862B2A"/>
    <w:lvl w:ilvl="0" w:tplc="76CC06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9AF9A"/>
    <w:multiLevelType w:val="hybridMultilevel"/>
    <w:tmpl w:val="6F129138"/>
    <w:lvl w:ilvl="0" w:tplc="ADAC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4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45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6C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CC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45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2E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E13D2"/>
    <w:multiLevelType w:val="hybridMultilevel"/>
    <w:tmpl w:val="0ACA27EA"/>
    <w:lvl w:ilvl="0" w:tplc="AA34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4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82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A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8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E1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5D0A"/>
    <w:multiLevelType w:val="hybridMultilevel"/>
    <w:tmpl w:val="C2BE8BC2"/>
    <w:lvl w:ilvl="0" w:tplc="FD14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376CA"/>
    <w:multiLevelType w:val="hybridMultilevel"/>
    <w:tmpl w:val="DCBA6BD6"/>
    <w:lvl w:ilvl="0" w:tplc="E26CEB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E247C"/>
    <w:multiLevelType w:val="hybridMultilevel"/>
    <w:tmpl w:val="9C46A4D8"/>
    <w:lvl w:ilvl="0" w:tplc="8E42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86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A2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A3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2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80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3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9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3475D"/>
    <w:multiLevelType w:val="hybridMultilevel"/>
    <w:tmpl w:val="FB86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477A9"/>
    <w:multiLevelType w:val="hybridMultilevel"/>
    <w:tmpl w:val="A9BE7000"/>
    <w:lvl w:ilvl="0" w:tplc="BF4418A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20D46"/>
    <w:multiLevelType w:val="multilevel"/>
    <w:tmpl w:val="DB642E5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10B0416"/>
    <w:multiLevelType w:val="hybridMultilevel"/>
    <w:tmpl w:val="8366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6CAD"/>
    <w:multiLevelType w:val="hybridMultilevel"/>
    <w:tmpl w:val="D95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11D0A"/>
    <w:multiLevelType w:val="hybridMultilevel"/>
    <w:tmpl w:val="B5BA2B3C"/>
    <w:lvl w:ilvl="0" w:tplc="FD1477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72555"/>
    <w:multiLevelType w:val="hybridMultilevel"/>
    <w:tmpl w:val="F312AF28"/>
    <w:lvl w:ilvl="0" w:tplc="1C266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6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CD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1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C3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60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6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D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CB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F3EDB"/>
    <w:multiLevelType w:val="hybridMultilevel"/>
    <w:tmpl w:val="1650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057F3"/>
    <w:multiLevelType w:val="hybridMultilevel"/>
    <w:tmpl w:val="19FC1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4DCB"/>
    <w:multiLevelType w:val="hybridMultilevel"/>
    <w:tmpl w:val="8652967A"/>
    <w:lvl w:ilvl="0" w:tplc="059C73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15F31"/>
    <w:multiLevelType w:val="hybridMultilevel"/>
    <w:tmpl w:val="F064B58E"/>
    <w:lvl w:ilvl="0" w:tplc="884C6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1387"/>
    <w:multiLevelType w:val="hybridMultilevel"/>
    <w:tmpl w:val="4726145C"/>
    <w:lvl w:ilvl="0" w:tplc="76CC06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53C0"/>
    <w:multiLevelType w:val="hybridMultilevel"/>
    <w:tmpl w:val="A282F1C6"/>
    <w:lvl w:ilvl="0" w:tplc="C3264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F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A3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F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6D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7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C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2B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6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E875"/>
    <w:multiLevelType w:val="hybridMultilevel"/>
    <w:tmpl w:val="40183A30"/>
    <w:lvl w:ilvl="0" w:tplc="8F066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08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C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8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B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C1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0E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6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65929"/>
    <w:multiLevelType w:val="hybridMultilevel"/>
    <w:tmpl w:val="61D6DA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55B1A"/>
    <w:multiLevelType w:val="hybridMultilevel"/>
    <w:tmpl w:val="A1FE3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46CF9"/>
    <w:multiLevelType w:val="hybridMultilevel"/>
    <w:tmpl w:val="C1DA53CA"/>
    <w:lvl w:ilvl="0" w:tplc="3C8876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5737"/>
    <w:multiLevelType w:val="multilevel"/>
    <w:tmpl w:val="3682A7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6A310FE"/>
    <w:multiLevelType w:val="hybridMultilevel"/>
    <w:tmpl w:val="E206A83E"/>
    <w:lvl w:ilvl="0" w:tplc="87EE21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47D13"/>
    <w:multiLevelType w:val="hybridMultilevel"/>
    <w:tmpl w:val="4094F7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824B7"/>
    <w:multiLevelType w:val="multilevel"/>
    <w:tmpl w:val="800C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1968C9"/>
    <w:multiLevelType w:val="hybridMultilevel"/>
    <w:tmpl w:val="7D328A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429933">
    <w:abstractNumId w:val="18"/>
  </w:num>
  <w:num w:numId="2" w16cid:durableId="2146655801">
    <w:abstractNumId w:val="1"/>
  </w:num>
  <w:num w:numId="3" w16cid:durableId="246352349">
    <w:abstractNumId w:val="12"/>
  </w:num>
  <w:num w:numId="4" w16cid:durableId="138153865">
    <w:abstractNumId w:val="29"/>
  </w:num>
  <w:num w:numId="5" w16cid:durableId="948393654">
    <w:abstractNumId w:val="0"/>
  </w:num>
  <w:num w:numId="6" w16cid:durableId="968244548">
    <w:abstractNumId w:val="16"/>
  </w:num>
  <w:num w:numId="7" w16cid:durableId="352270636">
    <w:abstractNumId w:val="13"/>
  </w:num>
  <w:num w:numId="8" w16cid:durableId="2083871733">
    <w:abstractNumId w:val="30"/>
  </w:num>
  <w:num w:numId="9" w16cid:durableId="223611773">
    <w:abstractNumId w:val="23"/>
  </w:num>
  <w:num w:numId="10" w16cid:durableId="2045591703">
    <w:abstractNumId w:val="37"/>
  </w:num>
  <w:num w:numId="11" w16cid:durableId="862521370">
    <w:abstractNumId w:val="19"/>
  </w:num>
  <w:num w:numId="12" w16cid:durableId="2113472035">
    <w:abstractNumId w:val="33"/>
  </w:num>
  <w:num w:numId="13" w16cid:durableId="199632381">
    <w:abstractNumId w:val="21"/>
  </w:num>
  <w:num w:numId="14" w16cid:durableId="213010681">
    <w:abstractNumId w:val="26"/>
  </w:num>
  <w:num w:numId="15" w16cid:durableId="1224217858">
    <w:abstractNumId w:val="34"/>
  </w:num>
  <w:num w:numId="16" w16cid:durableId="370881155">
    <w:abstractNumId w:val="10"/>
  </w:num>
  <w:num w:numId="17" w16cid:durableId="316233167">
    <w:abstractNumId w:val="9"/>
  </w:num>
  <w:num w:numId="18" w16cid:durableId="1016882300">
    <w:abstractNumId w:val="36"/>
  </w:num>
  <w:num w:numId="19" w16cid:durableId="611865106">
    <w:abstractNumId w:val="38"/>
  </w:num>
  <w:num w:numId="20" w16cid:durableId="1049525338">
    <w:abstractNumId w:val="6"/>
  </w:num>
  <w:num w:numId="21" w16cid:durableId="1354265162">
    <w:abstractNumId w:val="4"/>
  </w:num>
  <w:num w:numId="22" w16cid:durableId="1673141275">
    <w:abstractNumId w:val="31"/>
  </w:num>
  <w:num w:numId="23" w16cid:durableId="1878618972">
    <w:abstractNumId w:val="8"/>
  </w:num>
  <w:num w:numId="24" w16cid:durableId="1383747474">
    <w:abstractNumId w:val="2"/>
  </w:num>
  <w:num w:numId="25" w16cid:durableId="1601641824">
    <w:abstractNumId w:val="5"/>
  </w:num>
  <w:num w:numId="26" w16cid:durableId="353003489">
    <w:abstractNumId w:val="17"/>
  </w:num>
  <w:num w:numId="27" w16cid:durableId="1402331">
    <w:abstractNumId w:val="27"/>
  </w:num>
  <w:num w:numId="28" w16cid:durableId="1107308304">
    <w:abstractNumId w:val="15"/>
  </w:num>
  <w:num w:numId="29" w16cid:durableId="814878546">
    <w:abstractNumId w:val="14"/>
  </w:num>
  <w:num w:numId="30" w16cid:durableId="1675257423">
    <w:abstractNumId w:val="20"/>
  </w:num>
  <w:num w:numId="31" w16cid:durableId="1092825246">
    <w:abstractNumId w:val="25"/>
  </w:num>
  <w:num w:numId="32" w16cid:durableId="1397194587">
    <w:abstractNumId w:val="32"/>
  </w:num>
  <w:num w:numId="33" w16cid:durableId="256645708">
    <w:abstractNumId w:val="7"/>
  </w:num>
  <w:num w:numId="34" w16cid:durableId="2045516427">
    <w:abstractNumId w:val="24"/>
  </w:num>
  <w:num w:numId="35" w16cid:durableId="1886990244">
    <w:abstractNumId w:val="3"/>
  </w:num>
  <w:num w:numId="36" w16cid:durableId="1961303134">
    <w:abstractNumId w:val="22"/>
  </w:num>
  <w:num w:numId="37" w16cid:durableId="2107994808">
    <w:abstractNumId w:val="28"/>
  </w:num>
  <w:num w:numId="38" w16cid:durableId="1123884599">
    <w:abstractNumId w:val="11"/>
  </w:num>
  <w:num w:numId="39" w16cid:durableId="13963920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8"/>
    <w:rsid w:val="001271F3"/>
    <w:rsid w:val="00206557"/>
    <w:rsid w:val="00323171"/>
    <w:rsid w:val="003562D6"/>
    <w:rsid w:val="003A0715"/>
    <w:rsid w:val="00494240"/>
    <w:rsid w:val="004E442D"/>
    <w:rsid w:val="005C458A"/>
    <w:rsid w:val="00635CBD"/>
    <w:rsid w:val="00663608"/>
    <w:rsid w:val="006A3AA1"/>
    <w:rsid w:val="008C0118"/>
    <w:rsid w:val="00922B2D"/>
    <w:rsid w:val="00947EC6"/>
    <w:rsid w:val="00974915"/>
    <w:rsid w:val="009A7E3A"/>
    <w:rsid w:val="00A45F2F"/>
    <w:rsid w:val="00AB6B89"/>
    <w:rsid w:val="00BF4044"/>
    <w:rsid w:val="00C01A14"/>
    <w:rsid w:val="00C52FA0"/>
    <w:rsid w:val="00C967E9"/>
    <w:rsid w:val="00D25826"/>
    <w:rsid w:val="00D8304D"/>
    <w:rsid w:val="00DD2072"/>
    <w:rsid w:val="00E15C27"/>
    <w:rsid w:val="00EA637A"/>
    <w:rsid w:val="00F04C0E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4F086"/>
  <w14:defaultImageDpi w14:val="32767"/>
  <w15:chartTrackingRefBased/>
  <w15:docId w15:val="{BB647B9E-E9DF-944E-A70B-8683618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072"/>
    <w:pPr>
      <w:keepNext/>
      <w:keepLines/>
      <w:spacing w:after="100" w:afterAutospacing="1" w:line="276" w:lineRule="auto"/>
      <w:outlineLvl w:val="0"/>
    </w:pPr>
    <w:rPr>
      <w:rFonts w:ascii="Arial Nova" w:eastAsia="Arial" w:hAnsi="Arial Nova"/>
      <w:b/>
      <w:bCs/>
      <w:kern w:val="0"/>
      <w:sz w:val="32"/>
      <w:szCs w:val="32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072"/>
    <w:pPr>
      <w:spacing w:before="100" w:after="100"/>
      <w:outlineLvl w:val="1"/>
    </w:pPr>
    <w:rPr>
      <w:rFonts w:ascii="Arial Nova" w:eastAsia="Arial" w:hAnsi="Arial Nova"/>
      <w:b/>
      <w:kern w:val="0"/>
      <w:sz w:val="26"/>
      <w:szCs w:val="2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072"/>
    <w:pPr>
      <w:keepNext/>
      <w:keepLines/>
      <w:spacing w:before="100" w:after="100" w:afterAutospacing="1"/>
      <w:outlineLvl w:val="2"/>
    </w:pPr>
    <w:rPr>
      <w:rFonts w:ascii="Arial Nova" w:eastAsiaTheme="majorEastAsia" w:hAnsi="Arial Nova"/>
      <w:b/>
      <w:i/>
      <w:iCs/>
      <w:kern w:val="0"/>
      <w:sz w:val="20"/>
      <w:szCs w:val="20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072"/>
    <w:pPr>
      <w:keepNext/>
      <w:keepLines/>
      <w:spacing w:after="100" w:afterAutospacing="1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072"/>
    <w:pPr>
      <w:keepNext/>
      <w:keepLines/>
      <w:spacing w:after="100" w:afterAutospacing="1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2072"/>
    <w:pPr>
      <w:keepNext/>
      <w:keepLines/>
      <w:spacing w:after="100" w:afterAutospacing="1" w:line="276" w:lineRule="auto"/>
      <w:outlineLvl w:val="5"/>
    </w:pPr>
    <w:rPr>
      <w:rFonts w:asciiTheme="majorHAnsi" w:eastAsiaTheme="majorEastAsia" w:hAnsiTheme="majorHAnsi" w:cstheme="majorBidi"/>
      <w:color w:val="1F3763"/>
      <w:kern w:val="0"/>
      <w:sz w:val="20"/>
      <w:szCs w:val="20"/>
      <w:lang w:eastAsia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2072"/>
    <w:pPr>
      <w:keepNext/>
      <w:keepLines/>
      <w:spacing w:after="100" w:afterAutospacing="1" w:line="276" w:lineRule="auto"/>
      <w:outlineLvl w:val="6"/>
    </w:pPr>
    <w:rPr>
      <w:rFonts w:asciiTheme="majorHAnsi" w:eastAsiaTheme="majorEastAsia" w:hAnsiTheme="majorHAnsi" w:cstheme="majorBidi"/>
      <w:i/>
      <w:iCs/>
      <w:color w:val="1F3763"/>
      <w:kern w:val="0"/>
      <w:sz w:val="20"/>
      <w:szCs w:val="20"/>
      <w:lang w:eastAsia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2072"/>
    <w:pPr>
      <w:keepNext/>
      <w:keepLines/>
      <w:spacing w:after="100" w:afterAutospacing="1" w:line="276" w:lineRule="auto"/>
      <w:outlineLvl w:val="7"/>
    </w:pPr>
    <w:rPr>
      <w:rFonts w:asciiTheme="majorHAnsi" w:eastAsiaTheme="majorEastAsia" w:hAnsiTheme="majorHAnsi" w:cstheme="majorBidi"/>
      <w:color w:val="272727"/>
      <w:kern w:val="0"/>
      <w:sz w:val="21"/>
      <w:szCs w:val="21"/>
      <w:lang w:eastAsia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2072"/>
    <w:pPr>
      <w:keepNext/>
      <w:keepLines/>
      <w:spacing w:after="100" w:afterAutospacing="1" w:line="276" w:lineRule="auto"/>
      <w:outlineLvl w:val="8"/>
    </w:pPr>
    <w:rPr>
      <w:rFonts w:asciiTheme="majorHAnsi" w:eastAsiaTheme="majorEastAsia" w:hAnsiTheme="majorHAnsi" w:cstheme="majorBidi"/>
      <w:i/>
      <w:iCs/>
      <w:color w:val="272727"/>
      <w:kern w:val="0"/>
      <w:sz w:val="21"/>
      <w:szCs w:val="21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C0118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C0118"/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C0118"/>
    <w:pPr>
      <w:spacing w:after="100" w:afterAutospacing="1"/>
      <w:ind w:left="720"/>
      <w:contextualSpacing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8C0118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C0118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8C0118"/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C0118"/>
    <w:pPr>
      <w:spacing w:after="100" w:afterAutospacing="1"/>
    </w:pPr>
    <w:rPr>
      <w:rFonts w:ascii="Arial Nova" w:eastAsia="Arial" w:hAnsi="Arial Nova"/>
      <w:i/>
      <w:iCs/>
      <w:color w:val="44546A" w:themeColor="text2"/>
      <w:kern w:val="0"/>
      <w:sz w:val="18"/>
      <w:szCs w:val="18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2072"/>
    <w:rPr>
      <w:rFonts w:ascii="Arial Nova" w:eastAsia="Arial" w:hAnsi="Arial Nova"/>
      <w:b/>
      <w:bCs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2072"/>
    <w:rPr>
      <w:rFonts w:ascii="Arial Nova" w:eastAsia="Arial" w:hAnsi="Arial Nova"/>
      <w:b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2072"/>
    <w:rPr>
      <w:rFonts w:ascii="Arial Nova" w:eastAsiaTheme="majorEastAsia" w:hAnsi="Arial Nova"/>
      <w:b/>
      <w:i/>
      <w:iCs/>
      <w:kern w:val="0"/>
      <w:sz w:val="20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207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D207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D2072"/>
    <w:rPr>
      <w:rFonts w:asciiTheme="majorHAnsi" w:eastAsiaTheme="majorEastAsia" w:hAnsiTheme="majorHAnsi" w:cstheme="majorBidi"/>
      <w:color w:val="1F3763"/>
      <w:kern w:val="0"/>
      <w:sz w:val="2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D2072"/>
    <w:rPr>
      <w:rFonts w:asciiTheme="majorHAnsi" w:eastAsiaTheme="majorEastAsia" w:hAnsiTheme="majorHAnsi" w:cstheme="majorBidi"/>
      <w:i/>
      <w:iCs/>
      <w:color w:val="1F3763"/>
      <w:kern w:val="0"/>
      <w:sz w:val="20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D2072"/>
    <w:rPr>
      <w:rFonts w:asciiTheme="majorHAnsi" w:eastAsiaTheme="majorEastAsia" w:hAnsiTheme="majorHAnsi" w:cstheme="majorBidi"/>
      <w:color w:val="272727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072"/>
    <w:rPr>
      <w:rFonts w:asciiTheme="majorHAnsi" w:eastAsiaTheme="majorEastAsia" w:hAnsiTheme="majorHAnsi" w:cstheme="majorBidi"/>
      <w:i/>
      <w:iCs/>
      <w:color w:val="272727"/>
      <w:kern w:val="0"/>
      <w:sz w:val="21"/>
      <w:szCs w:val="21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D2072"/>
    <w:pPr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2072"/>
    <w:pPr>
      <w:spacing w:after="100" w:afterAutospacing="1"/>
      <w:contextualSpacing/>
      <w:jc w:val="both"/>
    </w:pPr>
    <w:rPr>
      <w:rFonts w:asciiTheme="majorHAnsi" w:eastAsiaTheme="majorEastAsia" w:hAnsiTheme="majorHAnsi" w:cstheme="majorBidi"/>
      <w:kern w:val="0"/>
      <w:sz w:val="56"/>
      <w:szCs w:val="56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D2072"/>
    <w:rPr>
      <w:rFonts w:asciiTheme="majorHAnsi" w:eastAsiaTheme="majorEastAsia" w:hAnsiTheme="majorHAnsi" w:cstheme="majorBidi"/>
      <w:kern w:val="0"/>
      <w:sz w:val="56"/>
      <w:szCs w:val="5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2072"/>
    <w:pPr>
      <w:tabs>
        <w:tab w:val="center" w:pos="4513"/>
        <w:tab w:val="right" w:pos="9026"/>
      </w:tabs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072"/>
    <w:pPr>
      <w:tabs>
        <w:tab w:val="center" w:pos="4513"/>
        <w:tab w:val="right" w:pos="9026"/>
      </w:tabs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D2072"/>
    <w:rPr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DD2072"/>
    <w:pPr>
      <w:spacing w:after="100" w:afterAutospacing="1"/>
    </w:pPr>
    <w:rPr>
      <w:rFonts w:ascii="Arial Nova" w:eastAsia="Arial" w:hAnsi="Arial Nova"/>
      <w:i/>
      <w:iCs/>
      <w:kern w:val="0"/>
      <w:sz w:val="20"/>
      <w:szCs w:val="20"/>
      <w:lang w:eastAsia="en-GB"/>
      <w14:ligatures w14:val="none"/>
    </w:rPr>
  </w:style>
  <w:style w:type="paragraph" w:styleId="TOC2">
    <w:name w:val="toc 2"/>
    <w:basedOn w:val="Normal"/>
    <w:next w:val="Normal"/>
    <w:uiPriority w:val="39"/>
    <w:unhideWhenUsed/>
    <w:rsid w:val="00DD2072"/>
    <w:pPr>
      <w:spacing w:after="100" w:afterAutospacing="1"/>
      <w:ind w:left="240"/>
    </w:pPr>
    <w:rPr>
      <w:rFonts w:ascii="Arial Nova" w:eastAsia="Arial" w:hAnsi="Arial Nova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D2072"/>
    <w:rPr>
      <w:color w:val="0563C1" w:themeColor="hyperlink"/>
      <w:u w:val="single"/>
    </w:rPr>
  </w:style>
  <w:style w:type="paragraph" w:styleId="TOC3">
    <w:name w:val="toc 3"/>
    <w:basedOn w:val="Normal"/>
    <w:next w:val="Normal"/>
    <w:uiPriority w:val="39"/>
    <w:unhideWhenUsed/>
    <w:rsid w:val="00DD2072"/>
    <w:pPr>
      <w:spacing w:after="100" w:afterAutospacing="1"/>
      <w:ind w:left="48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4">
    <w:name w:val="toc 4"/>
    <w:basedOn w:val="Normal"/>
    <w:next w:val="Normal"/>
    <w:uiPriority w:val="39"/>
    <w:semiHidden/>
    <w:unhideWhenUsed/>
    <w:rsid w:val="00DD2072"/>
    <w:pPr>
      <w:spacing w:after="100" w:afterAutospacing="1"/>
      <w:ind w:left="72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5">
    <w:name w:val="toc 5"/>
    <w:basedOn w:val="Normal"/>
    <w:next w:val="Normal"/>
    <w:uiPriority w:val="39"/>
    <w:semiHidden/>
    <w:unhideWhenUsed/>
    <w:rsid w:val="00DD2072"/>
    <w:pPr>
      <w:spacing w:after="100" w:afterAutospacing="1"/>
      <w:ind w:left="96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6">
    <w:name w:val="toc 6"/>
    <w:basedOn w:val="Normal"/>
    <w:next w:val="Normal"/>
    <w:uiPriority w:val="39"/>
    <w:semiHidden/>
    <w:unhideWhenUsed/>
    <w:rsid w:val="00DD2072"/>
    <w:pPr>
      <w:spacing w:after="100" w:afterAutospacing="1"/>
      <w:ind w:left="120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7">
    <w:name w:val="toc 7"/>
    <w:basedOn w:val="Normal"/>
    <w:next w:val="Normal"/>
    <w:uiPriority w:val="39"/>
    <w:semiHidden/>
    <w:unhideWhenUsed/>
    <w:rsid w:val="00DD2072"/>
    <w:pPr>
      <w:spacing w:after="100" w:afterAutospacing="1"/>
      <w:ind w:left="144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8">
    <w:name w:val="toc 8"/>
    <w:basedOn w:val="Normal"/>
    <w:next w:val="Normal"/>
    <w:uiPriority w:val="39"/>
    <w:semiHidden/>
    <w:unhideWhenUsed/>
    <w:rsid w:val="00DD2072"/>
    <w:pPr>
      <w:spacing w:after="100" w:afterAutospacing="1"/>
      <w:ind w:left="168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TOC9">
    <w:name w:val="toc 9"/>
    <w:basedOn w:val="Normal"/>
    <w:next w:val="Normal"/>
    <w:uiPriority w:val="39"/>
    <w:semiHidden/>
    <w:unhideWhenUsed/>
    <w:rsid w:val="00DD2072"/>
    <w:pPr>
      <w:spacing w:after="100" w:afterAutospacing="1"/>
      <w:ind w:left="1920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uiPriority w:val="1"/>
    <w:rsid w:val="00DD2072"/>
    <w:pPr>
      <w:spacing w:after="100" w:afterAutospacing="1"/>
      <w:jc w:val="center"/>
    </w:pPr>
    <w:rPr>
      <w:rFonts w:ascii="Arial Nova" w:hAnsi="Arial Nova" w:cs="Arial"/>
      <w:kern w:val="0"/>
      <w:sz w:val="20"/>
      <w:szCs w:val="2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1"/>
    <w:rsid w:val="00DD2072"/>
    <w:rPr>
      <w:rFonts w:ascii="Arial Nova" w:hAnsi="Arial Nova" w:cs="Arial"/>
      <w:kern w:val="0"/>
      <w:sz w:val="20"/>
      <w:szCs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uiPriority w:val="1"/>
    <w:rsid w:val="00DD2072"/>
    <w:pPr>
      <w:spacing w:after="100" w:afterAutospacing="1"/>
    </w:pPr>
    <w:rPr>
      <w:rFonts w:ascii="Arial Nova" w:hAnsi="Arial Nova" w:cs="Arial"/>
      <w:kern w:val="0"/>
      <w:sz w:val="20"/>
      <w:szCs w:val="2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uiPriority w:val="1"/>
    <w:rsid w:val="00DD2072"/>
    <w:rPr>
      <w:rFonts w:ascii="Arial Nova" w:hAnsi="Arial Nova" w:cs="Arial"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rsid w:val="00DD20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207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D2072"/>
  </w:style>
  <w:style w:type="paragraph" w:customStyle="1" w:styleId="chapter-para">
    <w:name w:val="chapter-para"/>
    <w:basedOn w:val="Normal"/>
    <w:uiPriority w:val="1"/>
    <w:rsid w:val="00DD2072"/>
    <w:pPr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table" w:styleId="ListTable4-Accent1">
    <w:name w:val="List Table 4 Accent 1"/>
    <w:basedOn w:val="TableNormal"/>
    <w:uiPriority w:val="49"/>
    <w:rsid w:val="00DD207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D2072"/>
    <w:rPr>
      <w:color w:val="954F72" w:themeColor="followedHyperlink"/>
      <w:u w:val="single"/>
    </w:rPr>
  </w:style>
  <w:style w:type="table" w:styleId="ListTable3-Accent3">
    <w:name w:val="List Table 3 Accent 3"/>
    <w:basedOn w:val="TableNormal"/>
    <w:uiPriority w:val="48"/>
    <w:rsid w:val="00DD2072"/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ooltiptext">
    <w:name w:val="tooltiptext"/>
    <w:basedOn w:val="DefaultParagraphFont"/>
    <w:rsid w:val="00DD2072"/>
  </w:style>
  <w:style w:type="table" w:styleId="GridTable5Dark-Accent1">
    <w:name w:val="Grid Table 5 Dark Accent 1"/>
    <w:basedOn w:val="TableNormal"/>
    <w:uiPriority w:val="50"/>
    <w:rsid w:val="00DD2072"/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xxxxxxmsonormal">
    <w:name w:val="x_xxxxxmsonormal"/>
    <w:basedOn w:val="Normal"/>
    <w:uiPriority w:val="1"/>
    <w:rsid w:val="00DD2072"/>
    <w:pPr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DD207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072"/>
    <w:pPr>
      <w:spacing w:after="100" w:afterAutospacing="1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20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072"/>
    <w:pPr>
      <w:spacing w:after="100" w:afterAutospacing="1"/>
    </w:pPr>
    <w:rPr>
      <w:rFonts w:ascii="Segoe UI" w:eastAsia="Arial" w:hAnsi="Segoe UI" w:cs="Segoe UI"/>
      <w:kern w:val="0"/>
      <w:sz w:val="18"/>
      <w:szCs w:val="18"/>
      <w:lang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72"/>
    <w:rPr>
      <w:rFonts w:ascii="Segoe UI" w:eastAsia="Arial" w:hAnsi="Segoe UI" w:cs="Segoe UI"/>
      <w:kern w:val="0"/>
      <w:sz w:val="18"/>
      <w:szCs w:val="18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07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DD207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D207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72"/>
    <w:pPr>
      <w:spacing w:after="100" w:afterAutospacing="1" w:line="276" w:lineRule="auto"/>
    </w:pPr>
    <w:rPr>
      <w:rFonts w:ascii="Arial Nova" w:eastAsiaTheme="minorEastAsia" w:hAnsi="Arial Nova"/>
      <w:color w:val="5A5A5A"/>
      <w:kern w:val="0"/>
      <w:sz w:val="20"/>
      <w:szCs w:val="20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D2072"/>
    <w:rPr>
      <w:rFonts w:ascii="Arial Nova" w:eastAsiaTheme="minorEastAsia" w:hAnsi="Arial Nova"/>
      <w:color w:val="5A5A5A"/>
      <w:kern w:val="0"/>
      <w:sz w:val="20"/>
      <w:szCs w:val="20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D2072"/>
    <w:pPr>
      <w:spacing w:after="100" w:afterAutospacing="1" w:line="276" w:lineRule="auto"/>
      <w:ind w:left="864" w:right="864"/>
      <w:jc w:val="center"/>
    </w:pPr>
    <w:rPr>
      <w:rFonts w:ascii="Arial Nova" w:eastAsia="Arial" w:hAnsi="Arial Nova"/>
      <w:i/>
      <w:iCs/>
      <w:color w:val="404040" w:themeColor="text1" w:themeTint="BF"/>
      <w:kern w:val="0"/>
      <w:sz w:val="20"/>
      <w:szCs w:val="20"/>
      <w:lang w:eastAsia="en-GB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D2072"/>
    <w:rPr>
      <w:rFonts w:ascii="Arial Nova" w:eastAsia="Arial" w:hAnsi="Arial Nova"/>
      <w:i/>
      <w:iCs/>
      <w:color w:val="404040" w:themeColor="text1" w:themeTint="BF"/>
      <w:kern w:val="0"/>
      <w:sz w:val="20"/>
      <w:szCs w:val="2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72"/>
    <w:pPr>
      <w:spacing w:after="100" w:afterAutospacing="1" w:line="276" w:lineRule="auto"/>
      <w:ind w:left="864" w:right="864"/>
      <w:jc w:val="center"/>
    </w:pPr>
    <w:rPr>
      <w:rFonts w:ascii="Arial Nova" w:eastAsia="Arial" w:hAnsi="Arial Nova"/>
      <w:i/>
      <w:iCs/>
      <w:color w:val="4472C4" w:themeColor="accent1"/>
      <w:kern w:val="0"/>
      <w:sz w:val="20"/>
      <w:szCs w:val="20"/>
      <w:lang w:eastAsia="en-GB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72"/>
    <w:rPr>
      <w:rFonts w:ascii="Arial Nova" w:eastAsia="Arial" w:hAnsi="Arial Nova"/>
      <w:i/>
      <w:iCs/>
      <w:color w:val="4472C4" w:themeColor="accent1"/>
      <w:kern w:val="0"/>
      <w:sz w:val="20"/>
      <w:szCs w:val="20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072"/>
    <w:pPr>
      <w:spacing w:after="100" w:afterAutospacing="1" w:line="276" w:lineRule="auto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072"/>
    <w:pPr>
      <w:spacing w:after="100" w:afterAutospacing="1" w:line="276" w:lineRule="auto"/>
    </w:pPr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072"/>
    <w:rPr>
      <w:rFonts w:ascii="Arial Nova" w:eastAsia="Arial" w:hAnsi="Arial Nova"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unhideWhenUsed/>
    <w:rsid w:val="00DD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Campbell</dc:creator>
  <cp:keywords/>
  <dc:description/>
  <cp:lastModifiedBy>Kate Campbell</cp:lastModifiedBy>
  <cp:revision>2</cp:revision>
  <dcterms:created xsi:type="dcterms:W3CDTF">2023-04-15T17:32:00Z</dcterms:created>
  <dcterms:modified xsi:type="dcterms:W3CDTF">2023-04-16T18:50:00Z</dcterms:modified>
</cp:coreProperties>
</file>