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CAB70" w14:textId="29990670" w:rsidR="00F83AE1" w:rsidRPr="00A666E6" w:rsidRDefault="00A666E6" w:rsidP="002C1A27">
      <w:pPr>
        <w:jc w:val="both"/>
        <w:rPr>
          <w:b/>
          <w:color w:val="2F5496" w:themeColor="accent1" w:themeShade="BF"/>
          <w:sz w:val="32"/>
          <w:lang w:val="en-US"/>
        </w:rPr>
      </w:pPr>
      <w:r w:rsidRPr="00A666E6">
        <w:rPr>
          <w:b/>
          <w:color w:val="2F5496" w:themeColor="accent1" w:themeShade="BF"/>
          <w:sz w:val="32"/>
          <w:lang w:val="en-US"/>
        </w:rPr>
        <w:t>Appendix</w:t>
      </w:r>
    </w:p>
    <w:p w14:paraId="35BB2C16" w14:textId="2D406284" w:rsidR="00A666E6" w:rsidRPr="009841CB" w:rsidRDefault="00A666E6" w:rsidP="002C1A27">
      <w:pPr>
        <w:jc w:val="both"/>
        <w:rPr>
          <w:b/>
          <w:color w:val="2F5496" w:themeColor="accent1" w:themeShade="BF"/>
          <w:sz w:val="28"/>
          <w:szCs w:val="28"/>
        </w:rPr>
      </w:pPr>
      <w:r w:rsidRPr="009841CB">
        <w:rPr>
          <w:b/>
          <w:color w:val="2F5496" w:themeColor="accent1" w:themeShade="BF"/>
          <w:sz w:val="28"/>
          <w:szCs w:val="28"/>
          <w:lang w:val="en-US"/>
        </w:rPr>
        <w:t>HIV-1 drug resistance in people on dolutegravir-based ART:</w:t>
      </w:r>
      <w:r w:rsidRPr="009841CB">
        <w:rPr>
          <w:b/>
          <w:color w:val="2F5496" w:themeColor="accent1" w:themeShade="BF"/>
          <w:sz w:val="28"/>
          <w:szCs w:val="28"/>
        </w:rPr>
        <w:t xml:space="preserve"> </w:t>
      </w:r>
      <w:r w:rsidRPr="009841CB">
        <w:rPr>
          <w:b/>
          <w:color w:val="2F5496" w:themeColor="accent1" w:themeShade="BF"/>
          <w:sz w:val="28"/>
          <w:szCs w:val="28"/>
          <w:lang w:val="en-US"/>
        </w:rPr>
        <w:t>Collaborative analysis of cohort studies</w:t>
      </w:r>
    </w:p>
    <w:p w14:paraId="6E98C6C9" w14:textId="359EA396" w:rsidR="00A666E6" w:rsidRDefault="00A666E6" w:rsidP="002C1A27">
      <w:pPr>
        <w:jc w:val="both"/>
      </w:pPr>
    </w:p>
    <w:p w14:paraId="5E6A9EE5" w14:textId="77DD7DC5" w:rsidR="00A666E6" w:rsidRDefault="00A666E6" w:rsidP="002C1A27">
      <w:pPr>
        <w:jc w:val="both"/>
        <w:rPr>
          <w:b/>
          <w:color w:val="2F5496" w:themeColor="accent1" w:themeShade="BF"/>
        </w:rPr>
      </w:pPr>
      <w:r>
        <w:rPr>
          <w:b/>
          <w:color w:val="2F5496" w:themeColor="accent1" w:themeShade="BF"/>
        </w:rPr>
        <w:t>On HIV subtyping</w:t>
      </w:r>
    </w:p>
    <w:p w14:paraId="40A737D3" w14:textId="77777777" w:rsidR="002C1A27" w:rsidRPr="002C1A27" w:rsidRDefault="002C1A27" w:rsidP="002C1A27">
      <w:pPr>
        <w:jc w:val="both"/>
        <w:rPr>
          <w:lang/>
        </w:rPr>
      </w:pPr>
      <w:r>
        <w:t xml:space="preserve">For </w:t>
      </w:r>
      <w:proofErr w:type="spellStart"/>
      <w:r>
        <w:t>AfA</w:t>
      </w:r>
      <w:proofErr w:type="spellEnd"/>
      <w:r>
        <w:t xml:space="preserve"> and Aquitaine, subtyping was performed by them. In </w:t>
      </w:r>
      <w:proofErr w:type="spellStart"/>
      <w:r>
        <w:t>AfA</w:t>
      </w:r>
      <w:proofErr w:type="spellEnd"/>
      <w:r>
        <w:t xml:space="preserve">, all subtype were C, except one denoted as </w:t>
      </w:r>
      <w:r>
        <w:rPr>
          <w:rStyle w:val="Emphasis"/>
        </w:rPr>
        <w:t>?</w:t>
      </w:r>
      <w:r>
        <w:t xml:space="preserve">, which we assign to </w:t>
      </w:r>
      <w:r>
        <w:rPr>
          <w:rStyle w:val="Emphasis"/>
        </w:rPr>
        <w:t>Unknown</w:t>
      </w:r>
      <w:r>
        <w:t xml:space="preserve">. For Aquitaine we assigned subtypes as follows: </w:t>
      </w:r>
      <w:r w:rsidRPr="002C1A27">
        <w:t>A:</w:t>
      </w:r>
      <w:r>
        <w:t xml:space="preserve"> </w:t>
      </w:r>
      <w:r w:rsidRPr="002C1A27">
        <w:t>A1</w:t>
      </w:r>
      <w:r>
        <w:t xml:space="preserve">; B: B; C: C; AE: CRF01_AE; AG: CRF02_AG; 06_CPX: </w:t>
      </w:r>
      <w:r w:rsidRPr="002C1A27">
        <w:t>CRF06_cpx</w:t>
      </w:r>
      <w:r>
        <w:t>; 11_CPX:</w:t>
      </w:r>
      <w:r w:rsidRPr="002C1A27">
        <w:t xml:space="preserve"> CRF11_cpx</w:t>
      </w:r>
      <w:r>
        <w:t xml:space="preserve">; </w:t>
      </w:r>
      <w:r w:rsidRPr="002C1A27">
        <w:t>45_CPX</w:t>
      </w:r>
      <w:r>
        <w:t xml:space="preserve">: </w:t>
      </w:r>
      <w:r w:rsidRPr="002C1A27">
        <w:t>CRF45_cpx</w:t>
      </w:r>
      <w:r>
        <w:t xml:space="preserve">; D: D; F: F1, F2; G: G; Unknown: </w:t>
      </w:r>
      <w:r w:rsidRPr="002C1A27">
        <w:t xml:space="preserve">Non B non </w:t>
      </w:r>
      <w:proofErr w:type="spellStart"/>
      <w:r w:rsidRPr="002C1A27">
        <w:t>précisé</w:t>
      </w:r>
      <w:proofErr w:type="spellEnd"/>
      <w:r w:rsidRPr="002C1A27">
        <w:t>,</w:t>
      </w:r>
      <w:r>
        <w:t xml:space="preserve"> </w:t>
      </w:r>
      <w:r w:rsidRPr="002C1A27">
        <w:t>UNKNOWN</w:t>
      </w:r>
      <w:r>
        <w:t>.</w:t>
      </w:r>
    </w:p>
    <w:p w14:paraId="75A3C473" w14:textId="77777777" w:rsidR="002C1A27" w:rsidRDefault="002C1A27" w:rsidP="002C1A27">
      <w:pPr>
        <w:jc w:val="both"/>
      </w:pPr>
      <w:r>
        <w:t xml:space="preserve">For all other cohorts, </w:t>
      </w:r>
      <w:r w:rsidR="00A666E6">
        <w:t xml:space="preserve">HIV subtypes were determined </w:t>
      </w:r>
      <w:r>
        <w:t xml:space="preserve">on the integrase sequence </w:t>
      </w:r>
      <w:r w:rsidR="00A666E6">
        <w:t xml:space="preserve">using </w:t>
      </w:r>
      <w:r w:rsidR="00A666E6" w:rsidRPr="00EC4818">
        <w:t>COMET (</w:t>
      </w:r>
      <w:proofErr w:type="spellStart"/>
      <w:r w:rsidR="00A666E6" w:rsidRPr="00EC4818">
        <w:t>COntext</w:t>
      </w:r>
      <w:proofErr w:type="spellEnd"/>
      <w:r w:rsidR="00A666E6" w:rsidRPr="00EC4818">
        <w:t xml:space="preserve">-based </w:t>
      </w:r>
      <w:proofErr w:type="spellStart"/>
      <w:r w:rsidR="00A666E6" w:rsidRPr="00EC4818">
        <w:t>Modeling</w:t>
      </w:r>
      <w:proofErr w:type="spellEnd"/>
      <w:r w:rsidR="00A666E6" w:rsidRPr="00EC4818">
        <w:t xml:space="preserve"> for Expeditious Typing)</w:t>
      </w:r>
      <w:r w:rsidR="00A666E6">
        <w:fldChar w:fldCharType="begin" w:fldLock="1"/>
      </w:r>
      <w:r w:rsidR="00A666E6">
        <w:instrText>ADDIN CSL_CITATION {"citationItems":[{"id":"ITEM-1","itemData":{"DOI":"10.1093/nar/gku739","abstract":"Viral sequence classification has wide applications in clinical, epidemiological, structural and functional categorization studies. Most existing approaches rely on an initial alignment step followed by classification based on phylogenetic or statistical algorithms. Here we present an ultrafast alignment-free subtyping tool for human immunodeficiency virus type one (HIV-1) adapted from Prediction by Partial Matching compression. This tool, named COMET, was compared to the widely used phylogeny-based REGA and SCUEAL tools using synthetic and clinical HIV data sets (1 090 698 and 10 625 sequences, respectively). COMET's sensitivity and specificity were comparable to or higher than the two other subtyping tools on both data sets for known subtypes. COMET also excelled in detecting and identifying new recombinant forms, a frequent feature of the HIV epidemic. Runtime comparisons showed that COMET was almost as fast as USEARCH. This study demonstrates the advantages of alignment-free classification of viral sequences, which feature high rates of variation, recombination and insertions/deletions. COMET is free to use via an online interface.","author":[{"dropping-particle":"","family":"Struck","given":"D.","non-dropping-particle":"","parse-names":false,"suffix":""},{"dropping-particle":"","family":"Lawyer","given":"G.","non-dropping-particle":"","parse-names":false,"suffix":""},{"dropping-particle":"","family":"Ternes","given":"A.-M.","non-dropping-particle":"","parse-names":false,"suffix":""},{"dropping-particle":"","family":"Schmit","given":"J.-C.","non-dropping-particle":"","parse-names":false,"suffix":""},{"dropping-particle":"","family":"Bercoff","given":"D.P.","non-dropping-particle":"","parse-names":false,"suffix":""}],"container-title":"Nucleic Acids Research","id":"ITEM-1","issue":"18","issued":{"date-parts":[["2014"]]},"title":"COMET: Adaptive context-based modeling for ultrafast HIV-1 subtype identification","type":"article-journal","volume":"42"},"uris":["http://www.mendeley.com/documents/?uuid=21931b28-4729-3758-9681-04acdc61745c"]}],"mendeley":{"formattedCitation":"&lt;sup&gt;28&lt;/sup&gt;","plainTextFormattedCitation":"28","previouslyFormattedCitation":"&lt;sup&gt;34&lt;/sup&gt;"},"properties":{"noteIndex":0},"schema":"https://github.com/citation-style-language/schema/raw/master/csl-citation.json"}</w:instrText>
      </w:r>
      <w:r w:rsidR="00A666E6">
        <w:fldChar w:fldCharType="separate"/>
      </w:r>
      <w:r w:rsidR="00A666E6" w:rsidRPr="008E263C">
        <w:rPr>
          <w:noProof/>
          <w:vertAlign w:val="superscript"/>
        </w:rPr>
        <w:t>28</w:t>
      </w:r>
      <w:r w:rsidR="00A666E6">
        <w:fldChar w:fldCharType="end"/>
      </w:r>
      <w:r w:rsidR="00A666E6">
        <w:t xml:space="preserve"> and REGA.</w:t>
      </w:r>
      <w:r w:rsidR="00A666E6">
        <w:fldChar w:fldCharType="begin" w:fldLock="1"/>
      </w:r>
      <w:r w:rsidR="00A666E6">
        <w:instrText>ADDIN CSL_CITATION {"citationItems":[{"id":"ITEM-1","itemData":{"DOI":"10.1016/j.meegid.2013.04.032","abstract":"Background: To investigate differences in pathogenesis, diagnosis and resistance pathways between HIV-1 subtypes, an accurate subtyping tool for large datasets is needed. We aimed to evaluate the performance of automated subtyping tools to classify the different subtypes and circulating recombinant forms using pol, the most sequenced region in clinical practice. We also present the upgraded version 3 of the Rega HIV subtyping tool (REGAv3). Methodology: HIV-1 pol sequences (PR. +. RT) for 4674 patients retrieved from the Portuguese HIV Drug Resistance Database, and 1872 pol sequences trimmed from full-length genomes retrieved from the Los Alamos database were classified with statistical-based tools such as COMET, jpHMM and STAR; similarity-based tools such as NCBI and Stanford; and phylogenetic-based tools such as REGA version 2 (REGAv2), REGAv3, and SCUEAL. The performance of these tools, for pol, and for PR and RT separately, was compared in terms of reproducibility, sensitivity and specificity with respect to the gold standard which was manual phylogenetic analysis of the pol region. Results: The sensitivity and specificity for subtypes B and C was more than 96% for seven tools, but was variable for other subtypes such as A, D, F and G. With regard to the most common circulating recombinant forms (CRFs), the sensitivity and specificity for CRF01_AE was ~99% with statistical-based tools, with phylogenetic-based tools and with Stanford, one of the similarity based tools. CRF02_AG was correctly identified for more than 96% by COMET, REGAv3, Stanford and STAR. All the tools reached a specificity of more than 97% for most of the subtypes and the two main CRFs (CRF01_AE and CRF02_AG). Other CRFs were identified only by COMET, REGAv2, REGAv3, and SCUEAL and with variable sensitivity. When analyzing sequences for PR and RT separately, the performance for PR was generally lower and variable between the tools. Similarity and statistical-based tools were 100% reproducible, but this was lower for phylogenetic-based tools such as REGA (~99%) and SCUEAL (~96%). Conclusions: REGAv3 had an improved performance for subtype B and CRF02_AG compared to REGAv2 and is now able to also identify all epidemiologically relevant CRFs. In general the best performing tools, in alphabetical order, were COMET, jpHMM, REGAv3, and SCUEAL when analyzing pure subtypes in the pol region, and COMET and REGAv3 when analyzing most of the CRFs. Based on this study, we recommend to confirm …","author":[{"dropping-particle":"","family":"Pineda-Peña","given":"A.-C.","non-dropping-particle":"","parse-names":false,"suffix":""},{"dropping-particle":"","family":"Faria","given":"N.R.","non-dropping-particle":"","parse-names":false,"suffix":""},{"dropping-particle":"","family":"Imbrechts","given":"S.","non-dropping-particle":"","parse-names":false,"suffix":""},{"dropping-particle":"","family":"Libin","given":"P.","non-dropping-particle":"","parse-names":false,"suffix":""},{"dropping-particle":"","family":"Abecasis","given":"A.B.","non-dropping-particle":"","parse-names":false,"suffix":""},{"dropping-particle":"","family":"Deforche","given":"K.","non-dropping-particle":"","parse-names":false,"suffix":""},{"dropping-particle":"","family":"Gómez-López","given":"A.","non-dropping-particle":"","parse-names":false,"suffix":""},{"dropping-particle":"","family":"Camacho","given":"R.J.","non-dropping-particle":"","parse-names":false,"suffix":""},{"dropping-particle":"","family":"Oliveira","given":"T.","non-dropping-particle":"De","parse-names":false,"suffix":""},{"dropping-particle":"","family":"Vandamme","given":"A.-M.","non-dropping-particle":"","parse-names":false,"suffix":""}],"container-title":"Infection, Genetics and Evolution","id":"ITEM-1","issued":{"date-parts":[["2013"]]},"page":"337-348","title":"Automated subtyping of HIV-1 genetic sequences for clinical and surveillance purposes: Performance evaluation of the new REGA version 3 and seven other tools","type":"article-journal","volume":"19"},"uris":["http://www.mendeley.com/documents/?uuid=c195faa0-6e1e-302c-8ab5-f9867a5fdd42"]}],"mendeley":{"formattedCitation":"&lt;sup&gt;29&lt;/sup&gt;","plainTextFormattedCitation":"29","previouslyFormattedCitation":"&lt;sup&gt;35&lt;/sup&gt;"},"properties":{"noteIndex":0},"schema":"https://github.com/citation-style-language/schema/raw/master/csl-citation.json"}</w:instrText>
      </w:r>
      <w:r w:rsidR="00A666E6">
        <w:fldChar w:fldCharType="separate"/>
      </w:r>
      <w:r w:rsidR="00A666E6" w:rsidRPr="008E263C">
        <w:rPr>
          <w:noProof/>
          <w:vertAlign w:val="superscript"/>
        </w:rPr>
        <w:t>29</w:t>
      </w:r>
      <w:r w:rsidR="00A666E6">
        <w:fldChar w:fldCharType="end"/>
      </w:r>
      <w:r w:rsidR="00A666E6">
        <w:t xml:space="preserve"> </w:t>
      </w:r>
      <w:r>
        <w:t xml:space="preserve">HIV subtypes where neither algorithm had support &gt;= 50 were considered to be Unknown. Subtypes with support &gt;= 50 were combined as follows for the two algorithms: </w:t>
      </w:r>
    </w:p>
    <w:p w14:paraId="3DEF1829" w14:textId="79EF8A91" w:rsidR="002C1A27" w:rsidRDefault="002C1A27" w:rsidP="002C1A27">
      <w:pPr>
        <w:jc w:val="both"/>
      </w:pPr>
      <w:r>
        <w:t>Comet subtypes with support &gt;= 50: A: A1 and A6; AE: 01_AE; B: B; C: C; D: D; F: F1; G: G; H: H.</w:t>
      </w:r>
    </w:p>
    <w:p w14:paraId="3703F3B4" w14:textId="4E9FCE34" w:rsidR="000924F9" w:rsidRPr="002C1A27" w:rsidRDefault="002C1A27" w:rsidP="002C1A27">
      <w:pPr>
        <w:jc w:val="both"/>
        <w:rPr>
          <w:lang/>
        </w:rPr>
      </w:pPr>
      <w:proofErr w:type="spellStart"/>
      <w:r>
        <w:t>Rega</w:t>
      </w:r>
      <w:proofErr w:type="spellEnd"/>
      <w:r>
        <w:t xml:space="preserve"> subtypes with support &gt;= 50: 18_CPX: HIV-1 CRF 18_cpx; A: HIV-1 Subtype A (A1), HIV-1 Subtype A (A1)-like, and HIV-1 Subtype A (A1), potential recombinant; AE: HIV-1 Subtype A (01_AE); B: HIV-1 Subtype B; C: HIV-1 Subtype C; D: HIV-1 Subtype D; F: HIV-1 Subtype F (F1); G: HIV-1 Subtype G and HIV-1 Subtype G, potential recombinant; H: HIV-1 Subtype H.</w:t>
      </w:r>
    </w:p>
    <w:p w14:paraId="477AA7FB" w14:textId="6BCCB202" w:rsidR="000924F9" w:rsidRPr="002C1A27" w:rsidRDefault="002C1A27" w:rsidP="002C1A27">
      <w:pPr>
        <w:jc w:val="both"/>
        <w:rPr>
          <w:lang/>
        </w:rPr>
      </w:pPr>
      <w:r>
        <w:t>In case of differing results, the subtype with the higher support was taken.</w:t>
      </w:r>
    </w:p>
    <w:p w14:paraId="69DBAD83" w14:textId="77777777" w:rsidR="002C1A27" w:rsidRDefault="002C1A27" w:rsidP="002C1A27">
      <w:pPr>
        <w:jc w:val="both"/>
        <w:rPr>
          <w:lang/>
        </w:rPr>
      </w:pPr>
    </w:p>
    <w:p w14:paraId="458A57AE" w14:textId="78D3A130" w:rsidR="00A666E6" w:rsidRDefault="00A666E6" w:rsidP="002C1A27">
      <w:pPr>
        <w:jc w:val="both"/>
        <w:rPr>
          <w:b/>
          <w:color w:val="2F5496" w:themeColor="accent1" w:themeShade="BF"/>
        </w:rPr>
      </w:pPr>
      <w:r w:rsidRPr="00A666E6">
        <w:rPr>
          <w:b/>
          <w:color w:val="2F5496" w:themeColor="accent1" w:themeShade="BF"/>
        </w:rPr>
        <w:t>ART Regimen</w:t>
      </w:r>
    </w:p>
    <w:p w14:paraId="0A2BCD03" w14:textId="0C8022E4" w:rsidR="00C762D6" w:rsidRPr="00C762D6" w:rsidRDefault="00C762D6" w:rsidP="002C1A27">
      <w:pPr>
        <w:jc w:val="both"/>
      </w:pPr>
      <w:r w:rsidRPr="00C762D6">
        <w:t>A</w:t>
      </w:r>
      <w:r>
        <w:t xml:space="preserve">RT regimen </w:t>
      </w:r>
      <w:r w:rsidR="00690C56">
        <w:t>14 days before genotypic resistance testing were considered. In case of genotypic resistance testing within two months after DTG-based ART ended, we considered the ART regimen 14 days before the end of the DTG-based regimen</w:t>
      </w:r>
      <w:r>
        <w:t>.</w:t>
      </w:r>
      <w:r w:rsidR="00690C56">
        <w:t xml:space="preserve"> ART regimen for UK Chic were provided by the cohort.</w:t>
      </w:r>
      <w:r>
        <w:t xml:space="preserve"> </w:t>
      </w:r>
    </w:p>
    <w:p w14:paraId="47D62BAD" w14:textId="6FA28783" w:rsidR="00690C56" w:rsidRDefault="00690C56" w:rsidP="00690C56">
      <w:pPr>
        <w:pStyle w:val="Caption"/>
        <w:keepNext/>
      </w:pPr>
      <w:bookmarkStart w:id="0" w:name="_Ref129489027"/>
      <w:r>
        <w:t xml:space="preserve">Supplemental table </w:t>
      </w:r>
      <w:r w:rsidR="00823920">
        <w:fldChar w:fldCharType="begin"/>
      </w:r>
      <w:r w:rsidR="00823920">
        <w:instrText xml:space="preserve"> SEQ Supplemental_table \* ARABIC </w:instrText>
      </w:r>
      <w:r w:rsidR="00823920">
        <w:fldChar w:fldCharType="separate"/>
      </w:r>
      <w:r w:rsidR="000B60E8">
        <w:rPr>
          <w:noProof/>
        </w:rPr>
        <w:t>1</w:t>
      </w:r>
      <w:r w:rsidR="00823920">
        <w:fldChar w:fldCharType="end"/>
      </w:r>
      <w:bookmarkEnd w:id="0"/>
      <w:r>
        <w:t>:</w:t>
      </w:r>
      <w:r w:rsidRPr="003E38D7">
        <w:t xml:space="preserve"> </w:t>
      </w:r>
      <w:r w:rsidRPr="003E38D7">
        <w:rPr>
          <w:b/>
          <w:bCs/>
        </w:rPr>
        <w:t>ART regimens at genotypic resistance testing</w:t>
      </w:r>
      <w:r>
        <w:t xml:space="preserve">. Regimens 14 days before the sampling date for resistance testing are considered. We grouped regimen as follows: Regimen with three ARVs or more not containing PI are considered as </w:t>
      </w:r>
      <w:r w:rsidRPr="00DB23D8">
        <w:t>DTG + ≥2 NRTI</w:t>
      </w:r>
      <w:r>
        <w:t>. Next,</w:t>
      </w:r>
      <w:r w:rsidRPr="00DB23D8">
        <w:t xml:space="preserve"> </w:t>
      </w:r>
      <w:r>
        <w:t xml:space="preserve">DTG regimen containing PIs are considered as </w:t>
      </w:r>
      <w:r w:rsidRPr="00DB23D8">
        <w:t>DTG + PI ± Other</w:t>
      </w:r>
      <w:r>
        <w:t xml:space="preserve">. Next, DTG regimen containing NNRTI are considered as </w:t>
      </w:r>
      <w:r w:rsidRPr="00DB23D8">
        <w:t xml:space="preserve">DTG + </w:t>
      </w:r>
      <w:r>
        <w:t>NNRTI</w:t>
      </w:r>
      <w:r w:rsidRPr="00DB23D8">
        <w:t xml:space="preserve"> ± Other</w:t>
      </w:r>
      <w:r>
        <w:t>. Next, DTG regimen with two ARVs, the second being an NRTI, are considered as DTG + NRTI. Next, DTG regimen containing no other ARVs are considered DTG monotherapy. DTG regimen not described by the terms above are considered as Other.</w:t>
      </w:r>
    </w:p>
    <w:tbl>
      <w:tblPr>
        <w:tblW w:w="8477" w:type="dxa"/>
        <w:tblLook w:val="04A0" w:firstRow="1" w:lastRow="0" w:firstColumn="1" w:lastColumn="0" w:noHBand="0" w:noVBand="1"/>
      </w:tblPr>
      <w:tblGrid>
        <w:gridCol w:w="2268"/>
        <w:gridCol w:w="1985"/>
        <w:gridCol w:w="4224"/>
      </w:tblGrid>
      <w:tr w:rsidR="00DB3CCE" w:rsidRPr="00470499" w14:paraId="650C8F98" w14:textId="0B565027" w:rsidTr="00BF78CE">
        <w:trPr>
          <w:trHeight w:val="300"/>
        </w:trPr>
        <w:tc>
          <w:tcPr>
            <w:tcW w:w="2268" w:type="dxa"/>
            <w:tcBorders>
              <w:top w:val="nil"/>
              <w:left w:val="nil"/>
              <w:bottom w:val="single" w:sz="4" w:space="0" w:color="auto"/>
              <w:right w:val="nil"/>
            </w:tcBorders>
            <w:shd w:val="clear" w:color="auto" w:fill="auto"/>
            <w:noWrap/>
            <w:vAlign w:val="center"/>
            <w:hideMark/>
          </w:tcPr>
          <w:p w14:paraId="7E567A37" w14:textId="77777777" w:rsidR="00DB3CCE" w:rsidRPr="00470499" w:rsidRDefault="00DB3CCE" w:rsidP="00BF78CE">
            <w:pPr>
              <w:spacing w:after="0" w:line="240" w:lineRule="auto"/>
              <w:rPr>
                <w:rFonts w:ascii="Calibri" w:hAnsi="Calibri"/>
                <w:b/>
                <w:color w:val="000000"/>
              </w:rPr>
            </w:pPr>
            <w:r>
              <w:rPr>
                <w:rFonts w:ascii="Calibri" w:hAnsi="Calibri"/>
                <w:b/>
                <w:color w:val="000000"/>
              </w:rPr>
              <w:t>Regimen</w:t>
            </w:r>
          </w:p>
        </w:tc>
        <w:tc>
          <w:tcPr>
            <w:tcW w:w="1985" w:type="dxa"/>
            <w:tcBorders>
              <w:top w:val="nil"/>
              <w:left w:val="nil"/>
              <w:bottom w:val="single" w:sz="4" w:space="0" w:color="auto"/>
              <w:right w:val="nil"/>
            </w:tcBorders>
            <w:shd w:val="clear" w:color="auto" w:fill="auto"/>
            <w:noWrap/>
            <w:vAlign w:val="center"/>
            <w:hideMark/>
          </w:tcPr>
          <w:p w14:paraId="569B7F2C" w14:textId="4409039C" w:rsidR="00DB3CCE" w:rsidRPr="00470499" w:rsidRDefault="00DB3CCE" w:rsidP="00BF78CE">
            <w:pPr>
              <w:spacing w:after="0" w:line="240" w:lineRule="auto"/>
              <w:rPr>
                <w:rFonts w:ascii="Calibri" w:hAnsi="Calibri"/>
                <w:b/>
                <w:color w:val="000000"/>
              </w:rPr>
            </w:pPr>
            <w:r w:rsidRPr="00470499">
              <w:rPr>
                <w:rFonts w:ascii="Calibri" w:hAnsi="Calibri"/>
                <w:b/>
                <w:color w:val="000000"/>
              </w:rPr>
              <w:t>Number of study participants</w:t>
            </w:r>
            <w:r>
              <w:rPr>
                <w:rFonts w:ascii="Calibri" w:hAnsi="Calibri"/>
                <w:b/>
                <w:color w:val="000000"/>
              </w:rPr>
              <w:t xml:space="preserve"> N, (%)</w:t>
            </w:r>
          </w:p>
        </w:tc>
        <w:tc>
          <w:tcPr>
            <w:tcW w:w="4224" w:type="dxa"/>
            <w:tcBorders>
              <w:top w:val="nil"/>
              <w:left w:val="nil"/>
              <w:bottom w:val="single" w:sz="4" w:space="0" w:color="auto"/>
              <w:right w:val="nil"/>
            </w:tcBorders>
            <w:vAlign w:val="center"/>
          </w:tcPr>
          <w:p w14:paraId="66537BFB" w14:textId="77777777" w:rsidR="000321B8" w:rsidRDefault="00DB3CCE" w:rsidP="00BF78CE">
            <w:pPr>
              <w:spacing w:after="0" w:line="240" w:lineRule="auto"/>
              <w:rPr>
                <w:rFonts w:ascii="Calibri" w:hAnsi="Calibri"/>
                <w:b/>
                <w:color w:val="000000"/>
              </w:rPr>
            </w:pPr>
            <w:r>
              <w:rPr>
                <w:rFonts w:ascii="Calibri" w:hAnsi="Calibri"/>
                <w:b/>
                <w:color w:val="000000"/>
              </w:rPr>
              <w:t xml:space="preserve">Most common ARV combinations </w:t>
            </w:r>
          </w:p>
          <w:p w14:paraId="094D985A" w14:textId="4B823E05" w:rsidR="00DB3CCE" w:rsidRPr="00470499" w:rsidRDefault="008A60E4" w:rsidP="00BF78CE">
            <w:pPr>
              <w:spacing w:after="0" w:line="240" w:lineRule="auto"/>
              <w:rPr>
                <w:rFonts w:ascii="Calibri" w:hAnsi="Calibri"/>
                <w:b/>
                <w:color w:val="000000"/>
              </w:rPr>
            </w:pPr>
            <w:r>
              <w:rPr>
                <w:rFonts w:ascii="Calibri" w:hAnsi="Calibri"/>
                <w:b/>
                <w:color w:val="000000"/>
              </w:rPr>
              <w:t>(N &gt; 10</w:t>
            </w:r>
            <w:r w:rsidR="00DB3CCE">
              <w:rPr>
                <w:rFonts w:ascii="Calibri" w:hAnsi="Calibri"/>
                <w:b/>
                <w:color w:val="000000"/>
              </w:rPr>
              <w:t>)</w:t>
            </w:r>
          </w:p>
        </w:tc>
      </w:tr>
      <w:tr w:rsidR="00DB3CCE" w:rsidRPr="00470499" w14:paraId="3F2EE9C6" w14:textId="00DA604F" w:rsidTr="00BF78CE">
        <w:trPr>
          <w:trHeight w:val="300"/>
        </w:trPr>
        <w:tc>
          <w:tcPr>
            <w:tcW w:w="2268" w:type="dxa"/>
            <w:tcBorders>
              <w:top w:val="single" w:sz="4" w:space="0" w:color="auto"/>
              <w:left w:val="nil"/>
              <w:bottom w:val="single" w:sz="4" w:space="0" w:color="BFBFBF" w:themeColor="background1" w:themeShade="BF"/>
              <w:right w:val="nil"/>
            </w:tcBorders>
            <w:shd w:val="clear" w:color="auto" w:fill="auto"/>
            <w:noWrap/>
            <w:vAlign w:val="center"/>
            <w:hideMark/>
          </w:tcPr>
          <w:p w14:paraId="2DEDA67E" w14:textId="77777777" w:rsidR="00DB3CCE" w:rsidRPr="00470499" w:rsidRDefault="00DB3CCE" w:rsidP="00BF78CE">
            <w:pPr>
              <w:spacing w:after="0" w:line="240" w:lineRule="auto"/>
              <w:rPr>
                <w:rFonts w:ascii="Calibri" w:hAnsi="Calibri"/>
                <w:color w:val="000000"/>
              </w:rPr>
            </w:pPr>
            <w:r w:rsidRPr="00DB23D8">
              <w:rPr>
                <w:rFonts w:ascii="Calibri" w:hAnsi="Calibri"/>
                <w:color w:val="000000"/>
              </w:rPr>
              <w:t>DTG + ≥2 NRTI</w:t>
            </w:r>
          </w:p>
        </w:tc>
        <w:tc>
          <w:tcPr>
            <w:tcW w:w="1985" w:type="dxa"/>
            <w:tcBorders>
              <w:top w:val="single" w:sz="4" w:space="0" w:color="auto"/>
              <w:left w:val="nil"/>
              <w:bottom w:val="single" w:sz="4" w:space="0" w:color="BFBFBF" w:themeColor="background1" w:themeShade="BF"/>
              <w:right w:val="nil"/>
            </w:tcBorders>
            <w:shd w:val="clear" w:color="auto" w:fill="auto"/>
            <w:noWrap/>
            <w:vAlign w:val="center"/>
            <w:hideMark/>
          </w:tcPr>
          <w:p w14:paraId="1118F54F" w14:textId="36C7E550" w:rsidR="00DB3CCE" w:rsidRPr="00470499" w:rsidRDefault="00DB3CCE" w:rsidP="00BF78CE">
            <w:pPr>
              <w:spacing w:after="0" w:line="240" w:lineRule="auto"/>
              <w:rPr>
                <w:rFonts w:ascii="Calibri" w:hAnsi="Calibri"/>
                <w:color w:val="000000"/>
              </w:rPr>
            </w:pPr>
            <w:r>
              <w:rPr>
                <w:rFonts w:ascii="Calibri" w:hAnsi="Calibri"/>
                <w:color w:val="000000"/>
              </w:rPr>
              <w:t>475 (63</w:t>
            </w:r>
            <w:r w:rsidR="009A6AB1" w:rsidRPr="009A6AB1">
              <w:rPr>
                <w:rFonts w:ascii="Calibri" w:hAnsi="Calibri"/>
                <w:color w:val="000000"/>
              </w:rPr>
              <w:t>·</w:t>
            </w:r>
            <w:r>
              <w:rPr>
                <w:rFonts w:ascii="Calibri" w:hAnsi="Calibri"/>
                <w:color w:val="000000"/>
              </w:rPr>
              <w:t>3%)</w:t>
            </w:r>
          </w:p>
        </w:tc>
        <w:tc>
          <w:tcPr>
            <w:tcW w:w="4224" w:type="dxa"/>
            <w:tcBorders>
              <w:top w:val="single" w:sz="4" w:space="0" w:color="auto"/>
              <w:left w:val="nil"/>
              <w:bottom w:val="single" w:sz="4" w:space="0" w:color="BFBFBF" w:themeColor="background1" w:themeShade="BF"/>
              <w:right w:val="nil"/>
            </w:tcBorders>
            <w:vAlign w:val="center"/>
          </w:tcPr>
          <w:p w14:paraId="54AD5F3C" w14:textId="30863A12" w:rsidR="00DB3CCE" w:rsidRDefault="000321B8" w:rsidP="00BF78CE">
            <w:pPr>
              <w:spacing w:after="0" w:line="240" w:lineRule="auto"/>
              <w:rPr>
                <w:rFonts w:ascii="Calibri" w:hAnsi="Calibri"/>
                <w:color w:val="000000"/>
              </w:rPr>
            </w:pPr>
            <w:r w:rsidRPr="000321B8">
              <w:rPr>
                <w:rFonts w:ascii="Calibri" w:hAnsi="Calibri"/>
                <w:color w:val="000000"/>
              </w:rPr>
              <w:t>3TC, ABC, DTG (N = 295)</w:t>
            </w:r>
            <w:r>
              <w:rPr>
                <w:rFonts w:ascii="Calibri" w:hAnsi="Calibri"/>
                <w:color w:val="000000"/>
              </w:rPr>
              <w:t xml:space="preserve">, </w:t>
            </w:r>
            <w:r w:rsidRPr="000321B8">
              <w:rPr>
                <w:rFonts w:ascii="Calibri" w:hAnsi="Calibri"/>
                <w:color w:val="000000"/>
              </w:rPr>
              <w:t>DTG, FTC, TDF (N = 114)</w:t>
            </w:r>
            <w:r>
              <w:rPr>
                <w:rFonts w:ascii="Calibri" w:hAnsi="Calibri"/>
                <w:color w:val="000000"/>
              </w:rPr>
              <w:t xml:space="preserve">, </w:t>
            </w:r>
            <w:r w:rsidRPr="000321B8">
              <w:rPr>
                <w:rFonts w:ascii="Calibri" w:hAnsi="Calibri"/>
                <w:color w:val="000000"/>
              </w:rPr>
              <w:t>DTG, FTC, TAF (N = 43)</w:t>
            </w:r>
          </w:p>
        </w:tc>
      </w:tr>
      <w:tr w:rsidR="00DB3CCE" w:rsidRPr="00470499" w14:paraId="7EAE1EB7" w14:textId="1A2B64E8" w:rsidTr="00BF78CE">
        <w:trPr>
          <w:trHeight w:val="300"/>
        </w:trPr>
        <w:tc>
          <w:tcPr>
            <w:tcW w:w="2268"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05CB2CB9" w14:textId="77777777" w:rsidR="00DB3CCE" w:rsidRPr="00470499" w:rsidRDefault="00DB3CCE" w:rsidP="00BF78CE">
            <w:pPr>
              <w:spacing w:after="0" w:line="240" w:lineRule="auto"/>
              <w:rPr>
                <w:rFonts w:ascii="Calibri" w:hAnsi="Calibri"/>
                <w:color w:val="000000"/>
              </w:rPr>
            </w:pPr>
            <w:r w:rsidRPr="00DB23D8">
              <w:rPr>
                <w:rFonts w:ascii="Calibri" w:hAnsi="Calibri"/>
                <w:color w:val="000000"/>
              </w:rPr>
              <w:t>DTG + PI ± Other</w:t>
            </w:r>
          </w:p>
        </w:tc>
        <w:tc>
          <w:tcPr>
            <w:tcW w:w="1985"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5E7F55E0" w14:textId="3C45B6AC" w:rsidR="00DB3CCE" w:rsidRPr="00470499" w:rsidRDefault="00DB3CCE" w:rsidP="00BF78CE">
            <w:pPr>
              <w:spacing w:after="0" w:line="240" w:lineRule="auto"/>
              <w:rPr>
                <w:rFonts w:ascii="Calibri" w:hAnsi="Calibri"/>
                <w:color w:val="000000"/>
              </w:rPr>
            </w:pPr>
            <w:r>
              <w:rPr>
                <w:rFonts w:ascii="Calibri" w:hAnsi="Calibri"/>
                <w:color w:val="000000"/>
              </w:rPr>
              <w:t>154 (20</w:t>
            </w:r>
            <w:r w:rsidR="009A6AB1" w:rsidRPr="009A6AB1">
              <w:rPr>
                <w:rFonts w:ascii="Calibri" w:hAnsi="Calibri"/>
                <w:color w:val="000000"/>
              </w:rPr>
              <w:t>·</w:t>
            </w:r>
            <w:r>
              <w:rPr>
                <w:rFonts w:ascii="Calibri" w:hAnsi="Calibri"/>
                <w:color w:val="000000"/>
              </w:rPr>
              <w:t>5%)</w:t>
            </w:r>
          </w:p>
        </w:tc>
        <w:tc>
          <w:tcPr>
            <w:tcW w:w="4224" w:type="dxa"/>
            <w:tcBorders>
              <w:top w:val="single" w:sz="4" w:space="0" w:color="BFBFBF" w:themeColor="background1" w:themeShade="BF"/>
              <w:left w:val="nil"/>
              <w:bottom w:val="single" w:sz="4" w:space="0" w:color="BFBFBF" w:themeColor="background1" w:themeShade="BF"/>
              <w:right w:val="nil"/>
            </w:tcBorders>
            <w:vAlign w:val="center"/>
          </w:tcPr>
          <w:p w14:paraId="0DCACAA3" w14:textId="742B2556" w:rsidR="00DB3CCE" w:rsidRDefault="000321B8" w:rsidP="00BF78CE">
            <w:pPr>
              <w:spacing w:after="0" w:line="240" w:lineRule="auto"/>
              <w:rPr>
                <w:rFonts w:ascii="Calibri" w:hAnsi="Calibri"/>
                <w:color w:val="000000"/>
              </w:rPr>
            </w:pPr>
            <w:r w:rsidRPr="000321B8">
              <w:rPr>
                <w:rFonts w:ascii="Calibri" w:hAnsi="Calibri"/>
                <w:color w:val="000000"/>
              </w:rPr>
              <w:t>DRV, DTG, RTV (N = 36)</w:t>
            </w:r>
            <w:r w:rsidR="00BF78CE">
              <w:rPr>
                <w:rFonts w:ascii="Calibri" w:hAnsi="Calibri"/>
                <w:color w:val="000000"/>
              </w:rPr>
              <w:t xml:space="preserve">, </w:t>
            </w:r>
            <w:r w:rsidR="00BF78CE" w:rsidRPr="00BF78CE">
              <w:rPr>
                <w:rFonts w:ascii="Calibri" w:hAnsi="Calibri"/>
                <w:color w:val="000000"/>
              </w:rPr>
              <w:t>DRV, DTG, FTC, RTV, TDF (N = 11)</w:t>
            </w:r>
          </w:p>
        </w:tc>
      </w:tr>
      <w:tr w:rsidR="00DB3CCE" w:rsidRPr="00470499" w14:paraId="032E5455" w14:textId="37CC8517" w:rsidTr="00BF78CE">
        <w:trPr>
          <w:trHeight w:val="300"/>
        </w:trPr>
        <w:tc>
          <w:tcPr>
            <w:tcW w:w="2268"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78DD5C1F" w14:textId="77777777" w:rsidR="00DB3CCE" w:rsidRPr="00470499" w:rsidRDefault="00DB3CCE" w:rsidP="00BF78CE">
            <w:pPr>
              <w:spacing w:after="0" w:line="240" w:lineRule="auto"/>
              <w:rPr>
                <w:rFonts w:ascii="Calibri" w:hAnsi="Calibri"/>
                <w:color w:val="000000"/>
              </w:rPr>
            </w:pPr>
            <w:r w:rsidRPr="00DB23D8">
              <w:rPr>
                <w:rFonts w:ascii="Calibri" w:hAnsi="Calibri"/>
                <w:color w:val="000000"/>
              </w:rPr>
              <w:t>DTG + NNRTI ± Other</w:t>
            </w:r>
          </w:p>
        </w:tc>
        <w:tc>
          <w:tcPr>
            <w:tcW w:w="1985"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5F240506" w14:textId="4488CF87" w:rsidR="00DB3CCE" w:rsidRPr="00470499" w:rsidRDefault="00DB3CCE" w:rsidP="00BF78CE">
            <w:pPr>
              <w:spacing w:after="0" w:line="240" w:lineRule="auto"/>
              <w:rPr>
                <w:rFonts w:ascii="Calibri" w:hAnsi="Calibri"/>
                <w:color w:val="000000"/>
              </w:rPr>
            </w:pPr>
            <w:r>
              <w:rPr>
                <w:rFonts w:ascii="Calibri" w:hAnsi="Calibri"/>
                <w:color w:val="000000"/>
              </w:rPr>
              <w:t>66 (8</w:t>
            </w:r>
            <w:r w:rsidR="009A6AB1" w:rsidRPr="009A6AB1">
              <w:rPr>
                <w:rFonts w:ascii="Calibri" w:hAnsi="Calibri"/>
                <w:color w:val="000000"/>
              </w:rPr>
              <w:t>·</w:t>
            </w:r>
            <w:r>
              <w:rPr>
                <w:rFonts w:ascii="Calibri" w:hAnsi="Calibri"/>
                <w:color w:val="000000"/>
              </w:rPr>
              <w:t>8%)</w:t>
            </w:r>
          </w:p>
        </w:tc>
        <w:tc>
          <w:tcPr>
            <w:tcW w:w="4224" w:type="dxa"/>
            <w:tcBorders>
              <w:top w:val="single" w:sz="4" w:space="0" w:color="BFBFBF" w:themeColor="background1" w:themeShade="BF"/>
              <w:left w:val="nil"/>
              <w:bottom w:val="single" w:sz="4" w:space="0" w:color="BFBFBF" w:themeColor="background1" w:themeShade="BF"/>
              <w:right w:val="nil"/>
            </w:tcBorders>
            <w:vAlign w:val="center"/>
          </w:tcPr>
          <w:p w14:paraId="3C1A8DD6" w14:textId="1BAD637A" w:rsidR="00DB3CCE" w:rsidRDefault="000321B8" w:rsidP="00BF78CE">
            <w:pPr>
              <w:spacing w:after="0" w:line="240" w:lineRule="auto"/>
              <w:rPr>
                <w:rFonts w:ascii="Calibri" w:hAnsi="Calibri"/>
                <w:color w:val="000000"/>
              </w:rPr>
            </w:pPr>
            <w:r w:rsidRPr="000321B8">
              <w:rPr>
                <w:rFonts w:ascii="Calibri" w:hAnsi="Calibri"/>
                <w:color w:val="000000"/>
              </w:rPr>
              <w:t>DTG, RPV (N = 42)</w:t>
            </w:r>
          </w:p>
        </w:tc>
      </w:tr>
      <w:tr w:rsidR="00DB3CCE" w:rsidRPr="00470499" w14:paraId="27C08E6F" w14:textId="61C01359" w:rsidTr="00BF78CE">
        <w:trPr>
          <w:trHeight w:val="300"/>
        </w:trPr>
        <w:tc>
          <w:tcPr>
            <w:tcW w:w="2268"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2365F328" w14:textId="77777777" w:rsidR="00DB3CCE" w:rsidRPr="00470499" w:rsidRDefault="00DB3CCE" w:rsidP="00BF78CE">
            <w:pPr>
              <w:spacing w:after="0" w:line="240" w:lineRule="auto"/>
              <w:rPr>
                <w:rFonts w:ascii="Calibri" w:hAnsi="Calibri"/>
                <w:color w:val="000000"/>
              </w:rPr>
            </w:pPr>
            <w:r w:rsidRPr="00DB23D8">
              <w:rPr>
                <w:rFonts w:ascii="Calibri" w:hAnsi="Calibri"/>
                <w:color w:val="000000"/>
              </w:rPr>
              <w:t>DTG + NRTI</w:t>
            </w:r>
          </w:p>
        </w:tc>
        <w:tc>
          <w:tcPr>
            <w:tcW w:w="1985"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192E1ACE" w14:textId="20379CF9" w:rsidR="00DB3CCE" w:rsidRPr="00470499" w:rsidRDefault="00DB3CCE" w:rsidP="00BF78CE">
            <w:pPr>
              <w:spacing w:after="0" w:line="240" w:lineRule="auto"/>
              <w:rPr>
                <w:rFonts w:ascii="Calibri" w:hAnsi="Calibri"/>
                <w:color w:val="000000"/>
              </w:rPr>
            </w:pPr>
            <w:r>
              <w:rPr>
                <w:rFonts w:ascii="Calibri" w:hAnsi="Calibri"/>
                <w:color w:val="000000"/>
              </w:rPr>
              <w:t>33 (4</w:t>
            </w:r>
            <w:r w:rsidR="009A6AB1" w:rsidRPr="009A6AB1">
              <w:rPr>
                <w:rFonts w:ascii="Calibri" w:hAnsi="Calibri"/>
                <w:color w:val="000000"/>
              </w:rPr>
              <w:t>·</w:t>
            </w:r>
            <w:r>
              <w:rPr>
                <w:rFonts w:ascii="Calibri" w:hAnsi="Calibri"/>
                <w:color w:val="000000"/>
              </w:rPr>
              <w:t>4%)</w:t>
            </w:r>
          </w:p>
        </w:tc>
        <w:tc>
          <w:tcPr>
            <w:tcW w:w="4224" w:type="dxa"/>
            <w:tcBorders>
              <w:top w:val="single" w:sz="4" w:space="0" w:color="BFBFBF" w:themeColor="background1" w:themeShade="BF"/>
              <w:left w:val="nil"/>
              <w:bottom w:val="single" w:sz="4" w:space="0" w:color="BFBFBF" w:themeColor="background1" w:themeShade="BF"/>
              <w:right w:val="nil"/>
            </w:tcBorders>
            <w:vAlign w:val="center"/>
          </w:tcPr>
          <w:p w14:paraId="20B3178C" w14:textId="003CDBD6" w:rsidR="00DB3CCE" w:rsidRDefault="000321B8" w:rsidP="00BF78CE">
            <w:pPr>
              <w:spacing w:after="0" w:line="240" w:lineRule="auto"/>
              <w:rPr>
                <w:rFonts w:ascii="Calibri" w:hAnsi="Calibri"/>
                <w:color w:val="000000"/>
              </w:rPr>
            </w:pPr>
            <w:r w:rsidRPr="000321B8">
              <w:rPr>
                <w:rFonts w:ascii="Calibri" w:hAnsi="Calibri"/>
                <w:color w:val="000000"/>
              </w:rPr>
              <w:t>3TC, DTG (N = 27)</w:t>
            </w:r>
          </w:p>
        </w:tc>
      </w:tr>
      <w:tr w:rsidR="00DB3CCE" w:rsidRPr="00470499" w14:paraId="19DCBB62" w14:textId="119B2403" w:rsidTr="00BF78CE">
        <w:trPr>
          <w:trHeight w:val="300"/>
        </w:trPr>
        <w:tc>
          <w:tcPr>
            <w:tcW w:w="2268"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2124F086" w14:textId="77777777" w:rsidR="00DB3CCE" w:rsidRPr="00470499" w:rsidRDefault="00DB3CCE" w:rsidP="00BF78CE">
            <w:pPr>
              <w:spacing w:after="0" w:line="240" w:lineRule="auto"/>
              <w:rPr>
                <w:rFonts w:ascii="Calibri" w:hAnsi="Calibri"/>
                <w:color w:val="000000"/>
              </w:rPr>
            </w:pPr>
            <w:r w:rsidRPr="00DB23D8">
              <w:rPr>
                <w:rFonts w:ascii="Calibri" w:hAnsi="Calibri"/>
                <w:color w:val="000000"/>
              </w:rPr>
              <w:t>DTG monotherapy</w:t>
            </w:r>
          </w:p>
        </w:tc>
        <w:tc>
          <w:tcPr>
            <w:tcW w:w="1985"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212C0100" w14:textId="2B51DF92" w:rsidR="00DB3CCE" w:rsidRPr="00470499" w:rsidRDefault="00DB3CCE" w:rsidP="00BF78CE">
            <w:pPr>
              <w:spacing w:after="0" w:line="240" w:lineRule="auto"/>
              <w:rPr>
                <w:rFonts w:ascii="Calibri" w:hAnsi="Calibri"/>
                <w:color w:val="000000"/>
              </w:rPr>
            </w:pPr>
            <w:r>
              <w:rPr>
                <w:rFonts w:ascii="Calibri" w:hAnsi="Calibri"/>
                <w:color w:val="000000"/>
              </w:rPr>
              <w:t>19 (2</w:t>
            </w:r>
            <w:r w:rsidR="009A6AB1" w:rsidRPr="009A6AB1">
              <w:rPr>
                <w:rFonts w:ascii="Calibri" w:hAnsi="Calibri"/>
                <w:color w:val="000000"/>
              </w:rPr>
              <w:t>·</w:t>
            </w:r>
            <w:r>
              <w:rPr>
                <w:rFonts w:ascii="Calibri" w:hAnsi="Calibri"/>
                <w:color w:val="000000"/>
              </w:rPr>
              <w:t>5%)</w:t>
            </w:r>
          </w:p>
        </w:tc>
        <w:tc>
          <w:tcPr>
            <w:tcW w:w="4224" w:type="dxa"/>
            <w:tcBorders>
              <w:top w:val="single" w:sz="4" w:space="0" w:color="BFBFBF" w:themeColor="background1" w:themeShade="BF"/>
              <w:left w:val="nil"/>
              <w:bottom w:val="single" w:sz="4" w:space="0" w:color="BFBFBF" w:themeColor="background1" w:themeShade="BF"/>
              <w:right w:val="nil"/>
            </w:tcBorders>
            <w:vAlign w:val="center"/>
          </w:tcPr>
          <w:p w14:paraId="07C14BE1" w14:textId="3B752B88" w:rsidR="00DB3CCE" w:rsidRDefault="000321B8" w:rsidP="00BF78CE">
            <w:pPr>
              <w:spacing w:after="0" w:line="240" w:lineRule="auto"/>
              <w:rPr>
                <w:rFonts w:ascii="Calibri" w:hAnsi="Calibri"/>
                <w:color w:val="000000"/>
              </w:rPr>
            </w:pPr>
            <w:r w:rsidRPr="000321B8">
              <w:rPr>
                <w:rFonts w:ascii="Calibri" w:hAnsi="Calibri"/>
                <w:color w:val="000000"/>
              </w:rPr>
              <w:t>DTG (N = 19)</w:t>
            </w:r>
          </w:p>
        </w:tc>
      </w:tr>
      <w:tr w:rsidR="00DB3CCE" w:rsidRPr="00470499" w14:paraId="2B175661" w14:textId="1D88A07A" w:rsidTr="00BF78CE">
        <w:trPr>
          <w:trHeight w:val="300"/>
        </w:trPr>
        <w:tc>
          <w:tcPr>
            <w:tcW w:w="2268" w:type="dxa"/>
            <w:tcBorders>
              <w:top w:val="single" w:sz="4" w:space="0" w:color="BFBFBF" w:themeColor="background1" w:themeShade="BF"/>
              <w:left w:val="nil"/>
              <w:bottom w:val="nil"/>
              <w:right w:val="nil"/>
            </w:tcBorders>
            <w:shd w:val="clear" w:color="auto" w:fill="auto"/>
            <w:noWrap/>
            <w:vAlign w:val="center"/>
            <w:hideMark/>
          </w:tcPr>
          <w:p w14:paraId="440D4C4F" w14:textId="77777777" w:rsidR="00DB3CCE" w:rsidRPr="00470499" w:rsidRDefault="00DB3CCE" w:rsidP="00BF78CE">
            <w:pPr>
              <w:spacing w:after="0" w:line="240" w:lineRule="auto"/>
              <w:rPr>
                <w:rFonts w:ascii="Calibri" w:hAnsi="Calibri"/>
                <w:color w:val="000000"/>
              </w:rPr>
            </w:pPr>
            <w:r w:rsidRPr="00DB23D8">
              <w:rPr>
                <w:rFonts w:ascii="Calibri" w:hAnsi="Calibri"/>
                <w:color w:val="000000"/>
              </w:rPr>
              <w:t>Other</w:t>
            </w:r>
          </w:p>
        </w:tc>
        <w:tc>
          <w:tcPr>
            <w:tcW w:w="1985" w:type="dxa"/>
            <w:tcBorders>
              <w:top w:val="single" w:sz="4" w:space="0" w:color="BFBFBF" w:themeColor="background1" w:themeShade="BF"/>
              <w:left w:val="nil"/>
              <w:bottom w:val="nil"/>
              <w:right w:val="nil"/>
            </w:tcBorders>
            <w:shd w:val="clear" w:color="auto" w:fill="auto"/>
            <w:noWrap/>
            <w:vAlign w:val="center"/>
            <w:hideMark/>
          </w:tcPr>
          <w:p w14:paraId="4D3544E5" w14:textId="6FB007D2" w:rsidR="00DB3CCE" w:rsidRPr="00470499" w:rsidRDefault="00DB3CCE" w:rsidP="00BF78CE">
            <w:pPr>
              <w:spacing w:after="0" w:line="240" w:lineRule="auto"/>
              <w:rPr>
                <w:rFonts w:ascii="Calibri" w:hAnsi="Calibri"/>
                <w:color w:val="000000"/>
              </w:rPr>
            </w:pPr>
            <w:r>
              <w:rPr>
                <w:rFonts w:ascii="Calibri" w:hAnsi="Calibri"/>
                <w:color w:val="000000"/>
              </w:rPr>
              <w:t>3 (0</w:t>
            </w:r>
            <w:r w:rsidR="009A6AB1" w:rsidRPr="009A6AB1">
              <w:rPr>
                <w:rFonts w:ascii="Calibri" w:hAnsi="Calibri"/>
                <w:color w:val="000000"/>
              </w:rPr>
              <w:t>·</w:t>
            </w:r>
            <w:r>
              <w:rPr>
                <w:rFonts w:ascii="Calibri" w:hAnsi="Calibri"/>
                <w:color w:val="000000"/>
              </w:rPr>
              <w:t>4%)</w:t>
            </w:r>
          </w:p>
        </w:tc>
        <w:tc>
          <w:tcPr>
            <w:tcW w:w="4224" w:type="dxa"/>
            <w:tcBorders>
              <w:top w:val="single" w:sz="4" w:space="0" w:color="BFBFBF" w:themeColor="background1" w:themeShade="BF"/>
              <w:left w:val="nil"/>
              <w:bottom w:val="nil"/>
              <w:right w:val="nil"/>
            </w:tcBorders>
            <w:vAlign w:val="center"/>
          </w:tcPr>
          <w:p w14:paraId="1D812278" w14:textId="77777777" w:rsidR="00DB3CCE" w:rsidRDefault="00DB3CCE" w:rsidP="00BF78CE">
            <w:pPr>
              <w:spacing w:after="0" w:line="240" w:lineRule="auto"/>
              <w:rPr>
                <w:rFonts w:ascii="Calibri" w:hAnsi="Calibri"/>
                <w:color w:val="000000"/>
              </w:rPr>
            </w:pPr>
          </w:p>
        </w:tc>
      </w:tr>
    </w:tbl>
    <w:p w14:paraId="6473A9CE" w14:textId="153CCE1C" w:rsidR="00823920" w:rsidRDefault="00823920">
      <w:r>
        <w:br w:type="page"/>
      </w:r>
    </w:p>
    <w:p w14:paraId="29129F58" w14:textId="07B034A8" w:rsidR="009841CB" w:rsidRPr="00A666E6" w:rsidRDefault="009841CB" w:rsidP="002C1A27">
      <w:pPr>
        <w:jc w:val="both"/>
        <w:rPr>
          <w:b/>
          <w:color w:val="2F5496" w:themeColor="accent1" w:themeShade="BF"/>
        </w:rPr>
      </w:pPr>
      <w:r>
        <w:rPr>
          <w:b/>
          <w:color w:val="2F5496" w:themeColor="accent1" w:themeShade="BF"/>
        </w:rPr>
        <w:lastRenderedPageBreak/>
        <w:t>List of INSTI DRMs observed in all enrolled people</w:t>
      </w:r>
    </w:p>
    <w:p w14:paraId="062293C2" w14:textId="7668B11C" w:rsidR="00823920" w:rsidRDefault="00823920" w:rsidP="00823920">
      <w:pPr>
        <w:pStyle w:val="Caption"/>
        <w:keepNext/>
      </w:pPr>
      <w:r>
        <w:t xml:space="preserve">Supplemental table </w:t>
      </w:r>
      <w:r>
        <w:fldChar w:fldCharType="begin"/>
      </w:r>
      <w:r>
        <w:instrText xml:space="preserve"> SEQ Supplemental_table \* ARABIC </w:instrText>
      </w:r>
      <w:r>
        <w:fldChar w:fldCharType="separate"/>
      </w:r>
      <w:r w:rsidR="000B60E8">
        <w:rPr>
          <w:noProof/>
        </w:rPr>
        <w:t>2</w:t>
      </w:r>
      <w:r>
        <w:fldChar w:fldCharType="end"/>
      </w:r>
      <w:r>
        <w:t xml:space="preserve">: </w:t>
      </w:r>
      <w:r w:rsidRPr="00823920">
        <w:rPr>
          <w:b/>
          <w:bCs/>
        </w:rPr>
        <w:t>INSTI DRMs in people genotypic resistance testing on DTG-based ART by DTG resistance level</w:t>
      </w:r>
      <w:r w:rsidRPr="00823920">
        <w:t>. DRMs and resistance to DTG were determined using the Stanford resistance algorithm V9.0. In the DTG RESIST study population, 650/750 people did not have INSTI DRMs.</w:t>
      </w:r>
    </w:p>
    <w:tbl>
      <w:tblPr>
        <w:tblW w:w="8370" w:type="dxa"/>
        <w:tblLook w:val="04A0" w:firstRow="1" w:lastRow="0" w:firstColumn="1" w:lastColumn="0" w:noHBand="0" w:noVBand="1"/>
      </w:tblPr>
      <w:tblGrid>
        <w:gridCol w:w="1418"/>
        <w:gridCol w:w="1134"/>
        <w:gridCol w:w="2294"/>
        <w:gridCol w:w="2160"/>
        <w:gridCol w:w="1364"/>
      </w:tblGrid>
      <w:tr w:rsidR="00823920" w:rsidRPr="00823920" w14:paraId="1072EAC3" w14:textId="77777777" w:rsidTr="00823920">
        <w:trPr>
          <w:trHeight w:val="20"/>
        </w:trPr>
        <w:tc>
          <w:tcPr>
            <w:tcW w:w="1418" w:type="dxa"/>
            <w:tcBorders>
              <w:top w:val="nil"/>
              <w:left w:val="nil"/>
              <w:bottom w:val="single" w:sz="4" w:space="0" w:color="auto"/>
              <w:right w:val="nil"/>
            </w:tcBorders>
            <w:shd w:val="clear" w:color="auto" w:fill="auto"/>
            <w:vAlign w:val="bottom"/>
            <w:hideMark/>
          </w:tcPr>
          <w:p w14:paraId="057C188A" w14:textId="260D75BA" w:rsidR="00823920" w:rsidRPr="00823920" w:rsidRDefault="00823920" w:rsidP="00823920">
            <w:pPr>
              <w:spacing w:after="0" w:line="240" w:lineRule="auto"/>
              <w:rPr>
                <w:rFonts w:ascii="Calibri" w:eastAsia="Times New Roman" w:hAnsi="Calibri" w:cs="Calibri"/>
                <w:b/>
                <w:bCs/>
                <w:color w:val="000000"/>
                <w:sz w:val="18"/>
                <w:szCs w:val="18"/>
                <w:lang/>
              </w:rPr>
            </w:pPr>
            <w:r w:rsidRPr="00823920">
              <w:rPr>
                <w:rFonts w:ascii="Calibri" w:eastAsia="Times New Roman" w:hAnsi="Calibri" w:cs="Calibri"/>
                <w:b/>
                <w:bCs/>
                <w:color w:val="000000"/>
                <w:sz w:val="18"/>
                <w:szCs w:val="18"/>
                <w:lang/>
              </w:rPr>
              <w:t>DTG</w:t>
            </w:r>
            <w:r>
              <w:rPr>
                <w:rFonts w:ascii="Calibri" w:eastAsia="Times New Roman" w:hAnsi="Calibri" w:cs="Calibri"/>
                <w:b/>
                <w:bCs/>
                <w:color w:val="000000"/>
                <w:sz w:val="18"/>
                <w:szCs w:val="18"/>
                <w:lang/>
              </w:rPr>
              <w:t xml:space="preserve"> </w:t>
            </w:r>
            <w:r w:rsidRPr="00823920">
              <w:rPr>
                <w:rFonts w:ascii="Calibri" w:eastAsia="Times New Roman" w:hAnsi="Calibri" w:cs="Calibri"/>
                <w:b/>
                <w:bCs/>
                <w:color w:val="000000"/>
                <w:sz w:val="18"/>
                <w:szCs w:val="18"/>
                <w:lang/>
              </w:rPr>
              <w:t>resistance</w:t>
            </w:r>
            <w:r w:rsidRPr="00823920">
              <w:rPr>
                <w:rFonts w:ascii="Calibri" w:eastAsia="Times New Roman" w:hAnsi="Calibri" w:cs="Calibri"/>
                <w:b/>
                <w:bCs/>
                <w:color w:val="000000"/>
                <w:sz w:val="18"/>
                <w:szCs w:val="18"/>
                <w:lang/>
              </w:rPr>
              <w:br/>
              <w:t>level</w:t>
            </w:r>
          </w:p>
        </w:tc>
        <w:tc>
          <w:tcPr>
            <w:tcW w:w="1134" w:type="dxa"/>
            <w:tcBorders>
              <w:top w:val="nil"/>
              <w:left w:val="nil"/>
              <w:bottom w:val="single" w:sz="4" w:space="0" w:color="auto"/>
              <w:right w:val="nil"/>
            </w:tcBorders>
            <w:shd w:val="clear" w:color="auto" w:fill="auto"/>
            <w:vAlign w:val="bottom"/>
            <w:hideMark/>
          </w:tcPr>
          <w:p w14:paraId="04C615DE" w14:textId="77777777" w:rsidR="00823920" w:rsidRPr="00823920" w:rsidRDefault="00823920" w:rsidP="00823920">
            <w:pPr>
              <w:spacing w:after="0" w:line="240" w:lineRule="auto"/>
              <w:rPr>
                <w:rFonts w:ascii="Calibri" w:eastAsia="Times New Roman" w:hAnsi="Calibri" w:cs="Calibri"/>
                <w:b/>
                <w:bCs/>
                <w:color w:val="000000"/>
                <w:sz w:val="18"/>
                <w:szCs w:val="18"/>
                <w:lang/>
              </w:rPr>
            </w:pPr>
            <w:r w:rsidRPr="00823920">
              <w:rPr>
                <w:rFonts w:ascii="Calibri" w:eastAsia="Times New Roman" w:hAnsi="Calibri" w:cs="Calibri"/>
                <w:b/>
                <w:bCs/>
                <w:color w:val="000000"/>
                <w:sz w:val="18"/>
                <w:szCs w:val="18"/>
                <w:lang/>
              </w:rPr>
              <w:t xml:space="preserve">No. of </w:t>
            </w:r>
            <w:r w:rsidRPr="00823920">
              <w:rPr>
                <w:rFonts w:ascii="Calibri" w:eastAsia="Times New Roman" w:hAnsi="Calibri" w:cs="Calibri"/>
                <w:b/>
                <w:bCs/>
                <w:color w:val="000000"/>
                <w:sz w:val="18"/>
                <w:szCs w:val="18"/>
                <w:lang/>
              </w:rPr>
              <w:br/>
              <w:t>people (%)</w:t>
            </w:r>
          </w:p>
        </w:tc>
        <w:tc>
          <w:tcPr>
            <w:tcW w:w="2294" w:type="dxa"/>
            <w:tcBorders>
              <w:top w:val="nil"/>
              <w:left w:val="nil"/>
              <w:bottom w:val="single" w:sz="4" w:space="0" w:color="auto"/>
              <w:right w:val="nil"/>
            </w:tcBorders>
            <w:shd w:val="clear" w:color="auto" w:fill="auto"/>
            <w:noWrap/>
            <w:vAlign w:val="bottom"/>
            <w:hideMark/>
          </w:tcPr>
          <w:p w14:paraId="3E418DCF" w14:textId="77777777" w:rsidR="00823920" w:rsidRPr="00823920" w:rsidRDefault="00823920" w:rsidP="00823920">
            <w:pPr>
              <w:spacing w:after="0" w:line="240" w:lineRule="auto"/>
              <w:rPr>
                <w:rFonts w:ascii="Calibri" w:eastAsia="Times New Roman" w:hAnsi="Calibri" w:cs="Calibri"/>
                <w:b/>
                <w:bCs/>
                <w:color w:val="000000"/>
                <w:sz w:val="18"/>
                <w:szCs w:val="18"/>
                <w:lang/>
              </w:rPr>
            </w:pPr>
            <w:r w:rsidRPr="00823920">
              <w:rPr>
                <w:rFonts w:ascii="Calibri" w:eastAsia="Times New Roman" w:hAnsi="Calibri" w:cs="Calibri"/>
                <w:b/>
                <w:bCs/>
                <w:color w:val="000000"/>
                <w:sz w:val="18"/>
                <w:szCs w:val="18"/>
                <w:lang/>
              </w:rPr>
              <w:t>Major INSTI DRMs</w:t>
            </w:r>
          </w:p>
        </w:tc>
        <w:tc>
          <w:tcPr>
            <w:tcW w:w="2160" w:type="dxa"/>
            <w:tcBorders>
              <w:top w:val="nil"/>
              <w:left w:val="nil"/>
              <w:bottom w:val="single" w:sz="4" w:space="0" w:color="auto"/>
              <w:right w:val="nil"/>
            </w:tcBorders>
            <w:shd w:val="clear" w:color="auto" w:fill="auto"/>
            <w:noWrap/>
            <w:vAlign w:val="bottom"/>
            <w:hideMark/>
          </w:tcPr>
          <w:p w14:paraId="73EA25D2" w14:textId="77777777" w:rsidR="00823920" w:rsidRPr="00823920" w:rsidRDefault="00823920" w:rsidP="00823920">
            <w:pPr>
              <w:spacing w:after="0" w:line="240" w:lineRule="auto"/>
              <w:rPr>
                <w:rFonts w:ascii="Calibri" w:eastAsia="Times New Roman" w:hAnsi="Calibri" w:cs="Calibri"/>
                <w:b/>
                <w:bCs/>
                <w:color w:val="000000"/>
                <w:sz w:val="18"/>
                <w:szCs w:val="18"/>
                <w:lang/>
              </w:rPr>
            </w:pPr>
            <w:r w:rsidRPr="00823920">
              <w:rPr>
                <w:rFonts w:ascii="Calibri" w:eastAsia="Times New Roman" w:hAnsi="Calibri" w:cs="Calibri"/>
                <w:b/>
                <w:bCs/>
                <w:color w:val="000000"/>
                <w:sz w:val="18"/>
                <w:szCs w:val="18"/>
                <w:lang/>
              </w:rPr>
              <w:t>Accessory INSTI DRMs</w:t>
            </w:r>
          </w:p>
        </w:tc>
        <w:tc>
          <w:tcPr>
            <w:tcW w:w="1364" w:type="dxa"/>
            <w:tcBorders>
              <w:top w:val="nil"/>
              <w:left w:val="nil"/>
              <w:bottom w:val="single" w:sz="4" w:space="0" w:color="auto"/>
              <w:right w:val="nil"/>
            </w:tcBorders>
            <w:shd w:val="clear" w:color="auto" w:fill="auto"/>
            <w:vAlign w:val="bottom"/>
            <w:hideMark/>
          </w:tcPr>
          <w:p w14:paraId="78B9F181" w14:textId="57C7B56C" w:rsidR="00823920" w:rsidRPr="00823920" w:rsidRDefault="00823920" w:rsidP="00823920">
            <w:pPr>
              <w:spacing w:after="0" w:line="240" w:lineRule="auto"/>
              <w:rPr>
                <w:rFonts w:ascii="Calibri" w:eastAsia="Times New Roman" w:hAnsi="Calibri" w:cs="Calibri"/>
                <w:b/>
                <w:bCs/>
                <w:color w:val="000000"/>
                <w:sz w:val="18"/>
                <w:szCs w:val="18"/>
                <w:lang/>
              </w:rPr>
            </w:pPr>
            <w:r w:rsidRPr="00823920">
              <w:rPr>
                <w:rFonts w:ascii="Calibri" w:eastAsia="Times New Roman" w:hAnsi="Calibri" w:cs="Calibri"/>
                <w:b/>
                <w:bCs/>
                <w:color w:val="000000"/>
                <w:sz w:val="18"/>
                <w:szCs w:val="18"/>
                <w:lang/>
              </w:rPr>
              <w:t xml:space="preserve">DTG resistance </w:t>
            </w:r>
            <w:r w:rsidRPr="00823920">
              <w:rPr>
                <w:rFonts w:ascii="Calibri" w:eastAsia="Times New Roman" w:hAnsi="Calibri" w:cs="Calibri"/>
                <w:b/>
                <w:bCs/>
                <w:color w:val="000000"/>
                <w:sz w:val="18"/>
                <w:szCs w:val="18"/>
                <w:lang/>
              </w:rPr>
              <w:br/>
              <w:t>score</w:t>
            </w:r>
          </w:p>
        </w:tc>
      </w:tr>
      <w:tr w:rsidR="00823920" w:rsidRPr="00823920" w14:paraId="2B5B40BB" w14:textId="77777777" w:rsidTr="00823920">
        <w:trPr>
          <w:trHeight w:val="20"/>
        </w:trPr>
        <w:tc>
          <w:tcPr>
            <w:tcW w:w="1418" w:type="dxa"/>
            <w:tcBorders>
              <w:top w:val="nil"/>
              <w:left w:val="nil"/>
              <w:bottom w:val="nil"/>
              <w:right w:val="nil"/>
            </w:tcBorders>
            <w:shd w:val="clear" w:color="auto" w:fill="auto"/>
            <w:noWrap/>
            <w:vAlign w:val="bottom"/>
            <w:hideMark/>
          </w:tcPr>
          <w:p w14:paraId="23A4E8EC" w14:textId="77777777" w:rsidR="00823920" w:rsidRPr="00823920" w:rsidRDefault="00823920" w:rsidP="00823920">
            <w:pPr>
              <w:spacing w:after="0" w:line="240" w:lineRule="auto"/>
              <w:rPr>
                <w:rFonts w:ascii="Calibri" w:eastAsia="Times New Roman" w:hAnsi="Calibri" w:cs="Calibri"/>
                <w:b/>
                <w:bCs/>
                <w:color w:val="000000"/>
                <w:sz w:val="18"/>
                <w:szCs w:val="18"/>
                <w:lang/>
              </w:rPr>
            </w:pPr>
            <w:r w:rsidRPr="00823920">
              <w:rPr>
                <w:rFonts w:ascii="Calibri" w:eastAsia="Times New Roman" w:hAnsi="Calibri" w:cs="Calibri"/>
                <w:b/>
                <w:bCs/>
                <w:color w:val="000000"/>
                <w:sz w:val="18"/>
                <w:szCs w:val="18"/>
                <w:lang/>
              </w:rPr>
              <w:t>High</w:t>
            </w:r>
          </w:p>
        </w:tc>
        <w:tc>
          <w:tcPr>
            <w:tcW w:w="1134" w:type="dxa"/>
            <w:tcBorders>
              <w:top w:val="nil"/>
              <w:left w:val="nil"/>
              <w:bottom w:val="nil"/>
              <w:right w:val="nil"/>
            </w:tcBorders>
            <w:shd w:val="clear" w:color="auto" w:fill="auto"/>
            <w:noWrap/>
            <w:vAlign w:val="bottom"/>
            <w:hideMark/>
          </w:tcPr>
          <w:p w14:paraId="0888746A" w14:textId="77777777" w:rsidR="00823920" w:rsidRPr="00823920" w:rsidRDefault="00823920" w:rsidP="00823920">
            <w:pPr>
              <w:spacing w:after="0" w:line="240" w:lineRule="auto"/>
              <w:rPr>
                <w:rFonts w:ascii="Calibri" w:eastAsia="Times New Roman" w:hAnsi="Calibri" w:cs="Calibri"/>
                <w:b/>
                <w:bCs/>
                <w:color w:val="000000"/>
                <w:sz w:val="18"/>
                <w:szCs w:val="18"/>
                <w:lang/>
              </w:rPr>
            </w:pPr>
          </w:p>
        </w:tc>
        <w:tc>
          <w:tcPr>
            <w:tcW w:w="2294" w:type="dxa"/>
            <w:tcBorders>
              <w:top w:val="nil"/>
              <w:left w:val="nil"/>
              <w:bottom w:val="nil"/>
              <w:right w:val="nil"/>
            </w:tcBorders>
            <w:shd w:val="clear" w:color="auto" w:fill="auto"/>
            <w:noWrap/>
            <w:vAlign w:val="bottom"/>
            <w:hideMark/>
          </w:tcPr>
          <w:p w14:paraId="75E6AF57" w14:textId="77777777" w:rsidR="00823920" w:rsidRPr="00823920" w:rsidRDefault="00823920" w:rsidP="00823920">
            <w:pPr>
              <w:spacing w:after="0" w:line="240" w:lineRule="auto"/>
              <w:rPr>
                <w:rFonts w:ascii="Times New Roman" w:eastAsia="Times New Roman" w:hAnsi="Times New Roman" w:cs="Times New Roman"/>
                <w:sz w:val="18"/>
                <w:szCs w:val="18"/>
                <w:lang/>
              </w:rPr>
            </w:pPr>
          </w:p>
        </w:tc>
        <w:tc>
          <w:tcPr>
            <w:tcW w:w="2160" w:type="dxa"/>
            <w:tcBorders>
              <w:top w:val="nil"/>
              <w:left w:val="nil"/>
              <w:bottom w:val="nil"/>
              <w:right w:val="nil"/>
            </w:tcBorders>
            <w:shd w:val="clear" w:color="auto" w:fill="auto"/>
            <w:noWrap/>
            <w:vAlign w:val="bottom"/>
            <w:hideMark/>
          </w:tcPr>
          <w:p w14:paraId="2DE19C96" w14:textId="77777777" w:rsidR="00823920" w:rsidRPr="00823920" w:rsidRDefault="00823920" w:rsidP="00823920">
            <w:pPr>
              <w:spacing w:after="0" w:line="240" w:lineRule="auto"/>
              <w:rPr>
                <w:rFonts w:ascii="Times New Roman" w:eastAsia="Times New Roman" w:hAnsi="Times New Roman" w:cs="Times New Roman"/>
                <w:sz w:val="18"/>
                <w:szCs w:val="18"/>
                <w:lang/>
              </w:rPr>
            </w:pPr>
          </w:p>
        </w:tc>
        <w:tc>
          <w:tcPr>
            <w:tcW w:w="1364" w:type="dxa"/>
            <w:tcBorders>
              <w:top w:val="nil"/>
              <w:left w:val="nil"/>
              <w:bottom w:val="nil"/>
              <w:right w:val="nil"/>
            </w:tcBorders>
            <w:shd w:val="clear" w:color="auto" w:fill="auto"/>
            <w:noWrap/>
            <w:vAlign w:val="bottom"/>
            <w:hideMark/>
          </w:tcPr>
          <w:p w14:paraId="4340E342" w14:textId="77777777" w:rsidR="00823920" w:rsidRPr="00823920" w:rsidRDefault="00823920" w:rsidP="00823920">
            <w:pPr>
              <w:spacing w:after="0" w:line="240" w:lineRule="auto"/>
              <w:rPr>
                <w:rFonts w:ascii="Times New Roman" w:eastAsia="Times New Roman" w:hAnsi="Times New Roman" w:cs="Times New Roman"/>
                <w:sz w:val="18"/>
                <w:szCs w:val="18"/>
                <w:lang/>
              </w:rPr>
            </w:pPr>
          </w:p>
        </w:tc>
      </w:tr>
      <w:tr w:rsidR="005611C7" w:rsidRPr="00823920" w14:paraId="711D5949" w14:textId="77777777" w:rsidTr="00AD00F2">
        <w:trPr>
          <w:trHeight w:val="20"/>
        </w:trPr>
        <w:tc>
          <w:tcPr>
            <w:tcW w:w="1418" w:type="dxa"/>
            <w:tcBorders>
              <w:top w:val="nil"/>
              <w:left w:val="nil"/>
              <w:bottom w:val="nil"/>
              <w:right w:val="nil"/>
            </w:tcBorders>
            <w:shd w:val="clear" w:color="auto" w:fill="auto"/>
            <w:noWrap/>
            <w:vAlign w:val="bottom"/>
            <w:hideMark/>
          </w:tcPr>
          <w:p w14:paraId="66CF1308" w14:textId="77777777" w:rsidR="005611C7" w:rsidRPr="00823920" w:rsidRDefault="005611C7" w:rsidP="005611C7">
            <w:pPr>
              <w:spacing w:after="0" w:line="240" w:lineRule="auto"/>
              <w:rPr>
                <w:rFonts w:ascii="Times New Roman" w:eastAsia="Times New Roman" w:hAnsi="Times New Roman" w:cs="Times New Roman"/>
                <w:sz w:val="18"/>
                <w:szCs w:val="18"/>
                <w:lang/>
              </w:rPr>
            </w:pPr>
          </w:p>
        </w:tc>
        <w:tc>
          <w:tcPr>
            <w:tcW w:w="1134" w:type="dxa"/>
            <w:tcBorders>
              <w:top w:val="nil"/>
              <w:left w:val="nil"/>
              <w:bottom w:val="nil"/>
              <w:right w:val="nil"/>
            </w:tcBorders>
            <w:shd w:val="clear" w:color="auto" w:fill="auto"/>
            <w:noWrap/>
            <w:hideMark/>
          </w:tcPr>
          <w:p w14:paraId="311A1697" w14:textId="034C975C"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50E15BEC"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E138K,G140S,Q148H,N155H</w:t>
            </w:r>
          </w:p>
        </w:tc>
        <w:tc>
          <w:tcPr>
            <w:tcW w:w="2160" w:type="dxa"/>
            <w:tcBorders>
              <w:top w:val="nil"/>
              <w:left w:val="nil"/>
              <w:bottom w:val="nil"/>
              <w:right w:val="nil"/>
            </w:tcBorders>
            <w:shd w:val="clear" w:color="auto" w:fill="auto"/>
            <w:noWrap/>
            <w:vAlign w:val="bottom"/>
            <w:hideMark/>
          </w:tcPr>
          <w:p w14:paraId="709047FF"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1364" w:type="dxa"/>
            <w:tcBorders>
              <w:top w:val="nil"/>
              <w:left w:val="nil"/>
              <w:bottom w:val="nil"/>
              <w:right w:val="nil"/>
            </w:tcBorders>
            <w:shd w:val="clear" w:color="auto" w:fill="auto"/>
            <w:noWrap/>
            <w:vAlign w:val="bottom"/>
            <w:hideMark/>
          </w:tcPr>
          <w:p w14:paraId="6A26E49D"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105</w:t>
            </w:r>
          </w:p>
        </w:tc>
      </w:tr>
      <w:tr w:rsidR="005611C7" w:rsidRPr="00823920" w14:paraId="1467FD31" w14:textId="77777777" w:rsidTr="00AD00F2">
        <w:trPr>
          <w:trHeight w:val="20"/>
        </w:trPr>
        <w:tc>
          <w:tcPr>
            <w:tcW w:w="1418" w:type="dxa"/>
            <w:tcBorders>
              <w:top w:val="nil"/>
              <w:left w:val="nil"/>
              <w:bottom w:val="nil"/>
              <w:right w:val="nil"/>
            </w:tcBorders>
            <w:shd w:val="clear" w:color="auto" w:fill="auto"/>
            <w:noWrap/>
            <w:vAlign w:val="bottom"/>
            <w:hideMark/>
          </w:tcPr>
          <w:p w14:paraId="0DF74833"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hideMark/>
          </w:tcPr>
          <w:p w14:paraId="6299779C" w14:textId="2FC52DDB"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348E8685"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G140S,Q148H,N155H</w:t>
            </w:r>
          </w:p>
        </w:tc>
        <w:tc>
          <w:tcPr>
            <w:tcW w:w="2160" w:type="dxa"/>
            <w:tcBorders>
              <w:top w:val="nil"/>
              <w:left w:val="nil"/>
              <w:bottom w:val="nil"/>
              <w:right w:val="nil"/>
            </w:tcBorders>
            <w:shd w:val="clear" w:color="auto" w:fill="auto"/>
            <w:noWrap/>
            <w:vAlign w:val="bottom"/>
            <w:hideMark/>
          </w:tcPr>
          <w:p w14:paraId="5ACB76E7"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1364" w:type="dxa"/>
            <w:tcBorders>
              <w:top w:val="nil"/>
              <w:left w:val="nil"/>
              <w:bottom w:val="nil"/>
              <w:right w:val="nil"/>
            </w:tcBorders>
            <w:shd w:val="clear" w:color="auto" w:fill="auto"/>
            <w:noWrap/>
            <w:vAlign w:val="bottom"/>
            <w:hideMark/>
          </w:tcPr>
          <w:p w14:paraId="4A9D6CE9"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75</w:t>
            </w:r>
          </w:p>
        </w:tc>
      </w:tr>
      <w:tr w:rsidR="005611C7" w:rsidRPr="00823920" w14:paraId="04CD87A8" w14:textId="77777777" w:rsidTr="00AD00F2">
        <w:trPr>
          <w:trHeight w:val="20"/>
        </w:trPr>
        <w:tc>
          <w:tcPr>
            <w:tcW w:w="1418" w:type="dxa"/>
            <w:tcBorders>
              <w:top w:val="nil"/>
              <w:left w:val="nil"/>
              <w:bottom w:val="nil"/>
              <w:right w:val="nil"/>
            </w:tcBorders>
            <w:shd w:val="clear" w:color="auto" w:fill="auto"/>
            <w:noWrap/>
            <w:vAlign w:val="bottom"/>
            <w:hideMark/>
          </w:tcPr>
          <w:p w14:paraId="7468EC68"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hideMark/>
          </w:tcPr>
          <w:p w14:paraId="7842470A" w14:textId="69244E77"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21AC552D"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G118R,E138K</w:t>
            </w:r>
          </w:p>
        </w:tc>
        <w:tc>
          <w:tcPr>
            <w:tcW w:w="2160" w:type="dxa"/>
            <w:tcBorders>
              <w:top w:val="nil"/>
              <w:left w:val="nil"/>
              <w:bottom w:val="nil"/>
              <w:right w:val="nil"/>
            </w:tcBorders>
            <w:shd w:val="clear" w:color="auto" w:fill="auto"/>
            <w:noWrap/>
            <w:vAlign w:val="bottom"/>
            <w:hideMark/>
          </w:tcPr>
          <w:p w14:paraId="6B4C73A4"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1364" w:type="dxa"/>
            <w:tcBorders>
              <w:top w:val="nil"/>
              <w:left w:val="nil"/>
              <w:bottom w:val="nil"/>
              <w:right w:val="nil"/>
            </w:tcBorders>
            <w:shd w:val="clear" w:color="auto" w:fill="auto"/>
            <w:noWrap/>
            <w:vAlign w:val="bottom"/>
            <w:hideMark/>
          </w:tcPr>
          <w:p w14:paraId="6EFD41AD"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70</w:t>
            </w:r>
          </w:p>
        </w:tc>
      </w:tr>
      <w:tr w:rsidR="005611C7" w:rsidRPr="00823920" w14:paraId="1E9F518E" w14:textId="77777777" w:rsidTr="00AD00F2">
        <w:trPr>
          <w:trHeight w:val="20"/>
        </w:trPr>
        <w:tc>
          <w:tcPr>
            <w:tcW w:w="1418" w:type="dxa"/>
            <w:tcBorders>
              <w:top w:val="nil"/>
              <w:left w:val="nil"/>
              <w:bottom w:val="single" w:sz="4" w:space="0" w:color="auto"/>
              <w:right w:val="nil"/>
            </w:tcBorders>
            <w:shd w:val="clear" w:color="auto" w:fill="auto"/>
            <w:noWrap/>
            <w:vAlign w:val="bottom"/>
            <w:hideMark/>
          </w:tcPr>
          <w:p w14:paraId="5BD9EA9B" w14:textId="77777777" w:rsidR="005611C7" w:rsidRPr="00823920" w:rsidRDefault="005611C7" w:rsidP="005611C7">
            <w:pPr>
              <w:spacing w:after="0" w:line="240" w:lineRule="auto"/>
              <w:rPr>
                <w:rFonts w:ascii="Calibri" w:eastAsia="Times New Roman" w:hAnsi="Calibri" w:cs="Calibri"/>
                <w:b/>
                <w:bCs/>
                <w:color w:val="000000"/>
                <w:sz w:val="18"/>
                <w:szCs w:val="18"/>
                <w:lang/>
              </w:rPr>
            </w:pPr>
            <w:r w:rsidRPr="00823920">
              <w:rPr>
                <w:rFonts w:ascii="Calibri" w:eastAsia="Times New Roman" w:hAnsi="Calibri" w:cs="Calibri"/>
                <w:b/>
                <w:bCs/>
                <w:color w:val="000000"/>
                <w:sz w:val="18"/>
                <w:szCs w:val="18"/>
                <w:lang/>
              </w:rPr>
              <w:t> </w:t>
            </w:r>
          </w:p>
        </w:tc>
        <w:tc>
          <w:tcPr>
            <w:tcW w:w="1134" w:type="dxa"/>
            <w:tcBorders>
              <w:top w:val="nil"/>
              <w:left w:val="nil"/>
              <w:bottom w:val="single" w:sz="4" w:space="0" w:color="auto"/>
              <w:right w:val="nil"/>
            </w:tcBorders>
            <w:shd w:val="clear" w:color="auto" w:fill="auto"/>
            <w:noWrap/>
            <w:hideMark/>
          </w:tcPr>
          <w:p w14:paraId="520A2D73" w14:textId="14B8A200"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3 (0·4%)</w:t>
            </w:r>
          </w:p>
        </w:tc>
        <w:tc>
          <w:tcPr>
            <w:tcW w:w="2294" w:type="dxa"/>
            <w:tcBorders>
              <w:top w:val="nil"/>
              <w:left w:val="nil"/>
              <w:bottom w:val="single" w:sz="4" w:space="0" w:color="auto"/>
              <w:right w:val="nil"/>
            </w:tcBorders>
            <w:shd w:val="clear" w:color="auto" w:fill="auto"/>
            <w:noWrap/>
            <w:vAlign w:val="bottom"/>
            <w:hideMark/>
          </w:tcPr>
          <w:p w14:paraId="6B7E7941"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G140S,Q148H</w:t>
            </w:r>
          </w:p>
        </w:tc>
        <w:tc>
          <w:tcPr>
            <w:tcW w:w="2160" w:type="dxa"/>
            <w:tcBorders>
              <w:top w:val="nil"/>
              <w:left w:val="nil"/>
              <w:bottom w:val="single" w:sz="4" w:space="0" w:color="auto"/>
              <w:right w:val="nil"/>
            </w:tcBorders>
            <w:shd w:val="clear" w:color="auto" w:fill="auto"/>
            <w:noWrap/>
            <w:vAlign w:val="bottom"/>
            <w:hideMark/>
          </w:tcPr>
          <w:p w14:paraId="6DFEA2B4"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T97A</w:t>
            </w:r>
          </w:p>
        </w:tc>
        <w:tc>
          <w:tcPr>
            <w:tcW w:w="1364" w:type="dxa"/>
            <w:tcBorders>
              <w:top w:val="nil"/>
              <w:left w:val="nil"/>
              <w:bottom w:val="single" w:sz="4" w:space="0" w:color="auto"/>
              <w:right w:val="nil"/>
            </w:tcBorders>
            <w:shd w:val="clear" w:color="auto" w:fill="auto"/>
            <w:noWrap/>
            <w:vAlign w:val="bottom"/>
            <w:hideMark/>
          </w:tcPr>
          <w:p w14:paraId="5CB4C967"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60</w:t>
            </w:r>
          </w:p>
        </w:tc>
      </w:tr>
      <w:tr w:rsidR="00823920" w:rsidRPr="00823920" w14:paraId="18BF5FFE" w14:textId="77777777" w:rsidTr="00823920">
        <w:trPr>
          <w:trHeight w:val="20"/>
        </w:trPr>
        <w:tc>
          <w:tcPr>
            <w:tcW w:w="2552" w:type="dxa"/>
            <w:gridSpan w:val="2"/>
            <w:tcBorders>
              <w:top w:val="nil"/>
              <w:left w:val="nil"/>
              <w:bottom w:val="nil"/>
              <w:right w:val="nil"/>
            </w:tcBorders>
            <w:shd w:val="clear" w:color="auto" w:fill="auto"/>
            <w:noWrap/>
            <w:vAlign w:val="bottom"/>
            <w:hideMark/>
          </w:tcPr>
          <w:p w14:paraId="610885F5" w14:textId="77777777" w:rsidR="00823920" w:rsidRPr="00823920" w:rsidRDefault="00823920" w:rsidP="00823920">
            <w:pPr>
              <w:spacing w:after="0" w:line="240" w:lineRule="auto"/>
              <w:rPr>
                <w:rFonts w:ascii="Calibri" w:eastAsia="Times New Roman" w:hAnsi="Calibri" w:cs="Calibri"/>
                <w:b/>
                <w:bCs/>
                <w:color w:val="000000"/>
                <w:sz w:val="18"/>
                <w:szCs w:val="18"/>
                <w:lang/>
              </w:rPr>
            </w:pPr>
            <w:r w:rsidRPr="00823920">
              <w:rPr>
                <w:rFonts w:ascii="Calibri" w:eastAsia="Times New Roman" w:hAnsi="Calibri" w:cs="Calibri"/>
                <w:b/>
                <w:bCs/>
                <w:color w:val="000000"/>
                <w:sz w:val="18"/>
                <w:szCs w:val="18"/>
                <w:lang/>
              </w:rPr>
              <w:t>Intermediate</w:t>
            </w:r>
          </w:p>
        </w:tc>
        <w:tc>
          <w:tcPr>
            <w:tcW w:w="2294" w:type="dxa"/>
            <w:tcBorders>
              <w:top w:val="nil"/>
              <w:left w:val="nil"/>
              <w:bottom w:val="nil"/>
              <w:right w:val="nil"/>
            </w:tcBorders>
            <w:shd w:val="clear" w:color="auto" w:fill="auto"/>
            <w:noWrap/>
            <w:vAlign w:val="bottom"/>
            <w:hideMark/>
          </w:tcPr>
          <w:p w14:paraId="1F07EBE3" w14:textId="77777777" w:rsidR="00823920" w:rsidRPr="00823920" w:rsidRDefault="00823920" w:rsidP="00823920">
            <w:pPr>
              <w:spacing w:after="0" w:line="240" w:lineRule="auto"/>
              <w:rPr>
                <w:rFonts w:ascii="Calibri" w:eastAsia="Times New Roman" w:hAnsi="Calibri" w:cs="Calibri"/>
                <w:b/>
                <w:bCs/>
                <w:color w:val="000000"/>
                <w:sz w:val="18"/>
                <w:szCs w:val="18"/>
                <w:lang/>
              </w:rPr>
            </w:pPr>
          </w:p>
        </w:tc>
        <w:tc>
          <w:tcPr>
            <w:tcW w:w="2160" w:type="dxa"/>
            <w:tcBorders>
              <w:top w:val="nil"/>
              <w:left w:val="nil"/>
              <w:bottom w:val="nil"/>
              <w:right w:val="nil"/>
            </w:tcBorders>
            <w:shd w:val="clear" w:color="auto" w:fill="auto"/>
            <w:noWrap/>
            <w:vAlign w:val="bottom"/>
            <w:hideMark/>
          </w:tcPr>
          <w:p w14:paraId="0DF11BD0" w14:textId="77777777" w:rsidR="00823920" w:rsidRPr="00823920" w:rsidRDefault="00823920" w:rsidP="00823920">
            <w:pPr>
              <w:spacing w:after="0" w:line="240" w:lineRule="auto"/>
              <w:rPr>
                <w:rFonts w:ascii="Times New Roman" w:eastAsia="Times New Roman" w:hAnsi="Times New Roman" w:cs="Times New Roman"/>
                <w:sz w:val="18"/>
                <w:szCs w:val="18"/>
                <w:lang/>
              </w:rPr>
            </w:pPr>
          </w:p>
        </w:tc>
        <w:tc>
          <w:tcPr>
            <w:tcW w:w="1364" w:type="dxa"/>
            <w:tcBorders>
              <w:top w:val="nil"/>
              <w:left w:val="nil"/>
              <w:bottom w:val="nil"/>
              <w:right w:val="nil"/>
            </w:tcBorders>
            <w:shd w:val="clear" w:color="auto" w:fill="auto"/>
            <w:noWrap/>
            <w:vAlign w:val="bottom"/>
            <w:hideMark/>
          </w:tcPr>
          <w:p w14:paraId="75C4C4D0" w14:textId="77777777" w:rsidR="00823920" w:rsidRPr="00823920" w:rsidRDefault="00823920" w:rsidP="00823920">
            <w:pPr>
              <w:spacing w:after="0" w:line="240" w:lineRule="auto"/>
              <w:rPr>
                <w:rFonts w:ascii="Times New Roman" w:eastAsia="Times New Roman" w:hAnsi="Times New Roman" w:cs="Times New Roman"/>
                <w:sz w:val="18"/>
                <w:szCs w:val="18"/>
                <w:lang/>
              </w:rPr>
            </w:pPr>
          </w:p>
        </w:tc>
      </w:tr>
      <w:tr w:rsidR="005611C7" w:rsidRPr="00823920" w14:paraId="266876F2" w14:textId="77777777" w:rsidTr="00823920">
        <w:trPr>
          <w:trHeight w:val="20"/>
        </w:trPr>
        <w:tc>
          <w:tcPr>
            <w:tcW w:w="1418" w:type="dxa"/>
            <w:tcBorders>
              <w:top w:val="nil"/>
              <w:left w:val="nil"/>
              <w:bottom w:val="nil"/>
              <w:right w:val="nil"/>
            </w:tcBorders>
            <w:shd w:val="clear" w:color="auto" w:fill="auto"/>
            <w:noWrap/>
            <w:vAlign w:val="bottom"/>
            <w:hideMark/>
          </w:tcPr>
          <w:p w14:paraId="00D253A4" w14:textId="77777777" w:rsidR="005611C7" w:rsidRPr="00823920" w:rsidRDefault="005611C7" w:rsidP="005611C7">
            <w:pPr>
              <w:spacing w:after="0" w:line="240" w:lineRule="auto"/>
              <w:rPr>
                <w:rFonts w:ascii="Times New Roman" w:eastAsia="Times New Roman" w:hAnsi="Times New Roman" w:cs="Times New Roman"/>
                <w:sz w:val="18"/>
                <w:szCs w:val="18"/>
                <w:lang/>
              </w:rPr>
            </w:pPr>
          </w:p>
        </w:tc>
        <w:tc>
          <w:tcPr>
            <w:tcW w:w="1134" w:type="dxa"/>
            <w:tcBorders>
              <w:top w:val="nil"/>
              <w:left w:val="nil"/>
              <w:bottom w:val="nil"/>
              <w:right w:val="nil"/>
            </w:tcBorders>
            <w:shd w:val="clear" w:color="auto" w:fill="auto"/>
            <w:noWrap/>
            <w:vAlign w:val="bottom"/>
            <w:hideMark/>
          </w:tcPr>
          <w:p w14:paraId="1FDF6F2E" w14:textId="672D7017"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2 (0·3%)</w:t>
            </w:r>
          </w:p>
        </w:tc>
        <w:tc>
          <w:tcPr>
            <w:tcW w:w="2294" w:type="dxa"/>
            <w:tcBorders>
              <w:top w:val="nil"/>
              <w:left w:val="nil"/>
              <w:bottom w:val="nil"/>
              <w:right w:val="nil"/>
            </w:tcBorders>
            <w:shd w:val="clear" w:color="auto" w:fill="auto"/>
            <w:noWrap/>
            <w:vAlign w:val="bottom"/>
            <w:hideMark/>
          </w:tcPr>
          <w:p w14:paraId="59B8FED1"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G118R</w:t>
            </w:r>
          </w:p>
        </w:tc>
        <w:tc>
          <w:tcPr>
            <w:tcW w:w="2160" w:type="dxa"/>
            <w:tcBorders>
              <w:top w:val="nil"/>
              <w:left w:val="nil"/>
              <w:bottom w:val="nil"/>
              <w:right w:val="nil"/>
            </w:tcBorders>
            <w:shd w:val="clear" w:color="auto" w:fill="auto"/>
            <w:noWrap/>
            <w:vAlign w:val="bottom"/>
            <w:hideMark/>
          </w:tcPr>
          <w:p w14:paraId="29148BBB"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1364" w:type="dxa"/>
            <w:tcBorders>
              <w:top w:val="nil"/>
              <w:left w:val="nil"/>
              <w:bottom w:val="nil"/>
              <w:right w:val="nil"/>
            </w:tcBorders>
            <w:shd w:val="clear" w:color="auto" w:fill="auto"/>
            <w:noWrap/>
            <w:vAlign w:val="bottom"/>
            <w:hideMark/>
          </w:tcPr>
          <w:p w14:paraId="14414107"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50</w:t>
            </w:r>
          </w:p>
        </w:tc>
      </w:tr>
      <w:tr w:rsidR="005611C7" w:rsidRPr="00823920" w14:paraId="613FC30C" w14:textId="77777777" w:rsidTr="00823920">
        <w:trPr>
          <w:trHeight w:val="20"/>
        </w:trPr>
        <w:tc>
          <w:tcPr>
            <w:tcW w:w="1418" w:type="dxa"/>
            <w:tcBorders>
              <w:top w:val="nil"/>
              <w:left w:val="nil"/>
              <w:bottom w:val="nil"/>
              <w:right w:val="nil"/>
            </w:tcBorders>
            <w:shd w:val="clear" w:color="auto" w:fill="auto"/>
            <w:noWrap/>
            <w:vAlign w:val="bottom"/>
            <w:hideMark/>
          </w:tcPr>
          <w:p w14:paraId="10A7EDBF"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155864F9" w14:textId="7D7BEF9A"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7B265ADA"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G140GS,Q148R</w:t>
            </w:r>
          </w:p>
        </w:tc>
        <w:tc>
          <w:tcPr>
            <w:tcW w:w="2160" w:type="dxa"/>
            <w:tcBorders>
              <w:top w:val="nil"/>
              <w:left w:val="nil"/>
              <w:bottom w:val="nil"/>
              <w:right w:val="nil"/>
            </w:tcBorders>
            <w:shd w:val="clear" w:color="auto" w:fill="auto"/>
            <w:noWrap/>
            <w:vAlign w:val="bottom"/>
            <w:hideMark/>
          </w:tcPr>
          <w:p w14:paraId="09785875"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D232N</w:t>
            </w:r>
          </w:p>
        </w:tc>
        <w:tc>
          <w:tcPr>
            <w:tcW w:w="1364" w:type="dxa"/>
            <w:tcBorders>
              <w:top w:val="nil"/>
              <w:left w:val="nil"/>
              <w:bottom w:val="nil"/>
              <w:right w:val="nil"/>
            </w:tcBorders>
            <w:shd w:val="clear" w:color="auto" w:fill="auto"/>
            <w:noWrap/>
            <w:vAlign w:val="bottom"/>
            <w:hideMark/>
          </w:tcPr>
          <w:p w14:paraId="68E62C56"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45</w:t>
            </w:r>
          </w:p>
        </w:tc>
      </w:tr>
      <w:tr w:rsidR="005611C7" w:rsidRPr="00823920" w14:paraId="471DFFD7" w14:textId="77777777" w:rsidTr="00823920">
        <w:trPr>
          <w:trHeight w:val="20"/>
        </w:trPr>
        <w:tc>
          <w:tcPr>
            <w:tcW w:w="1418" w:type="dxa"/>
            <w:tcBorders>
              <w:top w:val="nil"/>
              <w:left w:val="nil"/>
              <w:bottom w:val="nil"/>
              <w:right w:val="nil"/>
            </w:tcBorders>
            <w:shd w:val="clear" w:color="auto" w:fill="auto"/>
            <w:noWrap/>
            <w:vAlign w:val="bottom"/>
            <w:hideMark/>
          </w:tcPr>
          <w:p w14:paraId="662A7B19"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06C162D3" w14:textId="2A575E00"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43F8EBFA"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E138EK,S147SG,N155NH</w:t>
            </w:r>
          </w:p>
        </w:tc>
        <w:tc>
          <w:tcPr>
            <w:tcW w:w="2160" w:type="dxa"/>
            <w:tcBorders>
              <w:top w:val="nil"/>
              <w:left w:val="nil"/>
              <w:bottom w:val="nil"/>
              <w:right w:val="nil"/>
            </w:tcBorders>
            <w:shd w:val="clear" w:color="auto" w:fill="auto"/>
            <w:noWrap/>
            <w:vAlign w:val="bottom"/>
            <w:hideMark/>
          </w:tcPr>
          <w:p w14:paraId="3F81BFEB"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Q95QK,T97TA,E157EQ</w:t>
            </w:r>
          </w:p>
        </w:tc>
        <w:tc>
          <w:tcPr>
            <w:tcW w:w="1364" w:type="dxa"/>
            <w:tcBorders>
              <w:top w:val="nil"/>
              <w:left w:val="nil"/>
              <w:bottom w:val="nil"/>
              <w:right w:val="nil"/>
            </w:tcBorders>
            <w:shd w:val="clear" w:color="auto" w:fill="auto"/>
            <w:noWrap/>
            <w:vAlign w:val="bottom"/>
            <w:hideMark/>
          </w:tcPr>
          <w:p w14:paraId="6FAC7C00"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40</w:t>
            </w:r>
          </w:p>
        </w:tc>
      </w:tr>
      <w:tr w:rsidR="005611C7" w:rsidRPr="00823920" w14:paraId="0B1D25A8" w14:textId="77777777" w:rsidTr="00823920">
        <w:trPr>
          <w:trHeight w:val="20"/>
        </w:trPr>
        <w:tc>
          <w:tcPr>
            <w:tcW w:w="1418" w:type="dxa"/>
            <w:tcBorders>
              <w:top w:val="nil"/>
              <w:left w:val="nil"/>
              <w:bottom w:val="nil"/>
              <w:right w:val="nil"/>
            </w:tcBorders>
            <w:shd w:val="clear" w:color="auto" w:fill="auto"/>
            <w:noWrap/>
            <w:vAlign w:val="bottom"/>
            <w:hideMark/>
          </w:tcPr>
          <w:p w14:paraId="64ECAE0D"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66DE057B" w14:textId="34B6F330"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6E853AF0"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E138K,S147G,N155H</w:t>
            </w:r>
          </w:p>
        </w:tc>
        <w:tc>
          <w:tcPr>
            <w:tcW w:w="2160" w:type="dxa"/>
            <w:tcBorders>
              <w:top w:val="nil"/>
              <w:left w:val="nil"/>
              <w:bottom w:val="nil"/>
              <w:right w:val="nil"/>
            </w:tcBorders>
            <w:shd w:val="clear" w:color="auto" w:fill="auto"/>
            <w:noWrap/>
            <w:vAlign w:val="bottom"/>
            <w:hideMark/>
          </w:tcPr>
          <w:p w14:paraId="083301AD"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T97A</w:t>
            </w:r>
          </w:p>
        </w:tc>
        <w:tc>
          <w:tcPr>
            <w:tcW w:w="1364" w:type="dxa"/>
            <w:tcBorders>
              <w:top w:val="nil"/>
              <w:left w:val="nil"/>
              <w:bottom w:val="nil"/>
              <w:right w:val="nil"/>
            </w:tcBorders>
            <w:shd w:val="clear" w:color="auto" w:fill="auto"/>
            <w:noWrap/>
            <w:vAlign w:val="bottom"/>
            <w:hideMark/>
          </w:tcPr>
          <w:p w14:paraId="27D40053"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40</w:t>
            </w:r>
          </w:p>
        </w:tc>
      </w:tr>
      <w:tr w:rsidR="005611C7" w:rsidRPr="00823920" w14:paraId="26BA012E" w14:textId="77777777" w:rsidTr="00823920">
        <w:trPr>
          <w:trHeight w:val="20"/>
        </w:trPr>
        <w:tc>
          <w:tcPr>
            <w:tcW w:w="1418" w:type="dxa"/>
            <w:tcBorders>
              <w:top w:val="nil"/>
              <w:left w:val="nil"/>
              <w:bottom w:val="nil"/>
              <w:right w:val="nil"/>
            </w:tcBorders>
            <w:shd w:val="clear" w:color="auto" w:fill="auto"/>
            <w:noWrap/>
            <w:vAlign w:val="bottom"/>
            <w:hideMark/>
          </w:tcPr>
          <w:p w14:paraId="783A45AA"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6E8F8E54" w14:textId="2C720673"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14542B39"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E92EG,R263RK</w:t>
            </w:r>
          </w:p>
        </w:tc>
        <w:tc>
          <w:tcPr>
            <w:tcW w:w="2160" w:type="dxa"/>
            <w:tcBorders>
              <w:top w:val="nil"/>
              <w:left w:val="nil"/>
              <w:bottom w:val="nil"/>
              <w:right w:val="nil"/>
            </w:tcBorders>
            <w:shd w:val="clear" w:color="auto" w:fill="auto"/>
            <w:noWrap/>
            <w:vAlign w:val="bottom"/>
            <w:hideMark/>
          </w:tcPr>
          <w:p w14:paraId="7C0AE32C"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1364" w:type="dxa"/>
            <w:tcBorders>
              <w:top w:val="nil"/>
              <w:left w:val="nil"/>
              <w:bottom w:val="nil"/>
              <w:right w:val="nil"/>
            </w:tcBorders>
            <w:shd w:val="clear" w:color="auto" w:fill="auto"/>
            <w:noWrap/>
            <w:vAlign w:val="bottom"/>
            <w:hideMark/>
          </w:tcPr>
          <w:p w14:paraId="48BA1B66"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30</w:t>
            </w:r>
          </w:p>
        </w:tc>
      </w:tr>
      <w:tr w:rsidR="005611C7" w:rsidRPr="00823920" w14:paraId="4507D745" w14:textId="77777777" w:rsidTr="00823920">
        <w:trPr>
          <w:trHeight w:val="20"/>
        </w:trPr>
        <w:tc>
          <w:tcPr>
            <w:tcW w:w="1418" w:type="dxa"/>
            <w:tcBorders>
              <w:top w:val="nil"/>
              <w:left w:val="nil"/>
              <w:bottom w:val="nil"/>
              <w:right w:val="nil"/>
            </w:tcBorders>
            <w:shd w:val="clear" w:color="auto" w:fill="auto"/>
            <w:noWrap/>
            <w:vAlign w:val="bottom"/>
            <w:hideMark/>
          </w:tcPr>
          <w:p w14:paraId="48CC157B"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5860EC5E" w14:textId="78EE6409"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1958C671"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E92Q,N155H</w:t>
            </w:r>
          </w:p>
        </w:tc>
        <w:tc>
          <w:tcPr>
            <w:tcW w:w="2160" w:type="dxa"/>
            <w:tcBorders>
              <w:top w:val="nil"/>
              <w:left w:val="nil"/>
              <w:bottom w:val="nil"/>
              <w:right w:val="nil"/>
            </w:tcBorders>
            <w:shd w:val="clear" w:color="auto" w:fill="auto"/>
            <w:noWrap/>
            <w:vAlign w:val="bottom"/>
            <w:hideMark/>
          </w:tcPr>
          <w:p w14:paraId="7DC18CED"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1364" w:type="dxa"/>
            <w:tcBorders>
              <w:top w:val="nil"/>
              <w:left w:val="nil"/>
              <w:bottom w:val="nil"/>
              <w:right w:val="nil"/>
            </w:tcBorders>
            <w:shd w:val="clear" w:color="auto" w:fill="auto"/>
            <w:noWrap/>
            <w:vAlign w:val="bottom"/>
            <w:hideMark/>
          </w:tcPr>
          <w:p w14:paraId="054862ED"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30</w:t>
            </w:r>
          </w:p>
        </w:tc>
      </w:tr>
      <w:tr w:rsidR="005611C7" w:rsidRPr="00823920" w14:paraId="5365FB57" w14:textId="77777777" w:rsidTr="00823920">
        <w:trPr>
          <w:trHeight w:val="20"/>
        </w:trPr>
        <w:tc>
          <w:tcPr>
            <w:tcW w:w="1418" w:type="dxa"/>
            <w:tcBorders>
              <w:top w:val="nil"/>
              <w:left w:val="nil"/>
              <w:bottom w:val="nil"/>
              <w:right w:val="nil"/>
            </w:tcBorders>
            <w:shd w:val="clear" w:color="auto" w:fill="auto"/>
            <w:noWrap/>
            <w:vAlign w:val="bottom"/>
            <w:hideMark/>
          </w:tcPr>
          <w:p w14:paraId="58DA3C3F"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47460FFB" w14:textId="1D3027DD"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65DFFAE1"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N155NH</w:t>
            </w:r>
          </w:p>
        </w:tc>
        <w:tc>
          <w:tcPr>
            <w:tcW w:w="2160" w:type="dxa"/>
            <w:tcBorders>
              <w:top w:val="nil"/>
              <w:left w:val="nil"/>
              <w:bottom w:val="nil"/>
              <w:right w:val="nil"/>
            </w:tcBorders>
            <w:shd w:val="clear" w:color="auto" w:fill="auto"/>
            <w:noWrap/>
            <w:vAlign w:val="bottom"/>
            <w:hideMark/>
          </w:tcPr>
          <w:p w14:paraId="5CA87CC0"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Q146QR,S230SR</w:t>
            </w:r>
          </w:p>
        </w:tc>
        <w:tc>
          <w:tcPr>
            <w:tcW w:w="1364" w:type="dxa"/>
            <w:tcBorders>
              <w:top w:val="nil"/>
              <w:left w:val="nil"/>
              <w:bottom w:val="nil"/>
              <w:right w:val="nil"/>
            </w:tcBorders>
            <w:shd w:val="clear" w:color="auto" w:fill="auto"/>
            <w:noWrap/>
            <w:vAlign w:val="bottom"/>
            <w:hideMark/>
          </w:tcPr>
          <w:p w14:paraId="46C6CAFC"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30</w:t>
            </w:r>
          </w:p>
        </w:tc>
      </w:tr>
      <w:tr w:rsidR="005611C7" w:rsidRPr="00823920" w14:paraId="4C57E093" w14:textId="77777777" w:rsidTr="00823920">
        <w:trPr>
          <w:trHeight w:val="20"/>
        </w:trPr>
        <w:tc>
          <w:tcPr>
            <w:tcW w:w="1418" w:type="dxa"/>
            <w:tcBorders>
              <w:top w:val="nil"/>
              <w:left w:val="nil"/>
              <w:bottom w:val="nil"/>
              <w:right w:val="nil"/>
            </w:tcBorders>
            <w:shd w:val="clear" w:color="auto" w:fill="auto"/>
            <w:noWrap/>
            <w:vAlign w:val="bottom"/>
            <w:hideMark/>
          </w:tcPr>
          <w:p w14:paraId="0A6811A0"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5578D282" w14:textId="5CA1A624"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1730A596"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R263K</w:t>
            </w:r>
          </w:p>
        </w:tc>
        <w:tc>
          <w:tcPr>
            <w:tcW w:w="2160" w:type="dxa"/>
            <w:tcBorders>
              <w:top w:val="nil"/>
              <w:left w:val="nil"/>
              <w:bottom w:val="nil"/>
              <w:right w:val="nil"/>
            </w:tcBorders>
            <w:shd w:val="clear" w:color="auto" w:fill="auto"/>
            <w:noWrap/>
            <w:vAlign w:val="bottom"/>
            <w:hideMark/>
          </w:tcPr>
          <w:p w14:paraId="404D3599"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A49G,D232DN</w:t>
            </w:r>
          </w:p>
        </w:tc>
        <w:tc>
          <w:tcPr>
            <w:tcW w:w="1364" w:type="dxa"/>
            <w:tcBorders>
              <w:top w:val="nil"/>
              <w:left w:val="nil"/>
              <w:bottom w:val="nil"/>
              <w:right w:val="nil"/>
            </w:tcBorders>
            <w:shd w:val="clear" w:color="auto" w:fill="auto"/>
            <w:noWrap/>
            <w:vAlign w:val="bottom"/>
            <w:hideMark/>
          </w:tcPr>
          <w:p w14:paraId="6D0DFAB5"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30</w:t>
            </w:r>
          </w:p>
        </w:tc>
      </w:tr>
      <w:tr w:rsidR="005611C7" w:rsidRPr="00823920" w14:paraId="42E1D83E" w14:textId="77777777" w:rsidTr="00823920">
        <w:trPr>
          <w:trHeight w:val="20"/>
        </w:trPr>
        <w:tc>
          <w:tcPr>
            <w:tcW w:w="1418" w:type="dxa"/>
            <w:tcBorders>
              <w:top w:val="nil"/>
              <w:left w:val="nil"/>
              <w:bottom w:val="nil"/>
              <w:right w:val="nil"/>
            </w:tcBorders>
            <w:shd w:val="clear" w:color="auto" w:fill="auto"/>
            <w:noWrap/>
            <w:vAlign w:val="bottom"/>
            <w:hideMark/>
          </w:tcPr>
          <w:p w14:paraId="624F33C1"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1381507A" w14:textId="1729AF3F"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6 (0·8%)</w:t>
            </w:r>
          </w:p>
        </w:tc>
        <w:tc>
          <w:tcPr>
            <w:tcW w:w="2294" w:type="dxa"/>
            <w:tcBorders>
              <w:top w:val="nil"/>
              <w:left w:val="nil"/>
              <w:bottom w:val="nil"/>
              <w:right w:val="nil"/>
            </w:tcBorders>
            <w:shd w:val="clear" w:color="auto" w:fill="auto"/>
            <w:noWrap/>
            <w:vAlign w:val="bottom"/>
            <w:hideMark/>
          </w:tcPr>
          <w:p w14:paraId="62F9183B"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R263K</w:t>
            </w:r>
          </w:p>
        </w:tc>
        <w:tc>
          <w:tcPr>
            <w:tcW w:w="2160" w:type="dxa"/>
            <w:tcBorders>
              <w:top w:val="nil"/>
              <w:left w:val="nil"/>
              <w:bottom w:val="nil"/>
              <w:right w:val="nil"/>
            </w:tcBorders>
            <w:shd w:val="clear" w:color="auto" w:fill="auto"/>
            <w:noWrap/>
            <w:vAlign w:val="bottom"/>
            <w:hideMark/>
          </w:tcPr>
          <w:p w14:paraId="09238D51"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1364" w:type="dxa"/>
            <w:tcBorders>
              <w:top w:val="nil"/>
              <w:left w:val="nil"/>
              <w:bottom w:val="nil"/>
              <w:right w:val="nil"/>
            </w:tcBorders>
            <w:shd w:val="clear" w:color="auto" w:fill="auto"/>
            <w:noWrap/>
            <w:vAlign w:val="bottom"/>
            <w:hideMark/>
          </w:tcPr>
          <w:p w14:paraId="33F115E6"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30</w:t>
            </w:r>
          </w:p>
        </w:tc>
      </w:tr>
      <w:tr w:rsidR="005611C7" w:rsidRPr="00823920" w14:paraId="6804CE34" w14:textId="77777777" w:rsidTr="00823920">
        <w:trPr>
          <w:trHeight w:val="20"/>
        </w:trPr>
        <w:tc>
          <w:tcPr>
            <w:tcW w:w="1418" w:type="dxa"/>
            <w:tcBorders>
              <w:top w:val="nil"/>
              <w:left w:val="nil"/>
              <w:bottom w:val="single" w:sz="4" w:space="0" w:color="auto"/>
              <w:right w:val="nil"/>
            </w:tcBorders>
            <w:shd w:val="clear" w:color="auto" w:fill="auto"/>
            <w:noWrap/>
            <w:vAlign w:val="bottom"/>
            <w:hideMark/>
          </w:tcPr>
          <w:p w14:paraId="6D31AB7F" w14:textId="77777777" w:rsidR="005611C7" w:rsidRPr="00823920" w:rsidRDefault="005611C7" w:rsidP="005611C7">
            <w:pPr>
              <w:spacing w:after="0" w:line="240" w:lineRule="auto"/>
              <w:rPr>
                <w:rFonts w:ascii="Calibri" w:eastAsia="Times New Roman" w:hAnsi="Calibri" w:cs="Calibri"/>
                <w:b/>
                <w:bCs/>
                <w:color w:val="000000"/>
                <w:sz w:val="18"/>
                <w:szCs w:val="18"/>
                <w:lang/>
              </w:rPr>
            </w:pPr>
            <w:r w:rsidRPr="00823920">
              <w:rPr>
                <w:rFonts w:ascii="Calibri" w:eastAsia="Times New Roman" w:hAnsi="Calibri" w:cs="Calibri"/>
                <w:b/>
                <w:bCs/>
                <w:color w:val="000000"/>
                <w:sz w:val="18"/>
                <w:szCs w:val="18"/>
                <w:lang/>
              </w:rPr>
              <w:t> </w:t>
            </w:r>
          </w:p>
        </w:tc>
        <w:tc>
          <w:tcPr>
            <w:tcW w:w="1134" w:type="dxa"/>
            <w:tcBorders>
              <w:top w:val="nil"/>
              <w:left w:val="nil"/>
              <w:bottom w:val="single" w:sz="4" w:space="0" w:color="auto"/>
              <w:right w:val="nil"/>
            </w:tcBorders>
            <w:shd w:val="clear" w:color="auto" w:fill="auto"/>
            <w:noWrap/>
            <w:vAlign w:val="bottom"/>
            <w:hideMark/>
          </w:tcPr>
          <w:p w14:paraId="258D1356" w14:textId="4425E88A"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3 (0·4%)</w:t>
            </w:r>
          </w:p>
        </w:tc>
        <w:tc>
          <w:tcPr>
            <w:tcW w:w="2294" w:type="dxa"/>
            <w:tcBorders>
              <w:top w:val="nil"/>
              <w:left w:val="nil"/>
              <w:bottom w:val="single" w:sz="4" w:space="0" w:color="auto"/>
              <w:right w:val="nil"/>
            </w:tcBorders>
            <w:shd w:val="clear" w:color="auto" w:fill="auto"/>
            <w:noWrap/>
            <w:vAlign w:val="bottom"/>
            <w:hideMark/>
          </w:tcPr>
          <w:p w14:paraId="302B88CF"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R263RK</w:t>
            </w:r>
          </w:p>
        </w:tc>
        <w:tc>
          <w:tcPr>
            <w:tcW w:w="2160" w:type="dxa"/>
            <w:tcBorders>
              <w:top w:val="nil"/>
              <w:left w:val="nil"/>
              <w:bottom w:val="single" w:sz="4" w:space="0" w:color="auto"/>
              <w:right w:val="nil"/>
            </w:tcBorders>
            <w:shd w:val="clear" w:color="auto" w:fill="auto"/>
            <w:noWrap/>
            <w:vAlign w:val="bottom"/>
            <w:hideMark/>
          </w:tcPr>
          <w:p w14:paraId="112C3A61"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1364" w:type="dxa"/>
            <w:tcBorders>
              <w:top w:val="nil"/>
              <w:left w:val="nil"/>
              <w:bottom w:val="single" w:sz="4" w:space="0" w:color="auto"/>
              <w:right w:val="nil"/>
            </w:tcBorders>
            <w:shd w:val="clear" w:color="auto" w:fill="auto"/>
            <w:noWrap/>
            <w:vAlign w:val="bottom"/>
            <w:hideMark/>
          </w:tcPr>
          <w:p w14:paraId="68C85229"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30</w:t>
            </w:r>
          </w:p>
        </w:tc>
      </w:tr>
      <w:tr w:rsidR="00823920" w:rsidRPr="00823920" w14:paraId="584097C5" w14:textId="77777777" w:rsidTr="00823920">
        <w:trPr>
          <w:trHeight w:val="20"/>
        </w:trPr>
        <w:tc>
          <w:tcPr>
            <w:tcW w:w="1418" w:type="dxa"/>
            <w:tcBorders>
              <w:top w:val="nil"/>
              <w:left w:val="nil"/>
              <w:bottom w:val="nil"/>
              <w:right w:val="nil"/>
            </w:tcBorders>
            <w:shd w:val="clear" w:color="auto" w:fill="auto"/>
            <w:noWrap/>
            <w:vAlign w:val="bottom"/>
            <w:hideMark/>
          </w:tcPr>
          <w:p w14:paraId="1B677C88" w14:textId="77777777" w:rsidR="00823920" w:rsidRPr="00823920" w:rsidRDefault="00823920" w:rsidP="00823920">
            <w:pPr>
              <w:spacing w:after="0" w:line="240" w:lineRule="auto"/>
              <w:rPr>
                <w:rFonts w:ascii="Calibri" w:eastAsia="Times New Roman" w:hAnsi="Calibri" w:cs="Calibri"/>
                <w:b/>
                <w:bCs/>
                <w:color w:val="000000"/>
                <w:sz w:val="18"/>
                <w:szCs w:val="18"/>
                <w:lang/>
              </w:rPr>
            </w:pPr>
            <w:r w:rsidRPr="00823920">
              <w:rPr>
                <w:rFonts w:ascii="Calibri" w:eastAsia="Times New Roman" w:hAnsi="Calibri" w:cs="Calibri"/>
                <w:b/>
                <w:bCs/>
                <w:color w:val="000000"/>
                <w:sz w:val="18"/>
                <w:szCs w:val="18"/>
                <w:lang/>
              </w:rPr>
              <w:t>Low</w:t>
            </w:r>
          </w:p>
        </w:tc>
        <w:tc>
          <w:tcPr>
            <w:tcW w:w="1134" w:type="dxa"/>
            <w:tcBorders>
              <w:top w:val="nil"/>
              <w:left w:val="nil"/>
              <w:bottom w:val="nil"/>
              <w:right w:val="nil"/>
            </w:tcBorders>
            <w:shd w:val="clear" w:color="auto" w:fill="auto"/>
            <w:noWrap/>
            <w:vAlign w:val="bottom"/>
            <w:hideMark/>
          </w:tcPr>
          <w:p w14:paraId="6C212680" w14:textId="77777777" w:rsidR="00823920" w:rsidRPr="00823920" w:rsidRDefault="00823920" w:rsidP="00823920">
            <w:pPr>
              <w:spacing w:after="0" w:line="240" w:lineRule="auto"/>
              <w:rPr>
                <w:rFonts w:ascii="Calibri" w:eastAsia="Times New Roman" w:hAnsi="Calibri" w:cs="Calibri"/>
                <w:b/>
                <w:bCs/>
                <w:color w:val="000000"/>
                <w:sz w:val="18"/>
                <w:szCs w:val="18"/>
                <w:lang/>
              </w:rPr>
            </w:pPr>
          </w:p>
        </w:tc>
        <w:tc>
          <w:tcPr>
            <w:tcW w:w="2294" w:type="dxa"/>
            <w:tcBorders>
              <w:top w:val="nil"/>
              <w:left w:val="nil"/>
              <w:bottom w:val="nil"/>
              <w:right w:val="nil"/>
            </w:tcBorders>
            <w:shd w:val="clear" w:color="auto" w:fill="auto"/>
            <w:noWrap/>
            <w:vAlign w:val="bottom"/>
            <w:hideMark/>
          </w:tcPr>
          <w:p w14:paraId="4ECEE613" w14:textId="77777777" w:rsidR="00823920" w:rsidRPr="00823920" w:rsidRDefault="00823920" w:rsidP="00823920">
            <w:pPr>
              <w:spacing w:after="0" w:line="240" w:lineRule="auto"/>
              <w:rPr>
                <w:rFonts w:ascii="Times New Roman" w:eastAsia="Times New Roman" w:hAnsi="Times New Roman" w:cs="Times New Roman"/>
                <w:sz w:val="18"/>
                <w:szCs w:val="18"/>
                <w:lang/>
              </w:rPr>
            </w:pPr>
          </w:p>
        </w:tc>
        <w:tc>
          <w:tcPr>
            <w:tcW w:w="2160" w:type="dxa"/>
            <w:tcBorders>
              <w:top w:val="nil"/>
              <w:left w:val="nil"/>
              <w:bottom w:val="nil"/>
              <w:right w:val="nil"/>
            </w:tcBorders>
            <w:shd w:val="clear" w:color="auto" w:fill="auto"/>
            <w:noWrap/>
            <w:vAlign w:val="bottom"/>
            <w:hideMark/>
          </w:tcPr>
          <w:p w14:paraId="725D3E31" w14:textId="77777777" w:rsidR="00823920" w:rsidRPr="00823920" w:rsidRDefault="00823920" w:rsidP="00823920">
            <w:pPr>
              <w:spacing w:after="0" w:line="240" w:lineRule="auto"/>
              <w:rPr>
                <w:rFonts w:ascii="Times New Roman" w:eastAsia="Times New Roman" w:hAnsi="Times New Roman" w:cs="Times New Roman"/>
                <w:sz w:val="18"/>
                <w:szCs w:val="18"/>
                <w:lang/>
              </w:rPr>
            </w:pPr>
          </w:p>
        </w:tc>
        <w:tc>
          <w:tcPr>
            <w:tcW w:w="1364" w:type="dxa"/>
            <w:tcBorders>
              <w:top w:val="nil"/>
              <w:left w:val="nil"/>
              <w:bottom w:val="nil"/>
              <w:right w:val="nil"/>
            </w:tcBorders>
            <w:shd w:val="clear" w:color="auto" w:fill="auto"/>
            <w:noWrap/>
            <w:vAlign w:val="bottom"/>
            <w:hideMark/>
          </w:tcPr>
          <w:p w14:paraId="7E27CF17" w14:textId="77777777" w:rsidR="00823920" w:rsidRPr="00823920" w:rsidRDefault="00823920" w:rsidP="00823920">
            <w:pPr>
              <w:spacing w:after="0" w:line="240" w:lineRule="auto"/>
              <w:rPr>
                <w:rFonts w:ascii="Times New Roman" w:eastAsia="Times New Roman" w:hAnsi="Times New Roman" w:cs="Times New Roman"/>
                <w:sz w:val="18"/>
                <w:szCs w:val="18"/>
                <w:lang/>
              </w:rPr>
            </w:pPr>
          </w:p>
        </w:tc>
      </w:tr>
      <w:tr w:rsidR="005611C7" w:rsidRPr="00823920" w14:paraId="196E89B3" w14:textId="77777777" w:rsidTr="00823920">
        <w:trPr>
          <w:trHeight w:val="20"/>
        </w:trPr>
        <w:tc>
          <w:tcPr>
            <w:tcW w:w="1418" w:type="dxa"/>
            <w:tcBorders>
              <w:top w:val="nil"/>
              <w:left w:val="nil"/>
              <w:bottom w:val="nil"/>
              <w:right w:val="nil"/>
            </w:tcBorders>
            <w:shd w:val="clear" w:color="auto" w:fill="auto"/>
            <w:noWrap/>
            <w:vAlign w:val="bottom"/>
            <w:hideMark/>
          </w:tcPr>
          <w:p w14:paraId="410B487E" w14:textId="77777777" w:rsidR="005611C7" w:rsidRPr="00823920" w:rsidRDefault="005611C7" w:rsidP="005611C7">
            <w:pPr>
              <w:spacing w:after="0" w:line="240" w:lineRule="auto"/>
              <w:rPr>
                <w:rFonts w:ascii="Times New Roman" w:eastAsia="Times New Roman" w:hAnsi="Times New Roman" w:cs="Times New Roman"/>
                <w:sz w:val="18"/>
                <w:szCs w:val="18"/>
                <w:lang/>
              </w:rPr>
            </w:pPr>
          </w:p>
        </w:tc>
        <w:tc>
          <w:tcPr>
            <w:tcW w:w="1134" w:type="dxa"/>
            <w:tcBorders>
              <w:top w:val="nil"/>
              <w:left w:val="nil"/>
              <w:bottom w:val="nil"/>
              <w:right w:val="nil"/>
            </w:tcBorders>
            <w:shd w:val="clear" w:color="auto" w:fill="auto"/>
            <w:noWrap/>
            <w:vAlign w:val="bottom"/>
            <w:hideMark/>
          </w:tcPr>
          <w:p w14:paraId="68E8E123" w14:textId="2BF628E7" w:rsidR="005611C7" w:rsidRPr="00823920" w:rsidRDefault="005611C7" w:rsidP="005611C7">
            <w:pPr>
              <w:spacing w:after="0" w:line="240" w:lineRule="auto"/>
              <w:rPr>
                <w:rFonts w:ascii="Calibri" w:eastAsia="Times New Roman" w:hAnsi="Calibri" w:cs="Calibri"/>
                <w:color w:val="000000"/>
                <w:sz w:val="18"/>
                <w:szCs w:val="18"/>
                <w:lang/>
              </w:rPr>
            </w:pPr>
            <w:r>
              <w:rPr>
                <w:rFonts w:ascii="Calibri" w:hAnsi="Calibri" w:cs="Calibri"/>
                <w:color w:val="000000"/>
              </w:rPr>
              <w:t>1 (0·1%)</w:t>
            </w:r>
          </w:p>
        </w:tc>
        <w:tc>
          <w:tcPr>
            <w:tcW w:w="2294" w:type="dxa"/>
            <w:tcBorders>
              <w:top w:val="nil"/>
              <w:left w:val="nil"/>
              <w:bottom w:val="nil"/>
              <w:right w:val="nil"/>
            </w:tcBorders>
            <w:shd w:val="clear" w:color="auto" w:fill="auto"/>
            <w:noWrap/>
            <w:vAlign w:val="bottom"/>
            <w:hideMark/>
          </w:tcPr>
          <w:p w14:paraId="4911F3F9"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E138EK,G140GEKR</w:t>
            </w:r>
          </w:p>
        </w:tc>
        <w:tc>
          <w:tcPr>
            <w:tcW w:w="2160" w:type="dxa"/>
            <w:tcBorders>
              <w:top w:val="nil"/>
              <w:left w:val="nil"/>
              <w:bottom w:val="nil"/>
              <w:right w:val="nil"/>
            </w:tcBorders>
            <w:shd w:val="clear" w:color="auto" w:fill="auto"/>
            <w:noWrap/>
            <w:vAlign w:val="bottom"/>
            <w:hideMark/>
          </w:tcPr>
          <w:p w14:paraId="50C985C0"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1364" w:type="dxa"/>
            <w:tcBorders>
              <w:top w:val="nil"/>
              <w:left w:val="nil"/>
              <w:bottom w:val="nil"/>
              <w:right w:val="nil"/>
            </w:tcBorders>
            <w:shd w:val="clear" w:color="auto" w:fill="auto"/>
            <w:noWrap/>
            <w:vAlign w:val="bottom"/>
            <w:hideMark/>
          </w:tcPr>
          <w:p w14:paraId="5E1CFEF9"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20</w:t>
            </w:r>
          </w:p>
        </w:tc>
      </w:tr>
      <w:tr w:rsidR="005611C7" w:rsidRPr="00823920" w14:paraId="46D03407" w14:textId="77777777" w:rsidTr="00823920">
        <w:trPr>
          <w:trHeight w:val="20"/>
        </w:trPr>
        <w:tc>
          <w:tcPr>
            <w:tcW w:w="1418" w:type="dxa"/>
            <w:tcBorders>
              <w:top w:val="nil"/>
              <w:left w:val="nil"/>
              <w:bottom w:val="nil"/>
              <w:right w:val="nil"/>
            </w:tcBorders>
            <w:shd w:val="clear" w:color="auto" w:fill="auto"/>
            <w:noWrap/>
            <w:vAlign w:val="bottom"/>
            <w:hideMark/>
          </w:tcPr>
          <w:p w14:paraId="40A55971"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22650D7C" w14:textId="1E6C8C53" w:rsidR="005611C7" w:rsidRPr="00823920" w:rsidRDefault="005611C7" w:rsidP="005611C7">
            <w:pPr>
              <w:spacing w:after="0" w:line="240" w:lineRule="auto"/>
              <w:rPr>
                <w:rFonts w:ascii="Calibri" w:eastAsia="Times New Roman" w:hAnsi="Calibri" w:cs="Calibri"/>
                <w:color w:val="000000"/>
                <w:sz w:val="18"/>
                <w:szCs w:val="18"/>
                <w:lang/>
              </w:rPr>
            </w:pPr>
            <w:r>
              <w:rPr>
                <w:rFonts w:ascii="Calibri" w:hAnsi="Calibri" w:cs="Calibri"/>
                <w:color w:val="000000"/>
              </w:rPr>
              <w:t>1 (0·1%)</w:t>
            </w:r>
          </w:p>
        </w:tc>
        <w:tc>
          <w:tcPr>
            <w:tcW w:w="2294" w:type="dxa"/>
            <w:tcBorders>
              <w:top w:val="nil"/>
              <w:left w:val="nil"/>
              <w:bottom w:val="nil"/>
              <w:right w:val="nil"/>
            </w:tcBorders>
            <w:shd w:val="clear" w:color="auto" w:fill="auto"/>
            <w:noWrap/>
            <w:vAlign w:val="bottom"/>
            <w:hideMark/>
          </w:tcPr>
          <w:p w14:paraId="19C301D3"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N155H</w:t>
            </w:r>
          </w:p>
        </w:tc>
        <w:tc>
          <w:tcPr>
            <w:tcW w:w="2160" w:type="dxa"/>
            <w:tcBorders>
              <w:top w:val="nil"/>
              <w:left w:val="nil"/>
              <w:bottom w:val="nil"/>
              <w:right w:val="nil"/>
            </w:tcBorders>
            <w:shd w:val="clear" w:color="auto" w:fill="auto"/>
            <w:noWrap/>
            <w:vAlign w:val="bottom"/>
            <w:hideMark/>
          </w:tcPr>
          <w:p w14:paraId="6929C2D5"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H51HY,T97A</w:t>
            </w:r>
          </w:p>
        </w:tc>
        <w:tc>
          <w:tcPr>
            <w:tcW w:w="1364" w:type="dxa"/>
            <w:tcBorders>
              <w:top w:val="nil"/>
              <w:left w:val="nil"/>
              <w:bottom w:val="nil"/>
              <w:right w:val="nil"/>
            </w:tcBorders>
            <w:shd w:val="clear" w:color="auto" w:fill="auto"/>
            <w:noWrap/>
            <w:vAlign w:val="bottom"/>
            <w:hideMark/>
          </w:tcPr>
          <w:p w14:paraId="022454A7"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20</w:t>
            </w:r>
          </w:p>
        </w:tc>
      </w:tr>
      <w:tr w:rsidR="005611C7" w:rsidRPr="00823920" w14:paraId="18D11B4B" w14:textId="77777777" w:rsidTr="00823920">
        <w:trPr>
          <w:trHeight w:val="20"/>
        </w:trPr>
        <w:tc>
          <w:tcPr>
            <w:tcW w:w="1418" w:type="dxa"/>
            <w:tcBorders>
              <w:top w:val="nil"/>
              <w:left w:val="nil"/>
              <w:bottom w:val="nil"/>
              <w:right w:val="nil"/>
            </w:tcBorders>
            <w:shd w:val="clear" w:color="auto" w:fill="auto"/>
            <w:noWrap/>
            <w:vAlign w:val="bottom"/>
            <w:hideMark/>
          </w:tcPr>
          <w:p w14:paraId="3C68D493"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1CAFE8B1" w14:textId="2AB24248" w:rsidR="005611C7" w:rsidRPr="00823920" w:rsidRDefault="005611C7" w:rsidP="005611C7">
            <w:pPr>
              <w:spacing w:after="0" w:line="240" w:lineRule="auto"/>
              <w:rPr>
                <w:rFonts w:ascii="Calibri" w:eastAsia="Times New Roman" w:hAnsi="Calibri" w:cs="Calibri"/>
                <w:color w:val="000000"/>
                <w:sz w:val="18"/>
                <w:szCs w:val="18"/>
                <w:lang/>
              </w:rPr>
            </w:pPr>
            <w:r>
              <w:rPr>
                <w:rFonts w:ascii="Calibri" w:hAnsi="Calibri" w:cs="Calibri"/>
                <w:color w:val="000000"/>
              </w:rPr>
              <w:t>1 (0·1%)</w:t>
            </w:r>
          </w:p>
        </w:tc>
        <w:tc>
          <w:tcPr>
            <w:tcW w:w="2294" w:type="dxa"/>
            <w:tcBorders>
              <w:top w:val="nil"/>
              <w:left w:val="nil"/>
              <w:bottom w:val="nil"/>
              <w:right w:val="nil"/>
            </w:tcBorders>
            <w:shd w:val="clear" w:color="auto" w:fill="auto"/>
            <w:noWrap/>
            <w:vAlign w:val="bottom"/>
            <w:hideMark/>
          </w:tcPr>
          <w:p w14:paraId="237E8740"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2160" w:type="dxa"/>
            <w:tcBorders>
              <w:top w:val="nil"/>
              <w:left w:val="nil"/>
              <w:bottom w:val="nil"/>
              <w:right w:val="nil"/>
            </w:tcBorders>
            <w:shd w:val="clear" w:color="auto" w:fill="auto"/>
            <w:noWrap/>
            <w:vAlign w:val="bottom"/>
            <w:hideMark/>
          </w:tcPr>
          <w:p w14:paraId="48175786"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E157EQ,S230R</w:t>
            </w:r>
          </w:p>
        </w:tc>
        <w:tc>
          <w:tcPr>
            <w:tcW w:w="1364" w:type="dxa"/>
            <w:tcBorders>
              <w:top w:val="nil"/>
              <w:left w:val="nil"/>
              <w:bottom w:val="nil"/>
              <w:right w:val="nil"/>
            </w:tcBorders>
            <w:shd w:val="clear" w:color="auto" w:fill="auto"/>
            <w:noWrap/>
            <w:vAlign w:val="bottom"/>
            <w:hideMark/>
          </w:tcPr>
          <w:p w14:paraId="42858F23"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20</w:t>
            </w:r>
          </w:p>
        </w:tc>
      </w:tr>
      <w:tr w:rsidR="005611C7" w:rsidRPr="00823920" w14:paraId="14DE45E9" w14:textId="77777777" w:rsidTr="00823920">
        <w:trPr>
          <w:trHeight w:val="20"/>
        </w:trPr>
        <w:tc>
          <w:tcPr>
            <w:tcW w:w="1418" w:type="dxa"/>
            <w:tcBorders>
              <w:top w:val="nil"/>
              <w:left w:val="nil"/>
              <w:bottom w:val="nil"/>
              <w:right w:val="nil"/>
            </w:tcBorders>
            <w:shd w:val="clear" w:color="auto" w:fill="auto"/>
            <w:noWrap/>
            <w:vAlign w:val="bottom"/>
            <w:hideMark/>
          </w:tcPr>
          <w:p w14:paraId="2910BD1A"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02335269" w14:textId="4FABBF59" w:rsidR="005611C7" w:rsidRPr="00823920" w:rsidRDefault="005611C7" w:rsidP="005611C7">
            <w:pPr>
              <w:spacing w:after="0" w:line="240" w:lineRule="auto"/>
              <w:rPr>
                <w:rFonts w:ascii="Calibri" w:eastAsia="Times New Roman" w:hAnsi="Calibri" w:cs="Calibri"/>
                <w:color w:val="000000"/>
                <w:sz w:val="18"/>
                <w:szCs w:val="18"/>
                <w:lang/>
              </w:rPr>
            </w:pPr>
            <w:r>
              <w:rPr>
                <w:rFonts w:ascii="Calibri" w:hAnsi="Calibri" w:cs="Calibri"/>
                <w:color w:val="000000"/>
              </w:rPr>
              <w:t>1 (0·1%)</w:t>
            </w:r>
          </w:p>
        </w:tc>
        <w:tc>
          <w:tcPr>
            <w:tcW w:w="2294" w:type="dxa"/>
            <w:tcBorders>
              <w:top w:val="nil"/>
              <w:left w:val="nil"/>
              <w:bottom w:val="nil"/>
              <w:right w:val="nil"/>
            </w:tcBorders>
            <w:shd w:val="clear" w:color="auto" w:fill="auto"/>
            <w:noWrap/>
            <w:vAlign w:val="bottom"/>
            <w:hideMark/>
          </w:tcPr>
          <w:p w14:paraId="05ED2FF5"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2160" w:type="dxa"/>
            <w:tcBorders>
              <w:top w:val="nil"/>
              <w:left w:val="nil"/>
              <w:bottom w:val="nil"/>
              <w:right w:val="nil"/>
            </w:tcBorders>
            <w:shd w:val="clear" w:color="auto" w:fill="auto"/>
            <w:noWrap/>
            <w:vAlign w:val="bottom"/>
            <w:hideMark/>
          </w:tcPr>
          <w:p w14:paraId="77558B1E"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S230R</w:t>
            </w:r>
          </w:p>
        </w:tc>
        <w:tc>
          <w:tcPr>
            <w:tcW w:w="1364" w:type="dxa"/>
            <w:tcBorders>
              <w:top w:val="nil"/>
              <w:left w:val="nil"/>
              <w:bottom w:val="nil"/>
              <w:right w:val="nil"/>
            </w:tcBorders>
            <w:shd w:val="clear" w:color="auto" w:fill="auto"/>
            <w:noWrap/>
            <w:vAlign w:val="bottom"/>
            <w:hideMark/>
          </w:tcPr>
          <w:p w14:paraId="27C6E8D0"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20</w:t>
            </w:r>
          </w:p>
        </w:tc>
      </w:tr>
      <w:tr w:rsidR="005611C7" w:rsidRPr="00823920" w14:paraId="0AD437DD" w14:textId="77777777" w:rsidTr="00823920">
        <w:trPr>
          <w:trHeight w:val="20"/>
        </w:trPr>
        <w:tc>
          <w:tcPr>
            <w:tcW w:w="1418" w:type="dxa"/>
            <w:tcBorders>
              <w:top w:val="nil"/>
              <w:left w:val="nil"/>
              <w:bottom w:val="single" w:sz="4" w:space="0" w:color="auto"/>
              <w:right w:val="nil"/>
            </w:tcBorders>
            <w:shd w:val="clear" w:color="auto" w:fill="auto"/>
            <w:noWrap/>
            <w:vAlign w:val="bottom"/>
            <w:hideMark/>
          </w:tcPr>
          <w:p w14:paraId="2E2CC706" w14:textId="77777777" w:rsidR="005611C7" w:rsidRPr="00823920" w:rsidRDefault="005611C7" w:rsidP="005611C7">
            <w:pPr>
              <w:spacing w:after="0" w:line="240" w:lineRule="auto"/>
              <w:rPr>
                <w:rFonts w:ascii="Calibri" w:eastAsia="Times New Roman" w:hAnsi="Calibri" w:cs="Calibri"/>
                <w:b/>
                <w:bCs/>
                <w:color w:val="000000"/>
                <w:sz w:val="18"/>
                <w:szCs w:val="18"/>
                <w:lang/>
              </w:rPr>
            </w:pPr>
            <w:r w:rsidRPr="00823920">
              <w:rPr>
                <w:rFonts w:ascii="Calibri" w:eastAsia="Times New Roman" w:hAnsi="Calibri" w:cs="Calibri"/>
                <w:b/>
                <w:bCs/>
                <w:color w:val="000000"/>
                <w:sz w:val="18"/>
                <w:szCs w:val="18"/>
                <w:lang/>
              </w:rPr>
              <w:t> </w:t>
            </w:r>
          </w:p>
        </w:tc>
        <w:tc>
          <w:tcPr>
            <w:tcW w:w="1134" w:type="dxa"/>
            <w:tcBorders>
              <w:top w:val="nil"/>
              <w:left w:val="nil"/>
              <w:bottom w:val="single" w:sz="4" w:space="0" w:color="auto"/>
              <w:right w:val="nil"/>
            </w:tcBorders>
            <w:shd w:val="clear" w:color="auto" w:fill="auto"/>
            <w:noWrap/>
            <w:vAlign w:val="bottom"/>
            <w:hideMark/>
          </w:tcPr>
          <w:p w14:paraId="06DC00AF" w14:textId="32E60166" w:rsidR="005611C7" w:rsidRPr="00823920" w:rsidRDefault="005611C7" w:rsidP="005611C7">
            <w:pPr>
              <w:spacing w:after="0" w:line="240" w:lineRule="auto"/>
              <w:rPr>
                <w:rFonts w:ascii="Calibri" w:eastAsia="Times New Roman" w:hAnsi="Calibri" w:cs="Calibri"/>
                <w:color w:val="000000"/>
                <w:sz w:val="18"/>
                <w:szCs w:val="18"/>
                <w:lang/>
              </w:rPr>
            </w:pPr>
            <w:r>
              <w:rPr>
                <w:rFonts w:ascii="Calibri" w:hAnsi="Calibri" w:cs="Calibri"/>
                <w:color w:val="000000"/>
              </w:rPr>
              <w:t>1 (0·1%)</w:t>
            </w:r>
          </w:p>
        </w:tc>
        <w:tc>
          <w:tcPr>
            <w:tcW w:w="2294" w:type="dxa"/>
            <w:tcBorders>
              <w:top w:val="nil"/>
              <w:left w:val="nil"/>
              <w:bottom w:val="single" w:sz="4" w:space="0" w:color="auto"/>
              <w:right w:val="nil"/>
            </w:tcBorders>
            <w:shd w:val="clear" w:color="auto" w:fill="auto"/>
            <w:noWrap/>
            <w:vAlign w:val="bottom"/>
            <w:hideMark/>
          </w:tcPr>
          <w:p w14:paraId="4112E256"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2160" w:type="dxa"/>
            <w:tcBorders>
              <w:top w:val="nil"/>
              <w:left w:val="nil"/>
              <w:bottom w:val="single" w:sz="4" w:space="0" w:color="auto"/>
              <w:right w:val="nil"/>
            </w:tcBorders>
            <w:shd w:val="clear" w:color="auto" w:fill="auto"/>
            <w:noWrap/>
            <w:vAlign w:val="bottom"/>
            <w:hideMark/>
          </w:tcPr>
          <w:p w14:paraId="0C81CFE4"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S230R,D232N</w:t>
            </w:r>
          </w:p>
        </w:tc>
        <w:tc>
          <w:tcPr>
            <w:tcW w:w="1364" w:type="dxa"/>
            <w:tcBorders>
              <w:top w:val="nil"/>
              <w:left w:val="nil"/>
              <w:bottom w:val="single" w:sz="4" w:space="0" w:color="auto"/>
              <w:right w:val="nil"/>
            </w:tcBorders>
            <w:shd w:val="clear" w:color="auto" w:fill="auto"/>
            <w:noWrap/>
            <w:vAlign w:val="bottom"/>
            <w:hideMark/>
          </w:tcPr>
          <w:p w14:paraId="6B111EB7"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20</w:t>
            </w:r>
          </w:p>
        </w:tc>
      </w:tr>
      <w:tr w:rsidR="00823920" w:rsidRPr="00823920" w14:paraId="3A392BC0" w14:textId="77777777" w:rsidTr="00823920">
        <w:trPr>
          <w:trHeight w:val="20"/>
        </w:trPr>
        <w:tc>
          <w:tcPr>
            <w:tcW w:w="2552" w:type="dxa"/>
            <w:gridSpan w:val="2"/>
            <w:tcBorders>
              <w:top w:val="nil"/>
              <w:left w:val="nil"/>
              <w:bottom w:val="nil"/>
              <w:right w:val="nil"/>
            </w:tcBorders>
            <w:shd w:val="clear" w:color="auto" w:fill="auto"/>
            <w:noWrap/>
            <w:vAlign w:val="bottom"/>
            <w:hideMark/>
          </w:tcPr>
          <w:p w14:paraId="0A6FC3A0" w14:textId="77777777" w:rsidR="00823920" w:rsidRPr="00823920" w:rsidRDefault="00823920" w:rsidP="00823920">
            <w:pPr>
              <w:spacing w:after="0" w:line="240" w:lineRule="auto"/>
              <w:rPr>
                <w:rFonts w:ascii="Calibri" w:eastAsia="Times New Roman" w:hAnsi="Calibri" w:cs="Calibri"/>
                <w:b/>
                <w:bCs/>
                <w:color w:val="000000"/>
                <w:sz w:val="18"/>
                <w:szCs w:val="18"/>
                <w:lang/>
              </w:rPr>
            </w:pPr>
            <w:r w:rsidRPr="00823920">
              <w:rPr>
                <w:rFonts w:ascii="Calibri" w:eastAsia="Times New Roman" w:hAnsi="Calibri" w:cs="Calibri"/>
                <w:b/>
                <w:bCs/>
                <w:color w:val="000000"/>
                <w:sz w:val="18"/>
                <w:szCs w:val="18"/>
                <w:lang/>
              </w:rPr>
              <w:t>Potential low</w:t>
            </w:r>
          </w:p>
        </w:tc>
        <w:tc>
          <w:tcPr>
            <w:tcW w:w="2294" w:type="dxa"/>
            <w:tcBorders>
              <w:top w:val="nil"/>
              <w:left w:val="nil"/>
              <w:bottom w:val="nil"/>
              <w:right w:val="nil"/>
            </w:tcBorders>
            <w:shd w:val="clear" w:color="auto" w:fill="auto"/>
            <w:noWrap/>
            <w:vAlign w:val="bottom"/>
            <w:hideMark/>
          </w:tcPr>
          <w:p w14:paraId="7CB07649" w14:textId="77777777" w:rsidR="00823920" w:rsidRPr="00823920" w:rsidRDefault="00823920" w:rsidP="00823920">
            <w:pPr>
              <w:spacing w:after="0" w:line="240" w:lineRule="auto"/>
              <w:rPr>
                <w:rFonts w:ascii="Calibri" w:eastAsia="Times New Roman" w:hAnsi="Calibri" w:cs="Calibri"/>
                <w:b/>
                <w:bCs/>
                <w:color w:val="000000"/>
                <w:sz w:val="18"/>
                <w:szCs w:val="18"/>
                <w:lang/>
              </w:rPr>
            </w:pPr>
          </w:p>
        </w:tc>
        <w:tc>
          <w:tcPr>
            <w:tcW w:w="2160" w:type="dxa"/>
            <w:tcBorders>
              <w:top w:val="nil"/>
              <w:left w:val="nil"/>
              <w:bottom w:val="nil"/>
              <w:right w:val="nil"/>
            </w:tcBorders>
            <w:shd w:val="clear" w:color="auto" w:fill="auto"/>
            <w:noWrap/>
            <w:vAlign w:val="bottom"/>
            <w:hideMark/>
          </w:tcPr>
          <w:p w14:paraId="18B6D252" w14:textId="77777777" w:rsidR="00823920" w:rsidRPr="00823920" w:rsidRDefault="00823920" w:rsidP="00823920">
            <w:pPr>
              <w:spacing w:after="0" w:line="240" w:lineRule="auto"/>
              <w:rPr>
                <w:rFonts w:ascii="Times New Roman" w:eastAsia="Times New Roman" w:hAnsi="Times New Roman" w:cs="Times New Roman"/>
                <w:sz w:val="18"/>
                <w:szCs w:val="18"/>
                <w:lang/>
              </w:rPr>
            </w:pPr>
          </w:p>
        </w:tc>
        <w:tc>
          <w:tcPr>
            <w:tcW w:w="1364" w:type="dxa"/>
            <w:tcBorders>
              <w:top w:val="nil"/>
              <w:left w:val="nil"/>
              <w:bottom w:val="nil"/>
              <w:right w:val="nil"/>
            </w:tcBorders>
            <w:shd w:val="clear" w:color="auto" w:fill="auto"/>
            <w:noWrap/>
            <w:vAlign w:val="bottom"/>
            <w:hideMark/>
          </w:tcPr>
          <w:p w14:paraId="38AF5ABF" w14:textId="77777777" w:rsidR="00823920" w:rsidRPr="00823920" w:rsidRDefault="00823920" w:rsidP="00823920">
            <w:pPr>
              <w:spacing w:after="0" w:line="240" w:lineRule="auto"/>
              <w:rPr>
                <w:rFonts w:ascii="Times New Roman" w:eastAsia="Times New Roman" w:hAnsi="Times New Roman" w:cs="Times New Roman"/>
                <w:sz w:val="18"/>
                <w:szCs w:val="18"/>
                <w:lang/>
              </w:rPr>
            </w:pPr>
          </w:p>
        </w:tc>
      </w:tr>
      <w:tr w:rsidR="005611C7" w:rsidRPr="00823920" w14:paraId="593AA1FD" w14:textId="77777777" w:rsidTr="00823920">
        <w:trPr>
          <w:trHeight w:val="20"/>
        </w:trPr>
        <w:tc>
          <w:tcPr>
            <w:tcW w:w="1418" w:type="dxa"/>
            <w:tcBorders>
              <w:top w:val="nil"/>
              <w:left w:val="nil"/>
              <w:bottom w:val="nil"/>
              <w:right w:val="nil"/>
            </w:tcBorders>
            <w:shd w:val="clear" w:color="auto" w:fill="auto"/>
            <w:noWrap/>
            <w:vAlign w:val="bottom"/>
            <w:hideMark/>
          </w:tcPr>
          <w:p w14:paraId="3E5040D6" w14:textId="77777777" w:rsidR="005611C7" w:rsidRPr="00823920" w:rsidRDefault="005611C7" w:rsidP="005611C7">
            <w:pPr>
              <w:spacing w:after="0" w:line="240" w:lineRule="auto"/>
              <w:rPr>
                <w:rFonts w:ascii="Times New Roman" w:eastAsia="Times New Roman" w:hAnsi="Times New Roman" w:cs="Times New Roman"/>
                <w:sz w:val="18"/>
                <w:szCs w:val="18"/>
                <w:lang/>
              </w:rPr>
            </w:pPr>
          </w:p>
        </w:tc>
        <w:tc>
          <w:tcPr>
            <w:tcW w:w="1134" w:type="dxa"/>
            <w:tcBorders>
              <w:top w:val="nil"/>
              <w:left w:val="nil"/>
              <w:bottom w:val="nil"/>
              <w:right w:val="nil"/>
            </w:tcBorders>
            <w:shd w:val="clear" w:color="auto" w:fill="auto"/>
            <w:noWrap/>
            <w:vAlign w:val="bottom"/>
            <w:hideMark/>
          </w:tcPr>
          <w:p w14:paraId="27D434A6" w14:textId="18710CA9"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12F49528"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E138EK</w:t>
            </w:r>
          </w:p>
        </w:tc>
        <w:tc>
          <w:tcPr>
            <w:tcW w:w="2160" w:type="dxa"/>
            <w:tcBorders>
              <w:top w:val="nil"/>
              <w:left w:val="nil"/>
              <w:bottom w:val="nil"/>
              <w:right w:val="nil"/>
            </w:tcBorders>
            <w:shd w:val="clear" w:color="auto" w:fill="auto"/>
            <w:noWrap/>
            <w:vAlign w:val="bottom"/>
            <w:hideMark/>
          </w:tcPr>
          <w:p w14:paraId="4C0AD2A2"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D232DN</w:t>
            </w:r>
          </w:p>
        </w:tc>
        <w:tc>
          <w:tcPr>
            <w:tcW w:w="1364" w:type="dxa"/>
            <w:tcBorders>
              <w:top w:val="nil"/>
              <w:left w:val="nil"/>
              <w:bottom w:val="nil"/>
              <w:right w:val="nil"/>
            </w:tcBorders>
            <w:shd w:val="clear" w:color="auto" w:fill="auto"/>
            <w:noWrap/>
            <w:vAlign w:val="bottom"/>
            <w:hideMark/>
          </w:tcPr>
          <w:p w14:paraId="563F660B"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10</w:t>
            </w:r>
          </w:p>
        </w:tc>
      </w:tr>
      <w:tr w:rsidR="005611C7" w:rsidRPr="00823920" w14:paraId="04EC92DE" w14:textId="77777777" w:rsidTr="00823920">
        <w:trPr>
          <w:trHeight w:val="20"/>
        </w:trPr>
        <w:tc>
          <w:tcPr>
            <w:tcW w:w="1418" w:type="dxa"/>
            <w:tcBorders>
              <w:top w:val="nil"/>
              <w:left w:val="nil"/>
              <w:bottom w:val="nil"/>
              <w:right w:val="nil"/>
            </w:tcBorders>
            <w:shd w:val="clear" w:color="auto" w:fill="auto"/>
            <w:noWrap/>
            <w:vAlign w:val="bottom"/>
            <w:hideMark/>
          </w:tcPr>
          <w:p w14:paraId="396559A0"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002C2C7D" w14:textId="3A01D9D8"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39B37753"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E138EK</w:t>
            </w:r>
          </w:p>
        </w:tc>
        <w:tc>
          <w:tcPr>
            <w:tcW w:w="2160" w:type="dxa"/>
            <w:tcBorders>
              <w:top w:val="nil"/>
              <w:left w:val="nil"/>
              <w:bottom w:val="nil"/>
              <w:right w:val="nil"/>
            </w:tcBorders>
            <w:shd w:val="clear" w:color="auto" w:fill="auto"/>
            <w:noWrap/>
            <w:vAlign w:val="bottom"/>
            <w:hideMark/>
          </w:tcPr>
          <w:p w14:paraId="34F582AC"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1364" w:type="dxa"/>
            <w:tcBorders>
              <w:top w:val="nil"/>
              <w:left w:val="nil"/>
              <w:bottom w:val="nil"/>
              <w:right w:val="nil"/>
            </w:tcBorders>
            <w:shd w:val="clear" w:color="auto" w:fill="auto"/>
            <w:noWrap/>
            <w:vAlign w:val="bottom"/>
            <w:hideMark/>
          </w:tcPr>
          <w:p w14:paraId="49A2C857"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10</w:t>
            </w:r>
          </w:p>
        </w:tc>
      </w:tr>
      <w:tr w:rsidR="005611C7" w:rsidRPr="00823920" w14:paraId="79EA921A" w14:textId="77777777" w:rsidTr="00823920">
        <w:trPr>
          <w:trHeight w:val="20"/>
        </w:trPr>
        <w:tc>
          <w:tcPr>
            <w:tcW w:w="1418" w:type="dxa"/>
            <w:tcBorders>
              <w:top w:val="nil"/>
              <w:left w:val="nil"/>
              <w:bottom w:val="nil"/>
              <w:right w:val="nil"/>
            </w:tcBorders>
            <w:shd w:val="clear" w:color="auto" w:fill="auto"/>
            <w:noWrap/>
            <w:vAlign w:val="bottom"/>
            <w:hideMark/>
          </w:tcPr>
          <w:p w14:paraId="02CAF949"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3FCA268F" w14:textId="00AF3F2D"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3 (0·4%)</w:t>
            </w:r>
          </w:p>
        </w:tc>
        <w:tc>
          <w:tcPr>
            <w:tcW w:w="2294" w:type="dxa"/>
            <w:tcBorders>
              <w:top w:val="nil"/>
              <w:left w:val="nil"/>
              <w:bottom w:val="nil"/>
              <w:right w:val="nil"/>
            </w:tcBorders>
            <w:shd w:val="clear" w:color="auto" w:fill="auto"/>
            <w:noWrap/>
            <w:vAlign w:val="bottom"/>
            <w:hideMark/>
          </w:tcPr>
          <w:p w14:paraId="493608E7"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G140R</w:t>
            </w:r>
          </w:p>
        </w:tc>
        <w:tc>
          <w:tcPr>
            <w:tcW w:w="2160" w:type="dxa"/>
            <w:tcBorders>
              <w:top w:val="nil"/>
              <w:left w:val="nil"/>
              <w:bottom w:val="nil"/>
              <w:right w:val="nil"/>
            </w:tcBorders>
            <w:shd w:val="clear" w:color="auto" w:fill="auto"/>
            <w:noWrap/>
            <w:vAlign w:val="bottom"/>
            <w:hideMark/>
          </w:tcPr>
          <w:p w14:paraId="3900654D"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1364" w:type="dxa"/>
            <w:tcBorders>
              <w:top w:val="nil"/>
              <w:left w:val="nil"/>
              <w:bottom w:val="nil"/>
              <w:right w:val="nil"/>
            </w:tcBorders>
            <w:shd w:val="clear" w:color="auto" w:fill="auto"/>
            <w:noWrap/>
            <w:vAlign w:val="bottom"/>
            <w:hideMark/>
          </w:tcPr>
          <w:p w14:paraId="5F3B1D94"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10</w:t>
            </w:r>
          </w:p>
        </w:tc>
      </w:tr>
      <w:tr w:rsidR="005611C7" w:rsidRPr="00823920" w14:paraId="78A0C935" w14:textId="77777777" w:rsidTr="00823920">
        <w:trPr>
          <w:trHeight w:val="20"/>
        </w:trPr>
        <w:tc>
          <w:tcPr>
            <w:tcW w:w="1418" w:type="dxa"/>
            <w:tcBorders>
              <w:top w:val="nil"/>
              <w:left w:val="nil"/>
              <w:bottom w:val="nil"/>
              <w:right w:val="nil"/>
            </w:tcBorders>
            <w:shd w:val="clear" w:color="auto" w:fill="auto"/>
            <w:noWrap/>
            <w:vAlign w:val="bottom"/>
            <w:hideMark/>
          </w:tcPr>
          <w:p w14:paraId="36F3D965"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43E7CB89" w14:textId="410F6976"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2E782A6D"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N155H</w:t>
            </w:r>
          </w:p>
        </w:tc>
        <w:tc>
          <w:tcPr>
            <w:tcW w:w="2160" w:type="dxa"/>
            <w:tcBorders>
              <w:top w:val="nil"/>
              <w:left w:val="nil"/>
              <w:bottom w:val="nil"/>
              <w:right w:val="nil"/>
            </w:tcBorders>
            <w:shd w:val="clear" w:color="auto" w:fill="auto"/>
            <w:noWrap/>
            <w:vAlign w:val="bottom"/>
            <w:hideMark/>
          </w:tcPr>
          <w:p w14:paraId="53006167"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G163R</w:t>
            </w:r>
          </w:p>
        </w:tc>
        <w:tc>
          <w:tcPr>
            <w:tcW w:w="1364" w:type="dxa"/>
            <w:tcBorders>
              <w:top w:val="nil"/>
              <w:left w:val="nil"/>
              <w:bottom w:val="nil"/>
              <w:right w:val="nil"/>
            </w:tcBorders>
            <w:shd w:val="clear" w:color="auto" w:fill="auto"/>
            <w:noWrap/>
            <w:vAlign w:val="bottom"/>
            <w:hideMark/>
          </w:tcPr>
          <w:p w14:paraId="50A58309"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10</w:t>
            </w:r>
          </w:p>
        </w:tc>
      </w:tr>
      <w:tr w:rsidR="005611C7" w:rsidRPr="00823920" w14:paraId="0D1F05A6" w14:textId="77777777" w:rsidTr="00823920">
        <w:trPr>
          <w:trHeight w:val="20"/>
        </w:trPr>
        <w:tc>
          <w:tcPr>
            <w:tcW w:w="1418" w:type="dxa"/>
            <w:tcBorders>
              <w:top w:val="nil"/>
              <w:left w:val="nil"/>
              <w:bottom w:val="nil"/>
              <w:right w:val="nil"/>
            </w:tcBorders>
            <w:shd w:val="clear" w:color="auto" w:fill="auto"/>
            <w:noWrap/>
            <w:vAlign w:val="bottom"/>
            <w:hideMark/>
          </w:tcPr>
          <w:p w14:paraId="4B53E765"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6CE0F251" w14:textId="4B91D8F7"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0CBD0B75"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N155H</w:t>
            </w:r>
          </w:p>
        </w:tc>
        <w:tc>
          <w:tcPr>
            <w:tcW w:w="2160" w:type="dxa"/>
            <w:tcBorders>
              <w:top w:val="nil"/>
              <w:left w:val="nil"/>
              <w:bottom w:val="nil"/>
              <w:right w:val="nil"/>
            </w:tcBorders>
            <w:shd w:val="clear" w:color="auto" w:fill="auto"/>
            <w:noWrap/>
            <w:vAlign w:val="bottom"/>
            <w:hideMark/>
          </w:tcPr>
          <w:p w14:paraId="4B6D4F0F"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1364" w:type="dxa"/>
            <w:tcBorders>
              <w:top w:val="nil"/>
              <w:left w:val="nil"/>
              <w:bottom w:val="nil"/>
              <w:right w:val="nil"/>
            </w:tcBorders>
            <w:shd w:val="clear" w:color="auto" w:fill="auto"/>
            <w:noWrap/>
            <w:vAlign w:val="bottom"/>
            <w:hideMark/>
          </w:tcPr>
          <w:p w14:paraId="3B7EDE32"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10</w:t>
            </w:r>
          </w:p>
        </w:tc>
      </w:tr>
      <w:tr w:rsidR="005611C7" w:rsidRPr="00823920" w14:paraId="6096F031" w14:textId="77777777" w:rsidTr="00823920">
        <w:trPr>
          <w:trHeight w:val="20"/>
        </w:trPr>
        <w:tc>
          <w:tcPr>
            <w:tcW w:w="1418" w:type="dxa"/>
            <w:tcBorders>
              <w:top w:val="nil"/>
              <w:left w:val="nil"/>
              <w:bottom w:val="single" w:sz="4" w:space="0" w:color="auto"/>
              <w:right w:val="nil"/>
            </w:tcBorders>
            <w:shd w:val="clear" w:color="auto" w:fill="auto"/>
            <w:noWrap/>
            <w:vAlign w:val="bottom"/>
            <w:hideMark/>
          </w:tcPr>
          <w:p w14:paraId="7A2870D7" w14:textId="77777777" w:rsidR="005611C7" w:rsidRPr="00823920" w:rsidRDefault="005611C7" w:rsidP="005611C7">
            <w:pPr>
              <w:spacing w:after="0" w:line="240" w:lineRule="auto"/>
              <w:rPr>
                <w:rFonts w:ascii="Calibri" w:eastAsia="Times New Roman" w:hAnsi="Calibri" w:cs="Calibri"/>
                <w:b/>
                <w:bCs/>
                <w:color w:val="000000"/>
                <w:sz w:val="18"/>
                <w:szCs w:val="18"/>
                <w:lang/>
              </w:rPr>
            </w:pPr>
            <w:r w:rsidRPr="00823920">
              <w:rPr>
                <w:rFonts w:ascii="Calibri" w:eastAsia="Times New Roman" w:hAnsi="Calibri" w:cs="Calibri"/>
                <w:b/>
                <w:bCs/>
                <w:color w:val="000000"/>
                <w:sz w:val="18"/>
                <w:szCs w:val="18"/>
                <w:lang/>
              </w:rPr>
              <w:t> </w:t>
            </w:r>
          </w:p>
        </w:tc>
        <w:tc>
          <w:tcPr>
            <w:tcW w:w="1134" w:type="dxa"/>
            <w:tcBorders>
              <w:top w:val="nil"/>
              <w:left w:val="nil"/>
              <w:bottom w:val="single" w:sz="4" w:space="0" w:color="auto"/>
              <w:right w:val="nil"/>
            </w:tcBorders>
            <w:shd w:val="clear" w:color="auto" w:fill="auto"/>
            <w:noWrap/>
            <w:vAlign w:val="bottom"/>
            <w:hideMark/>
          </w:tcPr>
          <w:p w14:paraId="7C7DE981" w14:textId="0FD45383"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single" w:sz="4" w:space="0" w:color="auto"/>
              <w:right w:val="nil"/>
            </w:tcBorders>
            <w:shd w:val="clear" w:color="auto" w:fill="auto"/>
            <w:noWrap/>
            <w:vAlign w:val="bottom"/>
            <w:hideMark/>
          </w:tcPr>
          <w:p w14:paraId="0573EE61"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2160" w:type="dxa"/>
            <w:tcBorders>
              <w:top w:val="nil"/>
              <w:left w:val="nil"/>
              <w:bottom w:val="single" w:sz="4" w:space="0" w:color="auto"/>
              <w:right w:val="nil"/>
            </w:tcBorders>
            <w:shd w:val="clear" w:color="auto" w:fill="auto"/>
            <w:noWrap/>
            <w:vAlign w:val="bottom"/>
            <w:hideMark/>
          </w:tcPr>
          <w:p w14:paraId="4B8CC419"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H51HY</w:t>
            </w:r>
          </w:p>
        </w:tc>
        <w:tc>
          <w:tcPr>
            <w:tcW w:w="1364" w:type="dxa"/>
            <w:tcBorders>
              <w:top w:val="nil"/>
              <w:left w:val="nil"/>
              <w:bottom w:val="single" w:sz="4" w:space="0" w:color="auto"/>
              <w:right w:val="nil"/>
            </w:tcBorders>
            <w:shd w:val="clear" w:color="auto" w:fill="auto"/>
            <w:noWrap/>
            <w:vAlign w:val="bottom"/>
            <w:hideMark/>
          </w:tcPr>
          <w:p w14:paraId="724BCA25"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10</w:t>
            </w:r>
          </w:p>
        </w:tc>
      </w:tr>
      <w:tr w:rsidR="00823920" w:rsidRPr="00823920" w14:paraId="2EF6DCF3" w14:textId="77777777" w:rsidTr="00823920">
        <w:trPr>
          <w:trHeight w:val="20"/>
        </w:trPr>
        <w:tc>
          <w:tcPr>
            <w:tcW w:w="2552" w:type="dxa"/>
            <w:gridSpan w:val="2"/>
            <w:tcBorders>
              <w:top w:val="nil"/>
              <w:left w:val="nil"/>
              <w:bottom w:val="nil"/>
              <w:right w:val="nil"/>
            </w:tcBorders>
            <w:shd w:val="clear" w:color="auto" w:fill="auto"/>
            <w:noWrap/>
            <w:vAlign w:val="bottom"/>
            <w:hideMark/>
          </w:tcPr>
          <w:p w14:paraId="1989604B" w14:textId="77777777" w:rsidR="00823920" w:rsidRPr="00823920" w:rsidRDefault="00823920" w:rsidP="00823920">
            <w:pPr>
              <w:spacing w:after="0" w:line="240" w:lineRule="auto"/>
              <w:rPr>
                <w:rFonts w:ascii="Calibri" w:eastAsia="Times New Roman" w:hAnsi="Calibri" w:cs="Calibri"/>
                <w:b/>
                <w:bCs/>
                <w:color w:val="000000"/>
                <w:sz w:val="18"/>
                <w:szCs w:val="18"/>
                <w:lang/>
              </w:rPr>
            </w:pPr>
            <w:r w:rsidRPr="00823920">
              <w:rPr>
                <w:rFonts w:ascii="Calibri" w:eastAsia="Times New Roman" w:hAnsi="Calibri" w:cs="Calibri"/>
                <w:b/>
                <w:bCs/>
                <w:color w:val="000000"/>
                <w:sz w:val="18"/>
                <w:szCs w:val="18"/>
                <w:lang/>
              </w:rPr>
              <w:t>Susceptible</w:t>
            </w:r>
          </w:p>
        </w:tc>
        <w:tc>
          <w:tcPr>
            <w:tcW w:w="2294" w:type="dxa"/>
            <w:tcBorders>
              <w:top w:val="nil"/>
              <w:left w:val="nil"/>
              <w:bottom w:val="nil"/>
              <w:right w:val="nil"/>
            </w:tcBorders>
            <w:shd w:val="clear" w:color="auto" w:fill="auto"/>
            <w:noWrap/>
            <w:vAlign w:val="bottom"/>
            <w:hideMark/>
          </w:tcPr>
          <w:p w14:paraId="463FE494" w14:textId="77777777" w:rsidR="00823920" w:rsidRPr="00823920" w:rsidRDefault="00823920" w:rsidP="00823920">
            <w:pPr>
              <w:spacing w:after="0" w:line="240" w:lineRule="auto"/>
              <w:rPr>
                <w:rFonts w:ascii="Calibri" w:eastAsia="Times New Roman" w:hAnsi="Calibri" w:cs="Calibri"/>
                <w:b/>
                <w:bCs/>
                <w:color w:val="000000"/>
                <w:sz w:val="18"/>
                <w:szCs w:val="18"/>
                <w:lang/>
              </w:rPr>
            </w:pPr>
          </w:p>
        </w:tc>
        <w:tc>
          <w:tcPr>
            <w:tcW w:w="2160" w:type="dxa"/>
            <w:tcBorders>
              <w:top w:val="nil"/>
              <w:left w:val="nil"/>
              <w:bottom w:val="nil"/>
              <w:right w:val="nil"/>
            </w:tcBorders>
            <w:shd w:val="clear" w:color="auto" w:fill="auto"/>
            <w:noWrap/>
            <w:vAlign w:val="bottom"/>
            <w:hideMark/>
          </w:tcPr>
          <w:p w14:paraId="1C30D89C" w14:textId="77777777" w:rsidR="00823920" w:rsidRPr="00823920" w:rsidRDefault="00823920" w:rsidP="00823920">
            <w:pPr>
              <w:spacing w:after="0" w:line="240" w:lineRule="auto"/>
              <w:rPr>
                <w:rFonts w:ascii="Times New Roman" w:eastAsia="Times New Roman" w:hAnsi="Times New Roman" w:cs="Times New Roman"/>
                <w:sz w:val="18"/>
                <w:szCs w:val="18"/>
                <w:lang/>
              </w:rPr>
            </w:pPr>
          </w:p>
        </w:tc>
        <w:tc>
          <w:tcPr>
            <w:tcW w:w="1364" w:type="dxa"/>
            <w:tcBorders>
              <w:top w:val="nil"/>
              <w:left w:val="nil"/>
              <w:bottom w:val="nil"/>
              <w:right w:val="nil"/>
            </w:tcBorders>
            <w:shd w:val="clear" w:color="auto" w:fill="auto"/>
            <w:noWrap/>
            <w:vAlign w:val="bottom"/>
            <w:hideMark/>
          </w:tcPr>
          <w:p w14:paraId="18F2A028" w14:textId="77777777" w:rsidR="00823920" w:rsidRPr="00823920" w:rsidRDefault="00823920" w:rsidP="00823920">
            <w:pPr>
              <w:spacing w:after="0" w:line="240" w:lineRule="auto"/>
              <w:rPr>
                <w:rFonts w:ascii="Times New Roman" w:eastAsia="Times New Roman" w:hAnsi="Times New Roman" w:cs="Times New Roman"/>
                <w:sz w:val="18"/>
                <w:szCs w:val="18"/>
                <w:lang/>
              </w:rPr>
            </w:pPr>
          </w:p>
        </w:tc>
      </w:tr>
      <w:tr w:rsidR="005611C7" w:rsidRPr="00823920" w14:paraId="316EC0FE" w14:textId="77777777" w:rsidTr="00823920">
        <w:trPr>
          <w:trHeight w:val="20"/>
        </w:trPr>
        <w:tc>
          <w:tcPr>
            <w:tcW w:w="1418" w:type="dxa"/>
            <w:tcBorders>
              <w:top w:val="nil"/>
              <w:left w:val="nil"/>
              <w:bottom w:val="nil"/>
              <w:right w:val="nil"/>
            </w:tcBorders>
            <w:shd w:val="clear" w:color="auto" w:fill="auto"/>
            <w:noWrap/>
            <w:vAlign w:val="bottom"/>
            <w:hideMark/>
          </w:tcPr>
          <w:p w14:paraId="4F871584" w14:textId="77777777" w:rsidR="005611C7" w:rsidRPr="00823920" w:rsidRDefault="005611C7" w:rsidP="005611C7">
            <w:pPr>
              <w:spacing w:after="0" w:line="240" w:lineRule="auto"/>
              <w:rPr>
                <w:rFonts w:ascii="Times New Roman" w:eastAsia="Times New Roman" w:hAnsi="Times New Roman" w:cs="Times New Roman"/>
                <w:sz w:val="18"/>
                <w:szCs w:val="18"/>
                <w:lang/>
              </w:rPr>
            </w:pPr>
          </w:p>
        </w:tc>
        <w:tc>
          <w:tcPr>
            <w:tcW w:w="1134" w:type="dxa"/>
            <w:tcBorders>
              <w:top w:val="nil"/>
              <w:left w:val="nil"/>
              <w:bottom w:val="nil"/>
              <w:right w:val="nil"/>
            </w:tcBorders>
            <w:shd w:val="clear" w:color="auto" w:fill="auto"/>
            <w:noWrap/>
            <w:vAlign w:val="bottom"/>
            <w:hideMark/>
          </w:tcPr>
          <w:p w14:paraId="0C514E7C" w14:textId="28B29A17"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2 (0·3%)</w:t>
            </w:r>
          </w:p>
        </w:tc>
        <w:tc>
          <w:tcPr>
            <w:tcW w:w="2294" w:type="dxa"/>
            <w:tcBorders>
              <w:top w:val="nil"/>
              <w:left w:val="nil"/>
              <w:bottom w:val="nil"/>
              <w:right w:val="nil"/>
            </w:tcBorders>
            <w:shd w:val="clear" w:color="auto" w:fill="auto"/>
            <w:noWrap/>
            <w:vAlign w:val="bottom"/>
            <w:hideMark/>
          </w:tcPr>
          <w:p w14:paraId="263CA33F"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T66I</w:t>
            </w:r>
          </w:p>
        </w:tc>
        <w:tc>
          <w:tcPr>
            <w:tcW w:w="2160" w:type="dxa"/>
            <w:tcBorders>
              <w:top w:val="nil"/>
              <w:left w:val="nil"/>
              <w:bottom w:val="nil"/>
              <w:right w:val="nil"/>
            </w:tcBorders>
            <w:shd w:val="clear" w:color="auto" w:fill="auto"/>
            <w:noWrap/>
            <w:vAlign w:val="bottom"/>
            <w:hideMark/>
          </w:tcPr>
          <w:p w14:paraId="7F4F6433"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1364" w:type="dxa"/>
            <w:tcBorders>
              <w:top w:val="nil"/>
              <w:left w:val="nil"/>
              <w:bottom w:val="nil"/>
              <w:right w:val="nil"/>
            </w:tcBorders>
            <w:shd w:val="clear" w:color="auto" w:fill="auto"/>
            <w:noWrap/>
            <w:vAlign w:val="bottom"/>
            <w:hideMark/>
          </w:tcPr>
          <w:p w14:paraId="23C40133"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5</w:t>
            </w:r>
          </w:p>
        </w:tc>
      </w:tr>
      <w:tr w:rsidR="005611C7" w:rsidRPr="00823920" w14:paraId="1D45E755" w14:textId="77777777" w:rsidTr="00823920">
        <w:trPr>
          <w:trHeight w:val="20"/>
        </w:trPr>
        <w:tc>
          <w:tcPr>
            <w:tcW w:w="1418" w:type="dxa"/>
            <w:tcBorders>
              <w:top w:val="nil"/>
              <w:left w:val="nil"/>
              <w:bottom w:val="nil"/>
              <w:right w:val="nil"/>
            </w:tcBorders>
            <w:shd w:val="clear" w:color="auto" w:fill="auto"/>
            <w:noWrap/>
            <w:vAlign w:val="bottom"/>
            <w:hideMark/>
          </w:tcPr>
          <w:p w14:paraId="00EEA459"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5E23962A" w14:textId="10549FED"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1644AD11"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T66TI</w:t>
            </w:r>
          </w:p>
        </w:tc>
        <w:tc>
          <w:tcPr>
            <w:tcW w:w="2160" w:type="dxa"/>
            <w:tcBorders>
              <w:top w:val="nil"/>
              <w:left w:val="nil"/>
              <w:bottom w:val="nil"/>
              <w:right w:val="nil"/>
            </w:tcBorders>
            <w:shd w:val="clear" w:color="auto" w:fill="auto"/>
            <w:noWrap/>
            <w:vAlign w:val="bottom"/>
            <w:hideMark/>
          </w:tcPr>
          <w:p w14:paraId="63B02204"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1364" w:type="dxa"/>
            <w:tcBorders>
              <w:top w:val="nil"/>
              <w:left w:val="nil"/>
              <w:bottom w:val="nil"/>
              <w:right w:val="nil"/>
            </w:tcBorders>
            <w:shd w:val="clear" w:color="auto" w:fill="auto"/>
            <w:noWrap/>
            <w:vAlign w:val="bottom"/>
            <w:hideMark/>
          </w:tcPr>
          <w:p w14:paraId="7715E02C"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5</w:t>
            </w:r>
          </w:p>
        </w:tc>
      </w:tr>
      <w:tr w:rsidR="005611C7" w:rsidRPr="00823920" w14:paraId="75CEE811" w14:textId="77777777" w:rsidTr="00823920">
        <w:trPr>
          <w:trHeight w:val="20"/>
        </w:trPr>
        <w:tc>
          <w:tcPr>
            <w:tcW w:w="1418" w:type="dxa"/>
            <w:tcBorders>
              <w:top w:val="nil"/>
              <w:left w:val="nil"/>
              <w:bottom w:val="nil"/>
              <w:right w:val="nil"/>
            </w:tcBorders>
            <w:shd w:val="clear" w:color="auto" w:fill="auto"/>
            <w:noWrap/>
            <w:vAlign w:val="bottom"/>
            <w:hideMark/>
          </w:tcPr>
          <w:p w14:paraId="1DC8585C"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29F288E8" w14:textId="12C112C4"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587AEAB2"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Y143C</w:t>
            </w:r>
          </w:p>
        </w:tc>
        <w:tc>
          <w:tcPr>
            <w:tcW w:w="2160" w:type="dxa"/>
            <w:tcBorders>
              <w:top w:val="nil"/>
              <w:left w:val="nil"/>
              <w:bottom w:val="nil"/>
              <w:right w:val="nil"/>
            </w:tcBorders>
            <w:shd w:val="clear" w:color="auto" w:fill="auto"/>
            <w:noWrap/>
            <w:vAlign w:val="bottom"/>
            <w:hideMark/>
          </w:tcPr>
          <w:p w14:paraId="7E8A9443"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1364" w:type="dxa"/>
            <w:tcBorders>
              <w:top w:val="nil"/>
              <w:left w:val="nil"/>
              <w:bottom w:val="nil"/>
              <w:right w:val="nil"/>
            </w:tcBorders>
            <w:shd w:val="clear" w:color="auto" w:fill="auto"/>
            <w:noWrap/>
            <w:vAlign w:val="bottom"/>
            <w:hideMark/>
          </w:tcPr>
          <w:p w14:paraId="2566DA3C"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5</w:t>
            </w:r>
          </w:p>
        </w:tc>
      </w:tr>
      <w:tr w:rsidR="005611C7" w:rsidRPr="00823920" w14:paraId="737FD2B4" w14:textId="77777777" w:rsidTr="00823920">
        <w:trPr>
          <w:trHeight w:val="20"/>
        </w:trPr>
        <w:tc>
          <w:tcPr>
            <w:tcW w:w="1418" w:type="dxa"/>
            <w:tcBorders>
              <w:top w:val="nil"/>
              <w:left w:val="nil"/>
              <w:bottom w:val="nil"/>
              <w:right w:val="nil"/>
            </w:tcBorders>
            <w:shd w:val="clear" w:color="auto" w:fill="auto"/>
            <w:noWrap/>
            <w:vAlign w:val="bottom"/>
            <w:hideMark/>
          </w:tcPr>
          <w:p w14:paraId="1DA9BDD4"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13E425FD" w14:textId="68CBDE97"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329228B0"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Y143YC</w:t>
            </w:r>
          </w:p>
        </w:tc>
        <w:tc>
          <w:tcPr>
            <w:tcW w:w="2160" w:type="dxa"/>
            <w:tcBorders>
              <w:top w:val="nil"/>
              <w:left w:val="nil"/>
              <w:bottom w:val="nil"/>
              <w:right w:val="nil"/>
            </w:tcBorders>
            <w:shd w:val="clear" w:color="auto" w:fill="auto"/>
            <w:noWrap/>
            <w:vAlign w:val="bottom"/>
            <w:hideMark/>
          </w:tcPr>
          <w:p w14:paraId="2C2FB03F"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1364" w:type="dxa"/>
            <w:tcBorders>
              <w:top w:val="nil"/>
              <w:left w:val="nil"/>
              <w:bottom w:val="nil"/>
              <w:right w:val="nil"/>
            </w:tcBorders>
            <w:shd w:val="clear" w:color="auto" w:fill="auto"/>
            <w:noWrap/>
            <w:vAlign w:val="bottom"/>
            <w:hideMark/>
          </w:tcPr>
          <w:p w14:paraId="3C891F3A"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5</w:t>
            </w:r>
          </w:p>
        </w:tc>
      </w:tr>
      <w:tr w:rsidR="005611C7" w:rsidRPr="00823920" w14:paraId="431A2C9F" w14:textId="77777777" w:rsidTr="00823920">
        <w:trPr>
          <w:trHeight w:val="20"/>
        </w:trPr>
        <w:tc>
          <w:tcPr>
            <w:tcW w:w="1418" w:type="dxa"/>
            <w:tcBorders>
              <w:top w:val="nil"/>
              <w:left w:val="nil"/>
              <w:bottom w:val="nil"/>
              <w:right w:val="nil"/>
            </w:tcBorders>
            <w:shd w:val="clear" w:color="auto" w:fill="auto"/>
            <w:noWrap/>
            <w:vAlign w:val="bottom"/>
            <w:hideMark/>
          </w:tcPr>
          <w:p w14:paraId="09C32D0B"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1FA3B6F8" w14:textId="2A460582"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66AF15DE"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E92E_P</w:t>
            </w:r>
          </w:p>
        </w:tc>
        <w:tc>
          <w:tcPr>
            <w:tcW w:w="2160" w:type="dxa"/>
            <w:tcBorders>
              <w:top w:val="nil"/>
              <w:left w:val="nil"/>
              <w:bottom w:val="nil"/>
              <w:right w:val="nil"/>
            </w:tcBorders>
            <w:shd w:val="clear" w:color="auto" w:fill="auto"/>
            <w:noWrap/>
            <w:vAlign w:val="bottom"/>
            <w:hideMark/>
          </w:tcPr>
          <w:p w14:paraId="65E6D451"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1364" w:type="dxa"/>
            <w:tcBorders>
              <w:top w:val="nil"/>
              <w:left w:val="nil"/>
              <w:bottom w:val="nil"/>
              <w:right w:val="nil"/>
            </w:tcBorders>
            <w:shd w:val="clear" w:color="auto" w:fill="auto"/>
            <w:noWrap/>
            <w:vAlign w:val="bottom"/>
            <w:hideMark/>
          </w:tcPr>
          <w:p w14:paraId="636C0C21"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0</w:t>
            </w:r>
          </w:p>
        </w:tc>
      </w:tr>
      <w:tr w:rsidR="005611C7" w:rsidRPr="00823920" w14:paraId="601135D5" w14:textId="77777777" w:rsidTr="00823920">
        <w:trPr>
          <w:trHeight w:val="20"/>
        </w:trPr>
        <w:tc>
          <w:tcPr>
            <w:tcW w:w="1418" w:type="dxa"/>
            <w:tcBorders>
              <w:top w:val="nil"/>
              <w:left w:val="nil"/>
              <w:bottom w:val="nil"/>
              <w:right w:val="nil"/>
            </w:tcBorders>
            <w:shd w:val="clear" w:color="auto" w:fill="auto"/>
            <w:noWrap/>
            <w:vAlign w:val="bottom"/>
            <w:hideMark/>
          </w:tcPr>
          <w:p w14:paraId="5E2EB969"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418BCF54" w14:textId="5C73D5BF"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2 (0·3%)</w:t>
            </w:r>
          </w:p>
        </w:tc>
        <w:tc>
          <w:tcPr>
            <w:tcW w:w="2294" w:type="dxa"/>
            <w:tcBorders>
              <w:top w:val="nil"/>
              <w:left w:val="nil"/>
              <w:bottom w:val="nil"/>
              <w:right w:val="nil"/>
            </w:tcBorders>
            <w:shd w:val="clear" w:color="auto" w:fill="auto"/>
            <w:noWrap/>
            <w:vAlign w:val="bottom"/>
            <w:hideMark/>
          </w:tcPr>
          <w:p w14:paraId="2B9DAFB8"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2160" w:type="dxa"/>
            <w:tcBorders>
              <w:top w:val="nil"/>
              <w:left w:val="nil"/>
              <w:bottom w:val="nil"/>
              <w:right w:val="nil"/>
            </w:tcBorders>
            <w:shd w:val="clear" w:color="auto" w:fill="auto"/>
            <w:noWrap/>
            <w:vAlign w:val="bottom"/>
            <w:hideMark/>
          </w:tcPr>
          <w:p w14:paraId="5B6AF664"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A128AT</w:t>
            </w:r>
          </w:p>
        </w:tc>
        <w:tc>
          <w:tcPr>
            <w:tcW w:w="1364" w:type="dxa"/>
            <w:tcBorders>
              <w:top w:val="nil"/>
              <w:left w:val="nil"/>
              <w:bottom w:val="nil"/>
              <w:right w:val="nil"/>
            </w:tcBorders>
            <w:shd w:val="clear" w:color="auto" w:fill="auto"/>
            <w:noWrap/>
            <w:vAlign w:val="bottom"/>
            <w:hideMark/>
          </w:tcPr>
          <w:p w14:paraId="317B3E49"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0</w:t>
            </w:r>
          </w:p>
        </w:tc>
      </w:tr>
      <w:tr w:rsidR="005611C7" w:rsidRPr="00823920" w14:paraId="7BE8EA8C" w14:textId="77777777" w:rsidTr="00823920">
        <w:trPr>
          <w:trHeight w:val="20"/>
        </w:trPr>
        <w:tc>
          <w:tcPr>
            <w:tcW w:w="1418" w:type="dxa"/>
            <w:tcBorders>
              <w:top w:val="nil"/>
              <w:left w:val="nil"/>
              <w:bottom w:val="nil"/>
              <w:right w:val="nil"/>
            </w:tcBorders>
            <w:shd w:val="clear" w:color="auto" w:fill="auto"/>
            <w:noWrap/>
            <w:vAlign w:val="bottom"/>
            <w:hideMark/>
          </w:tcPr>
          <w:p w14:paraId="0F4B18E1"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4F0623D0" w14:textId="2BDEC03D"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3998C59E"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2160" w:type="dxa"/>
            <w:tcBorders>
              <w:top w:val="nil"/>
              <w:left w:val="nil"/>
              <w:bottom w:val="nil"/>
              <w:right w:val="nil"/>
            </w:tcBorders>
            <w:shd w:val="clear" w:color="auto" w:fill="auto"/>
            <w:noWrap/>
            <w:vAlign w:val="bottom"/>
            <w:hideMark/>
          </w:tcPr>
          <w:p w14:paraId="34E21D2F"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A128T</w:t>
            </w:r>
          </w:p>
        </w:tc>
        <w:tc>
          <w:tcPr>
            <w:tcW w:w="1364" w:type="dxa"/>
            <w:tcBorders>
              <w:top w:val="nil"/>
              <w:left w:val="nil"/>
              <w:bottom w:val="nil"/>
              <w:right w:val="nil"/>
            </w:tcBorders>
            <w:shd w:val="clear" w:color="auto" w:fill="auto"/>
            <w:noWrap/>
            <w:vAlign w:val="bottom"/>
            <w:hideMark/>
          </w:tcPr>
          <w:p w14:paraId="6186654B"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0</w:t>
            </w:r>
          </w:p>
        </w:tc>
      </w:tr>
      <w:tr w:rsidR="005611C7" w:rsidRPr="00823920" w14:paraId="1A1C480E" w14:textId="77777777" w:rsidTr="00823920">
        <w:trPr>
          <w:trHeight w:val="20"/>
        </w:trPr>
        <w:tc>
          <w:tcPr>
            <w:tcW w:w="1418" w:type="dxa"/>
            <w:tcBorders>
              <w:top w:val="nil"/>
              <w:left w:val="nil"/>
              <w:bottom w:val="nil"/>
              <w:right w:val="nil"/>
            </w:tcBorders>
            <w:shd w:val="clear" w:color="auto" w:fill="auto"/>
            <w:noWrap/>
            <w:vAlign w:val="bottom"/>
            <w:hideMark/>
          </w:tcPr>
          <w:p w14:paraId="317B0A2D"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58422A00" w14:textId="57CB010E"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7D52310A"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2160" w:type="dxa"/>
            <w:tcBorders>
              <w:top w:val="nil"/>
              <w:left w:val="nil"/>
              <w:bottom w:val="nil"/>
              <w:right w:val="nil"/>
            </w:tcBorders>
            <w:shd w:val="clear" w:color="auto" w:fill="auto"/>
            <w:noWrap/>
            <w:vAlign w:val="bottom"/>
            <w:hideMark/>
          </w:tcPr>
          <w:p w14:paraId="5530542D"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A128T,G140GE</w:t>
            </w:r>
          </w:p>
        </w:tc>
        <w:tc>
          <w:tcPr>
            <w:tcW w:w="1364" w:type="dxa"/>
            <w:tcBorders>
              <w:top w:val="nil"/>
              <w:left w:val="nil"/>
              <w:bottom w:val="nil"/>
              <w:right w:val="nil"/>
            </w:tcBorders>
            <w:shd w:val="clear" w:color="auto" w:fill="auto"/>
            <w:noWrap/>
            <w:vAlign w:val="bottom"/>
            <w:hideMark/>
          </w:tcPr>
          <w:p w14:paraId="3A1A32D1"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0</w:t>
            </w:r>
          </w:p>
        </w:tc>
      </w:tr>
      <w:tr w:rsidR="005611C7" w:rsidRPr="00823920" w14:paraId="014557A0" w14:textId="77777777" w:rsidTr="00823920">
        <w:trPr>
          <w:trHeight w:val="20"/>
        </w:trPr>
        <w:tc>
          <w:tcPr>
            <w:tcW w:w="1418" w:type="dxa"/>
            <w:tcBorders>
              <w:top w:val="nil"/>
              <w:left w:val="nil"/>
              <w:bottom w:val="nil"/>
              <w:right w:val="nil"/>
            </w:tcBorders>
            <w:shd w:val="clear" w:color="auto" w:fill="auto"/>
            <w:noWrap/>
            <w:vAlign w:val="bottom"/>
            <w:hideMark/>
          </w:tcPr>
          <w:p w14:paraId="4A05098B"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3E4BE5C6" w14:textId="36C1B0B7"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3 (0·4%)</w:t>
            </w:r>
          </w:p>
        </w:tc>
        <w:tc>
          <w:tcPr>
            <w:tcW w:w="2294" w:type="dxa"/>
            <w:tcBorders>
              <w:top w:val="nil"/>
              <w:left w:val="nil"/>
              <w:bottom w:val="nil"/>
              <w:right w:val="nil"/>
            </w:tcBorders>
            <w:shd w:val="clear" w:color="auto" w:fill="auto"/>
            <w:noWrap/>
            <w:vAlign w:val="bottom"/>
            <w:hideMark/>
          </w:tcPr>
          <w:p w14:paraId="00BAB354"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2160" w:type="dxa"/>
            <w:tcBorders>
              <w:top w:val="nil"/>
              <w:left w:val="nil"/>
              <w:bottom w:val="nil"/>
              <w:right w:val="nil"/>
            </w:tcBorders>
            <w:shd w:val="clear" w:color="auto" w:fill="auto"/>
            <w:noWrap/>
            <w:vAlign w:val="bottom"/>
            <w:hideMark/>
          </w:tcPr>
          <w:p w14:paraId="157E3B31"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E157EQ</w:t>
            </w:r>
          </w:p>
        </w:tc>
        <w:tc>
          <w:tcPr>
            <w:tcW w:w="1364" w:type="dxa"/>
            <w:tcBorders>
              <w:top w:val="nil"/>
              <w:left w:val="nil"/>
              <w:bottom w:val="nil"/>
              <w:right w:val="nil"/>
            </w:tcBorders>
            <w:shd w:val="clear" w:color="auto" w:fill="auto"/>
            <w:noWrap/>
            <w:vAlign w:val="bottom"/>
            <w:hideMark/>
          </w:tcPr>
          <w:p w14:paraId="26B17795"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0</w:t>
            </w:r>
          </w:p>
        </w:tc>
      </w:tr>
      <w:tr w:rsidR="005611C7" w:rsidRPr="00823920" w14:paraId="46BCFBC7" w14:textId="77777777" w:rsidTr="00823920">
        <w:trPr>
          <w:trHeight w:val="20"/>
        </w:trPr>
        <w:tc>
          <w:tcPr>
            <w:tcW w:w="1418" w:type="dxa"/>
            <w:tcBorders>
              <w:top w:val="nil"/>
              <w:left w:val="nil"/>
              <w:bottom w:val="nil"/>
              <w:right w:val="nil"/>
            </w:tcBorders>
            <w:shd w:val="clear" w:color="auto" w:fill="auto"/>
            <w:noWrap/>
            <w:vAlign w:val="bottom"/>
            <w:hideMark/>
          </w:tcPr>
          <w:p w14:paraId="5C3F51B4"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042E4DE9" w14:textId="402D38F2"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20 (2·7%)</w:t>
            </w:r>
          </w:p>
        </w:tc>
        <w:tc>
          <w:tcPr>
            <w:tcW w:w="2294" w:type="dxa"/>
            <w:tcBorders>
              <w:top w:val="nil"/>
              <w:left w:val="nil"/>
              <w:bottom w:val="nil"/>
              <w:right w:val="nil"/>
            </w:tcBorders>
            <w:shd w:val="clear" w:color="auto" w:fill="auto"/>
            <w:noWrap/>
            <w:vAlign w:val="bottom"/>
            <w:hideMark/>
          </w:tcPr>
          <w:p w14:paraId="7F6F8D00"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2160" w:type="dxa"/>
            <w:tcBorders>
              <w:top w:val="nil"/>
              <w:left w:val="nil"/>
              <w:bottom w:val="nil"/>
              <w:right w:val="nil"/>
            </w:tcBorders>
            <w:shd w:val="clear" w:color="auto" w:fill="auto"/>
            <w:noWrap/>
            <w:vAlign w:val="bottom"/>
            <w:hideMark/>
          </w:tcPr>
          <w:p w14:paraId="75814364"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E157Q</w:t>
            </w:r>
          </w:p>
        </w:tc>
        <w:tc>
          <w:tcPr>
            <w:tcW w:w="1364" w:type="dxa"/>
            <w:tcBorders>
              <w:top w:val="nil"/>
              <w:left w:val="nil"/>
              <w:bottom w:val="nil"/>
              <w:right w:val="nil"/>
            </w:tcBorders>
            <w:shd w:val="clear" w:color="auto" w:fill="auto"/>
            <w:noWrap/>
            <w:vAlign w:val="bottom"/>
            <w:hideMark/>
          </w:tcPr>
          <w:p w14:paraId="7B03400C"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0</w:t>
            </w:r>
          </w:p>
        </w:tc>
      </w:tr>
      <w:tr w:rsidR="005611C7" w:rsidRPr="00823920" w14:paraId="0B8C629F" w14:textId="77777777" w:rsidTr="00823920">
        <w:trPr>
          <w:trHeight w:val="20"/>
        </w:trPr>
        <w:tc>
          <w:tcPr>
            <w:tcW w:w="1418" w:type="dxa"/>
            <w:tcBorders>
              <w:top w:val="nil"/>
              <w:left w:val="nil"/>
              <w:bottom w:val="nil"/>
              <w:right w:val="nil"/>
            </w:tcBorders>
            <w:shd w:val="clear" w:color="auto" w:fill="auto"/>
            <w:noWrap/>
            <w:vAlign w:val="bottom"/>
            <w:hideMark/>
          </w:tcPr>
          <w:p w14:paraId="5B13DF07"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245FF24D" w14:textId="519E9C03"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0FDF36E3"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2160" w:type="dxa"/>
            <w:tcBorders>
              <w:top w:val="nil"/>
              <w:left w:val="nil"/>
              <w:bottom w:val="nil"/>
              <w:right w:val="nil"/>
            </w:tcBorders>
            <w:shd w:val="clear" w:color="auto" w:fill="auto"/>
            <w:noWrap/>
            <w:vAlign w:val="bottom"/>
            <w:hideMark/>
          </w:tcPr>
          <w:p w14:paraId="01495DD0"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G140G_S</w:t>
            </w:r>
          </w:p>
        </w:tc>
        <w:tc>
          <w:tcPr>
            <w:tcW w:w="1364" w:type="dxa"/>
            <w:tcBorders>
              <w:top w:val="nil"/>
              <w:left w:val="nil"/>
              <w:bottom w:val="nil"/>
              <w:right w:val="nil"/>
            </w:tcBorders>
            <w:shd w:val="clear" w:color="auto" w:fill="auto"/>
            <w:noWrap/>
            <w:vAlign w:val="bottom"/>
            <w:hideMark/>
          </w:tcPr>
          <w:p w14:paraId="76A0A2A4"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0</w:t>
            </w:r>
          </w:p>
        </w:tc>
      </w:tr>
      <w:tr w:rsidR="005611C7" w:rsidRPr="00823920" w14:paraId="3914A95B" w14:textId="77777777" w:rsidTr="00823920">
        <w:trPr>
          <w:trHeight w:val="20"/>
        </w:trPr>
        <w:tc>
          <w:tcPr>
            <w:tcW w:w="1418" w:type="dxa"/>
            <w:tcBorders>
              <w:top w:val="nil"/>
              <w:left w:val="nil"/>
              <w:bottom w:val="nil"/>
              <w:right w:val="nil"/>
            </w:tcBorders>
            <w:shd w:val="clear" w:color="auto" w:fill="auto"/>
            <w:noWrap/>
            <w:vAlign w:val="bottom"/>
            <w:hideMark/>
          </w:tcPr>
          <w:p w14:paraId="23B02223"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371A7148" w14:textId="7C88828B"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0C78A576"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2160" w:type="dxa"/>
            <w:tcBorders>
              <w:top w:val="nil"/>
              <w:left w:val="nil"/>
              <w:bottom w:val="nil"/>
              <w:right w:val="nil"/>
            </w:tcBorders>
            <w:shd w:val="clear" w:color="auto" w:fill="auto"/>
            <w:noWrap/>
            <w:vAlign w:val="bottom"/>
            <w:hideMark/>
          </w:tcPr>
          <w:p w14:paraId="0B704C3A"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G163GRS</w:t>
            </w:r>
          </w:p>
        </w:tc>
        <w:tc>
          <w:tcPr>
            <w:tcW w:w="1364" w:type="dxa"/>
            <w:tcBorders>
              <w:top w:val="nil"/>
              <w:left w:val="nil"/>
              <w:bottom w:val="nil"/>
              <w:right w:val="nil"/>
            </w:tcBorders>
            <w:shd w:val="clear" w:color="auto" w:fill="auto"/>
            <w:noWrap/>
            <w:vAlign w:val="bottom"/>
            <w:hideMark/>
          </w:tcPr>
          <w:p w14:paraId="6E2914ED"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0</w:t>
            </w:r>
          </w:p>
        </w:tc>
      </w:tr>
      <w:tr w:rsidR="005611C7" w:rsidRPr="00823920" w14:paraId="0DECADCA" w14:textId="77777777" w:rsidTr="00823920">
        <w:trPr>
          <w:trHeight w:val="20"/>
        </w:trPr>
        <w:tc>
          <w:tcPr>
            <w:tcW w:w="1418" w:type="dxa"/>
            <w:tcBorders>
              <w:top w:val="nil"/>
              <w:left w:val="nil"/>
              <w:bottom w:val="nil"/>
              <w:right w:val="nil"/>
            </w:tcBorders>
            <w:shd w:val="clear" w:color="auto" w:fill="auto"/>
            <w:noWrap/>
            <w:vAlign w:val="bottom"/>
            <w:hideMark/>
          </w:tcPr>
          <w:p w14:paraId="68B1D934"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09E6953B" w14:textId="057FA3E7"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6DF7BD24"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2160" w:type="dxa"/>
            <w:tcBorders>
              <w:top w:val="nil"/>
              <w:left w:val="nil"/>
              <w:bottom w:val="nil"/>
              <w:right w:val="nil"/>
            </w:tcBorders>
            <w:shd w:val="clear" w:color="auto" w:fill="auto"/>
            <w:noWrap/>
            <w:vAlign w:val="bottom"/>
            <w:hideMark/>
          </w:tcPr>
          <w:p w14:paraId="541FFD92"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G163K</w:t>
            </w:r>
          </w:p>
        </w:tc>
        <w:tc>
          <w:tcPr>
            <w:tcW w:w="1364" w:type="dxa"/>
            <w:tcBorders>
              <w:top w:val="nil"/>
              <w:left w:val="nil"/>
              <w:bottom w:val="nil"/>
              <w:right w:val="nil"/>
            </w:tcBorders>
            <w:shd w:val="clear" w:color="auto" w:fill="auto"/>
            <w:noWrap/>
            <w:vAlign w:val="bottom"/>
            <w:hideMark/>
          </w:tcPr>
          <w:p w14:paraId="6A4FAEAA"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0</w:t>
            </w:r>
          </w:p>
        </w:tc>
      </w:tr>
      <w:tr w:rsidR="005611C7" w:rsidRPr="00823920" w14:paraId="585C52CA" w14:textId="77777777" w:rsidTr="00823920">
        <w:trPr>
          <w:trHeight w:val="20"/>
        </w:trPr>
        <w:tc>
          <w:tcPr>
            <w:tcW w:w="1418" w:type="dxa"/>
            <w:tcBorders>
              <w:top w:val="nil"/>
              <w:left w:val="nil"/>
              <w:bottom w:val="nil"/>
              <w:right w:val="nil"/>
            </w:tcBorders>
            <w:shd w:val="clear" w:color="auto" w:fill="auto"/>
            <w:noWrap/>
            <w:vAlign w:val="bottom"/>
            <w:hideMark/>
          </w:tcPr>
          <w:p w14:paraId="4BD3E5CA"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1B235432" w14:textId="2CC62682"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4 (0·5%)</w:t>
            </w:r>
          </w:p>
        </w:tc>
        <w:tc>
          <w:tcPr>
            <w:tcW w:w="2294" w:type="dxa"/>
            <w:tcBorders>
              <w:top w:val="nil"/>
              <w:left w:val="nil"/>
              <w:bottom w:val="nil"/>
              <w:right w:val="nil"/>
            </w:tcBorders>
            <w:shd w:val="clear" w:color="auto" w:fill="auto"/>
            <w:noWrap/>
            <w:vAlign w:val="bottom"/>
            <w:hideMark/>
          </w:tcPr>
          <w:p w14:paraId="3561C587"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2160" w:type="dxa"/>
            <w:tcBorders>
              <w:top w:val="nil"/>
              <w:left w:val="nil"/>
              <w:bottom w:val="nil"/>
              <w:right w:val="nil"/>
            </w:tcBorders>
            <w:shd w:val="clear" w:color="auto" w:fill="auto"/>
            <w:noWrap/>
            <w:vAlign w:val="bottom"/>
            <w:hideMark/>
          </w:tcPr>
          <w:p w14:paraId="02E38AD6"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G163R</w:t>
            </w:r>
          </w:p>
        </w:tc>
        <w:tc>
          <w:tcPr>
            <w:tcW w:w="1364" w:type="dxa"/>
            <w:tcBorders>
              <w:top w:val="nil"/>
              <w:left w:val="nil"/>
              <w:bottom w:val="nil"/>
              <w:right w:val="nil"/>
            </w:tcBorders>
            <w:shd w:val="clear" w:color="auto" w:fill="auto"/>
            <w:noWrap/>
            <w:vAlign w:val="bottom"/>
            <w:hideMark/>
          </w:tcPr>
          <w:p w14:paraId="6E51EF75"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0</w:t>
            </w:r>
          </w:p>
        </w:tc>
      </w:tr>
      <w:tr w:rsidR="005611C7" w:rsidRPr="00823920" w14:paraId="1CC739BA" w14:textId="77777777" w:rsidTr="00823920">
        <w:trPr>
          <w:trHeight w:val="20"/>
        </w:trPr>
        <w:tc>
          <w:tcPr>
            <w:tcW w:w="1418" w:type="dxa"/>
            <w:tcBorders>
              <w:top w:val="nil"/>
              <w:left w:val="nil"/>
              <w:bottom w:val="nil"/>
              <w:right w:val="nil"/>
            </w:tcBorders>
            <w:shd w:val="clear" w:color="auto" w:fill="auto"/>
            <w:noWrap/>
            <w:vAlign w:val="bottom"/>
            <w:hideMark/>
          </w:tcPr>
          <w:p w14:paraId="68E106E4"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1BD24E2B" w14:textId="0D19BFD8"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6E0D8C54"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2160" w:type="dxa"/>
            <w:tcBorders>
              <w:top w:val="nil"/>
              <w:left w:val="nil"/>
              <w:bottom w:val="nil"/>
              <w:right w:val="nil"/>
            </w:tcBorders>
            <w:shd w:val="clear" w:color="auto" w:fill="auto"/>
            <w:noWrap/>
            <w:vAlign w:val="bottom"/>
            <w:hideMark/>
          </w:tcPr>
          <w:p w14:paraId="18CD6203"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P142T</w:t>
            </w:r>
          </w:p>
        </w:tc>
        <w:tc>
          <w:tcPr>
            <w:tcW w:w="1364" w:type="dxa"/>
            <w:tcBorders>
              <w:top w:val="nil"/>
              <w:left w:val="nil"/>
              <w:bottom w:val="nil"/>
              <w:right w:val="nil"/>
            </w:tcBorders>
            <w:shd w:val="clear" w:color="auto" w:fill="auto"/>
            <w:noWrap/>
            <w:vAlign w:val="bottom"/>
            <w:hideMark/>
          </w:tcPr>
          <w:p w14:paraId="1A35CB5C"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0</w:t>
            </w:r>
          </w:p>
        </w:tc>
      </w:tr>
      <w:tr w:rsidR="005611C7" w:rsidRPr="00823920" w14:paraId="5116FD3A" w14:textId="77777777" w:rsidTr="00823920">
        <w:trPr>
          <w:trHeight w:val="20"/>
        </w:trPr>
        <w:tc>
          <w:tcPr>
            <w:tcW w:w="1418" w:type="dxa"/>
            <w:tcBorders>
              <w:top w:val="nil"/>
              <w:left w:val="nil"/>
              <w:bottom w:val="nil"/>
              <w:right w:val="nil"/>
            </w:tcBorders>
            <w:shd w:val="clear" w:color="auto" w:fill="auto"/>
            <w:noWrap/>
            <w:vAlign w:val="bottom"/>
            <w:hideMark/>
          </w:tcPr>
          <w:p w14:paraId="21FE5BFB"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361B63A2" w14:textId="77FF91B2"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53CA0136"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2160" w:type="dxa"/>
            <w:tcBorders>
              <w:top w:val="nil"/>
              <w:left w:val="nil"/>
              <w:bottom w:val="nil"/>
              <w:right w:val="nil"/>
            </w:tcBorders>
            <w:shd w:val="clear" w:color="auto" w:fill="auto"/>
            <w:noWrap/>
            <w:vAlign w:val="bottom"/>
            <w:hideMark/>
          </w:tcPr>
          <w:p w14:paraId="079D59C6"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P145P_H</w:t>
            </w:r>
          </w:p>
        </w:tc>
        <w:tc>
          <w:tcPr>
            <w:tcW w:w="1364" w:type="dxa"/>
            <w:tcBorders>
              <w:top w:val="nil"/>
              <w:left w:val="nil"/>
              <w:bottom w:val="nil"/>
              <w:right w:val="nil"/>
            </w:tcBorders>
            <w:shd w:val="clear" w:color="auto" w:fill="auto"/>
            <w:noWrap/>
            <w:vAlign w:val="bottom"/>
            <w:hideMark/>
          </w:tcPr>
          <w:p w14:paraId="3A89BCA6"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0</w:t>
            </w:r>
          </w:p>
        </w:tc>
      </w:tr>
      <w:tr w:rsidR="005611C7" w:rsidRPr="00823920" w14:paraId="493CFFE2" w14:textId="77777777" w:rsidTr="00823920">
        <w:trPr>
          <w:trHeight w:val="20"/>
        </w:trPr>
        <w:tc>
          <w:tcPr>
            <w:tcW w:w="1418" w:type="dxa"/>
            <w:tcBorders>
              <w:top w:val="nil"/>
              <w:left w:val="nil"/>
              <w:bottom w:val="nil"/>
              <w:right w:val="nil"/>
            </w:tcBorders>
            <w:shd w:val="clear" w:color="auto" w:fill="auto"/>
            <w:noWrap/>
            <w:vAlign w:val="bottom"/>
            <w:hideMark/>
          </w:tcPr>
          <w:p w14:paraId="79FD7A80"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0C5177F0" w14:textId="6D96B0D8"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2C72FA58"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2160" w:type="dxa"/>
            <w:tcBorders>
              <w:top w:val="nil"/>
              <w:left w:val="nil"/>
              <w:bottom w:val="nil"/>
              <w:right w:val="nil"/>
            </w:tcBorders>
            <w:shd w:val="clear" w:color="auto" w:fill="auto"/>
            <w:noWrap/>
            <w:vAlign w:val="bottom"/>
            <w:hideMark/>
          </w:tcPr>
          <w:p w14:paraId="51FAD8BC"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Q146L</w:t>
            </w:r>
          </w:p>
        </w:tc>
        <w:tc>
          <w:tcPr>
            <w:tcW w:w="1364" w:type="dxa"/>
            <w:tcBorders>
              <w:top w:val="nil"/>
              <w:left w:val="nil"/>
              <w:bottom w:val="nil"/>
              <w:right w:val="nil"/>
            </w:tcBorders>
            <w:shd w:val="clear" w:color="auto" w:fill="auto"/>
            <w:noWrap/>
            <w:vAlign w:val="bottom"/>
            <w:hideMark/>
          </w:tcPr>
          <w:p w14:paraId="1F598B2D"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0</w:t>
            </w:r>
          </w:p>
        </w:tc>
      </w:tr>
      <w:tr w:rsidR="005611C7" w:rsidRPr="00823920" w14:paraId="3B5BDBF9" w14:textId="77777777" w:rsidTr="00823920">
        <w:trPr>
          <w:trHeight w:val="20"/>
        </w:trPr>
        <w:tc>
          <w:tcPr>
            <w:tcW w:w="1418" w:type="dxa"/>
            <w:tcBorders>
              <w:top w:val="nil"/>
              <w:left w:val="nil"/>
              <w:bottom w:val="nil"/>
              <w:right w:val="nil"/>
            </w:tcBorders>
            <w:shd w:val="clear" w:color="auto" w:fill="auto"/>
            <w:noWrap/>
            <w:vAlign w:val="bottom"/>
            <w:hideMark/>
          </w:tcPr>
          <w:p w14:paraId="44316654"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362F8D91" w14:textId="4E5DB644"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5956C07A"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2160" w:type="dxa"/>
            <w:tcBorders>
              <w:top w:val="nil"/>
              <w:left w:val="nil"/>
              <w:bottom w:val="nil"/>
              <w:right w:val="nil"/>
            </w:tcBorders>
            <w:shd w:val="clear" w:color="auto" w:fill="auto"/>
            <w:noWrap/>
            <w:vAlign w:val="bottom"/>
            <w:hideMark/>
          </w:tcPr>
          <w:p w14:paraId="7022E920"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Q146R</w:t>
            </w:r>
          </w:p>
        </w:tc>
        <w:tc>
          <w:tcPr>
            <w:tcW w:w="1364" w:type="dxa"/>
            <w:tcBorders>
              <w:top w:val="nil"/>
              <w:left w:val="nil"/>
              <w:bottom w:val="nil"/>
              <w:right w:val="nil"/>
            </w:tcBorders>
            <w:shd w:val="clear" w:color="auto" w:fill="auto"/>
            <w:noWrap/>
            <w:vAlign w:val="bottom"/>
            <w:hideMark/>
          </w:tcPr>
          <w:p w14:paraId="0656648B"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0</w:t>
            </w:r>
          </w:p>
        </w:tc>
      </w:tr>
      <w:tr w:rsidR="005611C7" w:rsidRPr="00823920" w14:paraId="4EE2D390" w14:textId="77777777" w:rsidTr="00823920">
        <w:trPr>
          <w:trHeight w:val="20"/>
        </w:trPr>
        <w:tc>
          <w:tcPr>
            <w:tcW w:w="1418" w:type="dxa"/>
            <w:tcBorders>
              <w:top w:val="nil"/>
              <w:left w:val="nil"/>
              <w:bottom w:val="nil"/>
              <w:right w:val="nil"/>
            </w:tcBorders>
            <w:shd w:val="clear" w:color="auto" w:fill="auto"/>
            <w:noWrap/>
            <w:vAlign w:val="bottom"/>
            <w:hideMark/>
          </w:tcPr>
          <w:p w14:paraId="4E12B121"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3E221861" w14:textId="62102A16"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2 (0·3%)</w:t>
            </w:r>
          </w:p>
        </w:tc>
        <w:tc>
          <w:tcPr>
            <w:tcW w:w="2294" w:type="dxa"/>
            <w:tcBorders>
              <w:top w:val="nil"/>
              <w:left w:val="nil"/>
              <w:bottom w:val="nil"/>
              <w:right w:val="nil"/>
            </w:tcBorders>
            <w:shd w:val="clear" w:color="auto" w:fill="auto"/>
            <w:noWrap/>
            <w:vAlign w:val="bottom"/>
            <w:hideMark/>
          </w:tcPr>
          <w:p w14:paraId="3D0E0F77"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2160" w:type="dxa"/>
            <w:tcBorders>
              <w:top w:val="nil"/>
              <w:left w:val="nil"/>
              <w:bottom w:val="nil"/>
              <w:right w:val="nil"/>
            </w:tcBorders>
            <w:shd w:val="clear" w:color="auto" w:fill="auto"/>
            <w:noWrap/>
            <w:vAlign w:val="bottom"/>
            <w:hideMark/>
          </w:tcPr>
          <w:p w14:paraId="5F7413FB"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Q95K</w:t>
            </w:r>
          </w:p>
        </w:tc>
        <w:tc>
          <w:tcPr>
            <w:tcW w:w="1364" w:type="dxa"/>
            <w:tcBorders>
              <w:top w:val="nil"/>
              <w:left w:val="nil"/>
              <w:bottom w:val="nil"/>
              <w:right w:val="nil"/>
            </w:tcBorders>
            <w:shd w:val="clear" w:color="auto" w:fill="auto"/>
            <w:noWrap/>
            <w:vAlign w:val="bottom"/>
            <w:hideMark/>
          </w:tcPr>
          <w:p w14:paraId="032F7687"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0</w:t>
            </w:r>
          </w:p>
        </w:tc>
      </w:tr>
      <w:tr w:rsidR="005611C7" w:rsidRPr="00823920" w14:paraId="0E578672" w14:textId="77777777" w:rsidTr="00823920">
        <w:trPr>
          <w:trHeight w:val="20"/>
        </w:trPr>
        <w:tc>
          <w:tcPr>
            <w:tcW w:w="1418" w:type="dxa"/>
            <w:tcBorders>
              <w:top w:val="nil"/>
              <w:left w:val="nil"/>
              <w:bottom w:val="nil"/>
              <w:right w:val="nil"/>
            </w:tcBorders>
            <w:shd w:val="clear" w:color="auto" w:fill="auto"/>
            <w:noWrap/>
            <w:vAlign w:val="bottom"/>
            <w:hideMark/>
          </w:tcPr>
          <w:p w14:paraId="6EDB0FD5"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64FB4B06" w14:textId="1957E6C3"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12 (1·6%)</w:t>
            </w:r>
          </w:p>
        </w:tc>
        <w:tc>
          <w:tcPr>
            <w:tcW w:w="2294" w:type="dxa"/>
            <w:tcBorders>
              <w:top w:val="nil"/>
              <w:left w:val="nil"/>
              <w:bottom w:val="nil"/>
              <w:right w:val="nil"/>
            </w:tcBorders>
            <w:shd w:val="clear" w:color="auto" w:fill="auto"/>
            <w:noWrap/>
            <w:vAlign w:val="bottom"/>
            <w:hideMark/>
          </w:tcPr>
          <w:p w14:paraId="177A0DB5"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2160" w:type="dxa"/>
            <w:tcBorders>
              <w:top w:val="nil"/>
              <w:left w:val="nil"/>
              <w:bottom w:val="nil"/>
              <w:right w:val="nil"/>
            </w:tcBorders>
            <w:shd w:val="clear" w:color="auto" w:fill="auto"/>
            <w:noWrap/>
            <w:vAlign w:val="bottom"/>
            <w:hideMark/>
          </w:tcPr>
          <w:p w14:paraId="406C9B24"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T97A</w:t>
            </w:r>
          </w:p>
        </w:tc>
        <w:tc>
          <w:tcPr>
            <w:tcW w:w="1364" w:type="dxa"/>
            <w:tcBorders>
              <w:top w:val="nil"/>
              <w:left w:val="nil"/>
              <w:bottom w:val="nil"/>
              <w:right w:val="nil"/>
            </w:tcBorders>
            <w:shd w:val="clear" w:color="auto" w:fill="auto"/>
            <w:noWrap/>
            <w:vAlign w:val="bottom"/>
            <w:hideMark/>
          </w:tcPr>
          <w:p w14:paraId="21888B5F"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0</w:t>
            </w:r>
          </w:p>
        </w:tc>
      </w:tr>
      <w:tr w:rsidR="005611C7" w:rsidRPr="00823920" w14:paraId="5E5A5F4C" w14:textId="77777777" w:rsidTr="00823920">
        <w:trPr>
          <w:trHeight w:val="20"/>
        </w:trPr>
        <w:tc>
          <w:tcPr>
            <w:tcW w:w="1418" w:type="dxa"/>
            <w:tcBorders>
              <w:top w:val="nil"/>
              <w:left w:val="nil"/>
              <w:bottom w:val="nil"/>
              <w:right w:val="nil"/>
            </w:tcBorders>
            <w:shd w:val="clear" w:color="auto" w:fill="auto"/>
            <w:noWrap/>
            <w:vAlign w:val="bottom"/>
            <w:hideMark/>
          </w:tcPr>
          <w:p w14:paraId="4ECD691A"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3945F24C" w14:textId="16AECCCA"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2 (0·3%)</w:t>
            </w:r>
          </w:p>
        </w:tc>
        <w:tc>
          <w:tcPr>
            <w:tcW w:w="2294" w:type="dxa"/>
            <w:tcBorders>
              <w:top w:val="nil"/>
              <w:left w:val="nil"/>
              <w:bottom w:val="nil"/>
              <w:right w:val="nil"/>
            </w:tcBorders>
            <w:shd w:val="clear" w:color="auto" w:fill="auto"/>
            <w:noWrap/>
            <w:vAlign w:val="bottom"/>
            <w:hideMark/>
          </w:tcPr>
          <w:p w14:paraId="4B6D1E02"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2160" w:type="dxa"/>
            <w:tcBorders>
              <w:top w:val="nil"/>
              <w:left w:val="nil"/>
              <w:bottom w:val="nil"/>
              <w:right w:val="nil"/>
            </w:tcBorders>
            <w:shd w:val="clear" w:color="auto" w:fill="auto"/>
            <w:noWrap/>
            <w:vAlign w:val="bottom"/>
            <w:hideMark/>
          </w:tcPr>
          <w:p w14:paraId="342508BF"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T97TA</w:t>
            </w:r>
          </w:p>
        </w:tc>
        <w:tc>
          <w:tcPr>
            <w:tcW w:w="1364" w:type="dxa"/>
            <w:tcBorders>
              <w:top w:val="nil"/>
              <w:left w:val="nil"/>
              <w:bottom w:val="nil"/>
              <w:right w:val="nil"/>
            </w:tcBorders>
            <w:shd w:val="clear" w:color="auto" w:fill="auto"/>
            <w:noWrap/>
            <w:vAlign w:val="bottom"/>
            <w:hideMark/>
          </w:tcPr>
          <w:p w14:paraId="0BCD4EF2"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0</w:t>
            </w:r>
          </w:p>
        </w:tc>
      </w:tr>
      <w:tr w:rsidR="005611C7" w:rsidRPr="00823920" w14:paraId="0ED93C01" w14:textId="77777777" w:rsidTr="00823920">
        <w:trPr>
          <w:trHeight w:val="20"/>
        </w:trPr>
        <w:tc>
          <w:tcPr>
            <w:tcW w:w="1418" w:type="dxa"/>
            <w:tcBorders>
              <w:top w:val="nil"/>
              <w:left w:val="nil"/>
              <w:bottom w:val="nil"/>
              <w:right w:val="nil"/>
            </w:tcBorders>
            <w:shd w:val="clear" w:color="auto" w:fill="auto"/>
            <w:noWrap/>
            <w:vAlign w:val="bottom"/>
            <w:hideMark/>
          </w:tcPr>
          <w:p w14:paraId="4C06C817"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3B370042" w14:textId="6E901E42"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4811BF04"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Q148Q_E</w:t>
            </w:r>
          </w:p>
        </w:tc>
        <w:tc>
          <w:tcPr>
            <w:tcW w:w="2160" w:type="dxa"/>
            <w:tcBorders>
              <w:top w:val="nil"/>
              <w:left w:val="nil"/>
              <w:bottom w:val="nil"/>
              <w:right w:val="nil"/>
            </w:tcBorders>
            <w:shd w:val="clear" w:color="auto" w:fill="auto"/>
            <w:noWrap/>
            <w:vAlign w:val="bottom"/>
            <w:hideMark/>
          </w:tcPr>
          <w:p w14:paraId="6BD9CA87"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G140G_R</w:t>
            </w:r>
          </w:p>
        </w:tc>
        <w:tc>
          <w:tcPr>
            <w:tcW w:w="1364" w:type="dxa"/>
            <w:tcBorders>
              <w:top w:val="nil"/>
              <w:left w:val="nil"/>
              <w:bottom w:val="nil"/>
              <w:right w:val="nil"/>
            </w:tcBorders>
            <w:shd w:val="clear" w:color="auto" w:fill="auto"/>
            <w:noWrap/>
            <w:vAlign w:val="bottom"/>
            <w:hideMark/>
          </w:tcPr>
          <w:p w14:paraId="1D3B8139"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0</w:t>
            </w:r>
          </w:p>
        </w:tc>
      </w:tr>
      <w:tr w:rsidR="005611C7" w:rsidRPr="00823920" w14:paraId="2E0B835C" w14:textId="77777777" w:rsidTr="00823920">
        <w:trPr>
          <w:trHeight w:val="20"/>
        </w:trPr>
        <w:tc>
          <w:tcPr>
            <w:tcW w:w="1418" w:type="dxa"/>
            <w:tcBorders>
              <w:top w:val="nil"/>
              <w:left w:val="nil"/>
              <w:bottom w:val="nil"/>
              <w:right w:val="nil"/>
            </w:tcBorders>
            <w:shd w:val="clear" w:color="auto" w:fill="auto"/>
            <w:noWrap/>
            <w:vAlign w:val="bottom"/>
            <w:hideMark/>
          </w:tcPr>
          <w:p w14:paraId="3EDFB31A"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p>
        </w:tc>
        <w:tc>
          <w:tcPr>
            <w:tcW w:w="1134" w:type="dxa"/>
            <w:tcBorders>
              <w:top w:val="nil"/>
              <w:left w:val="nil"/>
              <w:bottom w:val="nil"/>
              <w:right w:val="nil"/>
            </w:tcBorders>
            <w:shd w:val="clear" w:color="auto" w:fill="auto"/>
            <w:noWrap/>
            <w:vAlign w:val="bottom"/>
            <w:hideMark/>
          </w:tcPr>
          <w:p w14:paraId="26E6C3E3" w14:textId="6DA72E2F"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nil"/>
              <w:right w:val="nil"/>
            </w:tcBorders>
            <w:shd w:val="clear" w:color="auto" w:fill="auto"/>
            <w:noWrap/>
            <w:vAlign w:val="bottom"/>
            <w:hideMark/>
          </w:tcPr>
          <w:p w14:paraId="7DF5B454"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Q148Q_R</w:t>
            </w:r>
          </w:p>
        </w:tc>
        <w:tc>
          <w:tcPr>
            <w:tcW w:w="2160" w:type="dxa"/>
            <w:tcBorders>
              <w:top w:val="nil"/>
              <w:left w:val="nil"/>
              <w:bottom w:val="nil"/>
              <w:right w:val="nil"/>
            </w:tcBorders>
            <w:shd w:val="clear" w:color="auto" w:fill="auto"/>
            <w:noWrap/>
            <w:vAlign w:val="bottom"/>
            <w:hideMark/>
          </w:tcPr>
          <w:p w14:paraId="5613E4B0"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1364" w:type="dxa"/>
            <w:tcBorders>
              <w:top w:val="nil"/>
              <w:left w:val="nil"/>
              <w:bottom w:val="nil"/>
              <w:right w:val="nil"/>
            </w:tcBorders>
            <w:shd w:val="clear" w:color="auto" w:fill="auto"/>
            <w:noWrap/>
            <w:vAlign w:val="bottom"/>
            <w:hideMark/>
          </w:tcPr>
          <w:p w14:paraId="54391C9D"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0</w:t>
            </w:r>
          </w:p>
        </w:tc>
      </w:tr>
      <w:tr w:rsidR="005611C7" w:rsidRPr="00823920" w14:paraId="2E7E7682" w14:textId="77777777" w:rsidTr="00823920">
        <w:trPr>
          <w:trHeight w:val="20"/>
        </w:trPr>
        <w:tc>
          <w:tcPr>
            <w:tcW w:w="1418" w:type="dxa"/>
            <w:tcBorders>
              <w:top w:val="nil"/>
              <w:left w:val="nil"/>
              <w:bottom w:val="single" w:sz="4" w:space="0" w:color="auto"/>
              <w:right w:val="nil"/>
            </w:tcBorders>
            <w:shd w:val="clear" w:color="auto" w:fill="auto"/>
            <w:noWrap/>
            <w:vAlign w:val="bottom"/>
            <w:hideMark/>
          </w:tcPr>
          <w:p w14:paraId="0ABB2F7A" w14:textId="77777777" w:rsidR="005611C7" w:rsidRPr="00823920" w:rsidRDefault="005611C7" w:rsidP="005611C7">
            <w:pPr>
              <w:spacing w:after="0" w:line="240" w:lineRule="auto"/>
              <w:rPr>
                <w:rFonts w:ascii="Calibri" w:eastAsia="Times New Roman" w:hAnsi="Calibri" w:cs="Calibri"/>
                <w:b/>
                <w:bCs/>
                <w:color w:val="000000"/>
                <w:sz w:val="18"/>
                <w:szCs w:val="18"/>
                <w:lang/>
              </w:rPr>
            </w:pPr>
            <w:r w:rsidRPr="00823920">
              <w:rPr>
                <w:rFonts w:ascii="Calibri" w:eastAsia="Times New Roman" w:hAnsi="Calibri" w:cs="Calibri"/>
                <w:b/>
                <w:bCs/>
                <w:color w:val="000000"/>
                <w:sz w:val="18"/>
                <w:szCs w:val="18"/>
                <w:lang/>
              </w:rPr>
              <w:t> </w:t>
            </w:r>
          </w:p>
        </w:tc>
        <w:tc>
          <w:tcPr>
            <w:tcW w:w="1134" w:type="dxa"/>
            <w:tcBorders>
              <w:top w:val="nil"/>
              <w:left w:val="nil"/>
              <w:bottom w:val="single" w:sz="4" w:space="0" w:color="auto"/>
              <w:right w:val="nil"/>
            </w:tcBorders>
            <w:shd w:val="clear" w:color="auto" w:fill="auto"/>
            <w:noWrap/>
            <w:vAlign w:val="bottom"/>
            <w:hideMark/>
          </w:tcPr>
          <w:p w14:paraId="4A1900A2" w14:textId="3DB9E67A" w:rsidR="005611C7" w:rsidRPr="00823920" w:rsidRDefault="005611C7" w:rsidP="005611C7">
            <w:pPr>
              <w:spacing w:after="0" w:line="240" w:lineRule="auto"/>
              <w:rPr>
                <w:rFonts w:ascii="Calibri" w:eastAsia="Times New Roman" w:hAnsi="Calibri" w:cs="Calibri"/>
                <w:color w:val="000000"/>
                <w:sz w:val="18"/>
                <w:szCs w:val="18"/>
                <w:lang/>
              </w:rPr>
            </w:pPr>
            <w:r w:rsidRPr="005611C7">
              <w:rPr>
                <w:rFonts w:ascii="Calibri" w:eastAsia="Times New Roman" w:hAnsi="Calibri" w:cs="Calibri"/>
                <w:color w:val="000000"/>
                <w:sz w:val="18"/>
                <w:szCs w:val="18"/>
                <w:lang/>
              </w:rPr>
              <w:t>1 (0·1%)</w:t>
            </w:r>
          </w:p>
        </w:tc>
        <w:tc>
          <w:tcPr>
            <w:tcW w:w="2294" w:type="dxa"/>
            <w:tcBorders>
              <w:top w:val="nil"/>
              <w:left w:val="nil"/>
              <w:bottom w:val="single" w:sz="4" w:space="0" w:color="auto"/>
              <w:right w:val="nil"/>
            </w:tcBorders>
            <w:shd w:val="clear" w:color="auto" w:fill="auto"/>
            <w:noWrap/>
            <w:vAlign w:val="bottom"/>
            <w:hideMark/>
          </w:tcPr>
          <w:p w14:paraId="3C3A3239"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T66A</w:t>
            </w:r>
          </w:p>
        </w:tc>
        <w:tc>
          <w:tcPr>
            <w:tcW w:w="2160" w:type="dxa"/>
            <w:tcBorders>
              <w:top w:val="nil"/>
              <w:left w:val="nil"/>
              <w:bottom w:val="single" w:sz="4" w:space="0" w:color="auto"/>
              <w:right w:val="nil"/>
            </w:tcBorders>
            <w:shd w:val="clear" w:color="auto" w:fill="auto"/>
            <w:noWrap/>
            <w:vAlign w:val="bottom"/>
            <w:hideMark/>
          </w:tcPr>
          <w:p w14:paraId="1FA599B6" w14:textId="77777777" w:rsidR="005611C7" w:rsidRPr="00823920" w:rsidRDefault="005611C7" w:rsidP="005611C7">
            <w:pPr>
              <w:spacing w:after="0" w:line="240" w:lineRule="auto"/>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w:t>
            </w:r>
          </w:p>
        </w:tc>
        <w:tc>
          <w:tcPr>
            <w:tcW w:w="1364" w:type="dxa"/>
            <w:tcBorders>
              <w:top w:val="nil"/>
              <w:left w:val="nil"/>
              <w:bottom w:val="single" w:sz="4" w:space="0" w:color="auto"/>
              <w:right w:val="nil"/>
            </w:tcBorders>
            <w:shd w:val="clear" w:color="auto" w:fill="auto"/>
            <w:noWrap/>
            <w:vAlign w:val="bottom"/>
            <w:hideMark/>
          </w:tcPr>
          <w:p w14:paraId="2F06AF43" w14:textId="77777777" w:rsidR="005611C7" w:rsidRPr="00823920" w:rsidRDefault="005611C7" w:rsidP="005611C7">
            <w:pPr>
              <w:spacing w:after="0" w:line="240" w:lineRule="auto"/>
              <w:jc w:val="right"/>
              <w:rPr>
                <w:rFonts w:ascii="Calibri" w:eastAsia="Times New Roman" w:hAnsi="Calibri" w:cs="Calibri"/>
                <w:color w:val="000000"/>
                <w:sz w:val="18"/>
                <w:szCs w:val="18"/>
                <w:lang/>
              </w:rPr>
            </w:pPr>
            <w:r w:rsidRPr="00823920">
              <w:rPr>
                <w:rFonts w:ascii="Calibri" w:eastAsia="Times New Roman" w:hAnsi="Calibri" w:cs="Calibri"/>
                <w:color w:val="000000"/>
                <w:sz w:val="18"/>
                <w:szCs w:val="18"/>
                <w:lang/>
              </w:rPr>
              <w:t>0</w:t>
            </w:r>
          </w:p>
        </w:tc>
      </w:tr>
    </w:tbl>
    <w:p w14:paraId="44F34230" w14:textId="534838A1" w:rsidR="009841CB" w:rsidRPr="00A666E6" w:rsidRDefault="009841CB" w:rsidP="002C1A27">
      <w:pPr>
        <w:jc w:val="both"/>
        <w:rPr>
          <w:b/>
          <w:color w:val="2F5496" w:themeColor="accent1" w:themeShade="BF"/>
        </w:rPr>
      </w:pPr>
      <w:r>
        <w:rPr>
          <w:b/>
          <w:color w:val="2F5496" w:themeColor="accent1" w:themeShade="BF"/>
        </w:rPr>
        <w:lastRenderedPageBreak/>
        <w:t>Testing for association of INSTI DRM with HIV subtype and first-generation INSTI experience</w:t>
      </w:r>
    </w:p>
    <w:p w14:paraId="3611160A" w14:textId="2AD5912C" w:rsidR="000B60E8" w:rsidRDefault="000B60E8" w:rsidP="000B60E8">
      <w:pPr>
        <w:pStyle w:val="Caption"/>
        <w:keepNext/>
        <w:jc w:val="both"/>
      </w:pPr>
      <w:r>
        <w:t xml:space="preserve">Supplemental table </w:t>
      </w:r>
      <w:r>
        <w:fldChar w:fldCharType="begin"/>
      </w:r>
      <w:r>
        <w:instrText xml:space="preserve"> SEQ Supplemental_table \* ARABIC </w:instrText>
      </w:r>
      <w:r>
        <w:fldChar w:fldCharType="separate"/>
      </w:r>
      <w:r>
        <w:rPr>
          <w:noProof/>
        </w:rPr>
        <w:t>3</w:t>
      </w:r>
      <w:r>
        <w:fldChar w:fldCharType="end"/>
      </w:r>
      <w:r>
        <w:t xml:space="preserve">: </w:t>
      </w:r>
      <w:r w:rsidRPr="000B60E8">
        <w:rPr>
          <w:b/>
          <w:bCs/>
        </w:rPr>
        <w:t>Association of INSTI DRMs with HIV subtype and first generation INSTI exposure</w:t>
      </w:r>
      <w:r w:rsidRPr="000B60E8">
        <w:t>. We considered HIV subtypes B, C, A, G</w:t>
      </w:r>
      <w:r>
        <w:t xml:space="preserve">, </w:t>
      </w:r>
      <w:r w:rsidRPr="000B60E8">
        <w:t xml:space="preserve">and </w:t>
      </w:r>
      <w:r>
        <w:t>Other</w:t>
      </w:r>
      <w:r w:rsidRPr="000B60E8">
        <w:t xml:space="preserve">. Statistical tests were done using a fisher’s exact test. P-values were adjusted for multiple testing by </w:t>
      </w:r>
      <w:proofErr w:type="spellStart"/>
      <w:r w:rsidRPr="000B60E8">
        <w:t>Benjamini</w:t>
      </w:r>
      <w:proofErr w:type="spellEnd"/>
      <w:r w:rsidRPr="000B60E8">
        <w:t xml:space="preserve"> &amp; Hochberg correction. The DRM at T97 was found to be associated with HIV subtype</w:t>
      </w:r>
      <w:r w:rsidR="00362715">
        <w:t xml:space="preserve"> (bold)</w:t>
      </w:r>
      <w:r w:rsidRPr="000B60E8">
        <w:t>: it occurred in 6 / 56 (10</w:t>
      </w:r>
      <w:r w:rsidR="005611C7">
        <w:t>·</w:t>
      </w:r>
      <w:r w:rsidRPr="000B60E8">
        <w:t xml:space="preserve">7%) of people with HIV subtype A, </w:t>
      </w:r>
      <w:r w:rsidR="00E64DC3">
        <w:t>4</w:t>
      </w:r>
      <w:r w:rsidRPr="000B60E8">
        <w:t xml:space="preserve"> / 4</w:t>
      </w:r>
      <w:r w:rsidR="00E64DC3">
        <w:t>2</w:t>
      </w:r>
      <w:r w:rsidRPr="000B60E8">
        <w:t xml:space="preserve"> (</w:t>
      </w:r>
      <w:r w:rsidR="00E64DC3">
        <w:t>9</w:t>
      </w:r>
      <w:r w:rsidR="005611C7">
        <w:t>·</w:t>
      </w:r>
      <w:r w:rsidR="00E64DC3">
        <w:t>5</w:t>
      </w:r>
      <w:r w:rsidRPr="000B60E8">
        <w:t xml:space="preserve">%) of people with subtype G, 7 / </w:t>
      </w:r>
      <w:r w:rsidR="00E64DC3">
        <w:t>444</w:t>
      </w:r>
      <w:r w:rsidRPr="000B60E8">
        <w:t xml:space="preserve"> (1</w:t>
      </w:r>
      <w:r w:rsidR="005611C7">
        <w:t>·</w:t>
      </w:r>
      <w:r w:rsidRPr="000B60E8">
        <w:t xml:space="preserve">6%) of people with subtype B, and 0 / </w:t>
      </w:r>
      <w:r w:rsidR="00E64DC3">
        <w:t>71</w:t>
      </w:r>
      <w:r w:rsidRPr="000B60E8">
        <w:t xml:space="preserve"> people with HIV subtype C.</w:t>
      </w:r>
    </w:p>
    <w:tbl>
      <w:tblPr>
        <w:tblStyle w:val="TableGrid"/>
        <w:tblW w:w="42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554"/>
        <w:gridCol w:w="1796"/>
        <w:gridCol w:w="1832"/>
        <w:gridCol w:w="2289"/>
      </w:tblGrid>
      <w:tr w:rsidR="000B60E8" w:rsidRPr="00924B60" w14:paraId="770AEE3C" w14:textId="77777777" w:rsidTr="000B60E8">
        <w:trPr>
          <w:trHeight w:val="288"/>
        </w:trPr>
        <w:tc>
          <w:tcPr>
            <w:tcW w:w="183" w:type="pct"/>
          </w:tcPr>
          <w:p w14:paraId="624CE78D" w14:textId="77777777" w:rsidR="000B60E8" w:rsidRPr="00924B60" w:rsidRDefault="000B60E8" w:rsidP="00005E7E">
            <w:pPr>
              <w:rPr>
                <w:rFonts w:ascii="Times New Roman" w:eastAsia="Times New Roman" w:hAnsi="Times New Roman" w:cs="Times New Roman"/>
                <w:sz w:val="24"/>
                <w:szCs w:val="24"/>
              </w:rPr>
            </w:pPr>
          </w:p>
        </w:tc>
        <w:tc>
          <w:tcPr>
            <w:tcW w:w="1002" w:type="pct"/>
            <w:noWrap/>
            <w:hideMark/>
          </w:tcPr>
          <w:p w14:paraId="329CC336" w14:textId="320E1BCA" w:rsidR="000B60E8" w:rsidRPr="00924B60" w:rsidRDefault="000B60E8" w:rsidP="00005E7E">
            <w:pPr>
              <w:rPr>
                <w:rFonts w:ascii="Times New Roman" w:eastAsia="Times New Roman" w:hAnsi="Times New Roman" w:cs="Times New Roman"/>
                <w:sz w:val="24"/>
                <w:szCs w:val="24"/>
              </w:rPr>
            </w:pPr>
          </w:p>
        </w:tc>
        <w:tc>
          <w:tcPr>
            <w:tcW w:w="1158" w:type="pct"/>
            <w:noWrap/>
          </w:tcPr>
          <w:p w14:paraId="5DF089EF" w14:textId="0CE0D628" w:rsidR="000B60E8" w:rsidRPr="000B60E8" w:rsidRDefault="000B60E8" w:rsidP="000B60E8">
            <w:pPr>
              <w:jc w:val="right"/>
              <w:rPr>
                <w:rFonts w:ascii="Calibri" w:eastAsia="Times New Roman" w:hAnsi="Calibri" w:cs="Calibri"/>
                <w:color w:val="000000"/>
              </w:rPr>
            </w:pPr>
          </w:p>
        </w:tc>
        <w:tc>
          <w:tcPr>
            <w:tcW w:w="1181" w:type="pct"/>
          </w:tcPr>
          <w:p w14:paraId="42F9B6D9" w14:textId="1DF56689" w:rsidR="000B60E8" w:rsidRPr="000B60E8" w:rsidRDefault="000B60E8" w:rsidP="00005E7E">
            <w:pPr>
              <w:jc w:val="right"/>
              <w:rPr>
                <w:rFonts w:ascii="Calibri" w:eastAsia="Times New Roman" w:hAnsi="Calibri" w:cs="Calibri"/>
                <w:b/>
                <w:bCs/>
                <w:color w:val="000000"/>
              </w:rPr>
            </w:pPr>
            <w:r w:rsidRPr="000B60E8">
              <w:rPr>
                <w:rFonts w:ascii="Calibri" w:eastAsia="Times New Roman" w:hAnsi="Calibri" w:cs="Calibri"/>
                <w:b/>
                <w:bCs/>
                <w:color w:val="000000"/>
              </w:rPr>
              <w:t>HIV subtype</w:t>
            </w:r>
          </w:p>
        </w:tc>
        <w:tc>
          <w:tcPr>
            <w:tcW w:w="1476" w:type="pct"/>
          </w:tcPr>
          <w:p w14:paraId="72991D6E" w14:textId="33126009" w:rsidR="000B60E8" w:rsidRPr="00924B60" w:rsidRDefault="000B60E8" w:rsidP="00005E7E">
            <w:pPr>
              <w:jc w:val="right"/>
              <w:rPr>
                <w:rFonts w:ascii="Calibri" w:eastAsia="Times New Roman" w:hAnsi="Calibri" w:cs="Calibri"/>
                <w:b/>
                <w:bCs/>
                <w:color w:val="000000"/>
              </w:rPr>
            </w:pPr>
            <w:r>
              <w:rPr>
                <w:rFonts w:ascii="Calibri" w:eastAsia="Times New Roman" w:hAnsi="Calibri" w:cs="Calibri"/>
                <w:b/>
                <w:bCs/>
                <w:color w:val="000000"/>
              </w:rPr>
              <w:t>First</w:t>
            </w:r>
            <w:r w:rsidRPr="00924B60">
              <w:rPr>
                <w:rFonts w:ascii="Calibri" w:eastAsia="Times New Roman" w:hAnsi="Calibri" w:cs="Calibri"/>
                <w:b/>
                <w:bCs/>
                <w:color w:val="000000"/>
              </w:rPr>
              <w:t xml:space="preserve"> generation INSTI</w:t>
            </w:r>
          </w:p>
        </w:tc>
      </w:tr>
      <w:tr w:rsidR="000B60E8" w:rsidRPr="00924B60" w14:paraId="6F4D2F77" w14:textId="77777777" w:rsidTr="000B60E8">
        <w:trPr>
          <w:trHeight w:val="288"/>
        </w:trPr>
        <w:tc>
          <w:tcPr>
            <w:tcW w:w="183" w:type="pct"/>
          </w:tcPr>
          <w:p w14:paraId="5327DC5C" w14:textId="77777777" w:rsidR="000B60E8" w:rsidRPr="00924B60" w:rsidRDefault="000B60E8" w:rsidP="00005E7E">
            <w:pPr>
              <w:rPr>
                <w:rFonts w:ascii="Calibri" w:eastAsia="Times New Roman" w:hAnsi="Calibri" w:cs="Calibri"/>
                <w:b/>
                <w:bCs/>
                <w:color w:val="000000"/>
              </w:rPr>
            </w:pPr>
          </w:p>
        </w:tc>
        <w:tc>
          <w:tcPr>
            <w:tcW w:w="1002" w:type="pct"/>
            <w:noWrap/>
          </w:tcPr>
          <w:p w14:paraId="7962611D" w14:textId="3B5BFDE4" w:rsidR="000B60E8" w:rsidRPr="00924B60" w:rsidRDefault="000B60E8" w:rsidP="00005E7E">
            <w:pPr>
              <w:rPr>
                <w:rFonts w:ascii="Calibri" w:eastAsia="Times New Roman" w:hAnsi="Calibri" w:cs="Calibri"/>
                <w:b/>
                <w:bCs/>
                <w:color w:val="000000"/>
              </w:rPr>
            </w:pPr>
          </w:p>
        </w:tc>
        <w:tc>
          <w:tcPr>
            <w:tcW w:w="1158" w:type="pct"/>
          </w:tcPr>
          <w:p w14:paraId="7F3EACFE" w14:textId="28847661" w:rsidR="000B60E8" w:rsidRDefault="00E64DC3" w:rsidP="00E64DC3">
            <w:pPr>
              <w:jc w:val="right"/>
              <w:rPr>
                <w:rFonts w:ascii="Calibri" w:eastAsia="Times New Roman" w:hAnsi="Calibri" w:cs="Calibri"/>
                <w:color w:val="000000"/>
              </w:rPr>
            </w:pPr>
            <w:r w:rsidRPr="000B60E8">
              <w:rPr>
                <w:rFonts w:ascii="Calibri" w:eastAsia="Times New Roman" w:hAnsi="Calibri" w:cs="Calibri"/>
                <w:b/>
                <w:bCs/>
                <w:color w:val="000000"/>
              </w:rPr>
              <w:t>Observations</w:t>
            </w:r>
          </w:p>
        </w:tc>
        <w:tc>
          <w:tcPr>
            <w:tcW w:w="1181" w:type="pct"/>
            <w:noWrap/>
            <w:hideMark/>
          </w:tcPr>
          <w:p w14:paraId="5278445F" w14:textId="09CB7AD8" w:rsidR="000B60E8" w:rsidRPr="00924B60" w:rsidRDefault="000B60E8" w:rsidP="00005E7E">
            <w:pPr>
              <w:jc w:val="right"/>
              <w:rPr>
                <w:rFonts w:ascii="Calibri" w:eastAsia="Times New Roman" w:hAnsi="Calibri" w:cs="Calibri"/>
                <w:color w:val="000000"/>
              </w:rPr>
            </w:pPr>
            <w:r>
              <w:rPr>
                <w:rFonts w:ascii="Calibri" w:eastAsia="Times New Roman" w:hAnsi="Calibri" w:cs="Calibri"/>
                <w:color w:val="000000"/>
              </w:rPr>
              <w:t xml:space="preserve">Adjusted </w:t>
            </w:r>
            <w:r w:rsidRPr="00924B60">
              <w:rPr>
                <w:rFonts w:ascii="Calibri" w:eastAsia="Times New Roman" w:hAnsi="Calibri" w:cs="Calibri"/>
                <w:color w:val="000000"/>
              </w:rPr>
              <w:t>p-value</w:t>
            </w:r>
          </w:p>
        </w:tc>
        <w:tc>
          <w:tcPr>
            <w:tcW w:w="1476" w:type="pct"/>
            <w:noWrap/>
            <w:hideMark/>
          </w:tcPr>
          <w:p w14:paraId="27F4A43B" w14:textId="1B35C93A" w:rsidR="000B60E8" w:rsidRPr="00924B60" w:rsidRDefault="000B60E8" w:rsidP="00005E7E">
            <w:pPr>
              <w:jc w:val="right"/>
              <w:rPr>
                <w:rFonts w:ascii="Calibri" w:eastAsia="Times New Roman" w:hAnsi="Calibri" w:cs="Calibri"/>
                <w:color w:val="000000"/>
              </w:rPr>
            </w:pPr>
            <w:r>
              <w:rPr>
                <w:rFonts w:ascii="Calibri" w:eastAsia="Times New Roman" w:hAnsi="Calibri" w:cs="Calibri"/>
                <w:color w:val="000000"/>
              </w:rPr>
              <w:t xml:space="preserve">Adjusted </w:t>
            </w:r>
            <w:r w:rsidRPr="00924B60">
              <w:rPr>
                <w:rFonts w:ascii="Calibri" w:eastAsia="Times New Roman" w:hAnsi="Calibri" w:cs="Calibri"/>
                <w:color w:val="000000"/>
              </w:rPr>
              <w:t>p-value</w:t>
            </w:r>
          </w:p>
        </w:tc>
      </w:tr>
      <w:tr w:rsidR="000B60E8" w:rsidRPr="00924B60" w14:paraId="61763A19" w14:textId="77777777" w:rsidTr="000B60E8">
        <w:trPr>
          <w:trHeight w:val="288"/>
        </w:trPr>
        <w:tc>
          <w:tcPr>
            <w:tcW w:w="2343" w:type="pct"/>
            <w:gridSpan w:val="3"/>
            <w:tcBorders>
              <w:bottom w:val="single" w:sz="4" w:space="0" w:color="auto"/>
            </w:tcBorders>
          </w:tcPr>
          <w:p w14:paraId="3734AAEF" w14:textId="3B3D88AB" w:rsidR="000B60E8" w:rsidRDefault="000B60E8" w:rsidP="000B60E8">
            <w:pPr>
              <w:rPr>
                <w:rFonts w:ascii="Calibri" w:eastAsia="Times New Roman" w:hAnsi="Calibri" w:cs="Calibri"/>
                <w:b/>
                <w:bCs/>
                <w:color w:val="000000"/>
              </w:rPr>
            </w:pPr>
          </w:p>
          <w:p w14:paraId="41B71987" w14:textId="40F94E11" w:rsidR="000B60E8" w:rsidRPr="000B60E8" w:rsidRDefault="000B60E8" w:rsidP="000B60E8">
            <w:pPr>
              <w:rPr>
                <w:rFonts w:ascii="Calibri" w:eastAsia="Times New Roman" w:hAnsi="Calibri" w:cs="Calibri"/>
                <w:b/>
                <w:bCs/>
                <w:color w:val="000000"/>
              </w:rPr>
            </w:pPr>
            <w:r w:rsidRPr="000B60E8">
              <w:rPr>
                <w:rFonts w:ascii="Calibri" w:eastAsia="Times New Roman" w:hAnsi="Calibri" w:cs="Calibri"/>
                <w:b/>
                <w:bCs/>
                <w:color w:val="000000"/>
              </w:rPr>
              <w:t>Major INSTI DRMs</w:t>
            </w:r>
          </w:p>
        </w:tc>
        <w:tc>
          <w:tcPr>
            <w:tcW w:w="1181" w:type="pct"/>
            <w:tcBorders>
              <w:bottom w:val="single" w:sz="4" w:space="0" w:color="auto"/>
            </w:tcBorders>
            <w:noWrap/>
          </w:tcPr>
          <w:p w14:paraId="4E737CFA" w14:textId="77777777" w:rsidR="000B60E8" w:rsidRDefault="000B60E8" w:rsidP="00005E7E">
            <w:pPr>
              <w:jc w:val="right"/>
              <w:rPr>
                <w:rFonts w:ascii="Calibri" w:eastAsia="Times New Roman" w:hAnsi="Calibri" w:cs="Calibri"/>
                <w:color w:val="000000"/>
              </w:rPr>
            </w:pPr>
          </w:p>
        </w:tc>
        <w:tc>
          <w:tcPr>
            <w:tcW w:w="1476" w:type="pct"/>
            <w:tcBorders>
              <w:bottom w:val="single" w:sz="4" w:space="0" w:color="auto"/>
            </w:tcBorders>
            <w:noWrap/>
          </w:tcPr>
          <w:p w14:paraId="54CD4253" w14:textId="77777777" w:rsidR="000B60E8" w:rsidRDefault="000B60E8" w:rsidP="00005E7E">
            <w:pPr>
              <w:jc w:val="right"/>
              <w:rPr>
                <w:rFonts w:ascii="Calibri" w:eastAsia="Times New Roman" w:hAnsi="Calibri" w:cs="Calibri"/>
                <w:color w:val="000000"/>
              </w:rPr>
            </w:pPr>
          </w:p>
        </w:tc>
      </w:tr>
      <w:tr w:rsidR="000B60E8" w:rsidRPr="00924B60" w14:paraId="2F9BC84D" w14:textId="77777777" w:rsidTr="000B60E8">
        <w:trPr>
          <w:trHeight w:val="288"/>
        </w:trPr>
        <w:tc>
          <w:tcPr>
            <w:tcW w:w="183" w:type="pct"/>
            <w:tcBorders>
              <w:top w:val="single" w:sz="4" w:space="0" w:color="auto"/>
            </w:tcBorders>
          </w:tcPr>
          <w:p w14:paraId="2C4ACE11" w14:textId="77777777" w:rsidR="000B60E8" w:rsidRDefault="000B60E8" w:rsidP="00005E7E">
            <w:pPr>
              <w:rPr>
                <w:rFonts w:ascii="Calibri" w:eastAsia="Times New Roman" w:hAnsi="Calibri" w:cs="Calibri"/>
                <w:color w:val="000000"/>
              </w:rPr>
            </w:pPr>
          </w:p>
        </w:tc>
        <w:tc>
          <w:tcPr>
            <w:tcW w:w="1002" w:type="pct"/>
            <w:tcBorders>
              <w:top w:val="single" w:sz="4" w:space="0" w:color="auto"/>
            </w:tcBorders>
            <w:noWrap/>
            <w:hideMark/>
          </w:tcPr>
          <w:p w14:paraId="7F22E5BB" w14:textId="15B7191B" w:rsidR="000B60E8" w:rsidRPr="00924B60" w:rsidRDefault="000B60E8" w:rsidP="00005E7E">
            <w:pPr>
              <w:rPr>
                <w:rFonts w:ascii="Calibri" w:eastAsia="Times New Roman" w:hAnsi="Calibri" w:cs="Calibri"/>
                <w:color w:val="000000"/>
              </w:rPr>
            </w:pPr>
            <w:r>
              <w:rPr>
                <w:rFonts w:ascii="Calibri" w:eastAsia="Times New Roman" w:hAnsi="Calibri" w:cs="Calibri"/>
                <w:color w:val="000000"/>
              </w:rPr>
              <w:t>66</w:t>
            </w:r>
          </w:p>
        </w:tc>
        <w:tc>
          <w:tcPr>
            <w:tcW w:w="1158" w:type="pct"/>
            <w:tcBorders>
              <w:top w:val="single" w:sz="4" w:space="0" w:color="auto"/>
            </w:tcBorders>
          </w:tcPr>
          <w:p w14:paraId="11CFBAFC" w14:textId="25612127" w:rsidR="000B60E8" w:rsidRPr="00924B60" w:rsidRDefault="00E64DC3" w:rsidP="00005E7E">
            <w:pPr>
              <w:jc w:val="right"/>
              <w:rPr>
                <w:rFonts w:ascii="Calibri" w:eastAsia="Times New Roman" w:hAnsi="Calibri" w:cs="Calibri"/>
                <w:color w:val="000000"/>
              </w:rPr>
            </w:pPr>
            <w:r>
              <w:rPr>
                <w:rFonts w:ascii="Calibri" w:eastAsia="Times New Roman" w:hAnsi="Calibri" w:cs="Calibri"/>
                <w:color w:val="000000"/>
              </w:rPr>
              <w:t>4</w:t>
            </w:r>
          </w:p>
        </w:tc>
        <w:tc>
          <w:tcPr>
            <w:tcW w:w="1181" w:type="pct"/>
            <w:tcBorders>
              <w:top w:val="single" w:sz="4" w:space="0" w:color="auto"/>
            </w:tcBorders>
            <w:noWrap/>
            <w:hideMark/>
          </w:tcPr>
          <w:p w14:paraId="01C3FAE9" w14:textId="234DC3DA" w:rsidR="000B60E8" w:rsidRPr="00924B60" w:rsidRDefault="00E64DC3" w:rsidP="00005E7E">
            <w:pPr>
              <w:jc w:val="right"/>
              <w:rPr>
                <w:rFonts w:ascii="Calibri" w:eastAsia="Times New Roman" w:hAnsi="Calibri" w:cs="Calibri"/>
                <w:color w:val="000000"/>
              </w:rPr>
            </w:pPr>
            <w:r>
              <w:rPr>
                <w:rFonts w:ascii="Calibri" w:eastAsia="Times New Roman" w:hAnsi="Calibri" w:cs="Calibri"/>
                <w:color w:val="000000"/>
              </w:rPr>
              <w:t>1</w:t>
            </w:r>
            <w:r w:rsidR="005611C7">
              <w:rPr>
                <w:rFonts w:ascii="Calibri" w:eastAsia="Times New Roman" w:hAnsi="Calibri" w:cs="Calibri"/>
                <w:color w:val="000000"/>
              </w:rPr>
              <w:t>·</w:t>
            </w:r>
            <w:r>
              <w:rPr>
                <w:rFonts w:ascii="Calibri" w:eastAsia="Times New Roman" w:hAnsi="Calibri" w:cs="Calibri"/>
                <w:color w:val="000000"/>
              </w:rPr>
              <w:t>000</w:t>
            </w:r>
          </w:p>
        </w:tc>
        <w:tc>
          <w:tcPr>
            <w:tcW w:w="1476" w:type="pct"/>
            <w:tcBorders>
              <w:top w:val="single" w:sz="4" w:space="0" w:color="auto"/>
            </w:tcBorders>
            <w:noWrap/>
            <w:hideMark/>
          </w:tcPr>
          <w:p w14:paraId="27A2E79A" w14:textId="59C51DAA" w:rsidR="000B60E8" w:rsidRPr="00924B60" w:rsidRDefault="00E64DC3" w:rsidP="00005E7E">
            <w:pPr>
              <w:jc w:val="right"/>
              <w:rPr>
                <w:rFonts w:ascii="Calibri" w:eastAsia="Times New Roman" w:hAnsi="Calibri" w:cs="Calibri"/>
                <w:color w:val="000000"/>
              </w:rPr>
            </w:pPr>
            <w:r>
              <w:t>0</w:t>
            </w:r>
            <w:r w:rsidR="005611C7">
              <w:t>·</w:t>
            </w:r>
            <w:r>
              <w:t>790</w:t>
            </w:r>
          </w:p>
        </w:tc>
      </w:tr>
      <w:tr w:rsidR="000B60E8" w:rsidRPr="00924B60" w14:paraId="6DA661CF" w14:textId="77777777" w:rsidTr="000B60E8">
        <w:trPr>
          <w:trHeight w:val="288"/>
        </w:trPr>
        <w:tc>
          <w:tcPr>
            <w:tcW w:w="183" w:type="pct"/>
          </w:tcPr>
          <w:p w14:paraId="69F1CA43" w14:textId="77777777" w:rsidR="000B60E8" w:rsidRDefault="000B60E8" w:rsidP="00005E7E">
            <w:pPr>
              <w:rPr>
                <w:rFonts w:ascii="Calibri" w:eastAsia="Times New Roman" w:hAnsi="Calibri" w:cs="Calibri"/>
                <w:color w:val="000000"/>
              </w:rPr>
            </w:pPr>
          </w:p>
        </w:tc>
        <w:tc>
          <w:tcPr>
            <w:tcW w:w="1002" w:type="pct"/>
            <w:noWrap/>
            <w:hideMark/>
          </w:tcPr>
          <w:p w14:paraId="06600526" w14:textId="4CD030ED" w:rsidR="000B60E8" w:rsidRPr="00924B60" w:rsidRDefault="000B60E8" w:rsidP="00005E7E">
            <w:pPr>
              <w:rPr>
                <w:rFonts w:ascii="Calibri" w:eastAsia="Times New Roman" w:hAnsi="Calibri" w:cs="Calibri"/>
                <w:color w:val="000000"/>
              </w:rPr>
            </w:pPr>
            <w:r>
              <w:rPr>
                <w:rFonts w:ascii="Calibri" w:eastAsia="Times New Roman" w:hAnsi="Calibri" w:cs="Calibri"/>
                <w:color w:val="000000"/>
              </w:rPr>
              <w:t>92</w:t>
            </w:r>
          </w:p>
        </w:tc>
        <w:tc>
          <w:tcPr>
            <w:tcW w:w="1158" w:type="pct"/>
          </w:tcPr>
          <w:p w14:paraId="19EACC2C" w14:textId="6231D06F" w:rsidR="000B60E8" w:rsidRPr="00924B60" w:rsidRDefault="00E64DC3" w:rsidP="00005E7E">
            <w:pPr>
              <w:jc w:val="right"/>
              <w:rPr>
                <w:rFonts w:ascii="Calibri" w:eastAsia="Times New Roman" w:hAnsi="Calibri" w:cs="Calibri"/>
                <w:color w:val="000000"/>
              </w:rPr>
            </w:pPr>
            <w:r>
              <w:rPr>
                <w:rFonts w:ascii="Calibri" w:eastAsia="Times New Roman" w:hAnsi="Calibri" w:cs="Calibri"/>
                <w:color w:val="000000"/>
              </w:rPr>
              <w:t>3</w:t>
            </w:r>
          </w:p>
        </w:tc>
        <w:tc>
          <w:tcPr>
            <w:tcW w:w="1181" w:type="pct"/>
            <w:noWrap/>
            <w:hideMark/>
          </w:tcPr>
          <w:p w14:paraId="49AB92EB" w14:textId="081DDAC9" w:rsidR="000B60E8" w:rsidRPr="00924B60" w:rsidRDefault="00E64DC3" w:rsidP="00005E7E">
            <w:pPr>
              <w:jc w:val="right"/>
              <w:rPr>
                <w:rFonts w:ascii="Calibri" w:eastAsia="Times New Roman" w:hAnsi="Calibri" w:cs="Calibri"/>
                <w:color w:val="000000"/>
              </w:rPr>
            </w:pPr>
            <w:r>
              <w:rPr>
                <w:rFonts w:ascii="Calibri" w:eastAsia="Times New Roman" w:hAnsi="Calibri" w:cs="Calibri"/>
                <w:color w:val="000000"/>
              </w:rPr>
              <w:t>1</w:t>
            </w:r>
            <w:r w:rsidR="005611C7">
              <w:rPr>
                <w:rFonts w:ascii="Calibri" w:eastAsia="Times New Roman" w:hAnsi="Calibri" w:cs="Calibri"/>
                <w:color w:val="000000"/>
              </w:rPr>
              <w:t>·</w:t>
            </w:r>
            <w:r>
              <w:rPr>
                <w:rFonts w:ascii="Calibri" w:eastAsia="Times New Roman" w:hAnsi="Calibri" w:cs="Calibri"/>
                <w:color w:val="000000"/>
              </w:rPr>
              <w:t>000</w:t>
            </w:r>
          </w:p>
        </w:tc>
        <w:tc>
          <w:tcPr>
            <w:tcW w:w="1476" w:type="pct"/>
            <w:noWrap/>
            <w:hideMark/>
          </w:tcPr>
          <w:p w14:paraId="78C661E4" w14:textId="61DAE939" w:rsidR="000B60E8" w:rsidRPr="00924B60" w:rsidRDefault="00E64DC3" w:rsidP="00005E7E">
            <w:pPr>
              <w:jc w:val="right"/>
              <w:rPr>
                <w:rFonts w:ascii="Calibri" w:eastAsia="Times New Roman" w:hAnsi="Calibri" w:cs="Calibri"/>
                <w:color w:val="000000"/>
              </w:rPr>
            </w:pPr>
            <w:r>
              <w:t>0</w:t>
            </w:r>
            <w:r w:rsidR="005611C7">
              <w:t>·</w:t>
            </w:r>
            <w:r>
              <w:t>682</w:t>
            </w:r>
          </w:p>
        </w:tc>
      </w:tr>
      <w:tr w:rsidR="000B60E8" w:rsidRPr="00924B60" w14:paraId="71026059" w14:textId="77777777" w:rsidTr="000B60E8">
        <w:trPr>
          <w:trHeight w:val="288"/>
        </w:trPr>
        <w:tc>
          <w:tcPr>
            <w:tcW w:w="183" w:type="pct"/>
          </w:tcPr>
          <w:p w14:paraId="444F29AB" w14:textId="77777777" w:rsidR="000B60E8" w:rsidRDefault="000B60E8" w:rsidP="00005E7E">
            <w:pPr>
              <w:rPr>
                <w:rFonts w:ascii="Calibri" w:eastAsia="Times New Roman" w:hAnsi="Calibri" w:cs="Calibri"/>
                <w:color w:val="000000"/>
              </w:rPr>
            </w:pPr>
          </w:p>
        </w:tc>
        <w:tc>
          <w:tcPr>
            <w:tcW w:w="1002" w:type="pct"/>
            <w:noWrap/>
            <w:hideMark/>
          </w:tcPr>
          <w:p w14:paraId="23033750" w14:textId="7BE96831" w:rsidR="000B60E8" w:rsidRPr="00924B60" w:rsidRDefault="000B60E8" w:rsidP="00005E7E">
            <w:pPr>
              <w:rPr>
                <w:rFonts w:ascii="Calibri" w:eastAsia="Times New Roman" w:hAnsi="Calibri" w:cs="Calibri"/>
                <w:color w:val="000000"/>
              </w:rPr>
            </w:pPr>
            <w:r>
              <w:rPr>
                <w:rFonts w:ascii="Calibri" w:eastAsia="Times New Roman" w:hAnsi="Calibri" w:cs="Calibri"/>
                <w:color w:val="000000"/>
              </w:rPr>
              <w:t>118</w:t>
            </w:r>
          </w:p>
        </w:tc>
        <w:tc>
          <w:tcPr>
            <w:tcW w:w="1158" w:type="pct"/>
          </w:tcPr>
          <w:p w14:paraId="34F982E0" w14:textId="694A05F9" w:rsidR="000B60E8" w:rsidRPr="00924B60" w:rsidRDefault="00E64DC3" w:rsidP="00005E7E">
            <w:pPr>
              <w:jc w:val="right"/>
              <w:rPr>
                <w:rFonts w:ascii="Calibri" w:eastAsia="Times New Roman" w:hAnsi="Calibri" w:cs="Calibri"/>
                <w:color w:val="000000"/>
              </w:rPr>
            </w:pPr>
            <w:r>
              <w:rPr>
                <w:rFonts w:ascii="Calibri" w:eastAsia="Times New Roman" w:hAnsi="Calibri" w:cs="Calibri"/>
                <w:color w:val="000000"/>
              </w:rPr>
              <w:t>3</w:t>
            </w:r>
          </w:p>
        </w:tc>
        <w:tc>
          <w:tcPr>
            <w:tcW w:w="1181" w:type="pct"/>
            <w:noWrap/>
            <w:hideMark/>
          </w:tcPr>
          <w:p w14:paraId="089062CD" w14:textId="6D0BDED5" w:rsidR="000B60E8" w:rsidRPr="00924B60" w:rsidRDefault="00E64DC3" w:rsidP="00005E7E">
            <w:pPr>
              <w:jc w:val="right"/>
              <w:rPr>
                <w:rFonts w:ascii="Calibri" w:eastAsia="Times New Roman" w:hAnsi="Calibri" w:cs="Calibri"/>
                <w:color w:val="000000"/>
              </w:rPr>
            </w:pPr>
            <w:r>
              <w:rPr>
                <w:rFonts w:ascii="Calibri" w:eastAsia="Times New Roman" w:hAnsi="Calibri" w:cs="Calibri"/>
                <w:color w:val="000000"/>
              </w:rPr>
              <w:t>1</w:t>
            </w:r>
            <w:r w:rsidR="005611C7">
              <w:rPr>
                <w:rFonts w:ascii="Calibri" w:eastAsia="Times New Roman" w:hAnsi="Calibri" w:cs="Calibri"/>
                <w:color w:val="000000"/>
              </w:rPr>
              <w:t>·</w:t>
            </w:r>
            <w:r>
              <w:rPr>
                <w:rFonts w:ascii="Calibri" w:eastAsia="Times New Roman" w:hAnsi="Calibri" w:cs="Calibri"/>
                <w:color w:val="000000"/>
              </w:rPr>
              <w:t>000</w:t>
            </w:r>
          </w:p>
        </w:tc>
        <w:tc>
          <w:tcPr>
            <w:tcW w:w="1476" w:type="pct"/>
            <w:noWrap/>
            <w:hideMark/>
          </w:tcPr>
          <w:p w14:paraId="20A83B94" w14:textId="27DB9AE5" w:rsidR="000B60E8" w:rsidRPr="00924B60" w:rsidRDefault="00E64DC3" w:rsidP="00005E7E">
            <w:pPr>
              <w:jc w:val="right"/>
              <w:rPr>
                <w:rFonts w:ascii="Calibri" w:eastAsia="Times New Roman" w:hAnsi="Calibri" w:cs="Calibri"/>
                <w:color w:val="000000"/>
              </w:rPr>
            </w:pPr>
            <w:r>
              <w:t>0</w:t>
            </w:r>
            <w:r w:rsidR="005611C7">
              <w:t>·</w:t>
            </w:r>
            <w:r>
              <w:t>790</w:t>
            </w:r>
          </w:p>
        </w:tc>
      </w:tr>
      <w:tr w:rsidR="00E64DC3" w:rsidRPr="00924B60" w14:paraId="2D44E052" w14:textId="77777777" w:rsidTr="000B60E8">
        <w:trPr>
          <w:trHeight w:val="288"/>
        </w:trPr>
        <w:tc>
          <w:tcPr>
            <w:tcW w:w="183" w:type="pct"/>
          </w:tcPr>
          <w:p w14:paraId="59CFC68E" w14:textId="77777777" w:rsidR="00E64DC3" w:rsidRDefault="00E64DC3" w:rsidP="00E64DC3">
            <w:pPr>
              <w:rPr>
                <w:rFonts w:ascii="Calibri" w:eastAsia="Times New Roman" w:hAnsi="Calibri" w:cs="Calibri"/>
                <w:color w:val="000000"/>
              </w:rPr>
            </w:pPr>
          </w:p>
        </w:tc>
        <w:tc>
          <w:tcPr>
            <w:tcW w:w="1002" w:type="pct"/>
            <w:noWrap/>
            <w:hideMark/>
          </w:tcPr>
          <w:p w14:paraId="03373065" w14:textId="2BFE675B" w:rsidR="00E64DC3" w:rsidRPr="00924B60" w:rsidRDefault="00E64DC3" w:rsidP="00E64DC3">
            <w:pPr>
              <w:rPr>
                <w:rFonts w:ascii="Calibri" w:eastAsia="Times New Roman" w:hAnsi="Calibri" w:cs="Calibri"/>
                <w:color w:val="000000"/>
              </w:rPr>
            </w:pPr>
            <w:r>
              <w:rPr>
                <w:rFonts w:ascii="Calibri" w:eastAsia="Times New Roman" w:hAnsi="Calibri" w:cs="Calibri"/>
                <w:color w:val="000000"/>
              </w:rPr>
              <w:t>138</w:t>
            </w:r>
          </w:p>
        </w:tc>
        <w:tc>
          <w:tcPr>
            <w:tcW w:w="1158" w:type="pct"/>
          </w:tcPr>
          <w:p w14:paraId="28816E7E" w14:textId="7E2DB84F" w:rsidR="00E64DC3" w:rsidRPr="00924B60" w:rsidRDefault="00E64DC3" w:rsidP="00E64DC3">
            <w:pPr>
              <w:jc w:val="right"/>
              <w:rPr>
                <w:rFonts w:ascii="Calibri" w:eastAsia="Times New Roman" w:hAnsi="Calibri" w:cs="Calibri"/>
                <w:color w:val="000000"/>
              </w:rPr>
            </w:pPr>
            <w:r>
              <w:rPr>
                <w:rFonts w:ascii="Calibri" w:eastAsia="Times New Roman" w:hAnsi="Calibri" w:cs="Calibri"/>
                <w:color w:val="000000"/>
              </w:rPr>
              <w:t>7</w:t>
            </w:r>
          </w:p>
        </w:tc>
        <w:tc>
          <w:tcPr>
            <w:tcW w:w="1181" w:type="pct"/>
            <w:noWrap/>
            <w:hideMark/>
          </w:tcPr>
          <w:p w14:paraId="2A1D7848" w14:textId="4CB958B3" w:rsidR="00E64DC3" w:rsidRPr="00924B60" w:rsidRDefault="00E64DC3" w:rsidP="00E64DC3">
            <w:pPr>
              <w:tabs>
                <w:tab w:val="left" w:pos="1440"/>
                <w:tab w:val="right" w:pos="1616"/>
              </w:tabs>
              <w:jc w:val="right"/>
              <w:rPr>
                <w:rFonts w:ascii="Calibri" w:eastAsia="Times New Roman" w:hAnsi="Calibri" w:cs="Calibri"/>
                <w:color w:val="000000"/>
              </w:rPr>
            </w:pPr>
            <w:r>
              <w:rPr>
                <w:rFonts w:ascii="Calibri" w:eastAsia="Times New Roman" w:hAnsi="Calibri" w:cs="Calibri"/>
                <w:color w:val="000000"/>
              </w:rPr>
              <w:t>1</w:t>
            </w:r>
            <w:r w:rsidR="005611C7">
              <w:rPr>
                <w:rFonts w:ascii="Calibri" w:eastAsia="Times New Roman" w:hAnsi="Calibri" w:cs="Calibri"/>
                <w:color w:val="000000"/>
              </w:rPr>
              <w:t>·</w:t>
            </w:r>
            <w:r>
              <w:rPr>
                <w:rFonts w:ascii="Calibri" w:eastAsia="Times New Roman" w:hAnsi="Calibri" w:cs="Calibri"/>
                <w:color w:val="000000"/>
              </w:rPr>
              <w:t>000</w:t>
            </w:r>
          </w:p>
        </w:tc>
        <w:tc>
          <w:tcPr>
            <w:tcW w:w="1476" w:type="pct"/>
            <w:noWrap/>
            <w:hideMark/>
          </w:tcPr>
          <w:p w14:paraId="403ADD34" w14:textId="18EB1B52" w:rsidR="00E64DC3" w:rsidRPr="00924B60" w:rsidRDefault="00E64DC3" w:rsidP="00E64DC3">
            <w:pPr>
              <w:jc w:val="right"/>
              <w:rPr>
                <w:rFonts w:ascii="Calibri" w:eastAsia="Times New Roman" w:hAnsi="Calibri" w:cs="Calibri"/>
                <w:color w:val="000000"/>
              </w:rPr>
            </w:pPr>
            <w:r>
              <w:t>0</w:t>
            </w:r>
            <w:r w:rsidR="005611C7">
              <w:t>·</w:t>
            </w:r>
            <w:r>
              <w:t>682</w:t>
            </w:r>
          </w:p>
        </w:tc>
      </w:tr>
      <w:tr w:rsidR="00E64DC3" w:rsidRPr="00924B60" w14:paraId="2A7E7983" w14:textId="77777777" w:rsidTr="000B60E8">
        <w:trPr>
          <w:trHeight w:val="288"/>
        </w:trPr>
        <w:tc>
          <w:tcPr>
            <w:tcW w:w="183" w:type="pct"/>
          </w:tcPr>
          <w:p w14:paraId="2A7A5D1E" w14:textId="77777777" w:rsidR="00E64DC3" w:rsidRDefault="00E64DC3" w:rsidP="00E64DC3">
            <w:pPr>
              <w:rPr>
                <w:rFonts w:ascii="Calibri" w:eastAsia="Times New Roman" w:hAnsi="Calibri" w:cs="Calibri"/>
                <w:color w:val="000000"/>
              </w:rPr>
            </w:pPr>
          </w:p>
        </w:tc>
        <w:tc>
          <w:tcPr>
            <w:tcW w:w="1002" w:type="pct"/>
            <w:noWrap/>
            <w:hideMark/>
          </w:tcPr>
          <w:p w14:paraId="465E67C1" w14:textId="13010DC8" w:rsidR="00E64DC3" w:rsidRPr="00924B60" w:rsidRDefault="00E64DC3" w:rsidP="00E64DC3">
            <w:pPr>
              <w:rPr>
                <w:rFonts w:ascii="Calibri" w:eastAsia="Times New Roman" w:hAnsi="Calibri" w:cs="Calibri"/>
                <w:color w:val="000000"/>
              </w:rPr>
            </w:pPr>
            <w:r>
              <w:rPr>
                <w:rFonts w:ascii="Calibri" w:eastAsia="Times New Roman" w:hAnsi="Calibri" w:cs="Calibri"/>
                <w:color w:val="000000"/>
              </w:rPr>
              <w:t>140</w:t>
            </w:r>
          </w:p>
        </w:tc>
        <w:tc>
          <w:tcPr>
            <w:tcW w:w="1158" w:type="pct"/>
          </w:tcPr>
          <w:p w14:paraId="1648E7FB" w14:textId="1BA0F514" w:rsidR="00E64DC3" w:rsidRPr="00924B60" w:rsidRDefault="00E64DC3" w:rsidP="00E64DC3">
            <w:pPr>
              <w:jc w:val="right"/>
              <w:rPr>
                <w:rFonts w:ascii="Calibri" w:eastAsia="Times New Roman" w:hAnsi="Calibri" w:cs="Calibri"/>
                <w:color w:val="000000"/>
              </w:rPr>
            </w:pPr>
            <w:r>
              <w:rPr>
                <w:rFonts w:ascii="Calibri" w:eastAsia="Times New Roman" w:hAnsi="Calibri" w:cs="Calibri"/>
                <w:color w:val="000000"/>
              </w:rPr>
              <w:t>10</w:t>
            </w:r>
          </w:p>
        </w:tc>
        <w:tc>
          <w:tcPr>
            <w:tcW w:w="1181" w:type="pct"/>
            <w:noWrap/>
            <w:hideMark/>
          </w:tcPr>
          <w:p w14:paraId="7904E3F4" w14:textId="744DFB32" w:rsidR="00E64DC3" w:rsidRPr="00924B60" w:rsidRDefault="00E64DC3" w:rsidP="00E64DC3">
            <w:pPr>
              <w:jc w:val="right"/>
              <w:rPr>
                <w:rFonts w:ascii="Calibri" w:eastAsia="Times New Roman" w:hAnsi="Calibri" w:cs="Calibri"/>
                <w:color w:val="000000"/>
              </w:rPr>
            </w:pPr>
            <w:r>
              <w:rPr>
                <w:rFonts w:ascii="Calibri" w:eastAsia="Times New Roman" w:hAnsi="Calibri" w:cs="Calibri"/>
                <w:color w:val="000000"/>
              </w:rPr>
              <w:t>0</w:t>
            </w:r>
            <w:r w:rsidR="005611C7">
              <w:rPr>
                <w:rFonts w:ascii="Calibri" w:eastAsia="Times New Roman" w:hAnsi="Calibri" w:cs="Calibri"/>
                <w:color w:val="000000"/>
              </w:rPr>
              <w:t>·</w:t>
            </w:r>
            <w:r>
              <w:rPr>
                <w:rFonts w:ascii="Calibri" w:eastAsia="Times New Roman" w:hAnsi="Calibri" w:cs="Calibri"/>
                <w:color w:val="000000"/>
              </w:rPr>
              <w:t>511</w:t>
            </w:r>
          </w:p>
        </w:tc>
        <w:tc>
          <w:tcPr>
            <w:tcW w:w="1476" w:type="pct"/>
            <w:noWrap/>
            <w:hideMark/>
          </w:tcPr>
          <w:p w14:paraId="0F5AD3DD" w14:textId="23769028" w:rsidR="00E64DC3" w:rsidRPr="00924B60" w:rsidRDefault="00E64DC3" w:rsidP="00E64DC3">
            <w:pPr>
              <w:jc w:val="right"/>
              <w:rPr>
                <w:rFonts w:ascii="Calibri" w:eastAsia="Times New Roman" w:hAnsi="Calibri" w:cs="Calibri"/>
                <w:color w:val="000000"/>
              </w:rPr>
            </w:pPr>
            <w:r>
              <w:t>0</w:t>
            </w:r>
            <w:r w:rsidR="005611C7">
              <w:t>·</w:t>
            </w:r>
            <w:r>
              <w:t>682</w:t>
            </w:r>
          </w:p>
        </w:tc>
      </w:tr>
      <w:tr w:rsidR="00E64DC3" w:rsidRPr="00924B60" w14:paraId="68B103A2" w14:textId="77777777" w:rsidTr="000B60E8">
        <w:trPr>
          <w:trHeight w:val="288"/>
        </w:trPr>
        <w:tc>
          <w:tcPr>
            <w:tcW w:w="183" w:type="pct"/>
          </w:tcPr>
          <w:p w14:paraId="1387CC45" w14:textId="77777777" w:rsidR="00E64DC3" w:rsidRDefault="00E64DC3" w:rsidP="00E64DC3">
            <w:pPr>
              <w:rPr>
                <w:rFonts w:ascii="Calibri" w:eastAsia="Times New Roman" w:hAnsi="Calibri" w:cs="Calibri"/>
                <w:color w:val="000000"/>
              </w:rPr>
            </w:pPr>
          </w:p>
        </w:tc>
        <w:tc>
          <w:tcPr>
            <w:tcW w:w="1002" w:type="pct"/>
            <w:noWrap/>
            <w:hideMark/>
          </w:tcPr>
          <w:p w14:paraId="51086138" w14:textId="335308DD" w:rsidR="00E64DC3" w:rsidRPr="00924B60" w:rsidRDefault="00E64DC3" w:rsidP="00E64DC3">
            <w:pPr>
              <w:rPr>
                <w:rFonts w:ascii="Calibri" w:eastAsia="Times New Roman" w:hAnsi="Calibri" w:cs="Calibri"/>
                <w:color w:val="000000"/>
              </w:rPr>
            </w:pPr>
            <w:r>
              <w:rPr>
                <w:rFonts w:ascii="Calibri" w:eastAsia="Times New Roman" w:hAnsi="Calibri" w:cs="Calibri"/>
                <w:color w:val="000000"/>
              </w:rPr>
              <w:t>143</w:t>
            </w:r>
          </w:p>
        </w:tc>
        <w:tc>
          <w:tcPr>
            <w:tcW w:w="1158" w:type="pct"/>
          </w:tcPr>
          <w:p w14:paraId="21B355F0" w14:textId="150BD763" w:rsidR="00E64DC3" w:rsidRPr="00924B60" w:rsidRDefault="00E64DC3" w:rsidP="00E64DC3">
            <w:pPr>
              <w:jc w:val="right"/>
              <w:rPr>
                <w:rFonts w:ascii="Calibri" w:eastAsia="Times New Roman" w:hAnsi="Calibri" w:cs="Calibri"/>
                <w:color w:val="000000"/>
              </w:rPr>
            </w:pPr>
            <w:r>
              <w:rPr>
                <w:rFonts w:ascii="Calibri" w:eastAsia="Times New Roman" w:hAnsi="Calibri" w:cs="Calibri"/>
                <w:color w:val="000000"/>
              </w:rPr>
              <w:t>2</w:t>
            </w:r>
          </w:p>
        </w:tc>
        <w:tc>
          <w:tcPr>
            <w:tcW w:w="1181" w:type="pct"/>
            <w:noWrap/>
            <w:hideMark/>
          </w:tcPr>
          <w:p w14:paraId="46B21170" w14:textId="0C8A6046" w:rsidR="00E64DC3" w:rsidRPr="00924B60" w:rsidRDefault="00E64DC3" w:rsidP="00E64DC3">
            <w:pPr>
              <w:jc w:val="right"/>
              <w:rPr>
                <w:rFonts w:ascii="Calibri" w:eastAsia="Times New Roman" w:hAnsi="Calibri" w:cs="Calibri"/>
                <w:b/>
                <w:bCs/>
                <w:color w:val="000000"/>
              </w:rPr>
            </w:pPr>
            <w:r>
              <w:rPr>
                <w:rFonts w:ascii="Calibri" w:eastAsia="Times New Roman" w:hAnsi="Calibri" w:cs="Calibri"/>
                <w:color w:val="000000"/>
              </w:rPr>
              <w:t>1</w:t>
            </w:r>
            <w:r w:rsidR="005611C7">
              <w:rPr>
                <w:rFonts w:ascii="Calibri" w:eastAsia="Times New Roman" w:hAnsi="Calibri" w:cs="Calibri"/>
                <w:color w:val="000000"/>
              </w:rPr>
              <w:t>·</w:t>
            </w:r>
            <w:r>
              <w:rPr>
                <w:rFonts w:ascii="Calibri" w:eastAsia="Times New Roman" w:hAnsi="Calibri" w:cs="Calibri"/>
                <w:color w:val="000000"/>
              </w:rPr>
              <w:t>000</w:t>
            </w:r>
          </w:p>
        </w:tc>
        <w:tc>
          <w:tcPr>
            <w:tcW w:w="1476" w:type="pct"/>
            <w:noWrap/>
            <w:hideMark/>
          </w:tcPr>
          <w:p w14:paraId="0469C4D6" w14:textId="075DCDA5" w:rsidR="00E64DC3" w:rsidRPr="00924B60" w:rsidRDefault="00E64DC3" w:rsidP="00E64DC3">
            <w:pPr>
              <w:jc w:val="right"/>
              <w:rPr>
                <w:rFonts w:ascii="Calibri" w:eastAsia="Times New Roman" w:hAnsi="Calibri" w:cs="Calibri"/>
                <w:color w:val="000000"/>
              </w:rPr>
            </w:pPr>
            <w:r>
              <w:t>0</w:t>
            </w:r>
            <w:r w:rsidR="005611C7">
              <w:t>·</w:t>
            </w:r>
            <w:r>
              <w:t>682</w:t>
            </w:r>
          </w:p>
        </w:tc>
      </w:tr>
      <w:tr w:rsidR="00E64DC3" w:rsidRPr="00924B60" w14:paraId="2EBFAC12" w14:textId="77777777" w:rsidTr="000B60E8">
        <w:trPr>
          <w:trHeight w:val="288"/>
        </w:trPr>
        <w:tc>
          <w:tcPr>
            <w:tcW w:w="183" w:type="pct"/>
          </w:tcPr>
          <w:p w14:paraId="2CF788F9" w14:textId="77777777" w:rsidR="00E64DC3" w:rsidRDefault="00E64DC3" w:rsidP="00E64DC3">
            <w:pPr>
              <w:rPr>
                <w:rFonts w:ascii="Calibri" w:eastAsia="Times New Roman" w:hAnsi="Calibri" w:cs="Calibri"/>
                <w:color w:val="000000"/>
              </w:rPr>
            </w:pPr>
          </w:p>
        </w:tc>
        <w:tc>
          <w:tcPr>
            <w:tcW w:w="1002" w:type="pct"/>
            <w:noWrap/>
            <w:hideMark/>
          </w:tcPr>
          <w:p w14:paraId="69E54489" w14:textId="5BB43F91" w:rsidR="00E64DC3" w:rsidRPr="00924B60" w:rsidRDefault="00E64DC3" w:rsidP="00E64DC3">
            <w:pPr>
              <w:rPr>
                <w:rFonts w:ascii="Calibri" w:eastAsia="Times New Roman" w:hAnsi="Calibri" w:cs="Calibri"/>
                <w:color w:val="000000"/>
              </w:rPr>
            </w:pPr>
            <w:r>
              <w:rPr>
                <w:rFonts w:ascii="Calibri" w:eastAsia="Times New Roman" w:hAnsi="Calibri" w:cs="Calibri"/>
                <w:color w:val="000000"/>
              </w:rPr>
              <w:t>147</w:t>
            </w:r>
          </w:p>
        </w:tc>
        <w:tc>
          <w:tcPr>
            <w:tcW w:w="1158" w:type="pct"/>
          </w:tcPr>
          <w:p w14:paraId="7B626D24" w14:textId="3B976564" w:rsidR="00E64DC3" w:rsidRPr="00924B60" w:rsidRDefault="00E64DC3" w:rsidP="00E64DC3">
            <w:pPr>
              <w:jc w:val="right"/>
              <w:rPr>
                <w:rFonts w:ascii="Calibri" w:eastAsia="Times New Roman" w:hAnsi="Calibri" w:cs="Calibri"/>
                <w:color w:val="000000"/>
              </w:rPr>
            </w:pPr>
            <w:r>
              <w:rPr>
                <w:rFonts w:ascii="Calibri" w:eastAsia="Times New Roman" w:hAnsi="Calibri" w:cs="Calibri"/>
                <w:color w:val="000000"/>
              </w:rPr>
              <w:t>2</w:t>
            </w:r>
          </w:p>
        </w:tc>
        <w:tc>
          <w:tcPr>
            <w:tcW w:w="1181" w:type="pct"/>
            <w:noWrap/>
            <w:hideMark/>
          </w:tcPr>
          <w:p w14:paraId="10426371" w14:textId="00B1B641" w:rsidR="00E64DC3" w:rsidRPr="00924B60" w:rsidRDefault="00E64DC3" w:rsidP="00E64DC3">
            <w:pPr>
              <w:jc w:val="right"/>
              <w:rPr>
                <w:rFonts w:ascii="Calibri" w:eastAsia="Times New Roman" w:hAnsi="Calibri" w:cs="Calibri"/>
                <w:color w:val="000000"/>
              </w:rPr>
            </w:pPr>
            <w:r>
              <w:rPr>
                <w:rFonts w:ascii="Calibri" w:eastAsia="Times New Roman" w:hAnsi="Calibri" w:cs="Calibri"/>
                <w:color w:val="000000"/>
              </w:rPr>
              <w:t>1</w:t>
            </w:r>
            <w:r w:rsidR="005611C7">
              <w:rPr>
                <w:rFonts w:ascii="Calibri" w:eastAsia="Times New Roman" w:hAnsi="Calibri" w:cs="Calibri"/>
                <w:color w:val="000000"/>
              </w:rPr>
              <w:t>·</w:t>
            </w:r>
            <w:r>
              <w:rPr>
                <w:rFonts w:ascii="Calibri" w:eastAsia="Times New Roman" w:hAnsi="Calibri" w:cs="Calibri"/>
                <w:color w:val="000000"/>
              </w:rPr>
              <w:t>000</w:t>
            </w:r>
          </w:p>
        </w:tc>
        <w:tc>
          <w:tcPr>
            <w:tcW w:w="1476" w:type="pct"/>
            <w:noWrap/>
            <w:hideMark/>
          </w:tcPr>
          <w:p w14:paraId="24D23172" w14:textId="520B1E32" w:rsidR="00E64DC3" w:rsidRPr="00924B60" w:rsidRDefault="00E64DC3" w:rsidP="00E64DC3">
            <w:pPr>
              <w:jc w:val="right"/>
              <w:rPr>
                <w:rFonts w:ascii="Calibri" w:eastAsia="Times New Roman" w:hAnsi="Calibri" w:cs="Calibri"/>
                <w:color w:val="000000"/>
              </w:rPr>
            </w:pPr>
            <w:r>
              <w:t>0</w:t>
            </w:r>
            <w:r w:rsidR="005611C7">
              <w:t>·</w:t>
            </w:r>
            <w:r>
              <w:t>682</w:t>
            </w:r>
          </w:p>
        </w:tc>
      </w:tr>
      <w:tr w:rsidR="00E64DC3" w:rsidRPr="00924B60" w14:paraId="7D4F303C" w14:textId="77777777" w:rsidTr="000B60E8">
        <w:trPr>
          <w:trHeight w:val="288"/>
        </w:trPr>
        <w:tc>
          <w:tcPr>
            <w:tcW w:w="183" w:type="pct"/>
          </w:tcPr>
          <w:p w14:paraId="74F03809" w14:textId="77777777" w:rsidR="00E64DC3" w:rsidRDefault="00E64DC3" w:rsidP="00E64DC3">
            <w:pPr>
              <w:rPr>
                <w:rFonts w:ascii="Calibri" w:eastAsia="Times New Roman" w:hAnsi="Calibri" w:cs="Calibri"/>
                <w:color w:val="000000"/>
              </w:rPr>
            </w:pPr>
          </w:p>
        </w:tc>
        <w:tc>
          <w:tcPr>
            <w:tcW w:w="1002" w:type="pct"/>
            <w:noWrap/>
            <w:hideMark/>
          </w:tcPr>
          <w:p w14:paraId="0A38F739" w14:textId="2F4E967E" w:rsidR="00E64DC3" w:rsidRPr="00924B60" w:rsidRDefault="00E64DC3" w:rsidP="00E64DC3">
            <w:pPr>
              <w:rPr>
                <w:rFonts w:ascii="Calibri" w:eastAsia="Times New Roman" w:hAnsi="Calibri" w:cs="Calibri"/>
                <w:color w:val="000000"/>
              </w:rPr>
            </w:pPr>
            <w:r>
              <w:rPr>
                <w:rFonts w:ascii="Calibri" w:eastAsia="Times New Roman" w:hAnsi="Calibri" w:cs="Calibri"/>
                <w:color w:val="000000"/>
              </w:rPr>
              <w:t>148</w:t>
            </w:r>
          </w:p>
        </w:tc>
        <w:tc>
          <w:tcPr>
            <w:tcW w:w="1158" w:type="pct"/>
          </w:tcPr>
          <w:p w14:paraId="0AEF119D" w14:textId="7E807B05" w:rsidR="00E64DC3" w:rsidRPr="00924B60" w:rsidRDefault="00E64DC3" w:rsidP="00E64DC3">
            <w:pPr>
              <w:jc w:val="right"/>
              <w:rPr>
                <w:rFonts w:ascii="Calibri" w:eastAsia="Times New Roman" w:hAnsi="Calibri" w:cs="Calibri"/>
                <w:color w:val="000000"/>
              </w:rPr>
            </w:pPr>
            <w:r>
              <w:rPr>
                <w:rFonts w:ascii="Calibri" w:eastAsia="Times New Roman" w:hAnsi="Calibri" w:cs="Calibri"/>
                <w:color w:val="000000"/>
              </w:rPr>
              <w:t>8</w:t>
            </w:r>
          </w:p>
        </w:tc>
        <w:tc>
          <w:tcPr>
            <w:tcW w:w="1181" w:type="pct"/>
            <w:noWrap/>
            <w:hideMark/>
          </w:tcPr>
          <w:p w14:paraId="782E0512" w14:textId="7C2FF231" w:rsidR="00E64DC3" w:rsidRPr="00924B60" w:rsidRDefault="00E64DC3" w:rsidP="00E64DC3">
            <w:pPr>
              <w:jc w:val="right"/>
              <w:rPr>
                <w:rFonts w:ascii="Calibri" w:eastAsia="Times New Roman" w:hAnsi="Calibri" w:cs="Calibri"/>
                <w:color w:val="000000"/>
              </w:rPr>
            </w:pPr>
            <w:r>
              <w:rPr>
                <w:rFonts w:ascii="Calibri" w:eastAsia="Times New Roman" w:hAnsi="Calibri" w:cs="Calibri"/>
                <w:color w:val="000000"/>
              </w:rPr>
              <w:t>1</w:t>
            </w:r>
            <w:r w:rsidR="005611C7">
              <w:rPr>
                <w:rFonts w:ascii="Calibri" w:eastAsia="Times New Roman" w:hAnsi="Calibri" w:cs="Calibri"/>
                <w:color w:val="000000"/>
              </w:rPr>
              <w:t>·</w:t>
            </w:r>
            <w:r>
              <w:rPr>
                <w:rFonts w:ascii="Calibri" w:eastAsia="Times New Roman" w:hAnsi="Calibri" w:cs="Calibri"/>
                <w:color w:val="000000"/>
              </w:rPr>
              <w:t>000</w:t>
            </w:r>
          </w:p>
        </w:tc>
        <w:tc>
          <w:tcPr>
            <w:tcW w:w="1476" w:type="pct"/>
            <w:noWrap/>
            <w:hideMark/>
          </w:tcPr>
          <w:p w14:paraId="45C6F91A" w14:textId="695A6E5B" w:rsidR="00E64DC3" w:rsidRPr="00924B60" w:rsidRDefault="00E64DC3" w:rsidP="00E64DC3">
            <w:pPr>
              <w:jc w:val="right"/>
              <w:rPr>
                <w:rFonts w:ascii="Calibri" w:eastAsia="Times New Roman" w:hAnsi="Calibri" w:cs="Calibri"/>
                <w:color w:val="000000"/>
              </w:rPr>
            </w:pPr>
            <w:r w:rsidRPr="00924B60">
              <w:rPr>
                <w:rFonts w:ascii="Calibri" w:eastAsia="Times New Roman" w:hAnsi="Calibri" w:cs="Calibri"/>
                <w:color w:val="000000"/>
              </w:rPr>
              <w:t>0</w:t>
            </w:r>
            <w:r w:rsidR="005611C7">
              <w:rPr>
                <w:rFonts w:ascii="Calibri" w:eastAsia="Times New Roman" w:hAnsi="Calibri" w:cs="Calibri"/>
                <w:color w:val="000000"/>
              </w:rPr>
              <w:t>·</w:t>
            </w:r>
            <w:r>
              <w:rPr>
                <w:rFonts w:ascii="Calibri" w:eastAsia="Times New Roman" w:hAnsi="Calibri" w:cs="Calibri"/>
                <w:color w:val="000000"/>
              </w:rPr>
              <w:t>509</w:t>
            </w:r>
          </w:p>
        </w:tc>
      </w:tr>
      <w:tr w:rsidR="00E64DC3" w:rsidRPr="00924B60" w14:paraId="010CCE50" w14:textId="77777777" w:rsidTr="000B60E8">
        <w:trPr>
          <w:trHeight w:val="288"/>
        </w:trPr>
        <w:tc>
          <w:tcPr>
            <w:tcW w:w="183" w:type="pct"/>
          </w:tcPr>
          <w:p w14:paraId="02570285" w14:textId="77777777" w:rsidR="00E64DC3" w:rsidRDefault="00E64DC3" w:rsidP="00E64DC3">
            <w:pPr>
              <w:rPr>
                <w:rFonts w:ascii="Calibri" w:eastAsia="Times New Roman" w:hAnsi="Calibri" w:cs="Calibri"/>
                <w:color w:val="000000"/>
              </w:rPr>
            </w:pPr>
          </w:p>
        </w:tc>
        <w:tc>
          <w:tcPr>
            <w:tcW w:w="1002" w:type="pct"/>
            <w:noWrap/>
            <w:hideMark/>
          </w:tcPr>
          <w:p w14:paraId="61FA6D2C" w14:textId="3EA2B06C" w:rsidR="00E64DC3" w:rsidRPr="00924B60" w:rsidRDefault="00E64DC3" w:rsidP="00E64DC3">
            <w:pPr>
              <w:rPr>
                <w:rFonts w:ascii="Calibri" w:eastAsia="Times New Roman" w:hAnsi="Calibri" w:cs="Calibri"/>
                <w:color w:val="000000"/>
              </w:rPr>
            </w:pPr>
            <w:r>
              <w:rPr>
                <w:rFonts w:ascii="Calibri" w:eastAsia="Times New Roman" w:hAnsi="Calibri" w:cs="Calibri"/>
                <w:color w:val="000000"/>
              </w:rPr>
              <w:t>155</w:t>
            </w:r>
          </w:p>
        </w:tc>
        <w:tc>
          <w:tcPr>
            <w:tcW w:w="1158" w:type="pct"/>
          </w:tcPr>
          <w:p w14:paraId="1A0D5673" w14:textId="6B13D1CE" w:rsidR="00E64DC3" w:rsidRPr="00924B60" w:rsidRDefault="00E64DC3" w:rsidP="00E64DC3">
            <w:pPr>
              <w:jc w:val="right"/>
              <w:rPr>
                <w:rFonts w:ascii="Calibri" w:eastAsia="Times New Roman" w:hAnsi="Calibri" w:cs="Calibri"/>
                <w:color w:val="000000"/>
              </w:rPr>
            </w:pPr>
            <w:r>
              <w:rPr>
                <w:rFonts w:ascii="Calibri" w:eastAsia="Times New Roman" w:hAnsi="Calibri" w:cs="Calibri"/>
                <w:color w:val="000000"/>
              </w:rPr>
              <w:t>9</w:t>
            </w:r>
          </w:p>
        </w:tc>
        <w:tc>
          <w:tcPr>
            <w:tcW w:w="1181" w:type="pct"/>
            <w:noWrap/>
            <w:hideMark/>
          </w:tcPr>
          <w:p w14:paraId="7BA45E13" w14:textId="7260B136" w:rsidR="00E64DC3" w:rsidRPr="00924B60" w:rsidRDefault="00E64DC3" w:rsidP="00E64DC3">
            <w:pPr>
              <w:jc w:val="right"/>
              <w:rPr>
                <w:rFonts w:ascii="Calibri" w:eastAsia="Times New Roman" w:hAnsi="Calibri" w:cs="Calibri"/>
                <w:color w:val="000000"/>
              </w:rPr>
            </w:pPr>
            <w:r>
              <w:rPr>
                <w:rFonts w:ascii="Calibri" w:eastAsia="Times New Roman" w:hAnsi="Calibri" w:cs="Calibri"/>
                <w:color w:val="000000"/>
              </w:rPr>
              <w:t>1</w:t>
            </w:r>
            <w:r w:rsidR="005611C7">
              <w:rPr>
                <w:rFonts w:ascii="Calibri" w:eastAsia="Times New Roman" w:hAnsi="Calibri" w:cs="Calibri"/>
                <w:color w:val="000000"/>
              </w:rPr>
              <w:t>·</w:t>
            </w:r>
            <w:r>
              <w:rPr>
                <w:rFonts w:ascii="Calibri" w:eastAsia="Times New Roman" w:hAnsi="Calibri" w:cs="Calibri"/>
                <w:color w:val="000000"/>
              </w:rPr>
              <w:t>000</w:t>
            </w:r>
          </w:p>
        </w:tc>
        <w:tc>
          <w:tcPr>
            <w:tcW w:w="1476" w:type="pct"/>
            <w:noWrap/>
            <w:hideMark/>
          </w:tcPr>
          <w:p w14:paraId="2299CAFB" w14:textId="51538F6B" w:rsidR="00E64DC3" w:rsidRPr="00924B60" w:rsidRDefault="00E64DC3" w:rsidP="00E64DC3">
            <w:pPr>
              <w:jc w:val="right"/>
              <w:rPr>
                <w:rFonts w:ascii="Calibri" w:eastAsia="Times New Roman" w:hAnsi="Calibri" w:cs="Calibri"/>
                <w:color w:val="000000"/>
              </w:rPr>
            </w:pPr>
            <w:r>
              <w:t>0</w:t>
            </w:r>
            <w:r w:rsidR="005611C7">
              <w:t>·</w:t>
            </w:r>
            <w:r>
              <w:t>682</w:t>
            </w:r>
          </w:p>
        </w:tc>
      </w:tr>
      <w:tr w:rsidR="00E64DC3" w:rsidRPr="00924B60" w14:paraId="6855F459" w14:textId="77777777" w:rsidTr="000B60E8">
        <w:trPr>
          <w:trHeight w:val="288"/>
        </w:trPr>
        <w:tc>
          <w:tcPr>
            <w:tcW w:w="183" w:type="pct"/>
          </w:tcPr>
          <w:p w14:paraId="5CD64204" w14:textId="77777777" w:rsidR="00E64DC3" w:rsidRDefault="00E64DC3" w:rsidP="00E64DC3">
            <w:pPr>
              <w:rPr>
                <w:rFonts w:ascii="Calibri" w:eastAsia="Times New Roman" w:hAnsi="Calibri" w:cs="Calibri"/>
                <w:color w:val="000000"/>
              </w:rPr>
            </w:pPr>
          </w:p>
        </w:tc>
        <w:tc>
          <w:tcPr>
            <w:tcW w:w="1002" w:type="pct"/>
            <w:noWrap/>
            <w:hideMark/>
          </w:tcPr>
          <w:p w14:paraId="63537F58" w14:textId="5F084F47" w:rsidR="00E64DC3" w:rsidRPr="00924B60" w:rsidRDefault="00E64DC3" w:rsidP="00E64DC3">
            <w:pPr>
              <w:rPr>
                <w:rFonts w:ascii="Calibri" w:eastAsia="Times New Roman" w:hAnsi="Calibri" w:cs="Calibri"/>
                <w:color w:val="000000"/>
              </w:rPr>
            </w:pPr>
            <w:r>
              <w:rPr>
                <w:rFonts w:ascii="Calibri" w:eastAsia="Times New Roman" w:hAnsi="Calibri" w:cs="Calibri"/>
                <w:color w:val="000000"/>
              </w:rPr>
              <w:t>263</w:t>
            </w:r>
          </w:p>
        </w:tc>
        <w:tc>
          <w:tcPr>
            <w:tcW w:w="1158" w:type="pct"/>
          </w:tcPr>
          <w:p w14:paraId="5DD7033D" w14:textId="20850D98" w:rsidR="00E64DC3" w:rsidRPr="00924B60" w:rsidRDefault="00E64DC3" w:rsidP="00E64DC3">
            <w:pPr>
              <w:jc w:val="right"/>
              <w:rPr>
                <w:rFonts w:ascii="Calibri" w:eastAsia="Times New Roman" w:hAnsi="Calibri" w:cs="Calibri"/>
                <w:color w:val="000000"/>
              </w:rPr>
            </w:pPr>
            <w:r>
              <w:rPr>
                <w:rFonts w:ascii="Calibri" w:eastAsia="Times New Roman" w:hAnsi="Calibri" w:cs="Calibri"/>
                <w:color w:val="000000"/>
              </w:rPr>
              <w:t>11</w:t>
            </w:r>
          </w:p>
        </w:tc>
        <w:tc>
          <w:tcPr>
            <w:tcW w:w="1181" w:type="pct"/>
            <w:noWrap/>
            <w:hideMark/>
          </w:tcPr>
          <w:p w14:paraId="354B6730" w14:textId="7D320F54" w:rsidR="00E64DC3" w:rsidRPr="00924B60" w:rsidRDefault="00E64DC3" w:rsidP="00E64DC3">
            <w:pPr>
              <w:jc w:val="right"/>
              <w:rPr>
                <w:rFonts w:ascii="Calibri" w:eastAsia="Times New Roman" w:hAnsi="Calibri" w:cs="Calibri"/>
                <w:color w:val="000000"/>
              </w:rPr>
            </w:pPr>
            <w:r>
              <w:rPr>
                <w:rFonts w:ascii="Calibri" w:eastAsia="Times New Roman" w:hAnsi="Calibri" w:cs="Calibri"/>
                <w:color w:val="000000"/>
              </w:rPr>
              <w:t>0</w:t>
            </w:r>
            <w:r w:rsidR="005611C7">
              <w:rPr>
                <w:rFonts w:ascii="Calibri" w:eastAsia="Times New Roman" w:hAnsi="Calibri" w:cs="Calibri"/>
                <w:color w:val="000000"/>
              </w:rPr>
              <w:t>·</w:t>
            </w:r>
            <w:r>
              <w:rPr>
                <w:rFonts w:ascii="Calibri" w:eastAsia="Times New Roman" w:hAnsi="Calibri" w:cs="Calibri"/>
                <w:color w:val="000000"/>
              </w:rPr>
              <w:t>367</w:t>
            </w:r>
          </w:p>
        </w:tc>
        <w:tc>
          <w:tcPr>
            <w:tcW w:w="1476" w:type="pct"/>
            <w:noWrap/>
            <w:hideMark/>
          </w:tcPr>
          <w:p w14:paraId="768BB2C4" w14:textId="30E2378F" w:rsidR="00E64DC3" w:rsidRPr="00924B60" w:rsidRDefault="00E64DC3" w:rsidP="00E64DC3">
            <w:pPr>
              <w:jc w:val="right"/>
              <w:rPr>
                <w:rFonts w:ascii="Calibri" w:eastAsia="Times New Roman" w:hAnsi="Calibri" w:cs="Calibri"/>
                <w:color w:val="000000"/>
              </w:rPr>
            </w:pPr>
            <w:r>
              <w:t>0</w:t>
            </w:r>
            <w:r w:rsidR="005611C7">
              <w:t>·</w:t>
            </w:r>
            <w:r>
              <w:t>790</w:t>
            </w:r>
          </w:p>
        </w:tc>
      </w:tr>
      <w:tr w:rsidR="00E64DC3" w:rsidRPr="00924B60" w14:paraId="03AFCD2B" w14:textId="77777777" w:rsidTr="000B60E8">
        <w:trPr>
          <w:trHeight w:val="288"/>
        </w:trPr>
        <w:tc>
          <w:tcPr>
            <w:tcW w:w="2343" w:type="pct"/>
            <w:gridSpan w:val="3"/>
            <w:tcBorders>
              <w:bottom w:val="single" w:sz="4" w:space="0" w:color="auto"/>
            </w:tcBorders>
          </w:tcPr>
          <w:p w14:paraId="081C4E6D" w14:textId="22AF8186" w:rsidR="00E64DC3" w:rsidRDefault="00E64DC3" w:rsidP="00E64DC3">
            <w:pPr>
              <w:rPr>
                <w:rFonts w:ascii="Calibri" w:eastAsia="Times New Roman" w:hAnsi="Calibri" w:cs="Calibri"/>
                <w:b/>
                <w:bCs/>
                <w:color w:val="000000"/>
              </w:rPr>
            </w:pPr>
          </w:p>
          <w:p w14:paraId="773D1C84" w14:textId="480F2571" w:rsidR="00E64DC3" w:rsidRPr="00924B60" w:rsidRDefault="00E64DC3" w:rsidP="00E64DC3">
            <w:pPr>
              <w:rPr>
                <w:rFonts w:ascii="Calibri" w:eastAsia="Times New Roman" w:hAnsi="Calibri" w:cs="Calibri"/>
                <w:color w:val="000000"/>
              </w:rPr>
            </w:pPr>
            <w:r>
              <w:rPr>
                <w:rFonts w:ascii="Calibri" w:eastAsia="Times New Roman" w:hAnsi="Calibri" w:cs="Calibri"/>
                <w:b/>
                <w:bCs/>
                <w:color w:val="000000"/>
              </w:rPr>
              <w:t>Accessory</w:t>
            </w:r>
            <w:r w:rsidRPr="000B60E8">
              <w:rPr>
                <w:rFonts w:ascii="Calibri" w:eastAsia="Times New Roman" w:hAnsi="Calibri" w:cs="Calibri"/>
                <w:b/>
                <w:bCs/>
                <w:color w:val="000000"/>
              </w:rPr>
              <w:t xml:space="preserve"> INSTI DRMs</w:t>
            </w:r>
          </w:p>
        </w:tc>
        <w:tc>
          <w:tcPr>
            <w:tcW w:w="1181" w:type="pct"/>
            <w:tcBorders>
              <w:bottom w:val="single" w:sz="4" w:space="0" w:color="auto"/>
            </w:tcBorders>
            <w:noWrap/>
          </w:tcPr>
          <w:p w14:paraId="717B3512" w14:textId="77777777" w:rsidR="00E64DC3" w:rsidRPr="00924B60" w:rsidRDefault="00E64DC3" w:rsidP="00E64DC3">
            <w:pPr>
              <w:jc w:val="right"/>
              <w:rPr>
                <w:rFonts w:ascii="Calibri" w:eastAsia="Times New Roman" w:hAnsi="Calibri" w:cs="Calibri"/>
                <w:color w:val="000000"/>
              </w:rPr>
            </w:pPr>
          </w:p>
        </w:tc>
        <w:tc>
          <w:tcPr>
            <w:tcW w:w="1476" w:type="pct"/>
            <w:tcBorders>
              <w:bottom w:val="single" w:sz="4" w:space="0" w:color="auto"/>
            </w:tcBorders>
            <w:noWrap/>
          </w:tcPr>
          <w:p w14:paraId="5C74B0CF" w14:textId="77777777" w:rsidR="00E64DC3" w:rsidRPr="00924B60" w:rsidRDefault="00E64DC3" w:rsidP="00E64DC3">
            <w:pPr>
              <w:jc w:val="right"/>
              <w:rPr>
                <w:rFonts w:ascii="Calibri" w:eastAsia="Times New Roman" w:hAnsi="Calibri" w:cs="Calibri"/>
                <w:color w:val="000000"/>
              </w:rPr>
            </w:pPr>
          </w:p>
        </w:tc>
      </w:tr>
      <w:tr w:rsidR="00E64DC3" w:rsidRPr="00924B60" w14:paraId="63DABBDA" w14:textId="77777777" w:rsidTr="000B60E8">
        <w:trPr>
          <w:trHeight w:val="288"/>
        </w:trPr>
        <w:tc>
          <w:tcPr>
            <w:tcW w:w="183" w:type="pct"/>
            <w:tcBorders>
              <w:top w:val="single" w:sz="4" w:space="0" w:color="auto"/>
            </w:tcBorders>
          </w:tcPr>
          <w:p w14:paraId="244A8CD0" w14:textId="77777777" w:rsidR="00E64DC3" w:rsidRPr="00924B60" w:rsidRDefault="00E64DC3" w:rsidP="00E64DC3">
            <w:pPr>
              <w:rPr>
                <w:rFonts w:ascii="Calibri" w:eastAsia="Times New Roman" w:hAnsi="Calibri" w:cs="Calibri"/>
                <w:color w:val="000000"/>
              </w:rPr>
            </w:pPr>
          </w:p>
        </w:tc>
        <w:tc>
          <w:tcPr>
            <w:tcW w:w="1002" w:type="pct"/>
            <w:tcBorders>
              <w:top w:val="single" w:sz="4" w:space="0" w:color="auto"/>
            </w:tcBorders>
            <w:noWrap/>
            <w:hideMark/>
          </w:tcPr>
          <w:p w14:paraId="448BF0F2" w14:textId="4544424B" w:rsidR="00E64DC3" w:rsidRPr="00924B60" w:rsidRDefault="00E64DC3" w:rsidP="00E64DC3">
            <w:pPr>
              <w:rPr>
                <w:rFonts w:ascii="Calibri" w:eastAsia="Times New Roman" w:hAnsi="Calibri" w:cs="Calibri"/>
                <w:color w:val="000000"/>
              </w:rPr>
            </w:pPr>
            <w:r>
              <w:rPr>
                <w:rFonts w:ascii="Calibri" w:eastAsia="Times New Roman" w:hAnsi="Calibri" w:cs="Calibri"/>
                <w:color w:val="000000"/>
              </w:rPr>
              <w:t>49</w:t>
            </w:r>
          </w:p>
        </w:tc>
        <w:tc>
          <w:tcPr>
            <w:tcW w:w="1158" w:type="pct"/>
            <w:tcBorders>
              <w:top w:val="single" w:sz="4" w:space="0" w:color="auto"/>
            </w:tcBorders>
          </w:tcPr>
          <w:p w14:paraId="625E1DC7" w14:textId="30CCAA1F" w:rsidR="00E64DC3" w:rsidRPr="00924B60" w:rsidRDefault="00E64DC3" w:rsidP="00E64DC3">
            <w:pPr>
              <w:jc w:val="right"/>
              <w:rPr>
                <w:rFonts w:ascii="Calibri" w:eastAsia="Times New Roman" w:hAnsi="Calibri" w:cs="Calibri"/>
                <w:color w:val="000000"/>
              </w:rPr>
            </w:pPr>
            <w:r>
              <w:rPr>
                <w:rFonts w:ascii="Calibri" w:eastAsia="Times New Roman" w:hAnsi="Calibri" w:cs="Calibri"/>
                <w:color w:val="000000"/>
              </w:rPr>
              <w:t>1</w:t>
            </w:r>
          </w:p>
        </w:tc>
        <w:tc>
          <w:tcPr>
            <w:tcW w:w="1181" w:type="pct"/>
            <w:tcBorders>
              <w:top w:val="single" w:sz="4" w:space="0" w:color="auto"/>
            </w:tcBorders>
            <w:noWrap/>
            <w:hideMark/>
          </w:tcPr>
          <w:p w14:paraId="75B5756F" w14:textId="7910C02F" w:rsidR="00E64DC3" w:rsidRPr="00924B60" w:rsidRDefault="00362715" w:rsidP="00E64DC3">
            <w:pPr>
              <w:jc w:val="right"/>
              <w:rPr>
                <w:rFonts w:ascii="Calibri" w:eastAsia="Times New Roman" w:hAnsi="Calibri" w:cs="Calibri"/>
                <w:color w:val="000000"/>
              </w:rPr>
            </w:pPr>
            <w:r>
              <w:rPr>
                <w:rFonts w:ascii="Calibri" w:eastAsia="Times New Roman" w:hAnsi="Calibri" w:cs="Calibri"/>
                <w:color w:val="000000"/>
              </w:rPr>
              <w:t>0</w:t>
            </w:r>
            <w:r w:rsidR="005611C7">
              <w:rPr>
                <w:rFonts w:ascii="Calibri" w:eastAsia="Times New Roman" w:hAnsi="Calibri" w:cs="Calibri"/>
                <w:color w:val="000000"/>
              </w:rPr>
              <w:t>·</w:t>
            </w:r>
            <w:r>
              <w:rPr>
                <w:rFonts w:ascii="Calibri" w:eastAsia="Times New Roman" w:hAnsi="Calibri" w:cs="Calibri"/>
                <w:color w:val="000000"/>
              </w:rPr>
              <w:t>503</w:t>
            </w:r>
          </w:p>
        </w:tc>
        <w:tc>
          <w:tcPr>
            <w:tcW w:w="1476" w:type="pct"/>
            <w:tcBorders>
              <w:top w:val="single" w:sz="4" w:space="0" w:color="auto"/>
            </w:tcBorders>
            <w:noWrap/>
            <w:hideMark/>
          </w:tcPr>
          <w:p w14:paraId="7DEC0DCF" w14:textId="145E91C5" w:rsidR="00E64DC3" w:rsidRPr="00924B60" w:rsidRDefault="00E64DC3" w:rsidP="00E64DC3">
            <w:pPr>
              <w:jc w:val="right"/>
              <w:rPr>
                <w:rFonts w:ascii="Calibri" w:eastAsia="Times New Roman" w:hAnsi="Calibri" w:cs="Calibri"/>
                <w:color w:val="000000"/>
              </w:rPr>
            </w:pPr>
            <w:r>
              <w:t>1</w:t>
            </w:r>
            <w:r w:rsidR="005611C7">
              <w:t>·</w:t>
            </w:r>
            <w:r>
              <w:t>000</w:t>
            </w:r>
          </w:p>
        </w:tc>
      </w:tr>
      <w:tr w:rsidR="00E64DC3" w:rsidRPr="00924B60" w14:paraId="1DB3115A" w14:textId="77777777" w:rsidTr="000B60E8">
        <w:trPr>
          <w:trHeight w:val="288"/>
        </w:trPr>
        <w:tc>
          <w:tcPr>
            <w:tcW w:w="183" w:type="pct"/>
          </w:tcPr>
          <w:p w14:paraId="7DDBC82C" w14:textId="77777777" w:rsidR="00E64DC3" w:rsidRPr="00924B60" w:rsidRDefault="00E64DC3" w:rsidP="00E64DC3">
            <w:pPr>
              <w:rPr>
                <w:rFonts w:ascii="Calibri" w:eastAsia="Times New Roman" w:hAnsi="Calibri" w:cs="Calibri"/>
                <w:color w:val="000000"/>
              </w:rPr>
            </w:pPr>
          </w:p>
        </w:tc>
        <w:tc>
          <w:tcPr>
            <w:tcW w:w="1002" w:type="pct"/>
            <w:noWrap/>
            <w:hideMark/>
          </w:tcPr>
          <w:p w14:paraId="59658B90" w14:textId="22001937" w:rsidR="00E64DC3" w:rsidRPr="00924B60" w:rsidRDefault="00E64DC3" w:rsidP="00E64DC3">
            <w:pPr>
              <w:rPr>
                <w:rFonts w:ascii="Calibri" w:eastAsia="Times New Roman" w:hAnsi="Calibri" w:cs="Calibri"/>
                <w:color w:val="000000"/>
              </w:rPr>
            </w:pPr>
            <w:r>
              <w:rPr>
                <w:rFonts w:ascii="Calibri" w:eastAsia="Times New Roman" w:hAnsi="Calibri" w:cs="Calibri"/>
                <w:color w:val="000000"/>
              </w:rPr>
              <w:t>51</w:t>
            </w:r>
          </w:p>
        </w:tc>
        <w:tc>
          <w:tcPr>
            <w:tcW w:w="1158" w:type="pct"/>
          </w:tcPr>
          <w:p w14:paraId="29B5C789" w14:textId="4942B693" w:rsidR="00E64DC3" w:rsidRPr="00924B60" w:rsidRDefault="00E64DC3" w:rsidP="00E64DC3">
            <w:pPr>
              <w:jc w:val="right"/>
              <w:rPr>
                <w:rFonts w:ascii="Calibri" w:eastAsia="Times New Roman" w:hAnsi="Calibri" w:cs="Calibri"/>
                <w:color w:val="000000"/>
              </w:rPr>
            </w:pPr>
            <w:r>
              <w:rPr>
                <w:rFonts w:ascii="Calibri" w:eastAsia="Times New Roman" w:hAnsi="Calibri" w:cs="Calibri"/>
                <w:color w:val="000000"/>
              </w:rPr>
              <w:t>2</w:t>
            </w:r>
          </w:p>
        </w:tc>
        <w:tc>
          <w:tcPr>
            <w:tcW w:w="1181" w:type="pct"/>
            <w:noWrap/>
            <w:hideMark/>
          </w:tcPr>
          <w:p w14:paraId="6F3C2E9B" w14:textId="3EBA480D" w:rsidR="00E64DC3" w:rsidRPr="00924B60" w:rsidRDefault="00362715" w:rsidP="00E64DC3">
            <w:pPr>
              <w:jc w:val="right"/>
              <w:rPr>
                <w:rFonts w:ascii="Calibri" w:eastAsia="Times New Roman" w:hAnsi="Calibri" w:cs="Calibri"/>
                <w:color w:val="000000"/>
              </w:rPr>
            </w:pPr>
            <w:r>
              <w:rPr>
                <w:rFonts w:ascii="Calibri" w:eastAsia="Times New Roman" w:hAnsi="Calibri" w:cs="Calibri"/>
                <w:color w:val="000000"/>
              </w:rPr>
              <w:t>0</w:t>
            </w:r>
            <w:r w:rsidR="005611C7">
              <w:rPr>
                <w:rFonts w:ascii="Calibri" w:eastAsia="Times New Roman" w:hAnsi="Calibri" w:cs="Calibri"/>
                <w:color w:val="000000"/>
              </w:rPr>
              <w:t>·</w:t>
            </w:r>
            <w:r>
              <w:rPr>
                <w:rFonts w:ascii="Calibri" w:eastAsia="Times New Roman" w:hAnsi="Calibri" w:cs="Calibri"/>
                <w:color w:val="000000"/>
              </w:rPr>
              <w:t>195</w:t>
            </w:r>
          </w:p>
        </w:tc>
        <w:tc>
          <w:tcPr>
            <w:tcW w:w="1476" w:type="pct"/>
            <w:noWrap/>
            <w:hideMark/>
          </w:tcPr>
          <w:p w14:paraId="1610CDC7" w14:textId="23711040" w:rsidR="00E64DC3" w:rsidRPr="00924B60" w:rsidRDefault="00E64DC3" w:rsidP="00E64DC3">
            <w:pPr>
              <w:jc w:val="right"/>
              <w:rPr>
                <w:rFonts w:ascii="Calibri" w:eastAsia="Times New Roman" w:hAnsi="Calibri" w:cs="Calibri"/>
                <w:color w:val="000000"/>
              </w:rPr>
            </w:pPr>
            <w:r>
              <w:t>0</w:t>
            </w:r>
            <w:r w:rsidR="005611C7">
              <w:t>·</w:t>
            </w:r>
            <w:r>
              <w:t>790</w:t>
            </w:r>
          </w:p>
        </w:tc>
      </w:tr>
      <w:tr w:rsidR="00E64DC3" w:rsidRPr="00924B60" w14:paraId="338E51DE" w14:textId="77777777" w:rsidTr="000B60E8">
        <w:trPr>
          <w:trHeight w:val="288"/>
        </w:trPr>
        <w:tc>
          <w:tcPr>
            <w:tcW w:w="183" w:type="pct"/>
          </w:tcPr>
          <w:p w14:paraId="2816AADF" w14:textId="77777777" w:rsidR="00E64DC3" w:rsidRPr="00924B60" w:rsidRDefault="00E64DC3" w:rsidP="00E64DC3">
            <w:pPr>
              <w:rPr>
                <w:rFonts w:ascii="Calibri" w:eastAsia="Times New Roman" w:hAnsi="Calibri" w:cs="Calibri"/>
                <w:color w:val="000000"/>
              </w:rPr>
            </w:pPr>
          </w:p>
        </w:tc>
        <w:tc>
          <w:tcPr>
            <w:tcW w:w="1002" w:type="pct"/>
            <w:noWrap/>
            <w:hideMark/>
          </w:tcPr>
          <w:p w14:paraId="79AD7D2A" w14:textId="1C3D5715" w:rsidR="00E64DC3" w:rsidRPr="00924B60" w:rsidRDefault="00E64DC3" w:rsidP="00E64DC3">
            <w:pPr>
              <w:rPr>
                <w:rFonts w:ascii="Calibri" w:eastAsia="Times New Roman" w:hAnsi="Calibri" w:cs="Calibri"/>
                <w:color w:val="000000"/>
              </w:rPr>
            </w:pPr>
            <w:r>
              <w:rPr>
                <w:rFonts w:ascii="Calibri" w:eastAsia="Times New Roman" w:hAnsi="Calibri" w:cs="Calibri"/>
                <w:color w:val="000000"/>
              </w:rPr>
              <w:t>95</w:t>
            </w:r>
          </w:p>
        </w:tc>
        <w:tc>
          <w:tcPr>
            <w:tcW w:w="1158" w:type="pct"/>
          </w:tcPr>
          <w:p w14:paraId="52104ABD" w14:textId="3411DD42" w:rsidR="00E64DC3" w:rsidRPr="00924B60" w:rsidRDefault="00E64DC3" w:rsidP="00E64DC3">
            <w:pPr>
              <w:jc w:val="right"/>
              <w:rPr>
                <w:rFonts w:ascii="Calibri" w:eastAsia="Times New Roman" w:hAnsi="Calibri" w:cs="Calibri"/>
                <w:color w:val="000000"/>
              </w:rPr>
            </w:pPr>
            <w:r>
              <w:rPr>
                <w:rFonts w:ascii="Calibri" w:eastAsia="Times New Roman" w:hAnsi="Calibri" w:cs="Calibri"/>
                <w:color w:val="000000"/>
              </w:rPr>
              <w:t>3</w:t>
            </w:r>
          </w:p>
        </w:tc>
        <w:tc>
          <w:tcPr>
            <w:tcW w:w="1181" w:type="pct"/>
            <w:noWrap/>
            <w:hideMark/>
          </w:tcPr>
          <w:p w14:paraId="2C02CFCF" w14:textId="0156DAC4" w:rsidR="00E64DC3" w:rsidRPr="00924B60" w:rsidRDefault="00E64DC3" w:rsidP="00E64DC3">
            <w:pPr>
              <w:jc w:val="right"/>
              <w:rPr>
                <w:rFonts w:ascii="Calibri" w:eastAsia="Times New Roman" w:hAnsi="Calibri" w:cs="Calibri"/>
                <w:color w:val="000000"/>
              </w:rPr>
            </w:pPr>
            <w:r w:rsidRPr="00924B60">
              <w:rPr>
                <w:rFonts w:ascii="Calibri" w:eastAsia="Times New Roman" w:hAnsi="Calibri" w:cs="Calibri"/>
                <w:color w:val="000000"/>
              </w:rPr>
              <w:t>1</w:t>
            </w:r>
            <w:r w:rsidR="005611C7">
              <w:rPr>
                <w:rFonts w:ascii="Calibri" w:eastAsia="Times New Roman" w:hAnsi="Calibri" w:cs="Calibri"/>
                <w:color w:val="000000"/>
              </w:rPr>
              <w:t>·</w:t>
            </w:r>
            <w:r w:rsidR="00362715">
              <w:rPr>
                <w:rFonts w:ascii="Calibri" w:eastAsia="Times New Roman" w:hAnsi="Calibri" w:cs="Calibri"/>
                <w:color w:val="000000"/>
              </w:rPr>
              <w:t>000</w:t>
            </w:r>
          </w:p>
        </w:tc>
        <w:tc>
          <w:tcPr>
            <w:tcW w:w="1476" w:type="pct"/>
            <w:noWrap/>
            <w:hideMark/>
          </w:tcPr>
          <w:p w14:paraId="190D6FFF" w14:textId="0C5820B4" w:rsidR="00E64DC3" w:rsidRPr="00924B60" w:rsidRDefault="00E64DC3" w:rsidP="00E64DC3">
            <w:pPr>
              <w:jc w:val="right"/>
              <w:rPr>
                <w:rFonts w:ascii="Calibri" w:eastAsia="Times New Roman" w:hAnsi="Calibri" w:cs="Calibri"/>
                <w:color w:val="000000"/>
              </w:rPr>
            </w:pPr>
            <w:r>
              <w:t>1</w:t>
            </w:r>
            <w:r w:rsidR="005611C7">
              <w:t>·</w:t>
            </w:r>
            <w:r>
              <w:t>000</w:t>
            </w:r>
          </w:p>
        </w:tc>
      </w:tr>
      <w:tr w:rsidR="00E64DC3" w:rsidRPr="00924B60" w14:paraId="722EEE38" w14:textId="77777777" w:rsidTr="000B60E8">
        <w:trPr>
          <w:trHeight w:val="288"/>
        </w:trPr>
        <w:tc>
          <w:tcPr>
            <w:tcW w:w="183" w:type="pct"/>
          </w:tcPr>
          <w:p w14:paraId="643F2C6B" w14:textId="77777777" w:rsidR="00E64DC3" w:rsidRPr="00924B60" w:rsidRDefault="00E64DC3" w:rsidP="00E64DC3">
            <w:pPr>
              <w:rPr>
                <w:rFonts w:ascii="Calibri" w:eastAsia="Times New Roman" w:hAnsi="Calibri" w:cs="Calibri"/>
                <w:color w:val="000000"/>
              </w:rPr>
            </w:pPr>
          </w:p>
        </w:tc>
        <w:tc>
          <w:tcPr>
            <w:tcW w:w="1002" w:type="pct"/>
            <w:noWrap/>
            <w:hideMark/>
          </w:tcPr>
          <w:p w14:paraId="75E78F61" w14:textId="0A791E3B" w:rsidR="00E64DC3" w:rsidRPr="00924B60" w:rsidRDefault="00E64DC3" w:rsidP="00E64DC3">
            <w:pPr>
              <w:rPr>
                <w:rFonts w:ascii="Calibri" w:eastAsia="Times New Roman" w:hAnsi="Calibri" w:cs="Calibri"/>
                <w:color w:val="000000"/>
              </w:rPr>
            </w:pPr>
            <w:r>
              <w:rPr>
                <w:rFonts w:ascii="Calibri" w:eastAsia="Times New Roman" w:hAnsi="Calibri" w:cs="Calibri"/>
                <w:color w:val="000000"/>
              </w:rPr>
              <w:t>97</w:t>
            </w:r>
          </w:p>
        </w:tc>
        <w:tc>
          <w:tcPr>
            <w:tcW w:w="1158" w:type="pct"/>
          </w:tcPr>
          <w:p w14:paraId="41EC2BF5" w14:textId="4F0540D9" w:rsidR="00E64DC3" w:rsidRPr="00924B60" w:rsidRDefault="00E64DC3" w:rsidP="00E64DC3">
            <w:pPr>
              <w:jc w:val="right"/>
              <w:rPr>
                <w:rFonts w:ascii="Calibri" w:eastAsia="Times New Roman" w:hAnsi="Calibri" w:cs="Calibri"/>
                <w:color w:val="000000"/>
              </w:rPr>
            </w:pPr>
            <w:r>
              <w:rPr>
                <w:rFonts w:ascii="Calibri" w:eastAsia="Times New Roman" w:hAnsi="Calibri" w:cs="Calibri"/>
                <w:color w:val="000000"/>
              </w:rPr>
              <w:t>20</w:t>
            </w:r>
          </w:p>
        </w:tc>
        <w:tc>
          <w:tcPr>
            <w:tcW w:w="1181" w:type="pct"/>
            <w:noWrap/>
            <w:hideMark/>
          </w:tcPr>
          <w:p w14:paraId="442CDD7C" w14:textId="7E1BA4DE" w:rsidR="00E64DC3" w:rsidRPr="00362715" w:rsidRDefault="00E64DC3" w:rsidP="00E64DC3">
            <w:pPr>
              <w:jc w:val="right"/>
              <w:rPr>
                <w:rFonts w:ascii="Calibri" w:eastAsia="Times New Roman" w:hAnsi="Calibri" w:cs="Calibri"/>
                <w:b/>
                <w:bCs/>
                <w:color w:val="000000"/>
              </w:rPr>
            </w:pPr>
            <w:r w:rsidRPr="00362715">
              <w:rPr>
                <w:rFonts w:ascii="Calibri" w:eastAsia="Times New Roman" w:hAnsi="Calibri" w:cs="Calibri"/>
                <w:b/>
                <w:bCs/>
                <w:color w:val="000000"/>
              </w:rPr>
              <w:t>0</w:t>
            </w:r>
            <w:r w:rsidR="005611C7">
              <w:rPr>
                <w:rFonts w:ascii="Calibri" w:eastAsia="Times New Roman" w:hAnsi="Calibri" w:cs="Calibri"/>
                <w:b/>
                <w:bCs/>
                <w:color w:val="000000"/>
              </w:rPr>
              <w:t>·</w:t>
            </w:r>
            <w:r w:rsidR="00362715" w:rsidRPr="00362715">
              <w:rPr>
                <w:rFonts w:ascii="Calibri" w:eastAsia="Times New Roman" w:hAnsi="Calibri" w:cs="Calibri"/>
                <w:b/>
                <w:bCs/>
                <w:color w:val="000000"/>
              </w:rPr>
              <w:t>009</w:t>
            </w:r>
          </w:p>
        </w:tc>
        <w:tc>
          <w:tcPr>
            <w:tcW w:w="1476" w:type="pct"/>
            <w:noWrap/>
            <w:hideMark/>
          </w:tcPr>
          <w:p w14:paraId="567C1B44" w14:textId="1FCDC11A" w:rsidR="00E64DC3" w:rsidRPr="00924B60" w:rsidRDefault="00E64DC3" w:rsidP="00E64DC3">
            <w:pPr>
              <w:jc w:val="right"/>
              <w:rPr>
                <w:rFonts w:ascii="Calibri" w:eastAsia="Times New Roman" w:hAnsi="Calibri" w:cs="Calibri"/>
                <w:color w:val="000000"/>
              </w:rPr>
            </w:pPr>
            <w:r w:rsidRPr="00924B60">
              <w:rPr>
                <w:rFonts w:ascii="Calibri" w:eastAsia="Times New Roman" w:hAnsi="Calibri" w:cs="Calibri"/>
                <w:color w:val="000000"/>
              </w:rPr>
              <w:t>0</w:t>
            </w:r>
            <w:r w:rsidR="005611C7">
              <w:rPr>
                <w:rFonts w:ascii="Calibri" w:eastAsia="Times New Roman" w:hAnsi="Calibri" w:cs="Calibri"/>
                <w:color w:val="000000"/>
              </w:rPr>
              <w:t>·</w:t>
            </w:r>
            <w:r>
              <w:rPr>
                <w:rFonts w:ascii="Calibri" w:eastAsia="Times New Roman" w:hAnsi="Calibri" w:cs="Calibri"/>
                <w:color w:val="000000"/>
              </w:rPr>
              <w:t>682</w:t>
            </w:r>
          </w:p>
        </w:tc>
      </w:tr>
      <w:tr w:rsidR="00E64DC3" w:rsidRPr="00924B60" w14:paraId="39B57FCE" w14:textId="77777777" w:rsidTr="000B60E8">
        <w:trPr>
          <w:trHeight w:val="288"/>
        </w:trPr>
        <w:tc>
          <w:tcPr>
            <w:tcW w:w="183" w:type="pct"/>
          </w:tcPr>
          <w:p w14:paraId="6CDFEB6C" w14:textId="77777777" w:rsidR="00E64DC3" w:rsidRPr="00924B60" w:rsidRDefault="00E64DC3" w:rsidP="00E64DC3">
            <w:pPr>
              <w:rPr>
                <w:rFonts w:ascii="Calibri" w:eastAsia="Times New Roman" w:hAnsi="Calibri" w:cs="Calibri"/>
                <w:color w:val="000000"/>
              </w:rPr>
            </w:pPr>
          </w:p>
        </w:tc>
        <w:tc>
          <w:tcPr>
            <w:tcW w:w="1002" w:type="pct"/>
            <w:noWrap/>
            <w:hideMark/>
          </w:tcPr>
          <w:p w14:paraId="0D75D77A" w14:textId="111F0782" w:rsidR="00E64DC3" w:rsidRPr="00924B60" w:rsidRDefault="00E64DC3" w:rsidP="00E64DC3">
            <w:pPr>
              <w:rPr>
                <w:rFonts w:ascii="Calibri" w:eastAsia="Times New Roman" w:hAnsi="Calibri" w:cs="Calibri"/>
                <w:color w:val="000000"/>
              </w:rPr>
            </w:pPr>
            <w:r>
              <w:rPr>
                <w:rFonts w:ascii="Calibri" w:eastAsia="Times New Roman" w:hAnsi="Calibri" w:cs="Calibri"/>
                <w:color w:val="000000"/>
              </w:rPr>
              <w:t>128</w:t>
            </w:r>
          </w:p>
        </w:tc>
        <w:tc>
          <w:tcPr>
            <w:tcW w:w="1158" w:type="pct"/>
          </w:tcPr>
          <w:p w14:paraId="07DE441F" w14:textId="3E053102" w:rsidR="00E64DC3" w:rsidRPr="00924B60" w:rsidRDefault="00E64DC3" w:rsidP="00E64DC3">
            <w:pPr>
              <w:jc w:val="right"/>
              <w:rPr>
                <w:rFonts w:ascii="Calibri" w:eastAsia="Times New Roman" w:hAnsi="Calibri" w:cs="Calibri"/>
                <w:color w:val="000000"/>
              </w:rPr>
            </w:pPr>
            <w:r>
              <w:rPr>
                <w:rFonts w:ascii="Calibri" w:eastAsia="Times New Roman" w:hAnsi="Calibri" w:cs="Calibri"/>
                <w:color w:val="000000"/>
              </w:rPr>
              <w:t>4</w:t>
            </w:r>
          </w:p>
        </w:tc>
        <w:tc>
          <w:tcPr>
            <w:tcW w:w="1181" w:type="pct"/>
            <w:noWrap/>
            <w:hideMark/>
          </w:tcPr>
          <w:p w14:paraId="0AE94B06" w14:textId="475ABEB0" w:rsidR="00E64DC3" w:rsidRPr="00924B60" w:rsidRDefault="00362715" w:rsidP="00E64DC3">
            <w:pPr>
              <w:jc w:val="right"/>
              <w:rPr>
                <w:rFonts w:ascii="Calibri" w:eastAsia="Times New Roman" w:hAnsi="Calibri" w:cs="Calibri"/>
                <w:color w:val="000000"/>
              </w:rPr>
            </w:pPr>
            <w:r>
              <w:rPr>
                <w:rFonts w:ascii="Calibri" w:eastAsia="Times New Roman" w:hAnsi="Calibri" w:cs="Calibri"/>
                <w:color w:val="000000"/>
              </w:rPr>
              <w:t>0</w:t>
            </w:r>
            <w:r w:rsidR="005611C7">
              <w:rPr>
                <w:rFonts w:ascii="Calibri" w:eastAsia="Times New Roman" w:hAnsi="Calibri" w:cs="Calibri"/>
                <w:color w:val="000000"/>
              </w:rPr>
              <w:t>·</w:t>
            </w:r>
            <w:r>
              <w:rPr>
                <w:rFonts w:ascii="Calibri" w:eastAsia="Times New Roman" w:hAnsi="Calibri" w:cs="Calibri"/>
                <w:color w:val="000000"/>
              </w:rPr>
              <w:t>259</w:t>
            </w:r>
          </w:p>
        </w:tc>
        <w:tc>
          <w:tcPr>
            <w:tcW w:w="1476" w:type="pct"/>
            <w:noWrap/>
            <w:hideMark/>
          </w:tcPr>
          <w:p w14:paraId="488BE3F8" w14:textId="12F514FE" w:rsidR="00E64DC3" w:rsidRPr="00924B60" w:rsidRDefault="00E64DC3" w:rsidP="00E64DC3">
            <w:pPr>
              <w:jc w:val="right"/>
              <w:rPr>
                <w:rFonts w:ascii="Calibri" w:eastAsia="Times New Roman" w:hAnsi="Calibri" w:cs="Calibri"/>
                <w:color w:val="000000"/>
              </w:rPr>
            </w:pPr>
            <w:r>
              <w:t>0</w:t>
            </w:r>
            <w:r w:rsidR="005611C7">
              <w:t>·</w:t>
            </w:r>
            <w:r>
              <w:t>790</w:t>
            </w:r>
          </w:p>
        </w:tc>
      </w:tr>
      <w:tr w:rsidR="00362715" w:rsidRPr="00924B60" w14:paraId="16215D7A" w14:textId="77777777" w:rsidTr="000B60E8">
        <w:trPr>
          <w:trHeight w:val="288"/>
        </w:trPr>
        <w:tc>
          <w:tcPr>
            <w:tcW w:w="183" w:type="pct"/>
          </w:tcPr>
          <w:p w14:paraId="69794205" w14:textId="77777777" w:rsidR="00362715" w:rsidRPr="00924B60" w:rsidRDefault="00362715" w:rsidP="00362715">
            <w:pPr>
              <w:rPr>
                <w:rFonts w:ascii="Calibri" w:eastAsia="Times New Roman" w:hAnsi="Calibri" w:cs="Calibri"/>
                <w:color w:val="000000"/>
              </w:rPr>
            </w:pPr>
          </w:p>
        </w:tc>
        <w:tc>
          <w:tcPr>
            <w:tcW w:w="1002" w:type="pct"/>
            <w:noWrap/>
            <w:hideMark/>
          </w:tcPr>
          <w:p w14:paraId="02F4CC18" w14:textId="7EB576C4" w:rsidR="00362715" w:rsidRPr="00924B60" w:rsidRDefault="00362715" w:rsidP="00362715">
            <w:pPr>
              <w:rPr>
                <w:rFonts w:ascii="Calibri" w:eastAsia="Times New Roman" w:hAnsi="Calibri" w:cs="Calibri"/>
                <w:color w:val="000000"/>
              </w:rPr>
            </w:pPr>
            <w:r>
              <w:rPr>
                <w:rFonts w:ascii="Calibri" w:eastAsia="Times New Roman" w:hAnsi="Calibri" w:cs="Calibri"/>
                <w:color w:val="000000"/>
              </w:rPr>
              <w:t>140</w:t>
            </w:r>
          </w:p>
        </w:tc>
        <w:tc>
          <w:tcPr>
            <w:tcW w:w="1158" w:type="pct"/>
          </w:tcPr>
          <w:p w14:paraId="076E071E" w14:textId="756F7A24" w:rsidR="00362715" w:rsidRPr="00924B60" w:rsidRDefault="00362715" w:rsidP="00362715">
            <w:pPr>
              <w:jc w:val="right"/>
              <w:rPr>
                <w:rFonts w:ascii="Calibri" w:eastAsia="Times New Roman" w:hAnsi="Calibri" w:cs="Calibri"/>
                <w:color w:val="000000"/>
              </w:rPr>
            </w:pPr>
            <w:r>
              <w:rPr>
                <w:rFonts w:ascii="Calibri" w:eastAsia="Times New Roman" w:hAnsi="Calibri" w:cs="Calibri"/>
                <w:color w:val="000000"/>
              </w:rPr>
              <w:t>3</w:t>
            </w:r>
          </w:p>
        </w:tc>
        <w:tc>
          <w:tcPr>
            <w:tcW w:w="1181" w:type="pct"/>
            <w:noWrap/>
            <w:hideMark/>
          </w:tcPr>
          <w:p w14:paraId="1C20B774" w14:textId="44135E8B" w:rsidR="00362715" w:rsidRPr="00924B60" w:rsidRDefault="00362715" w:rsidP="00362715">
            <w:pPr>
              <w:jc w:val="right"/>
              <w:rPr>
                <w:rFonts w:ascii="Calibri" w:eastAsia="Times New Roman" w:hAnsi="Calibri" w:cs="Calibri"/>
                <w:color w:val="000000"/>
              </w:rPr>
            </w:pPr>
            <w:r w:rsidRPr="00924B60">
              <w:rPr>
                <w:rFonts w:ascii="Calibri" w:eastAsia="Times New Roman" w:hAnsi="Calibri" w:cs="Calibri"/>
                <w:color w:val="000000"/>
              </w:rPr>
              <w:t>1</w:t>
            </w:r>
            <w:r w:rsidR="005611C7">
              <w:rPr>
                <w:rFonts w:ascii="Calibri" w:eastAsia="Times New Roman" w:hAnsi="Calibri" w:cs="Calibri"/>
                <w:color w:val="000000"/>
              </w:rPr>
              <w:t>·</w:t>
            </w:r>
            <w:r>
              <w:rPr>
                <w:rFonts w:ascii="Calibri" w:eastAsia="Times New Roman" w:hAnsi="Calibri" w:cs="Calibri"/>
                <w:color w:val="000000"/>
              </w:rPr>
              <w:t>000</w:t>
            </w:r>
          </w:p>
        </w:tc>
        <w:tc>
          <w:tcPr>
            <w:tcW w:w="1476" w:type="pct"/>
            <w:noWrap/>
            <w:hideMark/>
          </w:tcPr>
          <w:p w14:paraId="05868ECF" w14:textId="566BC86F" w:rsidR="00362715" w:rsidRPr="00924B60" w:rsidRDefault="00362715" w:rsidP="00362715">
            <w:pPr>
              <w:jc w:val="right"/>
              <w:rPr>
                <w:rFonts w:ascii="Calibri" w:eastAsia="Times New Roman" w:hAnsi="Calibri" w:cs="Calibri"/>
                <w:color w:val="000000"/>
              </w:rPr>
            </w:pPr>
            <w:r>
              <w:t>0</w:t>
            </w:r>
            <w:r w:rsidR="005611C7">
              <w:t>·</w:t>
            </w:r>
            <w:r>
              <w:t>509</w:t>
            </w:r>
          </w:p>
        </w:tc>
      </w:tr>
      <w:tr w:rsidR="00362715" w:rsidRPr="00924B60" w14:paraId="67B11502" w14:textId="77777777" w:rsidTr="000B60E8">
        <w:trPr>
          <w:trHeight w:val="288"/>
        </w:trPr>
        <w:tc>
          <w:tcPr>
            <w:tcW w:w="183" w:type="pct"/>
          </w:tcPr>
          <w:p w14:paraId="0C36521B" w14:textId="77777777" w:rsidR="00362715" w:rsidRPr="00924B60" w:rsidRDefault="00362715" w:rsidP="00362715">
            <w:pPr>
              <w:rPr>
                <w:rFonts w:ascii="Calibri" w:eastAsia="Times New Roman" w:hAnsi="Calibri" w:cs="Calibri"/>
                <w:color w:val="000000"/>
              </w:rPr>
            </w:pPr>
          </w:p>
        </w:tc>
        <w:tc>
          <w:tcPr>
            <w:tcW w:w="1002" w:type="pct"/>
            <w:noWrap/>
            <w:hideMark/>
          </w:tcPr>
          <w:p w14:paraId="190BCAFB" w14:textId="260128BF" w:rsidR="00362715" w:rsidRPr="00924B60" w:rsidRDefault="00362715" w:rsidP="00362715">
            <w:pPr>
              <w:rPr>
                <w:rFonts w:ascii="Calibri" w:eastAsia="Times New Roman" w:hAnsi="Calibri" w:cs="Calibri"/>
                <w:color w:val="000000"/>
              </w:rPr>
            </w:pPr>
            <w:r>
              <w:rPr>
                <w:rFonts w:ascii="Calibri" w:eastAsia="Times New Roman" w:hAnsi="Calibri" w:cs="Calibri"/>
                <w:color w:val="000000"/>
              </w:rPr>
              <w:t>142</w:t>
            </w:r>
          </w:p>
        </w:tc>
        <w:tc>
          <w:tcPr>
            <w:tcW w:w="1158" w:type="pct"/>
          </w:tcPr>
          <w:p w14:paraId="47941AB4" w14:textId="349948AE" w:rsidR="00362715" w:rsidRPr="00924B60" w:rsidRDefault="00362715" w:rsidP="00362715">
            <w:pPr>
              <w:jc w:val="right"/>
              <w:rPr>
                <w:rFonts w:ascii="Calibri" w:eastAsia="Times New Roman" w:hAnsi="Calibri" w:cs="Calibri"/>
                <w:color w:val="000000"/>
              </w:rPr>
            </w:pPr>
            <w:r>
              <w:rPr>
                <w:rFonts w:ascii="Calibri" w:eastAsia="Times New Roman" w:hAnsi="Calibri" w:cs="Calibri"/>
                <w:color w:val="000000"/>
              </w:rPr>
              <w:t>1</w:t>
            </w:r>
          </w:p>
        </w:tc>
        <w:tc>
          <w:tcPr>
            <w:tcW w:w="1181" w:type="pct"/>
            <w:noWrap/>
            <w:hideMark/>
          </w:tcPr>
          <w:p w14:paraId="0A41CD07" w14:textId="79C6F8F2" w:rsidR="00362715" w:rsidRPr="00924B60" w:rsidRDefault="00362715" w:rsidP="00362715">
            <w:pPr>
              <w:jc w:val="right"/>
              <w:rPr>
                <w:rFonts w:ascii="Calibri" w:eastAsia="Times New Roman" w:hAnsi="Calibri" w:cs="Calibri"/>
                <w:color w:val="000000"/>
              </w:rPr>
            </w:pPr>
            <w:r w:rsidRPr="00924B60">
              <w:rPr>
                <w:rFonts w:ascii="Calibri" w:eastAsia="Times New Roman" w:hAnsi="Calibri" w:cs="Calibri"/>
                <w:color w:val="000000"/>
              </w:rPr>
              <w:t>1</w:t>
            </w:r>
            <w:r w:rsidR="005611C7">
              <w:rPr>
                <w:rFonts w:ascii="Calibri" w:eastAsia="Times New Roman" w:hAnsi="Calibri" w:cs="Calibri"/>
                <w:color w:val="000000"/>
              </w:rPr>
              <w:t>·</w:t>
            </w:r>
            <w:r>
              <w:rPr>
                <w:rFonts w:ascii="Calibri" w:eastAsia="Times New Roman" w:hAnsi="Calibri" w:cs="Calibri"/>
                <w:color w:val="000000"/>
              </w:rPr>
              <w:t>000</w:t>
            </w:r>
          </w:p>
        </w:tc>
        <w:tc>
          <w:tcPr>
            <w:tcW w:w="1476" w:type="pct"/>
            <w:noWrap/>
            <w:hideMark/>
          </w:tcPr>
          <w:p w14:paraId="4C86BA97" w14:textId="545A53EC" w:rsidR="00362715" w:rsidRPr="00924B60" w:rsidRDefault="00362715" w:rsidP="00362715">
            <w:pPr>
              <w:jc w:val="right"/>
              <w:rPr>
                <w:rFonts w:ascii="Calibri" w:eastAsia="Times New Roman" w:hAnsi="Calibri" w:cs="Calibri"/>
                <w:color w:val="000000"/>
              </w:rPr>
            </w:pPr>
            <w:r>
              <w:t>1</w:t>
            </w:r>
            <w:r w:rsidR="005611C7">
              <w:t>·</w:t>
            </w:r>
            <w:r>
              <w:t>000</w:t>
            </w:r>
          </w:p>
        </w:tc>
      </w:tr>
      <w:tr w:rsidR="00362715" w:rsidRPr="00924B60" w14:paraId="41BA0B42" w14:textId="77777777" w:rsidTr="000B60E8">
        <w:trPr>
          <w:trHeight w:val="288"/>
        </w:trPr>
        <w:tc>
          <w:tcPr>
            <w:tcW w:w="183" w:type="pct"/>
          </w:tcPr>
          <w:p w14:paraId="4C753EA8" w14:textId="77777777" w:rsidR="00362715" w:rsidRPr="00924B60" w:rsidRDefault="00362715" w:rsidP="00362715">
            <w:pPr>
              <w:rPr>
                <w:rFonts w:ascii="Calibri" w:eastAsia="Times New Roman" w:hAnsi="Calibri" w:cs="Calibri"/>
                <w:color w:val="000000"/>
              </w:rPr>
            </w:pPr>
          </w:p>
        </w:tc>
        <w:tc>
          <w:tcPr>
            <w:tcW w:w="1002" w:type="pct"/>
            <w:noWrap/>
            <w:hideMark/>
          </w:tcPr>
          <w:p w14:paraId="0F7FEBFC" w14:textId="458518F1" w:rsidR="00362715" w:rsidRPr="00924B60" w:rsidRDefault="00362715" w:rsidP="00362715">
            <w:pPr>
              <w:rPr>
                <w:rFonts w:ascii="Calibri" w:eastAsia="Times New Roman" w:hAnsi="Calibri" w:cs="Calibri"/>
                <w:color w:val="000000"/>
              </w:rPr>
            </w:pPr>
            <w:r>
              <w:rPr>
                <w:rFonts w:ascii="Calibri" w:eastAsia="Times New Roman" w:hAnsi="Calibri" w:cs="Calibri"/>
                <w:color w:val="000000"/>
              </w:rPr>
              <w:t>145</w:t>
            </w:r>
          </w:p>
        </w:tc>
        <w:tc>
          <w:tcPr>
            <w:tcW w:w="1158" w:type="pct"/>
          </w:tcPr>
          <w:p w14:paraId="5031D2EF" w14:textId="6A2AF033" w:rsidR="00362715" w:rsidRPr="00924B60" w:rsidRDefault="00362715" w:rsidP="00362715">
            <w:pPr>
              <w:jc w:val="right"/>
              <w:rPr>
                <w:rFonts w:ascii="Calibri" w:eastAsia="Times New Roman" w:hAnsi="Calibri" w:cs="Calibri"/>
                <w:color w:val="000000"/>
              </w:rPr>
            </w:pPr>
            <w:r>
              <w:rPr>
                <w:rFonts w:ascii="Calibri" w:eastAsia="Times New Roman" w:hAnsi="Calibri" w:cs="Calibri"/>
                <w:color w:val="000000"/>
              </w:rPr>
              <w:t>1</w:t>
            </w:r>
          </w:p>
        </w:tc>
        <w:tc>
          <w:tcPr>
            <w:tcW w:w="1181" w:type="pct"/>
            <w:noWrap/>
            <w:hideMark/>
          </w:tcPr>
          <w:p w14:paraId="6B5A5195" w14:textId="7DEB7D93" w:rsidR="00362715" w:rsidRPr="00924B60" w:rsidRDefault="00362715" w:rsidP="00362715">
            <w:pPr>
              <w:jc w:val="right"/>
              <w:rPr>
                <w:rFonts w:ascii="Calibri" w:eastAsia="Times New Roman" w:hAnsi="Calibri" w:cs="Calibri"/>
                <w:color w:val="000000"/>
              </w:rPr>
            </w:pPr>
            <w:r w:rsidRPr="00924B60">
              <w:rPr>
                <w:rFonts w:ascii="Calibri" w:eastAsia="Times New Roman" w:hAnsi="Calibri" w:cs="Calibri"/>
                <w:color w:val="000000"/>
              </w:rPr>
              <w:t>1</w:t>
            </w:r>
            <w:r w:rsidR="005611C7">
              <w:rPr>
                <w:rFonts w:ascii="Calibri" w:eastAsia="Times New Roman" w:hAnsi="Calibri" w:cs="Calibri"/>
                <w:color w:val="000000"/>
              </w:rPr>
              <w:t>·</w:t>
            </w:r>
            <w:r>
              <w:rPr>
                <w:rFonts w:ascii="Calibri" w:eastAsia="Times New Roman" w:hAnsi="Calibri" w:cs="Calibri"/>
                <w:color w:val="000000"/>
              </w:rPr>
              <w:t>000</w:t>
            </w:r>
          </w:p>
        </w:tc>
        <w:tc>
          <w:tcPr>
            <w:tcW w:w="1476" w:type="pct"/>
            <w:noWrap/>
            <w:hideMark/>
          </w:tcPr>
          <w:p w14:paraId="74ECF684" w14:textId="270A10FD" w:rsidR="00362715" w:rsidRPr="00924B60" w:rsidRDefault="00362715" w:rsidP="00362715">
            <w:pPr>
              <w:jc w:val="right"/>
              <w:rPr>
                <w:rFonts w:ascii="Calibri" w:eastAsia="Times New Roman" w:hAnsi="Calibri" w:cs="Calibri"/>
                <w:color w:val="000000"/>
              </w:rPr>
            </w:pPr>
            <w:r w:rsidRPr="00924B60">
              <w:rPr>
                <w:rFonts w:ascii="Calibri" w:eastAsia="Times New Roman" w:hAnsi="Calibri" w:cs="Calibri"/>
                <w:color w:val="000000"/>
              </w:rPr>
              <w:t>0</w:t>
            </w:r>
            <w:r w:rsidR="005611C7">
              <w:rPr>
                <w:rFonts w:ascii="Calibri" w:eastAsia="Times New Roman" w:hAnsi="Calibri" w:cs="Calibri"/>
                <w:color w:val="000000"/>
              </w:rPr>
              <w:t>·</w:t>
            </w:r>
            <w:r>
              <w:rPr>
                <w:rFonts w:ascii="Calibri" w:eastAsia="Times New Roman" w:hAnsi="Calibri" w:cs="Calibri"/>
                <w:color w:val="000000"/>
              </w:rPr>
              <w:t>682</w:t>
            </w:r>
          </w:p>
        </w:tc>
      </w:tr>
      <w:tr w:rsidR="00362715" w:rsidRPr="00924B60" w14:paraId="6C4C7791" w14:textId="77777777" w:rsidTr="000B60E8">
        <w:trPr>
          <w:trHeight w:val="288"/>
        </w:trPr>
        <w:tc>
          <w:tcPr>
            <w:tcW w:w="183" w:type="pct"/>
          </w:tcPr>
          <w:p w14:paraId="75209F68" w14:textId="77777777" w:rsidR="00362715" w:rsidRPr="00924B60" w:rsidRDefault="00362715" w:rsidP="00362715">
            <w:pPr>
              <w:rPr>
                <w:rFonts w:ascii="Calibri" w:eastAsia="Times New Roman" w:hAnsi="Calibri" w:cs="Calibri"/>
                <w:color w:val="000000"/>
              </w:rPr>
            </w:pPr>
          </w:p>
        </w:tc>
        <w:tc>
          <w:tcPr>
            <w:tcW w:w="1002" w:type="pct"/>
            <w:noWrap/>
            <w:hideMark/>
          </w:tcPr>
          <w:p w14:paraId="194EACA2" w14:textId="4D3EADEB" w:rsidR="00362715" w:rsidRPr="00924B60" w:rsidRDefault="00362715" w:rsidP="00362715">
            <w:pPr>
              <w:rPr>
                <w:rFonts w:ascii="Calibri" w:eastAsia="Times New Roman" w:hAnsi="Calibri" w:cs="Calibri"/>
                <w:color w:val="000000"/>
              </w:rPr>
            </w:pPr>
            <w:r>
              <w:rPr>
                <w:rFonts w:ascii="Calibri" w:eastAsia="Times New Roman" w:hAnsi="Calibri" w:cs="Calibri"/>
                <w:color w:val="000000"/>
              </w:rPr>
              <w:t>146</w:t>
            </w:r>
          </w:p>
        </w:tc>
        <w:tc>
          <w:tcPr>
            <w:tcW w:w="1158" w:type="pct"/>
          </w:tcPr>
          <w:p w14:paraId="25BE86D3" w14:textId="1E4BF99D" w:rsidR="00362715" w:rsidRPr="00924B60" w:rsidRDefault="00362715" w:rsidP="00362715">
            <w:pPr>
              <w:jc w:val="right"/>
              <w:rPr>
                <w:rFonts w:ascii="Calibri" w:eastAsia="Times New Roman" w:hAnsi="Calibri" w:cs="Calibri"/>
                <w:color w:val="000000"/>
              </w:rPr>
            </w:pPr>
            <w:r>
              <w:rPr>
                <w:rFonts w:ascii="Calibri" w:eastAsia="Times New Roman" w:hAnsi="Calibri" w:cs="Calibri"/>
                <w:color w:val="000000"/>
              </w:rPr>
              <w:t>3</w:t>
            </w:r>
          </w:p>
        </w:tc>
        <w:tc>
          <w:tcPr>
            <w:tcW w:w="1181" w:type="pct"/>
            <w:noWrap/>
            <w:hideMark/>
          </w:tcPr>
          <w:p w14:paraId="3F92C197" w14:textId="097127DE" w:rsidR="00362715" w:rsidRPr="00924B60" w:rsidRDefault="00362715" w:rsidP="00362715">
            <w:pPr>
              <w:jc w:val="right"/>
              <w:rPr>
                <w:rFonts w:ascii="Calibri" w:eastAsia="Times New Roman" w:hAnsi="Calibri" w:cs="Calibri"/>
                <w:color w:val="000000"/>
              </w:rPr>
            </w:pPr>
            <w:r w:rsidRPr="00924B60">
              <w:rPr>
                <w:rFonts w:ascii="Calibri" w:eastAsia="Times New Roman" w:hAnsi="Calibri" w:cs="Calibri"/>
                <w:color w:val="000000"/>
              </w:rPr>
              <w:t>1</w:t>
            </w:r>
            <w:r w:rsidR="005611C7">
              <w:rPr>
                <w:rFonts w:ascii="Calibri" w:eastAsia="Times New Roman" w:hAnsi="Calibri" w:cs="Calibri"/>
                <w:color w:val="000000"/>
              </w:rPr>
              <w:t>·</w:t>
            </w:r>
            <w:r>
              <w:rPr>
                <w:rFonts w:ascii="Calibri" w:eastAsia="Times New Roman" w:hAnsi="Calibri" w:cs="Calibri"/>
                <w:color w:val="000000"/>
              </w:rPr>
              <w:t>000</w:t>
            </w:r>
          </w:p>
        </w:tc>
        <w:tc>
          <w:tcPr>
            <w:tcW w:w="1476" w:type="pct"/>
            <w:noWrap/>
            <w:hideMark/>
          </w:tcPr>
          <w:p w14:paraId="5CF63497" w14:textId="593D3F8C" w:rsidR="00362715" w:rsidRPr="00924B60" w:rsidRDefault="00362715" w:rsidP="00362715">
            <w:pPr>
              <w:jc w:val="right"/>
              <w:rPr>
                <w:rFonts w:ascii="Calibri" w:eastAsia="Times New Roman" w:hAnsi="Calibri" w:cs="Calibri"/>
                <w:color w:val="000000"/>
              </w:rPr>
            </w:pPr>
            <w:r>
              <w:t>0</w:t>
            </w:r>
            <w:r w:rsidR="005611C7">
              <w:t>·</w:t>
            </w:r>
            <w:r>
              <w:t>790</w:t>
            </w:r>
          </w:p>
        </w:tc>
      </w:tr>
      <w:tr w:rsidR="00362715" w:rsidRPr="00924B60" w14:paraId="118DA84B" w14:textId="77777777" w:rsidTr="000B60E8">
        <w:trPr>
          <w:trHeight w:val="288"/>
        </w:trPr>
        <w:tc>
          <w:tcPr>
            <w:tcW w:w="183" w:type="pct"/>
          </w:tcPr>
          <w:p w14:paraId="5D3FE97C" w14:textId="77777777" w:rsidR="00362715" w:rsidRPr="00924B60" w:rsidRDefault="00362715" w:rsidP="00362715">
            <w:pPr>
              <w:rPr>
                <w:rFonts w:ascii="Calibri" w:eastAsia="Times New Roman" w:hAnsi="Calibri" w:cs="Calibri"/>
                <w:color w:val="000000"/>
              </w:rPr>
            </w:pPr>
          </w:p>
        </w:tc>
        <w:tc>
          <w:tcPr>
            <w:tcW w:w="1002" w:type="pct"/>
            <w:noWrap/>
            <w:hideMark/>
          </w:tcPr>
          <w:p w14:paraId="4C93F966" w14:textId="73997471" w:rsidR="00362715" w:rsidRPr="00924B60" w:rsidRDefault="00362715" w:rsidP="00362715">
            <w:pPr>
              <w:rPr>
                <w:rFonts w:ascii="Calibri" w:eastAsia="Times New Roman" w:hAnsi="Calibri" w:cs="Calibri"/>
                <w:color w:val="000000"/>
              </w:rPr>
            </w:pPr>
            <w:r>
              <w:rPr>
                <w:rFonts w:ascii="Calibri" w:eastAsia="Times New Roman" w:hAnsi="Calibri" w:cs="Calibri"/>
                <w:color w:val="000000"/>
              </w:rPr>
              <w:t>157</w:t>
            </w:r>
          </w:p>
        </w:tc>
        <w:tc>
          <w:tcPr>
            <w:tcW w:w="1158" w:type="pct"/>
          </w:tcPr>
          <w:p w14:paraId="55583297" w14:textId="77930AC1" w:rsidR="00362715" w:rsidRPr="00924B60" w:rsidRDefault="00362715" w:rsidP="00362715">
            <w:pPr>
              <w:jc w:val="right"/>
              <w:rPr>
                <w:rFonts w:ascii="Calibri" w:eastAsia="Times New Roman" w:hAnsi="Calibri" w:cs="Calibri"/>
                <w:color w:val="000000"/>
              </w:rPr>
            </w:pPr>
            <w:r>
              <w:rPr>
                <w:rFonts w:ascii="Calibri" w:eastAsia="Times New Roman" w:hAnsi="Calibri" w:cs="Calibri"/>
                <w:color w:val="000000"/>
              </w:rPr>
              <w:t>25</w:t>
            </w:r>
          </w:p>
        </w:tc>
        <w:tc>
          <w:tcPr>
            <w:tcW w:w="1181" w:type="pct"/>
            <w:noWrap/>
            <w:hideMark/>
          </w:tcPr>
          <w:p w14:paraId="4959E823" w14:textId="476EA996" w:rsidR="00362715" w:rsidRPr="00924B60" w:rsidRDefault="00362715" w:rsidP="00362715">
            <w:pPr>
              <w:jc w:val="right"/>
              <w:rPr>
                <w:rFonts w:ascii="Calibri" w:eastAsia="Times New Roman" w:hAnsi="Calibri" w:cs="Calibri"/>
                <w:color w:val="000000"/>
              </w:rPr>
            </w:pPr>
            <w:r>
              <w:rPr>
                <w:rFonts w:ascii="Calibri" w:eastAsia="Times New Roman" w:hAnsi="Calibri" w:cs="Calibri"/>
                <w:color w:val="000000"/>
              </w:rPr>
              <w:t>0</w:t>
            </w:r>
            <w:r w:rsidR="005611C7">
              <w:rPr>
                <w:rFonts w:ascii="Calibri" w:eastAsia="Times New Roman" w:hAnsi="Calibri" w:cs="Calibri"/>
                <w:color w:val="000000"/>
              </w:rPr>
              <w:t>·</w:t>
            </w:r>
            <w:r>
              <w:rPr>
                <w:rFonts w:ascii="Calibri" w:eastAsia="Times New Roman" w:hAnsi="Calibri" w:cs="Calibri"/>
                <w:color w:val="000000"/>
              </w:rPr>
              <w:t>503</w:t>
            </w:r>
          </w:p>
        </w:tc>
        <w:tc>
          <w:tcPr>
            <w:tcW w:w="1476" w:type="pct"/>
            <w:noWrap/>
            <w:hideMark/>
          </w:tcPr>
          <w:p w14:paraId="02DDC9A6" w14:textId="12DE3CC6" w:rsidR="00362715" w:rsidRPr="00924B60" w:rsidRDefault="00362715" w:rsidP="00362715">
            <w:pPr>
              <w:jc w:val="right"/>
              <w:rPr>
                <w:rFonts w:ascii="Calibri" w:eastAsia="Times New Roman" w:hAnsi="Calibri" w:cs="Calibri"/>
                <w:color w:val="000000"/>
              </w:rPr>
            </w:pPr>
            <w:r>
              <w:t>0</w:t>
            </w:r>
            <w:r w:rsidR="005611C7">
              <w:t>·</w:t>
            </w:r>
            <w:r>
              <w:t>958</w:t>
            </w:r>
          </w:p>
        </w:tc>
      </w:tr>
      <w:tr w:rsidR="00362715" w:rsidRPr="00924B60" w14:paraId="6186AB6B" w14:textId="77777777" w:rsidTr="000B60E8">
        <w:trPr>
          <w:trHeight w:val="288"/>
        </w:trPr>
        <w:tc>
          <w:tcPr>
            <w:tcW w:w="183" w:type="pct"/>
          </w:tcPr>
          <w:p w14:paraId="6084D614" w14:textId="77777777" w:rsidR="00362715" w:rsidRPr="00924B60" w:rsidRDefault="00362715" w:rsidP="00362715">
            <w:pPr>
              <w:rPr>
                <w:rFonts w:ascii="Calibri" w:eastAsia="Times New Roman" w:hAnsi="Calibri" w:cs="Calibri"/>
                <w:color w:val="000000"/>
              </w:rPr>
            </w:pPr>
          </w:p>
        </w:tc>
        <w:tc>
          <w:tcPr>
            <w:tcW w:w="1002" w:type="pct"/>
            <w:noWrap/>
            <w:hideMark/>
          </w:tcPr>
          <w:p w14:paraId="027E0790" w14:textId="51B40B67" w:rsidR="00362715" w:rsidRPr="00924B60" w:rsidRDefault="00362715" w:rsidP="00362715">
            <w:pPr>
              <w:rPr>
                <w:rFonts w:ascii="Calibri" w:eastAsia="Times New Roman" w:hAnsi="Calibri" w:cs="Calibri"/>
                <w:color w:val="000000"/>
              </w:rPr>
            </w:pPr>
            <w:r>
              <w:rPr>
                <w:rFonts w:ascii="Calibri" w:eastAsia="Times New Roman" w:hAnsi="Calibri" w:cs="Calibri"/>
                <w:color w:val="000000"/>
              </w:rPr>
              <w:t>163</w:t>
            </w:r>
          </w:p>
        </w:tc>
        <w:tc>
          <w:tcPr>
            <w:tcW w:w="1158" w:type="pct"/>
          </w:tcPr>
          <w:p w14:paraId="27365F03" w14:textId="1AA07A9F" w:rsidR="00362715" w:rsidRPr="00924B60" w:rsidRDefault="00362715" w:rsidP="00362715">
            <w:pPr>
              <w:jc w:val="right"/>
              <w:rPr>
                <w:rFonts w:ascii="Calibri" w:eastAsia="Times New Roman" w:hAnsi="Calibri" w:cs="Calibri"/>
                <w:color w:val="000000"/>
              </w:rPr>
            </w:pPr>
            <w:r>
              <w:rPr>
                <w:rFonts w:ascii="Calibri" w:eastAsia="Times New Roman" w:hAnsi="Calibri" w:cs="Calibri"/>
                <w:color w:val="000000"/>
              </w:rPr>
              <w:t>7</w:t>
            </w:r>
          </w:p>
        </w:tc>
        <w:tc>
          <w:tcPr>
            <w:tcW w:w="1181" w:type="pct"/>
            <w:noWrap/>
            <w:hideMark/>
          </w:tcPr>
          <w:p w14:paraId="484CC9C7" w14:textId="6A080A97" w:rsidR="00362715" w:rsidRPr="00924B60" w:rsidRDefault="00362715" w:rsidP="00362715">
            <w:pPr>
              <w:jc w:val="right"/>
              <w:rPr>
                <w:rFonts w:ascii="Calibri" w:eastAsia="Times New Roman" w:hAnsi="Calibri" w:cs="Calibri"/>
                <w:color w:val="000000"/>
              </w:rPr>
            </w:pPr>
            <w:r w:rsidRPr="00924B60">
              <w:rPr>
                <w:rFonts w:ascii="Calibri" w:eastAsia="Times New Roman" w:hAnsi="Calibri" w:cs="Calibri"/>
                <w:color w:val="000000"/>
              </w:rPr>
              <w:t>1</w:t>
            </w:r>
            <w:r w:rsidR="005611C7">
              <w:rPr>
                <w:rFonts w:ascii="Calibri" w:eastAsia="Times New Roman" w:hAnsi="Calibri" w:cs="Calibri"/>
                <w:color w:val="000000"/>
              </w:rPr>
              <w:t>·</w:t>
            </w:r>
            <w:r>
              <w:rPr>
                <w:rFonts w:ascii="Calibri" w:eastAsia="Times New Roman" w:hAnsi="Calibri" w:cs="Calibri"/>
                <w:color w:val="000000"/>
              </w:rPr>
              <w:t>000</w:t>
            </w:r>
          </w:p>
        </w:tc>
        <w:tc>
          <w:tcPr>
            <w:tcW w:w="1476" w:type="pct"/>
            <w:noWrap/>
            <w:hideMark/>
          </w:tcPr>
          <w:p w14:paraId="65CC1676" w14:textId="63510DE2" w:rsidR="00362715" w:rsidRPr="00924B60" w:rsidRDefault="00362715" w:rsidP="00362715">
            <w:pPr>
              <w:jc w:val="right"/>
              <w:rPr>
                <w:rFonts w:ascii="Calibri" w:eastAsia="Times New Roman" w:hAnsi="Calibri" w:cs="Calibri"/>
                <w:color w:val="000000"/>
              </w:rPr>
            </w:pPr>
            <w:r w:rsidRPr="00924B60">
              <w:rPr>
                <w:rFonts w:ascii="Calibri" w:eastAsia="Times New Roman" w:hAnsi="Calibri" w:cs="Calibri"/>
                <w:color w:val="000000"/>
              </w:rPr>
              <w:t>0</w:t>
            </w:r>
            <w:r w:rsidR="005611C7">
              <w:rPr>
                <w:rFonts w:ascii="Calibri" w:eastAsia="Times New Roman" w:hAnsi="Calibri" w:cs="Calibri"/>
                <w:color w:val="000000"/>
              </w:rPr>
              <w:t>·</w:t>
            </w:r>
            <w:r>
              <w:rPr>
                <w:rFonts w:ascii="Calibri" w:eastAsia="Times New Roman" w:hAnsi="Calibri" w:cs="Calibri"/>
                <w:color w:val="000000"/>
              </w:rPr>
              <w:t>851</w:t>
            </w:r>
          </w:p>
        </w:tc>
      </w:tr>
      <w:tr w:rsidR="00362715" w:rsidRPr="00924B60" w14:paraId="20154E95" w14:textId="77777777" w:rsidTr="000B60E8">
        <w:trPr>
          <w:trHeight w:val="288"/>
        </w:trPr>
        <w:tc>
          <w:tcPr>
            <w:tcW w:w="183" w:type="pct"/>
          </w:tcPr>
          <w:p w14:paraId="727328D8" w14:textId="77777777" w:rsidR="00362715" w:rsidRPr="00924B60" w:rsidRDefault="00362715" w:rsidP="00362715">
            <w:pPr>
              <w:rPr>
                <w:rFonts w:ascii="Calibri" w:eastAsia="Times New Roman" w:hAnsi="Calibri" w:cs="Calibri"/>
                <w:color w:val="000000"/>
              </w:rPr>
            </w:pPr>
          </w:p>
        </w:tc>
        <w:tc>
          <w:tcPr>
            <w:tcW w:w="1002" w:type="pct"/>
            <w:noWrap/>
          </w:tcPr>
          <w:p w14:paraId="46F2CFAB" w14:textId="0C817CDD" w:rsidR="00362715" w:rsidRDefault="00362715" w:rsidP="00362715">
            <w:pPr>
              <w:rPr>
                <w:rFonts w:ascii="Calibri" w:eastAsia="Times New Roman" w:hAnsi="Calibri" w:cs="Calibri"/>
                <w:color w:val="000000"/>
              </w:rPr>
            </w:pPr>
            <w:r>
              <w:rPr>
                <w:rFonts w:ascii="Calibri" w:eastAsia="Times New Roman" w:hAnsi="Calibri" w:cs="Calibri"/>
                <w:color w:val="000000"/>
              </w:rPr>
              <w:t>230</w:t>
            </w:r>
          </w:p>
        </w:tc>
        <w:tc>
          <w:tcPr>
            <w:tcW w:w="1158" w:type="pct"/>
          </w:tcPr>
          <w:p w14:paraId="6C15ADDB" w14:textId="198CE95A" w:rsidR="00362715" w:rsidRPr="00924B60" w:rsidRDefault="00362715" w:rsidP="00362715">
            <w:pPr>
              <w:jc w:val="right"/>
              <w:rPr>
                <w:rFonts w:ascii="Calibri" w:eastAsia="Times New Roman" w:hAnsi="Calibri" w:cs="Calibri"/>
                <w:color w:val="000000"/>
              </w:rPr>
            </w:pPr>
            <w:r>
              <w:rPr>
                <w:rFonts w:ascii="Calibri" w:eastAsia="Times New Roman" w:hAnsi="Calibri" w:cs="Calibri"/>
                <w:color w:val="000000"/>
              </w:rPr>
              <w:t>4</w:t>
            </w:r>
          </w:p>
        </w:tc>
        <w:tc>
          <w:tcPr>
            <w:tcW w:w="1181" w:type="pct"/>
            <w:noWrap/>
          </w:tcPr>
          <w:p w14:paraId="16BBA97D" w14:textId="709AC7AF" w:rsidR="00362715" w:rsidRPr="00924B60" w:rsidRDefault="00362715" w:rsidP="00362715">
            <w:pPr>
              <w:jc w:val="right"/>
              <w:rPr>
                <w:rFonts w:ascii="Calibri" w:eastAsia="Times New Roman" w:hAnsi="Calibri" w:cs="Calibri"/>
                <w:color w:val="000000"/>
              </w:rPr>
            </w:pPr>
            <w:r w:rsidRPr="00924B60">
              <w:rPr>
                <w:rFonts w:ascii="Calibri" w:eastAsia="Times New Roman" w:hAnsi="Calibri" w:cs="Calibri"/>
                <w:color w:val="000000"/>
              </w:rPr>
              <w:t>1</w:t>
            </w:r>
            <w:r w:rsidR="005611C7">
              <w:rPr>
                <w:rFonts w:ascii="Calibri" w:eastAsia="Times New Roman" w:hAnsi="Calibri" w:cs="Calibri"/>
                <w:color w:val="000000"/>
              </w:rPr>
              <w:t>·</w:t>
            </w:r>
            <w:r>
              <w:rPr>
                <w:rFonts w:ascii="Calibri" w:eastAsia="Times New Roman" w:hAnsi="Calibri" w:cs="Calibri"/>
                <w:color w:val="000000"/>
              </w:rPr>
              <w:t>000</w:t>
            </w:r>
          </w:p>
        </w:tc>
        <w:tc>
          <w:tcPr>
            <w:tcW w:w="1476" w:type="pct"/>
            <w:noWrap/>
          </w:tcPr>
          <w:p w14:paraId="3861EEDC" w14:textId="6F15BD48" w:rsidR="00362715" w:rsidRPr="00924B60" w:rsidRDefault="00362715" w:rsidP="00362715">
            <w:pPr>
              <w:jc w:val="right"/>
              <w:rPr>
                <w:rFonts w:ascii="Calibri" w:eastAsia="Times New Roman" w:hAnsi="Calibri" w:cs="Calibri"/>
                <w:color w:val="000000"/>
              </w:rPr>
            </w:pPr>
            <w:r w:rsidRPr="00924B60">
              <w:rPr>
                <w:rFonts w:ascii="Calibri" w:eastAsia="Times New Roman" w:hAnsi="Calibri" w:cs="Calibri"/>
                <w:color w:val="000000"/>
              </w:rPr>
              <w:t>0</w:t>
            </w:r>
            <w:r w:rsidR="005611C7">
              <w:rPr>
                <w:rFonts w:ascii="Calibri" w:eastAsia="Times New Roman" w:hAnsi="Calibri" w:cs="Calibri"/>
                <w:color w:val="000000"/>
              </w:rPr>
              <w:t>·</w:t>
            </w:r>
            <w:r>
              <w:rPr>
                <w:rFonts w:ascii="Calibri" w:eastAsia="Times New Roman" w:hAnsi="Calibri" w:cs="Calibri"/>
                <w:color w:val="000000"/>
              </w:rPr>
              <w:t>682</w:t>
            </w:r>
          </w:p>
        </w:tc>
      </w:tr>
      <w:tr w:rsidR="00362715" w:rsidRPr="00924B60" w14:paraId="610C1193" w14:textId="77777777" w:rsidTr="000B60E8">
        <w:trPr>
          <w:trHeight w:val="89"/>
        </w:trPr>
        <w:tc>
          <w:tcPr>
            <w:tcW w:w="183" w:type="pct"/>
          </w:tcPr>
          <w:p w14:paraId="51779445" w14:textId="77777777" w:rsidR="00362715" w:rsidRPr="00924B60" w:rsidRDefault="00362715" w:rsidP="00362715">
            <w:pPr>
              <w:rPr>
                <w:rFonts w:ascii="Calibri" w:eastAsia="Times New Roman" w:hAnsi="Calibri" w:cs="Calibri"/>
                <w:color w:val="000000"/>
              </w:rPr>
            </w:pPr>
          </w:p>
        </w:tc>
        <w:tc>
          <w:tcPr>
            <w:tcW w:w="1002" w:type="pct"/>
            <w:tcBorders>
              <w:bottom w:val="single" w:sz="4" w:space="0" w:color="auto"/>
            </w:tcBorders>
            <w:noWrap/>
            <w:hideMark/>
          </w:tcPr>
          <w:p w14:paraId="066B200F" w14:textId="37A66105" w:rsidR="00362715" w:rsidRPr="00924B60" w:rsidRDefault="00362715" w:rsidP="00362715">
            <w:pPr>
              <w:rPr>
                <w:rFonts w:ascii="Calibri" w:eastAsia="Times New Roman" w:hAnsi="Calibri" w:cs="Calibri"/>
                <w:color w:val="000000"/>
              </w:rPr>
            </w:pPr>
            <w:r>
              <w:rPr>
                <w:rFonts w:ascii="Calibri" w:eastAsia="Times New Roman" w:hAnsi="Calibri" w:cs="Calibri"/>
                <w:color w:val="000000"/>
              </w:rPr>
              <w:t>232</w:t>
            </w:r>
          </w:p>
        </w:tc>
        <w:tc>
          <w:tcPr>
            <w:tcW w:w="1158" w:type="pct"/>
            <w:tcBorders>
              <w:bottom w:val="single" w:sz="4" w:space="0" w:color="auto"/>
            </w:tcBorders>
          </w:tcPr>
          <w:p w14:paraId="3457CF35" w14:textId="44731543" w:rsidR="00362715" w:rsidRPr="00924B60" w:rsidRDefault="00362715" w:rsidP="00362715">
            <w:pPr>
              <w:jc w:val="right"/>
              <w:rPr>
                <w:rFonts w:ascii="Calibri" w:eastAsia="Times New Roman" w:hAnsi="Calibri" w:cs="Calibri"/>
                <w:color w:val="000000"/>
              </w:rPr>
            </w:pPr>
            <w:r>
              <w:rPr>
                <w:rFonts w:ascii="Calibri" w:eastAsia="Times New Roman" w:hAnsi="Calibri" w:cs="Calibri"/>
                <w:color w:val="000000"/>
              </w:rPr>
              <w:t>4</w:t>
            </w:r>
          </w:p>
        </w:tc>
        <w:tc>
          <w:tcPr>
            <w:tcW w:w="1181" w:type="pct"/>
            <w:tcBorders>
              <w:bottom w:val="single" w:sz="4" w:space="0" w:color="auto"/>
            </w:tcBorders>
            <w:noWrap/>
            <w:hideMark/>
          </w:tcPr>
          <w:p w14:paraId="2A4BC87E" w14:textId="42F65AED" w:rsidR="00362715" w:rsidRPr="00924B60" w:rsidRDefault="00362715" w:rsidP="00362715">
            <w:pPr>
              <w:jc w:val="right"/>
              <w:rPr>
                <w:rFonts w:ascii="Calibri" w:eastAsia="Times New Roman" w:hAnsi="Calibri" w:cs="Calibri"/>
                <w:color w:val="000000"/>
              </w:rPr>
            </w:pPr>
            <w:r w:rsidRPr="00924B60">
              <w:rPr>
                <w:rFonts w:ascii="Calibri" w:eastAsia="Times New Roman" w:hAnsi="Calibri" w:cs="Calibri"/>
                <w:color w:val="000000"/>
              </w:rPr>
              <w:t>1</w:t>
            </w:r>
            <w:r w:rsidR="005611C7">
              <w:rPr>
                <w:rFonts w:ascii="Calibri" w:eastAsia="Times New Roman" w:hAnsi="Calibri" w:cs="Calibri"/>
                <w:color w:val="000000"/>
              </w:rPr>
              <w:t>·</w:t>
            </w:r>
            <w:r>
              <w:rPr>
                <w:rFonts w:ascii="Calibri" w:eastAsia="Times New Roman" w:hAnsi="Calibri" w:cs="Calibri"/>
                <w:color w:val="000000"/>
              </w:rPr>
              <w:t>000</w:t>
            </w:r>
          </w:p>
        </w:tc>
        <w:tc>
          <w:tcPr>
            <w:tcW w:w="1476" w:type="pct"/>
            <w:tcBorders>
              <w:bottom w:val="single" w:sz="4" w:space="0" w:color="auto"/>
            </w:tcBorders>
            <w:noWrap/>
            <w:hideMark/>
          </w:tcPr>
          <w:p w14:paraId="4D2A0B9B" w14:textId="445251A5" w:rsidR="00362715" w:rsidRPr="00924B60" w:rsidRDefault="00362715" w:rsidP="00362715">
            <w:pPr>
              <w:keepNext/>
              <w:jc w:val="right"/>
              <w:rPr>
                <w:rFonts w:ascii="Calibri" w:eastAsia="Times New Roman" w:hAnsi="Calibri" w:cs="Calibri"/>
                <w:color w:val="000000"/>
              </w:rPr>
            </w:pPr>
            <w:r w:rsidRPr="00924B60">
              <w:rPr>
                <w:rFonts w:ascii="Calibri" w:eastAsia="Times New Roman" w:hAnsi="Calibri" w:cs="Calibri"/>
                <w:color w:val="000000"/>
              </w:rPr>
              <w:t>0</w:t>
            </w:r>
            <w:r w:rsidR="005611C7">
              <w:rPr>
                <w:rFonts w:ascii="Calibri" w:eastAsia="Times New Roman" w:hAnsi="Calibri" w:cs="Calibri"/>
                <w:color w:val="000000"/>
              </w:rPr>
              <w:t>·</w:t>
            </w:r>
            <w:r>
              <w:rPr>
                <w:rFonts w:ascii="Calibri" w:eastAsia="Times New Roman" w:hAnsi="Calibri" w:cs="Calibri"/>
                <w:color w:val="000000"/>
              </w:rPr>
              <w:t>682</w:t>
            </w:r>
          </w:p>
        </w:tc>
      </w:tr>
    </w:tbl>
    <w:p w14:paraId="3E8725C8" w14:textId="42C1F467" w:rsidR="00362715" w:rsidRDefault="00362715" w:rsidP="002C1A27">
      <w:pPr>
        <w:jc w:val="both"/>
      </w:pPr>
    </w:p>
    <w:p w14:paraId="25C9DD00" w14:textId="77777777" w:rsidR="00362715" w:rsidRDefault="00362715">
      <w:r>
        <w:br w:type="page"/>
      </w:r>
    </w:p>
    <w:p w14:paraId="1B5D6714" w14:textId="5292FFA5" w:rsidR="009841CB" w:rsidRPr="00A666E6" w:rsidRDefault="009841CB" w:rsidP="002C1A27">
      <w:pPr>
        <w:jc w:val="both"/>
        <w:rPr>
          <w:b/>
          <w:color w:val="2F5496" w:themeColor="accent1" w:themeShade="BF"/>
        </w:rPr>
      </w:pPr>
      <w:r>
        <w:rPr>
          <w:b/>
          <w:color w:val="2F5496" w:themeColor="accent1" w:themeShade="BF"/>
        </w:rPr>
        <w:lastRenderedPageBreak/>
        <w:t>Negative binomial model for number of major INSTI DRMs</w:t>
      </w:r>
    </w:p>
    <w:p w14:paraId="7EE20196" w14:textId="77777777" w:rsidR="00362715" w:rsidRDefault="00362715" w:rsidP="00362715">
      <w:pPr>
        <w:keepNext/>
      </w:pPr>
      <w:r>
        <w:rPr>
          <w:noProof/>
        </w:rPr>
        <w:drawing>
          <wp:inline distT="0" distB="0" distL="0" distR="0" wp14:anchorId="1F73B6D7" wp14:editId="353A29F4">
            <wp:extent cx="5730240" cy="2506980"/>
            <wp:effectExtent l="0" t="0" r="3810" b="762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0240" cy="2506980"/>
                    </a:xfrm>
                    <a:prstGeom prst="rect">
                      <a:avLst/>
                    </a:prstGeom>
                    <a:noFill/>
                    <a:ln>
                      <a:noFill/>
                    </a:ln>
                  </pic:spPr>
                </pic:pic>
              </a:graphicData>
            </a:graphic>
          </wp:inline>
        </w:drawing>
      </w:r>
    </w:p>
    <w:p w14:paraId="75A6EA34" w14:textId="2959AB7F" w:rsidR="009574F1" w:rsidRDefault="00362715" w:rsidP="00357886">
      <w:pPr>
        <w:pStyle w:val="Caption"/>
        <w:jc w:val="both"/>
      </w:pPr>
      <w:bookmarkStart w:id="1" w:name="_Ref129489347"/>
      <w:r>
        <w:t xml:space="preserve">Supplemental figure </w:t>
      </w:r>
      <w:r>
        <w:fldChar w:fldCharType="begin"/>
      </w:r>
      <w:r>
        <w:instrText xml:space="preserve"> SEQ Supplemental_figure \* ARABIC </w:instrText>
      </w:r>
      <w:r>
        <w:fldChar w:fldCharType="separate"/>
      </w:r>
      <w:r w:rsidR="00DC6064">
        <w:rPr>
          <w:noProof/>
        </w:rPr>
        <w:t>1</w:t>
      </w:r>
      <w:r>
        <w:rPr>
          <w:noProof/>
        </w:rPr>
        <w:fldChar w:fldCharType="end"/>
      </w:r>
      <w:bookmarkStart w:id="2" w:name="_Hlk129959518"/>
      <w:bookmarkEnd w:id="1"/>
      <w:r>
        <w:t xml:space="preserve">: </w:t>
      </w:r>
      <w:r w:rsidRPr="003A768E">
        <w:rPr>
          <w:b/>
          <w:bCs/>
        </w:rPr>
        <w:t xml:space="preserve">Rate ratio for number of </w:t>
      </w:r>
      <w:r>
        <w:rPr>
          <w:b/>
          <w:bCs/>
        </w:rPr>
        <w:t xml:space="preserve">major </w:t>
      </w:r>
      <w:r w:rsidRPr="003A768E">
        <w:rPr>
          <w:b/>
          <w:bCs/>
        </w:rPr>
        <w:t>INSTI DRMs</w:t>
      </w:r>
      <w:bookmarkEnd w:id="2"/>
      <w:r w:rsidR="009574F1" w:rsidRPr="009574F1">
        <w:t xml:space="preserve">. A negative binomial generalised linear model was fit to the number of major INSTI DRMs in 750 people with virological failure on DTG-based ART. While 100 people had at least one INSTI DRM, only 42 had at least one major INSTI DRM. The figure shows </w:t>
      </w:r>
      <w:proofErr w:type="spellStart"/>
      <w:r w:rsidR="009574F1" w:rsidRPr="009574F1">
        <w:t>uni</w:t>
      </w:r>
      <w:proofErr w:type="spellEnd"/>
      <w:r w:rsidR="009574F1" w:rsidRPr="009574F1">
        <w:t>- and multivariable point estimates and 95% confidence intervals of rate ratios.</w:t>
      </w:r>
      <w:r w:rsidR="009574F1">
        <w:rPr>
          <w:noProof/>
        </w:rPr>
        <w:br w:type="page"/>
      </w:r>
    </w:p>
    <w:p w14:paraId="65567248" w14:textId="77777777" w:rsidR="00357886" w:rsidRDefault="009841CB" w:rsidP="009574F1">
      <w:pPr>
        <w:jc w:val="both"/>
        <w:rPr>
          <w:b/>
          <w:color w:val="2F5496" w:themeColor="accent1" w:themeShade="BF"/>
        </w:rPr>
      </w:pPr>
      <w:r>
        <w:rPr>
          <w:b/>
          <w:color w:val="2F5496" w:themeColor="accent1" w:themeShade="BF"/>
        </w:rPr>
        <w:lastRenderedPageBreak/>
        <w:t>Risk factors for DTG resistance including HIV subtype B, A, C, G, and other</w:t>
      </w:r>
    </w:p>
    <w:p w14:paraId="591434FA" w14:textId="21B2D9B3" w:rsidR="009574F1" w:rsidRPr="009574F1" w:rsidRDefault="009574F1" w:rsidP="009574F1">
      <w:pPr>
        <w:jc w:val="both"/>
        <w:rPr>
          <w:b/>
          <w:color w:val="2F5496" w:themeColor="accent1" w:themeShade="BF"/>
        </w:rPr>
      </w:pPr>
      <w:r>
        <w:rPr>
          <w:noProof/>
        </w:rPr>
        <w:drawing>
          <wp:inline distT="0" distB="0" distL="0" distR="0" wp14:anchorId="422F4937" wp14:editId="64776223">
            <wp:extent cx="5730240" cy="57302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240" cy="5730240"/>
                    </a:xfrm>
                    <a:prstGeom prst="rect">
                      <a:avLst/>
                    </a:prstGeom>
                    <a:noFill/>
                    <a:ln>
                      <a:noFill/>
                    </a:ln>
                  </pic:spPr>
                </pic:pic>
              </a:graphicData>
            </a:graphic>
          </wp:inline>
        </w:drawing>
      </w:r>
    </w:p>
    <w:p w14:paraId="77413901" w14:textId="2CD8AC19" w:rsidR="009574F1" w:rsidRDefault="009574F1" w:rsidP="009574F1">
      <w:pPr>
        <w:pStyle w:val="Caption"/>
        <w:rPr>
          <w:noProof/>
        </w:rPr>
      </w:pPr>
      <w:bookmarkStart w:id="3" w:name="_Ref129491153"/>
      <w:r>
        <w:t xml:space="preserve">Supplemental figure </w:t>
      </w:r>
      <w:r>
        <w:fldChar w:fldCharType="begin"/>
      </w:r>
      <w:r>
        <w:instrText xml:space="preserve"> SEQ Supplemental_figure \* ARABIC </w:instrText>
      </w:r>
      <w:r>
        <w:fldChar w:fldCharType="separate"/>
      </w:r>
      <w:r w:rsidR="00DC6064">
        <w:rPr>
          <w:noProof/>
        </w:rPr>
        <w:t>2</w:t>
      </w:r>
      <w:r>
        <w:rPr>
          <w:noProof/>
        </w:rPr>
        <w:fldChar w:fldCharType="end"/>
      </w:r>
      <w:bookmarkEnd w:id="3"/>
      <w:r>
        <w:t>:</w:t>
      </w:r>
      <w:r w:rsidRPr="007D6A19">
        <w:rPr>
          <w:b/>
          <w:bCs/>
        </w:rPr>
        <w:t xml:space="preserve"> </w:t>
      </w:r>
      <w:r>
        <w:rPr>
          <w:b/>
          <w:bCs/>
        </w:rPr>
        <w:t>O</w:t>
      </w:r>
      <w:r w:rsidRPr="003B7875">
        <w:rPr>
          <w:b/>
          <w:bCs/>
        </w:rPr>
        <w:t>dds</w:t>
      </w:r>
      <w:r>
        <w:rPr>
          <w:b/>
          <w:bCs/>
        </w:rPr>
        <w:t xml:space="preserve"> </w:t>
      </w:r>
      <w:r w:rsidRPr="003B7875">
        <w:rPr>
          <w:b/>
          <w:bCs/>
        </w:rPr>
        <w:t>ratios</w:t>
      </w:r>
      <w:r>
        <w:rPr>
          <w:b/>
          <w:bCs/>
        </w:rPr>
        <w:t xml:space="preserve"> for DTG resistance levels with </w:t>
      </w:r>
      <w:r w:rsidRPr="003B7875">
        <w:rPr>
          <w:b/>
          <w:bCs/>
        </w:rPr>
        <w:t xml:space="preserve">95% </w:t>
      </w:r>
      <w:r>
        <w:rPr>
          <w:b/>
          <w:bCs/>
        </w:rPr>
        <w:t>confidence intervals</w:t>
      </w:r>
      <w:r w:rsidRPr="003B7875">
        <w:rPr>
          <w:b/>
          <w:bCs/>
        </w:rPr>
        <w:t xml:space="preserve"> from </w:t>
      </w:r>
      <w:proofErr w:type="spellStart"/>
      <w:r w:rsidRPr="003B7875">
        <w:rPr>
          <w:b/>
          <w:bCs/>
        </w:rPr>
        <w:t>uni</w:t>
      </w:r>
      <w:proofErr w:type="spellEnd"/>
      <w:r w:rsidRPr="003B7875">
        <w:rPr>
          <w:b/>
          <w:bCs/>
        </w:rPr>
        <w:t xml:space="preserve">- and multivariable </w:t>
      </w:r>
      <w:r>
        <w:rPr>
          <w:b/>
          <w:bCs/>
        </w:rPr>
        <w:t>ordinal logistic</w:t>
      </w:r>
      <w:r w:rsidRPr="003B7875">
        <w:rPr>
          <w:b/>
          <w:bCs/>
        </w:rPr>
        <w:t xml:space="preserve"> model</w:t>
      </w:r>
      <w:r>
        <w:rPr>
          <w:b/>
          <w:bCs/>
        </w:rPr>
        <w:t>s</w:t>
      </w:r>
      <w:r w:rsidRPr="003B7875">
        <w:rPr>
          <w:b/>
          <w:bCs/>
        </w:rPr>
        <w:t xml:space="preserve"> for genotypic DTG resistance</w:t>
      </w:r>
      <w:r>
        <w:t>. Cohorts were included as random effect. In this analysis, Non-B HIV subtypes were further separated.</w:t>
      </w:r>
    </w:p>
    <w:p w14:paraId="4F195EF9" w14:textId="354C5646" w:rsidR="009841CB" w:rsidRDefault="009841CB" w:rsidP="002C1A27">
      <w:pPr>
        <w:jc w:val="both"/>
      </w:pPr>
    </w:p>
    <w:p w14:paraId="2B4AEE2A" w14:textId="77777777" w:rsidR="009574F1" w:rsidRDefault="009574F1">
      <w:pPr>
        <w:rPr>
          <w:b/>
          <w:color w:val="2F5496" w:themeColor="accent1" w:themeShade="BF"/>
        </w:rPr>
      </w:pPr>
      <w:r>
        <w:rPr>
          <w:b/>
          <w:color w:val="2F5496" w:themeColor="accent1" w:themeShade="BF"/>
        </w:rPr>
        <w:br w:type="page"/>
      </w:r>
    </w:p>
    <w:p w14:paraId="46D55627" w14:textId="4A15397B" w:rsidR="009841CB" w:rsidRPr="00A666E6" w:rsidRDefault="009841CB" w:rsidP="002C1A27">
      <w:pPr>
        <w:jc w:val="both"/>
        <w:rPr>
          <w:b/>
          <w:color w:val="2F5496" w:themeColor="accent1" w:themeShade="BF"/>
        </w:rPr>
      </w:pPr>
      <w:r>
        <w:rPr>
          <w:b/>
          <w:color w:val="2F5496" w:themeColor="accent1" w:themeShade="BF"/>
        </w:rPr>
        <w:lastRenderedPageBreak/>
        <w:t>Sensitivity analyses</w:t>
      </w:r>
    </w:p>
    <w:p w14:paraId="2778BD80" w14:textId="3552B21D" w:rsidR="009574F1" w:rsidRDefault="009574F1" w:rsidP="002C1A27">
      <w:pPr>
        <w:jc w:val="both"/>
        <w:rPr>
          <w:color w:val="000000" w:themeColor="text1"/>
        </w:rPr>
      </w:pPr>
      <w:r>
        <w:rPr>
          <w:color w:val="000000" w:themeColor="text1"/>
        </w:rPr>
        <w:t>We performed the following sensitivity analyses:</w:t>
      </w:r>
    </w:p>
    <w:p w14:paraId="0156FB8D" w14:textId="47233AA2" w:rsidR="009841CB" w:rsidRDefault="009574F1" w:rsidP="002C1A27">
      <w:pPr>
        <w:jc w:val="both"/>
      </w:pPr>
      <w:r>
        <w:rPr>
          <w:color w:val="000000" w:themeColor="text1"/>
        </w:rPr>
        <w:t>S</w:t>
      </w:r>
      <w:r w:rsidR="009841CB" w:rsidRPr="00D623AC">
        <w:rPr>
          <w:color w:val="000000" w:themeColor="text1"/>
        </w:rPr>
        <w:t xml:space="preserve">ensitivity analysis </w:t>
      </w:r>
      <w:r w:rsidR="009841CB">
        <w:rPr>
          <w:color w:val="000000" w:themeColor="text1"/>
        </w:rPr>
        <w:t>S1: Using M184I/V as covariable in the risk factor analysis</w:t>
      </w:r>
      <w:r>
        <w:rPr>
          <w:color w:val="000000" w:themeColor="text1"/>
        </w:rPr>
        <w:t>. As hallmark NRTI drug resistance mutation, in S1 we consider the M184I/V mutation as covariable in the risk factor analysis.</w:t>
      </w:r>
    </w:p>
    <w:p w14:paraId="090B335C" w14:textId="27EC4500" w:rsidR="009841CB" w:rsidRDefault="009574F1" w:rsidP="002C1A27">
      <w:pPr>
        <w:jc w:val="both"/>
      </w:pPr>
      <w:r>
        <w:rPr>
          <w:color w:val="000000" w:themeColor="text1"/>
        </w:rPr>
        <w:t>S</w:t>
      </w:r>
      <w:r w:rsidR="009841CB" w:rsidRPr="00D623AC">
        <w:rPr>
          <w:color w:val="000000" w:themeColor="text1"/>
        </w:rPr>
        <w:t xml:space="preserve">ensitivity analysis </w:t>
      </w:r>
      <w:r w:rsidR="009841CB">
        <w:rPr>
          <w:color w:val="000000" w:themeColor="text1"/>
        </w:rPr>
        <w:t>S2: Using logistic regression for the risk factor analysis</w:t>
      </w:r>
      <w:r>
        <w:rPr>
          <w:color w:val="000000" w:themeColor="text1"/>
        </w:rPr>
        <w:t xml:space="preserve">. In S2, we confirm the findings from the ordinal logistic regression using a simpler statistical model. Hereby we binarize the outcome variable DTG resistance, </w:t>
      </w:r>
      <w:r w:rsidR="00A718B5">
        <w:rPr>
          <w:color w:val="000000" w:themeColor="text1"/>
        </w:rPr>
        <w:t>comparing DTG susceptible with any DTG resistance.</w:t>
      </w:r>
    </w:p>
    <w:p w14:paraId="0DBDFE5B" w14:textId="3E3E379E" w:rsidR="009841CB" w:rsidRDefault="009574F1" w:rsidP="002C1A27">
      <w:pPr>
        <w:jc w:val="both"/>
      </w:pPr>
      <w:r>
        <w:rPr>
          <w:color w:val="000000" w:themeColor="text1"/>
        </w:rPr>
        <w:t>S</w:t>
      </w:r>
      <w:r w:rsidR="009841CB" w:rsidRPr="00D623AC">
        <w:rPr>
          <w:color w:val="000000" w:themeColor="text1"/>
        </w:rPr>
        <w:t xml:space="preserve">ensitivity analysis </w:t>
      </w:r>
      <w:r w:rsidR="009841CB">
        <w:rPr>
          <w:color w:val="000000" w:themeColor="text1"/>
        </w:rPr>
        <w:t>S3: Risk factor analysis in the subset with RT sequences</w:t>
      </w:r>
      <w:r w:rsidR="00A718B5">
        <w:rPr>
          <w:color w:val="000000" w:themeColor="text1"/>
        </w:rPr>
        <w:t>. As a considerable number of genotypic resistance tests in the main risk factor analysis did not cover the RT region, we considered the additional level `no RT sequenced`. As both for NRTI and NNRTI, genotypic resistance is predicted from RT, the `no RT sequenced` level resulted in collinearity. In S3, we confirm the findings in the subset of study participants where RT sequence was available. Additionally, we investigate impact of NNRTI resistance on DTG resistance.</w:t>
      </w:r>
    </w:p>
    <w:p w14:paraId="4CD3A9CC" w14:textId="6BA06482" w:rsidR="009841CB" w:rsidRDefault="009574F1" w:rsidP="002C1A27">
      <w:pPr>
        <w:jc w:val="both"/>
      </w:pPr>
      <w:r>
        <w:rPr>
          <w:color w:val="000000" w:themeColor="text1"/>
        </w:rPr>
        <w:t>S</w:t>
      </w:r>
      <w:r w:rsidR="009841CB" w:rsidRPr="00D623AC">
        <w:rPr>
          <w:color w:val="000000" w:themeColor="text1"/>
        </w:rPr>
        <w:t xml:space="preserve">ensitivity analysis </w:t>
      </w:r>
      <w:r w:rsidR="009841CB">
        <w:rPr>
          <w:color w:val="000000" w:themeColor="text1"/>
        </w:rPr>
        <w:t xml:space="preserve">S4: </w:t>
      </w:r>
      <w:r w:rsidR="00C762D6">
        <w:rPr>
          <w:color w:val="000000" w:themeColor="text1"/>
        </w:rPr>
        <w:t>Risk factor analysis using 3TC and TDF for calculating NRTI resistance</w:t>
      </w:r>
      <w:r w:rsidR="00A718B5">
        <w:rPr>
          <w:color w:val="000000" w:themeColor="text1"/>
        </w:rPr>
        <w:t>. In light of the global roll-out of TLD (tenofovir lamivudine dolutegravir), we calculate in S4 the resistance levels based on resistance scores for 3TC and TDF only, and consider the maximum score of the two NRTIs to derive NRTI resistance level.</w:t>
      </w:r>
    </w:p>
    <w:p w14:paraId="30D4FA05" w14:textId="2D19CF79" w:rsidR="00A718B5" w:rsidRDefault="009574F1" w:rsidP="002C1A27">
      <w:pPr>
        <w:jc w:val="both"/>
        <w:rPr>
          <w:color w:val="000000" w:themeColor="text1"/>
        </w:rPr>
      </w:pPr>
      <w:r>
        <w:rPr>
          <w:color w:val="000000" w:themeColor="text1"/>
        </w:rPr>
        <w:t>S</w:t>
      </w:r>
      <w:r w:rsidR="009841CB" w:rsidRPr="00D623AC">
        <w:rPr>
          <w:color w:val="000000" w:themeColor="text1"/>
        </w:rPr>
        <w:t xml:space="preserve">ensitivity analysis </w:t>
      </w:r>
      <w:r w:rsidR="009841CB">
        <w:rPr>
          <w:color w:val="000000" w:themeColor="text1"/>
        </w:rPr>
        <w:t xml:space="preserve">S5: </w:t>
      </w:r>
      <w:r w:rsidR="00C762D6">
        <w:rPr>
          <w:color w:val="000000" w:themeColor="text1"/>
        </w:rPr>
        <w:t xml:space="preserve">Risk factor analysis in the subset on </w:t>
      </w:r>
      <w:r w:rsidR="00C762D6" w:rsidRPr="00C762D6">
        <w:rPr>
          <w:color w:val="000000" w:themeColor="text1"/>
        </w:rPr>
        <w:t>a DTG regimen with two NRTI backbones</w:t>
      </w:r>
      <w:r w:rsidR="00A718B5">
        <w:rPr>
          <w:color w:val="000000" w:themeColor="text1"/>
        </w:rPr>
        <w:t xml:space="preserve">. In S5, we confirm our findings in the subset of participants on a triple regimen comprised of DTG plus two NRTIs. </w:t>
      </w:r>
      <w:r w:rsidR="00A718B5" w:rsidRPr="00A718B5">
        <w:rPr>
          <w:color w:val="000000" w:themeColor="text1"/>
        </w:rPr>
        <w:t xml:space="preserve">This </w:t>
      </w:r>
      <w:r w:rsidR="00DC6064" w:rsidRPr="00A718B5">
        <w:rPr>
          <w:color w:val="000000" w:themeColor="text1"/>
        </w:rPr>
        <w:t>corresponds</w:t>
      </w:r>
      <w:r w:rsidR="00A718B5" w:rsidRPr="00A718B5">
        <w:rPr>
          <w:color w:val="000000" w:themeColor="text1"/>
        </w:rPr>
        <w:t xml:space="preserve"> to 3TC</w:t>
      </w:r>
      <w:r w:rsidR="00A718B5">
        <w:rPr>
          <w:color w:val="000000" w:themeColor="text1"/>
        </w:rPr>
        <w:t xml:space="preserve">, </w:t>
      </w:r>
      <w:r w:rsidR="00A718B5" w:rsidRPr="00A718B5">
        <w:rPr>
          <w:color w:val="000000" w:themeColor="text1"/>
        </w:rPr>
        <w:t>ABC</w:t>
      </w:r>
      <w:r w:rsidR="00A718B5">
        <w:rPr>
          <w:color w:val="000000" w:themeColor="text1"/>
        </w:rPr>
        <w:t xml:space="preserve">, </w:t>
      </w:r>
      <w:r w:rsidR="00A718B5" w:rsidRPr="00A718B5">
        <w:rPr>
          <w:color w:val="000000" w:themeColor="text1"/>
        </w:rPr>
        <w:t>DTG (N=243, 65</w:t>
      </w:r>
      <w:r w:rsidR="005611C7">
        <w:rPr>
          <w:color w:val="000000" w:themeColor="text1"/>
        </w:rPr>
        <w:t>·</w:t>
      </w:r>
      <w:r w:rsidR="00A718B5" w:rsidRPr="00A718B5">
        <w:rPr>
          <w:color w:val="000000" w:themeColor="text1"/>
        </w:rPr>
        <w:t>7%)</w:t>
      </w:r>
      <w:r w:rsidR="00A718B5">
        <w:rPr>
          <w:color w:val="000000" w:themeColor="text1"/>
        </w:rPr>
        <w:t>;</w:t>
      </w:r>
      <w:r w:rsidR="00A718B5" w:rsidRPr="00A718B5">
        <w:rPr>
          <w:color w:val="000000" w:themeColor="text1"/>
        </w:rPr>
        <w:t xml:space="preserve"> DTG</w:t>
      </w:r>
      <w:r w:rsidR="00A718B5">
        <w:rPr>
          <w:color w:val="000000" w:themeColor="text1"/>
        </w:rPr>
        <w:t xml:space="preserve">, </w:t>
      </w:r>
      <w:r w:rsidR="00A718B5" w:rsidRPr="00A718B5">
        <w:rPr>
          <w:color w:val="000000" w:themeColor="text1"/>
        </w:rPr>
        <w:t>FTC</w:t>
      </w:r>
      <w:r w:rsidR="00A718B5">
        <w:rPr>
          <w:color w:val="000000" w:themeColor="text1"/>
        </w:rPr>
        <w:t xml:space="preserve">, </w:t>
      </w:r>
      <w:r w:rsidR="00A718B5" w:rsidRPr="00A718B5">
        <w:rPr>
          <w:color w:val="000000" w:themeColor="text1"/>
        </w:rPr>
        <w:t>TDF (N=88, 23</w:t>
      </w:r>
      <w:r w:rsidR="005611C7">
        <w:rPr>
          <w:color w:val="000000" w:themeColor="text1"/>
        </w:rPr>
        <w:t>·</w:t>
      </w:r>
      <w:r w:rsidR="00A718B5" w:rsidRPr="00A718B5">
        <w:rPr>
          <w:color w:val="000000" w:themeColor="text1"/>
        </w:rPr>
        <w:t>8%)</w:t>
      </w:r>
      <w:r w:rsidR="00A718B5">
        <w:rPr>
          <w:color w:val="000000" w:themeColor="text1"/>
        </w:rPr>
        <w:t>;</w:t>
      </w:r>
      <w:r w:rsidR="00A718B5" w:rsidRPr="00A718B5">
        <w:rPr>
          <w:color w:val="000000" w:themeColor="text1"/>
        </w:rPr>
        <w:t xml:space="preserve"> DTG</w:t>
      </w:r>
      <w:r w:rsidR="00A718B5">
        <w:rPr>
          <w:color w:val="000000" w:themeColor="text1"/>
        </w:rPr>
        <w:t xml:space="preserve">, </w:t>
      </w:r>
      <w:r w:rsidR="00A718B5" w:rsidRPr="00A718B5">
        <w:rPr>
          <w:color w:val="000000" w:themeColor="text1"/>
        </w:rPr>
        <w:t>FTC</w:t>
      </w:r>
      <w:r w:rsidR="00A718B5">
        <w:rPr>
          <w:color w:val="000000" w:themeColor="text1"/>
        </w:rPr>
        <w:t xml:space="preserve">, </w:t>
      </w:r>
      <w:r w:rsidR="00A718B5" w:rsidRPr="00A718B5">
        <w:rPr>
          <w:color w:val="000000" w:themeColor="text1"/>
        </w:rPr>
        <w:t>TAF (N=34, 9</w:t>
      </w:r>
      <w:r w:rsidR="005611C7">
        <w:rPr>
          <w:color w:val="000000" w:themeColor="text1"/>
        </w:rPr>
        <w:t>·</w:t>
      </w:r>
      <w:r w:rsidR="00A718B5" w:rsidRPr="00A718B5">
        <w:rPr>
          <w:color w:val="000000" w:themeColor="text1"/>
        </w:rPr>
        <w:t>2%)</w:t>
      </w:r>
      <w:r w:rsidR="00A718B5">
        <w:rPr>
          <w:color w:val="000000" w:themeColor="text1"/>
        </w:rPr>
        <w:t>;</w:t>
      </w:r>
      <w:r w:rsidR="00A718B5" w:rsidRPr="00A718B5">
        <w:rPr>
          <w:color w:val="000000" w:themeColor="text1"/>
        </w:rPr>
        <w:t xml:space="preserve"> 3TC</w:t>
      </w:r>
      <w:r w:rsidR="00A718B5">
        <w:rPr>
          <w:color w:val="000000" w:themeColor="text1"/>
        </w:rPr>
        <w:t xml:space="preserve">, </w:t>
      </w:r>
      <w:r w:rsidR="00A718B5" w:rsidRPr="00A718B5">
        <w:rPr>
          <w:color w:val="000000" w:themeColor="text1"/>
        </w:rPr>
        <w:t>AZT</w:t>
      </w:r>
      <w:r w:rsidR="00A718B5">
        <w:rPr>
          <w:color w:val="000000" w:themeColor="text1"/>
        </w:rPr>
        <w:t xml:space="preserve">, </w:t>
      </w:r>
      <w:r w:rsidR="00A718B5" w:rsidRPr="00A718B5">
        <w:rPr>
          <w:color w:val="000000" w:themeColor="text1"/>
        </w:rPr>
        <w:t>DTG (N=3, 0</w:t>
      </w:r>
      <w:r w:rsidR="005611C7">
        <w:rPr>
          <w:color w:val="000000" w:themeColor="text1"/>
        </w:rPr>
        <w:t>·</w:t>
      </w:r>
      <w:r w:rsidR="00A718B5" w:rsidRPr="00A718B5">
        <w:rPr>
          <w:color w:val="000000" w:themeColor="text1"/>
        </w:rPr>
        <w:t>8%)</w:t>
      </w:r>
      <w:r w:rsidR="00A718B5">
        <w:rPr>
          <w:color w:val="000000" w:themeColor="text1"/>
        </w:rPr>
        <w:t>;</w:t>
      </w:r>
      <w:r w:rsidR="00A718B5" w:rsidRPr="00A718B5">
        <w:rPr>
          <w:color w:val="000000" w:themeColor="text1"/>
        </w:rPr>
        <w:t xml:space="preserve"> 3TC</w:t>
      </w:r>
      <w:r w:rsidR="00A718B5">
        <w:rPr>
          <w:color w:val="000000" w:themeColor="text1"/>
        </w:rPr>
        <w:t xml:space="preserve">, </w:t>
      </w:r>
      <w:r w:rsidR="00A718B5" w:rsidRPr="00A718B5">
        <w:rPr>
          <w:color w:val="000000" w:themeColor="text1"/>
        </w:rPr>
        <w:t>DTG</w:t>
      </w:r>
      <w:r w:rsidR="00A718B5">
        <w:rPr>
          <w:color w:val="000000" w:themeColor="text1"/>
        </w:rPr>
        <w:t xml:space="preserve">, </w:t>
      </w:r>
      <w:r w:rsidR="00A718B5" w:rsidRPr="00A718B5">
        <w:rPr>
          <w:color w:val="000000" w:themeColor="text1"/>
        </w:rPr>
        <w:t>TDF (N=1, 0</w:t>
      </w:r>
      <w:r w:rsidR="005611C7">
        <w:rPr>
          <w:color w:val="000000" w:themeColor="text1"/>
        </w:rPr>
        <w:t>·</w:t>
      </w:r>
      <w:r w:rsidR="00A718B5" w:rsidRPr="00A718B5">
        <w:rPr>
          <w:color w:val="000000" w:themeColor="text1"/>
        </w:rPr>
        <w:t>3%), and ABC</w:t>
      </w:r>
      <w:r w:rsidR="00A718B5">
        <w:rPr>
          <w:color w:val="000000" w:themeColor="text1"/>
        </w:rPr>
        <w:t xml:space="preserve">, </w:t>
      </w:r>
      <w:r w:rsidR="00A718B5" w:rsidRPr="00A718B5">
        <w:rPr>
          <w:color w:val="000000" w:themeColor="text1"/>
        </w:rPr>
        <w:t>DTG</w:t>
      </w:r>
      <w:r w:rsidR="00A718B5">
        <w:rPr>
          <w:color w:val="000000" w:themeColor="text1"/>
        </w:rPr>
        <w:t xml:space="preserve">, </w:t>
      </w:r>
      <w:r w:rsidR="00A718B5" w:rsidRPr="00A718B5">
        <w:rPr>
          <w:color w:val="000000" w:themeColor="text1"/>
        </w:rPr>
        <w:t>TDF (N=1, 0</w:t>
      </w:r>
      <w:r w:rsidR="005611C7">
        <w:rPr>
          <w:color w:val="000000" w:themeColor="text1"/>
        </w:rPr>
        <w:t>·</w:t>
      </w:r>
      <w:r w:rsidR="00A718B5" w:rsidRPr="00A718B5">
        <w:rPr>
          <w:color w:val="000000" w:themeColor="text1"/>
        </w:rPr>
        <w:t>3%).</w:t>
      </w:r>
      <w:r w:rsidR="00A718B5">
        <w:rPr>
          <w:color w:val="000000" w:themeColor="text1"/>
        </w:rPr>
        <w:t xml:space="preserve"> We calculate NRTI resistance </w:t>
      </w:r>
      <w:r w:rsidR="00750120">
        <w:rPr>
          <w:color w:val="000000" w:themeColor="text1"/>
        </w:rPr>
        <w:t>based on only the two NRTIs comprising the ART regimen of the study</w:t>
      </w:r>
      <w:r w:rsidR="0012165C">
        <w:rPr>
          <w:color w:val="000000" w:themeColor="text1"/>
        </w:rPr>
        <w:t xml:space="preserve"> </w:t>
      </w:r>
      <w:r w:rsidR="00750120">
        <w:rPr>
          <w:color w:val="000000" w:themeColor="text1"/>
        </w:rPr>
        <w:t>participants.</w:t>
      </w:r>
    </w:p>
    <w:p w14:paraId="4C968E13" w14:textId="75033892" w:rsidR="00750120" w:rsidRDefault="009574F1" w:rsidP="002C1A27">
      <w:pPr>
        <w:jc w:val="both"/>
        <w:rPr>
          <w:color w:val="000000" w:themeColor="text1"/>
        </w:rPr>
      </w:pPr>
      <w:r>
        <w:rPr>
          <w:color w:val="000000" w:themeColor="text1"/>
        </w:rPr>
        <w:t>S</w:t>
      </w:r>
      <w:r w:rsidR="009841CB" w:rsidRPr="00D623AC">
        <w:rPr>
          <w:color w:val="000000" w:themeColor="text1"/>
        </w:rPr>
        <w:t xml:space="preserve">ensitivity analysis </w:t>
      </w:r>
      <w:r w:rsidR="009841CB">
        <w:rPr>
          <w:color w:val="000000" w:themeColor="text1"/>
        </w:rPr>
        <w:t xml:space="preserve">S6: </w:t>
      </w:r>
      <w:r w:rsidR="00C762D6">
        <w:rPr>
          <w:color w:val="000000" w:themeColor="text1"/>
        </w:rPr>
        <w:t>Using prior NRTI resistance as covariable in the risk factor analysis</w:t>
      </w:r>
      <w:r w:rsidR="00750120">
        <w:rPr>
          <w:color w:val="000000" w:themeColor="text1"/>
        </w:rPr>
        <w:t>. The association of NRTI resistance with DTG resistance found in the risk factor analysis does not allow to determine which came first. In S6, we restrict the study</w:t>
      </w:r>
      <w:r w:rsidR="0012165C">
        <w:rPr>
          <w:color w:val="000000" w:themeColor="text1"/>
        </w:rPr>
        <w:t xml:space="preserve"> </w:t>
      </w:r>
      <w:r w:rsidR="00750120">
        <w:rPr>
          <w:color w:val="000000" w:themeColor="text1"/>
        </w:rPr>
        <w:t xml:space="preserve">population to those where genotypic resistance tests from earlier timepoints were available. We calculate prior NRTI resistance for earlier timepoints, taking the maximum in case multiple earlier genotypic resistance tests were available. </w:t>
      </w:r>
    </w:p>
    <w:p w14:paraId="3B0583D8" w14:textId="77777777" w:rsidR="00750120" w:rsidRDefault="00750120">
      <w:pPr>
        <w:rPr>
          <w:color w:val="000000" w:themeColor="text1"/>
        </w:rPr>
      </w:pPr>
      <w:r>
        <w:rPr>
          <w:color w:val="000000" w:themeColor="text1"/>
        </w:rPr>
        <w:br w:type="page"/>
      </w:r>
    </w:p>
    <w:p w14:paraId="7624466D" w14:textId="77777777" w:rsidR="00D8439A" w:rsidRDefault="00D8439A" w:rsidP="00D8439A">
      <w:pPr>
        <w:keepNext/>
        <w:jc w:val="both"/>
      </w:pPr>
      <w:r>
        <w:rPr>
          <w:noProof/>
        </w:rPr>
        <w:lastRenderedPageBreak/>
        <w:drawing>
          <wp:inline distT="0" distB="0" distL="0" distR="0" wp14:anchorId="1CA2B645" wp14:editId="76F5058D">
            <wp:extent cx="5725795" cy="572579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5795" cy="5725795"/>
                    </a:xfrm>
                    <a:prstGeom prst="rect">
                      <a:avLst/>
                    </a:prstGeom>
                    <a:noFill/>
                    <a:ln>
                      <a:noFill/>
                    </a:ln>
                  </pic:spPr>
                </pic:pic>
              </a:graphicData>
            </a:graphic>
          </wp:inline>
        </w:drawing>
      </w:r>
    </w:p>
    <w:p w14:paraId="6C574D98" w14:textId="248AB32E" w:rsidR="009841CB" w:rsidRDefault="00D8439A" w:rsidP="00D8439A">
      <w:pPr>
        <w:pStyle w:val="Caption"/>
        <w:jc w:val="both"/>
      </w:pPr>
      <w:r>
        <w:t xml:space="preserve">Supplemental figure </w:t>
      </w:r>
      <w:r>
        <w:fldChar w:fldCharType="begin"/>
      </w:r>
      <w:r>
        <w:instrText xml:space="preserve"> SEQ Supplemental_figure \* ARABIC </w:instrText>
      </w:r>
      <w:r>
        <w:fldChar w:fldCharType="separate"/>
      </w:r>
      <w:r w:rsidR="00DC6064">
        <w:rPr>
          <w:noProof/>
        </w:rPr>
        <w:t>3</w:t>
      </w:r>
      <w:r>
        <w:fldChar w:fldCharType="end"/>
      </w:r>
      <w:r>
        <w:t xml:space="preserve">: </w:t>
      </w:r>
      <w:r w:rsidRPr="00D8439A">
        <w:rPr>
          <w:b/>
          <w:bCs/>
        </w:rPr>
        <w:t>Sensitivity analysis S1: Using M184I/V as covariable in the risk factor analysis</w:t>
      </w:r>
      <w:r>
        <w:t>.</w:t>
      </w:r>
      <w:r w:rsidRPr="00D8439A">
        <w:t xml:space="preserve"> Risk factors were assessed in the same population as in the main </w:t>
      </w:r>
      <w:r>
        <w:t xml:space="preserve">risk factor </w:t>
      </w:r>
      <w:r w:rsidRPr="00D8439A">
        <w:t>analysis. Cohorts were included as random effect.</w:t>
      </w:r>
    </w:p>
    <w:p w14:paraId="4DBC3026" w14:textId="47900935" w:rsidR="00D8439A" w:rsidRDefault="00D8439A">
      <w:r>
        <w:br w:type="page"/>
      </w:r>
    </w:p>
    <w:p w14:paraId="7537F8B5" w14:textId="77777777" w:rsidR="00357886" w:rsidRDefault="00D8439A" w:rsidP="00357886">
      <w:pPr>
        <w:keepNext/>
      </w:pPr>
      <w:r>
        <w:rPr>
          <w:noProof/>
        </w:rPr>
        <w:lastRenderedPageBreak/>
        <w:drawing>
          <wp:inline distT="0" distB="0" distL="0" distR="0" wp14:anchorId="27CE96DE" wp14:editId="3B7E9200">
            <wp:extent cx="5730240" cy="5730240"/>
            <wp:effectExtent l="0" t="0" r="3810" b="3810"/>
            <wp:docPr id="5" name="Picture 5"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0240" cy="5730240"/>
                    </a:xfrm>
                    <a:prstGeom prst="rect">
                      <a:avLst/>
                    </a:prstGeom>
                    <a:noFill/>
                    <a:ln>
                      <a:noFill/>
                    </a:ln>
                  </pic:spPr>
                </pic:pic>
              </a:graphicData>
            </a:graphic>
          </wp:inline>
        </w:drawing>
      </w:r>
    </w:p>
    <w:p w14:paraId="48D4B435" w14:textId="23C2BB0B" w:rsidR="00D8439A" w:rsidRDefault="00357886" w:rsidP="00357886">
      <w:pPr>
        <w:pStyle w:val="Caption"/>
        <w:jc w:val="both"/>
      </w:pPr>
      <w:r>
        <w:t xml:space="preserve">Supplemental figure </w:t>
      </w:r>
      <w:r>
        <w:fldChar w:fldCharType="begin"/>
      </w:r>
      <w:r>
        <w:instrText xml:space="preserve"> SEQ Supplemental_figure \* ARABIC </w:instrText>
      </w:r>
      <w:r>
        <w:fldChar w:fldCharType="separate"/>
      </w:r>
      <w:r w:rsidR="00DC6064">
        <w:rPr>
          <w:noProof/>
        </w:rPr>
        <w:t>4</w:t>
      </w:r>
      <w:r>
        <w:fldChar w:fldCharType="end"/>
      </w:r>
      <w:r>
        <w:t xml:space="preserve">: </w:t>
      </w:r>
      <w:r w:rsidRPr="00357886">
        <w:rPr>
          <w:b/>
          <w:bCs/>
        </w:rPr>
        <w:t>Sensitivity analysis S2.</w:t>
      </w:r>
      <w:r w:rsidRPr="00357886">
        <w:t xml:space="preserve"> </w:t>
      </w:r>
      <w:r w:rsidRPr="00357886">
        <w:rPr>
          <w:b/>
          <w:bCs/>
        </w:rPr>
        <w:t>Logistic regression for DTG resistance levels susceptibly vs. any DTG resistance</w:t>
      </w:r>
      <w:r w:rsidRPr="00357886">
        <w:t>. Risk factors using logistic regression were assessed in the same population as in the main analysis. Cohorts were included as random effect.</w:t>
      </w:r>
    </w:p>
    <w:p w14:paraId="45AC1C0A" w14:textId="76BC9833" w:rsidR="00357886" w:rsidRDefault="00357886">
      <w:r>
        <w:br w:type="page"/>
      </w:r>
    </w:p>
    <w:p w14:paraId="1DF220DC" w14:textId="77777777" w:rsidR="00357886" w:rsidRDefault="00357886" w:rsidP="00357886">
      <w:pPr>
        <w:keepNext/>
      </w:pPr>
      <w:r>
        <w:rPr>
          <w:noProof/>
          <w:color w:val="000000" w:themeColor="text1"/>
        </w:rPr>
        <w:lastRenderedPageBreak/>
        <w:drawing>
          <wp:inline distT="0" distB="0" distL="0" distR="0" wp14:anchorId="09A4D001" wp14:editId="4DCFB788">
            <wp:extent cx="5730240" cy="57302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0240" cy="5730240"/>
                    </a:xfrm>
                    <a:prstGeom prst="rect">
                      <a:avLst/>
                    </a:prstGeom>
                    <a:noFill/>
                    <a:ln>
                      <a:noFill/>
                    </a:ln>
                  </pic:spPr>
                </pic:pic>
              </a:graphicData>
            </a:graphic>
          </wp:inline>
        </w:drawing>
      </w:r>
    </w:p>
    <w:p w14:paraId="6103B8A2" w14:textId="74BFB10F" w:rsidR="00357886" w:rsidRDefault="00357886" w:rsidP="00357886">
      <w:pPr>
        <w:pStyle w:val="Caption"/>
        <w:jc w:val="both"/>
      </w:pPr>
      <w:r>
        <w:t xml:space="preserve">Supplemental figure </w:t>
      </w:r>
      <w:r>
        <w:fldChar w:fldCharType="begin"/>
      </w:r>
      <w:r>
        <w:instrText xml:space="preserve"> SEQ Supplemental_figure \* ARABIC </w:instrText>
      </w:r>
      <w:r>
        <w:fldChar w:fldCharType="separate"/>
      </w:r>
      <w:r w:rsidR="00DC6064">
        <w:rPr>
          <w:noProof/>
        </w:rPr>
        <w:t>5</w:t>
      </w:r>
      <w:r>
        <w:fldChar w:fldCharType="end"/>
      </w:r>
      <w:r>
        <w:t>:</w:t>
      </w:r>
      <w:r w:rsidRPr="00357886">
        <w:rPr>
          <w:b/>
          <w:bCs/>
        </w:rPr>
        <w:t xml:space="preserve"> </w:t>
      </w:r>
      <w:r w:rsidRPr="008F21CA">
        <w:rPr>
          <w:b/>
          <w:bCs/>
        </w:rPr>
        <w:t>Sensitivity analysis S</w:t>
      </w:r>
      <w:r>
        <w:rPr>
          <w:b/>
          <w:bCs/>
        </w:rPr>
        <w:t>3</w:t>
      </w:r>
      <w:r w:rsidRPr="008F21CA">
        <w:rPr>
          <w:b/>
          <w:bCs/>
        </w:rPr>
        <w:t>. Full RT sequence sensitivity analysis</w:t>
      </w:r>
      <w:r>
        <w:rPr>
          <w:b/>
          <w:bCs/>
        </w:rPr>
        <w:t xml:space="preserve">. </w:t>
      </w:r>
      <w:r>
        <w:t>Risk factor analysis in the 613 out of 677 (90</w:t>
      </w:r>
      <w:r w:rsidR="005611C7">
        <w:t>·</w:t>
      </w:r>
      <w:r>
        <w:t>5%) people considered in the main risk factor analysis where RT sequence was available. Participants where no RT sequence was available were excluded in this analysis, thus allowing to include NRTI and NNRTI resistance concurrently by resolving the collinearity of RT sequence availability.</w:t>
      </w:r>
    </w:p>
    <w:p w14:paraId="2A4C0AC3" w14:textId="7A5957B5" w:rsidR="00357886" w:rsidRDefault="00357886" w:rsidP="00357886">
      <w:r>
        <w:br w:type="page"/>
      </w:r>
    </w:p>
    <w:p w14:paraId="399FCB29" w14:textId="77777777" w:rsidR="00357886" w:rsidRDefault="00357886" w:rsidP="00357886">
      <w:pPr>
        <w:keepNext/>
      </w:pPr>
      <w:r>
        <w:rPr>
          <w:noProof/>
        </w:rPr>
        <w:lastRenderedPageBreak/>
        <w:drawing>
          <wp:inline distT="0" distB="0" distL="0" distR="0" wp14:anchorId="3937AB81" wp14:editId="3586F189">
            <wp:extent cx="5730240" cy="57302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0240" cy="5730240"/>
                    </a:xfrm>
                    <a:prstGeom prst="rect">
                      <a:avLst/>
                    </a:prstGeom>
                    <a:noFill/>
                    <a:ln>
                      <a:noFill/>
                    </a:ln>
                  </pic:spPr>
                </pic:pic>
              </a:graphicData>
            </a:graphic>
          </wp:inline>
        </w:drawing>
      </w:r>
    </w:p>
    <w:p w14:paraId="13197F12" w14:textId="4C1E2F32" w:rsidR="00357886" w:rsidRDefault="00357886" w:rsidP="00357886">
      <w:pPr>
        <w:pStyle w:val="Caption"/>
        <w:jc w:val="both"/>
      </w:pPr>
      <w:r>
        <w:t xml:space="preserve">Supplemental figure </w:t>
      </w:r>
      <w:r>
        <w:fldChar w:fldCharType="begin"/>
      </w:r>
      <w:r>
        <w:instrText xml:space="preserve"> SEQ Supplemental_figure \* ARABIC </w:instrText>
      </w:r>
      <w:r>
        <w:fldChar w:fldCharType="separate"/>
      </w:r>
      <w:r w:rsidR="00DC6064">
        <w:rPr>
          <w:noProof/>
        </w:rPr>
        <w:t>6</w:t>
      </w:r>
      <w:r>
        <w:fldChar w:fldCharType="end"/>
      </w:r>
      <w:r w:rsidRPr="00357886">
        <w:rPr>
          <w:b/>
          <w:bCs/>
        </w:rPr>
        <w:t xml:space="preserve"> </w:t>
      </w:r>
      <w:r w:rsidRPr="000254A1">
        <w:rPr>
          <w:b/>
          <w:bCs/>
        </w:rPr>
        <w:t>Sensitivity analysis S</w:t>
      </w:r>
      <w:r>
        <w:rPr>
          <w:b/>
          <w:bCs/>
        </w:rPr>
        <w:t>4</w:t>
      </w:r>
      <w:r w:rsidRPr="000254A1">
        <w:rPr>
          <w:b/>
          <w:bCs/>
        </w:rPr>
        <w:t>. NRTI resistance calculated based on 3TC and TDF</w:t>
      </w:r>
      <w:r>
        <w:t xml:space="preserve">. Considering the wide use of TLD, we considered 3TC and TDF for calculating NRTI. </w:t>
      </w:r>
      <w:r w:rsidRPr="00D8439A">
        <w:t xml:space="preserve">Risk factors were assessed in the same population as in the main </w:t>
      </w:r>
      <w:r>
        <w:t xml:space="preserve">risk factor </w:t>
      </w:r>
      <w:r w:rsidRPr="00D8439A">
        <w:t>analysis. Cohorts were included as random effect.</w:t>
      </w:r>
    </w:p>
    <w:p w14:paraId="70A0D979" w14:textId="77777777" w:rsidR="00357886" w:rsidRDefault="00357886">
      <w:pPr>
        <w:rPr>
          <w:i/>
          <w:iCs/>
          <w:color w:val="44546A" w:themeColor="text2"/>
          <w:sz w:val="18"/>
          <w:szCs w:val="18"/>
        </w:rPr>
      </w:pPr>
      <w:r>
        <w:br w:type="page"/>
      </w:r>
    </w:p>
    <w:p w14:paraId="3FC40A9C" w14:textId="77777777" w:rsidR="00DC6064" w:rsidRDefault="00DC6064" w:rsidP="00DC6064">
      <w:pPr>
        <w:pStyle w:val="Caption"/>
        <w:keepNext/>
        <w:jc w:val="both"/>
      </w:pPr>
      <w:r>
        <w:rPr>
          <w:noProof/>
        </w:rPr>
        <w:lastRenderedPageBreak/>
        <w:drawing>
          <wp:inline distT="0" distB="0" distL="0" distR="0" wp14:anchorId="23C30398" wp14:editId="6D48B9FB">
            <wp:extent cx="5723255" cy="5723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3255" cy="5723255"/>
                    </a:xfrm>
                    <a:prstGeom prst="rect">
                      <a:avLst/>
                    </a:prstGeom>
                    <a:noFill/>
                    <a:ln>
                      <a:noFill/>
                    </a:ln>
                  </pic:spPr>
                </pic:pic>
              </a:graphicData>
            </a:graphic>
          </wp:inline>
        </w:drawing>
      </w:r>
    </w:p>
    <w:p w14:paraId="2C4983B1" w14:textId="621E6BE1" w:rsidR="00DC6064" w:rsidRDefault="00DC6064" w:rsidP="00DC6064">
      <w:pPr>
        <w:pStyle w:val="Caption"/>
        <w:jc w:val="both"/>
      </w:pPr>
      <w:r>
        <w:t xml:space="preserve">Supplemental figure </w:t>
      </w:r>
      <w:r>
        <w:fldChar w:fldCharType="begin"/>
      </w:r>
      <w:r>
        <w:instrText xml:space="preserve"> SEQ Supplemental_figure \* ARABIC </w:instrText>
      </w:r>
      <w:r>
        <w:fldChar w:fldCharType="separate"/>
      </w:r>
      <w:r>
        <w:rPr>
          <w:noProof/>
        </w:rPr>
        <w:t>7</w:t>
      </w:r>
      <w:r>
        <w:fldChar w:fldCharType="end"/>
      </w:r>
      <w:r>
        <w:t xml:space="preserve">: </w:t>
      </w:r>
      <w:r w:rsidRPr="00DC6064">
        <w:rPr>
          <w:b/>
          <w:bCs/>
        </w:rPr>
        <w:t>Sensitivity analysis S5. Study participants on a triple regimen with DTG and two NRTIs</w:t>
      </w:r>
      <w:r>
        <w:t xml:space="preserve">. NRTI resistance was calculated as maximum level to backbone drugs for each individual. ART regimen were as follows: </w:t>
      </w:r>
      <w:r w:rsidRPr="00DC6064">
        <w:t>3TC, ABC, DTG (N=243, 65</w:t>
      </w:r>
      <w:r w:rsidR="005611C7">
        <w:t>·</w:t>
      </w:r>
      <w:r w:rsidRPr="00DC6064">
        <w:t>7%); DTG, FTC, TDF (N=88, 23</w:t>
      </w:r>
      <w:r w:rsidR="005611C7">
        <w:t>·</w:t>
      </w:r>
      <w:r w:rsidRPr="00DC6064">
        <w:t>8%); DTG, FTC, TAF (N=34, 9</w:t>
      </w:r>
      <w:r w:rsidR="005611C7">
        <w:t>·</w:t>
      </w:r>
      <w:r w:rsidRPr="00DC6064">
        <w:t>2%); 3TC, AZT, DTG (N=3, 0</w:t>
      </w:r>
      <w:r w:rsidR="005611C7">
        <w:t>·</w:t>
      </w:r>
      <w:r w:rsidRPr="00DC6064">
        <w:t>8%); 3TC, DTG, TDF (N=1, 0</w:t>
      </w:r>
      <w:r w:rsidR="005611C7">
        <w:t>·</w:t>
      </w:r>
      <w:r w:rsidRPr="00DC6064">
        <w:t>3%), and ABC, DTG, TDF (N=1, 0</w:t>
      </w:r>
      <w:r w:rsidR="005611C7">
        <w:t>·</w:t>
      </w:r>
      <w:r w:rsidRPr="00DC6064">
        <w:t>3%)</w:t>
      </w:r>
      <w:r>
        <w:t>.</w:t>
      </w:r>
    </w:p>
    <w:p w14:paraId="587D8041" w14:textId="42E54CED" w:rsidR="00DC6064" w:rsidRDefault="00DC6064">
      <w:pPr>
        <w:rPr>
          <w:i/>
          <w:iCs/>
          <w:color w:val="44546A" w:themeColor="text2"/>
          <w:sz w:val="18"/>
          <w:szCs w:val="18"/>
        </w:rPr>
      </w:pPr>
      <w:r>
        <w:br w:type="page"/>
      </w:r>
    </w:p>
    <w:p w14:paraId="42A0B79E" w14:textId="0B84F4DA" w:rsidR="00DC6064" w:rsidRDefault="00BB7D18" w:rsidP="00DC6064">
      <w:pPr>
        <w:keepNext/>
      </w:pPr>
      <w:r>
        <w:rPr>
          <w:noProof/>
        </w:rPr>
        <w:lastRenderedPageBreak/>
        <w:drawing>
          <wp:inline distT="0" distB="0" distL="0" distR="0" wp14:anchorId="5B5452F0" wp14:editId="5DC93862">
            <wp:extent cx="5723255" cy="5723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3255" cy="5723255"/>
                    </a:xfrm>
                    <a:prstGeom prst="rect">
                      <a:avLst/>
                    </a:prstGeom>
                    <a:noFill/>
                    <a:ln>
                      <a:noFill/>
                    </a:ln>
                  </pic:spPr>
                </pic:pic>
              </a:graphicData>
            </a:graphic>
          </wp:inline>
        </w:drawing>
      </w:r>
    </w:p>
    <w:p w14:paraId="289B609C" w14:textId="0D86C226" w:rsidR="00DC6064" w:rsidRPr="008301C7" w:rsidRDefault="00DC6064" w:rsidP="00DC6064">
      <w:pPr>
        <w:pStyle w:val="Caption"/>
        <w:jc w:val="both"/>
      </w:pPr>
      <w:r>
        <w:t xml:space="preserve">Supplemental figure </w:t>
      </w:r>
      <w:r>
        <w:fldChar w:fldCharType="begin"/>
      </w:r>
      <w:r>
        <w:instrText xml:space="preserve"> SEQ Supplemental_figure \* ARABIC </w:instrText>
      </w:r>
      <w:r>
        <w:fldChar w:fldCharType="separate"/>
      </w:r>
      <w:r>
        <w:rPr>
          <w:noProof/>
        </w:rPr>
        <w:t>8</w:t>
      </w:r>
      <w:r>
        <w:fldChar w:fldCharType="end"/>
      </w:r>
      <w:r>
        <w:t>:</w:t>
      </w:r>
      <w:r w:rsidRPr="00DC6064">
        <w:rPr>
          <w:b/>
          <w:bCs/>
        </w:rPr>
        <w:t xml:space="preserve"> </w:t>
      </w:r>
      <w:r w:rsidRPr="008301C7">
        <w:rPr>
          <w:b/>
          <w:bCs/>
        </w:rPr>
        <w:t>Sensitivity analysis S</w:t>
      </w:r>
      <w:r>
        <w:rPr>
          <w:b/>
          <w:bCs/>
        </w:rPr>
        <w:t>6</w:t>
      </w:r>
      <w:r w:rsidRPr="008301C7">
        <w:rPr>
          <w:b/>
          <w:bCs/>
        </w:rPr>
        <w:t>. Risk factor analysis including prior genotypic resistance tests.</w:t>
      </w:r>
      <w:r>
        <w:t xml:space="preserve"> For the 389 out of 677 people who had additional prior GRTs, NRTI and NNRTI resistance was calculated as in the main analysis for the prior resistance tests. We then considered the highest measured resistance level for NRTI and NNRTI, respectively, as prior resistance. </w:t>
      </w:r>
    </w:p>
    <w:p w14:paraId="0F004398" w14:textId="6BD61C4F" w:rsidR="00DC6064" w:rsidRPr="00DC6064" w:rsidRDefault="00DC6064" w:rsidP="00DC6064">
      <w:pPr>
        <w:pStyle w:val="Caption"/>
      </w:pPr>
    </w:p>
    <w:sectPr w:rsidR="00DC6064" w:rsidRPr="00DC606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43EE" w14:textId="77777777" w:rsidR="000A247D" w:rsidRDefault="000A247D" w:rsidP="00823920">
      <w:pPr>
        <w:spacing w:after="0" w:line="240" w:lineRule="auto"/>
      </w:pPr>
      <w:r>
        <w:separator/>
      </w:r>
    </w:p>
  </w:endnote>
  <w:endnote w:type="continuationSeparator" w:id="0">
    <w:p w14:paraId="0BCA94AA" w14:textId="77777777" w:rsidR="000A247D" w:rsidRDefault="000A247D" w:rsidP="00823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13054"/>
      <w:docPartObj>
        <w:docPartGallery w:val="Page Numbers (Bottom of Page)"/>
        <w:docPartUnique/>
      </w:docPartObj>
    </w:sdtPr>
    <w:sdtEndPr>
      <w:rPr>
        <w:noProof/>
      </w:rPr>
    </w:sdtEndPr>
    <w:sdtContent>
      <w:p w14:paraId="4D3B6AAA" w14:textId="3E80E94F" w:rsidR="00823920" w:rsidRDefault="008239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5414F4" w14:textId="77777777" w:rsidR="00823920" w:rsidRDefault="00823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C6817" w14:textId="77777777" w:rsidR="000A247D" w:rsidRDefault="000A247D" w:rsidP="00823920">
      <w:pPr>
        <w:spacing w:after="0" w:line="240" w:lineRule="auto"/>
      </w:pPr>
      <w:r>
        <w:separator/>
      </w:r>
    </w:p>
  </w:footnote>
  <w:footnote w:type="continuationSeparator" w:id="0">
    <w:p w14:paraId="583F04B8" w14:textId="77777777" w:rsidR="000A247D" w:rsidRDefault="000A247D" w:rsidP="00823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0NzMxNjAzNzI0MLVU0lEKTi0uzszPAykwrAUAWEZnoiwAAAA="/>
  </w:docVars>
  <w:rsids>
    <w:rsidRoot w:val="00A666E6"/>
    <w:rsid w:val="00005E7E"/>
    <w:rsid w:val="000321B8"/>
    <w:rsid w:val="000924F9"/>
    <w:rsid w:val="00096FDA"/>
    <w:rsid w:val="000A247D"/>
    <w:rsid w:val="000B60E8"/>
    <w:rsid w:val="0012165C"/>
    <w:rsid w:val="002C1A27"/>
    <w:rsid w:val="00357886"/>
    <w:rsid w:val="00362715"/>
    <w:rsid w:val="0041666D"/>
    <w:rsid w:val="00427BB7"/>
    <w:rsid w:val="0050135B"/>
    <w:rsid w:val="0053080F"/>
    <w:rsid w:val="005611C7"/>
    <w:rsid w:val="00690C56"/>
    <w:rsid w:val="00750120"/>
    <w:rsid w:val="0080777D"/>
    <w:rsid w:val="00823920"/>
    <w:rsid w:val="008A60E4"/>
    <w:rsid w:val="0091425C"/>
    <w:rsid w:val="009574F1"/>
    <w:rsid w:val="009841CB"/>
    <w:rsid w:val="009A6AB1"/>
    <w:rsid w:val="00A16A0B"/>
    <w:rsid w:val="00A666E6"/>
    <w:rsid w:val="00A718B5"/>
    <w:rsid w:val="00BB7D18"/>
    <w:rsid w:val="00BF78CE"/>
    <w:rsid w:val="00C762D6"/>
    <w:rsid w:val="00C872E8"/>
    <w:rsid w:val="00D2431D"/>
    <w:rsid w:val="00D27E74"/>
    <w:rsid w:val="00D8439A"/>
    <w:rsid w:val="00DB3CCE"/>
    <w:rsid w:val="00DC6064"/>
    <w:rsid w:val="00E64DC3"/>
    <w:rsid w:val="00F12838"/>
    <w:rsid w:val="00F70191"/>
    <w:rsid w:val="00F83AE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268E"/>
  <w15:chartTrackingRefBased/>
  <w15:docId w15:val="{1EA0E84E-D548-4B26-8497-ECCDB958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924F9"/>
    <w:rPr>
      <w:i/>
      <w:iCs/>
    </w:rPr>
  </w:style>
  <w:style w:type="paragraph" w:styleId="Caption">
    <w:name w:val="caption"/>
    <w:basedOn w:val="Normal"/>
    <w:next w:val="Normal"/>
    <w:uiPriority w:val="35"/>
    <w:unhideWhenUsed/>
    <w:qFormat/>
    <w:rsid w:val="00690C5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823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920"/>
    <w:rPr>
      <w:lang w:val="en-GB"/>
    </w:rPr>
  </w:style>
  <w:style w:type="paragraph" w:styleId="Footer">
    <w:name w:val="footer"/>
    <w:basedOn w:val="Normal"/>
    <w:link w:val="FooterChar"/>
    <w:uiPriority w:val="99"/>
    <w:unhideWhenUsed/>
    <w:rsid w:val="00823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920"/>
    <w:rPr>
      <w:lang w:val="en-GB"/>
    </w:rPr>
  </w:style>
  <w:style w:type="table" w:styleId="TableGrid">
    <w:name w:val="Table Grid"/>
    <w:basedOn w:val="TableNormal"/>
    <w:uiPriority w:val="39"/>
    <w:rsid w:val="00005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0254">
      <w:bodyDiv w:val="1"/>
      <w:marLeft w:val="0"/>
      <w:marRight w:val="0"/>
      <w:marTop w:val="0"/>
      <w:marBottom w:val="0"/>
      <w:divBdr>
        <w:top w:val="none" w:sz="0" w:space="0" w:color="auto"/>
        <w:left w:val="none" w:sz="0" w:space="0" w:color="auto"/>
        <w:bottom w:val="none" w:sz="0" w:space="0" w:color="auto"/>
        <w:right w:val="none" w:sz="0" w:space="0" w:color="auto"/>
      </w:divBdr>
    </w:div>
    <w:div w:id="377903568">
      <w:bodyDiv w:val="1"/>
      <w:marLeft w:val="0"/>
      <w:marRight w:val="0"/>
      <w:marTop w:val="0"/>
      <w:marBottom w:val="0"/>
      <w:divBdr>
        <w:top w:val="none" w:sz="0" w:space="0" w:color="auto"/>
        <w:left w:val="none" w:sz="0" w:space="0" w:color="auto"/>
        <w:bottom w:val="none" w:sz="0" w:space="0" w:color="auto"/>
        <w:right w:val="none" w:sz="0" w:space="0" w:color="auto"/>
      </w:divBdr>
    </w:div>
    <w:div w:id="406341797">
      <w:bodyDiv w:val="1"/>
      <w:marLeft w:val="0"/>
      <w:marRight w:val="0"/>
      <w:marTop w:val="0"/>
      <w:marBottom w:val="0"/>
      <w:divBdr>
        <w:top w:val="none" w:sz="0" w:space="0" w:color="auto"/>
        <w:left w:val="none" w:sz="0" w:space="0" w:color="auto"/>
        <w:bottom w:val="none" w:sz="0" w:space="0" w:color="auto"/>
        <w:right w:val="none" w:sz="0" w:space="0" w:color="auto"/>
      </w:divBdr>
    </w:div>
    <w:div w:id="753403739">
      <w:bodyDiv w:val="1"/>
      <w:marLeft w:val="0"/>
      <w:marRight w:val="0"/>
      <w:marTop w:val="0"/>
      <w:marBottom w:val="0"/>
      <w:divBdr>
        <w:top w:val="none" w:sz="0" w:space="0" w:color="auto"/>
        <w:left w:val="none" w:sz="0" w:space="0" w:color="auto"/>
        <w:bottom w:val="none" w:sz="0" w:space="0" w:color="auto"/>
        <w:right w:val="none" w:sz="0" w:space="0" w:color="auto"/>
      </w:divBdr>
    </w:div>
    <w:div w:id="849293168">
      <w:bodyDiv w:val="1"/>
      <w:marLeft w:val="0"/>
      <w:marRight w:val="0"/>
      <w:marTop w:val="0"/>
      <w:marBottom w:val="0"/>
      <w:divBdr>
        <w:top w:val="none" w:sz="0" w:space="0" w:color="auto"/>
        <w:left w:val="none" w:sz="0" w:space="0" w:color="auto"/>
        <w:bottom w:val="none" w:sz="0" w:space="0" w:color="auto"/>
        <w:right w:val="none" w:sz="0" w:space="0" w:color="auto"/>
      </w:divBdr>
    </w:div>
    <w:div w:id="852568675">
      <w:bodyDiv w:val="1"/>
      <w:marLeft w:val="0"/>
      <w:marRight w:val="0"/>
      <w:marTop w:val="0"/>
      <w:marBottom w:val="0"/>
      <w:divBdr>
        <w:top w:val="none" w:sz="0" w:space="0" w:color="auto"/>
        <w:left w:val="none" w:sz="0" w:space="0" w:color="auto"/>
        <w:bottom w:val="none" w:sz="0" w:space="0" w:color="auto"/>
        <w:right w:val="none" w:sz="0" w:space="0" w:color="auto"/>
      </w:divBdr>
    </w:div>
    <w:div w:id="918056993">
      <w:bodyDiv w:val="1"/>
      <w:marLeft w:val="0"/>
      <w:marRight w:val="0"/>
      <w:marTop w:val="0"/>
      <w:marBottom w:val="0"/>
      <w:divBdr>
        <w:top w:val="none" w:sz="0" w:space="0" w:color="auto"/>
        <w:left w:val="none" w:sz="0" w:space="0" w:color="auto"/>
        <w:bottom w:val="none" w:sz="0" w:space="0" w:color="auto"/>
        <w:right w:val="none" w:sz="0" w:space="0" w:color="auto"/>
      </w:divBdr>
    </w:div>
    <w:div w:id="1215389684">
      <w:bodyDiv w:val="1"/>
      <w:marLeft w:val="0"/>
      <w:marRight w:val="0"/>
      <w:marTop w:val="0"/>
      <w:marBottom w:val="0"/>
      <w:divBdr>
        <w:top w:val="none" w:sz="0" w:space="0" w:color="auto"/>
        <w:left w:val="none" w:sz="0" w:space="0" w:color="auto"/>
        <w:bottom w:val="none" w:sz="0" w:space="0" w:color="auto"/>
        <w:right w:val="none" w:sz="0" w:space="0" w:color="auto"/>
      </w:divBdr>
    </w:div>
    <w:div w:id="1415391631">
      <w:bodyDiv w:val="1"/>
      <w:marLeft w:val="0"/>
      <w:marRight w:val="0"/>
      <w:marTop w:val="0"/>
      <w:marBottom w:val="0"/>
      <w:divBdr>
        <w:top w:val="none" w:sz="0" w:space="0" w:color="auto"/>
        <w:left w:val="none" w:sz="0" w:space="0" w:color="auto"/>
        <w:bottom w:val="none" w:sz="0" w:space="0" w:color="auto"/>
        <w:right w:val="none" w:sz="0" w:space="0" w:color="auto"/>
      </w:divBdr>
    </w:div>
    <w:div w:id="1462574805">
      <w:bodyDiv w:val="1"/>
      <w:marLeft w:val="0"/>
      <w:marRight w:val="0"/>
      <w:marTop w:val="0"/>
      <w:marBottom w:val="0"/>
      <w:divBdr>
        <w:top w:val="none" w:sz="0" w:space="0" w:color="auto"/>
        <w:left w:val="none" w:sz="0" w:space="0" w:color="auto"/>
        <w:bottom w:val="none" w:sz="0" w:space="0" w:color="auto"/>
        <w:right w:val="none" w:sz="0" w:space="0" w:color="auto"/>
      </w:divBdr>
    </w:div>
    <w:div w:id="1478456511">
      <w:bodyDiv w:val="1"/>
      <w:marLeft w:val="0"/>
      <w:marRight w:val="0"/>
      <w:marTop w:val="0"/>
      <w:marBottom w:val="0"/>
      <w:divBdr>
        <w:top w:val="none" w:sz="0" w:space="0" w:color="auto"/>
        <w:left w:val="none" w:sz="0" w:space="0" w:color="auto"/>
        <w:bottom w:val="none" w:sz="0" w:space="0" w:color="auto"/>
        <w:right w:val="none" w:sz="0" w:space="0" w:color="auto"/>
      </w:divBdr>
    </w:div>
    <w:div w:id="1749377154">
      <w:bodyDiv w:val="1"/>
      <w:marLeft w:val="0"/>
      <w:marRight w:val="0"/>
      <w:marTop w:val="0"/>
      <w:marBottom w:val="0"/>
      <w:divBdr>
        <w:top w:val="none" w:sz="0" w:space="0" w:color="auto"/>
        <w:left w:val="none" w:sz="0" w:space="0" w:color="auto"/>
        <w:bottom w:val="none" w:sz="0" w:space="0" w:color="auto"/>
        <w:right w:val="none" w:sz="0" w:space="0" w:color="auto"/>
      </w:divBdr>
    </w:div>
    <w:div w:id="189558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7F3A8-D866-4C55-B753-985497AC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Loosli</dc:creator>
  <cp:keywords/>
  <dc:description/>
  <cp:lastModifiedBy>Egger, Matthias (ISPM)</cp:lastModifiedBy>
  <cp:revision>2</cp:revision>
  <dcterms:created xsi:type="dcterms:W3CDTF">2023-04-05T13:54:00Z</dcterms:created>
  <dcterms:modified xsi:type="dcterms:W3CDTF">2023-04-05T13:54:00Z</dcterms:modified>
</cp:coreProperties>
</file>