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79FC" w14:textId="1FCAC318" w:rsidR="00242EA8" w:rsidRDefault="00A571F1" w:rsidP="00A571F1">
      <w:pPr>
        <w:rPr>
          <w:b/>
          <w:sz w:val="22"/>
          <w:lang w:val="en-US"/>
        </w:rPr>
      </w:pPr>
      <w:r w:rsidRPr="00E66337">
        <w:rPr>
          <w:b/>
          <w:sz w:val="22"/>
        </w:rPr>
        <w:t xml:space="preserve">SUPPLEMENTARY </w:t>
      </w:r>
      <w:r w:rsidR="000371BB">
        <w:rPr>
          <w:b/>
          <w:sz w:val="22"/>
          <w:lang w:val="en-US"/>
        </w:rPr>
        <w:t>MATERIAL</w:t>
      </w:r>
    </w:p>
    <w:p w14:paraId="78B35FBA" w14:textId="77777777" w:rsidR="00242EA8" w:rsidRDefault="00242EA8" w:rsidP="00A571F1">
      <w:pPr>
        <w:rPr>
          <w:b/>
          <w:sz w:val="22"/>
          <w:lang w:val="en-US"/>
        </w:rPr>
      </w:pPr>
    </w:p>
    <w:p w14:paraId="09A605C0" w14:textId="77777777" w:rsidR="00242EA8" w:rsidRDefault="00242EA8" w:rsidP="00A571F1">
      <w:pPr>
        <w:rPr>
          <w:b/>
          <w:sz w:val="22"/>
          <w:lang w:val="en-US"/>
        </w:rPr>
      </w:pPr>
    </w:p>
    <w:p w14:paraId="3607B723" w14:textId="77777777" w:rsidR="00242EA8" w:rsidRPr="00C02658" w:rsidRDefault="00242EA8" w:rsidP="00242EA8">
      <w:pPr>
        <w:widowControl w:val="0"/>
        <w:snapToGrid w:val="0"/>
        <w:spacing w:line="480" w:lineRule="auto"/>
        <w:jc w:val="both"/>
        <w:rPr>
          <w:rFonts w:eastAsiaTheme="majorEastAsia"/>
          <w:b/>
          <w:caps/>
          <w:sz w:val="22"/>
        </w:rPr>
      </w:pPr>
      <w:bookmarkStart w:id="0" w:name="_Hlk70069452"/>
      <w:r w:rsidRPr="00C02658">
        <w:rPr>
          <w:rFonts w:eastAsiaTheme="majorEastAsia"/>
          <w:b/>
          <w:caps/>
          <w:sz w:val="22"/>
        </w:rPr>
        <w:t>Temporal trends and transmission dynamics of pre-treatment HIV-1 drug resistance within and between risk groups in Kenya, 1986-2020.</w:t>
      </w:r>
    </w:p>
    <w:p w14:paraId="61098038" w14:textId="77777777" w:rsidR="00242EA8" w:rsidRPr="00C02658" w:rsidRDefault="00242EA8" w:rsidP="00242EA8">
      <w:pPr>
        <w:widowControl w:val="0"/>
        <w:snapToGrid w:val="0"/>
        <w:spacing w:line="480" w:lineRule="auto"/>
        <w:jc w:val="both"/>
        <w:rPr>
          <w:rFonts w:eastAsiaTheme="majorEastAsia"/>
          <w:b/>
          <w:sz w:val="22"/>
        </w:rPr>
      </w:pPr>
    </w:p>
    <w:bookmarkEnd w:id="0"/>
    <w:p w14:paraId="6D06C013" w14:textId="77777777" w:rsidR="007F23DD" w:rsidRPr="00C02658" w:rsidRDefault="007F23DD" w:rsidP="007F23DD">
      <w:pPr>
        <w:widowControl w:val="0"/>
        <w:snapToGrid w:val="0"/>
        <w:spacing w:line="480" w:lineRule="auto"/>
        <w:jc w:val="both"/>
        <w:rPr>
          <w:sz w:val="22"/>
          <w:vertAlign w:val="superscript"/>
        </w:rPr>
      </w:pPr>
      <w:r w:rsidRPr="00C02658">
        <w:rPr>
          <w:sz w:val="22"/>
        </w:rPr>
        <w:t>George M. Nduva</w:t>
      </w:r>
      <w:r w:rsidRPr="00C02658">
        <w:rPr>
          <w:sz w:val="22"/>
          <w:vertAlign w:val="superscript"/>
        </w:rPr>
        <w:t>1,2</w:t>
      </w:r>
      <w:r w:rsidRPr="00C02658">
        <w:rPr>
          <w:sz w:val="22"/>
        </w:rPr>
        <w:t>*, Frederick Otieno</w:t>
      </w:r>
      <w:r w:rsidRPr="00C02658">
        <w:rPr>
          <w:sz w:val="22"/>
          <w:vertAlign w:val="superscript"/>
        </w:rPr>
        <w:t>3</w:t>
      </w:r>
      <w:r w:rsidRPr="00C02658">
        <w:rPr>
          <w:sz w:val="22"/>
        </w:rPr>
        <w:t>, Joshua Kimani</w:t>
      </w:r>
      <w:r w:rsidRPr="00C02658">
        <w:rPr>
          <w:sz w:val="22"/>
          <w:vertAlign w:val="superscript"/>
        </w:rPr>
        <w:t>4,5</w:t>
      </w:r>
      <w:r w:rsidRPr="00C02658">
        <w:rPr>
          <w:sz w:val="22"/>
        </w:rPr>
        <w:t>, Yiakon Sein</w:t>
      </w:r>
      <w:r w:rsidRPr="00C02658">
        <w:rPr>
          <w:sz w:val="22"/>
          <w:vertAlign w:val="superscript"/>
        </w:rPr>
        <w:t>2</w:t>
      </w:r>
      <w:r w:rsidRPr="00C02658">
        <w:rPr>
          <w:sz w:val="22"/>
        </w:rPr>
        <w:t>, Dawit A</w:t>
      </w:r>
      <w:r>
        <w:rPr>
          <w:sz w:val="22"/>
        </w:rPr>
        <w:t>. Arimide</w:t>
      </w:r>
      <w:r w:rsidRPr="00C02658">
        <w:rPr>
          <w:sz w:val="22"/>
          <w:vertAlign w:val="superscript"/>
        </w:rPr>
        <w:t>1</w:t>
      </w:r>
      <w:r w:rsidRPr="00C02658">
        <w:rPr>
          <w:sz w:val="22"/>
        </w:rPr>
        <w:t>, Lyle R. McKinnon</w:t>
      </w:r>
      <w:r w:rsidRPr="00C02658">
        <w:rPr>
          <w:sz w:val="22"/>
          <w:vertAlign w:val="superscript"/>
        </w:rPr>
        <w:t>4,5,6</w:t>
      </w:r>
      <w:r w:rsidRPr="00C02658">
        <w:rPr>
          <w:sz w:val="22"/>
        </w:rPr>
        <w:t xml:space="preserve">, </w:t>
      </w:r>
      <w:bookmarkStart w:id="1" w:name="_Hlk46482635"/>
      <w:r w:rsidRPr="00C02658">
        <w:rPr>
          <w:sz w:val="22"/>
        </w:rPr>
        <w:t>Francois Cholette</w:t>
      </w:r>
      <w:r w:rsidRPr="00C02658">
        <w:rPr>
          <w:sz w:val="22"/>
          <w:vertAlign w:val="superscript"/>
        </w:rPr>
        <w:t>5,7</w:t>
      </w:r>
      <w:r w:rsidRPr="00C02658">
        <w:rPr>
          <w:sz w:val="22"/>
        </w:rPr>
        <w:t xml:space="preserve">, </w:t>
      </w:r>
      <w:bookmarkEnd w:id="1"/>
      <w:r>
        <w:rPr>
          <w:sz w:val="22"/>
        </w:rPr>
        <w:t>Morris K. Lawrence</w:t>
      </w:r>
      <w:r w:rsidRPr="00C02658">
        <w:rPr>
          <w:sz w:val="22"/>
          <w:vertAlign w:val="superscript"/>
        </w:rPr>
        <w:t>8</w:t>
      </w:r>
      <w:r>
        <w:rPr>
          <w:sz w:val="22"/>
        </w:rPr>
        <w:t xml:space="preserve">, </w:t>
      </w:r>
      <w:r w:rsidRPr="00C02658">
        <w:rPr>
          <w:sz w:val="22"/>
        </w:rPr>
        <w:t>Maxwell Majiwa</w:t>
      </w:r>
      <w:r>
        <w:rPr>
          <w:sz w:val="22"/>
          <w:vertAlign w:val="superscript"/>
        </w:rPr>
        <w:t>9</w:t>
      </w:r>
      <w:r w:rsidRPr="00C02658">
        <w:rPr>
          <w:sz w:val="22"/>
        </w:rPr>
        <w:t>, Moses Masika</w:t>
      </w:r>
      <w:r>
        <w:rPr>
          <w:sz w:val="22"/>
          <w:vertAlign w:val="superscript"/>
        </w:rPr>
        <w:t>10</w:t>
      </w:r>
      <w:r w:rsidRPr="00C02658">
        <w:rPr>
          <w:sz w:val="22"/>
        </w:rPr>
        <w:t>, Gaudensia Mutua</w:t>
      </w:r>
      <w:r>
        <w:rPr>
          <w:sz w:val="22"/>
          <w:vertAlign w:val="superscript"/>
        </w:rPr>
        <w:t>10</w:t>
      </w:r>
      <w:r>
        <w:rPr>
          <w:sz w:val="22"/>
        </w:rPr>
        <w:t>, O</w:t>
      </w:r>
      <w:r w:rsidRPr="00C02658">
        <w:rPr>
          <w:sz w:val="22"/>
        </w:rPr>
        <w:t>mu Anzala</w:t>
      </w:r>
      <w:r>
        <w:rPr>
          <w:sz w:val="22"/>
          <w:vertAlign w:val="superscript"/>
        </w:rPr>
        <w:t>11</w:t>
      </w:r>
      <w:r w:rsidRPr="00C02658">
        <w:rPr>
          <w:sz w:val="22"/>
        </w:rPr>
        <w:t>, Susan M. Graham</w:t>
      </w:r>
      <w:r w:rsidRPr="00C02658">
        <w:rPr>
          <w:sz w:val="22"/>
          <w:vertAlign w:val="superscript"/>
        </w:rPr>
        <w:t>2,1</w:t>
      </w:r>
      <w:r>
        <w:rPr>
          <w:sz w:val="22"/>
          <w:vertAlign w:val="superscript"/>
        </w:rPr>
        <w:t>2</w:t>
      </w:r>
      <w:r w:rsidRPr="00C02658">
        <w:rPr>
          <w:sz w:val="22"/>
        </w:rPr>
        <w:t>, Larry Gelmon</w:t>
      </w:r>
      <w:r w:rsidRPr="00C02658">
        <w:rPr>
          <w:sz w:val="22"/>
          <w:vertAlign w:val="superscript"/>
        </w:rPr>
        <w:t>4,5</w:t>
      </w:r>
      <w:r w:rsidRPr="00C02658">
        <w:rPr>
          <w:sz w:val="22"/>
        </w:rPr>
        <w:t>, Matt A. Price</w:t>
      </w:r>
      <w:r w:rsidRPr="00C02658">
        <w:rPr>
          <w:sz w:val="22"/>
          <w:vertAlign w:val="superscript"/>
        </w:rPr>
        <w:t>1</w:t>
      </w:r>
      <w:r>
        <w:rPr>
          <w:sz w:val="22"/>
          <w:vertAlign w:val="superscript"/>
        </w:rPr>
        <w:t>2</w:t>
      </w:r>
      <w:r w:rsidRPr="00C02658">
        <w:rPr>
          <w:sz w:val="22"/>
          <w:vertAlign w:val="superscript"/>
        </w:rPr>
        <w:t>,1</w:t>
      </w:r>
      <w:r>
        <w:rPr>
          <w:sz w:val="22"/>
          <w:vertAlign w:val="superscript"/>
        </w:rPr>
        <w:t>3</w:t>
      </w:r>
      <w:r w:rsidRPr="00C02658">
        <w:rPr>
          <w:sz w:val="22"/>
        </w:rPr>
        <w:t xml:space="preserve">, Adrian </w:t>
      </w:r>
      <w:r>
        <w:rPr>
          <w:sz w:val="22"/>
        </w:rPr>
        <w:t xml:space="preserve">D. </w:t>
      </w:r>
      <w:r w:rsidRPr="00C02658">
        <w:rPr>
          <w:sz w:val="22"/>
        </w:rPr>
        <w:t>Smith</w:t>
      </w:r>
      <w:r w:rsidRPr="00C02658">
        <w:rPr>
          <w:sz w:val="22"/>
          <w:vertAlign w:val="superscript"/>
        </w:rPr>
        <w:t>1</w:t>
      </w:r>
      <w:r>
        <w:rPr>
          <w:sz w:val="22"/>
          <w:vertAlign w:val="superscript"/>
        </w:rPr>
        <w:t>5</w:t>
      </w:r>
      <w:r w:rsidRPr="00C02658">
        <w:rPr>
          <w:sz w:val="22"/>
        </w:rPr>
        <w:t>, Robert C. Bailey</w:t>
      </w:r>
      <w:r w:rsidRPr="00C02658">
        <w:rPr>
          <w:sz w:val="22"/>
          <w:vertAlign w:val="superscript"/>
        </w:rPr>
        <w:t>3,13</w:t>
      </w:r>
      <w:r w:rsidRPr="00C02658">
        <w:rPr>
          <w:sz w:val="22"/>
        </w:rPr>
        <w:t>, Patrik Medstrand</w:t>
      </w:r>
      <w:r w:rsidRPr="00C02658">
        <w:rPr>
          <w:sz w:val="22"/>
          <w:vertAlign w:val="superscript"/>
        </w:rPr>
        <w:t>1</w:t>
      </w:r>
      <w:r w:rsidRPr="00C02658">
        <w:rPr>
          <w:sz w:val="22"/>
        </w:rPr>
        <w:t>, Eduard J. Sanders</w:t>
      </w:r>
      <w:r w:rsidRPr="00C02658">
        <w:rPr>
          <w:sz w:val="22"/>
          <w:vertAlign w:val="superscript"/>
        </w:rPr>
        <w:t>2,1</w:t>
      </w:r>
      <w:r>
        <w:rPr>
          <w:sz w:val="22"/>
          <w:vertAlign w:val="superscript"/>
        </w:rPr>
        <w:t>5</w:t>
      </w:r>
      <w:r w:rsidRPr="00C02658">
        <w:rPr>
          <w:sz w:val="22"/>
          <w:vertAlign w:val="superscript"/>
        </w:rPr>
        <w:t>#</w:t>
      </w:r>
      <w:r w:rsidRPr="00C02658">
        <w:rPr>
          <w:sz w:val="22"/>
        </w:rPr>
        <w:t>, Joakim Esbjörnsson</w:t>
      </w:r>
      <w:r w:rsidRPr="00C02658">
        <w:rPr>
          <w:sz w:val="22"/>
          <w:vertAlign w:val="superscript"/>
        </w:rPr>
        <w:t>1,1</w:t>
      </w:r>
      <w:r>
        <w:rPr>
          <w:sz w:val="22"/>
          <w:vertAlign w:val="superscript"/>
        </w:rPr>
        <w:t>5</w:t>
      </w:r>
      <w:r w:rsidRPr="00C02658">
        <w:rPr>
          <w:sz w:val="22"/>
          <w:vertAlign w:val="superscript"/>
        </w:rPr>
        <w:t>#</w:t>
      </w:r>
      <w:r w:rsidRPr="00C02658">
        <w:rPr>
          <w:sz w:val="22"/>
        </w:rPr>
        <w:t>, and Amin S. Hassan</w:t>
      </w:r>
      <w:r w:rsidRPr="00C02658">
        <w:rPr>
          <w:sz w:val="22"/>
          <w:vertAlign w:val="superscript"/>
        </w:rPr>
        <w:t>1,2#</w:t>
      </w:r>
      <w:r w:rsidRPr="00C02658">
        <w:rPr>
          <w:sz w:val="22"/>
        </w:rPr>
        <w:t>*.</w:t>
      </w:r>
    </w:p>
    <w:p w14:paraId="370377C3" w14:textId="77777777" w:rsidR="007F23DD" w:rsidRPr="00C02658" w:rsidRDefault="007F23DD" w:rsidP="007F23DD">
      <w:pPr>
        <w:widowControl w:val="0"/>
        <w:snapToGrid w:val="0"/>
        <w:spacing w:line="480" w:lineRule="auto"/>
        <w:jc w:val="both"/>
        <w:rPr>
          <w:sz w:val="22"/>
          <w:u w:val="single"/>
        </w:rPr>
      </w:pPr>
    </w:p>
    <w:p w14:paraId="1B164C2F" w14:textId="77777777" w:rsidR="007F23DD" w:rsidRPr="00C02658" w:rsidRDefault="007F23DD" w:rsidP="007F23DD">
      <w:pPr>
        <w:widowControl w:val="0"/>
        <w:snapToGrid w:val="0"/>
        <w:spacing w:line="480" w:lineRule="auto"/>
        <w:jc w:val="both"/>
        <w:rPr>
          <w:sz w:val="22"/>
        </w:rPr>
      </w:pPr>
      <w:r w:rsidRPr="00C02658">
        <w:rPr>
          <w:sz w:val="22"/>
          <w:vertAlign w:val="superscript"/>
        </w:rPr>
        <w:t>#</w:t>
      </w:r>
      <w:r w:rsidRPr="00C02658">
        <w:rPr>
          <w:sz w:val="22"/>
        </w:rPr>
        <w:t>Equal contribution as senior authors</w:t>
      </w:r>
    </w:p>
    <w:p w14:paraId="41756078" w14:textId="77777777" w:rsidR="007F23DD" w:rsidRPr="00C02658" w:rsidRDefault="007F23DD" w:rsidP="007F23DD">
      <w:pPr>
        <w:widowControl w:val="0"/>
        <w:snapToGrid w:val="0"/>
        <w:spacing w:line="480" w:lineRule="auto"/>
        <w:jc w:val="both"/>
        <w:rPr>
          <w:sz w:val="22"/>
          <w:u w:val="single"/>
        </w:rPr>
      </w:pPr>
    </w:p>
    <w:p w14:paraId="1D0A699B" w14:textId="4D8EBB13" w:rsidR="00242EA8" w:rsidRPr="00C02658" w:rsidRDefault="007F23DD" w:rsidP="00242EA8">
      <w:pPr>
        <w:widowControl w:val="0"/>
        <w:snapToGrid w:val="0"/>
        <w:spacing w:line="480" w:lineRule="auto"/>
        <w:jc w:val="both"/>
        <w:rPr>
          <w:sz w:val="22"/>
        </w:rPr>
      </w:pPr>
      <w:r w:rsidRPr="00C02658">
        <w:rPr>
          <w:sz w:val="22"/>
          <w:vertAlign w:val="superscript"/>
        </w:rPr>
        <w:t>1</w:t>
      </w:r>
      <w:r w:rsidRPr="00C02658">
        <w:rPr>
          <w:sz w:val="22"/>
        </w:rPr>
        <w:t xml:space="preserve">Lund University, Lund, Sweden, </w:t>
      </w:r>
      <w:r w:rsidRPr="00C02658">
        <w:rPr>
          <w:sz w:val="22"/>
          <w:vertAlign w:val="superscript"/>
        </w:rPr>
        <w:t>2</w:t>
      </w:r>
      <w:r w:rsidRPr="00C02658">
        <w:rPr>
          <w:sz w:val="22"/>
        </w:rPr>
        <w:t>K</w:t>
      </w:r>
      <w:r>
        <w:rPr>
          <w:sz w:val="22"/>
        </w:rPr>
        <w:t>EMRI/</w:t>
      </w:r>
      <w:r w:rsidRPr="00C02658">
        <w:rPr>
          <w:sz w:val="22"/>
        </w:rPr>
        <w:t xml:space="preserve">Wellcome Trust Research Programme, Kilifi, Kenya, </w:t>
      </w:r>
      <w:r w:rsidRPr="00C02658">
        <w:rPr>
          <w:sz w:val="22"/>
          <w:vertAlign w:val="superscript"/>
        </w:rPr>
        <w:t>3</w:t>
      </w:r>
      <w:r w:rsidRPr="00C02658">
        <w:rPr>
          <w:sz w:val="22"/>
        </w:rPr>
        <w:t xml:space="preserve">Nyanza Reproductive Health Society, Kisumu, Kenya, </w:t>
      </w:r>
      <w:r w:rsidRPr="00C02658">
        <w:rPr>
          <w:sz w:val="22"/>
          <w:vertAlign w:val="superscript"/>
        </w:rPr>
        <w:t>4</w:t>
      </w:r>
      <w:r w:rsidRPr="00C02658">
        <w:rPr>
          <w:sz w:val="22"/>
        </w:rPr>
        <w:t xml:space="preserve">University of Nairobi, Nairobi, Kenya, </w:t>
      </w:r>
      <w:r w:rsidRPr="00C02658">
        <w:rPr>
          <w:sz w:val="22"/>
          <w:vertAlign w:val="superscript"/>
        </w:rPr>
        <w:t>5</w:t>
      </w:r>
      <w:r w:rsidRPr="00C02658">
        <w:rPr>
          <w:sz w:val="22"/>
        </w:rPr>
        <w:t xml:space="preserve">University of Manitoba, Winnipeg, Canada, </w:t>
      </w:r>
      <w:r w:rsidRPr="00C02658">
        <w:rPr>
          <w:sz w:val="22"/>
          <w:vertAlign w:val="superscript"/>
        </w:rPr>
        <w:t>6</w:t>
      </w:r>
      <w:r w:rsidRPr="00C02658">
        <w:rPr>
          <w:sz w:val="22"/>
        </w:rPr>
        <w:t xml:space="preserve">Centre for the AIDS Programme of Research in South Africa (CAPRISA), South Africa, </w:t>
      </w:r>
      <w:r w:rsidRPr="00C02658">
        <w:rPr>
          <w:sz w:val="22"/>
          <w:vertAlign w:val="superscript"/>
        </w:rPr>
        <w:t>7</w:t>
      </w:r>
      <w:r w:rsidRPr="00C02658">
        <w:rPr>
          <w:sz w:val="22"/>
        </w:rPr>
        <w:t xml:space="preserve">National Microbiology Laboratory at the JC Wilt Infectious Diseases Research Centre, Public Health Agency of Canada, Winnipeg, Canada, </w:t>
      </w:r>
      <w:r w:rsidRPr="00C02658">
        <w:rPr>
          <w:sz w:val="22"/>
          <w:vertAlign w:val="superscript"/>
        </w:rPr>
        <w:t>8</w:t>
      </w:r>
      <w:r>
        <w:rPr>
          <w:sz w:val="22"/>
        </w:rPr>
        <w:t xml:space="preserve">Pwani University, Kilifi, Kenya, </w:t>
      </w:r>
      <w:r w:rsidRPr="00C02658">
        <w:rPr>
          <w:sz w:val="22"/>
          <w:vertAlign w:val="superscript"/>
        </w:rPr>
        <w:t>9</w:t>
      </w:r>
      <w:r>
        <w:rPr>
          <w:sz w:val="22"/>
        </w:rPr>
        <w:t>KEMRI</w:t>
      </w:r>
      <w:r w:rsidRPr="00C02658">
        <w:rPr>
          <w:sz w:val="22"/>
        </w:rPr>
        <w:t xml:space="preserve">/Center for Global Health Research, Kisumu, Kenya, </w:t>
      </w:r>
      <w:r>
        <w:rPr>
          <w:sz w:val="22"/>
          <w:vertAlign w:val="superscript"/>
        </w:rPr>
        <w:t>10</w:t>
      </w:r>
      <w:r w:rsidRPr="00C02658">
        <w:rPr>
          <w:sz w:val="22"/>
        </w:rPr>
        <w:t xml:space="preserve">KAVI Institute of Clinical Research, University of Nairobi, Nairobi, Kenya, </w:t>
      </w:r>
      <w:r w:rsidRPr="00C02658">
        <w:rPr>
          <w:sz w:val="22"/>
          <w:vertAlign w:val="superscript"/>
        </w:rPr>
        <w:t>1</w:t>
      </w:r>
      <w:r>
        <w:rPr>
          <w:sz w:val="22"/>
          <w:vertAlign w:val="superscript"/>
        </w:rPr>
        <w:t>1</w:t>
      </w:r>
      <w:r w:rsidRPr="00C02658">
        <w:rPr>
          <w:sz w:val="22"/>
        </w:rPr>
        <w:t xml:space="preserve">University of Washington, Seattle, USA, </w:t>
      </w:r>
      <w:r w:rsidRPr="00C02658">
        <w:rPr>
          <w:sz w:val="22"/>
          <w:vertAlign w:val="superscript"/>
        </w:rPr>
        <w:t>1</w:t>
      </w:r>
      <w:r>
        <w:rPr>
          <w:sz w:val="22"/>
          <w:vertAlign w:val="superscript"/>
        </w:rPr>
        <w:t>2</w:t>
      </w:r>
      <w:r w:rsidRPr="00C02658">
        <w:rPr>
          <w:sz w:val="22"/>
        </w:rPr>
        <w:t xml:space="preserve">IAVI, </w:t>
      </w:r>
      <w:r>
        <w:rPr>
          <w:sz w:val="22"/>
        </w:rPr>
        <w:t>New York</w:t>
      </w:r>
      <w:r w:rsidRPr="00C02658">
        <w:rPr>
          <w:sz w:val="22"/>
        </w:rPr>
        <w:t xml:space="preserve">, USA, </w:t>
      </w:r>
      <w:r w:rsidRPr="00C02658">
        <w:rPr>
          <w:sz w:val="22"/>
          <w:vertAlign w:val="superscript"/>
        </w:rPr>
        <w:t>1</w:t>
      </w:r>
      <w:r>
        <w:rPr>
          <w:sz w:val="22"/>
          <w:vertAlign w:val="superscript"/>
        </w:rPr>
        <w:t>3</w:t>
      </w:r>
      <w:r w:rsidRPr="00C02658">
        <w:rPr>
          <w:sz w:val="22"/>
        </w:rPr>
        <w:t>University of California, San Francisco, USA,</w:t>
      </w:r>
      <w:r w:rsidRPr="00C02658">
        <w:rPr>
          <w:sz w:val="22"/>
          <w:vertAlign w:val="superscript"/>
        </w:rPr>
        <w:t xml:space="preserve"> 1</w:t>
      </w:r>
      <w:r>
        <w:rPr>
          <w:sz w:val="22"/>
          <w:vertAlign w:val="superscript"/>
        </w:rPr>
        <w:t>4</w:t>
      </w:r>
      <w:r w:rsidRPr="00C02658">
        <w:rPr>
          <w:sz w:val="22"/>
        </w:rPr>
        <w:t xml:space="preserve">University of Illinois at Chicago, USA, </w:t>
      </w:r>
      <w:r w:rsidRPr="00C02658">
        <w:rPr>
          <w:sz w:val="22"/>
          <w:vertAlign w:val="superscript"/>
        </w:rPr>
        <w:t>1</w:t>
      </w:r>
      <w:r>
        <w:rPr>
          <w:sz w:val="22"/>
          <w:vertAlign w:val="superscript"/>
        </w:rPr>
        <w:t>5</w:t>
      </w:r>
      <w:r w:rsidRPr="00C02658">
        <w:rPr>
          <w:sz w:val="22"/>
        </w:rPr>
        <w:t>University of Oxford, Oxford, United Kingdom.</w:t>
      </w:r>
    </w:p>
    <w:p w14:paraId="33822944" w14:textId="77777777" w:rsidR="00242EA8" w:rsidRPr="00C02658" w:rsidRDefault="00242EA8" w:rsidP="00242EA8">
      <w:pPr>
        <w:widowControl w:val="0"/>
        <w:snapToGrid w:val="0"/>
        <w:spacing w:line="480" w:lineRule="auto"/>
        <w:jc w:val="both"/>
        <w:rPr>
          <w:b/>
          <w:sz w:val="22"/>
        </w:rPr>
      </w:pPr>
    </w:p>
    <w:p w14:paraId="59BFA428" w14:textId="0B2AF281" w:rsidR="00A571F1" w:rsidRPr="00E66337" w:rsidRDefault="000371BB" w:rsidP="00A571F1">
      <w:pPr>
        <w:rPr>
          <w:b/>
          <w:sz w:val="22"/>
        </w:rPr>
      </w:pPr>
      <w:r w:rsidRPr="00E66337">
        <w:rPr>
          <w:b/>
          <w:sz w:val="22"/>
        </w:rPr>
        <w:t xml:space="preserve"> </w:t>
      </w:r>
    </w:p>
    <w:p w14:paraId="28097EBB" w14:textId="77777777" w:rsidR="00A571F1" w:rsidRPr="00E66337" w:rsidRDefault="00A571F1" w:rsidP="00A571F1">
      <w:pPr>
        <w:rPr>
          <w:b/>
          <w:sz w:val="22"/>
        </w:rPr>
      </w:pPr>
    </w:p>
    <w:p w14:paraId="74DAF353" w14:textId="77777777" w:rsidR="00242EA8" w:rsidRDefault="00242EA8">
      <w:pPr>
        <w:rPr>
          <w:b/>
          <w:sz w:val="22"/>
        </w:rPr>
      </w:pPr>
      <w:r>
        <w:rPr>
          <w:b/>
          <w:sz w:val="22"/>
        </w:rPr>
        <w:br w:type="page"/>
      </w:r>
    </w:p>
    <w:p w14:paraId="0F4F8A81" w14:textId="0FA2D53B" w:rsidR="00A571F1" w:rsidRPr="008E7A36" w:rsidRDefault="00A571F1" w:rsidP="008E7A36">
      <w:pPr>
        <w:spacing w:line="480" w:lineRule="auto"/>
        <w:jc w:val="both"/>
        <w:rPr>
          <w:b/>
          <w:bCs/>
        </w:rPr>
      </w:pPr>
      <w:r w:rsidRPr="008E7A36">
        <w:rPr>
          <w:b/>
          <w:bCs/>
        </w:rPr>
        <w:lastRenderedPageBreak/>
        <w:t>Files in this Data Supplement:</w:t>
      </w:r>
    </w:p>
    <w:p w14:paraId="79811DAC" w14:textId="77777777" w:rsidR="00A571F1" w:rsidRPr="008E7A36" w:rsidRDefault="00A571F1" w:rsidP="008E7A36">
      <w:pPr>
        <w:spacing w:line="480" w:lineRule="auto"/>
        <w:jc w:val="both"/>
      </w:pPr>
    </w:p>
    <w:p w14:paraId="15EE1EBD" w14:textId="2CAB9422" w:rsidR="00A571F1" w:rsidRDefault="00A571F1" w:rsidP="00242EA8">
      <w:pPr>
        <w:spacing w:line="480" w:lineRule="auto"/>
        <w:jc w:val="both"/>
      </w:pPr>
      <w:r w:rsidRPr="008E7A36">
        <w:t>Table S</w:t>
      </w:r>
      <w:r w:rsidRPr="008E7A36">
        <w:rPr>
          <w:lang w:val="en-GB"/>
        </w:rPr>
        <w:t>1</w:t>
      </w:r>
      <w:r w:rsidRPr="008E7A36">
        <w:t>. Frequency of  drug class-specific pre-treatment HIV drug resistance mutations in different risk groups in Kenya</w:t>
      </w:r>
      <w:r w:rsidR="003A1C9E">
        <w:rPr>
          <w:lang w:val="en-US"/>
        </w:rPr>
        <w:t xml:space="preserve"> </w:t>
      </w:r>
      <w:r w:rsidR="003A1C9E" w:rsidRPr="00C30892">
        <w:t>(n=3567, 1986-2020)</w:t>
      </w:r>
      <w:r w:rsidRPr="008E7A36">
        <w:t>.</w:t>
      </w:r>
    </w:p>
    <w:p w14:paraId="787C50D9" w14:textId="77777777" w:rsidR="003A1C9E" w:rsidRPr="008E7A36" w:rsidRDefault="003A1C9E" w:rsidP="008E7A36">
      <w:pPr>
        <w:spacing w:line="480" w:lineRule="auto"/>
        <w:jc w:val="both"/>
      </w:pPr>
    </w:p>
    <w:p w14:paraId="6B1DF4E6" w14:textId="7C9D6E6F" w:rsidR="00A571F1" w:rsidRDefault="00A571F1" w:rsidP="00242EA8">
      <w:pPr>
        <w:spacing w:line="480" w:lineRule="auto"/>
        <w:jc w:val="both"/>
      </w:pPr>
      <w:r w:rsidRPr="008E7A36">
        <w:t>Table S2. Frequency of drug class-specific pre-treatment HIVDR mutations by drug class and risk group among ART-naïve individuals in Kenya (n=3567, 1986-2020).</w:t>
      </w:r>
    </w:p>
    <w:p w14:paraId="3EA28BDD" w14:textId="77777777" w:rsidR="003A1C9E" w:rsidRPr="008E7A36" w:rsidRDefault="003A1C9E" w:rsidP="008E7A36">
      <w:pPr>
        <w:spacing w:line="480" w:lineRule="auto"/>
        <w:jc w:val="both"/>
      </w:pPr>
    </w:p>
    <w:p w14:paraId="14FAB7F5" w14:textId="06084E57" w:rsidR="00A571F1" w:rsidRPr="00597115" w:rsidRDefault="00A571F1" w:rsidP="008E7A36">
      <w:pPr>
        <w:spacing w:line="480" w:lineRule="auto"/>
        <w:jc w:val="both"/>
        <w:sectPr w:rsidR="00A571F1" w:rsidRPr="00597115" w:rsidSect="00DA2D0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72A83">
        <w:t>Table S3. Temporal trends in HIV-1 drug resistance among ART naïve individuals with different risk groups in Kenya (1986-2020)</w:t>
      </w:r>
      <w:bookmarkStart w:id="2" w:name="_Hlk70424855"/>
      <w:r w:rsidRPr="00172A83">
        <w:t>.</w:t>
      </w:r>
    </w:p>
    <w:bookmarkEnd w:id="2"/>
    <w:p w14:paraId="716FE434" w14:textId="77777777" w:rsidR="00A571F1" w:rsidRPr="003A5574" w:rsidRDefault="00A571F1" w:rsidP="00597115">
      <w:pPr>
        <w:pStyle w:val="Heading1"/>
        <w:sectPr w:rsidR="00A571F1" w:rsidRPr="003A5574" w:rsidSect="002B2EB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92938D" w14:textId="4AA62AB2" w:rsidR="00A571F1" w:rsidRPr="00597115" w:rsidRDefault="00A571F1" w:rsidP="00BB3B20">
      <w:pPr>
        <w:pStyle w:val="Heading1"/>
      </w:pPr>
      <w:r w:rsidRPr="00597115">
        <w:rPr>
          <w:bCs/>
        </w:rPr>
        <w:lastRenderedPageBreak/>
        <w:t>Table S1.</w:t>
      </w:r>
      <w:r w:rsidRPr="00597115">
        <w:t xml:space="preserve"> Frequency of drug class-specific pre-treatment HIV drug resistance mutations in different risk groups in Kenya</w:t>
      </w:r>
      <w:r w:rsidR="002360BE" w:rsidRPr="00597115">
        <w:t xml:space="preserve">, including the </w:t>
      </w:r>
      <w:r w:rsidR="0023605F" w:rsidRPr="00597115">
        <w:t xml:space="preserve">frequencies, </w:t>
      </w:r>
      <w:r w:rsidR="00E1723B" w:rsidRPr="00597115">
        <w:t>(</w:t>
      </w:r>
      <w:r w:rsidR="0023605F" w:rsidRPr="00597115">
        <w:t>proportions and 95% confidence intervals [95% CI]</w:t>
      </w:r>
      <w:r w:rsidR="00E1723B" w:rsidRPr="00597115">
        <w:t>)</w:t>
      </w:r>
      <w:r w:rsidR="003A5574" w:rsidRPr="00597115">
        <w:t xml:space="preserve"> </w:t>
      </w:r>
      <w:r w:rsidR="003A5574" w:rsidRPr="008E7A36">
        <w:t>(n=3567, 1986-2020)</w:t>
      </w:r>
      <w:r w:rsidRPr="00597115">
        <w:t>.</w:t>
      </w:r>
    </w:p>
    <w:p w14:paraId="713D3DAE" w14:textId="77777777" w:rsidR="00D00A76" w:rsidRPr="008E7A36" w:rsidRDefault="00D00A76" w:rsidP="008E7A36">
      <w:pPr>
        <w:rPr>
          <w:lang w:val="en-GB" w:eastAsia="en-US"/>
        </w:rPr>
      </w:pPr>
    </w:p>
    <w:p w14:paraId="1257A390" w14:textId="77777777" w:rsidR="00A571F1" w:rsidRPr="00A571F1" w:rsidRDefault="00A571F1" w:rsidP="00A571F1">
      <w:pPr>
        <w:rPr>
          <w:lang w:val="en-GB" w:eastAsia="en-US"/>
        </w:rPr>
      </w:pPr>
    </w:p>
    <w:tbl>
      <w:tblPr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298"/>
        <w:gridCol w:w="2094"/>
        <w:gridCol w:w="2092"/>
        <w:gridCol w:w="2207"/>
        <w:gridCol w:w="1819"/>
        <w:gridCol w:w="2096"/>
      </w:tblGrid>
      <w:tr w:rsidR="00D00A76" w:rsidRPr="00D00A76" w14:paraId="06B6A0A9" w14:textId="77777777" w:rsidTr="0032471E">
        <w:trPr>
          <w:trHeight w:val="20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5DC048F" w14:textId="702CD787" w:rsidR="00A571F1" w:rsidRPr="008E7A36" w:rsidRDefault="00A571F1" w:rsidP="008E7A36">
            <w:pPr>
              <w:snapToGrid w:val="0"/>
              <w:spacing w:after="120" w:line="276" w:lineRule="auto"/>
              <w:contextualSpacing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2210DA" w:rsidRPr="008E7A36">
              <w:rPr>
                <w:b/>
                <w:bCs/>
                <w:color w:val="000000"/>
                <w:sz w:val="22"/>
                <w:szCs w:val="22"/>
                <w:lang w:val="en-US"/>
              </w:rPr>
              <w:t>Drug class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14:paraId="44A7C634" w14:textId="77777777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Overall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14:paraId="736B9413" w14:textId="77777777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HET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14:paraId="011C9F48" w14:textId="77777777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MSM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14:paraId="421742BB" w14:textId="77777777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FSW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14:paraId="1167D4E8" w14:textId="77777777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PWID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575F8678" w14:textId="77777777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Children</w:t>
            </w:r>
          </w:p>
        </w:tc>
      </w:tr>
      <w:tr w:rsidR="00A571F1" w:rsidRPr="003A5574" w14:paraId="7BBC72AA" w14:textId="77777777" w:rsidTr="008E7A36">
        <w:trPr>
          <w:trHeight w:val="2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3E1890" w14:textId="758E8E60" w:rsidR="00A571F1" w:rsidRPr="008E7A36" w:rsidRDefault="00A571F1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 xml:space="preserve">Any </w:t>
            </w:r>
            <w:r w:rsidRPr="008E7A36">
              <w:rPr>
                <w:color w:val="000000" w:themeColor="text1"/>
                <w:sz w:val="22"/>
                <w:szCs w:val="22"/>
              </w:rPr>
              <w:t xml:space="preserve">HIVDR </w:t>
            </w: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14:paraId="14410363" w14:textId="00E2F854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550/3567</w:t>
            </w:r>
          </w:p>
          <w:p w14:paraId="1D2BB3D9" w14:textId="1E5D4ED0" w:rsidR="00A571F1" w:rsidRPr="008E7A36" w:rsidRDefault="00CA767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15.4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14.2-16.6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309F5F3A" w14:textId="6A972ACB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411/2947</w:t>
            </w:r>
          </w:p>
          <w:p w14:paraId="6D151447" w14:textId="44519DEA" w:rsidR="00A571F1" w:rsidRPr="008E7A36" w:rsidRDefault="00930FF7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13.9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12.7-15.2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5CB7CA52" w14:textId="1FD30311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68/341</w:t>
            </w:r>
          </w:p>
          <w:p w14:paraId="11D9A69A" w14:textId="7D296DF3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20.0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15.8-24.6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5D90A41" w14:textId="01668512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22/146</w:t>
            </w:r>
          </w:p>
          <w:p w14:paraId="526B552D" w14:textId="550BB3CB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15.1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9.7-21.9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14:paraId="7AAF78F5" w14:textId="5C4D752E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18/58</w:t>
            </w:r>
          </w:p>
          <w:p w14:paraId="38C05880" w14:textId="2295422D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31.0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19.5-44.5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shd w:val="clear" w:color="auto" w:fill="auto"/>
            <w:noWrap/>
            <w:vAlign w:val="center"/>
            <w:hideMark/>
          </w:tcPr>
          <w:p w14:paraId="460FE5F7" w14:textId="6BC205C0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31/75</w:t>
            </w:r>
          </w:p>
          <w:p w14:paraId="6AF608CC" w14:textId="0D639874" w:rsidR="00A571F1" w:rsidRPr="008E7A36" w:rsidRDefault="005A271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41.3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30.1-53.3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571F1" w:rsidRPr="003A5574" w14:paraId="3084DBA6" w14:textId="77777777" w:rsidTr="008E7A36">
        <w:trPr>
          <w:trHeight w:val="2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87EE01" w14:textId="77777777" w:rsidR="00A571F1" w:rsidRPr="008E7A36" w:rsidRDefault="00A571F1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NNRTI</w:t>
            </w: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14:paraId="04C254CA" w14:textId="61075C22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453/3567</w:t>
            </w:r>
          </w:p>
          <w:p w14:paraId="2E3B743E" w14:textId="72667C4F" w:rsidR="00A571F1" w:rsidRPr="008E7A36" w:rsidRDefault="00E172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12.7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11.6-13.8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39E74478" w14:textId="21DFF665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345/2947</w:t>
            </w:r>
          </w:p>
          <w:p w14:paraId="783A702E" w14:textId="27FC4C12" w:rsidR="00A571F1" w:rsidRPr="008E7A36" w:rsidRDefault="00930FF7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11.7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10.6-12.9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74EE8493" w14:textId="1A3034C2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62/341</w:t>
            </w:r>
          </w:p>
          <w:p w14:paraId="7D6102F2" w14:textId="4664C91F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18.2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14.2-22.7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DBAEE63" w14:textId="2FCF33F8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16/146</w:t>
            </w:r>
          </w:p>
          <w:p w14:paraId="5757F1CD" w14:textId="3B0981B8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11.0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6.4-17.2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14:paraId="63E43B42" w14:textId="136134FA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1/58</w:t>
            </w:r>
          </w:p>
          <w:p w14:paraId="45C2417F" w14:textId="133A217B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1.7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0-9.2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shd w:val="clear" w:color="auto" w:fill="auto"/>
            <w:noWrap/>
            <w:vAlign w:val="center"/>
            <w:hideMark/>
          </w:tcPr>
          <w:p w14:paraId="48577BE7" w14:textId="3815C68E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29/75</w:t>
            </w:r>
          </w:p>
          <w:p w14:paraId="5F3933CB" w14:textId="366F16FE" w:rsidR="00A571F1" w:rsidRPr="008E7A36" w:rsidRDefault="005A271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38.7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27.6-50.6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</w:tr>
      <w:tr w:rsidR="00D00A76" w:rsidRPr="003A5574" w14:paraId="0F448D5A" w14:textId="77777777" w:rsidTr="008E7A36">
        <w:trPr>
          <w:trHeight w:val="2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EB2E2B" w14:textId="77777777" w:rsidR="00A571F1" w:rsidRPr="008E7A36" w:rsidRDefault="00A571F1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NRTI</w:t>
            </w: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14:paraId="205710AC" w14:textId="3685E96A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232/3567</w:t>
            </w:r>
          </w:p>
          <w:p w14:paraId="47276370" w14:textId="4A585535" w:rsidR="00A571F1" w:rsidRPr="008E7A36" w:rsidRDefault="00E172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6.5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5.7-7.4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4D1E8811" w14:textId="0AEFAE78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172/2947</w:t>
            </w:r>
          </w:p>
          <w:p w14:paraId="2756DFD9" w14:textId="2804E97E" w:rsidR="00A571F1" w:rsidRPr="008E7A36" w:rsidRDefault="00930FF7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5.8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5.0-6.7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4AD66258" w14:textId="0B73198F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17/341</w:t>
            </w:r>
          </w:p>
          <w:p w14:paraId="1D87B3FF" w14:textId="59A840EA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5.0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2.9-7.9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7A10F1EF" w14:textId="75EAAA25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10/146</w:t>
            </w:r>
          </w:p>
          <w:p w14:paraId="771E55C8" w14:textId="468E501E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6.8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0.3-12.3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D284" w14:textId="2910FAD1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18/58</w:t>
            </w:r>
          </w:p>
          <w:p w14:paraId="3011EB58" w14:textId="0B72FE85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31.0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19.5-44.5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shd w:val="clear" w:color="auto" w:fill="auto"/>
            <w:noWrap/>
            <w:vAlign w:val="center"/>
            <w:hideMark/>
          </w:tcPr>
          <w:p w14:paraId="3A7E5D32" w14:textId="3073A2AC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15/75</w:t>
            </w:r>
          </w:p>
          <w:p w14:paraId="1CCA12EB" w14:textId="5F347274" w:rsidR="00A571F1" w:rsidRPr="008E7A36" w:rsidRDefault="005A271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20.0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11.6-30.8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</w:tr>
      <w:tr w:rsidR="0032471E" w:rsidRPr="003A5574" w14:paraId="5FFF8A19" w14:textId="77777777" w:rsidTr="008E7A36">
        <w:trPr>
          <w:trHeight w:val="2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EF7037" w14:textId="77777777" w:rsidR="00A571F1" w:rsidRPr="008E7A36" w:rsidRDefault="00A571F1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PI</w:t>
            </w: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14:paraId="23B0C280" w14:textId="7C637085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23/2491</w:t>
            </w:r>
          </w:p>
          <w:p w14:paraId="4F227E24" w14:textId="0DE091EF" w:rsidR="00A571F1" w:rsidRPr="008E7A36" w:rsidRDefault="00E172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0.9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0.6-1.4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794E1C84" w14:textId="1041968B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19/2001</w:t>
            </w:r>
          </w:p>
          <w:p w14:paraId="44A8F44E" w14:textId="3F39042D" w:rsidR="00A571F1" w:rsidRPr="008E7A36" w:rsidRDefault="00930FF7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0.9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0.6-1.5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20B13406" w14:textId="0E302501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3/341</w:t>
            </w:r>
          </w:p>
          <w:p w14:paraId="49257BEF" w14:textId="68085C98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0.9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0.1-2.5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E104AAE" w14:textId="443112C5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1/146</w:t>
            </w:r>
          </w:p>
          <w:p w14:paraId="120DBA4C" w14:textId="29A9E9DB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0.7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0-3.8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14:paraId="4DAA0897" w14:textId="77777777" w:rsidR="00A571F1" w:rsidRDefault="00936BC5" w:rsidP="00D00A7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33B0BB38" w14:textId="00AB7B69" w:rsidR="00936BC5" w:rsidRPr="008E7A36" w:rsidRDefault="00936BC5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235F" w14:textId="3FCD12E0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0/3</w:t>
            </w:r>
          </w:p>
          <w:p w14:paraId="2C58A6B0" w14:textId="3959EBEC" w:rsidR="00A571F1" w:rsidRPr="008E7A36" w:rsidRDefault="005A271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0-70.8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A571F1" w:rsidRPr="008E7A36">
              <w:rPr>
                <w:color w:val="000000"/>
                <w:sz w:val="22"/>
                <w:szCs w:val="22"/>
              </w:rPr>
              <w:t>)</w:t>
            </w:r>
          </w:p>
        </w:tc>
      </w:tr>
      <w:tr w:rsidR="0032471E" w:rsidRPr="003A5574" w14:paraId="28070C04" w14:textId="77777777" w:rsidTr="008E7A36">
        <w:trPr>
          <w:trHeight w:val="2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61CAF4" w14:textId="77777777" w:rsidR="00A571F1" w:rsidRPr="008E7A36" w:rsidRDefault="00A571F1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INSTI</w:t>
            </w:r>
          </w:p>
        </w:tc>
        <w:tc>
          <w:tcPr>
            <w:tcW w:w="2298" w:type="dxa"/>
            <w:shd w:val="clear" w:color="auto" w:fill="auto"/>
            <w:noWrap/>
            <w:vAlign w:val="center"/>
            <w:hideMark/>
          </w:tcPr>
          <w:p w14:paraId="67B3E5BA" w14:textId="646D659D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0/106</w:t>
            </w:r>
          </w:p>
          <w:p w14:paraId="7B8110C5" w14:textId="58E64FD8" w:rsidR="00A571F1" w:rsidRPr="008E7A36" w:rsidRDefault="00E172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0.0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0.0-3.4</w:t>
            </w:r>
            <w:r w:rsidR="00A571F1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216D4D9B" w14:textId="785E9776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0/69</w:t>
            </w:r>
          </w:p>
          <w:p w14:paraId="7946E67B" w14:textId="02A41516" w:rsidR="00A571F1" w:rsidRPr="008E7A36" w:rsidRDefault="00930FF7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0.0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0.0-0.5</w:t>
            </w:r>
            <w:r w:rsidR="00A571F1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3004FF36" w14:textId="3314F6A3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0/21</w:t>
            </w:r>
          </w:p>
          <w:p w14:paraId="4ABF7E47" w14:textId="1E0069BA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0.0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0.0-16.1</w:t>
            </w:r>
            <w:r w:rsidR="00A571F1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F5C4475" w14:textId="34D98EFA" w:rsidR="00A571F1" w:rsidRPr="008E7A36" w:rsidRDefault="00A571F1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0/16</w:t>
            </w:r>
          </w:p>
          <w:p w14:paraId="01BB0E1B" w14:textId="0058D113" w:rsidR="00A571F1" w:rsidRPr="008E7A36" w:rsidRDefault="00AF0F14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(</w:t>
            </w:r>
            <w:r w:rsidR="00A571F1" w:rsidRPr="008E7A36">
              <w:rPr>
                <w:color w:val="000000"/>
                <w:sz w:val="22"/>
                <w:szCs w:val="22"/>
              </w:rPr>
              <w:t xml:space="preserve">0.0 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[</w:t>
            </w:r>
            <w:r w:rsidR="00A571F1" w:rsidRPr="008E7A36">
              <w:rPr>
                <w:color w:val="000000"/>
                <w:sz w:val="22"/>
                <w:szCs w:val="22"/>
              </w:rPr>
              <w:t>0.0-20.6</w:t>
            </w:r>
            <w:r w:rsidR="00A571F1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 w:rsidRPr="008E7A36"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14:paraId="12269632" w14:textId="77777777" w:rsidR="00A571F1" w:rsidRDefault="00936BC5" w:rsidP="00D00A7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0018CDDF" w14:textId="7065F2F5" w:rsidR="00936BC5" w:rsidRPr="008E7A36" w:rsidRDefault="00936BC5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  <w:hideMark/>
          </w:tcPr>
          <w:p w14:paraId="6643C78C" w14:textId="77777777" w:rsidR="00A571F1" w:rsidRDefault="00936BC5" w:rsidP="00D00A7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529E8FFF" w14:textId="77753373" w:rsidR="00936BC5" w:rsidRPr="008E7A36" w:rsidRDefault="00936BC5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E0CC143" w14:textId="77777777" w:rsidR="003A5574" w:rsidRDefault="003A5574" w:rsidP="00A571F1">
      <w:pPr>
        <w:jc w:val="both"/>
        <w:rPr>
          <w:sz w:val="22"/>
        </w:rPr>
      </w:pPr>
    </w:p>
    <w:p w14:paraId="3164AAF4" w14:textId="37972FAD" w:rsidR="00A571F1" w:rsidRPr="008E7A36" w:rsidRDefault="00A571F1" w:rsidP="00A571F1">
      <w:pPr>
        <w:jc w:val="both"/>
        <w:rPr>
          <w:i/>
          <w:iCs/>
          <w:sz w:val="22"/>
          <w:lang w:val="en-US"/>
        </w:rPr>
      </w:pPr>
      <w:r w:rsidRPr="008E7A36">
        <w:rPr>
          <w:i/>
          <w:iCs/>
          <w:sz w:val="22"/>
        </w:rPr>
        <w:t>Abbreviations: ART, antiretroviral therapy; HET, presumed heterosexual i.e., men and women not reporting sex work or male same-sex behaviour; MSM, men who have sex with men; PWID, people who inject drugs; FSW, female sex worker; NRTI, nucleoside reverse transcriptase inhibitors; NNRTI, non-nucleoside reverse transcriptase inhibitors; PI, protease inhibitors; INSTI, integrase strand transfer inhibitors. *</w:t>
      </w:r>
      <w:r w:rsidRPr="008E7A36">
        <w:rPr>
          <w:i/>
          <w:iCs/>
          <w:sz w:val="22"/>
          <w:lang w:val="en-US"/>
        </w:rPr>
        <w:t>O</w:t>
      </w:r>
      <w:r w:rsidRPr="008E7A36">
        <w:rPr>
          <w:i/>
          <w:iCs/>
          <w:sz w:val="22"/>
        </w:rPr>
        <w:t>ne-sided, 97.5% confidence interval</w:t>
      </w:r>
      <w:r w:rsidRPr="008E7A36">
        <w:rPr>
          <w:i/>
          <w:iCs/>
          <w:sz w:val="22"/>
          <w:lang w:val="en-US"/>
        </w:rPr>
        <w:t>.</w:t>
      </w:r>
    </w:p>
    <w:p w14:paraId="7DFF20A3" w14:textId="77777777" w:rsidR="00A571F1" w:rsidRPr="00361558" w:rsidRDefault="00A571F1" w:rsidP="00597115">
      <w:pPr>
        <w:pStyle w:val="Heading1"/>
        <w:sectPr w:rsidR="00A571F1" w:rsidRPr="00361558" w:rsidSect="008E7A3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F9410CA" w14:textId="320CD29A" w:rsidR="00A571F1" w:rsidRPr="00597115" w:rsidRDefault="00A571F1" w:rsidP="00597115">
      <w:pPr>
        <w:pStyle w:val="Heading1"/>
      </w:pPr>
      <w:r w:rsidRPr="00597115">
        <w:rPr>
          <w:bCs/>
        </w:rPr>
        <w:lastRenderedPageBreak/>
        <w:t>Table S2.</w:t>
      </w:r>
      <w:r w:rsidRPr="00597115">
        <w:t xml:space="preserve"> Frequency </w:t>
      </w:r>
      <w:r w:rsidR="00872A48" w:rsidRPr="00597115">
        <w:t xml:space="preserve">and proportion </w:t>
      </w:r>
      <w:r w:rsidRPr="00597115">
        <w:t xml:space="preserve">of drug class-specific pre-treatment HIVDR mutations </w:t>
      </w:r>
      <w:r w:rsidR="00EF1674" w:rsidRPr="00D00A76">
        <w:t>among sequences from treatment naïve with any pre-treatment HIVDR mutation</w:t>
      </w:r>
      <w:r w:rsidR="00EF1674" w:rsidRPr="00597115">
        <w:t xml:space="preserve"> </w:t>
      </w:r>
      <w:r w:rsidRPr="00597115">
        <w:t xml:space="preserve">by drug class and risk group among ART-naïve individuals in Kenya </w:t>
      </w:r>
      <w:r w:rsidRPr="008E7A36">
        <w:rPr>
          <w:lang w:eastAsia="en-GB"/>
        </w:rPr>
        <w:t>(n=3567, 1986-2020)</w:t>
      </w:r>
      <w:r w:rsidRPr="00597115">
        <w:t>.</w:t>
      </w:r>
    </w:p>
    <w:p w14:paraId="2E54EDBA" w14:textId="1C690937" w:rsidR="00A571F1" w:rsidRDefault="00A571F1" w:rsidP="00A571F1"/>
    <w:p w14:paraId="04933796" w14:textId="77777777" w:rsidR="00D00A76" w:rsidRPr="00ED0462" w:rsidRDefault="00D00A76" w:rsidP="00A571F1"/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836"/>
        <w:gridCol w:w="3803"/>
      </w:tblGrid>
      <w:tr w:rsidR="00A571F1" w:rsidRPr="008E7A36" w14:paraId="76FAB7DA" w14:textId="77777777" w:rsidTr="008E7A36">
        <w:trPr>
          <w:trHeight w:val="26"/>
        </w:trPr>
        <w:tc>
          <w:tcPr>
            <w:tcW w:w="1271" w:type="pct"/>
            <w:shd w:val="clear" w:color="auto" w:fill="auto"/>
            <w:noWrap/>
            <w:vAlign w:val="center"/>
            <w:hideMark/>
          </w:tcPr>
          <w:p w14:paraId="0B30B1F8" w14:textId="77777777" w:rsidR="00A571F1" w:rsidRPr="008E7A36" w:rsidRDefault="00A571F1" w:rsidP="008E7A3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Drug class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6282FD0" w14:textId="5224E056" w:rsidR="00A571F1" w:rsidRPr="008E7A36" w:rsidRDefault="00A571F1" w:rsidP="008E7A3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 w:themeColor="text1"/>
                <w:sz w:val="22"/>
                <w:szCs w:val="22"/>
              </w:rPr>
              <w:t>HIVDR mutation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2EBF2BA9" w14:textId="1F1EB10B" w:rsidR="00A571F1" w:rsidRPr="008E7A36" w:rsidRDefault="00A571F1" w:rsidP="008E7A3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E7A36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8E7A36">
              <w:rPr>
                <w:b/>
                <w:bCs/>
                <w:sz w:val="22"/>
                <w:szCs w:val="22"/>
              </w:rPr>
              <w:t xml:space="preserve">umber and proportion </w:t>
            </w:r>
          </w:p>
        </w:tc>
      </w:tr>
      <w:tr w:rsidR="00A571F1" w:rsidRPr="008E7A36" w14:paraId="31054D49" w14:textId="77777777" w:rsidTr="008E7A36">
        <w:trPr>
          <w:trHeight w:val="26"/>
        </w:trPr>
        <w:tc>
          <w:tcPr>
            <w:tcW w:w="1271" w:type="pct"/>
            <w:vMerge w:val="restart"/>
            <w:shd w:val="clear" w:color="auto" w:fill="auto"/>
            <w:noWrap/>
            <w:hideMark/>
          </w:tcPr>
          <w:p w14:paraId="6B293D5E" w14:textId="6A21C614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NNRTI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8243EC1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E7A36">
              <w:rPr>
                <w:color w:val="000000"/>
                <w:sz w:val="22"/>
                <w:szCs w:val="22"/>
              </w:rPr>
              <w:t>K103NS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1188327B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E7A36">
              <w:rPr>
                <w:color w:val="000000"/>
                <w:sz w:val="22"/>
                <w:szCs w:val="22"/>
              </w:rPr>
              <w:t>210 (5.9%)</w:t>
            </w:r>
          </w:p>
        </w:tc>
      </w:tr>
      <w:tr w:rsidR="00A571F1" w:rsidRPr="008E7A36" w14:paraId="1C5899B5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3372B0A1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1EED26D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E7A36">
              <w:rPr>
                <w:color w:val="000000"/>
                <w:sz w:val="22"/>
                <w:szCs w:val="22"/>
              </w:rPr>
              <w:t>G190ASE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520B7371" w14:textId="093CDEF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E7A36">
              <w:rPr>
                <w:color w:val="000000"/>
                <w:sz w:val="22"/>
                <w:szCs w:val="22"/>
              </w:rPr>
              <w:t>98 (2.7%)</w:t>
            </w:r>
          </w:p>
        </w:tc>
      </w:tr>
      <w:tr w:rsidR="00A571F1" w:rsidRPr="008E7A36" w14:paraId="1954B92E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0E0D7E90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6BD0A91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E7A36">
              <w:rPr>
                <w:color w:val="000000"/>
                <w:sz w:val="22"/>
                <w:szCs w:val="22"/>
              </w:rPr>
              <w:t>Y181CIV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0D4B359E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E7A36">
              <w:rPr>
                <w:color w:val="000000"/>
                <w:sz w:val="22"/>
                <w:szCs w:val="22"/>
              </w:rPr>
              <w:t>65 (1.8%)</w:t>
            </w:r>
          </w:p>
        </w:tc>
      </w:tr>
      <w:tr w:rsidR="00A571F1" w:rsidRPr="008E7A36" w14:paraId="14F33A55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6250D7D3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274A9BF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V179F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60A0D409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55 (1.5%)</w:t>
            </w:r>
          </w:p>
        </w:tc>
      </w:tr>
      <w:tr w:rsidR="00A571F1" w:rsidRPr="008E7A36" w14:paraId="4494BD6D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52119948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8324729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V106MA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0BE0A7DF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45 (1.3%)</w:t>
            </w:r>
          </w:p>
        </w:tc>
      </w:tr>
      <w:tr w:rsidR="00A571F1" w:rsidRPr="008E7A36" w14:paraId="75D6A66A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1933C6E8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262709E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Y188LHC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45876265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17 (0.5%)</w:t>
            </w:r>
          </w:p>
        </w:tc>
      </w:tr>
      <w:tr w:rsidR="00A571F1" w:rsidRPr="008E7A36" w14:paraId="59D519BC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46BB15A9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23AD6A1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K101EP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764896FB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16 (0.4%)</w:t>
            </w:r>
          </w:p>
        </w:tc>
      </w:tr>
      <w:tr w:rsidR="00A571F1" w:rsidRPr="008E7A36" w14:paraId="0CAE4D9C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5F49398E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731EAE2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L100I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710CA1F6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13 (0.4%)</w:t>
            </w:r>
          </w:p>
        </w:tc>
      </w:tr>
      <w:tr w:rsidR="00A571F1" w:rsidRPr="008E7A36" w14:paraId="78441389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15E41B3D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AF5A429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M230L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6CA7B127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8 (0.2%)</w:t>
            </w:r>
          </w:p>
        </w:tc>
      </w:tr>
      <w:tr w:rsidR="00A571F1" w:rsidRPr="008E7A36" w14:paraId="466A8A87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66AE5E09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A5A756E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P225H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0B57E7F6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5 (0.1%)</w:t>
            </w:r>
          </w:p>
        </w:tc>
      </w:tr>
      <w:tr w:rsidR="00A571F1" w:rsidRPr="008E7A36" w14:paraId="174F56AD" w14:textId="77777777" w:rsidTr="008E7A36">
        <w:trPr>
          <w:trHeight w:val="26"/>
        </w:trPr>
        <w:tc>
          <w:tcPr>
            <w:tcW w:w="1271" w:type="pct"/>
            <w:vMerge w:val="restart"/>
            <w:shd w:val="clear" w:color="auto" w:fill="auto"/>
            <w:noWrap/>
            <w:hideMark/>
          </w:tcPr>
          <w:p w14:paraId="571C6CAE" w14:textId="599FFD0C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NRTI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8822C1E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E7A36">
              <w:rPr>
                <w:color w:val="000000"/>
                <w:sz w:val="22"/>
                <w:szCs w:val="22"/>
              </w:rPr>
              <w:t>M184VI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34E38418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E7A36">
              <w:rPr>
                <w:color w:val="000000"/>
                <w:sz w:val="22"/>
                <w:szCs w:val="22"/>
              </w:rPr>
              <w:t>130 (3.6%)</w:t>
            </w:r>
          </w:p>
        </w:tc>
      </w:tr>
      <w:tr w:rsidR="00A571F1" w:rsidRPr="008E7A36" w14:paraId="1E983838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59BCE909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F44F555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E7A36">
              <w:rPr>
                <w:color w:val="000000"/>
                <w:sz w:val="22"/>
                <w:szCs w:val="22"/>
              </w:rPr>
              <w:t>T215revs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53848968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E7A36">
              <w:rPr>
                <w:color w:val="000000"/>
                <w:sz w:val="22"/>
                <w:szCs w:val="22"/>
              </w:rPr>
              <w:t>56 (1.6%)</w:t>
            </w:r>
          </w:p>
        </w:tc>
      </w:tr>
      <w:tr w:rsidR="00A571F1" w:rsidRPr="008E7A36" w14:paraId="614B9F37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50B1833A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5041B77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bookmarkStart w:id="3" w:name="RANGE!G4"/>
            <w:r w:rsidRPr="008E7A36">
              <w:rPr>
                <w:color w:val="000000"/>
                <w:sz w:val="22"/>
                <w:szCs w:val="22"/>
              </w:rPr>
              <w:t>K70RE</w:t>
            </w:r>
            <w:bookmarkEnd w:id="3"/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499E8470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36 (1.0%)</w:t>
            </w:r>
          </w:p>
        </w:tc>
      </w:tr>
      <w:tr w:rsidR="00A571F1" w:rsidRPr="008E7A36" w14:paraId="35DC1AB8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2D27FBB7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1F0632F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D67NGE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2E19FBC2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30 (0.8%)</w:t>
            </w:r>
          </w:p>
        </w:tc>
      </w:tr>
      <w:tr w:rsidR="00A571F1" w:rsidRPr="008E7A36" w14:paraId="1D9D77E1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57F9C522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40C7D59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K219QENR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0E318A90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24 (0.7%)</w:t>
            </w:r>
          </w:p>
        </w:tc>
      </w:tr>
      <w:tr w:rsidR="00A571F1" w:rsidRPr="008E7A36" w14:paraId="0FC61BFD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3D0CA3BE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8F281EC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M41L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7A6F02AA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 (0.6%)</w:t>
            </w:r>
          </w:p>
        </w:tc>
      </w:tr>
      <w:tr w:rsidR="00A571F1" w:rsidRPr="008E7A36" w14:paraId="040BCEA9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3E2C5F80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75879E1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K65R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28489869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18 (0.5%)</w:t>
            </w:r>
          </w:p>
        </w:tc>
      </w:tr>
      <w:tr w:rsidR="00A571F1" w:rsidRPr="008E7A36" w14:paraId="46FF6FC1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5403ED0E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5AA0CC0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V75MTAS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57B7F359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10 (0.3%)</w:t>
            </w:r>
          </w:p>
        </w:tc>
      </w:tr>
      <w:tr w:rsidR="00A571F1" w:rsidRPr="008E7A36" w14:paraId="6B240416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506F1175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FFDA73F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L74VI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5105EB63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9 (0.3%)</w:t>
            </w:r>
          </w:p>
        </w:tc>
      </w:tr>
      <w:tr w:rsidR="00A571F1" w:rsidRPr="008E7A36" w14:paraId="65E76300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5FBDB900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C6F1C54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L210W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1D9E8880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5 (0.1%)</w:t>
            </w:r>
          </w:p>
        </w:tc>
      </w:tr>
      <w:tr w:rsidR="00A571F1" w:rsidRPr="008E7A36" w14:paraId="330726EA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78CDE24B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D6F5BA6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Y115F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041BA149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 (0.1%)</w:t>
            </w:r>
          </w:p>
        </w:tc>
      </w:tr>
      <w:tr w:rsidR="00A571F1" w:rsidRPr="008E7A36" w14:paraId="3A6F4E08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346CBE18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14:paraId="4AC56573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T69DIns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11D1D89A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 (0.1%)</w:t>
            </w:r>
          </w:p>
        </w:tc>
      </w:tr>
      <w:tr w:rsidR="00A571F1" w:rsidRPr="008E7A36" w14:paraId="67AF96D2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5B116AB0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636BD5A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F116Y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3D0AF040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 (0.1%)</w:t>
            </w:r>
          </w:p>
        </w:tc>
      </w:tr>
      <w:tr w:rsidR="00A571F1" w:rsidRPr="008E7A36" w14:paraId="3AD3D1EC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5639F2BE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82257EA" w14:textId="77777777" w:rsidR="00A571F1" w:rsidRPr="008E7A36" w:rsidRDefault="00A571F1" w:rsidP="008E7A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Q151M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28936D46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 (0.1%)</w:t>
            </w:r>
          </w:p>
        </w:tc>
      </w:tr>
      <w:tr w:rsidR="00A571F1" w:rsidRPr="008E7A36" w14:paraId="13B28197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hideMark/>
          </w:tcPr>
          <w:p w14:paraId="6B292D1D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5B49E55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F77L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1D2AF2D4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 (0.0%)</w:t>
            </w:r>
          </w:p>
        </w:tc>
      </w:tr>
      <w:tr w:rsidR="00A571F1" w:rsidRPr="008E7A36" w14:paraId="247C885F" w14:textId="77777777" w:rsidTr="008E7A36">
        <w:trPr>
          <w:trHeight w:val="26"/>
        </w:trPr>
        <w:tc>
          <w:tcPr>
            <w:tcW w:w="1271" w:type="pct"/>
            <w:vMerge w:val="restart"/>
            <w:shd w:val="clear" w:color="auto" w:fill="auto"/>
            <w:noWrap/>
            <w:hideMark/>
          </w:tcPr>
          <w:p w14:paraId="2A351C3B" w14:textId="72E5CD52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PI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288C4EC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M46IL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63F76221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12 (0.5%)</w:t>
            </w:r>
          </w:p>
        </w:tc>
      </w:tr>
      <w:tr w:rsidR="00A571F1" w:rsidRPr="008E7A36" w14:paraId="6AFF91E1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vAlign w:val="center"/>
            <w:hideMark/>
          </w:tcPr>
          <w:p w14:paraId="58886C11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4A6B3ED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L90M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0A514638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 (0.1%)</w:t>
            </w:r>
          </w:p>
        </w:tc>
      </w:tr>
      <w:tr w:rsidR="00A571F1" w:rsidRPr="008E7A36" w14:paraId="3675E971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vAlign w:val="center"/>
            <w:hideMark/>
          </w:tcPr>
          <w:p w14:paraId="698C6623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A37413A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I54VL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44CE3938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 (0.1%)</w:t>
            </w:r>
          </w:p>
        </w:tc>
      </w:tr>
      <w:tr w:rsidR="00A571F1" w:rsidRPr="008E7A36" w14:paraId="132A631A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vAlign w:val="center"/>
            <w:hideMark/>
          </w:tcPr>
          <w:p w14:paraId="6489748E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84969FE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N88DS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0373F92A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 (0.1%)</w:t>
            </w:r>
          </w:p>
        </w:tc>
      </w:tr>
      <w:tr w:rsidR="00A571F1" w:rsidRPr="008E7A36" w14:paraId="1092AB45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vAlign w:val="center"/>
            <w:hideMark/>
          </w:tcPr>
          <w:p w14:paraId="5C28A1AD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DCF63C2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D30N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3832D142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 (0.1%)</w:t>
            </w:r>
          </w:p>
        </w:tc>
      </w:tr>
      <w:tr w:rsidR="00A571F1" w:rsidRPr="008E7A36" w14:paraId="2D30E68B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vAlign w:val="center"/>
            <w:hideMark/>
          </w:tcPr>
          <w:p w14:paraId="65C124D2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DAE7351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V82A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688ABAE6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 (0.0%)</w:t>
            </w:r>
          </w:p>
        </w:tc>
      </w:tr>
      <w:tr w:rsidR="00A571F1" w:rsidRPr="008E7A36" w14:paraId="5E3EECA7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vAlign w:val="center"/>
            <w:hideMark/>
          </w:tcPr>
          <w:p w14:paraId="480925EE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2010796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I47VA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1C8CBD17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 (0.0%)</w:t>
            </w:r>
          </w:p>
        </w:tc>
      </w:tr>
      <w:tr w:rsidR="00A571F1" w:rsidRPr="008E7A36" w14:paraId="6201B273" w14:textId="77777777" w:rsidTr="008E7A36">
        <w:trPr>
          <w:trHeight w:val="26"/>
        </w:trPr>
        <w:tc>
          <w:tcPr>
            <w:tcW w:w="1271" w:type="pct"/>
            <w:vMerge/>
            <w:shd w:val="clear" w:color="auto" w:fill="auto"/>
            <w:noWrap/>
            <w:vAlign w:val="center"/>
            <w:hideMark/>
          </w:tcPr>
          <w:p w14:paraId="2F099F95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F3BD399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V32I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55315E76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 (0.0%)</w:t>
            </w:r>
          </w:p>
        </w:tc>
      </w:tr>
      <w:tr w:rsidR="00A571F1" w:rsidRPr="008E7A36" w14:paraId="458BB3DD" w14:textId="77777777" w:rsidTr="008E7A36">
        <w:trPr>
          <w:trHeight w:val="83"/>
        </w:trPr>
        <w:tc>
          <w:tcPr>
            <w:tcW w:w="1271" w:type="pct"/>
            <w:vMerge/>
            <w:shd w:val="clear" w:color="auto" w:fill="auto"/>
            <w:noWrap/>
            <w:vAlign w:val="center"/>
            <w:hideMark/>
          </w:tcPr>
          <w:p w14:paraId="7627E0F5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2EE0884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G48E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30C9B75A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 (0.0%)</w:t>
            </w:r>
          </w:p>
        </w:tc>
      </w:tr>
      <w:tr w:rsidR="00A571F1" w:rsidRPr="008E7A36" w14:paraId="3B9890FD" w14:textId="77777777" w:rsidTr="008E7A36">
        <w:trPr>
          <w:trHeight w:val="26"/>
        </w:trPr>
        <w:tc>
          <w:tcPr>
            <w:tcW w:w="1271" w:type="pct"/>
            <w:shd w:val="clear" w:color="auto" w:fill="auto"/>
            <w:noWrap/>
            <w:vAlign w:val="center"/>
            <w:hideMark/>
          </w:tcPr>
          <w:p w14:paraId="359B586D" w14:textId="77777777" w:rsidR="00A571F1" w:rsidRPr="008E7A36" w:rsidRDefault="00A571F1" w:rsidP="008E7A3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INSTI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14:paraId="239C0DF7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2136" w:type="pct"/>
            <w:shd w:val="clear" w:color="auto" w:fill="auto"/>
            <w:noWrap/>
            <w:vAlign w:val="center"/>
          </w:tcPr>
          <w:p w14:paraId="34D07155" w14:textId="77777777" w:rsidR="00A571F1" w:rsidRPr="008E7A36" w:rsidRDefault="00A571F1" w:rsidP="008E7A3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None</w:t>
            </w:r>
          </w:p>
        </w:tc>
      </w:tr>
    </w:tbl>
    <w:p w14:paraId="36CD217C" w14:textId="77777777" w:rsidR="003655BA" w:rsidRDefault="003655BA" w:rsidP="00A571F1">
      <w:pPr>
        <w:tabs>
          <w:tab w:val="left" w:pos="3023"/>
        </w:tabs>
        <w:jc w:val="both"/>
        <w:rPr>
          <w:sz w:val="22"/>
        </w:rPr>
      </w:pPr>
    </w:p>
    <w:p w14:paraId="66FEFBD8" w14:textId="6699D6AA" w:rsidR="00A571F1" w:rsidRPr="008E7A36" w:rsidRDefault="00A571F1" w:rsidP="00A571F1">
      <w:pPr>
        <w:tabs>
          <w:tab w:val="left" w:pos="3023"/>
        </w:tabs>
        <w:jc w:val="both"/>
        <w:rPr>
          <w:i/>
          <w:iCs/>
          <w:sz w:val="22"/>
        </w:rPr>
      </w:pPr>
      <w:r w:rsidRPr="008E7A36">
        <w:rPr>
          <w:i/>
          <w:iCs/>
          <w:sz w:val="22"/>
        </w:rPr>
        <w:t xml:space="preserve">Abbreviations: ART, anti-retroviral therapy; NRTI, nucleoside reverse transcriptase inhibitors; NNRTI, non-nucleoside reverse transcriptase inhibitors; PI, protease inhibitors; INSTI, integrase strand transfer inhibitors. </w:t>
      </w:r>
    </w:p>
    <w:p w14:paraId="5F1087AD" w14:textId="77777777" w:rsidR="00A571F1" w:rsidRPr="008E7A36" w:rsidRDefault="00A571F1" w:rsidP="00A571F1">
      <w:pPr>
        <w:tabs>
          <w:tab w:val="left" w:pos="3023"/>
        </w:tabs>
        <w:jc w:val="both"/>
        <w:rPr>
          <w:i/>
          <w:iCs/>
          <w:sz w:val="22"/>
        </w:rPr>
        <w:sectPr w:rsidR="00A571F1" w:rsidRPr="008E7A36" w:rsidSect="00DA2D0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831DB81" w14:textId="77777777" w:rsidR="00A571F1" w:rsidRPr="00597115" w:rsidRDefault="00A571F1" w:rsidP="00597115">
      <w:pPr>
        <w:pStyle w:val="Heading1"/>
        <w:sectPr w:rsidR="00A571F1" w:rsidRPr="00597115" w:rsidSect="002B2EB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BEADAB" w14:textId="103F2216" w:rsidR="00A571F1" w:rsidRPr="008E7A36" w:rsidRDefault="00A571F1" w:rsidP="00597115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8E7A36">
        <w:rPr>
          <w:rFonts w:ascii="Times New Roman" w:hAnsi="Times New Roman"/>
          <w:bCs/>
          <w:sz w:val="24"/>
          <w:szCs w:val="24"/>
        </w:rPr>
        <w:lastRenderedPageBreak/>
        <w:t>Table S3.</w:t>
      </w:r>
      <w:r w:rsidRPr="008E7A36">
        <w:rPr>
          <w:rFonts w:ascii="Times New Roman" w:hAnsi="Times New Roman"/>
          <w:b w:val="0"/>
          <w:sz w:val="24"/>
          <w:szCs w:val="24"/>
        </w:rPr>
        <w:t xml:space="preserve"> Temporal trends in HIV-1 drug resistance among ART naïve individuals with different risk groups</w:t>
      </w:r>
      <w:r w:rsidR="00AA6113" w:rsidRPr="008E7A36">
        <w:rPr>
          <w:rFonts w:ascii="Times New Roman" w:hAnsi="Times New Roman"/>
          <w:b w:val="0"/>
          <w:sz w:val="24"/>
          <w:szCs w:val="24"/>
        </w:rPr>
        <w:t>, including the frequencies, (proportions and 95% confidence intervals [95% CI])</w:t>
      </w:r>
      <w:r w:rsidRPr="008E7A36">
        <w:rPr>
          <w:rFonts w:ascii="Times New Roman" w:hAnsi="Times New Roman"/>
          <w:b w:val="0"/>
          <w:sz w:val="24"/>
          <w:szCs w:val="24"/>
        </w:rPr>
        <w:t xml:space="preserve"> in Kenya (1986-2020).</w:t>
      </w:r>
    </w:p>
    <w:p w14:paraId="6D194FBC" w14:textId="77777777" w:rsidR="00A571F1" w:rsidRPr="00597115" w:rsidRDefault="00A571F1" w:rsidP="008E7A36">
      <w:pPr>
        <w:spacing w:line="276" w:lineRule="auto"/>
        <w:rPr>
          <w:rFonts w:eastAsiaTheme="minorHAnsi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699"/>
        <w:gridCol w:w="2410"/>
        <w:gridCol w:w="2126"/>
        <w:gridCol w:w="2268"/>
        <w:gridCol w:w="2126"/>
        <w:gridCol w:w="1905"/>
      </w:tblGrid>
      <w:tr w:rsidR="00105F65" w:rsidRPr="00105F65" w14:paraId="73C9F686" w14:textId="77777777" w:rsidTr="008E7A36">
        <w:trPr>
          <w:trHeight w:val="254"/>
        </w:trPr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853E7DE" w14:textId="3A6FF185" w:rsidR="00AA6113" w:rsidRPr="008E7A36" w:rsidRDefault="00AA6113" w:rsidP="008E7A36">
            <w:pPr>
              <w:snapToGrid w:val="0"/>
              <w:spacing w:after="120" w:line="27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Risk group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5F2E332" w14:textId="73914FD5" w:rsidR="00AA6113" w:rsidRPr="008E7A36" w:rsidRDefault="00AA6113" w:rsidP="008E7A36">
            <w:pPr>
              <w:snapToGrid w:val="0"/>
              <w:spacing w:after="120" w:line="27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Year</w:t>
            </w:r>
            <w:r w:rsidR="00BB3B20" w:rsidRPr="008E7A36">
              <w:rPr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3202F42B" w14:textId="1A1F931F" w:rsidR="00AA6113" w:rsidRPr="008E7A36" w:rsidRDefault="00AA6113" w:rsidP="008E7A36">
            <w:pPr>
              <w:snapToGrid w:val="0"/>
              <w:spacing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 xml:space="preserve">Any </w:t>
            </w:r>
            <w:r w:rsidRPr="008E7A36">
              <w:rPr>
                <w:b/>
                <w:bCs/>
                <w:color w:val="000000" w:themeColor="text1"/>
                <w:sz w:val="22"/>
                <w:szCs w:val="22"/>
              </w:rPr>
              <w:t xml:space="preserve">HIVDR 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65DEAE4" w14:textId="77777777" w:rsidR="00AA6113" w:rsidRPr="008E7A36" w:rsidRDefault="00AA6113" w:rsidP="008E7A36">
            <w:pPr>
              <w:snapToGrid w:val="0"/>
              <w:spacing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NNRTI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C08FB6D" w14:textId="77777777" w:rsidR="00AA6113" w:rsidRPr="008E7A36" w:rsidRDefault="00AA6113" w:rsidP="008E7A36">
            <w:pPr>
              <w:snapToGrid w:val="0"/>
              <w:spacing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NRTI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0FA27332" w14:textId="77777777" w:rsidR="00AA6113" w:rsidRPr="008E7A36" w:rsidRDefault="00AA6113" w:rsidP="008E7A36">
            <w:pPr>
              <w:snapToGrid w:val="0"/>
              <w:spacing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PI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629FC89" w14:textId="77777777" w:rsidR="00AA6113" w:rsidRPr="008E7A36" w:rsidRDefault="00AA6113" w:rsidP="008E7A36">
            <w:pPr>
              <w:snapToGrid w:val="0"/>
              <w:spacing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36">
              <w:rPr>
                <w:b/>
                <w:bCs/>
                <w:color w:val="000000"/>
                <w:sz w:val="22"/>
                <w:szCs w:val="22"/>
              </w:rPr>
              <w:t>INSTI</w:t>
            </w:r>
          </w:p>
        </w:tc>
      </w:tr>
      <w:tr w:rsidR="00105F65" w:rsidRPr="00687622" w14:paraId="04D25EE9" w14:textId="77777777" w:rsidTr="008E7A36">
        <w:trPr>
          <w:trHeight w:val="267"/>
        </w:trPr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14:paraId="044FDB3B" w14:textId="77777777" w:rsidR="00687622" w:rsidRPr="00407E9A" w:rsidRDefault="00687622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 xml:space="preserve">Overall </w:t>
            </w:r>
          </w:p>
          <w:p w14:paraId="069A271A" w14:textId="77777777" w:rsidR="00687622" w:rsidRPr="00407E9A" w:rsidRDefault="00687622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  <w:p w14:paraId="62DABA8E" w14:textId="77777777" w:rsidR="00687622" w:rsidRPr="00407E9A" w:rsidRDefault="00687622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  <w:p w14:paraId="26035BF5" w14:textId="7C33B692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9EB816B" w14:textId="485BC6DB" w:rsidR="00687622" w:rsidRPr="008E7A36" w:rsidRDefault="00AF6069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Before </w:t>
            </w:r>
            <w:r w:rsidR="00687622" w:rsidRPr="008E7A3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0AD0E7A7" w14:textId="0D90ECE2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31/451</w:t>
            </w:r>
          </w:p>
          <w:p w14:paraId="0B5395DD" w14:textId="0BDC658F" w:rsidR="00687622" w:rsidRPr="008E7A36" w:rsidRDefault="000B126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6.9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4.7-9.6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0A8E87F" w14:textId="68841716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17/451</w:t>
            </w:r>
          </w:p>
          <w:p w14:paraId="0AEC263C" w14:textId="2E76A061" w:rsidR="00687622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3.8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2.2-6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08373F6" w14:textId="6FB41914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19/451</w:t>
            </w:r>
          </w:p>
          <w:p w14:paraId="6E0465A1" w14:textId="6B330D1F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4.2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2.6-6.5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9BBB358" w14:textId="1DA28DC1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0/391</w:t>
            </w:r>
          </w:p>
          <w:p w14:paraId="70DC197F" w14:textId="2544949A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0.0-0.9</w:t>
            </w:r>
            <w:r w:rsidR="00687622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CB17DF" w14:textId="17DF217E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0/60</w:t>
            </w:r>
          </w:p>
          <w:p w14:paraId="785F8DDD" w14:textId="3F8BC3CB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</w:t>
            </w:r>
            <w:r w:rsidR="00687622" w:rsidRPr="008E7A36">
              <w:rPr>
                <w:color w:val="000000"/>
                <w:sz w:val="22"/>
                <w:szCs w:val="22"/>
                <w:lang w:val="en-GB"/>
              </w:rPr>
              <w:t>.0</w:t>
            </w:r>
            <w:r w:rsidR="00687622" w:rsidRPr="008E7A36">
              <w:rPr>
                <w:color w:val="000000"/>
                <w:sz w:val="22"/>
                <w:szCs w:val="22"/>
              </w:rPr>
              <w:t>-6.0</w:t>
            </w:r>
            <w:r w:rsidR="00687622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</w:tr>
      <w:tr w:rsidR="00105F65" w:rsidRPr="00687622" w14:paraId="51D82D2D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158FBB6E" w14:textId="0A27150A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61639EF" w14:textId="77777777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2006-2010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5DB970E5" w14:textId="7376BE92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268/1997</w:t>
            </w:r>
          </w:p>
          <w:p w14:paraId="2E2CF0B0" w14:textId="2D79E332" w:rsidR="00687622" w:rsidRPr="008E7A36" w:rsidRDefault="000B126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13.4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12-15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0D1A4E35" w14:textId="04AE6C55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211/1997</w:t>
            </w:r>
          </w:p>
          <w:p w14:paraId="4536F88F" w14:textId="327EAEC1" w:rsidR="00687622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10.6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9.3-12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8EA4D5B" w14:textId="283B4BD3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115/1997</w:t>
            </w:r>
          </w:p>
          <w:p w14:paraId="7FA679DE" w14:textId="05D8B7DF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5.8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4.8-6.9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09E2360" w14:textId="70D6B641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17/1611</w:t>
            </w:r>
          </w:p>
          <w:p w14:paraId="3DBFD8BE" w14:textId="781AD212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1.1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0.6-1.6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3EAB3B7" w14:textId="0D648B22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0/42</w:t>
            </w:r>
          </w:p>
          <w:p w14:paraId="5DFD19EB" w14:textId="0B383774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0.0-8.4</w:t>
            </w:r>
            <w:r w:rsidR="00687622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</w:tr>
      <w:tr w:rsidR="00105F65" w:rsidRPr="00687622" w14:paraId="2AA053B2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6D4A0B42" w14:textId="1F6783D1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C9EE31A" w14:textId="77777777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2011-2015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067B4DAA" w14:textId="471ED5DA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194/883</w:t>
            </w:r>
          </w:p>
          <w:p w14:paraId="435F37D8" w14:textId="04FEE79D" w:rsidR="00687622" w:rsidRPr="008E7A36" w:rsidRDefault="000B126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>22</w:t>
            </w:r>
            <w:r w:rsidR="00E915F0">
              <w:rPr>
                <w:color w:val="000000"/>
                <w:sz w:val="22"/>
                <w:szCs w:val="22"/>
                <w:lang w:val="en-US"/>
              </w:rPr>
              <w:t>.0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19.3-24.8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6EE1F14" w14:textId="4B497EA5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171/883</w:t>
            </w:r>
          </w:p>
          <w:p w14:paraId="682B1249" w14:textId="5D8C5608" w:rsidR="00687622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19.4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16.8-22.1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57697A6C" w14:textId="41C7045F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79/883</w:t>
            </w:r>
          </w:p>
          <w:p w14:paraId="048A5D66" w14:textId="0AFF9272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8.9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7.1-11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B2DD591" w14:textId="22774BBB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3/253</w:t>
            </w:r>
          </w:p>
          <w:p w14:paraId="3866E867" w14:textId="55A11541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1.1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0.2-3.4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EE9141" w14:textId="23D95C39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0/4</w:t>
            </w:r>
          </w:p>
          <w:p w14:paraId="014762A7" w14:textId="5E35407B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0.0-60.2</w:t>
            </w:r>
            <w:r w:rsidR="00687622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</w:tr>
      <w:tr w:rsidR="00105F65" w:rsidRPr="00687622" w14:paraId="7C42EFC7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63B7A1E3" w14:textId="39EE4450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6CA7F16" w14:textId="77777777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2016-2020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717A234A" w14:textId="272295F8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57/236</w:t>
            </w:r>
          </w:p>
          <w:p w14:paraId="75A8C5D7" w14:textId="74E00469" w:rsidR="00687622" w:rsidRPr="008E7A36" w:rsidRDefault="000B126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24.2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18.8-30.1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6BAC1F6" w14:textId="5B077AFA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54/236</w:t>
            </w:r>
          </w:p>
          <w:p w14:paraId="25AFFA1F" w14:textId="4905B444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22.9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17.7-28.8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B1B457C" w14:textId="38123CDF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19/236</w:t>
            </w:r>
          </w:p>
          <w:p w14:paraId="1045982A" w14:textId="2EB6108D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8.1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4.9-12.3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8EB4F4F" w14:textId="08C5127B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3/236</w:t>
            </w:r>
          </w:p>
          <w:p w14:paraId="564E718C" w14:textId="0B629F0D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1.3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0.3-3.7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1949E6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1A66FEA0" w14:textId="66E36AAC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687622" w14:paraId="78419496" w14:textId="77777777" w:rsidTr="008E7A36">
        <w:trPr>
          <w:trHeight w:val="267"/>
        </w:trPr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14:paraId="7EC754D5" w14:textId="77777777" w:rsidR="00687622" w:rsidRPr="00407E9A" w:rsidRDefault="00687622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HET</w:t>
            </w:r>
          </w:p>
          <w:p w14:paraId="400E6CA9" w14:textId="77777777" w:rsidR="00687622" w:rsidRPr="00407E9A" w:rsidRDefault="00687622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  <w:p w14:paraId="046B5DD9" w14:textId="77777777" w:rsidR="00687622" w:rsidRPr="00407E9A" w:rsidRDefault="00687622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  <w:p w14:paraId="2EF59337" w14:textId="25FC0821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E1D6A71" w14:textId="617C6932" w:rsidR="00687622" w:rsidRPr="008E7A36" w:rsidRDefault="00AF6069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Before </w:t>
            </w:r>
            <w:r w:rsidR="00687622" w:rsidRPr="008E7A3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69893323" w14:textId="363ACCEB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28/427</w:t>
            </w:r>
          </w:p>
          <w:p w14:paraId="4F7BA77F" w14:textId="08D421AD" w:rsidR="00687622" w:rsidRPr="008E7A36" w:rsidRDefault="00E915F0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6.6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4.4-9.3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5D58E8C" w14:textId="5CBB371C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16/427</w:t>
            </w:r>
          </w:p>
          <w:p w14:paraId="7CCA81C6" w14:textId="153E0E6F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3.7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2.2-6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FE17EDD" w14:textId="3E2D3868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17/427</w:t>
            </w:r>
          </w:p>
          <w:p w14:paraId="08CCE0E5" w14:textId="67D9BABB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2.3-6.3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6DC675E" w14:textId="1B848686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0/368</w:t>
            </w:r>
          </w:p>
          <w:p w14:paraId="40764123" w14:textId="462976D4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0.0-1.0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ADBA34" w14:textId="58EF934B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0/52</w:t>
            </w:r>
          </w:p>
          <w:p w14:paraId="0ACD123E" w14:textId="6B5F6FAC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0.0-6.8</w:t>
            </w:r>
            <w:r w:rsidR="00687622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</w:tr>
      <w:tr w:rsidR="00105F65" w:rsidRPr="00687622" w14:paraId="1680112A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06EE23F3" w14:textId="77A7F772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8E5D2A7" w14:textId="77777777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2006-2010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23CF4569" w14:textId="4C62D39E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229/1736</w:t>
            </w:r>
          </w:p>
          <w:p w14:paraId="61A6809E" w14:textId="065D2ADF" w:rsidR="00687622" w:rsidRPr="008E7A36" w:rsidRDefault="00E915F0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13.2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11.6-14.9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BA1256F" w14:textId="6E4346B0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194/1736</w:t>
            </w:r>
          </w:p>
          <w:p w14:paraId="0025ECB8" w14:textId="25FBB1AB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11.2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9.7-12.8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9F6F6B5" w14:textId="6013AC8E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93/1736</w:t>
            </w:r>
          </w:p>
          <w:p w14:paraId="22634983" w14:textId="6DCFBF24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5.4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4.3-6.5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607DA97" w14:textId="4229C341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16/1408</w:t>
            </w:r>
          </w:p>
          <w:p w14:paraId="0659AEF2" w14:textId="573471F9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1.1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0.7-1.8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9993675" w14:textId="6F045AD0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0/17</w:t>
            </w:r>
          </w:p>
          <w:p w14:paraId="45CAF75A" w14:textId="0A9AB1D2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0.0-19.5</w:t>
            </w:r>
            <w:r w:rsidR="00687622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</w:tr>
      <w:tr w:rsidR="00105F65" w:rsidRPr="00687622" w14:paraId="6D26C841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4A1F2716" w14:textId="21652FCC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82B64FD" w14:textId="77777777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2011-2015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23CE0A44" w14:textId="2309C2BA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152/753</w:t>
            </w:r>
          </w:p>
          <w:p w14:paraId="326C89B4" w14:textId="48801896" w:rsidR="00687622" w:rsidRPr="008E7A36" w:rsidRDefault="00E915F0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20.2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17.4-23.2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08EB7E4F" w14:textId="1A505A76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133/753</w:t>
            </w:r>
          </w:p>
          <w:p w14:paraId="4D594DDA" w14:textId="17AB1C23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17.7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15-20.6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60C8407" w14:textId="6B6F8298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61/753</w:t>
            </w:r>
          </w:p>
          <w:p w14:paraId="5931E698" w14:textId="2FF1F668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8.1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6.3-10.3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A683E57" w14:textId="7F0998BD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2/194</w:t>
            </w:r>
          </w:p>
          <w:p w14:paraId="3C2C89BD" w14:textId="2E35950E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0.1-3.7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0D26995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13ACF459" w14:textId="3D80392D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687622" w14:paraId="75A61755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03DD6239" w14:textId="15735853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F0DDAE1" w14:textId="77777777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2016-2020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3192D017" w14:textId="26B1DE65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2/31</w:t>
            </w:r>
          </w:p>
          <w:p w14:paraId="6845E0D7" w14:textId="10AD9F63" w:rsidR="00687622" w:rsidRPr="008E7A36" w:rsidRDefault="00E915F0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6.5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0.8-21.4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BCF73D1" w14:textId="7312323F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2/31</w:t>
            </w:r>
          </w:p>
          <w:p w14:paraId="409AFF5A" w14:textId="1C1E7FD1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6.5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0.8-21.4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15430527" w14:textId="5F699C9A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1/31</w:t>
            </w:r>
          </w:p>
          <w:p w14:paraId="47295A65" w14:textId="71A99B21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3.2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0.1-16.7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187DBB7F" w14:textId="357222B9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1/31</w:t>
            </w:r>
          </w:p>
          <w:p w14:paraId="2A8EB2B5" w14:textId="76AAE82C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3.2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0.1-16.7</w:t>
            </w:r>
            <w:r>
              <w:rPr>
                <w:color w:val="000000"/>
                <w:sz w:val="22"/>
                <w:szCs w:val="22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2EBFF00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3F6A8CBD" w14:textId="7B1E5460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687622" w14:paraId="1E02F32C" w14:textId="77777777" w:rsidTr="008E7A36">
        <w:trPr>
          <w:trHeight w:val="267"/>
        </w:trPr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14:paraId="26D050CC" w14:textId="77777777" w:rsidR="00687622" w:rsidRPr="00407E9A" w:rsidRDefault="00687622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MSM</w:t>
            </w:r>
          </w:p>
          <w:p w14:paraId="20B86EEA" w14:textId="77777777" w:rsidR="00687622" w:rsidRPr="00407E9A" w:rsidRDefault="00687622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  <w:p w14:paraId="5E83C173" w14:textId="77777777" w:rsidR="00687622" w:rsidRPr="00407E9A" w:rsidRDefault="00687622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  <w:p w14:paraId="7FDA0E90" w14:textId="7FA14CB0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B6D9FB9" w14:textId="1599DF71" w:rsidR="00687622" w:rsidRPr="008E7A36" w:rsidRDefault="00AF6069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Before </w:t>
            </w:r>
            <w:r w:rsidR="00687622" w:rsidRPr="008E7A3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68D5BD0C" w14:textId="2E87A0DE" w:rsidR="00687622" w:rsidRPr="008E7A36" w:rsidRDefault="004C7A9D" w:rsidP="004461C4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67956E52" w14:textId="5AFE4CD0" w:rsidR="00BE7EEC" w:rsidRPr="008E7A36" w:rsidRDefault="00BE7EEC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1BFF9A9B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6AB63234" w14:textId="40D34D37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82CB66C" w14:textId="6E1FFB34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</w:t>
            </w:r>
            <w:r w:rsidR="005D3AE9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6AB0DCBD" w14:textId="054610C0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4CD6B37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1E11356D" w14:textId="6BFD3A16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5B37DB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153B4641" w14:textId="6CAA61DD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687622" w14:paraId="69C95D85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7237A45E" w14:textId="0290E4E1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BA98BA1" w14:textId="77777777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2006-2010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125E8578" w14:textId="4B3BBF86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15/113</w:t>
            </w:r>
          </w:p>
          <w:p w14:paraId="4F33083C" w14:textId="4E2F6466" w:rsidR="00687622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13.3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7.6-20.9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3CFD61D" w14:textId="20B5FBC0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13/113</w:t>
            </w:r>
          </w:p>
          <w:p w14:paraId="0755FB18" w14:textId="0087AE4D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11.5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6.3-18.9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088E7235" w14:textId="7117F58E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2/113</w:t>
            </w:r>
          </w:p>
          <w:p w14:paraId="5BC00E5B" w14:textId="3F3440B2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1.8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0.2-6.2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1F38E40" w14:textId="4AA30927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0/113</w:t>
            </w:r>
          </w:p>
          <w:p w14:paraId="27A51B3F" w14:textId="68FE75F6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0.0-3.2</w:t>
            </w:r>
            <w:r w:rsidR="00687622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4CCEDC0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04130C3E" w14:textId="5F794F7F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687622" w14:paraId="434A5AE1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6D159D97" w14:textId="773C3C40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14BA7BB" w14:textId="77777777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2011-2015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7E6EB720" w14:textId="77A97632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8/49</w:t>
            </w:r>
          </w:p>
          <w:p w14:paraId="7874531D" w14:textId="3B284870" w:rsidR="00687622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16.3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7.3-29.7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1A56F8E" w14:textId="3FB151A2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7/49</w:t>
            </w:r>
          </w:p>
          <w:p w14:paraId="62B56357" w14:textId="10958D65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14.3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5.9-27.2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3B0E8C1" w14:textId="37D1D249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2/49</w:t>
            </w:r>
          </w:p>
          <w:p w14:paraId="14DE2063" w14:textId="077D0740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4.1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0.5-14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88D3B80" w14:textId="2993123E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1/49</w:t>
            </w:r>
          </w:p>
          <w:p w14:paraId="4D30668E" w14:textId="0A2FADEB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0.1-10.9</w:t>
            </w:r>
            <w:r>
              <w:rPr>
                <w:color w:val="000000"/>
                <w:sz w:val="22"/>
                <w:szCs w:val="22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4DB333F" w14:textId="5BBBA18C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0/13</w:t>
            </w:r>
          </w:p>
          <w:p w14:paraId="7849D3AC" w14:textId="2AC40769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0.0-24.7</w:t>
            </w:r>
            <w:r w:rsidR="00687622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</w:tr>
      <w:tr w:rsidR="00105F65" w:rsidRPr="00687622" w14:paraId="1B022A71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168D4B13" w14:textId="2065BD51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585C981" w14:textId="77777777" w:rsidR="00687622" w:rsidRPr="008E7A36" w:rsidRDefault="00687622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2016-2020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38903D25" w14:textId="37FB1E67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45/179</w:t>
            </w:r>
          </w:p>
          <w:p w14:paraId="108681C5" w14:textId="37CA207F" w:rsidR="00687622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25.1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19-32.2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132D276E" w14:textId="1885E53C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42/179</w:t>
            </w:r>
          </w:p>
          <w:p w14:paraId="464E57AA" w14:textId="63B7FFF1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23.5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17.5-30.4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685F125" w14:textId="2868B08A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13/179</w:t>
            </w:r>
          </w:p>
          <w:p w14:paraId="1B80F0DC" w14:textId="53496743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7.3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3.9-12.1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CA4E849" w14:textId="488756C2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2/179</w:t>
            </w:r>
          </w:p>
          <w:p w14:paraId="1D70137C" w14:textId="0B183E40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1.1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0.1-4.0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687622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FA84327" w14:textId="1FA49A64" w:rsidR="00687622" w:rsidRPr="008E7A36" w:rsidRDefault="00687622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0/1</w:t>
            </w:r>
          </w:p>
          <w:p w14:paraId="25251778" w14:textId="55D539FB" w:rsidR="00687622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687622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687622" w:rsidRPr="008E7A36">
              <w:rPr>
                <w:color w:val="000000"/>
                <w:sz w:val="22"/>
                <w:szCs w:val="22"/>
              </w:rPr>
              <w:t>0.0-97.5</w:t>
            </w:r>
            <w:r w:rsidR="00687622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</w:tr>
      <w:tr w:rsidR="00105F65" w:rsidRPr="0000650E" w14:paraId="67171935" w14:textId="77777777" w:rsidTr="008E7A36">
        <w:trPr>
          <w:trHeight w:val="267"/>
        </w:trPr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14:paraId="5A7DF943" w14:textId="77777777" w:rsidR="0000650E" w:rsidRPr="00407E9A" w:rsidRDefault="0000650E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PWID</w:t>
            </w:r>
          </w:p>
          <w:p w14:paraId="2DD05B34" w14:textId="77777777" w:rsidR="0000650E" w:rsidRPr="00407E9A" w:rsidRDefault="0000650E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  <w:p w14:paraId="2D47A7E4" w14:textId="77777777" w:rsidR="0000650E" w:rsidRPr="00407E9A" w:rsidRDefault="0000650E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14:paraId="3D22EE58" w14:textId="3100B30A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01E6FC7" w14:textId="701E231B" w:rsidR="0000650E" w:rsidRPr="008E7A36" w:rsidRDefault="00AF6069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Before </w:t>
            </w:r>
            <w:r w:rsidR="0000650E" w:rsidRPr="008E7A3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40D96A3A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2AB2D58C" w14:textId="68ECBED9" w:rsidR="00BE7EEC" w:rsidRPr="008E7A36" w:rsidRDefault="00BE7EEC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BD982C6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29B734CD" w14:textId="2BEC5C62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28165C3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747175A2" w14:textId="25A0F67E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1EF2273" w14:textId="7EEBD1D1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</w:t>
            </w:r>
            <w:r w:rsidR="005D3AE9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3FBACDE6" w14:textId="2B1CFFEA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88A0B9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7C79C8BE" w14:textId="12927A12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00650E" w14:paraId="731344F3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7C2EED94" w14:textId="3BFCC78D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F5D331D" w14:textId="77777777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2006-2010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257EAC30" w14:textId="57C452AB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18/58</w:t>
            </w:r>
          </w:p>
          <w:p w14:paraId="07A08050" w14:textId="21A45F76" w:rsidR="0000650E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31.0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19.5-44.5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3672C7E" w14:textId="1F7654E6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1/58</w:t>
            </w:r>
          </w:p>
          <w:p w14:paraId="1822B6CA" w14:textId="19A3B9D3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1.7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0.0-9.2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06CB3522" w14:textId="1625726A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18/58</w:t>
            </w:r>
          </w:p>
          <w:p w14:paraId="3CC21359" w14:textId="35A303F5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31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19.5-44.5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18A2AD78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7C6D076F" w14:textId="1861B1A6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DC31FD0" w14:textId="076481F1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0/58</w:t>
            </w:r>
          </w:p>
          <w:p w14:paraId="41A85D62" w14:textId="7C3245FC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0.0-6.2</w:t>
            </w:r>
            <w:r w:rsidR="0000650E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</w:tr>
      <w:tr w:rsidR="00105F65" w:rsidRPr="0000650E" w14:paraId="47E4C223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45492200" w14:textId="0BDB3104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1AA406E" w14:textId="77777777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2011-2015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32DFBA61" w14:textId="7301B8EE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</w:t>
            </w:r>
            <w:r w:rsidR="0085273B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1B767B0E" w14:textId="21D08CD9" w:rsidR="00BE7EEC" w:rsidRPr="008E7A36" w:rsidRDefault="00BE7EEC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369B51C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2B5B7951" w14:textId="6ACE5271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419739D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6F49D8DD" w14:textId="083DA39A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85D7C1A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7F117837" w14:textId="3FBA09CF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551DA8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5C3DBF67" w14:textId="5F17333F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00650E" w14:paraId="411AE6E6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2DF88BE3" w14:textId="0277DC3B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31B4EC5" w14:textId="77777777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2016-2020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2D9008C6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39A9A419" w14:textId="6F753315" w:rsidR="00BE7EEC" w:rsidRPr="008E7A36" w:rsidRDefault="00BE7EEC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5D6F1A1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3C092654" w14:textId="1BE73288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34B5804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461036C9" w14:textId="0F8A58F6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8C665C9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7712A7CA" w14:textId="498388C5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C7946A4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21BBEA5E" w14:textId="5622B845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00650E" w14:paraId="6C0B6092" w14:textId="77777777" w:rsidTr="008E7A36">
        <w:trPr>
          <w:trHeight w:val="267"/>
        </w:trPr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14:paraId="04645B20" w14:textId="77777777" w:rsidR="0000650E" w:rsidRPr="00407E9A" w:rsidRDefault="0000650E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FSW</w:t>
            </w:r>
          </w:p>
          <w:p w14:paraId="19089E83" w14:textId="77777777" w:rsidR="0000650E" w:rsidRPr="00407E9A" w:rsidRDefault="0000650E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  <w:p w14:paraId="7AB5D0CB" w14:textId="77777777" w:rsidR="0000650E" w:rsidRPr="00407E9A" w:rsidRDefault="0000650E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  <w:p w14:paraId="4018DBB9" w14:textId="2C17E758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4B21DB4" w14:textId="2FB3DB58" w:rsidR="0000650E" w:rsidRPr="008E7A36" w:rsidRDefault="00AF6069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Before </w:t>
            </w:r>
            <w:r w:rsidR="0000650E" w:rsidRPr="008E7A3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102A3F89" w14:textId="718F9DDF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3/20</w:t>
            </w:r>
          </w:p>
          <w:p w14:paraId="3FD426A3" w14:textId="2DA85F16" w:rsidR="0000650E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15.0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3.2-37.9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8DB1A13" w14:textId="5B5FA1C2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1/20</w:t>
            </w:r>
          </w:p>
          <w:p w14:paraId="18842318" w14:textId="7ECD8962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0.1-24.9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043218B" w14:textId="120513D4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2/20</w:t>
            </w:r>
          </w:p>
          <w:p w14:paraId="4A6A9275" w14:textId="67D668B5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1.2-31.7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5817ED9" w14:textId="527C6D5B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3/20</w:t>
            </w:r>
          </w:p>
          <w:p w14:paraId="03EC3DB3" w14:textId="0A7C1201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15.0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3.2-37.9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907C10A" w14:textId="1BB90A26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0/8</w:t>
            </w:r>
          </w:p>
          <w:p w14:paraId="59855B46" w14:textId="24C70E8D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  <w:lang w:val="en-US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  <w:lang w:val="en-US"/>
              </w:rPr>
              <w:t>0.0-36.9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05F65" w:rsidRPr="0000650E" w14:paraId="130D98C4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0B84C092" w14:textId="203DCBFC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EDC5A81" w14:textId="77777777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2006-2010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66891347" w14:textId="45DF8BCD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6/90</w:t>
            </w:r>
          </w:p>
          <w:p w14:paraId="33B573EB" w14:textId="2C0303AD" w:rsidR="0000650E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6.7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2.5-13.9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32CD224" w14:textId="3CA5EC96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3/90</w:t>
            </w:r>
          </w:p>
          <w:p w14:paraId="79868BC3" w14:textId="44720D42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3.3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0.7-9.4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9ACAC21" w14:textId="78962B17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2/90</w:t>
            </w:r>
          </w:p>
          <w:p w14:paraId="3054443B" w14:textId="34001CF3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2.2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0.3-7.8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BCA67E6" w14:textId="155BA868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1/90</w:t>
            </w:r>
          </w:p>
          <w:p w14:paraId="0F009B94" w14:textId="7858541A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1.1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0.0-6.0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5D3903" w14:textId="4FDBCB8A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E7A36">
              <w:rPr>
                <w:color w:val="000000"/>
                <w:sz w:val="22"/>
                <w:szCs w:val="22"/>
                <w:lang w:val="en-US"/>
              </w:rPr>
              <w:t>0/8</w:t>
            </w:r>
          </w:p>
          <w:p w14:paraId="0460DD11" w14:textId="3E1C49AB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  <w:lang w:val="en-US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  <w:lang w:val="en-US"/>
              </w:rPr>
              <w:t>0.0-36.9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05F65" w:rsidRPr="0000650E" w14:paraId="571F3AA3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0BAA448A" w14:textId="07EADCAF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E14117D" w14:textId="77777777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2011-2015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02EFBA76" w14:textId="4D1BFF71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3/10</w:t>
            </w:r>
          </w:p>
          <w:p w14:paraId="41D0F05F" w14:textId="46236DC3" w:rsidR="0000650E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30.0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6.7-65.2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07A24C80" w14:textId="4647EE28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2/10</w:t>
            </w:r>
          </w:p>
          <w:p w14:paraId="785D88C3" w14:textId="50884C1F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20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2.5-55.6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7549EDF" w14:textId="1A56CFBF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1/10</w:t>
            </w:r>
          </w:p>
          <w:p w14:paraId="445F9891" w14:textId="0F6C9560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0.3-44.5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26CDE6D" w14:textId="6CB06FC2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0/10</w:t>
            </w:r>
          </w:p>
          <w:p w14:paraId="459DB6B7" w14:textId="1FF7A895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0.0-30.8</w:t>
            </w:r>
            <w:r w:rsidR="0000650E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A34AF5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4E777062" w14:textId="0D040C95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00650E" w14:paraId="0A2C6002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641973A7" w14:textId="3CFCED5D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F76B1D9" w14:textId="77777777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2016-2020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4791A60D" w14:textId="760E74B0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10/26</w:t>
            </w:r>
          </w:p>
          <w:p w14:paraId="399C20DB" w14:textId="239F7EE6" w:rsidR="0000650E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38.5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20.2-59.4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5A54D1F" w14:textId="363FCCAA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10/26</w:t>
            </w:r>
          </w:p>
          <w:p w14:paraId="218C76C1" w14:textId="489B6C00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38.5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20.2-59.4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4B49172" w14:textId="2C364641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5/26</w:t>
            </w:r>
          </w:p>
          <w:p w14:paraId="3E3C9942" w14:textId="77777777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19.2 (6.6-39.4)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5D04076" w14:textId="4A9897E5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0/26</w:t>
            </w:r>
          </w:p>
          <w:p w14:paraId="1145AD49" w14:textId="604636C5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0.0-13.2</w:t>
            </w:r>
            <w:r w:rsidR="0000650E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A7F764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391588C2" w14:textId="6F63579D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00650E" w14:paraId="637146C7" w14:textId="77777777" w:rsidTr="008E7A36">
        <w:trPr>
          <w:trHeight w:val="267"/>
        </w:trPr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14:paraId="3114A564" w14:textId="77777777" w:rsidR="0000650E" w:rsidRPr="00407E9A" w:rsidRDefault="0000650E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Children</w:t>
            </w:r>
          </w:p>
          <w:p w14:paraId="0019B6E9" w14:textId="77777777" w:rsidR="0000650E" w:rsidRPr="00407E9A" w:rsidRDefault="0000650E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  <w:p w14:paraId="758ACA5B" w14:textId="77777777" w:rsidR="0000650E" w:rsidRPr="00407E9A" w:rsidRDefault="0000650E" w:rsidP="00105F65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  <w:p w14:paraId="636BE4EC" w14:textId="6881EA5C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D3A146A" w14:textId="00B01FA7" w:rsidR="0000650E" w:rsidRPr="008E7A36" w:rsidRDefault="00AF6069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Before </w:t>
            </w:r>
            <w:r w:rsidR="0000650E" w:rsidRPr="008E7A3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782E08D0" w14:textId="42635391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0/4</w:t>
            </w:r>
          </w:p>
          <w:p w14:paraId="1914F965" w14:textId="76D22C51" w:rsidR="0000650E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0.0-60.2</w:t>
            </w:r>
            <w:r w:rsidR="0000650E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4B04579" w14:textId="75E84D07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0/4</w:t>
            </w:r>
          </w:p>
          <w:p w14:paraId="09660C20" w14:textId="0BED4647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0.0-60.2</w:t>
            </w:r>
            <w:r w:rsidR="0000650E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AEBE0F2" w14:textId="2B36D39B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0/4</w:t>
            </w:r>
          </w:p>
          <w:p w14:paraId="36217C08" w14:textId="23F05566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0.0-60.2</w:t>
            </w:r>
            <w:r w:rsidR="0000650E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DA009C3" w14:textId="2D1BFC99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0/3</w:t>
            </w:r>
          </w:p>
          <w:p w14:paraId="3FA342ED" w14:textId="5B528E72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0.0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0.0-70.6</w:t>
            </w:r>
            <w:r w:rsidR="0000650E" w:rsidRPr="008E7A36"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  <w:lang w:val="en-US"/>
              </w:rPr>
              <w:t>])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7B48A5E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754B43B4" w14:textId="512517AC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00650E" w14:paraId="09A2DC53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0BB519D6" w14:textId="289EA51D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DACDC8B" w14:textId="77777777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2006-2010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6D7A8CA8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2B958402" w14:textId="758B3D89" w:rsidR="00BE7EEC" w:rsidRPr="008E7A36" w:rsidRDefault="00BE7EEC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C3A582A" w14:textId="56A08DC9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</w:t>
            </w:r>
            <w:r w:rsidR="005D3AE9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21F60D75" w14:textId="7603E4EC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1E5D43E1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776EF4FA" w14:textId="0E7235FC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BD2CCC0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76B912DA" w14:textId="4E8DCEF3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6CAA20E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35153519" w14:textId="31492847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00650E" w14:paraId="7CFD17FA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47EB0045" w14:textId="73BCE2B1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D761FAD" w14:textId="77777777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2011-2015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57A9E3B2" w14:textId="7F17E048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31/71</w:t>
            </w:r>
          </w:p>
          <w:p w14:paraId="2B91182E" w14:textId="520429E9" w:rsidR="0000650E" w:rsidRPr="008E7A36" w:rsidRDefault="0085273B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43.6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31.9-56.0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859617E" w14:textId="1F601FA3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29/71</w:t>
            </w:r>
          </w:p>
          <w:p w14:paraId="17FE153D" w14:textId="45AA7812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40.8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29.3-53.2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09817F62" w14:textId="5516021B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15/71</w:t>
            </w:r>
          </w:p>
          <w:p w14:paraId="48008B3F" w14:textId="485BAD36" w:rsidR="0000650E" w:rsidRPr="008E7A36" w:rsidRDefault="005D3AE9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 w:rsidR="0000650E" w:rsidRPr="008E7A36">
              <w:rPr>
                <w:color w:val="000000"/>
                <w:sz w:val="22"/>
                <w:szCs w:val="22"/>
              </w:rPr>
              <w:t xml:space="preserve">21.1 </w:t>
            </w: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00650E" w:rsidRPr="008E7A36">
              <w:rPr>
                <w:color w:val="000000"/>
                <w:sz w:val="22"/>
                <w:szCs w:val="22"/>
              </w:rPr>
              <w:t>12.3-32.4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  <w:r w:rsidR="0000650E" w:rsidRPr="008E7A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80073FA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57EAD603" w14:textId="5E9B0A20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FC2037A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67212108" w14:textId="7CE061C3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F65" w:rsidRPr="0000650E" w14:paraId="22C09B23" w14:textId="77777777" w:rsidTr="008E7A36">
        <w:trPr>
          <w:trHeight w:val="267"/>
        </w:trPr>
        <w:tc>
          <w:tcPr>
            <w:tcW w:w="507" w:type="pct"/>
            <w:vMerge/>
            <w:shd w:val="clear" w:color="auto" w:fill="auto"/>
            <w:noWrap/>
            <w:vAlign w:val="center"/>
            <w:hideMark/>
          </w:tcPr>
          <w:p w14:paraId="148DDD7D" w14:textId="3D6761AC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176CE11" w14:textId="77777777" w:rsidR="0000650E" w:rsidRPr="008E7A36" w:rsidRDefault="0000650E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8E7A36">
              <w:rPr>
                <w:color w:val="000000"/>
                <w:sz w:val="22"/>
                <w:szCs w:val="22"/>
              </w:rPr>
              <w:t>2016-2020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060F5E4C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65CC2ADB" w14:textId="42C2792B" w:rsidR="00BE7EEC" w:rsidRPr="008E7A36" w:rsidRDefault="00BE7EEC" w:rsidP="008E7A36">
            <w:pPr>
              <w:snapToGrid w:val="0"/>
              <w:spacing w:after="120" w:line="276" w:lineRule="auto"/>
              <w:contextualSpacing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8EB7F5B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6494F4BD" w14:textId="4E03B401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518C1C58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417DE70E" w14:textId="7F1D6FF6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917B0DC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1615C93F" w14:textId="275D3C43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3AACEAE" w14:textId="77777777" w:rsidR="004C7A9D" w:rsidRPr="00C30892" w:rsidRDefault="004C7A9D" w:rsidP="004C7A9D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(N/A)</w:t>
            </w:r>
          </w:p>
          <w:p w14:paraId="5CD64276" w14:textId="3EDD8E9D" w:rsidR="0000650E" w:rsidRPr="008E7A36" w:rsidRDefault="0000650E" w:rsidP="008E7A36">
            <w:pPr>
              <w:snapToGrid w:val="0"/>
              <w:spacing w:after="120"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A1A1924" w14:textId="77777777" w:rsidR="00597115" w:rsidRDefault="00597115" w:rsidP="00A571F1">
      <w:pPr>
        <w:jc w:val="both"/>
        <w:rPr>
          <w:i/>
          <w:iCs/>
          <w:sz w:val="22"/>
        </w:rPr>
      </w:pPr>
    </w:p>
    <w:p w14:paraId="520C4144" w14:textId="597E373E" w:rsidR="00A571F1" w:rsidRPr="008E7A36" w:rsidRDefault="00A571F1" w:rsidP="00A571F1">
      <w:pPr>
        <w:jc w:val="both"/>
        <w:rPr>
          <w:i/>
          <w:iCs/>
          <w:sz w:val="22"/>
        </w:rPr>
      </w:pPr>
      <w:r w:rsidRPr="008E7A36">
        <w:rPr>
          <w:i/>
          <w:iCs/>
          <w:sz w:val="22"/>
        </w:rPr>
        <w:t>Abbreviations: MSM, men who have sex with men; PWID, people who inject drugs; FSW, female sex worker; HET, at-risk men and women who did not report sex work or male same-sex behaviour; NRTI, nucleoside reverse transcriptase inhibitors; NNRTI, non-nucleoside reverse transcriptase inhibitors; PI, protease inhibitors; INSTI, integrase strand transfer inhibitors.</w:t>
      </w:r>
    </w:p>
    <w:p w14:paraId="3B30A658" w14:textId="77777777" w:rsidR="00A571F1" w:rsidRPr="008E7A36" w:rsidRDefault="00A571F1" w:rsidP="00A571F1">
      <w:pPr>
        <w:rPr>
          <w:i/>
          <w:iCs/>
          <w:sz w:val="22"/>
        </w:rPr>
      </w:pPr>
      <w:r w:rsidRPr="008E7A36">
        <w:rPr>
          <w:i/>
          <w:iCs/>
          <w:sz w:val="22"/>
        </w:rPr>
        <w:t>* One-sided, 97.5% confidence interval.</w:t>
      </w:r>
    </w:p>
    <w:p w14:paraId="546A533C" w14:textId="77777777" w:rsidR="00A571F1" w:rsidRPr="00F45B68" w:rsidRDefault="00A571F1" w:rsidP="00A571F1">
      <w:pPr>
        <w:jc w:val="both"/>
        <w:rPr>
          <w:sz w:val="22"/>
        </w:rPr>
      </w:pPr>
    </w:p>
    <w:p w14:paraId="02A9CE09" w14:textId="77777777" w:rsidR="00F45272" w:rsidRDefault="00F45272" w:rsidP="00172A83"/>
    <w:sectPr w:rsidR="00F45272" w:rsidSect="008E7A3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 Regular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744A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C4C8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AEAA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6C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B242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0A6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6019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0A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0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1AC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D60DBB"/>
    <w:multiLevelType w:val="hybridMultilevel"/>
    <w:tmpl w:val="C80AD978"/>
    <w:lvl w:ilvl="0" w:tplc="79901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96D014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F3FA4D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2D2085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F982B4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09F8EC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AB08ED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163EC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2F926B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11" w15:restartNumberingAfterBreak="0">
    <w:nsid w:val="1637628B"/>
    <w:multiLevelType w:val="hybridMultilevel"/>
    <w:tmpl w:val="9566E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93AFD"/>
    <w:multiLevelType w:val="hybridMultilevel"/>
    <w:tmpl w:val="5EDA4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445A"/>
    <w:multiLevelType w:val="hybridMultilevel"/>
    <w:tmpl w:val="ED84A2EE"/>
    <w:lvl w:ilvl="0" w:tplc="9C7CBA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D6F03"/>
    <w:multiLevelType w:val="hybridMultilevel"/>
    <w:tmpl w:val="24505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5FDE"/>
    <w:multiLevelType w:val="hybridMultilevel"/>
    <w:tmpl w:val="57C48C44"/>
    <w:lvl w:ilvl="0" w:tplc="53F8D5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B5216"/>
    <w:multiLevelType w:val="hybridMultilevel"/>
    <w:tmpl w:val="49CC7A04"/>
    <w:lvl w:ilvl="0" w:tplc="C80E4F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85F27"/>
    <w:multiLevelType w:val="hybridMultilevel"/>
    <w:tmpl w:val="66CCF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16815"/>
    <w:multiLevelType w:val="hybridMultilevel"/>
    <w:tmpl w:val="08DC5F18"/>
    <w:lvl w:ilvl="0" w:tplc="4776F6A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B07AF"/>
    <w:multiLevelType w:val="hybridMultilevel"/>
    <w:tmpl w:val="A790E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56953"/>
    <w:multiLevelType w:val="hybridMultilevel"/>
    <w:tmpl w:val="C8E46170"/>
    <w:lvl w:ilvl="0" w:tplc="94CE4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88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8A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0A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E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0D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0A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2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4D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E270CD"/>
    <w:multiLevelType w:val="hybridMultilevel"/>
    <w:tmpl w:val="160ADE6E"/>
    <w:lvl w:ilvl="0" w:tplc="4906D1A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A0731"/>
    <w:multiLevelType w:val="hybridMultilevel"/>
    <w:tmpl w:val="80280C42"/>
    <w:lvl w:ilvl="0" w:tplc="4DECB4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A1D52"/>
    <w:multiLevelType w:val="hybridMultilevel"/>
    <w:tmpl w:val="FAB24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9856">
    <w:abstractNumId w:val="19"/>
  </w:num>
  <w:num w:numId="2" w16cid:durableId="14580244">
    <w:abstractNumId w:val="14"/>
  </w:num>
  <w:num w:numId="3" w16cid:durableId="685179203">
    <w:abstractNumId w:val="17"/>
  </w:num>
  <w:num w:numId="4" w16cid:durableId="520895789">
    <w:abstractNumId w:val="11"/>
  </w:num>
  <w:num w:numId="5" w16cid:durableId="517696845">
    <w:abstractNumId w:val="23"/>
  </w:num>
  <w:num w:numId="6" w16cid:durableId="1988707012">
    <w:abstractNumId w:val="9"/>
  </w:num>
  <w:num w:numId="7" w16cid:durableId="557127234">
    <w:abstractNumId w:val="7"/>
  </w:num>
  <w:num w:numId="8" w16cid:durableId="449476793">
    <w:abstractNumId w:val="6"/>
  </w:num>
  <w:num w:numId="9" w16cid:durableId="815418697">
    <w:abstractNumId w:val="5"/>
  </w:num>
  <w:num w:numId="10" w16cid:durableId="1052509446">
    <w:abstractNumId w:val="4"/>
  </w:num>
  <w:num w:numId="11" w16cid:durableId="1484272610">
    <w:abstractNumId w:val="8"/>
  </w:num>
  <w:num w:numId="12" w16cid:durableId="902107901">
    <w:abstractNumId w:val="3"/>
  </w:num>
  <w:num w:numId="13" w16cid:durableId="897666713">
    <w:abstractNumId w:val="2"/>
  </w:num>
  <w:num w:numId="14" w16cid:durableId="248782974">
    <w:abstractNumId w:val="1"/>
  </w:num>
  <w:num w:numId="15" w16cid:durableId="804588068">
    <w:abstractNumId w:val="0"/>
  </w:num>
  <w:num w:numId="16" w16cid:durableId="1148017930">
    <w:abstractNumId w:val="20"/>
  </w:num>
  <w:num w:numId="17" w16cid:durableId="465701576">
    <w:abstractNumId w:val="16"/>
  </w:num>
  <w:num w:numId="18" w16cid:durableId="1341078691">
    <w:abstractNumId w:val="12"/>
  </w:num>
  <w:num w:numId="19" w16cid:durableId="2099865803">
    <w:abstractNumId w:val="10"/>
  </w:num>
  <w:num w:numId="20" w16cid:durableId="2075079081">
    <w:abstractNumId w:val="18"/>
  </w:num>
  <w:num w:numId="21" w16cid:durableId="1402405245">
    <w:abstractNumId w:val="21"/>
  </w:num>
  <w:num w:numId="22" w16cid:durableId="1416704519">
    <w:abstractNumId w:val="22"/>
  </w:num>
  <w:num w:numId="23" w16cid:durableId="2120559503">
    <w:abstractNumId w:val="13"/>
  </w:num>
  <w:num w:numId="24" w16cid:durableId="11577217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F1"/>
    <w:rsid w:val="0000650E"/>
    <w:rsid w:val="000371BB"/>
    <w:rsid w:val="00095A0F"/>
    <w:rsid w:val="000B1262"/>
    <w:rsid w:val="000C4380"/>
    <w:rsid w:val="00105F65"/>
    <w:rsid w:val="0011469C"/>
    <w:rsid w:val="00150769"/>
    <w:rsid w:val="00166CD0"/>
    <w:rsid w:val="00172A83"/>
    <w:rsid w:val="001845DC"/>
    <w:rsid w:val="001E6557"/>
    <w:rsid w:val="00206B5E"/>
    <w:rsid w:val="002106D0"/>
    <w:rsid w:val="002210DA"/>
    <w:rsid w:val="0023605F"/>
    <w:rsid w:val="002360BE"/>
    <w:rsid w:val="00242EA8"/>
    <w:rsid w:val="00312FCF"/>
    <w:rsid w:val="0032471E"/>
    <w:rsid w:val="00361558"/>
    <w:rsid w:val="003655BA"/>
    <w:rsid w:val="003A1C9E"/>
    <w:rsid w:val="003A5574"/>
    <w:rsid w:val="003B3519"/>
    <w:rsid w:val="003D7175"/>
    <w:rsid w:val="00407E9A"/>
    <w:rsid w:val="00435A6C"/>
    <w:rsid w:val="004461C4"/>
    <w:rsid w:val="004A74C7"/>
    <w:rsid w:val="004C4517"/>
    <w:rsid w:val="004C7A9D"/>
    <w:rsid w:val="004E7A76"/>
    <w:rsid w:val="0053441A"/>
    <w:rsid w:val="00534607"/>
    <w:rsid w:val="00597115"/>
    <w:rsid w:val="005A2712"/>
    <w:rsid w:val="005A521C"/>
    <w:rsid w:val="005A67D1"/>
    <w:rsid w:val="005D3AE9"/>
    <w:rsid w:val="00687622"/>
    <w:rsid w:val="007929EB"/>
    <w:rsid w:val="007C5584"/>
    <w:rsid w:val="007F23DD"/>
    <w:rsid w:val="008304F5"/>
    <w:rsid w:val="0083535B"/>
    <w:rsid w:val="008405A8"/>
    <w:rsid w:val="00851011"/>
    <w:rsid w:val="0085273B"/>
    <w:rsid w:val="00872A48"/>
    <w:rsid w:val="00886422"/>
    <w:rsid w:val="008E7A36"/>
    <w:rsid w:val="008F5927"/>
    <w:rsid w:val="00930FF7"/>
    <w:rsid w:val="009355EC"/>
    <w:rsid w:val="00936BC5"/>
    <w:rsid w:val="009840BF"/>
    <w:rsid w:val="00A571F1"/>
    <w:rsid w:val="00A707BB"/>
    <w:rsid w:val="00A877DE"/>
    <w:rsid w:val="00AA6113"/>
    <w:rsid w:val="00AE1AD0"/>
    <w:rsid w:val="00AE52CA"/>
    <w:rsid w:val="00AE645F"/>
    <w:rsid w:val="00AF0F14"/>
    <w:rsid w:val="00AF6069"/>
    <w:rsid w:val="00B232EB"/>
    <w:rsid w:val="00BA11EF"/>
    <w:rsid w:val="00BB3B20"/>
    <w:rsid w:val="00BB4294"/>
    <w:rsid w:val="00BE2EFC"/>
    <w:rsid w:val="00BE4CDA"/>
    <w:rsid w:val="00BE7EEC"/>
    <w:rsid w:val="00C16D4C"/>
    <w:rsid w:val="00C35554"/>
    <w:rsid w:val="00CA7672"/>
    <w:rsid w:val="00CB36BA"/>
    <w:rsid w:val="00D00A76"/>
    <w:rsid w:val="00D56783"/>
    <w:rsid w:val="00D60ED4"/>
    <w:rsid w:val="00D61C87"/>
    <w:rsid w:val="00DC3416"/>
    <w:rsid w:val="00E10B2D"/>
    <w:rsid w:val="00E1723B"/>
    <w:rsid w:val="00E915F0"/>
    <w:rsid w:val="00EF1674"/>
    <w:rsid w:val="00F45272"/>
    <w:rsid w:val="00F515B5"/>
    <w:rsid w:val="00F7034B"/>
    <w:rsid w:val="00F709DB"/>
    <w:rsid w:val="00F82138"/>
    <w:rsid w:val="00F845FA"/>
    <w:rsid w:val="00FC4B9A"/>
    <w:rsid w:val="00FD4AFD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E2995"/>
  <w15:chartTrackingRefBased/>
  <w15:docId w15:val="{4C67CEF3-298A-D640-B1B3-CE928987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7115"/>
    <w:pPr>
      <w:keepNext/>
      <w:keepLines/>
      <w:spacing w:line="276" w:lineRule="auto"/>
      <w:jc w:val="both"/>
      <w:outlineLvl w:val="0"/>
    </w:pPr>
    <w:rPr>
      <w:rFonts w:ascii="Times" w:eastAsiaTheme="majorEastAsia" w:hAnsi="Times"/>
      <w:b/>
      <w:color w:val="000000" w:themeColor="text1"/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1F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115"/>
    <w:rPr>
      <w:rFonts w:ascii="Times" w:eastAsiaTheme="majorEastAsia" w:hAnsi="Times" w:cs="Times New Roman"/>
      <w:b/>
      <w:color w:val="000000" w:themeColor="text1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571F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Style10">
    <w:name w:val="Style10"/>
    <w:basedOn w:val="Normal"/>
    <w:link w:val="Style10Char"/>
    <w:autoRedefine/>
    <w:qFormat/>
    <w:rsid w:val="00A571F1"/>
    <w:pPr>
      <w:autoSpaceDE w:val="0"/>
      <w:autoSpaceDN w:val="0"/>
      <w:adjustRightInd w:val="0"/>
      <w:jc w:val="both"/>
    </w:pPr>
    <w:rPr>
      <w:rFonts w:eastAsiaTheme="minorHAnsi"/>
      <w:lang w:val="en-GB" w:eastAsia="en-US"/>
    </w:rPr>
  </w:style>
  <w:style w:type="character" w:customStyle="1" w:styleId="Style10Char">
    <w:name w:val="Style10 Char"/>
    <w:basedOn w:val="DefaultParagraphFont"/>
    <w:link w:val="Style10"/>
    <w:rsid w:val="00A571F1"/>
    <w:rPr>
      <w:rFonts w:ascii="Times New Roman" w:hAnsi="Times New Roman" w:cs="Times New Roman"/>
      <w:lang w:val="en-GB"/>
    </w:rPr>
  </w:style>
  <w:style w:type="character" w:styleId="LineNumber">
    <w:name w:val="line number"/>
    <w:basedOn w:val="DefaultParagraphFont"/>
    <w:uiPriority w:val="99"/>
    <w:unhideWhenUsed/>
    <w:qFormat/>
    <w:rsid w:val="00A571F1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571F1"/>
    <w:pPr>
      <w:spacing w:after="160" w:line="259" w:lineRule="auto"/>
      <w:ind w:left="720"/>
      <w:contextualSpacing/>
    </w:pPr>
    <w:rPr>
      <w:rFonts w:eastAsiaTheme="minorHAnsi" w:cstheme="minorBidi"/>
      <w:szCs w:val="22"/>
      <w:lang w:val="en-GB" w:eastAsia="en-US"/>
    </w:rPr>
  </w:style>
  <w:style w:type="paragraph" w:customStyle="1" w:styleId="EndNoteBibliography">
    <w:name w:val="EndNote Bibliography"/>
    <w:basedOn w:val="Normal"/>
    <w:link w:val="EndNoteBibliographyChar"/>
    <w:rsid w:val="00A571F1"/>
    <w:pPr>
      <w:spacing w:after="160"/>
      <w:jc w:val="both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571F1"/>
    <w:rPr>
      <w:rFonts w:ascii="Calibri" w:hAnsi="Calibri" w:cs="Calibri"/>
      <w:noProof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571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1F1"/>
    <w:rPr>
      <w:color w:val="954F72" w:themeColor="followedHyperlink"/>
      <w:u w:val="single"/>
    </w:rPr>
  </w:style>
  <w:style w:type="paragraph" w:customStyle="1" w:styleId="Default">
    <w:name w:val="Default"/>
    <w:rsid w:val="00A571F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table" w:styleId="TableGrid">
    <w:name w:val="Table Grid"/>
    <w:basedOn w:val="TableNormal"/>
    <w:uiPriority w:val="39"/>
    <w:rsid w:val="00A571F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571F1"/>
    <w:rPr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571F1"/>
    <w:rPr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571F1"/>
    <w:rPr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571F1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A571F1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urful">
    <w:name w:val="List Table 7 Colorful"/>
    <w:basedOn w:val="TableNormal"/>
    <w:uiPriority w:val="52"/>
    <w:rsid w:val="00A571F1"/>
    <w:rPr>
      <w:color w:val="000000" w:themeColor="text1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A571F1"/>
    <w:rPr>
      <w:sz w:val="22"/>
      <w:szCs w:val="22"/>
      <w:lang w:val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e1">
    <w:name w:val="Style1"/>
    <w:basedOn w:val="Normal"/>
    <w:qFormat/>
    <w:rsid w:val="00A571F1"/>
    <w:pPr>
      <w:widowControl w:val="0"/>
      <w:tabs>
        <w:tab w:val="center" w:pos="4513"/>
      </w:tabs>
      <w:spacing w:line="480" w:lineRule="auto"/>
      <w:jc w:val="both"/>
      <w:outlineLvl w:val="0"/>
    </w:pPr>
    <w:rPr>
      <w:rFonts w:eastAsiaTheme="majorEastAsia"/>
      <w:b/>
      <w:lang w:val="en-GB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A571F1"/>
    <w:pPr>
      <w:spacing w:line="360" w:lineRule="auto"/>
      <w:jc w:val="center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571F1"/>
    <w:rPr>
      <w:rFonts w:ascii="Calibri" w:hAnsi="Calibri" w:cs="Calibri"/>
      <w:noProof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571F1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571F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571F1"/>
    <w:pPr>
      <w:tabs>
        <w:tab w:val="center" w:pos="4513"/>
        <w:tab w:val="right" w:pos="9026"/>
      </w:tabs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571F1"/>
    <w:rPr>
      <w:rFonts w:ascii="Times New Roman" w:hAnsi="Times New Roman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71F1"/>
    <w:pPr>
      <w:tabs>
        <w:tab w:val="center" w:pos="4513"/>
        <w:tab w:val="right" w:pos="9026"/>
      </w:tabs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71F1"/>
    <w:rPr>
      <w:rFonts w:ascii="Times New Roman" w:hAnsi="Times New Roman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1F1"/>
    <w:pPr>
      <w:spacing w:after="160"/>
      <w:jc w:val="both"/>
    </w:pPr>
    <w:rPr>
      <w:rFonts w:eastAsia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1F1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1F1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1F1"/>
    <w:pPr>
      <w:jc w:val="both"/>
    </w:pPr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F1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571F1"/>
    <w:rPr>
      <w:rFonts w:ascii="Times New Roman" w:hAnsi="Times New Roman"/>
      <w:szCs w:val="22"/>
      <w:lang w:val="en-GB"/>
    </w:rPr>
  </w:style>
  <w:style w:type="paragraph" w:styleId="NoSpacing">
    <w:name w:val="No Spacing"/>
    <w:uiPriority w:val="1"/>
    <w:qFormat/>
    <w:rsid w:val="00A571F1"/>
    <w:rPr>
      <w:sz w:val="22"/>
      <w:szCs w:val="22"/>
      <w:lang w:val="en-GB"/>
    </w:rPr>
  </w:style>
  <w:style w:type="paragraph" w:customStyle="1" w:styleId="msonormal0">
    <w:name w:val="msonormal"/>
    <w:basedOn w:val="Normal"/>
    <w:rsid w:val="00A571F1"/>
    <w:pPr>
      <w:spacing w:before="100" w:beforeAutospacing="1" w:after="100" w:afterAutospacing="1"/>
    </w:pPr>
    <w:rPr>
      <w:lang w:val="en-GB"/>
    </w:rPr>
  </w:style>
  <w:style w:type="paragraph" w:customStyle="1" w:styleId="xl66">
    <w:name w:val="xl66"/>
    <w:basedOn w:val="Normal"/>
    <w:rsid w:val="00A571F1"/>
    <w:pPr>
      <w:spacing w:before="100" w:beforeAutospacing="1" w:after="100" w:afterAutospacing="1"/>
    </w:pPr>
    <w:rPr>
      <w:lang w:val="en-GB"/>
    </w:rPr>
  </w:style>
  <w:style w:type="paragraph" w:customStyle="1" w:styleId="xl67">
    <w:name w:val="xl67"/>
    <w:basedOn w:val="Normal"/>
    <w:rsid w:val="00A571F1"/>
    <w:pPr>
      <w:spacing w:before="100" w:beforeAutospacing="1" w:after="100" w:afterAutospacing="1"/>
    </w:pPr>
    <w:rPr>
      <w:b/>
      <w:bCs/>
      <w:lang w:val="en-GB"/>
    </w:rPr>
  </w:style>
  <w:style w:type="paragraph" w:customStyle="1" w:styleId="xl68">
    <w:name w:val="xl68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/>
    </w:rPr>
  </w:style>
  <w:style w:type="paragraph" w:customStyle="1" w:styleId="xl69">
    <w:name w:val="xl69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/>
    </w:rPr>
  </w:style>
  <w:style w:type="paragraph" w:customStyle="1" w:styleId="xl70">
    <w:name w:val="xl70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/>
    </w:rPr>
  </w:style>
  <w:style w:type="paragraph" w:customStyle="1" w:styleId="xl71">
    <w:name w:val="xl71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/>
    </w:rPr>
  </w:style>
  <w:style w:type="paragraph" w:customStyle="1" w:styleId="xl72">
    <w:name w:val="xl72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/>
    </w:rPr>
  </w:style>
  <w:style w:type="paragraph" w:customStyle="1" w:styleId="xl73">
    <w:name w:val="xl73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472C4"/>
      <w:lang w:val="en-GB"/>
    </w:rPr>
  </w:style>
  <w:style w:type="paragraph" w:customStyle="1" w:styleId="xl74">
    <w:name w:val="xl74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GB"/>
    </w:rPr>
  </w:style>
  <w:style w:type="paragraph" w:customStyle="1" w:styleId="xl75">
    <w:name w:val="xl75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GB"/>
    </w:rPr>
  </w:style>
  <w:style w:type="paragraph" w:customStyle="1" w:styleId="xl76">
    <w:name w:val="xl76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en-GB"/>
    </w:rPr>
  </w:style>
  <w:style w:type="paragraph" w:customStyle="1" w:styleId="xl77">
    <w:name w:val="xl77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lang w:val="en-GB"/>
    </w:rPr>
  </w:style>
  <w:style w:type="paragraph" w:customStyle="1" w:styleId="xl78">
    <w:name w:val="xl78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en-GB"/>
    </w:rPr>
  </w:style>
  <w:style w:type="paragraph" w:customStyle="1" w:styleId="xl79">
    <w:name w:val="xl79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</w:pPr>
    <w:rPr>
      <w:lang w:val="en-GB"/>
    </w:rPr>
  </w:style>
  <w:style w:type="paragraph" w:customStyle="1" w:styleId="xl80">
    <w:name w:val="xl80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en-GB"/>
    </w:rPr>
  </w:style>
  <w:style w:type="paragraph" w:customStyle="1" w:styleId="xl81">
    <w:name w:val="xl81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/>
    </w:pPr>
    <w:rPr>
      <w:lang w:val="en-GB"/>
    </w:rPr>
  </w:style>
  <w:style w:type="paragraph" w:customStyle="1" w:styleId="xl82">
    <w:name w:val="xl82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lang w:val="en-GB"/>
    </w:rPr>
  </w:style>
  <w:style w:type="paragraph" w:customStyle="1" w:styleId="xl83">
    <w:name w:val="xl83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lang w:val="en-GB"/>
    </w:rPr>
  </w:style>
  <w:style w:type="paragraph" w:customStyle="1" w:styleId="xl84">
    <w:name w:val="xl84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lang w:val="en-GB"/>
    </w:rPr>
  </w:style>
  <w:style w:type="paragraph" w:customStyle="1" w:styleId="xl85">
    <w:name w:val="xl85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lang w:val="en-GB"/>
    </w:rPr>
  </w:style>
  <w:style w:type="paragraph" w:customStyle="1" w:styleId="xl86">
    <w:name w:val="xl86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A571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71F1"/>
    <w:rPr>
      <w:color w:val="605E5C"/>
      <w:shd w:val="clear" w:color="auto" w:fill="E1DFDD"/>
    </w:rPr>
  </w:style>
  <w:style w:type="paragraph" w:customStyle="1" w:styleId="xl65">
    <w:name w:val="xl65"/>
    <w:basedOn w:val="Normal"/>
    <w:rsid w:val="00A571F1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87">
    <w:name w:val="xl87"/>
    <w:basedOn w:val="Normal"/>
    <w:rsid w:val="00A57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en-GB"/>
    </w:rPr>
  </w:style>
  <w:style w:type="paragraph" w:customStyle="1" w:styleId="xl88">
    <w:name w:val="xl88"/>
    <w:basedOn w:val="Normal"/>
    <w:rsid w:val="00A57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en-GB"/>
    </w:rPr>
  </w:style>
  <w:style w:type="paragraph" w:customStyle="1" w:styleId="xl89">
    <w:name w:val="xl89"/>
    <w:basedOn w:val="Normal"/>
    <w:rsid w:val="00A57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GB"/>
    </w:rPr>
  </w:style>
  <w:style w:type="paragraph" w:customStyle="1" w:styleId="xl90">
    <w:name w:val="xl90"/>
    <w:basedOn w:val="Normal"/>
    <w:rsid w:val="00A571F1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91">
    <w:name w:val="xl91"/>
    <w:basedOn w:val="Normal"/>
    <w:rsid w:val="00A571F1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92">
    <w:name w:val="xl92"/>
    <w:basedOn w:val="Normal"/>
    <w:rsid w:val="00A571F1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93">
    <w:name w:val="xl93"/>
    <w:basedOn w:val="Normal"/>
    <w:rsid w:val="00A571F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lang w:val="en-GB"/>
    </w:rPr>
  </w:style>
  <w:style w:type="paragraph" w:customStyle="1" w:styleId="xl94">
    <w:name w:val="xl94"/>
    <w:basedOn w:val="Normal"/>
    <w:rsid w:val="00A571F1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95">
    <w:name w:val="xl95"/>
    <w:basedOn w:val="Normal"/>
    <w:rsid w:val="00A571F1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96">
    <w:name w:val="xl96"/>
    <w:basedOn w:val="Normal"/>
    <w:rsid w:val="00A571F1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97">
    <w:name w:val="xl97"/>
    <w:basedOn w:val="Normal"/>
    <w:rsid w:val="00A571F1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98">
    <w:name w:val="xl98"/>
    <w:basedOn w:val="Normal"/>
    <w:rsid w:val="00A571F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5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Makau Nduva</dc:creator>
  <cp:keywords/>
  <dc:description/>
  <cp:lastModifiedBy>Amin Hassan</cp:lastModifiedBy>
  <cp:revision>3</cp:revision>
  <dcterms:created xsi:type="dcterms:W3CDTF">2023-03-20T11:05:00Z</dcterms:created>
  <dcterms:modified xsi:type="dcterms:W3CDTF">2023-03-20T18:56:00Z</dcterms:modified>
</cp:coreProperties>
</file>