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9AFD9" w14:textId="2CDB1F4C" w:rsidR="00142B70" w:rsidRPr="00F97CAA" w:rsidRDefault="00142B70" w:rsidP="00F97CAA">
      <w:pPr>
        <w:rPr>
          <w:b/>
          <w:bCs/>
          <w:sz w:val="32"/>
          <w:szCs w:val="32"/>
        </w:rPr>
      </w:pPr>
      <w:r w:rsidRPr="00F97CAA">
        <w:rPr>
          <w:b/>
          <w:bCs/>
          <w:sz w:val="32"/>
          <w:szCs w:val="32"/>
        </w:rPr>
        <w:t>Supplementary material</w:t>
      </w:r>
      <w:r w:rsidRPr="00F97CAA">
        <w:rPr>
          <w:b/>
          <w:bCs/>
          <w:sz w:val="32"/>
          <w:szCs w:val="32"/>
        </w:rPr>
        <w:br w:type="page"/>
      </w:r>
    </w:p>
    <w:p w14:paraId="54C8CD27" w14:textId="77777777" w:rsidR="006010D6" w:rsidRPr="00F97CAA" w:rsidRDefault="006010D6" w:rsidP="00F97CAA">
      <w:pPr>
        <w:rPr>
          <w:b/>
          <w:bCs/>
          <w:lang w:val="en-NZ"/>
        </w:rPr>
      </w:pPr>
      <w:bookmarkStart w:id="0" w:name="_Toc108513337"/>
      <w:bookmarkStart w:id="1" w:name="_Toc108515232"/>
      <w:bookmarkStart w:id="2" w:name="_Ref97636942"/>
      <w:bookmarkStart w:id="3" w:name="_Toc98432088"/>
      <w:r w:rsidRPr="00F97CAA">
        <w:rPr>
          <w:b/>
          <w:bCs/>
          <w:lang w:val="en-NZ"/>
        </w:rPr>
        <w:lastRenderedPageBreak/>
        <w:t xml:space="preserve">Figure S1. </w:t>
      </w:r>
      <w:bookmarkEnd w:id="0"/>
      <w:r w:rsidRPr="00F97CAA">
        <w:rPr>
          <w:b/>
          <w:bCs/>
          <w:lang w:val="en-NZ"/>
        </w:rPr>
        <w:t>Tobacco and vaping life history Markov model</w:t>
      </w:r>
      <w:bookmarkEnd w:id="1"/>
      <w:r w:rsidRPr="00F97CAA">
        <w:rPr>
          <w:b/>
          <w:bCs/>
          <w:lang w:val="en-NZ"/>
        </w:rPr>
        <w:t xml:space="preserve"> </w:t>
      </w:r>
    </w:p>
    <w:bookmarkEnd w:id="2"/>
    <w:bookmarkEnd w:id="3"/>
    <w:p w14:paraId="36733ABE" w14:textId="77777777" w:rsidR="006010D6" w:rsidRPr="00BA2610" w:rsidRDefault="006010D6" w:rsidP="006010D6">
      <w:pPr>
        <w:jc w:val="center"/>
      </w:pPr>
      <w:r>
        <w:rPr>
          <w:noProof/>
          <w:lang w:val="en-US"/>
        </w:rPr>
        <w:drawing>
          <wp:inline distT="0" distB="0" distL="0" distR="0" wp14:anchorId="1F466D4C" wp14:editId="6BDBC4B0">
            <wp:extent cx="4273550" cy="3810635"/>
            <wp:effectExtent l="0" t="0" r="0" b="0"/>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3550" cy="3810635"/>
                    </a:xfrm>
                    <a:prstGeom prst="rect">
                      <a:avLst/>
                    </a:prstGeom>
                    <a:noFill/>
                  </pic:spPr>
                </pic:pic>
              </a:graphicData>
            </a:graphic>
          </wp:inline>
        </w:drawing>
      </w:r>
    </w:p>
    <w:p w14:paraId="7DA1623D" w14:textId="77777777" w:rsidR="006010D6" w:rsidRPr="00643CF7" w:rsidRDefault="006010D6" w:rsidP="006010D6">
      <w:pPr>
        <w:rPr>
          <w:lang w:val="en-GB"/>
        </w:rPr>
      </w:pPr>
      <w:r w:rsidRPr="00643CF7">
        <w:rPr>
          <w:lang w:val="en-GB"/>
        </w:rPr>
        <w:t>NS = never smoker, CS = current smoker, FS &amp; FV = former smoker and former vaper; NSCV = never smoker current vaper; DU = dual user; FSCV = former smoker current vaper; NSFV = never smoker former vaper.</w:t>
      </w:r>
    </w:p>
    <w:p w14:paraId="4CA3DBD5" w14:textId="77777777" w:rsidR="006010D6" w:rsidRDefault="006010D6" w:rsidP="006010D6">
      <w:pPr>
        <w:rPr>
          <w:lang w:val="en-GB"/>
        </w:rPr>
        <w:sectPr w:rsidR="006010D6">
          <w:pgSz w:w="11906" w:h="16838"/>
          <w:pgMar w:top="1440" w:right="1440" w:bottom="1440" w:left="1440" w:header="708" w:footer="708" w:gutter="0"/>
          <w:cols w:space="708"/>
          <w:docGrid w:linePitch="360"/>
        </w:sectPr>
      </w:pPr>
    </w:p>
    <w:p w14:paraId="45354DD9" w14:textId="77777777" w:rsidR="006010D6" w:rsidRDefault="006010D6" w:rsidP="006010D6">
      <w:pPr>
        <w:rPr>
          <w:lang w:val="en-GB"/>
        </w:rPr>
        <w:sectPr w:rsidR="006010D6" w:rsidSect="006010D6">
          <w:type w:val="continuous"/>
          <w:pgSz w:w="11906" w:h="16838"/>
          <w:pgMar w:top="1440" w:right="1440" w:bottom="1440" w:left="1440" w:header="708" w:footer="708" w:gutter="0"/>
          <w:cols w:space="708"/>
          <w:docGrid w:linePitch="360"/>
        </w:sectPr>
      </w:pPr>
    </w:p>
    <w:p w14:paraId="3342A87C" w14:textId="42DA0716" w:rsidR="006010D6" w:rsidRPr="00F97CAA" w:rsidRDefault="006010D6" w:rsidP="00F97CAA">
      <w:pPr>
        <w:rPr>
          <w:b/>
          <w:bCs/>
          <w:lang w:val="en-GB"/>
        </w:rPr>
      </w:pPr>
      <w:r w:rsidRPr="00F97CAA">
        <w:rPr>
          <w:b/>
          <w:bCs/>
          <w:lang w:val="en-GB"/>
        </w:rPr>
        <w:lastRenderedPageBreak/>
        <w:t>Table S1. Intervention input parameters</w:t>
      </w:r>
      <w:r w:rsidR="00394C12" w:rsidRPr="00F97CAA">
        <w:rPr>
          <w:b/>
          <w:bCs/>
          <w:lang w:val="en-GB"/>
        </w:rPr>
        <w:t>*</w:t>
      </w:r>
    </w:p>
    <w:tbl>
      <w:tblPr>
        <w:tblStyle w:val="TableGrid"/>
        <w:tblW w:w="5000" w:type="pct"/>
        <w:tblLook w:val="04A0" w:firstRow="1" w:lastRow="0" w:firstColumn="1" w:lastColumn="0" w:noHBand="0" w:noVBand="1"/>
      </w:tblPr>
      <w:tblGrid>
        <w:gridCol w:w="3754"/>
        <w:gridCol w:w="5488"/>
      </w:tblGrid>
      <w:tr w:rsidR="006010D6" w:rsidRPr="009B04D2" w14:paraId="05AFD5CE" w14:textId="77777777" w:rsidTr="00AF2C25">
        <w:trPr>
          <w:trHeight w:val="238"/>
          <w:tblHeader/>
        </w:trPr>
        <w:tc>
          <w:tcPr>
            <w:tcW w:w="2031" w:type="pct"/>
            <w:shd w:val="clear" w:color="auto" w:fill="D9D9D9" w:themeFill="background1" w:themeFillShade="D9"/>
          </w:tcPr>
          <w:p w14:paraId="4BD4FF75" w14:textId="77777777" w:rsidR="006010D6" w:rsidRPr="009B04D2" w:rsidRDefault="006010D6" w:rsidP="00AF2C25">
            <w:pPr>
              <w:rPr>
                <w:b/>
                <w:color w:val="000000" w:themeColor="text1"/>
                <w:sz w:val="20"/>
                <w:lang w:val="en-GB"/>
              </w:rPr>
            </w:pPr>
            <w:r w:rsidRPr="009B04D2">
              <w:rPr>
                <w:b/>
                <w:color w:val="000000" w:themeColor="text1"/>
                <w:sz w:val="20"/>
                <w:lang w:val="en-GB"/>
              </w:rPr>
              <w:t>Parameter</w:t>
            </w:r>
          </w:p>
        </w:tc>
        <w:tc>
          <w:tcPr>
            <w:tcW w:w="2969" w:type="pct"/>
            <w:shd w:val="clear" w:color="auto" w:fill="D9D9D9" w:themeFill="background1" w:themeFillShade="D9"/>
          </w:tcPr>
          <w:p w14:paraId="4559160D" w14:textId="77777777" w:rsidR="006010D6" w:rsidRPr="009B04D2" w:rsidRDefault="006010D6" w:rsidP="00AF2C25">
            <w:pPr>
              <w:rPr>
                <w:b/>
                <w:color w:val="000000" w:themeColor="text1"/>
                <w:sz w:val="20"/>
                <w:lang w:val="en-GB"/>
              </w:rPr>
            </w:pPr>
            <w:r w:rsidRPr="009B04D2">
              <w:rPr>
                <w:b/>
                <w:color w:val="000000" w:themeColor="text1"/>
                <w:sz w:val="20"/>
                <w:lang w:val="en-GB"/>
              </w:rPr>
              <w:t>Description</w:t>
            </w:r>
          </w:p>
        </w:tc>
      </w:tr>
      <w:tr w:rsidR="006010D6" w:rsidRPr="009B04D2" w14:paraId="2418F38A" w14:textId="77777777" w:rsidTr="00AF2C25">
        <w:trPr>
          <w:trHeight w:val="238"/>
        </w:trPr>
        <w:tc>
          <w:tcPr>
            <w:tcW w:w="5000" w:type="pct"/>
            <w:gridSpan w:val="2"/>
            <w:shd w:val="clear" w:color="auto" w:fill="F2F2F2" w:themeFill="background1" w:themeFillShade="F2"/>
          </w:tcPr>
          <w:p w14:paraId="45A9F496" w14:textId="77777777" w:rsidR="006010D6" w:rsidRPr="009B04D2" w:rsidDel="005367D8" w:rsidRDefault="006010D6" w:rsidP="00AF2C25">
            <w:pPr>
              <w:spacing w:before="40" w:after="80"/>
              <w:rPr>
                <w:b/>
                <w:bCs/>
                <w:color w:val="000000" w:themeColor="text1"/>
                <w:sz w:val="20"/>
                <w:lang w:val="en-GB"/>
              </w:rPr>
            </w:pPr>
            <w:r w:rsidRPr="009B04D2">
              <w:rPr>
                <w:b/>
                <w:bCs/>
                <w:i/>
                <w:color w:val="000000" w:themeColor="text1"/>
                <w:sz w:val="20"/>
                <w:lang w:val="en-GB"/>
              </w:rPr>
              <w:t>Denicotinisation</w:t>
            </w:r>
          </w:p>
        </w:tc>
      </w:tr>
      <w:tr w:rsidR="006010D6" w:rsidRPr="009B04D2" w14:paraId="298E476D" w14:textId="77777777" w:rsidTr="00AF2C25">
        <w:tc>
          <w:tcPr>
            <w:tcW w:w="2031" w:type="pct"/>
            <w:shd w:val="clear" w:color="auto" w:fill="FFFFFF" w:themeFill="background1"/>
          </w:tcPr>
          <w:p w14:paraId="6C43AED3" w14:textId="77777777" w:rsidR="006010D6" w:rsidRPr="009B04D2" w:rsidRDefault="006010D6" w:rsidP="00AF2C25">
            <w:pPr>
              <w:rPr>
                <w:color w:val="000000" w:themeColor="text1"/>
                <w:sz w:val="20"/>
                <w:lang w:val="en-GB"/>
              </w:rPr>
            </w:pPr>
            <w:r w:rsidRPr="009B04D2">
              <w:rPr>
                <w:color w:val="000000" w:themeColor="text1"/>
                <w:sz w:val="20"/>
                <w:lang w:val="en-GB"/>
              </w:rPr>
              <w:t>NS</w:t>
            </w:r>
            <w:r w:rsidRPr="009B04D2">
              <w:rPr>
                <w:rFonts w:ascii="Wingdings" w:hAnsi="Wingdings"/>
                <w:color w:val="000000" w:themeColor="text1"/>
                <w:sz w:val="20"/>
                <w:lang w:val="en-GB"/>
              </w:rPr>
              <w:t></w:t>
            </w:r>
            <w:r w:rsidRPr="009B04D2">
              <w:rPr>
                <w:color w:val="000000" w:themeColor="text1"/>
                <w:sz w:val="20"/>
                <w:lang w:val="en-GB"/>
              </w:rPr>
              <w:t xml:space="preserve"> CS (age 20 only) </w:t>
            </w:r>
          </w:p>
          <w:p w14:paraId="7B96CF9B" w14:textId="77777777" w:rsidR="006010D6" w:rsidRPr="009B04D2" w:rsidRDefault="006010D6" w:rsidP="00AF2C25">
            <w:pPr>
              <w:rPr>
                <w:color w:val="000000" w:themeColor="text1"/>
                <w:sz w:val="20"/>
                <w:lang w:val="en-GB"/>
              </w:rPr>
            </w:pPr>
            <w:r w:rsidRPr="009B04D2">
              <w:rPr>
                <w:color w:val="000000" w:themeColor="text1"/>
                <w:sz w:val="20"/>
                <w:lang w:val="en-GB"/>
              </w:rPr>
              <w:t>NS</w:t>
            </w:r>
            <w:r w:rsidRPr="009B04D2">
              <w:rPr>
                <w:rFonts w:ascii="Wingdings" w:hAnsi="Wingdings"/>
                <w:color w:val="000000" w:themeColor="text1"/>
                <w:sz w:val="20"/>
                <w:lang w:val="en-GB"/>
              </w:rPr>
              <w:t></w:t>
            </w:r>
            <w:r w:rsidRPr="009B04D2">
              <w:rPr>
                <w:color w:val="000000" w:themeColor="text1"/>
                <w:sz w:val="20"/>
                <w:lang w:val="en-GB"/>
              </w:rPr>
              <w:t xml:space="preserve"> DU (age 20 only)</w:t>
            </w:r>
          </w:p>
        </w:tc>
        <w:tc>
          <w:tcPr>
            <w:tcW w:w="2969" w:type="pct"/>
            <w:shd w:val="clear" w:color="auto" w:fill="auto"/>
          </w:tcPr>
          <w:p w14:paraId="63A7705B" w14:textId="77777777" w:rsidR="006010D6" w:rsidRPr="009B04D2" w:rsidRDefault="006010D6" w:rsidP="00AF2C25">
            <w:pPr>
              <w:spacing w:before="20" w:after="20"/>
              <w:rPr>
                <w:color w:val="000000" w:themeColor="text1"/>
                <w:sz w:val="20"/>
                <w:lang w:val="en-GB"/>
              </w:rPr>
            </w:pPr>
            <w:r w:rsidRPr="009B04D2">
              <w:rPr>
                <w:color w:val="000000" w:themeColor="text1"/>
                <w:sz w:val="20"/>
                <w:lang w:val="en-GB"/>
              </w:rPr>
              <w:t xml:space="preserve">90% (SD 5%) of BAU initiation at age 20 by five years after implementation (X= Beta (32.4, 3.6), median 90.7%, 95% UI: 78.5% to 97.4%.). Implemented as 1 – (1-X)^(t/5) scalar applied to the BAU initiation rates in years t (1 to 5) after introduction of the policy, then held at 1 – X% thereafter. </w:t>
            </w:r>
          </w:p>
        </w:tc>
      </w:tr>
      <w:tr w:rsidR="006010D6" w:rsidRPr="009B04D2" w14:paraId="0D600163" w14:textId="77777777" w:rsidTr="00AF2C25">
        <w:tc>
          <w:tcPr>
            <w:tcW w:w="2031" w:type="pct"/>
            <w:shd w:val="clear" w:color="auto" w:fill="FFFFFF" w:themeFill="background1"/>
          </w:tcPr>
          <w:p w14:paraId="5256D772" w14:textId="77777777" w:rsidR="006010D6" w:rsidRPr="009B04D2" w:rsidRDefault="006010D6" w:rsidP="00AF2C25">
            <w:pPr>
              <w:rPr>
                <w:color w:val="000000" w:themeColor="text1"/>
                <w:sz w:val="20"/>
                <w:lang w:val="en-GB"/>
              </w:rPr>
            </w:pPr>
            <w:r w:rsidRPr="009B04D2">
              <w:rPr>
                <w:color w:val="000000" w:themeColor="text1"/>
                <w:sz w:val="20"/>
                <w:lang w:val="en-GB"/>
              </w:rPr>
              <w:t>CS</w:t>
            </w:r>
            <w:r w:rsidRPr="009B04D2">
              <w:rPr>
                <w:rFonts w:ascii="Wingdings" w:hAnsi="Wingdings"/>
                <w:color w:val="000000" w:themeColor="text1"/>
                <w:sz w:val="20"/>
                <w:lang w:val="en-GB"/>
              </w:rPr>
              <w:t></w:t>
            </w:r>
            <w:r w:rsidRPr="009B04D2">
              <w:rPr>
                <w:color w:val="000000" w:themeColor="text1"/>
                <w:sz w:val="20"/>
                <w:lang w:val="en-GB"/>
              </w:rPr>
              <w:t xml:space="preserve"> FSFV</w:t>
            </w:r>
          </w:p>
          <w:p w14:paraId="689408C1" w14:textId="77777777" w:rsidR="006010D6" w:rsidRPr="009B04D2" w:rsidRDefault="006010D6" w:rsidP="00AF2C25">
            <w:pPr>
              <w:rPr>
                <w:color w:val="000000" w:themeColor="text1"/>
                <w:sz w:val="20"/>
                <w:lang w:val="en-GB"/>
              </w:rPr>
            </w:pPr>
            <w:r w:rsidRPr="009B04D2">
              <w:rPr>
                <w:color w:val="000000" w:themeColor="text1"/>
                <w:sz w:val="20"/>
                <w:lang w:val="en-GB"/>
              </w:rPr>
              <w:t>CS</w:t>
            </w:r>
            <w:r w:rsidRPr="009B04D2">
              <w:rPr>
                <w:rFonts w:ascii="Wingdings" w:hAnsi="Wingdings"/>
                <w:color w:val="000000" w:themeColor="text1"/>
                <w:sz w:val="20"/>
                <w:lang w:val="en-GB"/>
              </w:rPr>
              <w:t></w:t>
            </w:r>
            <w:r w:rsidRPr="009B04D2">
              <w:rPr>
                <w:color w:val="000000" w:themeColor="text1"/>
                <w:sz w:val="20"/>
                <w:lang w:val="en-GB"/>
              </w:rPr>
              <w:t xml:space="preserve"> FSCV</w:t>
            </w:r>
          </w:p>
          <w:p w14:paraId="1220B3E0" w14:textId="77777777" w:rsidR="006010D6" w:rsidRPr="009B04D2" w:rsidRDefault="006010D6" w:rsidP="00AF2C25">
            <w:pPr>
              <w:rPr>
                <w:color w:val="000000" w:themeColor="text1"/>
                <w:sz w:val="20"/>
                <w:lang w:val="en-GB"/>
              </w:rPr>
            </w:pPr>
            <w:r w:rsidRPr="009B04D2">
              <w:rPr>
                <w:color w:val="000000" w:themeColor="text1"/>
                <w:sz w:val="20"/>
                <w:lang w:val="en-GB"/>
              </w:rPr>
              <w:t>DU</w:t>
            </w:r>
            <w:r w:rsidRPr="009B04D2">
              <w:rPr>
                <w:rFonts w:ascii="Wingdings" w:hAnsi="Wingdings"/>
                <w:color w:val="000000" w:themeColor="text1"/>
                <w:sz w:val="20"/>
                <w:lang w:val="en-GB"/>
              </w:rPr>
              <w:t></w:t>
            </w:r>
            <w:r w:rsidRPr="009B04D2">
              <w:rPr>
                <w:color w:val="000000" w:themeColor="text1"/>
                <w:sz w:val="20"/>
                <w:lang w:val="en-GB"/>
              </w:rPr>
              <w:t xml:space="preserve"> FSFV</w:t>
            </w:r>
          </w:p>
          <w:p w14:paraId="0BA15119" w14:textId="77777777" w:rsidR="006010D6" w:rsidRPr="009B04D2" w:rsidRDefault="006010D6" w:rsidP="00AF2C25">
            <w:pPr>
              <w:rPr>
                <w:color w:val="000000" w:themeColor="text1"/>
                <w:sz w:val="20"/>
                <w:lang w:val="en-GB"/>
              </w:rPr>
            </w:pPr>
            <w:r w:rsidRPr="009B04D2">
              <w:rPr>
                <w:color w:val="000000" w:themeColor="text1"/>
                <w:sz w:val="20"/>
                <w:lang w:val="en-GB"/>
              </w:rPr>
              <w:t>DU</w:t>
            </w:r>
            <w:r w:rsidRPr="009B04D2">
              <w:rPr>
                <w:rFonts w:ascii="Wingdings" w:hAnsi="Wingdings"/>
                <w:color w:val="000000" w:themeColor="text1"/>
                <w:sz w:val="20"/>
                <w:lang w:val="en-GB"/>
              </w:rPr>
              <w:t></w:t>
            </w:r>
            <w:r w:rsidRPr="009B04D2">
              <w:rPr>
                <w:color w:val="000000" w:themeColor="text1"/>
                <w:sz w:val="20"/>
                <w:lang w:val="en-GB"/>
              </w:rPr>
              <w:t xml:space="preserve"> FSCV</w:t>
            </w:r>
          </w:p>
        </w:tc>
        <w:tc>
          <w:tcPr>
            <w:tcW w:w="2969" w:type="pct"/>
            <w:shd w:val="clear" w:color="auto" w:fill="auto"/>
          </w:tcPr>
          <w:p w14:paraId="46B0F2D0" w14:textId="77777777" w:rsidR="006010D6" w:rsidRPr="009B04D2" w:rsidRDefault="006010D6" w:rsidP="00AF2C25">
            <w:pPr>
              <w:spacing w:before="20" w:after="20"/>
              <w:rPr>
                <w:color w:val="000000" w:themeColor="text1"/>
                <w:sz w:val="20"/>
                <w:lang w:val="en-GB"/>
              </w:rPr>
            </w:pPr>
            <w:r w:rsidRPr="009B04D2">
              <w:rPr>
                <w:color w:val="000000" w:themeColor="text1"/>
                <w:sz w:val="20"/>
                <w:lang w:val="en-GB"/>
              </w:rPr>
              <w:t xml:space="preserve">Using an expert knowledge elicitation (see Appendix D), the reduction in smoking prevalence five years after the low nicotine policy compared to BAU in five years, due to quitting or switching to vaping, was mean 84.4% (SD 7.84%, X=Beta (17.78, 3.19), median 85.9%, 95%UI: 67.1% to 96.3%).  Implementation was as 1 – (1 – X)^(t/5) scalar applied to BAU CS and DU prevalence, where t is the 1 to 5 years after intervention. For the sixth and subsequent years, the transition probabilities were twice those in BAU (due to an ongoing higher NCR, given non-addictive levels of nicotine in tobacco). </w:t>
            </w:r>
          </w:p>
        </w:tc>
      </w:tr>
      <w:tr w:rsidR="006010D6" w:rsidRPr="009B04D2" w14:paraId="49859147" w14:textId="77777777" w:rsidTr="00AF2C25">
        <w:tc>
          <w:tcPr>
            <w:tcW w:w="2031" w:type="pct"/>
            <w:shd w:val="clear" w:color="auto" w:fill="FFFFFF" w:themeFill="background1"/>
          </w:tcPr>
          <w:p w14:paraId="3721F50D" w14:textId="77777777" w:rsidR="006010D6" w:rsidRPr="009B04D2" w:rsidRDefault="006010D6" w:rsidP="00AF2C25">
            <w:pPr>
              <w:rPr>
                <w:color w:val="000000" w:themeColor="text1"/>
                <w:sz w:val="20"/>
                <w:lang w:val="en-GB"/>
              </w:rPr>
            </w:pPr>
            <w:r w:rsidRPr="009B04D2">
              <w:rPr>
                <w:color w:val="000000" w:themeColor="text1"/>
                <w:sz w:val="20"/>
                <w:lang w:val="en-GB"/>
              </w:rPr>
              <w:t>NS</w:t>
            </w:r>
            <w:r w:rsidRPr="009B04D2">
              <w:rPr>
                <w:rFonts w:ascii="Wingdings" w:hAnsi="Wingdings"/>
                <w:color w:val="000000" w:themeColor="text1"/>
                <w:sz w:val="20"/>
                <w:lang w:val="en-GB"/>
              </w:rPr>
              <w:t></w:t>
            </w:r>
            <w:r w:rsidRPr="009B04D2">
              <w:rPr>
                <w:color w:val="000000" w:themeColor="text1"/>
                <w:sz w:val="20"/>
                <w:lang w:val="en-GB"/>
              </w:rPr>
              <w:t>NSCV</w:t>
            </w:r>
          </w:p>
        </w:tc>
        <w:tc>
          <w:tcPr>
            <w:tcW w:w="2969" w:type="pct"/>
            <w:shd w:val="clear" w:color="auto" w:fill="FFFFFF" w:themeFill="background1"/>
          </w:tcPr>
          <w:p w14:paraId="2CC2D581" w14:textId="77777777" w:rsidR="006010D6" w:rsidRPr="009B04D2" w:rsidRDefault="006010D6" w:rsidP="00AF2C25">
            <w:pPr>
              <w:spacing w:before="20" w:after="20"/>
              <w:rPr>
                <w:color w:val="000000" w:themeColor="text1"/>
                <w:sz w:val="20"/>
                <w:lang w:val="en-GB"/>
              </w:rPr>
            </w:pPr>
            <w:r w:rsidRPr="009B04D2">
              <w:rPr>
                <w:color w:val="000000" w:themeColor="text1"/>
                <w:sz w:val="20"/>
                <w:lang w:val="en-GB"/>
              </w:rPr>
              <w:t>No change.</w:t>
            </w:r>
          </w:p>
        </w:tc>
      </w:tr>
      <w:tr w:rsidR="006010D6" w:rsidRPr="009B04D2" w14:paraId="71DCF4E7" w14:textId="77777777" w:rsidTr="00AF2C25">
        <w:trPr>
          <w:trHeight w:val="238"/>
        </w:trPr>
        <w:tc>
          <w:tcPr>
            <w:tcW w:w="5000" w:type="pct"/>
            <w:gridSpan w:val="2"/>
            <w:shd w:val="clear" w:color="auto" w:fill="F2F2F2" w:themeFill="background1" w:themeFillShade="F2"/>
          </w:tcPr>
          <w:p w14:paraId="24231B59" w14:textId="77777777" w:rsidR="006010D6" w:rsidRPr="009B04D2" w:rsidRDefault="006010D6" w:rsidP="00AF2C25">
            <w:pPr>
              <w:spacing w:before="40" w:after="80"/>
              <w:rPr>
                <w:b/>
                <w:bCs/>
                <w:i/>
                <w:color w:val="000000" w:themeColor="text1"/>
                <w:sz w:val="20"/>
                <w:lang w:val="en-GB"/>
              </w:rPr>
            </w:pPr>
            <w:r w:rsidRPr="009B04D2">
              <w:rPr>
                <w:b/>
                <w:bCs/>
                <w:i/>
                <w:color w:val="000000" w:themeColor="text1"/>
                <w:sz w:val="20"/>
                <w:lang w:val="en-GB"/>
              </w:rPr>
              <w:t>Denicotinisation plus Mass media</w:t>
            </w:r>
          </w:p>
        </w:tc>
      </w:tr>
      <w:tr w:rsidR="006010D6" w:rsidRPr="009B04D2" w14:paraId="54488B8D" w14:textId="77777777" w:rsidTr="00AF2C25">
        <w:trPr>
          <w:trHeight w:val="238"/>
        </w:trPr>
        <w:tc>
          <w:tcPr>
            <w:tcW w:w="2031" w:type="pct"/>
            <w:shd w:val="clear" w:color="auto" w:fill="FFFFFF" w:themeFill="background1"/>
          </w:tcPr>
          <w:p w14:paraId="44AC3E60" w14:textId="77777777" w:rsidR="006010D6" w:rsidRPr="009B04D2" w:rsidRDefault="006010D6" w:rsidP="00AF2C25">
            <w:pPr>
              <w:rPr>
                <w:color w:val="000000" w:themeColor="text1"/>
                <w:sz w:val="20"/>
                <w:lang w:val="en-GB"/>
              </w:rPr>
            </w:pPr>
            <w:r w:rsidRPr="009B04D2">
              <w:rPr>
                <w:color w:val="000000" w:themeColor="text1"/>
                <w:sz w:val="20"/>
                <w:lang w:val="en-GB"/>
              </w:rPr>
              <w:t>NS</w:t>
            </w:r>
            <w:r w:rsidRPr="009B04D2">
              <w:rPr>
                <w:rFonts w:ascii="Wingdings" w:hAnsi="Wingdings"/>
                <w:color w:val="000000" w:themeColor="text1"/>
                <w:sz w:val="20"/>
                <w:lang w:val="en-GB"/>
              </w:rPr>
              <w:t></w:t>
            </w:r>
            <w:r w:rsidRPr="009B04D2">
              <w:rPr>
                <w:color w:val="000000" w:themeColor="text1"/>
                <w:sz w:val="20"/>
                <w:lang w:val="en-GB"/>
              </w:rPr>
              <w:t xml:space="preserve"> CS (age 20 only)</w:t>
            </w:r>
          </w:p>
        </w:tc>
        <w:tc>
          <w:tcPr>
            <w:tcW w:w="2969" w:type="pct"/>
            <w:shd w:val="clear" w:color="auto" w:fill="FFFFFF" w:themeFill="background1"/>
          </w:tcPr>
          <w:p w14:paraId="1EE1B77A" w14:textId="77777777" w:rsidR="006010D6" w:rsidRPr="009B04D2" w:rsidRDefault="006010D6" w:rsidP="00AF2C25">
            <w:pPr>
              <w:spacing w:before="20" w:after="20"/>
              <w:rPr>
                <w:color w:val="000000" w:themeColor="text1"/>
                <w:sz w:val="20"/>
                <w:lang w:val="en-GB"/>
              </w:rPr>
            </w:pPr>
            <w:r w:rsidRPr="009B04D2">
              <w:rPr>
                <w:color w:val="000000" w:themeColor="text1"/>
                <w:sz w:val="20"/>
                <w:lang w:val="en-GB"/>
              </w:rPr>
              <w:t>As above for low nicotine.</w:t>
            </w:r>
          </w:p>
        </w:tc>
      </w:tr>
      <w:tr w:rsidR="006010D6" w:rsidRPr="009B04D2" w14:paraId="241DB5E7" w14:textId="77777777" w:rsidTr="00AF2C25">
        <w:trPr>
          <w:trHeight w:val="238"/>
        </w:trPr>
        <w:tc>
          <w:tcPr>
            <w:tcW w:w="2031" w:type="pct"/>
            <w:shd w:val="clear" w:color="auto" w:fill="FFFFFF" w:themeFill="background1"/>
          </w:tcPr>
          <w:p w14:paraId="7E1E7DF4" w14:textId="77777777" w:rsidR="006010D6" w:rsidRPr="009B04D2" w:rsidRDefault="006010D6" w:rsidP="00AF2C25">
            <w:pPr>
              <w:rPr>
                <w:color w:val="000000" w:themeColor="text1"/>
                <w:sz w:val="20"/>
                <w:lang w:val="en-GB"/>
              </w:rPr>
            </w:pPr>
            <w:r w:rsidRPr="009B04D2">
              <w:rPr>
                <w:color w:val="000000" w:themeColor="text1"/>
                <w:sz w:val="20"/>
                <w:lang w:val="en-GB"/>
              </w:rPr>
              <w:t>NS</w:t>
            </w:r>
            <w:r w:rsidRPr="009B04D2">
              <w:rPr>
                <w:rFonts w:ascii="Wingdings" w:hAnsi="Wingdings"/>
                <w:color w:val="000000" w:themeColor="text1"/>
                <w:sz w:val="20"/>
                <w:lang w:val="en-GB"/>
              </w:rPr>
              <w:t></w:t>
            </w:r>
            <w:r w:rsidRPr="009B04D2">
              <w:rPr>
                <w:color w:val="000000" w:themeColor="text1"/>
                <w:sz w:val="20"/>
                <w:lang w:val="en-GB"/>
              </w:rPr>
              <w:t xml:space="preserve"> DU (age 20 only)</w:t>
            </w:r>
          </w:p>
        </w:tc>
        <w:tc>
          <w:tcPr>
            <w:tcW w:w="2969" w:type="pct"/>
            <w:shd w:val="clear" w:color="auto" w:fill="FFFFFF" w:themeFill="background1"/>
          </w:tcPr>
          <w:p w14:paraId="72D302C2" w14:textId="77777777" w:rsidR="006010D6" w:rsidRPr="009B04D2" w:rsidRDefault="006010D6" w:rsidP="00AF2C25">
            <w:pPr>
              <w:spacing w:before="20" w:after="20"/>
              <w:rPr>
                <w:color w:val="000000" w:themeColor="text1"/>
                <w:sz w:val="20"/>
                <w:lang w:val="en-GB"/>
              </w:rPr>
            </w:pPr>
            <w:r w:rsidRPr="009B04D2">
              <w:rPr>
                <w:color w:val="000000" w:themeColor="text1"/>
                <w:sz w:val="20"/>
                <w:lang w:val="en-GB"/>
              </w:rPr>
              <w:t>As above for low nicotine.</w:t>
            </w:r>
          </w:p>
        </w:tc>
      </w:tr>
      <w:tr w:rsidR="006010D6" w:rsidRPr="009B04D2" w14:paraId="31BB5740" w14:textId="77777777" w:rsidTr="00AF2C25">
        <w:trPr>
          <w:trHeight w:val="238"/>
        </w:trPr>
        <w:tc>
          <w:tcPr>
            <w:tcW w:w="2031" w:type="pct"/>
            <w:shd w:val="clear" w:color="auto" w:fill="FFFFFF" w:themeFill="background1"/>
          </w:tcPr>
          <w:p w14:paraId="22D82846" w14:textId="77777777" w:rsidR="006010D6" w:rsidRPr="009B04D2" w:rsidRDefault="006010D6" w:rsidP="00AF2C25">
            <w:pPr>
              <w:rPr>
                <w:color w:val="000000" w:themeColor="text1"/>
                <w:sz w:val="20"/>
                <w:lang w:val="en-GB"/>
              </w:rPr>
            </w:pPr>
            <w:r w:rsidRPr="009B04D2">
              <w:rPr>
                <w:color w:val="000000" w:themeColor="text1"/>
                <w:sz w:val="20"/>
                <w:lang w:val="en-GB"/>
              </w:rPr>
              <w:t>NS</w:t>
            </w:r>
            <w:r w:rsidRPr="009B04D2">
              <w:rPr>
                <w:rFonts w:ascii="Wingdings" w:hAnsi="Wingdings"/>
                <w:color w:val="000000" w:themeColor="text1"/>
                <w:sz w:val="20"/>
                <w:lang w:val="en-GB"/>
              </w:rPr>
              <w:t></w:t>
            </w:r>
            <w:r w:rsidRPr="009B04D2">
              <w:rPr>
                <w:color w:val="000000" w:themeColor="text1"/>
                <w:sz w:val="20"/>
                <w:lang w:val="en-GB"/>
              </w:rPr>
              <w:t xml:space="preserve"> NSCV (age 20 only)</w:t>
            </w:r>
          </w:p>
        </w:tc>
        <w:tc>
          <w:tcPr>
            <w:tcW w:w="2969" w:type="pct"/>
            <w:shd w:val="clear" w:color="auto" w:fill="FFFFFF" w:themeFill="background1"/>
          </w:tcPr>
          <w:p w14:paraId="598DD899" w14:textId="77777777" w:rsidR="006010D6" w:rsidRPr="009B04D2" w:rsidRDefault="006010D6" w:rsidP="00AF2C25">
            <w:pPr>
              <w:spacing w:before="20" w:after="20"/>
              <w:rPr>
                <w:color w:val="000000" w:themeColor="text1"/>
                <w:sz w:val="20"/>
                <w:lang w:val="en-GB"/>
              </w:rPr>
            </w:pPr>
            <w:r w:rsidRPr="009B04D2">
              <w:rPr>
                <w:color w:val="000000" w:themeColor="text1"/>
                <w:sz w:val="20"/>
                <w:lang w:val="en-GB"/>
              </w:rPr>
              <w:t>No change.</w:t>
            </w:r>
          </w:p>
        </w:tc>
      </w:tr>
      <w:tr w:rsidR="006010D6" w:rsidRPr="009B04D2" w14:paraId="7CF85A2D" w14:textId="77777777" w:rsidTr="00AF2C25">
        <w:trPr>
          <w:cantSplit/>
          <w:trHeight w:val="999"/>
        </w:trPr>
        <w:tc>
          <w:tcPr>
            <w:tcW w:w="2031" w:type="pct"/>
            <w:shd w:val="clear" w:color="auto" w:fill="FFFFFF" w:themeFill="background1"/>
          </w:tcPr>
          <w:p w14:paraId="7B0EFAC7" w14:textId="77777777" w:rsidR="006010D6" w:rsidRPr="009B04D2" w:rsidRDefault="006010D6" w:rsidP="00AF2C25">
            <w:pPr>
              <w:rPr>
                <w:color w:val="000000" w:themeColor="text1"/>
                <w:sz w:val="20"/>
                <w:lang w:val="en-GB"/>
              </w:rPr>
            </w:pPr>
            <w:r w:rsidRPr="009B04D2">
              <w:rPr>
                <w:color w:val="000000" w:themeColor="text1"/>
                <w:sz w:val="20"/>
                <w:lang w:val="en-GB"/>
              </w:rPr>
              <w:t>CS</w:t>
            </w:r>
            <w:r w:rsidRPr="009B04D2">
              <w:rPr>
                <w:rFonts w:ascii="Wingdings" w:hAnsi="Wingdings"/>
                <w:color w:val="000000" w:themeColor="text1"/>
                <w:sz w:val="20"/>
                <w:lang w:val="en-GB"/>
              </w:rPr>
              <w:t></w:t>
            </w:r>
            <w:r w:rsidRPr="009B04D2">
              <w:rPr>
                <w:color w:val="000000" w:themeColor="text1"/>
                <w:sz w:val="20"/>
                <w:lang w:val="en-GB"/>
              </w:rPr>
              <w:t xml:space="preserve"> FSFV</w:t>
            </w:r>
          </w:p>
          <w:p w14:paraId="08B79DE8" w14:textId="77777777" w:rsidR="006010D6" w:rsidRPr="009B04D2" w:rsidRDefault="006010D6" w:rsidP="00AF2C25">
            <w:pPr>
              <w:rPr>
                <w:color w:val="000000" w:themeColor="text1"/>
                <w:sz w:val="20"/>
                <w:lang w:val="en-GB"/>
              </w:rPr>
            </w:pPr>
            <w:r w:rsidRPr="009B04D2">
              <w:rPr>
                <w:color w:val="000000" w:themeColor="text1"/>
                <w:sz w:val="20"/>
                <w:lang w:val="en-GB"/>
              </w:rPr>
              <w:t>CS</w:t>
            </w:r>
            <w:r w:rsidRPr="009B04D2">
              <w:rPr>
                <w:rFonts w:ascii="Wingdings" w:hAnsi="Wingdings"/>
                <w:color w:val="000000" w:themeColor="text1"/>
                <w:sz w:val="20"/>
                <w:lang w:val="en-GB"/>
              </w:rPr>
              <w:t></w:t>
            </w:r>
            <w:r w:rsidRPr="009B04D2">
              <w:rPr>
                <w:color w:val="000000" w:themeColor="text1"/>
                <w:sz w:val="20"/>
                <w:lang w:val="en-GB"/>
              </w:rPr>
              <w:t xml:space="preserve"> FSCV</w:t>
            </w:r>
          </w:p>
          <w:p w14:paraId="07317945" w14:textId="77777777" w:rsidR="006010D6" w:rsidRPr="009B04D2" w:rsidRDefault="006010D6" w:rsidP="00AF2C25">
            <w:pPr>
              <w:rPr>
                <w:color w:val="000000" w:themeColor="text1"/>
                <w:sz w:val="20"/>
                <w:lang w:val="en-GB"/>
              </w:rPr>
            </w:pPr>
            <w:r w:rsidRPr="009B04D2">
              <w:rPr>
                <w:color w:val="000000" w:themeColor="text1"/>
                <w:sz w:val="20"/>
                <w:lang w:val="en-GB"/>
              </w:rPr>
              <w:t>DU</w:t>
            </w:r>
            <w:r w:rsidRPr="009B04D2">
              <w:rPr>
                <w:rFonts w:ascii="Wingdings" w:hAnsi="Wingdings"/>
                <w:color w:val="000000" w:themeColor="text1"/>
                <w:sz w:val="20"/>
                <w:lang w:val="en-GB"/>
              </w:rPr>
              <w:t></w:t>
            </w:r>
            <w:r w:rsidRPr="009B04D2">
              <w:rPr>
                <w:color w:val="000000" w:themeColor="text1"/>
                <w:sz w:val="20"/>
                <w:lang w:val="en-GB"/>
              </w:rPr>
              <w:t xml:space="preserve"> FSFV</w:t>
            </w:r>
          </w:p>
          <w:p w14:paraId="1005F116" w14:textId="77777777" w:rsidR="006010D6" w:rsidRPr="009B04D2" w:rsidRDefault="006010D6" w:rsidP="00AF2C25">
            <w:pPr>
              <w:rPr>
                <w:color w:val="000000" w:themeColor="text1"/>
                <w:sz w:val="20"/>
                <w:lang w:val="en-GB"/>
              </w:rPr>
            </w:pPr>
            <w:r w:rsidRPr="009B04D2">
              <w:rPr>
                <w:color w:val="000000" w:themeColor="text1"/>
                <w:sz w:val="20"/>
                <w:lang w:val="en-GB"/>
              </w:rPr>
              <w:t>DU</w:t>
            </w:r>
            <w:r w:rsidRPr="009B04D2">
              <w:rPr>
                <w:rFonts w:ascii="Wingdings" w:hAnsi="Wingdings"/>
                <w:color w:val="000000" w:themeColor="text1"/>
                <w:sz w:val="20"/>
                <w:lang w:val="en-GB"/>
              </w:rPr>
              <w:t></w:t>
            </w:r>
            <w:r w:rsidRPr="009B04D2">
              <w:rPr>
                <w:color w:val="000000" w:themeColor="text1"/>
                <w:sz w:val="20"/>
                <w:lang w:val="en-GB"/>
              </w:rPr>
              <w:t xml:space="preserve"> FSCV</w:t>
            </w:r>
          </w:p>
        </w:tc>
        <w:tc>
          <w:tcPr>
            <w:tcW w:w="2969" w:type="pct"/>
            <w:shd w:val="clear" w:color="auto" w:fill="FFFFFF" w:themeFill="background1"/>
          </w:tcPr>
          <w:p w14:paraId="4EFE8221" w14:textId="2B054BDD" w:rsidR="006010D6" w:rsidRPr="009B04D2" w:rsidRDefault="006010D6" w:rsidP="00AF2C25">
            <w:pPr>
              <w:spacing w:before="20" w:after="20"/>
              <w:rPr>
                <w:color w:val="000000" w:themeColor="text1"/>
                <w:sz w:val="20"/>
                <w:lang w:val="en-GB"/>
              </w:rPr>
            </w:pPr>
            <w:r w:rsidRPr="009B04D2">
              <w:rPr>
                <w:color w:val="000000" w:themeColor="text1"/>
                <w:sz w:val="20"/>
                <w:lang w:val="en-GB"/>
              </w:rPr>
              <w:t>As above for low nicotine from year 1 to 5 +  twice the absolute contribution of the routine media/Quitline campaign added to background net cessation (i.e. 1.055% × 2 = 2.1%)</w:t>
            </w:r>
            <w:r w:rsidRPr="009B04D2">
              <w:rPr>
                <w:color w:val="000000" w:themeColor="text1"/>
                <w:sz w:val="20"/>
                <w:vertAlign w:val="superscript"/>
                <w:lang w:val="en-GB"/>
              </w:rPr>
              <w:fldChar w:fldCharType="begin"/>
            </w:r>
            <w:r w:rsidR="00394C12">
              <w:rPr>
                <w:color w:val="000000" w:themeColor="text1"/>
                <w:sz w:val="20"/>
                <w:vertAlign w:val="superscript"/>
                <w:lang w:val="en-GB"/>
              </w:rPr>
              <w:instrText xml:space="preserve"> ADDIN EN.CITE &lt;EndNote&gt;&lt;Cite&gt;&lt;Author&gt;Nghiem&lt;/Author&gt;&lt;Year&gt;2017&lt;/Year&gt;&lt;RecNum&gt;6624&lt;/RecNum&gt;&lt;DisplayText&gt;&lt;style face="superscript"&gt;1&lt;/style&gt;&lt;/DisplayText&gt;&lt;record&gt;&lt;rec-number&gt;6624&lt;/rec-number&gt;&lt;foreign-keys&gt;&lt;key app="EN" db-id="pz2fxese7s2d5depap3pdaeyewpwva0xxraz" timestamp="1501127668" guid="0cd84127-bc40-4965-bc65-ced2bb0e1b6b"&gt;6624&lt;/key&gt;&lt;/foreign-keys&gt;&lt;ref-type name="Journal Article"&gt;17&lt;/ref-type&gt;&lt;contributors&gt;&lt;authors&gt;&lt;author&gt;Nghiem, Nhung&lt;/author&gt;&lt;author&gt;Cleghorn, Christine L&lt;/author&gt;&lt;author&gt;Leung, William&lt;/author&gt;&lt;author&gt;Nair, Nisha&lt;/author&gt;&lt;author&gt;Deen, Frederieke S van der&lt;/author&gt;&lt;author&gt;Blakely, Tony&lt;/author&gt;&lt;author&gt;Wilson, Nick&lt;/author&gt;&lt;/authors&gt;&lt;/contributors&gt;&lt;titles&gt;&lt;title&gt;A national quitline service and its promotion in the mass media: modelling the health gain, health equity and cost–utility&lt;/title&gt;&lt;secondary-title&gt;Tobacco Control&lt;/secondary-title&gt;&lt;/titles&gt;&lt;periodical&gt;&lt;full-title&gt;Tobacco Control&lt;/full-title&gt;&lt;/periodical&gt;&lt;pages&gt;434-441&lt;/pages&gt;&lt;volume&gt;27&lt;/volume&gt;&lt;number&gt;4&lt;/number&gt;&lt;dates&gt;&lt;year&gt;2017&lt;/year&gt;&lt;/dates&gt;&lt;urls&gt;&lt;/urls&gt;&lt;electronic-resource-num&gt;10.1136/tobaccocontrol-2017-053660&lt;/electronic-resource-num&gt;&lt;/record&gt;&lt;/Cite&gt;&lt;/EndNote&gt;</w:instrText>
            </w:r>
            <w:r w:rsidRPr="009B04D2">
              <w:rPr>
                <w:color w:val="000000" w:themeColor="text1"/>
                <w:sz w:val="20"/>
                <w:vertAlign w:val="superscript"/>
                <w:lang w:val="en-GB"/>
              </w:rPr>
              <w:fldChar w:fldCharType="separate"/>
            </w:r>
            <w:r w:rsidR="00394C12">
              <w:rPr>
                <w:noProof/>
                <w:color w:val="000000" w:themeColor="text1"/>
                <w:sz w:val="20"/>
                <w:vertAlign w:val="superscript"/>
                <w:lang w:val="en-GB"/>
              </w:rPr>
              <w:t>1</w:t>
            </w:r>
            <w:r w:rsidRPr="009B04D2">
              <w:rPr>
                <w:color w:val="000000" w:themeColor="text1"/>
                <w:sz w:val="20"/>
                <w:vertAlign w:val="superscript"/>
                <w:lang w:val="en-GB"/>
              </w:rPr>
              <w:fldChar w:fldCharType="end"/>
            </w:r>
          </w:p>
          <w:p w14:paraId="14D2FB1E" w14:textId="77777777" w:rsidR="006010D6" w:rsidRPr="009B04D2" w:rsidRDefault="006010D6" w:rsidP="00AF2C25">
            <w:pPr>
              <w:spacing w:before="20" w:after="20"/>
              <w:rPr>
                <w:color w:val="000000" w:themeColor="text1"/>
                <w:sz w:val="20"/>
                <w:lang w:val="en-GB"/>
              </w:rPr>
            </w:pPr>
            <w:r w:rsidRPr="009B04D2">
              <w:rPr>
                <w:color w:val="000000" w:themeColor="text1"/>
                <w:sz w:val="20"/>
                <w:lang w:val="en-GB"/>
              </w:rPr>
              <w:t>Subsequent years: transition to quitting or vaping were twice those in BAU </w:t>
            </w:r>
          </w:p>
        </w:tc>
      </w:tr>
      <w:tr w:rsidR="006010D6" w:rsidRPr="009B04D2" w14:paraId="00F52BE6" w14:textId="77777777" w:rsidTr="00AF2C25">
        <w:trPr>
          <w:trHeight w:val="238"/>
        </w:trPr>
        <w:tc>
          <w:tcPr>
            <w:tcW w:w="5000" w:type="pct"/>
            <w:gridSpan w:val="2"/>
            <w:shd w:val="clear" w:color="auto" w:fill="F2F2F2" w:themeFill="background1" w:themeFillShade="F2"/>
          </w:tcPr>
          <w:p w14:paraId="5EA87DF6" w14:textId="77777777" w:rsidR="006010D6" w:rsidRPr="009B04D2" w:rsidRDefault="006010D6" w:rsidP="00AF2C25">
            <w:pPr>
              <w:spacing w:before="40" w:after="80"/>
              <w:rPr>
                <w:b/>
                <w:bCs/>
                <w:color w:val="000000" w:themeColor="text1"/>
                <w:sz w:val="20"/>
                <w:lang w:val="en-GB"/>
              </w:rPr>
            </w:pPr>
            <w:r w:rsidRPr="009B04D2">
              <w:rPr>
                <w:b/>
                <w:bCs/>
                <w:i/>
                <w:color w:val="000000" w:themeColor="text1"/>
                <w:sz w:val="20"/>
                <w:lang w:val="en-GB"/>
              </w:rPr>
              <w:t>Retail outlet restriction to about 300 outlets (about 5% of current outlets; assumed supply of e-cigarettes reduces commensurately)</w:t>
            </w:r>
            <w:r w:rsidRPr="009B04D2">
              <w:rPr>
                <w:b/>
                <w:i/>
                <w:color w:val="000000" w:themeColor="text1"/>
                <w:sz w:val="20"/>
                <w:vertAlign w:val="superscript"/>
                <w:lang w:val="en-GB"/>
              </w:rPr>
              <w:t xml:space="preserve"> †</w:t>
            </w:r>
          </w:p>
        </w:tc>
      </w:tr>
      <w:tr w:rsidR="006010D6" w:rsidRPr="009B04D2" w14:paraId="66502FBB" w14:textId="77777777" w:rsidTr="00AF2C25">
        <w:trPr>
          <w:trHeight w:val="238"/>
        </w:trPr>
        <w:tc>
          <w:tcPr>
            <w:tcW w:w="2031" w:type="pct"/>
            <w:shd w:val="clear" w:color="auto" w:fill="FFFFFF" w:themeFill="background1"/>
          </w:tcPr>
          <w:p w14:paraId="58A1CEC0" w14:textId="77777777" w:rsidR="006010D6" w:rsidRPr="009B04D2" w:rsidRDefault="006010D6" w:rsidP="00AF2C25">
            <w:pPr>
              <w:rPr>
                <w:color w:val="000000" w:themeColor="text1"/>
                <w:sz w:val="20"/>
                <w:lang w:val="en-GB"/>
              </w:rPr>
            </w:pPr>
            <w:r w:rsidRPr="009B04D2">
              <w:rPr>
                <w:color w:val="000000" w:themeColor="text1"/>
                <w:sz w:val="20"/>
                <w:lang w:val="en-GB"/>
              </w:rPr>
              <w:t>NS</w:t>
            </w:r>
            <w:r w:rsidRPr="009B04D2">
              <w:rPr>
                <w:rFonts w:ascii="Wingdings" w:hAnsi="Wingdings"/>
                <w:color w:val="000000" w:themeColor="text1"/>
                <w:sz w:val="20"/>
                <w:lang w:val="en-GB"/>
              </w:rPr>
              <w:t></w:t>
            </w:r>
            <w:r w:rsidRPr="009B04D2">
              <w:rPr>
                <w:color w:val="000000" w:themeColor="text1"/>
                <w:sz w:val="20"/>
                <w:lang w:val="en-GB"/>
              </w:rPr>
              <w:t xml:space="preserve"> CS</w:t>
            </w:r>
          </w:p>
        </w:tc>
        <w:tc>
          <w:tcPr>
            <w:tcW w:w="2969" w:type="pct"/>
            <w:shd w:val="clear" w:color="auto" w:fill="FFFFFF" w:themeFill="background1"/>
          </w:tcPr>
          <w:p w14:paraId="52857E6E" w14:textId="77777777" w:rsidR="006010D6" w:rsidRPr="009B04D2" w:rsidRDefault="006010D6" w:rsidP="00AF2C25">
            <w:pPr>
              <w:spacing w:before="20" w:after="20"/>
              <w:rPr>
                <w:color w:val="000000" w:themeColor="text1"/>
                <w:sz w:val="20"/>
                <w:lang w:val="en-GB"/>
              </w:rPr>
            </w:pPr>
            <w:r w:rsidRPr="009B04D2">
              <w:rPr>
                <w:color w:val="000000" w:themeColor="text1"/>
                <w:sz w:val="20"/>
                <w:lang w:val="en-GB"/>
              </w:rPr>
              <w:t>As per the increase in cessation probabilities (CS</w:t>
            </w:r>
            <w:r w:rsidRPr="009B04D2">
              <w:rPr>
                <w:rFonts w:ascii="Wingdings" w:eastAsia="Wingdings" w:hAnsi="Wingdings" w:cs="Wingdings"/>
                <w:color w:val="000000" w:themeColor="text1"/>
                <w:sz w:val="20"/>
                <w:lang w:val="en-GB"/>
              </w:rPr>
              <w:t></w:t>
            </w:r>
            <w:r w:rsidRPr="009B04D2">
              <w:rPr>
                <w:color w:val="000000" w:themeColor="text1"/>
                <w:sz w:val="20"/>
                <w:lang w:val="en-GB"/>
              </w:rPr>
              <w:t>FSFV, etc, below), we reduced the initiation rate by X= Beta (23.4, 97.2), median 19.2%, 95%UI: 12.9% to 26.9%. Applies in 2023 onwards (as youth contemplating initiating in the future confront lesser retail availability as well).</w:t>
            </w:r>
          </w:p>
        </w:tc>
      </w:tr>
      <w:tr w:rsidR="006010D6" w:rsidRPr="009B04D2" w14:paraId="5EB8448A" w14:textId="77777777" w:rsidTr="00AF2C25">
        <w:trPr>
          <w:trHeight w:val="238"/>
        </w:trPr>
        <w:tc>
          <w:tcPr>
            <w:tcW w:w="2031" w:type="pct"/>
            <w:shd w:val="clear" w:color="auto" w:fill="FFFFFF" w:themeFill="background1"/>
          </w:tcPr>
          <w:p w14:paraId="2D43F6BF" w14:textId="77777777" w:rsidR="006010D6" w:rsidRPr="009B04D2" w:rsidRDefault="006010D6" w:rsidP="00AF2C25">
            <w:pPr>
              <w:rPr>
                <w:color w:val="000000" w:themeColor="text1"/>
                <w:sz w:val="20"/>
                <w:lang w:val="en-GB"/>
              </w:rPr>
            </w:pPr>
            <w:r w:rsidRPr="009B04D2">
              <w:rPr>
                <w:color w:val="000000" w:themeColor="text1"/>
                <w:sz w:val="20"/>
                <w:lang w:val="en-GB"/>
              </w:rPr>
              <w:t>NS</w:t>
            </w:r>
            <w:r w:rsidRPr="009B04D2">
              <w:rPr>
                <w:rFonts w:ascii="Wingdings" w:hAnsi="Wingdings"/>
                <w:color w:val="000000" w:themeColor="text1"/>
                <w:sz w:val="20"/>
                <w:lang w:val="en-GB"/>
              </w:rPr>
              <w:t></w:t>
            </w:r>
            <w:r w:rsidRPr="009B04D2">
              <w:rPr>
                <w:color w:val="000000" w:themeColor="text1"/>
                <w:sz w:val="20"/>
                <w:lang w:val="en-GB"/>
              </w:rPr>
              <w:t xml:space="preserve"> DU</w:t>
            </w:r>
          </w:p>
        </w:tc>
        <w:tc>
          <w:tcPr>
            <w:tcW w:w="2969" w:type="pct"/>
            <w:shd w:val="clear" w:color="auto" w:fill="FFFFFF" w:themeFill="background1"/>
          </w:tcPr>
          <w:p w14:paraId="235DC0C0" w14:textId="77777777" w:rsidR="006010D6" w:rsidRPr="009B04D2" w:rsidRDefault="006010D6" w:rsidP="00AF2C25">
            <w:pPr>
              <w:spacing w:before="20" w:after="20"/>
              <w:rPr>
                <w:color w:val="000000" w:themeColor="text1"/>
                <w:sz w:val="20"/>
                <w:lang w:val="en-GB"/>
              </w:rPr>
            </w:pPr>
            <w:r w:rsidRPr="009B04D2">
              <w:rPr>
                <w:color w:val="000000" w:themeColor="text1"/>
                <w:sz w:val="20"/>
                <w:lang w:val="en-GB"/>
              </w:rPr>
              <w:t>As above for NS</w:t>
            </w:r>
            <w:r w:rsidRPr="009B04D2">
              <w:rPr>
                <w:rFonts w:ascii="Wingdings" w:eastAsia="Wingdings" w:hAnsi="Wingdings" w:cs="Wingdings"/>
                <w:color w:val="000000" w:themeColor="text1"/>
                <w:sz w:val="20"/>
                <w:lang w:val="en-GB"/>
              </w:rPr>
              <w:t></w:t>
            </w:r>
            <w:r w:rsidRPr="009B04D2">
              <w:rPr>
                <w:color w:val="000000" w:themeColor="text1"/>
                <w:sz w:val="20"/>
                <w:lang w:val="en-GB"/>
              </w:rPr>
              <w:t>CS.</w:t>
            </w:r>
          </w:p>
        </w:tc>
      </w:tr>
      <w:tr w:rsidR="006010D6" w:rsidRPr="009B04D2" w14:paraId="4EF20086" w14:textId="77777777" w:rsidTr="00AF2C25">
        <w:trPr>
          <w:trHeight w:val="238"/>
        </w:trPr>
        <w:tc>
          <w:tcPr>
            <w:tcW w:w="2031" w:type="pct"/>
            <w:shd w:val="clear" w:color="auto" w:fill="FFFFFF" w:themeFill="background1"/>
          </w:tcPr>
          <w:p w14:paraId="5E2A4436" w14:textId="77777777" w:rsidR="006010D6" w:rsidRPr="009B04D2" w:rsidRDefault="006010D6" w:rsidP="00AF2C25">
            <w:pPr>
              <w:rPr>
                <w:color w:val="000000" w:themeColor="text1"/>
                <w:sz w:val="20"/>
                <w:lang w:val="en-GB"/>
              </w:rPr>
            </w:pPr>
            <w:r w:rsidRPr="009B04D2">
              <w:rPr>
                <w:color w:val="000000" w:themeColor="text1"/>
                <w:sz w:val="20"/>
                <w:lang w:val="en-GB"/>
              </w:rPr>
              <w:t>CS</w:t>
            </w:r>
            <w:r w:rsidRPr="009B04D2">
              <w:rPr>
                <w:rFonts w:ascii="Wingdings" w:hAnsi="Wingdings"/>
                <w:color w:val="000000" w:themeColor="text1"/>
                <w:sz w:val="20"/>
                <w:lang w:val="en-GB"/>
              </w:rPr>
              <w:t></w:t>
            </w:r>
            <w:r w:rsidRPr="009B04D2">
              <w:rPr>
                <w:color w:val="000000" w:themeColor="text1"/>
                <w:sz w:val="20"/>
                <w:lang w:val="en-GB"/>
              </w:rPr>
              <w:t xml:space="preserve"> FSFV</w:t>
            </w:r>
          </w:p>
          <w:p w14:paraId="1687C2E8" w14:textId="77777777" w:rsidR="006010D6" w:rsidRPr="009B04D2" w:rsidRDefault="006010D6" w:rsidP="00AF2C25">
            <w:pPr>
              <w:rPr>
                <w:color w:val="000000" w:themeColor="text1"/>
                <w:sz w:val="20"/>
                <w:lang w:val="en-GB"/>
              </w:rPr>
            </w:pPr>
            <w:r w:rsidRPr="009B04D2">
              <w:rPr>
                <w:color w:val="000000" w:themeColor="text1"/>
                <w:sz w:val="20"/>
                <w:lang w:val="en-GB"/>
              </w:rPr>
              <w:t>CS</w:t>
            </w:r>
            <w:r w:rsidRPr="009B04D2">
              <w:rPr>
                <w:rFonts w:ascii="Wingdings" w:hAnsi="Wingdings"/>
                <w:color w:val="000000" w:themeColor="text1"/>
                <w:sz w:val="20"/>
                <w:lang w:val="en-GB"/>
              </w:rPr>
              <w:t></w:t>
            </w:r>
            <w:r w:rsidRPr="009B04D2">
              <w:rPr>
                <w:color w:val="000000" w:themeColor="text1"/>
                <w:sz w:val="20"/>
                <w:lang w:val="en-GB"/>
              </w:rPr>
              <w:t xml:space="preserve"> FSCV</w:t>
            </w:r>
          </w:p>
          <w:p w14:paraId="714CF859" w14:textId="77777777" w:rsidR="006010D6" w:rsidRPr="009B04D2" w:rsidRDefault="006010D6" w:rsidP="00AF2C25">
            <w:pPr>
              <w:rPr>
                <w:color w:val="000000" w:themeColor="text1"/>
                <w:sz w:val="20"/>
                <w:lang w:val="en-GB"/>
              </w:rPr>
            </w:pPr>
            <w:r w:rsidRPr="009B04D2">
              <w:rPr>
                <w:color w:val="000000" w:themeColor="text1"/>
                <w:sz w:val="20"/>
                <w:lang w:val="en-GB"/>
              </w:rPr>
              <w:t>DU</w:t>
            </w:r>
            <w:r w:rsidRPr="009B04D2">
              <w:rPr>
                <w:rFonts w:ascii="Wingdings" w:hAnsi="Wingdings"/>
                <w:color w:val="000000" w:themeColor="text1"/>
                <w:sz w:val="20"/>
                <w:lang w:val="en-GB"/>
              </w:rPr>
              <w:t></w:t>
            </w:r>
            <w:r w:rsidRPr="009B04D2">
              <w:rPr>
                <w:color w:val="000000" w:themeColor="text1"/>
                <w:sz w:val="20"/>
                <w:lang w:val="en-GB"/>
              </w:rPr>
              <w:t xml:space="preserve"> FSFV</w:t>
            </w:r>
          </w:p>
          <w:p w14:paraId="30E065C5" w14:textId="77777777" w:rsidR="006010D6" w:rsidRPr="009B04D2" w:rsidRDefault="006010D6" w:rsidP="00AF2C25">
            <w:pPr>
              <w:rPr>
                <w:color w:val="000000" w:themeColor="text1"/>
                <w:sz w:val="20"/>
                <w:lang w:val="en-GB"/>
              </w:rPr>
            </w:pPr>
            <w:r w:rsidRPr="009B04D2">
              <w:rPr>
                <w:color w:val="000000" w:themeColor="text1"/>
                <w:sz w:val="20"/>
                <w:lang w:val="en-GB"/>
              </w:rPr>
              <w:t>DU</w:t>
            </w:r>
            <w:r w:rsidRPr="009B04D2">
              <w:rPr>
                <w:rFonts w:ascii="Wingdings" w:hAnsi="Wingdings"/>
                <w:color w:val="000000" w:themeColor="text1"/>
                <w:sz w:val="20"/>
                <w:lang w:val="en-GB"/>
              </w:rPr>
              <w:t></w:t>
            </w:r>
            <w:r w:rsidRPr="009B04D2">
              <w:rPr>
                <w:color w:val="000000" w:themeColor="text1"/>
                <w:sz w:val="20"/>
                <w:lang w:val="en-GB"/>
              </w:rPr>
              <w:t xml:space="preserve"> FSCV</w:t>
            </w:r>
          </w:p>
        </w:tc>
        <w:tc>
          <w:tcPr>
            <w:tcW w:w="2969" w:type="pct"/>
            <w:shd w:val="clear" w:color="auto" w:fill="FFFFFF" w:themeFill="background1"/>
          </w:tcPr>
          <w:p w14:paraId="2BACFEB9" w14:textId="22BBC6E6" w:rsidR="006010D6" w:rsidRPr="009B04D2" w:rsidRDefault="006010D6" w:rsidP="00AF2C25">
            <w:pPr>
              <w:spacing w:before="20" w:after="20"/>
              <w:rPr>
                <w:color w:val="000000" w:themeColor="text1"/>
                <w:sz w:val="20"/>
                <w:lang w:val="en-GB"/>
              </w:rPr>
            </w:pPr>
            <w:r w:rsidRPr="009B04D2">
              <w:rPr>
                <w:color w:val="000000" w:themeColor="text1"/>
                <w:sz w:val="20"/>
                <w:lang w:val="en-GB"/>
              </w:rPr>
              <w:t xml:space="preserve">As a low estimate of one-off quitting, we used that from studies modelling reducing retail outlets in terms of increased travel costs </w:t>
            </w:r>
            <w:r w:rsidRPr="009B04D2">
              <w:rPr>
                <w:color w:val="000000" w:themeColor="text1"/>
                <w:sz w:val="20"/>
                <w:vertAlign w:val="superscript"/>
                <w:lang w:val="en-GB"/>
              </w:rPr>
              <w:fldChar w:fldCharType="begin">
                <w:fldData xml:space="preserve">PEVuZE5vdGU+PENpdGU+PEF1dGhvcj5QZXRyb3ZpYy1WYW4gRGVyIERlZW48L0F1dGhvcj48WWVh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</w:fldData>
              </w:fldChar>
            </w:r>
            <w:r w:rsidR="00394C12">
              <w:rPr>
                <w:color w:val="000000" w:themeColor="text1"/>
                <w:sz w:val="20"/>
                <w:vertAlign w:val="superscript"/>
                <w:lang w:val="en-GB"/>
              </w:rPr>
              <w:instrText xml:space="preserve"> ADDIN EN.CITE </w:instrText>
            </w:r>
            <w:r w:rsidR="00394C12">
              <w:rPr>
                <w:color w:val="000000" w:themeColor="text1"/>
                <w:sz w:val="20"/>
                <w:vertAlign w:val="superscript"/>
                <w:lang w:val="en-GB"/>
              </w:rPr>
              <w:fldChar w:fldCharType="begin">
                <w:fldData xml:space="preserve">PEVuZE5vdGU+PENpdGU+PEF1dGhvcj5QZXRyb3ZpYy1WYW4gRGVyIERlZW48L0F1dGhvcj48WWVh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</w:fldData>
              </w:fldChar>
            </w:r>
            <w:r w:rsidR="00394C12">
              <w:rPr>
                <w:color w:val="000000" w:themeColor="text1"/>
                <w:sz w:val="20"/>
                <w:vertAlign w:val="superscript"/>
                <w:lang w:val="en-GB"/>
              </w:rPr>
              <w:instrText xml:space="preserve"> ADDIN EN.CITE.DATA </w:instrText>
            </w:r>
            <w:r w:rsidR="00394C12">
              <w:rPr>
                <w:color w:val="000000" w:themeColor="text1"/>
                <w:sz w:val="20"/>
                <w:vertAlign w:val="superscript"/>
                <w:lang w:val="en-GB"/>
              </w:rPr>
            </w:r>
            <w:r w:rsidR="00394C12">
              <w:rPr>
                <w:color w:val="000000" w:themeColor="text1"/>
                <w:sz w:val="20"/>
                <w:vertAlign w:val="superscript"/>
                <w:lang w:val="en-GB"/>
              </w:rPr>
              <w:fldChar w:fldCharType="end"/>
            </w:r>
            <w:r w:rsidRPr="009B04D2">
              <w:rPr>
                <w:color w:val="000000" w:themeColor="text1"/>
                <w:sz w:val="20"/>
                <w:vertAlign w:val="superscript"/>
                <w:lang w:val="en-GB"/>
              </w:rPr>
            </w:r>
            <w:r w:rsidRPr="009B04D2">
              <w:rPr>
                <w:color w:val="000000" w:themeColor="text1"/>
                <w:sz w:val="20"/>
                <w:vertAlign w:val="superscript"/>
                <w:lang w:val="en-GB"/>
              </w:rPr>
              <w:fldChar w:fldCharType="separate"/>
            </w:r>
            <w:r w:rsidR="00394C12">
              <w:rPr>
                <w:noProof/>
                <w:color w:val="000000" w:themeColor="text1"/>
                <w:sz w:val="20"/>
                <w:vertAlign w:val="superscript"/>
                <w:lang w:val="en-GB"/>
              </w:rPr>
              <w:t>2</w:t>
            </w:r>
            <w:r w:rsidRPr="009B04D2">
              <w:rPr>
                <w:color w:val="000000" w:themeColor="text1"/>
                <w:sz w:val="20"/>
                <w:vertAlign w:val="superscript"/>
                <w:lang w:val="en-GB"/>
              </w:rPr>
              <w:fldChar w:fldCharType="end"/>
            </w:r>
            <w:r w:rsidRPr="009B04D2">
              <w:rPr>
                <w:color w:val="000000" w:themeColor="text1"/>
                <w:sz w:val="20"/>
                <w:lang w:val="en-GB"/>
              </w:rPr>
              <w:t xml:space="preserve">: a reduction in the prevalence of 15.6% for Māori, and 16.0% for non-Māori – or 15.8% overall.  </w:t>
            </w:r>
          </w:p>
          <w:p w14:paraId="26B4D5FA" w14:textId="3DEB49DD" w:rsidR="006010D6" w:rsidRPr="009B04D2" w:rsidRDefault="006010D6" w:rsidP="00AF2C25">
            <w:pPr>
              <w:spacing w:before="40" w:after="20"/>
              <w:rPr>
                <w:color w:val="000000" w:themeColor="text1"/>
                <w:sz w:val="20"/>
                <w:lang w:val="en-GB"/>
              </w:rPr>
            </w:pPr>
            <w:r w:rsidRPr="009B04D2">
              <w:rPr>
                <w:color w:val="000000" w:themeColor="text1"/>
                <w:sz w:val="20"/>
                <w:lang w:val="en-GB"/>
              </w:rPr>
              <w:t xml:space="preserve">As a high estimate, we used that from the NZ ITC study where – in response to a question whether they would quit in response to a 95% reduction in retail outlets - 23.0% said they would quit (half quitting </w:t>
            </w:r>
            <w:r w:rsidRPr="009B04D2">
              <w:rPr>
                <w:rFonts w:ascii="Wingdings" w:eastAsia="Wingdings" w:hAnsi="Wingdings" w:cs="Wingdings"/>
                <w:color w:val="000000" w:themeColor="text1"/>
                <w:sz w:val="20"/>
                <w:lang w:val="en-GB"/>
              </w:rPr>
              <w:t></w:t>
            </w:r>
            <w:r w:rsidRPr="009B04D2">
              <w:rPr>
                <w:color w:val="000000" w:themeColor="text1"/>
                <w:sz w:val="20"/>
                <w:lang w:val="en-GB"/>
              </w:rPr>
              <w:t xml:space="preserve"> FSFV, half switching to FSCV).</w:t>
            </w:r>
            <w:r w:rsidRPr="009B04D2">
              <w:rPr>
                <w:color w:val="000000" w:themeColor="text1"/>
                <w:sz w:val="20"/>
                <w:lang w:val="en-GB"/>
              </w:rPr>
              <w:fldChar w:fldCharType="begin">
                <w:fldData xml:space="preserve">PEVuZE5vdGU+PENpdGU+PEF1dGhvcj5FZHdhcmRzPC9BdXRob3I+PFllYXI+MjAyMTwvWWVhcj48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</w:fldData>
              </w:fldChar>
            </w:r>
            <w:r w:rsidR="00394C12">
              <w:rPr>
                <w:color w:val="000000" w:themeColor="text1"/>
                <w:sz w:val="20"/>
                <w:lang w:val="en-GB"/>
              </w:rPr>
              <w:instrText xml:space="preserve"> ADDIN EN.CITE </w:instrText>
            </w:r>
            <w:r w:rsidR="00394C12">
              <w:rPr>
                <w:color w:val="000000" w:themeColor="text1"/>
                <w:sz w:val="20"/>
                <w:lang w:val="en-GB"/>
              </w:rPr>
              <w:fldChar w:fldCharType="begin">
                <w:fldData xml:space="preserve">PEVuZE5vdGU+PENpdGU+PEF1dGhvcj5FZHdhcmRzPC9BdXRob3I+PFllYXI+MjAyMTwvWWVhcj48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</w:fldData>
              </w:fldChar>
            </w:r>
            <w:r w:rsidR="00394C12">
              <w:rPr>
                <w:color w:val="000000" w:themeColor="text1"/>
                <w:sz w:val="20"/>
                <w:lang w:val="en-GB"/>
              </w:rPr>
              <w:instrText xml:space="preserve"> ADDIN EN.CITE.DATA </w:instrText>
            </w:r>
            <w:r w:rsidR="00394C12">
              <w:rPr>
                <w:color w:val="000000" w:themeColor="text1"/>
                <w:sz w:val="20"/>
                <w:lang w:val="en-GB"/>
              </w:rPr>
            </w:r>
            <w:r w:rsidR="00394C12">
              <w:rPr>
                <w:color w:val="000000" w:themeColor="text1"/>
                <w:sz w:val="20"/>
                <w:lang w:val="en-GB"/>
              </w:rPr>
              <w:fldChar w:fldCharType="end"/>
            </w:r>
            <w:r w:rsidRPr="009B04D2">
              <w:rPr>
                <w:color w:val="000000" w:themeColor="text1"/>
                <w:sz w:val="20"/>
                <w:lang w:val="en-GB"/>
              </w:rPr>
            </w:r>
            <w:r w:rsidRPr="009B04D2">
              <w:rPr>
                <w:color w:val="000000" w:themeColor="text1"/>
                <w:sz w:val="20"/>
                <w:lang w:val="en-GB"/>
              </w:rPr>
              <w:fldChar w:fldCharType="separate"/>
            </w:r>
            <w:r w:rsidR="00394C12" w:rsidRPr="00394C12">
              <w:rPr>
                <w:noProof/>
                <w:color w:val="000000" w:themeColor="text1"/>
                <w:sz w:val="20"/>
                <w:vertAlign w:val="superscript"/>
                <w:lang w:val="en-GB"/>
              </w:rPr>
              <w:t>3</w:t>
            </w:r>
            <w:r w:rsidRPr="009B04D2">
              <w:rPr>
                <w:color w:val="000000" w:themeColor="text1"/>
                <w:sz w:val="20"/>
                <w:lang w:val="en-GB"/>
              </w:rPr>
              <w:fldChar w:fldCharType="end"/>
            </w:r>
            <w:r w:rsidRPr="009B04D2">
              <w:rPr>
                <w:color w:val="000000" w:themeColor="text1"/>
                <w:sz w:val="20"/>
                <w:lang w:val="en-GB"/>
              </w:rPr>
              <w:t xml:space="preserve"> </w:t>
            </w:r>
          </w:p>
          <w:p w14:paraId="02819856" w14:textId="77777777" w:rsidR="006010D6" w:rsidRPr="009B04D2" w:rsidRDefault="006010D6" w:rsidP="00AF2C25">
            <w:pPr>
              <w:spacing w:before="40" w:after="20"/>
              <w:rPr>
                <w:color w:val="000000" w:themeColor="text1"/>
                <w:sz w:val="20"/>
                <w:lang w:val="en-GB"/>
              </w:rPr>
            </w:pPr>
            <w:r w:rsidRPr="009B04D2">
              <w:rPr>
                <w:color w:val="000000" w:themeColor="text1"/>
                <w:sz w:val="20"/>
                <w:lang w:val="en-GB"/>
              </w:rPr>
              <w:t>Placing the mean at 19.4% (average of above 15.8% and 23%) and using 15.8% and 23% as one SD either side of the mean (SD = 3.6%), we parameterised the one-off increase in smoking net cessation as X=Beta (23.4, 97.2), median 19.2% (i.e., percentage point increase), 95%UI: 12.9% to 26.9%. Note this increase was on top of BAU transition probabilities and halved over CS</w:t>
            </w:r>
            <w:r w:rsidRPr="009B04D2">
              <w:rPr>
                <w:rFonts w:ascii="Wingdings" w:eastAsia="Wingdings" w:hAnsi="Wingdings" w:cs="Wingdings"/>
                <w:color w:val="000000" w:themeColor="text1"/>
                <w:sz w:val="20"/>
                <w:lang w:val="en-GB"/>
              </w:rPr>
              <w:t></w:t>
            </w:r>
            <w:r w:rsidRPr="009B04D2">
              <w:rPr>
                <w:color w:val="000000" w:themeColor="text1"/>
                <w:sz w:val="20"/>
                <w:lang w:val="en-GB"/>
              </w:rPr>
              <w:t>FSFV and CS</w:t>
            </w:r>
            <w:r w:rsidRPr="009B04D2">
              <w:rPr>
                <w:rFonts w:ascii="Wingdings" w:eastAsia="Wingdings" w:hAnsi="Wingdings" w:cs="Wingdings"/>
                <w:color w:val="000000" w:themeColor="text1"/>
                <w:sz w:val="20"/>
                <w:lang w:val="en-GB"/>
              </w:rPr>
              <w:t></w:t>
            </w:r>
            <w:r w:rsidRPr="009B04D2">
              <w:rPr>
                <w:color w:val="000000" w:themeColor="text1"/>
                <w:sz w:val="20"/>
                <w:lang w:val="en-GB"/>
              </w:rPr>
              <w:t>FSCV and halved over DU</w:t>
            </w:r>
            <w:r w:rsidRPr="009B04D2">
              <w:rPr>
                <w:rFonts w:ascii="Wingdings" w:eastAsia="Wingdings" w:hAnsi="Wingdings" w:cs="Wingdings"/>
                <w:color w:val="000000" w:themeColor="text1"/>
                <w:sz w:val="20"/>
                <w:lang w:val="en-GB"/>
              </w:rPr>
              <w:t></w:t>
            </w:r>
            <w:r w:rsidRPr="009B04D2">
              <w:rPr>
                <w:color w:val="000000" w:themeColor="text1"/>
                <w:sz w:val="20"/>
                <w:lang w:val="en-GB"/>
              </w:rPr>
              <w:t>FSFV and DU</w:t>
            </w:r>
            <w:r w:rsidRPr="009B04D2">
              <w:rPr>
                <w:rFonts w:ascii="Wingdings" w:eastAsia="Wingdings" w:hAnsi="Wingdings" w:cs="Wingdings"/>
                <w:color w:val="000000" w:themeColor="text1"/>
                <w:sz w:val="20"/>
                <w:lang w:val="en-GB"/>
              </w:rPr>
              <w:t></w:t>
            </w:r>
            <w:r w:rsidRPr="009B04D2">
              <w:rPr>
                <w:color w:val="000000" w:themeColor="text1"/>
                <w:sz w:val="20"/>
                <w:lang w:val="en-GB"/>
              </w:rPr>
              <w:t>FSCV. E.g., if the CS</w:t>
            </w:r>
            <w:r w:rsidRPr="009B04D2">
              <w:rPr>
                <w:rFonts w:ascii="Wingdings" w:eastAsia="Wingdings" w:hAnsi="Wingdings" w:cs="Wingdings"/>
                <w:color w:val="000000" w:themeColor="text1"/>
                <w:sz w:val="20"/>
                <w:lang w:val="en-GB"/>
              </w:rPr>
              <w:t></w:t>
            </w:r>
            <w:r w:rsidRPr="009B04D2">
              <w:rPr>
                <w:color w:val="000000" w:themeColor="text1"/>
                <w:sz w:val="20"/>
                <w:lang w:val="en-GB"/>
              </w:rPr>
              <w:t>FSFV was 5%, the intervention CS</w:t>
            </w:r>
            <w:r w:rsidRPr="009B04D2">
              <w:rPr>
                <w:rFonts w:ascii="Wingdings" w:eastAsia="Wingdings" w:hAnsi="Wingdings" w:cs="Wingdings"/>
                <w:color w:val="000000" w:themeColor="text1"/>
                <w:sz w:val="20"/>
                <w:lang w:val="en-GB"/>
              </w:rPr>
              <w:t></w:t>
            </w:r>
            <w:r w:rsidRPr="009B04D2">
              <w:rPr>
                <w:color w:val="000000" w:themeColor="text1"/>
                <w:sz w:val="20"/>
                <w:lang w:val="en-GB"/>
              </w:rPr>
              <w:t xml:space="preserve">FSFV transition </w:t>
            </w:r>
            <w:r w:rsidRPr="009B04D2">
              <w:rPr>
                <w:color w:val="000000" w:themeColor="text1"/>
                <w:sz w:val="20"/>
                <w:lang w:val="en-GB"/>
              </w:rPr>
              <w:lastRenderedPageBreak/>
              <w:t xml:space="preserve">probability was 5% + (1-5%) × 0.5 × X%. </w:t>
            </w:r>
          </w:p>
          <w:p w14:paraId="40BDDDC7" w14:textId="77777777" w:rsidR="006010D6" w:rsidRPr="009B04D2" w:rsidRDefault="006010D6" w:rsidP="00AF2C25">
            <w:pPr>
              <w:spacing w:before="20" w:after="20"/>
              <w:rPr>
                <w:color w:val="000000" w:themeColor="text1"/>
                <w:sz w:val="20"/>
                <w:lang w:val="en-GB"/>
              </w:rPr>
            </w:pPr>
            <w:r w:rsidRPr="009B04D2">
              <w:rPr>
                <w:color w:val="000000" w:themeColor="text1"/>
                <w:sz w:val="20"/>
                <w:lang w:val="en-GB"/>
              </w:rPr>
              <w:t xml:space="preserve">This effect was in the year of intervention only– in years after the retail outlet restriction, the transition probabilities out of CS and DU reverted to BAU. </w:t>
            </w:r>
          </w:p>
        </w:tc>
      </w:tr>
      <w:tr w:rsidR="006010D6" w:rsidRPr="009B04D2" w14:paraId="3F303085" w14:textId="77777777" w:rsidTr="00AF2C25">
        <w:trPr>
          <w:trHeight w:val="238"/>
        </w:trPr>
        <w:tc>
          <w:tcPr>
            <w:tcW w:w="2031" w:type="pct"/>
            <w:shd w:val="clear" w:color="auto" w:fill="FFFFFF" w:themeFill="background1"/>
          </w:tcPr>
          <w:p w14:paraId="350AEE5F" w14:textId="77777777" w:rsidR="006010D6" w:rsidRPr="009B04D2" w:rsidRDefault="006010D6" w:rsidP="00AF2C25">
            <w:pPr>
              <w:rPr>
                <w:color w:val="000000" w:themeColor="text1"/>
                <w:sz w:val="20"/>
                <w:lang w:val="en-GB"/>
              </w:rPr>
            </w:pPr>
            <w:r w:rsidRPr="009B04D2">
              <w:rPr>
                <w:color w:val="000000" w:themeColor="text1"/>
                <w:sz w:val="20"/>
                <w:lang w:val="en-GB"/>
              </w:rPr>
              <w:lastRenderedPageBreak/>
              <w:t>NS</w:t>
            </w:r>
            <w:r w:rsidRPr="009B04D2">
              <w:rPr>
                <w:rFonts w:ascii="Wingdings" w:hAnsi="Wingdings"/>
                <w:color w:val="000000" w:themeColor="text1"/>
                <w:sz w:val="20"/>
                <w:lang w:val="en-GB"/>
              </w:rPr>
              <w:t></w:t>
            </w:r>
            <w:r w:rsidRPr="009B04D2">
              <w:rPr>
                <w:color w:val="000000" w:themeColor="text1"/>
                <w:sz w:val="20"/>
                <w:lang w:val="en-GB"/>
              </w:rPr>
              <w:t>NSCV</w:t>
            </w:r>
          </w:p>
        </w:tc>
        <w:tc>
          <w:tcPr>
            <w:tcW w:w="2969" w:type="pct"/>
            <w:shd w:val="clear" w:color="auto" w:fill="FFFFFF" w:themeFill="background1"/>
          </w:tcPr>
          <w:p w14:paraId="7F67763E" w14:textId="77777777" w:rsidR="006010D6" w:rsidRPr="009B04D2" w:rsidRDefault="006010D6" w:rsidP="00AF2C25">
            <w:pPr>
              <w:spacing w:before="20" w:after="20"/>
              <w:rPr>
                <w:color w:val="000000" w:themeColor="text1"/>
                <w:sz w:val="20"/>
                <w:lang w:val="en-GB"/>
              </w:rPr>
            </w:pPr>
            <w:r w:rsidRPr="009B04D2">
              <w:rPr>
                <w:color w:val="000000" w:themeColor="text1"/>
                <w:sz w:val="20"/>
                <w:lang w:val="en-GB"/>
              </w:rPr>
              <w:t>Unchanged</w:t>
            </w:r>
          </w:p>
        </w:tc>
      </w:tr>
      <w:tr w:rsidR="006010D6" w:rsidRPr="009B04D2" w14:paraId="5219BD69" w14:textId="77777777" w:rsidTr="00AF2C25">
        <w:trPr>
          <w:trHeight w:val="238"/>
        </w:trPr>
        <w:tc>
          <w:tcPr>
            <w:tcW w:w="5000" w:type="pct"/>
            <w:gridSpan w:val="2"/>
            <w:shd w:val="clear" w:color="auto" w:fill="F2F2F2" w:themeFill="background1" w:themeFillShade="F2"/>
          </w:tcPr>
          <w:p w14:paraId="36C22BDE" w14:textId="77777777" w:rsidR="006010D6" w:rsidRPr="009B04D2" w:rsidRDefault="006010D6" w:rsidP="00AF2C25">
            <w:pPr>
              <w:spacing w:before="40" w:after="80"/>
              <w:rPr>
                <w:b/>
                <w:bCs/>
                <w:color w:val="000000" w:themeColor="text1"/>
                <w:sz w:val="20"/>
                <w:lang w:val="en-GB"/>
              </w:rPr>
            </w:pPr>
            <w:r w:rsidRPr="009B04D2">
              <w:rPr>
                <w:b/>
                <w:bCs/>
                <w:i/>
                <w:color w:val="000000" w:themeColor="text1"/>
                <w:sz w:val="20"/>
                <w:lang w:val="en-GB"/>
              </w:rPr>
              <w:t>Tobacco-free generation</w:t>
            </w:r>
          </w:p>
        </w:tc>
      </w:tr>
      <w:tr w:rsidR="006010D6" w:rsidRPr="009B04D2" w14:paraId="137246D8" w14:textId="77777777" w:rsidTr="00AF2C25">
        <w:tc>
          <w:tcPr>
            <w:tcW w:w="2031" w:type="pct"/>
            <w:shd w:val="clear" w:color="auto" w:fill="FFFFFF" w:themeFill="background1"/>
          </w:tcPr>
          <w:p w14:paraId="40845636" w14:textId="77777777" w:rsidR="006010D6" w:rsidRPr="009B04D2" w:rsidRDefault="006010D6" w:rsidP="00AF2C25">
            <w:pPr>
              <w:rPr>
                <w:color w:val="000000" w:themeColor="text1"/>
                <w:sz w:val="20"/>
                <w:lang w:val="en-GB"/>
              </w:rPr>
            </w:pPr>
            <w:r w:rsidRPr="009B04D2">
              <w:rPr>
                <w:color w:val="000000" w:themeColor="text1"/>
                <w:sz w:val="20"/>
                <w:lang w:val="en-GB"/>
              </w:rPr>
              <w:t>Smoking initiation rate (NS</w:t>
            </w:r>
            <w:r w:rsidRPr="009B04D2">
              <w:rPr>
                <w:rFonts w:ascii="Wingdings" w:hAnsi="Wingdings"/>
                <w:color w:val="000000" w:themeColor="text1"/>
                <w:sz w:val="20"/>
                <w:lang w:val="en-GB"/>
              </w:rPr>
              <w:t></w:t>
            </w:r>
            <w:r w:rsidRPr="009B04D2">
              <w:rPr>
                <w:color w:val="000000" w:themeColor="text1"/>
                <w:sz w:val="20"/>
                <w:lang w:val="en-GB"/>
              </w:rPr>
              <w:t xml:space="preserve"> CS; occurs only at age 20)</w:t>
            </w:r>
          </w:p>
        </w:tc>
        <w:tc>
          <w:tcPr>
            <w:tcW w:w="2969" w:type="pct"/>
            <w:shd w:val="clear" w:color="auto" w:fill="FFFFFF" w:themeFill="background1"/>
          </w:tcPr>
          <w:p w14:paraId="2FEC3321" w14:textId="77777777" w:rsidR="006010D6" w:rsidRPr="009B04D2" w:rsidRDefault="006010D6" w:rsidP="00AF2C25">
            <w:pPr>
              <w:spacing w:before="20" w:after="20"/>
              <w:rPr>
                <w:color w:val="000000" w:themeColor="text1"/>
                <w:sz w:val="20"/>
                <w:lang w:val="en-GB"/>
              </w:rPr>
            </w:pPr>
            <w:r w:rsidRPr="009B04D2">
              <w:rPr>
                <w:color w:val="000000" w:themeColor="text1"/>
                <w:sz w:val="20"/>
                <w:lang w:val="en-GB"/>
              </w:rPr>
              <w:t xml:space="preserve">For two reasons, a tobacco-free generation proposal will not immediately achieve zero uptake at age 20; 1) our model for parsimony assumes all uptake at age 20, but the minimum legal age of purchasing is 18 years; 2) social supply will allow some young people to keep initiating. We therefore assumed that initiation at age 20 in our model (essentially an average of all initiation by [say] age 25) will asymptote to a mean of X=10% (SD 5%) of BAU in 10 years (Beta (3.6, 32.4), median 9.3%, 95%UI: 2.6% to 21.5%), with the scalar of BAU initiation rate of X^(t/10) for t = 1 to 10 years after the tobacco-free generation policy is implemented, then X of BAU initiation thereafter. </w:t>
            </w:r>
          </w:p>
        </w:tc>
      </w:tr>
      <w:tr w:rsidR="006010D6" w:rsidRPr="009B04D2" w14:paraId="2D28594D" w14:textId="77777777" w:rsidTr="00AF2C25">
        <w:trPr>
          <w:trHeight w:val="238"/>
        </w:trPr>
        <w:tc>
          <w:tcPr>
            <w:tcW w:w="2031" w:type="pct"/>
            <w:shd w:val="clear" w:color="auto" w:fill="FFFFFF" w:themeFill="background1"/>
          </w:tcPr>
          <w:p w14:paraId="22147562" w14:textId="77777777" w:rsidR="006010D6" w:rsidRPr="009B04D2" w:rsidRDefault="006010D6" w:rsidP="00AF2C25">
            <w:pPr>
              <w:rPr>
                <w:color w:val="000000" w:themeColor="text1"/>
                <w:sz w:val="20"/>
                <w:lang w:val="en-GB"/>
              </w:rPr>
            </w:pPr>
            <w:r w:rsidRPr="009B04D2">
              <w:rPr>
                <w:color w:val="000000" w:themeColor="text1"/>
                <w:sz w:val="20"/>
                <w:lang w:val="en-GB"/>
              </w:rPr>
              <w:t>NS</w:t>
            </w:r>
            <w:r w:rsidRPr="009B04D2">
              <w:rPr>
                <w:rFonts w:ascii="Wingdings" w:hAnsi="Wingdings"/>
                <w:color w:val="000000" w:themeColor="text1"/>
                <w:sz w:val="20"/>
                <w:lang w:val="en-GB"/>
              </w:rPr>
              <w:t></w:t>
            </w:r>
            <w:r w:rsidRPr="009B04D2">
              <w:rPr>
                <w:color w:val="000000" w:themeColor="text1"/>
                <w:sz w:val="20"/>
                <w:lang w:val="en-GB"/>
              </w:rPr>
              <w:t xml:space="preserve"> DU</w:t>
            </w:r>
          </w:p>
        </w:tc>
        <w:tc>
          <w:tcPr>
            <w:tcW w:w="2969" w:type="pct"/>
            <w:shd w:val="clear" w:color="auto" w:fill="FFFFFF" w:themeFill="background1"/>
          </w:tcPr>
          <w:p w14:paraId="05E7EAD3" w14:textId="77777777" w:rsidR="006010D6" w:rsidRPr="009B04D2" w:rsidRDefault="006010D6" w:rsidP="00AF2C25">
            <w:pPr>
              <w:spacing w:before="20" w:after="20"/>
              <w:rPr>
                <w:color w:val="000000" w:themeColor="text1"/>
                <w:sz w:val="20"/>
                <w:lang w:val="en-GB"/>
              </w:rPr>
            </w:pPr>
            <w:r w:rsidRPr="009B04D2">
              <w:rPr>
                <w:color w:val="000000" w:themeColor="text1"/>
                <w:sz w:val="20"/>
                <w:lang w:val="en-GB"/>
              </w:rPr>
              <w:t>As above for NS</w:t>
            </w:r>
            <w:r w:rsidRPr="009B04D2">
              <w:rPr>
                <w:rFonts w:ascii="Wingdings" w:eastAsia="Wingdings" w:hAnsi="Wingdings" w:cs="Wingdings"/>
                <w:color w:val="000000" w:themeColor="text1"/>
                <w:sz w:val="20"/>
                <w:lang w:val="en-GB"/>
              </w:rPr>
              <w:t></w:t>
            </w:r>
            <w:r w:rsidRPr="009B04D2">
              <w:rPr>
                <w:color w:val="000000" w:themeColor="text1"/>
                <w:sz w:val="20"/>
                <w:lang w:val="en-GB"/>
              </w:rPr>
              <w:t>CS.</w:t>
            </w:r>
          </w:p>
        </w:tc>
      </w:tr>
      <w:tr w:rsidR="006010D6" w:rsidRPr="009B04D2" w14:paraId="00754664" w14:textId="77777777" w:rsidTr="00AF2C25">
        <w:trPr>
          <w:trHeight w:val="238"/>
        </w:trPr>
        <w:tc>
          <w:tcPr>
            <w:tcW w:w="2031" w:type="pct"/>
            <w:shd w:val="clear" w:color="auto" w:fill="FFFFFF" w:themeFill="background1"/>
          </w:tcPr>
          <w:p w14:paraId="7FF69EBC" w14:textId="77777777" w:rsidR="006010D6" w:rsidRPr="009B04D2" w:rsidRDefault="006010D6" w:rsidP="00AF2C25">
            <w:pPr>
              <w:rPr>
                <w:color w:val="000000" w:themeColor="text1"/>
                <w:sz w:val="20"/>
                <w:lang w:val="en-GB"/>
              </w:rPr>
            </w:pPr>
            <w:r w:rsidRPr="009B04D2">
              <w:rPr>
                <w:color w:val="000000" w:themeColor="text1"/>
                <w:sz w:val="20"/>
                <w:lang w:val="en-GB"/>
              </w:rPr>
              <w:t>NS</w:t>
            </w:r>
            <w:r w:rsidRPr="009B04D2">
              <w:rPr>
                <w:rFonts w:ascii="Wingdings" w:hAnsi="Wingdings"/>
                <w:color w:val="000000" w:themeColor="text1"/>
                <w:sz w:val="20"/>
                <w:lang w:val="en-GB"/>
              </w:rPr>
              <w:t></w:t>
            </w:r>
            <w:r w:rsidRPr="009B04D2">
              <w:rPr>
                <w:color w:val="000000" w:themeColor="text1"/>
                <w:sz w:val="20"/>
                <w:lang w:val="en-GB"/>
              </w:rPr>
              <w:t xml:space="preserve"> NSCV</w:t>
            </w:r>
          </w:p>
        </w:tc>
        <w:tc>
          <w:tcPr>
            <w:tcW w:w="2969" w:type="pct"/>
            <w:shd w:val="clear" w:color="auto" w:fill="FFFFFF" w:themeFill="background1"/>
          </w:tcPr>
          <w:p w14:paraId="3334823E" w14:textId="77777777" w:rsidR="006010D6" w:rsidRPr="009B04D2" w:rsidRDefault="006010D6" w:rsidP="00AF2C25">
            <w:pPr>
              <w:spacing w:before="20" w:after="20"/>
              <w:rPr>
                <w:color w:val="000000" w:themeColor="text1"/>
                <w:sz w:val="20"/>
                <w:lang w:val="en-GB"/>
              </w:rPr>
            </w:pPr>
            <w:r w:rsidRPr="009B04D2">
              <w:rPr>
                <w:color w:val="000000" w:themeColor="text1"/>
                <w:sz w:val="20"/>
                <w:lang w:val="en-GB"/>
              </w:rPr>
              <w:t>Unchanged†</w:t>
            </w:r>
          </w:p>
        </w:tc>
      </w:tr>
      <w:tr w:rsidR="006010D6" w:rsidRPr="009B04D2" w14:paraId="3904EFE2" w14:textId="77777777" w:rsidTr="00AF2C25">
        <w:trPr>
          <w:trHeight w:val="238"/>
        </w:trPr>
        <w:tc>
          <w:tcPr>
            <w:tcW w:w="5000" w:type="pct"/>
            <w:gridSpan w:val="2"/>
            <w:shd w:val="clear" w:color="auto" w:fill="F2F2F2" w:themeFill="background1" w:themeFillShade="F2"/>
          </w:tcPr>
          <w:p w14:paraId="2E1A10D8" w14:textId="60651E7E" w:rsidR="006010D6" w:rsidRPr="009B04D2" w:rsidRDefault="006010D6" w:rsidP="00AF2C25">
            <w:pPr>
              <w:spacing w:before="40" w:after="80"/>
              <w:rPr>
                <w:b/>
                <w:bCs/>
                <w:color w:val="000000" w:themeColor="text1"/>
                <w:sz w:val="20"/>
                <w:lang w:val="en-GB"/>
              </w:rPr>
            </w:pPr>
            <w:r w:rsidRPr="009B04D2">
              <w:rPr>
                <w:b/>
                <w:bCs/>
                <w:i/>
                <w:color w:val="000000" w:themeColor="text1"/>
                <w:sz w:val="20"/>
                <w:lang w:val="en-GB"/>
              </w:rPr>
              <w:t xml:space="preserve">Combined: Denicotinisation + </w:t>
            </w:r>
            <w:r>
              <w:rPr>
                <w:b/>
                <w:bCs/>
                <w:i/>
                <w:color w:val="000000" w:themeColor="text1"/>
                <w:sz w:val="20"/>
                <w:lang w:val="en-GB"/>
              </w:rPr>
              <w:t>media +</w:t>
            </w:r>
            <w:r w:rsidRPr="009B04D2">
              <w:rPr>
                <w:b/>
                <w:bCs/>
                <w:i/>
                <w:color w:val="000000" w:themeColor="text1"/>
                <w:sz w:val="20"/>
                <w:lang w:val="en-GB"/>
              </w:rPr>
              <w:t xml:space="preserve">retail + tobacco-free </w:t>
            </w:r>
            <w:r>
              <w:rPr>
                <w:b/>
                <w:bCs/>
                <w:i/>
                <w:color w:val="000000" w:themeColor="text1"/>
                <w:sz w:val="20"/>
                <w:lang w:val="en-GB"/>
              </w:rPr>
              <w:t>generation</w:t>
            </w:r>
          </w:p>
        </w:tc>
      </w:tr>
      <w:tr w:rsidR="006010D6" w:rsidRPr="009B04D2" w14:paraId="5AEA0952" w14:textId="77777777" w:rsidTr="00AF2C25">
        <w:tc>
          <w:tcPr>
            <w:tcW w:w="2031" w:type="pct"/>
            <w:shd w:val="clear" w:color="auto" w:fill="FFFFFF" w:themeFill="background1"/>
          </w:tcPr>
          <w:p w14:paraId="0D738609" w14:textId="77777777" w:rsidR="006010D6" w:rsidRPr="009B04D2" w:rsidRDefault="006010D6" w:rsidP="00AF2C25">
            <w:pPr>
              <w:rPr>
                <w:color w:val="000000" w:themeColor="text1"/>
                <w:sz w:val="20"/>
                <w:lang w:val="en-GB"/>
              </w:rPr>
            </w:pPr>
            <w:r w:rsidRPr="009B04D2">
              <w:rPr>
                <w:color w:val="000000" w:themeColor="text1"/>
                <w:sz w:val="20"/>
                <w:lang w:val="en-GB"/>
              </w:rPr>
              <w:t>NS</w:t>
            </w:r>
            <w:r w:rsidRPr="009B04D2">
              <w:rPr>
                <w:rFonts w:ascii="Wingdings" w:hAnsi="Wingdings"/>
                <w:color w:val="000000" w:themeColor="text1"/>
                <w:sz w:val="20"/>
                <w:lang w:val="en-GB"/>
              </w:rPr>
              <w:t></w:t>
            </w:r>
            <w:r w:rsidRPr="009B04D2">
              <w:rPr>
                <w:color w:val="000000" w:themeColor="text1"/>
                <w:sz w:val="20"/>
                <w:lang w:val="en-GB"/>
              </w:rPr>
              <w:t xml:space="preserve"> CS (age 20 only)</w:t>
            </w:r>
          </w:p>
        </w:tc>
        <w:tc>
          <w:tcPr>
            <w:tcW w:w="2969" w:type="pct"/>
            <w:shd w:val="clear" w:color="auto" w:fill="FFFFFF" w:themeFill="background1"/>
          </w:tcPr>
          <w:p w14:paraId="23E9C9A8" w14:textId="77777777" w:rsidR="006010D6" w:rsidRPr="009B04D2" w:rsidRDefault="006010D6" w:rsidP="00AF2C25">
            <w:pPr>
              <w:spacing w:before="20" w:after="20"/>
              <w:rPr>
                <w:color w:val="000000" w:themeColor="text1"/>
                <w:sz w:val="20"/>
                <w:lang w:val="en-GB"/>
              </w:rPr>
            </w:pPr>
            <w:r w:rsidRPr="009B04D2">
              <w:rPr>
                <w:color w:val="000000" w:themeColor="text1"/>
                <w:sz w:val="20"/>
                <w:lang w:val="en-GB"/>
              </w:rPr>
              <w:t>Cumulative impact. If the % reduction in initiation in year t for denicotinisation, retail and tobacco-free was A%, B%, and C%, then the reduction in the combined intervention was 1 – (1-A)(1-B)(1-C).</w:t>
            </w:r>
          </w:p>
        </w:tc>
      </w:tr>
      <w:tr w:rsidR="006010D6" w:rsidRPr="009B04D2" w14:paraId="42B00810" w14:textId="77777777" w:rsidTr="00AF2C25">
        <w:tc>
          <w:tcPr>
            <w:tcW w:w="2031" w:type="pct"/>
            <w:shd w:val="clear" w:color="auto" w:fill="FFFFFF" w:themeFill="background1"/>
          </w:tcPr>
          <w:p w14:paraId="5F748014" w14:textId="77777777" w:rsidR="006010D6" w:rsidRPr="009B04D2" w:rsidRDefault="006010D6" w:rsidP="00AF2C25">
            <w:pPr>
              <w:rPr>
                <w:color w:val="000000" w:themeColor="text1"/>
                <w:sz w:val="20"/>
                <w:lang w:val="en-GB"/>
              </w:rPr>
            </w:pPr>
            <w:r w:rsidRPr="009B04D2">
              <w:rPr>
                <w:color w:val="000000" w:themeColor="text1"/>
                <w:sz w:val="20"/>
                <w:lang w:val="en-GB"/>
              </w:rPr>
              <w:t>NS</w:t>
            </w:r>
            <w:r w:rsidRPr="009B04D2">
              <w:rPr>
                <w:rFonts w:ascii="Wingdings" w:hAnsi="Wingdings"/>
                <w:color w:val="000000" w:themeColor="text1"/>
                <w:sz w:val="20"/>
                <w:lang w:val="en-GB"/>
              </w:rPr>
              <w:t></w:t>
            </w:r>
            <w:r w:rsidRPr="009B04D2">
              <w:rPr>
                <w:color w:val="000000" w:themeColor="text1"/>
                <w:sz w:val="20"/>
                <w:lang w:val="en-GB"/>
              </w:rPr>
              <w:t xml:space="preserve"> DU (age 20 only)</w:t>
            </w:r>
          </w:p>
        </w:tc>
        <w:tc>
          <w:tcPr>
            <w:tcW w:w="2969" w:type="pct"/>
            <w:shd w:val="clear" w:color="auto" w:fill="FFFFFF" w:themeFill="background1"/>
          </w:tcPr>
          <w:p w14:paraId="136271AF" w14:textId="77777777" w:rsidR="006010D6" w:rsidRPr="009B04D2" w:rsidRDefault="006010D6" w:rsidP="00AF2C25">
            <w:pPr>
              <w:spacing w:before="20" w:after="20"/>
              <w:rPr>
                <w:color w:val="000000" w:themeColor="text1"/>
                <w:sz w:val="20"/>
                <w:lang w:val="en-GB"/>
              </w:rPr>
            </w:pPr>
            <w:r w:rsidRPr="009B04D2">
              <w:rPr>
                <w:color w:val="000000" w:themeColor="text1"/>
                <w:sz w:val="20"/>
                <w:lang w:val="en-GB"/>
              </w:rPr>
              <w:t>As above for NS</w:t>
            </w:r>
            <w:r w:rsidRPr="009B04D2">
              <w:rPr>
                <w:rFonts w:ascii="Wingdings" w:hAnsi="Wingdings"/>
                <w:color w:val="000000" w:themeColor="text1"/>
                <w:sz w:val="20"/>
                <w:lang w:val="en-GB"/>
              </w:rPr>
              <w:t></w:t>
            </w:r>
            <w:r w:rsidRPr="009B04D2">
              <w:rPr>
                <w:color w:val="000000" w:themeColor="text1"/>
                <w:sz w:val="20"/>
                <w:lang w:val="en-GB"/>
              </w:rPr>
              <w:t>CS.</w:t>
            </w:r>
          </w:p>
        </w:tc>
      </w:tr>
      <w:tr w:rsidR="006010D6" w:rsidRPr="009B04D2" w14:paraId="455CCA4A" w14:textId="77777777" w:rsidTr="00AF2C25">
        <w:trPr>
          <w:trHeight w:val="238"/>
        </w:trPr>
        <w:tc>
          <w:tcPr>
            <w:tcW w:w="2031" w:type="pct"/>
            <w:shd w:val="clear" w:color="auto" w:fill="FFFFFF" w:themeFill="background1"/>
          </w:tcPr>
          <w:p w14:paraId="76321E35" w14:textId="77777777" w:rsidR="006010D6" w:rsidRPr="009B04D2" w:rsidRDefault="006010D6" w:rsidP="00AF2C25">
            <w:pPr>
              <w:rPr>
                <w:color w:val="000000" w:themeColor="text1"/>
                <w:sz w:val="20"/>
                <w:lang w:val="en-GB"/>
              </w:rPr>
            </w:pPr>
            <w:r w:rsidRPr="009B04D2">
              <w:rPr>
                <w:color w:val="000000" w:themeColor="text1"/>
                <w:sz w:val="20"/>
                <w:lang w:val="en-GB"/>
              </w:rPr>
              <w:t>CS</w:t>
            </w:r>
            <w:r w:rsidRPr="009B04D2">
              <w:rPr>
                <w:rFonts w:ascii="Wingdings" w:hAnsi="Wingdings"/>
                <w:color w:val="000000" w:themeColor="text1"/>
                <w:sz w:val="20"/>
                <w:lang w:val="en-GB"/>
              </w:rPr>
              <w:t></w:t>
            </w:r>
            <w:r w:rsidRPr="009B04D2">
              <w:rPr>
                <w:color w:val="000000" w:themeColor="text1"/>
                <w:sz w:val="20"/>
                <w:lang w:val="en-GB"/>
              </w:rPr>
              <w:t xml:space="preserve"> FSFV</w:t>
            </w:r>
          </w:p>
          <w:p w14:paraId="7BBDD3A2" w14:textId="77777777" w:rsidR="006010D6" w:rsidRPr="009B04D2" w:rsidRDefault="006010D6" w:rsidP="00AF2C25">
            <w:pPr>
              <w:rPr>
                <w:color w:val="000000" w:themeColor="text1"/>
                <w:sz w:val="20"/>
                <w:lang w:val="en-GB"/>
              </w:rPr>
            </w:pPr>
            <w:r w:rsidRPr="009B04D2">
              <w:rPr>
                <w:color w:val="000000" w:themeColor="text1"/>
                <w:sz w:val="20"/>
                <w:lang w:val="en-GB"/>
              </w:rPr>
              <w:t>CS</w:t>
            </w:r>
            <w:r w:rsidRPr="009B04D2">
              <w:rPr>
                <w:rFonts w:ascii="Wingdings" w:hAnsi="Wingdings"/>
                <w:color w:val="000000" w:themeColor="text1"/>
                <w:sz w:val="20"/>
                <w:lang w:val="en-GB"/>
              </w:rPr>
              <w:t></w:t>
            </w:r>
            <w:r w:rsidRPr="009B04D2">
              <w:rPr>
                <w:color w:val="000000" w:themeColor="text1"/>
                <w:sz w:val="20"/>
                <w:lang w:val="en-GB"/>
              </w:rPr>
              <w:t xml:space="preserve"> FSCV</w:t>
            </w:r>
          </w:p>
          <w:p w14:paraId="3C6CDBC6" w14:textId="77777777" w:rsidR="006010D6" w:rsidRPr="009B04D2" w:rsidRDefault="006010D6" w:rsidP="00AF2C25">
            <w:pPr>
              <w:rPr>
                <w:color w:val="000000" w:themeColor="text1"/>
                <w:sz w:val="20"/>
                <w:lang w:val="en-GB"/>
              </w:rPr>
            </w:pPr>
            <w:r w:rsidRPr="009B04D2">
              <w:rPr>
                <w:color w:val="000000" w:themeColor="text1"/>
                <w:sz w:val="20"/>
                <w:lang w:val="en-GB"/>
              </w:rPr>
              <w:t>DU</w:t>
            </w:r>
            <w:r w:rsidRPr="009B04D2">
              <w:rPr>
                <w:rFonts w:ascii="Wingdings" w:hAnsi="Wingdings"/>
                <w:color w:val="000000" w:themeColor="text1"/>
                <w:sz w:val="20"/>
                <w:lang w:val="en-GB"/>
              </w:rPr>
              <w:t></w:t>
            </w:r>
            <w:r w:rsidRPr="009B04D2">
              <w:rPr>
                <w:color w:val="000000" w:themeColor="text1"/>
                <w:sz w:val="20"/>
                <w:lang w:val="en-GB"/>
              </w:rPr>
              <w:t xml:space="preserve"> FSFV</w:t>
            </w:r>
          </w:p>
          <w:p w14:paraId="37380064" w14:textId="77777777" w:rsidR="006010D6" w:rsidRPr="009B04D2" w:rsidRDefault="006010D6" w:rsidP="00AF2C25">
            <w:pPr>
              <w:rPr>
                <w:color w:val="000000" w:themeColor="text1"/>
                <w:sz w:val="20"/>
                <w:lang w:val="en-GB"/>
              </w:rPr>
            </w:pPr>
            <w:r w:rsidRPr="009B04D2">
              <w:rPr>
                <w:color w:val="000000" w:themeColor="text1"/>
                <w:sz w:val="20"/>
                <w:lang w:val="en-GB"/>
              </w:rPr>
              <w:t>DU</w:t>
            </w:r>
            <w:r w:rsidRPr="009B04D2">
              <w:rPr>
                <w:rFonts w:ascii="Wingdings" w:hAnsi="Wingdings"/>
                <w:color w:val="000000" w:themeColor="text1"/>
                <w:sz w:val="20"/>
                <w:lang w:val="en-GB"/>
              </w:rPr>
              <w:t></w:t>
            </w:r>
            <w:r w:rsidRPr="009B04D2">
              <w:rPr>
                <w:color w:val="000000" w:themeColor="text1"/>
                <w:sz w:val="20"/>
                <w:lang w:val="en-GB"/>
              </w:rPr>
              <w:t xml:space="preserve"> FSCV</w:t>
            </w:r>
          </w:p>
        </w:tc>
        <w:tc>
          <w:tcPr>
            <w:tcW w:w="2969" w:type="pct"/>
            <w:shd w:val="clear" w:color="auto" w:fill="FFFFFF" w:themeFill="background1"/>
          </w:tcPr>
          <w:p w14:paraId="7A73BE69" w14:textId="77777777" w:rsidR="006010D6" w:rsidRPr="009B04D2" w:rsidRDefault="006010D6" w:rsidP="00AF2C25">
            <w:pPr>
              <w:spacing w:before="20" w:after="20"/>
              <w:rPr>
                <w:color w:val="000000" w:themeColor="text1"/>
                <w:sz w:val="20"/>
                <w:lang w:val="en-GB"/>
              </w:rPr>
            </w:pPr>
            <w:r w:rsidRPr="009B04D2">
              <w:rPr>
                <w:color w:val="000000" w:themeColor="text1"/>
                <w:sz w:val="20"/>
                <w:lang w:val="en-GB"/>
              </w:rPr>
              <w:t>Cumulative impact. If the % increase in quitting or switching in year t for denicotinisation, media and retail was A% and B%, then the increase in the combined intervention was 1 – (1-A)(1-B)(1-C).</w:t>
            </w:r>
          </w:p>
        </w:tc>
      </w:tr>
      <w:tr w:rsidR="006010D6" w:rsidRPr="009B04D2" w14:paraId="500D2EB9" w14:textId="77777777" w:rsidTr="00AF2C25">
        <w:trPr>
          <w:trHeight w:val="238"/>
        </w:trPr>
        <w:tc>
          <w:tcPr>
            <w:tcW w:w="2031" w:type="pct"/>
            <w:shd w:val="clear" w:color="auto" w:fill="FFFFFF" w:themeFill="background1"/>
          </w:tcPr>
          <w:p w14:paraId="13C95460" w14:textId="77777777" w:rsidR="006010D6" w:rsidRPr="009B04D2" w:rsidRDefault="006010D6" w:rsidP="00AF2C25">
            <w:pPr>
              <w:rPr>
                <w:color w:val="000000" w:themeColor="text1"/>
                <w:sz w:val="20"/>
                <w:lang w:val="en-GB"/>
              </w:rPr>
            </w:pPr>
            <w:r w:rsidRPr="009B04D2">
              <w:rPr>
                <w:color w:val="000000" w:themeColor="text1"/>
                <w:sz w:val="20"/>
                <w:lang w:val="en-GB"/>
              </w:rPr>
              <w:t>NS</w:t>
            </w:r>
            <w:r w:rsidRPr="009B04D2">
              <w:rPr>
                <w:rFonts w:ascii="Wingdings" w:hAnsi="Wingdings"/>
                <w:color w:val="000000" w:themeColor="text1"/>
                <w:sz w:val="20"/>
                <w:lang w:val="en-GB"/>
              </w:rPr>
              <w:t></w:t>
            </w:r>
            <w:r w:rsidRPr="009B04D2">
              <w:rPr>
                <w:color w:val="000000" w:themeColor="text1"/>
                <w:sz w:val="20"/>
                <w:lang w:val="en-GB"/>
              </w:rPr>
              <w:t xml:space="preserve"> NSCV</w:t>
            </w:r>
          </w:p>
        </w:tc>
        <w:tc>
          <w:tcPr>
            <w:tcW w:w="2969" w:type="pct"/>
            <w:shd w:val="clear" w:color="auto" w:fill="FFFFFF" w:themeFill="background1"/>
          </w:tcPr>
          <w:p w14:paraId="2DB69209" w14:textId="77777777" w:rsidR="006010D6" w:rsidRPr="009B04D2" w:rsidRDefault="006010D6" w:rsidP="00AF2C25">
            <w:pPr>
              <w:spacing w:before="20" w:after="20"/>
              <w:rPr>
                <w:color w:val="000000" w:themeColor="text1"/>
                <w:sz w:val="20"/>
                <w:lang w:val="en-GB"/>
              </w:rPr>
            </w:pPr>
            <w:r w:rsidRPr="009B04D2">
              <w:rPr>
                <w:color w:val="000000" w:themeColor="text1"/>
                <w:sz w:val="20"/>
                <w:lang w:val="en-GB"/>
              </w:rPr>
              <w:t>Unchanged.</w:t>
            </w:r>
          </w:p>
        </w:tc>
      </w:tr>
    </w:tbl>
    <w:p w14:paraId="779CF258" w14:textId="77777777" w:rsidR="00394C12" w:rsidRDefault="00394C12" w:rsidP="006010D6">
      <w:pPr>
        <w:rPr>
          <w:lang w:val="en-GB"/>
        </w:rPr>
      </w:pPr>
      <w:r>
        <w:rPr>
          <w:lang w:val="en-GB"/>
        </w:rPr>
        <w:t>*reproduced from Ait Ouakrim et al.</w:t>
      </w:r>
      <w:r>
        <w:rPr>
          <w:lang w:val="en-GB"/>
        </w:rPr>
        <w:fldChar w:fldCharType="begin"/>
      </w:r>
      <w:r>
        <w:rPr>
          <w:lang w:val="en-GB"/>
        </w:rPr>
        <w:instrText xml:space="preserve"> ADDIN EN.CITE &lt;EndNote&gt;&lt;Cite&gt;&lt;Author&gt;Ait Ouakrim&lt;/Author&gt;&lt;Year&gt;2023&lt;/Year&gt;&lt;RecNum&gt;6692&lt;/RecNum&gt;&lt;DisplayText&gt;&lt;style face="superscript"&gt;4&lt;/style&gt;&lt;/DisplayText&gt;&lt;record&gt;&lt;rec-number&gt;6692&lt;/rec-number&gt;&lt;foreign-keys&gt;&lt;key app="EN" db-id="tpvsd2x5q50rf9e2t9mvx2w1p0aa95d9vdzp" timestamp="1674179896"&gt;6692&lt;/key&gt;&lt;/foreign-keys&gt;&lt;ref-type name="Journal Article"&gt;17&lt;/ref-type&gt;&lt;contributors&gt;&lt;authors&gt;&lt;author&gt;Ait Ouakrim, Driss&lt;/author&gt;&lt;author&gt;Wilson, Tim&lt;/author&gt;&lt;author&gt;Waa, Andrew&lt;/author&gt;&lt;author&gt;Maddox, Raglan&lt;/author&gt;&lt;author&gt;Andrabi, Hassan&lt;/author&gt;&lt;author&gt;Mishra, Shiva Raj&lt;/author&gt;&lt;author&gt;Summers, Jennifer A&lt;/author&gt;&lt;author&gt;Gartner, Coral E&lt;/author&gt;&lt;author&gt;Lovett, Raymond&lt;/author&gt;&lt;author&gt;Edwards, Richard&lt;/author&gt;&lt;author&gt;Wilson, Nick&lt;/author&gt;&lt;author&gt;Blakely, Tony&lt;/author&gt;&lt;/authors&gt;&lt;/contributors&gt;&lt;titles&gt;&lt;title&gt;Tobacco endgame intervention impacts on health gains and Māori:non-Māori health inequity: a simulation study of the Aotearoa/New Zealand Tobacco Action Plan&lt;/title&gt;&lt;secondary-title&gt;Tobacco Control&lt;/secondary-title&gt;&lt;/titles&gt;&lt;periodical&gt;&lt;full-title&gt;Tobacco control&lt;/full-title&gt;&lt;/periodical&gt;&lt;pages&gt;tc-2022-057655&lt;/pages&gt;&lt;dates&gt;&lt;year&gt;2023&lt;/year&gt;&lt;/dates&gt;&lt;urls&gt;&lt;related-urls&gt;&lt;url&gt;https://tobaccocontrol.bmj.com/content/tobaccocontrol/early/2023/01/10/tc-2022-057655.full.pdf&lt;/url&gt;&lt;/related-urls&gt;&lt;/urls&gt;&lt;electronic-resource-num&gt;10.1136/tc-2022-057655&lt;/electronic-resource-num&gt;&lt;/record&gt;&lt;/Cite&gt;&lt;/EndNote&gt;</w:instrText>
      </w:r>
      <w:r>
        <w:rPr>
          <w:lang w:val="en-GB"/>
        </w:rPr>
        <w:fldChar w:fldCharType="separate"/>
      </w:r>
      <w:r w:rsidRPr="00394C12">
        <w:rPr>
          <w:noProof/>
          <w:vertAlign w:val="superscript"/>
          <w:lang w:val="en-GB"/>
        </w:rPr>
        <w:t>4</w:t>
      </w:r>
      <w:r>
        <w:rPr>
          <w:lang w:val="en-GB"/>
        </w:rPr>
        <w:fldChar w:fldCharType="end"/>
      </w:r>
      <w:r>
        <w:rPr>
          <w:lang w:val="en-GB"/>
        </w:rPr>
        <w:t xml:space="preserve"> </w:t>
      </w:r>
    </w:p>
    <w:p w14:paraId="5A5AE233" w14:textId="77777777" w:rsidR="00FC06AF" w:rsidRDefault="00FC06AF" w:rsidP="006010D6">
      <w:pPr>
        <w:rPr>
          <w:lang w:val="en-GB"/>
        </w:rPr>
      </w:pPr>
      <w:r>
        <w:rPr>
          <w:lang w:val="en-GB"/>
        </w:rPr>
        <w:br w:type="page"/>
      </w:r>
    </w:p>
    <w:p w14:paraId="6BA4AD1F" w14:textId="4AD0F83D" w:rsidR="00FC06AF" w:rsidRPr="00AF05E3" w:rsidRDefault="00FC06AF" w:rsidP="00FC06AF">
      <w:pPr>
        <w:rPr>
          <w:b/>
          <w:bCs/>
        </w:rPr>
      </w:pPr>
      <w:r w:rsidRPr="00AF05E3">
        <w:rPr>
          <w:b/>
          <w:bCs/>
        </w:rPr>
        <w:lastRenderedPageBreak/>
        <w:t xml:space="preserve">Table </w:t>
      </w:r>
      <w:r>
        <w:rPr>
          <w:b/>
          <w:bCs/>
        </w:rPr>
        <w:t>2</w:t>
      </w:r>
      <w:r w:rsidRPr="00AF05E3">
        <w:rPr>
          <w:b/>
          <w:bCs/>
        </w:rPr>
        <w:t xml:space="preserve">: Projected changes in cumulative expenditure and revenue </w:t>
      </w:r>
      <w:r>
        <w:rPr>
          <w:b/>
          <w:bCs/>
        </w:rPr>
        <w:t>due to</w:t>
      </w:r>
      <w:r w:rsidRPr="00AF05E3">
        <w:rPr>
          <w:b/>
          <w:bCs/>
        </w:rPr>
        <w:t xml:space="preserve"> </w:t>
      </w:r>
      <w:r>
        <w:rPr>
          <w:b/>
          <w:bCs/>
        </w:rPr>
        <w:t xml:space="preserve">the </w:t>
      </w:r>
      <w:r w:rsidRPr="00AF05E3">
        <w:rPr>
          <w:b/>
          <w:bCs/>
        </w:rPr>
        <w:t>Aotearoa-New Zealand</w:t>
      </w:r>
      <w:r>
        <w:rPr>
          <w:b/>
          <w:bCs/>
        </w:rPr>
        <w:t>’s</w:t>
      </w:r>
      <w:r w:rsidRPr="00AF05E3">
        <w:rPr>
          <w:b/>
          <w:bCs/>
        </w:rPr>
        <w:t xml:space="preserve"> tobacco endgame strategy compared to BAU (2021 </w:t>
      </w:r>
      <w:r>
        <w:rPr>
          <w:b/>
          <w:bCs/>
        </w:rPr>
        <w:t xml:space="preserve">PPP </w:t>
      </w:r>
      <w:r w:rsidRPr="00AF05E3">
        <w:rPr>
          <w:b/>
          <w:bCs/>
        </w:rPr>
        <w:t xml:space="preserve">US$ billions; </w:t>
      </w:r>
      <w:r>
        <w:rPr>
          <w:b/>
          <w:bCs/>
        </w:rPr>
        <w:t>undis</w:t>
      </w:r>
      <w:r w:rsidRPr="00AF05E3">
        <w:rPr>
          <w:b/>
          <w:bCs/>
        </w:rPr>
        <w:t>count</w:t>
      </w:r>
      <w:r>
        <w:rPr>
          <w:b/>
          <w:bCs/>
        </w:rPr>
        <w:t>ed</w:t>
      </w:r>
      <w:r w:rsidRPr="00AF05E3">
        <w:rPr>
          <w:b/>
          <w:bCs/>
        </w:rPr>
        <w:t>)</w:t>
      </w:r>
    </w:p>
    <w:tbl>
      <w:tblPr>
        <w:tblStyle w:val="tabletemplate"/>
        <w:tblW w:w="10547" w:type="dxa"/>
        <w:tblLook w:val="0420" w:firstRow="1" w:lastRow="0" w:firstColumn="0" w:lastColumn="0" w:noHBand="0" w:noVBand="1"/>
      </w:tblPr>
      <w:tblGrid>
        <w:gridCol w:w="3401"/>
        <w:gridCol w:w="993"/>
        <w:gridCol w:w="1558"/>
        <w:gridCol w:w="850"/>
        <w:gridCol w:w="1421"/>
        <w:gridCol w:w="850"/>
        <w:gridCol w:w="1474"/>
      </w:tblGrid>
      <w:tr w:rsidR="00FC06AF" w:rsidRPr="00DB7B60" w14:paraId="2C78C151" w14:textId="77777777" w:rsidTr="00C007F2">
        <w:trPr>
          <w:cnfStyle w:val="100000000000" w:firstRow="1" w:lastRow="0" w:firstColumn="0" w:lastColumn="0" w:oddVBand="0" w:evenVBand="0" w:oddHBand="0" w:evenHBand="0" w:firstRowFirstColumn="0" w:firstRowLastColumn="0" w:lastRowFirstColumn="0" w:lastRowLastColumn="0"/>
          <w:trHeight w:val="370"/>
          <w:tblHeader/>
        </w:trPr>
        <w:tc>
          <w:tcPr>
            <w:tcW w:w="3401" w:type="dxa"/>
            <w:tcBorders>
              <w:top w:val="single" w:sz="18" w:space="0" w:color="000000"/>
              <w:bottom w:val="single" w:sz="12" w:space="0" w:color="000000"/>
            </w:tcBorders>
            <w:tcMar>
              <w:left w:w="57" w:type="dxa"/>
              <w:right w:w="57" w:type="dxa"/>
            </w:tcMar>
            <w:vAlign w:val="center"/>
          </w:tcPr>
          <w:p w14:paraId="27925C00" w14:textId="77777777" w:rsidR="00FC06AF" w:rsidRPr="00DB7B60" w:rsidRDefault="00FC06AF" w:rsidP="00C007F2">
            <w:pPr>
              <w:jc w:val="left"/>
              <w:rPr>
                <w:sz w:val="18"/>
                <w:szCs w:val="18"/>
              </w:rPr>
            </w:pPr>
            <w:r>
              <w:rPr>
                <w:sz w:val="18"/>
                <w:szCs w:val="18"/>
              </w:rPr>
              <w:t>R</w:t>
            </w:r>
            <w:r w:rsidRPr="00DB7B60">
              <w:rPr>
                <w:sz w:val="18"/>
                <w:szCs w:val="18"/>
              </w:rPr>
              <w:t>evenue/expenditure items</w:t>
            </w:r>
          </w:p>
        </w:tc>
        <w:tc>
          <w:tcPr>
            <w:tcW w:w="2551" w:type="dxa"/>
            <w:gridSpan w:val="2"/>
            <w:tcBorders>
              <w:top w:val="single" w:sz="18" w:space="0" w:color="000000"/>
              <w:bottom w:val="single" w:sz="12" w:space="0" w:color="000000"/>
            </w:tcBorders>
            <w:tcMar>
              <w:left w:w="57" w:type="dxa"/>
              <w:right w:w="57" w:type="dxa"/>
            </w:tcMar>
            <w:vAlign w:val="center"/>
          </w:tcPr>
          <w:p w14:paraId="34E02878" w14:textId="77777777" w:rsidR="00FC06AF" w:rsidRPr="00DB7B60" w:rsidRDefault="00FC06AF" w:rsidP="00C007F2">
            <w:pPr>
              <w:jc w:val="center"/>
              <w:rPr>
                <w:sz w:val="18"/>
                <w:szCs w:val="18"/>
              </w:rPr>
            </w:pPr>
            <w:r>
              <w:rPr>
                <w:sz w:val="18"/>
                <w:szCs w:val="18"/>
              </w:rPr>
              <w:t xml:space="preserve">by </w:t>
            </w:r>
            <w:r w:rsidRPr="00DB7B60">
              <w:rPr>
                <w:sz w:val="18"/>
                <w:szCs w:val="18"/>
              </w:rPr>
              <w:t>2030</w:t>
            </w:r>
          </w:p>
        </w:tc>
        <w:tc>
          <w:tcPr>
            <w:tcW w:w="2271" w:type="dxa"/>
            <w:gridSpan w:val="2"/>
            <w:tcBorders>
              <w:top w:val="single" w:sz="18" w:space="0" w:color="000000"/>
              <w:bottom w:val="single" w:sz="12" w:space="0" w:color="000000"/>
            </w:tcBorders>
            <w:tcMar>
              <w:left w:w="57" w:type="dxa"/>
              <w:right w:w="57" w:type="dxa"/>
            </w:tcMar>
            <w:vAlign w:val="center"/>
          </w:tcPr>
          <w:p w14:paraId="167D4D7A" w14:textId="3A6C7BAD" w:rsidR="00FC06AF" w:rsidRPr="00DB7B60" w:rsidRDefault="00FC06AF" w:rsidP="00C007F2">
            <w:pPr>
              <w:jc w:val="center"/>
              <w:rPr>
                <w:sz w:val="18"/>
                <w:szCs w:val="18"/>
              </w:rPr>
            </w:pPr>
            <w:r>
              <w:rPr>
                <w:sz w:val="18"/>
                <w:szCs w:val="18"/>
              </w:rPr>
              <w:t xml:space="preserve">by </w:t>
            </w:r>
            <w:r w:rsidRPr="00DB7B60">
              <w:rPr>
                <w:sz w:val="18"/>
                <w:szCs w:val="18"/>
              </w:rPr>
              <w:t>2040</w:t>
            </w:r>
            <w:r w:rsidR="00C82D0A">
              <w:rPr>
                <w:rFonts w:cstheme="minorHAnsi"/>
                <w:sz w:val="18"/>
                <w:szCs w:val="18"/>
              </w:rPr>
              <w:t>†</w:t>
            </w:r>
          </w:p>
        </w:tc>
        <w:tc>
          <w:tcPr>
            <w:tcW w:w="2324" w:type="dxa"/>
            <w:gridSpan w:val="2"/>
            <w:tcBorders>
              <w:top w:val="single" w:sz="18" w:space="0" w:color="000000"/>
              <w:bottom w:val="single" w:sz="12" w:space="0" w:color="000000"/>
            </w:tcBorders>
            <w:tcMar>
              <w:left w:w="57" w:type="dxa"/>
              <w:right w:w="57" w:type="dxa"/>
            </w:tcMar>
            <w:vAlign w:val="center"/>
          </w:tcPr>
          <w:p w14:paraId="6011F88A" w14:textId="5C88780B" w:rsidR="00FC06AF" w:rsidRPr="00DB7B60" w:rsidRDefault="00FC06AF" w:rsidP="00C007F2">
            <w:pPr>
              <w:jc w:val="center"/>
              <w:rPr>
                <w:sz w:val="18"/>
                <w:szCs w:val="18"/>
              </w:rPr>
            </w:pPr>
            <w:r>
              <w:rPr>
                <w:sz w:val="18"/>
                <w:szCs w:val="18"/>
              </w:rPr>
              <w:t xml:space="preserve">by </w:t>
            </w:r>
            <w:r w:rsidRPr="00DB7B60">
              <w:rPr>
                <w:sz w:val="18"/>
                <w:szCs w:val="18"/>
              </w:rPr>
              <w:t>2050</w:t>
            </w:r>
            <w:r w:rsidR="00C82D0A">
              <w:rPr>
                <w:rFonts w:cstheme="minorHAnsi"/>
                <w:sz w:val="18"/>
                <w:szCs w:val="18"/>
              </w:rPr>
              <w:t>†</w:t>
            </w:r>
          </w:p>
        </w:tc>
      </w:tr>
      <w:tr w:rsidR="00FC06AF" w:rsidRPr="00DB7B60" w14:paraId="4AF3ABCC" w14:textId="77777777" w:rsidTr="00C007F2">
        <w:trPr>
          <w:trHeight w:val="284"/>
        </w:trPr>
        <w:tc>
          <w:tcPr>
            <w:tcW w:w="3401" w:type="dxa"/>
            <w:tcBorders>
              <w:top w:val="single" w:sz="12" w:space="0" w:color="000000"/>
              <w:bottom w:val="single" w:sz="12" w:space="0" w:color="000000"/>
            </w:tcBorders>
            <w:tcMar>
              <w:left w:w="57" w:type="dxa"/>
              <w:right w:w="57" w:type="dxa"/>
            </w:tcMar>
            <w:vAlign w:val="center"/>
          </w:tcPr>
          <w:p w14:paraId="2F9D0B95" w14:textId="77777777" w:rsidR="00FC06AF" w:rsidRPr="00DB7B60" w:rsidRDefault="00FC06AF" w:rsidP="00C007F2">
            <w:pPr>
              <w:jc w:val="left"/>
              <w:rPr>
                <w:b/>
                <w:bCs/>
                <w:sz w:val="18"/>
                <w:szCs w:val="18"/>
              </w:rPr>
            </w:pPr>
            <w:r w:rsidRPr="00DB7B60">
              <w:rPr>
                <w:b/>
                <w:bCs/>
                <w:sz w:val="18"/>
                <w:szCs w:val="18"/>
              </w:rPr>
              <w:t xml:space="preserve">Government </w:t>
            </w:r>
            <w:r>
              <w:rPr>
                <w:b/>
                <w:bCs/>
                <w:sz w:val="18"/>
                <w:szCs w:val="18"/>
              </w:rPr>
              <w:t>p</w:t>
            </w:r>
            <w:r w:rsidRPr="00DB7B60">
              <w:rPr>
                <w:b/>
                <w:bCs/>
                <w:sz w:val="18"/>
                <w:szCs w:val="18"/>
              </w:rPr>
              <w:t>erspective</w:t>
            </w:r>
          </w:p>
        </w:tc>
        <w:tc>
          <w:tcPr>
            <w:tcW w:w="993" w:type="dxa"/>
            <w:tcBorders>
              <w:top w:val="single" w:sz="12" w:space="0" w:color="000000"/>
              <w:bottom w:val="single" w:sz="12" w:space="0" w:color="000000"/>
            </w:tcBorders>
            <w:tcMar>
              <w:left w:w="57" w:type="dxa"/>
              <w:right w:w="57" w:type="dxa"/>
            </w:tcMar>
            <w:vAlign w:val="center"/>
          </w:tcPr>
          <w:p w14:paraId="36D20DB9" w14:textId="77777777" w:rsidR="00FC06AF" w:rsidRPr="009108D3" w:rsidRDefault="00FC06AF" w:rsidP="00C007F2">
            <w:pPr>
              <w:jc w:val="center"/>
              <w:rPr>
                <w:b/>
                <w:bCs/>
                <w:sz w:val="18"/>
                <w:szCs w:val="18"/>
              </w:rPr>
            </w:pPr>
            <w:r w:rsidRPr="009108D3">
              <w:rPr>
                <w:b/>
                <w:bCs/>
                <w:sz w:val="18"/>
                <w:szCs w:val="18"/>
              </w:rPr>
              <w:t>Estimate</w:t>
            </w:r>
          </w:p>
        </w:tc>
        <w:tc>
          <w:tcPr>
            <w:tcW w:w="1558" w:type="dxa"/>
            <w:tcBorders>
              <w:top w:val="single" w:sz="12" w:space="0" w:color="000000"/>
              <w:bottom w:val="single" w:sz="12" w:space="0" w:color="000000"/>
            </w:tcBorders>
            <w:tcMar>
              <w:left w:w="57" w:type="dxa"/>
              <w:right w:w="57" w:type="dxa"/>
            </w:tcMar>
            <w:vAlign w:val="center"/>
          </w:tcPr>
          <w:p w14:paraId="33654DB2" w14:textId="77777777" w:rsidR="00FC06AF" w:rsidRPr="009108D3" w:rsidRDefault="00FC06AF" w:rsidP="00C007F2">
            <w:pPr>
              <w:jc w:val="center"/>
              <w:rPr>
                <w:b/>
                <w:bCs/>
                <w:sz w:val="18"/>
                <w:szCs w:val="18"/>
              </w:rPr>
            </w:pPr>
            <w:r w:rsidRPr="009108D3">
              <w:rPr>
                <w:b/>
                <w:bCs/>
                <w:sz w:val="18"/>
                <w:szCs w:val="18"/>
              </w:rPr>
              <w:t>95% UI</w:t>
            </w:r>
          </w:p>
        </w:tc>
        <w:tc>
          <w:tcPr>
            <w:tcW w:w="850" w:type="dxa"/>
            <w:tcBorders>
              <w:top w:val="single" w:sz="12" w:space="0" w:color="000000"/>
              <w:bottom w:val="single" w:sz="12" w:space="0" w:color="000000"/>
            </w:tcBorders>
            <w:tcMar>
              <w:left w:w="57" w:type="dxa"/>
              <w:right w:w="57" w:type="dxa"/>
            </w:tcMar>
            <w:vAlign w:val="center"/>
          </w:tcPr>
          <w:p w14:paraId="5062772F" w14:textId="77777777" w:rsidR="00FC06AF" w:rsidRPr="009108D3" w:rsidRDefault="00FC06AF" w:rsidP="00C007F2">
            <w:pPr>
              <w:jc w:val="center"/>
              <w:rPr>
                <w:b/>
                <w:bCs/>
                <w:sz w:val="18"/>
                <w:szCs w:val="18"/>
              </w:rPr>
            </w:pPr>
            <w:r w:rsidRPr="009108D3">
              <w:rPr>
                <w:b/>
                <w:bCs/>
                <w:sz w:val="18"/>
                <w:szCs w:val="18"/>
              </w:rPr>
              <w:t>Estimate</w:t>
            </w:r>
          </w:p>
        </w:tc>
        <w:tc>
          <w:tcPr>
            <w:tcW w:w="1421" w:type="dxa"/>
            <w:tcBorders>
              <w:top w:val="single" w:sz="12" w:space="0" w:color="000000"/>
              <w:bottom w:val="single" w:sz="12" w:space="0" w:color="000000"/>
            </w:tcBorders>
            <w:tcMar>
              <w:left w:w="57" w:type="dxa"/>
              <w:right w:w="57" w:type="dxa"/>
            </w:tcMar>
            <w:vAlign w:val="center"/>
          </w:tcPr>
          <w:p w14:paraId="6C8337E3" w14:textId="77777777" w:rsidR="00FC06AF" w:rsidRPr="009108D3" w:rsidRDefault="00FC06AF" w:rsidP="00C007F2">
            <w:pPr>
              <w:jc w:val="center"/>
              <w:rPr>
                <w:b/>
                <w:bCs/>
                <w:sz w:val="18"/>
                <w:szCs w:val="18"/>
              </w:rPr>
            </w:pPr>
            <w:r w:rsidRPr="009108D3">
              <w:rPr>
                <w:b/>
                <w:bCs/>
                <w:sz w:val="18"/>
                <w:szCs w:val="18"/>
              </w:rPr>
              <w:t>95%</w:t>
            </w:r>
          </w:p>
        </w:tc>
        <w:tc>
          <w:tcPr>
            <w:tcW w:w="850" w:type="dxa"/>
            <w:tcBorders>
              <w:top w:val="single" w:sz="12" w:space="0" w:color="000000"/>
              <w:bottom w:val="single" w:sz="12" w:space="0" w:color="000000"/>
            </w:tcBorders>
            <w:tcMar>
              <w:left w:w="57" w:type="dxa"/>
              <w:right w:w="57" w:type="dxa"/>
            </w:tcMar>
            <w:vAlign w:val="center"/>
          </w:tcPr>
          <w:p w14:paraId="0103FC4D" w14:textId="77777777" w:rsidR="00FC06AF" w:rsidRPr="009108D3" w:rsidRDefault="00FC06AF" w:rsidP="00C007F2">
            <w:pPr>
              <w:jc w:val="center"/>
              <w:rPr>
                <w:b/>
                <w:bCs/>
                <w:sz w:val="18"/>
                <w:szCs w:val="18"/>
              </w:rPr>
            </w:pPr>
            <w:r w:rsidRPr="009108D3">
              <w:rPr>
                <w:b/>
                <w:bCs/>
                <w:sz w:val="18"/>
                <w:szCs w:val="18"/>
              </w:rPr>
              <w:t>Estimate</w:t>
            </w:r>
          </w:p>
        </w:tc>
        <w:tc>
          <w:tcPr>
            <w:tcW w:w="1474" w:type="dxa"/>
            <w:tcBorders>
              <w:top w:val="single" w:sz="12" w:space="0" w:color="000000"/>
              <w:bottom w:val="single" w:sz="12" w:space="0" w:color="000000"/>
            </w:tcBorders>
            <w:tcMar>
              <w:left w:w="57" w:type="dxa"/>
              <w:right w:w="57" w:type="dxa"/>
            </w:tcMar>
            <w:vAlign w:val="center"/>
          </w:tcPr>
          <w:p w14:paraId="10F2BAC4" w14:textId="77777777" w:rsidR="00FC06AF" w:rsidRPr="009108D3" w:rsidRDefault="00FC06AF" w:rsidP="00C007F2">
            <w:pPr>
              <w:jc w:val="center"/>
              <w:rPr>
                <w:b/>
                <w:bCs/>
                <w:sz w:val="18"/>
                <w:szCs w:val="18"/>
              </w:rPr>
            </w:pPr>
            <w:r w:rsidRPr="009108D3">
              <w:rPr>
                <w:b/>
                <w:bCs/>
                <w:sz w:val="18"/>
                <w:szCs w:val="18"/>
              </w:rPr>
              <w:t>95%</w:t>
            </w:r>
          </w:p>
        </w:tc>
      </w:tr>
      <w:tr w:rsidR="00FC06AF" w:rsidRPr="00DB7B60" w14:paraId="534D87A8" w14:textId="77777777" w:rsidTr="00C007F2">
        <w:trPr>
          <w:trHeight w:val="284"/>
        </w:trPr>
        <w:tc>
          <w:tcPr>
            <w:tcW w:w="3401" w:type="dxa"/>
            <w:tcBorders>
              <w:top w:val="single" w:sz="12" w:space="0" w:color="000000"/>
            </w:tcBorders>
            <w:tcMar>
              <w:left w:w="57" w:type="dxa"/>
              <w:right w:w="57" w:type="dxa"/>
            </w:tcMar>
            <w:vAlign w:val="center"/>
          </w:tcPr>
          <w:p w14:paraId="0112981A" w14:textId="77777777" w:rsidR="00FC06AF" w:rsidRPr="00DC768F" w:rsidRDefault="00FC06AF" w:rsidP="00C007F2">
            <w:pPr>
              <w:ind w:left="57"/>
              <w:jc w:val="left"/>
              <w:rPr>
                <w:b/>
                <w:bCs/>
                <w:i/>
                <w:iCs/>
                <w:sz w:val="18"/>
                <w:szCs w:val="18"/>
              </w:rPr>
            </w:pPr>
            <w:r w:rsidRPr="00DC768F">
              <w:rPr>
                <w:b/>
                <w:bCs/>
                <w:i/>
                <w:iCs/>
                <w:sz w:val="18"/>
                <w:szCs w:val="18"/>
              </w:rPr>
              <w:t>Expenditure</w:t>
            </w:r>
          </w:p>
        </w:tc>
        <w:tc>
          <w:tcPr>
            <w:tcW w:w="993" w:type="dxa"/>
            <w:tcBorders>
              <w:top w:val="single" w:sz="12" w:space="0" w:color="000000"/>
            </w:tcBorders>
            <w:tcMar>
              <w:left w:w="57" w:type="dxa"/>
              <w:right w:w="57" w:type="dxa"/>
            </w:tcMar>
            <w:vAlign w:val="center"/>
          </w:tcPr>
          <w:p w14:paraId="4161D74A" w14:textId="77777777" w:rsidR="00FC06AF" w:rsidRPr="00DB7B60" w:rsidRDefault="00FC06AF" w:rsidP="00C007F2">
            <w:pPr>
              <w:rPr>
                <w:sz w:val="18"/>
                <w:szCs w:val="18"/>
              </w:rPr>
            </w:pPr>
          </w:p>
        </w:tc>
        <w:tc>
          <w:tcPr>
            <w:tcW w:w="1558" w:type="dxa"/>
            <w:tcBorders>
              <w:top w:val="single" w:sz="12" w:space="0" w:color="000000"/>
            </w:tcBorders>
            <w:tcMar>
              <w:left w:w="57" w:type="dxa"/>
              <w:right w:w="57" w:type="dxa"/>
            </w:tcMar>
            <w:vAlign w:val="center"/>
          </w:tcPr>
          <w:p w14:paraId="618D146A" w14:textId="77777777" w:rsidR="00FC06AF" w:rsidRPr="00DB7B60" w:rsidRDefault="00FC06AF" w:rsidP="00C007F2">
            <w:pPr>
              <w:rPr>
                <w:sz w:val="18"/>
                <w:szCs w:val="18"/>
              </w:rPr>
            </w:pPr>
          </w:p>
        </w:tc>
        <w:tc>
          <w:tcPr>
            <w:tcW w:w="850" w:type="dxa"/>
            <w:tcBorders>
              <w:top w:val="single" w:sz="12" w:space="0" w:color="000000"/>
            </w:tcBorders>
            <w:tcMar>
              <w:left w:w="57" w:type="dxa"/>
              <w:right w:w="57" w:type="dxa"/>
            </w:tcMar>
            <w:vAlign w:val="center"/>
          </w:tcPr>
          <w:p w14:paraId="7C550656" w14:textId="77777777" w:rsidR="00FC06AF" w:rsidRPr="00DB7B60" w:rsidRDefault="00FC06AF" w:rsidP="00C007F2">
            <w:pPr>
              <w:rPr>
                <w:sz w:val="18"/>
                <w:szCs w:val="18"/>
              </w:rPr>
            </w:pPr>
          </w:p>
        </w:tc>
        <w:tc>
          <w:tcPr>
            <w:tcW w:w="1421" w:type="dxa"/>
            <w:tcBorders>
              <w:top w:val="single" w:sz="12" w:space="0" w:color="000000"/>
            </w:tcBorders>
            <w:tcMar>
              <w:left w:w="57" w:type="dxa"/>
              <w:right w:w="57" w:type="dxa"/>
            </w:tcMar>
            <w:vAlign w:val="center"/>
          </w:tcPr>
          <w:p w14:paraId="64E11DA8" w14:textId="77777777" w:rsidR="00FC06AF" w:rsidRPr="00DB7B60" w:rsidRDefault="00FC06AF" w:rsidP="00C007F2">
            <w:pPr>
              <w:rPr>
                <w:sz w:val="18"/>
                <w:szCs w:val="18"/>
              </w:rPr>
            </w:pPr>
          </w:p>
        </w:tc>
        <w:tc>
          <w:tcPr>
            <w:tcW w:w="850" w:type="dxa"/>
            <w:tcBorders>
              <w:top w:val="single" w:sz="12" w:space="0" w:color="000000"/>
            </w:tcBorders>
            <w:tcMar>
              <w:left w:w="57" w:type="dxa"/>
              <w:right w:w="57" w:type="dxa"/>
            </w:tcMar>
            <w:vAlign w:val="center"/>
          </w:tcPr>
          <w:p w14:paraId="2B3B9F28" w14:textId="77777777" w:rsidR="00FC06AF" w:rsidRPr="00DB7B60" w:rsidRDefault="00FC06AF" w:rsidP="00C007F2">
            <w:pPr>
              <w:rPr>
                <w:sz w:val="18"/>
                <w:szCs w:val="18"/>
              </w:rPr>
            </w:pPr>
          </w:p>
        </w:tc>
        <w:tc>
          <w:tcPr>
            <w:tcW w:w="1474" w:type="dxa"/>
            <w:tcBorders>
              <w:top w:val="single" w:sz="12" w:space="0" w:color="000000"/>
            </w:tcBorders>
            <w:tcMar>
              <w:left w:w="57" w:type="dxa"/>
              <w:right w:w="57" w:type="dxa"/>
            </w:tcMar>
            <w:vAlign w:val="center"/>
          </w:tcPr>
          <w:p w14:paraId="2955954E" w14:textId="77777777" w:rsidR="00FC06AF" w:rsidRPr="00DB7B60" w:rsidRDefault="00FC06AF" w:rsidP="00C007F2">
            <w:pPr>
              <w:rPr>
                <w:sz w:val="18"/>
                <w:szCs w:val="18"/>
              </w:rPr>
            </w:pPr>
          </w:p>
        </w:tc>
      </w:tr>
      <w:tr w:rsidR="0001225C" w:rsidRPr="00DB7B60" w14:paraId="4136964B" w14:textId="77777777" w:rsidTr="005C0D19">
        <w:trPr>
          <w:trHeight w:val="284"/>
        </w:trPr>
        <w:tc>
          <w:tcPr>
            <w:tcW w:w="3401" w:type="dxa"/>
            <w:tcMar>
              <w:left w:w="57" w:type="dxa"/>
              <w:right w:w="57" w:type="dxa"/>
            </w:tcMar>
            <w:vAlign w:val="center"/>
          </w:tcPr>
          <w:p w14:paraId="605A2C51" w14:textId="77777777" w:rsidR="0001225C" w:rsidRPr="00DB7B60" w:rsidRDefault="0001225C" w:rsidP="0001225C">
            <w:pPr>
              <w:ind w:left="170"/>
              <w:jc w:val="left"/>
              <w:rPr>
                <w:sz w:val="18"/>
                <w:szCs w:val="18"/>
              </w:rPr>
            </w:pPr>
            <w:r w:rsidRPr="00DB7B60">
              <w:rPr>
                <w:sz w:val="18"/>
                <w:szCs w:val="18"/>
              </w:rPr>
              <w:t xml:space="preserve">Health system </w:t>
            </w:r>
          </w:p>
        </w:tc>
        <w:tc>
          <w:tcPr>
            <w:tcW w:w="993" w:type="dxa"/>
            <w:tcMar>
              <w:left w:w="57" w:type="dxa"/>
              <w:right w:w="57" w:type="dxa"/>
            </w:tcMar>
          </w:tcPr>
          <w:p w14:paraId="7E631C07" w14:textId="3CEC4CF7" w:rsidR="0001225C" w:rsidRPr="009619B5" w:rsidRDefault="0001225C" w:rsidP="001E55CD">
            <w:pPr>
              <w:ind w:left="170"/>
              <w:jc w:val="left"/>
              <w:rPr>
                <w:sz w:val="18"/>
                <w:szCs w:val="18"/>
              </w:rPr>
            </w:pPr>
            <w:r w:rsidRPr="001E55CD">
              <w:rPr>
                <w:sz w:val="18"/>
                <w:szCs w:val="18"/>
              </w:rPr>
              <w:t>0.23</w:t>
            </w:r>
          </w:p>
        </w:tc>
        <w:tc>
          <w:tcPr>
            <w:tcW w:w="1558" w:type="dxa"/>
            <w:tcMar>
              <w:left w:w="57" w:type="dxa"/>
              <w:right w:w="57" w:type="dxa"/>
            </w:tcMar>
          </w:tcPr>
          <w:p w14:paraId="3B373B5E" w14:textId="50518568" w:rsidR="0001225C" w:rsidRPr="009619B5" w:rsidRDefault="0001225C" w:rsidP="001E55CD">
            <w:pPr>
              <w:ind w:left="170"/>
              <w:jc w:val="left"/>
              <w:rPr>
                <w:sz w:val="18"/>
                <w:szCs w:val="18"/>
              </w:rPr>
            </w:pPr>
            <w:r w:rsidRPr="001E55CD">
              <w:rPr>
                <w:sz w:val="18"/>
                <w:szCs w:val="18"/>
              </w:rPr>
              <w:t>(0.28 to 0.18)</w:t>
            </w:r>
          </w:p>
        </w:tc>
        <w:tc>
          <w:tcPr>
            <w:tcW w:w="850" w:type="dxa"/>
            <w:tcMar>
              <w:left w:w="57" w:type="dxa"/>
              <w:right w:w="57" w:type="dxa"/>
            </w:tcMar>
          </w:tcPr>
          <w:p w14:paraId="50ED64AE" w14:textId="6277D347" w:rsidR="0001225C" w:rsidRPr="009619B5" w:rsidRDefault="0001225C" w:rsidP="001E55CD">
            <w:pPr>
              <w:ind w:left="170"/>
              <w:jc w:val="left"/>
              <w:rPr>
                <w:sz w:val="18"/>
                <w:szCs w:val="18"/>
              </w:rPr>
            </w:pPr>
            <w:r w:rsidRPr="001E55CD">
              <w:rPr>
                <w:sz w:val="18"/>
                <w:szCs w:val="18"/>
              </w:rPr>
              <w:t>1.12</w:t>
            </w:r>
          </w:p>
        </w:tc>
        <w:tc>
          <w:tcPr>
            <w:tcW w:w="1421" w:type="dxa"/>
            <w:tcMar>
              <w:left w:w="57" w:type="dxa"/>
              <w:right w:w="57" w:type="dxa"/>
            </w:tcMar>
          </w:tcPr>
          <w:p w14:paraId="3E3C57C1" w14:textId="29F1253C" w:rsidR="0001225C" w:rsidRPr="009619B5" w:rsidRDefault="0001225C" w:rsidP="001E55CD">
            <w:pPr>
              <w:ind w:left="170"/>
              <w:jc w:val="left"/>
              <w:rPr>
                <w:sz w:val="18"/>
                <w:szCs w:val="18"/>
              </w:rPr>
            </w:pPr>
            <w:r w:rsidRPr="001E55CD">
              <w:rPr>
                <w:sz w:val="18"/>
                <w:szCs w:val="18"/>
              </w:rPr>
              <w:t>(1.38 to 0.88)</w:t>
            </w:r>
          </w:p>
        </w:tc>
        <w:tc>
          <w:tcPr>
            <w:tcW w:w="850" w:type="dxa"/>
            <w:tcMar>
              <w:left w:w="57" w:type="dxa"/>
              <w:right w:w="57" w:type="dxa"/>
            </w:tcMar>
          </w:tcPr>
          <w:p w14:paraId="2BFF5A36" w14:textId="232E2B7E" w:rsidR="0001225C" w:rsidRPr="009619B5" w:rsidRDefault="0001225C" w:rsidP="001E55CD">
            <w:pPr>
              <w:ind w:left="170"/>
              <w:jc w:val="left"/>
              <w:rPr>
                <w:sz w:val="18"/>
                <w:szCs w:val="18"/>
              </w:rPr>
            </w:pPr>
            <w:r w:rsidRPr="001E55CD">
              <w:rPr>
                <w:sz w:val="18"/>
                <w:szCs w:val="18"/>
              </w:rPr>
              <w:t>2.45</w:t>
            </w:r>
          </w:p>
        </w:tc>
        <w:tc>
          <w:tcPr>
            <w:tcW w:w="1474" w:type="dxa"/>
            <w:tcMar>
              <w:left w:w="57" w:type="dxa"/>
              <w:right w:w="57" w:type="dxa"/>
            </w:tcMar>
          </w:tcPr>
          <w:p w14:paraId="7E348DF3" w14:textId="3D473932" w:rsidR="0001225C" w:rsidRPr="009619B5" w:rsidRDefault="0001225C" w:rsidP="001E55CD">
            <w:pPr>
              <w:ind w:left="170"/>
              <w:jc w:val="left"/>
              <w:rPr>
                <w:sz w:val="18"/>
                <w:szCs w:val="18"/>
              </w:rPr>
            </w:pPr>
            <w:r w:rsidRPr="001E55CD">
              <w:rPr>
                <w:sz w:val="18"/>
                <w:szCs w:val="18"/>
              </w:rPr>
              <w:t>(3.13 to 1.85)</w:t>
            </w:r>
          </w:p>
        </w:tc>
      </w:tr>
      <w:tr w:rsidR="0001225C" w:rsidRPr="00DB7B60" w14:paraId="5EAE8D19" w14:textId="77777777" w:rsidTr="005C0D19">
        <w:trPr>
          <w:trHeight w:val="284"/>
        </w:trPr>
        <w:tc>
          <w:tcPr>
            <w:tcW w:w="3401" w:type="dxa"/>
            <w:tcMar>
              <w:left w:w="57" w:type="dxa"/>
              <w:right w:w="57" w:type="dxa"/>
            </w:tcMar>
            <w:vAlign w:val="center"/>
          </w:tcPr>
          <w:p w14:paraId="66308E31" w14:textId="77777777" w:rsidR="0001225C" w:rsidRPr="00DB7B60" w:rsidRDefault="0001225C" w:rsidP="0001225C">
            <w:pPr>
              <w:ind w:left="170"/>
              <w:jc w:val="left"/>
              <w:rPr>
                <w:sz w:val="18"/>
                <w:szCs w:val="18"/>
              </w:rPr>
            </w:pPr>
            <w:r w:rsidRPr="00DB7B60">
              <w:rPr>
                <w:sz w:val="18"/>
                <w:szCs w:val="18"/>
              </w:rPr>
              <w:t>Superannuation expenditure</w:t>
            </w:r>
          </w:p>
        </w:tc>
        <w:tc>
          <w:tcPr>
            <w:tcW w:w="993" w:type="dxa"/>
            <w:tcMar>
              <w:left w:w="57" w:type="dxa"/>
              <w:right w:w="57" w:type="dxa"/>
            </w:tcMar>
          </w:tcPr>
          <w:p w14:paraId="6FCBCA8F" w14:textId="706A0462" w:rsidR="0001225C" w:rsidRPr="009619B5" w:rsidRDefault="0001225C" w:rsidP="001E55CD">
            <w:pPr>
              <w:ind w:left="170"/>
              <w:jc w:val="left"/>
              <w:rPr>
                <w:sz w:val="18"/>
                <w:szCs w:val="18"/>
              </w:rPr>
            </w:pPr>
            <w:r w:rsidRPr="001E55CD">
              <w:rPr>
                <w:sz w:val="18"/>
                <w:szCs w:val="18"/>
              </w:rPr>
              <w:t>0.04</w:t>
            </w:r>
          </w:p>
        </w:tc>
        <w:tc>
          <w:tcPr>
            <w:tcW w:w="1558" w:type="dxa"/>
            <w:tcMar>
              <w:left w:w="57" w:type="dxa"/>
              <w:right w:w="57" w:type="dxa"/>
            </w:tcMar>
          </w:tcPr>
          <w:p w14:paraId="7826CB34" w14:textId="2E371FE9" w:rsidR="0001225C" w:rsidRPr="009619B5" w:rsidRDefault="0001225C" w:rsidP="001E55CD">
            <w:pPr>
              <w:ind w:left="170"/>
              <w:jc w:val="left"/>
              <w:rPr>
                <w:sz w:val="18"/>
                <w:szCs w:val="18"/>
              </w:rPr>
            </w:pPr>
            <w:r w:rsidRPr="001E55CD">
              <w:rPr>
                <w:sz w:val="18"/>
                <w:szCs w:val="18"/>
              </w:rPr>
              <w:t>(0.03 to 0.05)</w:t>
            </w:r>
          </w:p>
        </w:tc>
        <w:tc>
          <w:tcPr>
            <w:tcW w:w="850" w:type="dxa"/>
            <w:tcMar>
              <w:left w:w="57" w:type="dxa"/>
              <w:right w:w="57" w:type="dxa"/>
            </w:tcMar>
          </w:tcPr>
          <w:p w14:paraId="034E8274" w14:textId="13CFEE50" w:rsidR="0001225C" w:rsidRPr="009619B5" w:rsidRDefault="0001225C" w:rsidP="001E55CD">
            <w:pPr>
              <w:ind w:left="170"/>
              <w:jc w:val="left"/>
              <w:rPr>
                <w:sz w:val="18"/>
                <w:szCs w:val="18"/>
              </w:rPr>
            </w:pPr>
            <w:r w:rsidRPr="001E55CD">
              <w:rPr>
                <w:sz w:val="18"/>
                <w:szCs w:val="18"/>
              </w:rPr>
              <w:t>0.58</w:t>
            </w:r>
          </w:p>
        </w:tc>
        <w:tc>
          <w:tcPr>
            <w:tcW w:w="1421" w:type="dxa"/>
            <w:tcMar>
              <w:left w:w="57" w:type="dxa"/>
              <w:right w:w="57" w:type="dxa"/>
            </w:tcMar>
          </w:tcPr>
          <w:p w14:paraId="75EF59A7" w14:textId="2AF61D2C" w:rsidR="0001225C" w:rsidRPr="009619B5" w:rsidRDefault="0001225C" w:rsidP="001E55CD">
            <w:pPr>
              <w:ind w:left="170"/>
              <w:jc w:val="left"/>
              <w:rPr>
                <w:sz w:val="18"/>
                <w:szCs w:val="18"/>
              </w:rPr>
            </w:pPr>
            <w:r w:rsidRPr="001E55CD">
              <w:rPr>
                <w:sz w:val="18"/>
                <w:szCs w:val="18"/>
              </w:rPr>
              <w:t>(0.45 to 0.7)</w:t>
            </w:r>
          </w:p>
        </w:tc>
        <w:tc>
          <w:tcPr>
            <w:tcW w:w="850" w:type="dxa"/>
            <w:tcMar>
              <w:left w:w="57" w:type="dxa"/>
              <w:right w:w="57" w:type="dxa"/>
            </w:tcMar>
          </w:tcPr>
          <w:p w14:paraId="7A4F60BD" w14:textId="3EC9FDF9" w:rsidR="0001225C" w:rsidRPr="009619B5" w:rsidRDefault="0001225C" w:rsidP="001E55CD">
            <w:pPr>
              <w:ind w:left="170"/>
              <w:jc w:val="left"/>
              <w:rPr>
                <w:sz w:val="18"/>
                <w:szCs w:val="18"/>
              </w:rPr>
            </w:pPr>
            <w:r w:rsidRPr="001E55CD">
              <w:rPr>
                <w:sz w:val="18"/>
                <w:szCs w:val="18"/>
              </w:rPr>
              <w:t>2.42</w:t>
            </w:r>
          </w:p>
        </w:tc>
        <w:tc>
          <w:tcPr>
            <w:tcW w:w="1474" w:type="dxa"/>
            <w:tcMar>
              <w:left w:w="57" w:type="dxa"/>
              <w:right w:w="57" w:type="dxa"/>
            </w:tcMar>
          </w:tcPr>
          <w:p w14:paraId="523F3A5B" w14:textId="6620FCE4" w:rsidR="0001225C" w:rsidRPr="009619B5" w:rsidRDefault="0001225C" w:rsidP="001E55CD">
            <w:pPr>
              <w:ind w:left="170"/>
              <w:jc w:val="left"/>
              <w:rPr>
                <w:sz w:val="18"/>
                <w:szCs w:val="18"/>
              </w:rPr>
            </w:pPr>
            <w:r w:rsidRPr="001E55CD">
              <w:rPr>
                <w:sz w:val="18"/>
                <w:szCs w:val="18"/>
              </w:rPr>
              <w:t>(1.9 to 2.94)</w:t>
            </w:r>
          </w:p>
        </w:tc>
      </w:tr>
      <w:tr w:rsidR="00FC06AF" w:rsidRPr="00DB7B60" w14:paraId="01A807CD" w14:textId="77777777" w:rsidTr="00C007F2">
        <w:trPr>
          <w:trHeight w:val="284"/>
        </w:trPr>
        <w:tc>
          <w:tcPr>
            <w:tcW w:w="3401" w:type="dxa"/>
            <w:tcMar>
              <w:left w:w="57" w:type="dxa"/>
              <w:right w:w="57" w:type="dxa"/>
            </w:tcMar>
            <w:vAlign w:val="center"/>
          </w:tcPr>
          <w:p w14:paraId="6967E254" w14:textId="77777777" w:rsidR="00FC06AF" w:rsidRPr="00DC768F" w:rsidRDefault="00FC06AF" w:rsidP="00C007F2">
            <w:pPr>
              <w:ind w:left="57"/>
              <w:jc w:val="left"/>
              <w:rPr>
                <w:b/>
                <w:bCs/>
                <w:i/>
                <w:iCs/>
                <w:sz w:val="18"/>
                <w:szCs w:val="18"/>
              </w:rPr>
            </w:pPr>
            <w:r w:rsidRPr="00DC768F">
              <w:rPr>
                <w:b/>
                <w:bCs/>
                <w:i/>
                <w:iCs/>
                <w:sz w:val="18"/>
                <w:szCs w:val="18"/>
              </w:rPr>
              <w:t>Revenue</w:t>
            </w:r>
          </w:p>
        </w:tc>
        <w:tc>
          <w:tcPr>
            <w:tcW w:w="993" w:type="dxa"/>
            <w:tcMar>
              <w:left w:w="57" w:type="dxa"/>
              <w:right w:w="57" w:type="dxa"/>
            </w:tcMar>
            <w:vAlign w:val="center"/>
          </w:tcPr>
          <w:p w14:paraId="5162A015" w14:textId="77777777" w:rsidR="00FC06AF" w:rsidRPr="009619B5" w:rsidRDefault="00FC06AF" w:rsidP="001E55CD">
            <w:pPr>
              <w:ind w:left="170"/>
              <w:jc w:val="left"/>
              <w:rPr>
                <w:sz w:val="18"/>
                <w:szCs w:val="18"/>
              </w:rPr>
            </w:pPr>
          </w:p>
        </w:tc>
        <w:tc>
          <w:tcPr>
            <w:tcW w:w="1558" w:type="dxa"/>
            <w:tcMar>
              <w:left w:w="57" w:type="dxa"/>
              <w:right w:w="57" w:type="dxa"/>
            </w:tcMar>
            <w:vAlign w:val="center"/>
          </w:tcPr>
          <w:p w14:paraId="4FA4313A" w14:textId="77777777" w:rsidR="00FC06AF" w:rsidRPr="009619B5" w:rsidRDefault="00FC06AF" w:rsidP="001E55CD">
            <w:pPr>
              <w:ind w:left="170"/>
              <w:jc w:val="left"/>
              <w:rPr>
                <w:sz w:val="18"/>
                <w:szCs w:val="18"/>
              </w:rPr>
            </w:pPr>
          </w:p>
        </w:tc>
        <w:tc>
          <w:tcPr>
            <w:tcW w:w="850" w:type="dxa"/>
            <w:tcMar>
              <w:left w:w="57" w:type="dxa"/>
              <w:right w:w="57" w:type="dxa"/>
            </w:tcMar>
            <w:vAlign w:val="center"/>
          </w:tcPr>
          <w:p w14:paraId="6901519D" w14:textId="77777777" w:rsidR="00FC06AF" w:rsidRPr="009619B5" w:rsidRDefault="00FC06AF" w:rsidP="001E55CD">
            <w:pPr>
              <w:ind w:left="170"/>
              <w:jc w:val="left"/>
              <w:rPr>
                <w:sz w:val="18"/>
                <w:szCs w:val="18"/>
              </w:rPr>
            </w:pPr>
          </w:p>
        </w:tc>
        <w:tc>
          <w:tcPr>
            <w:tcW w:w="1421" w:type="dxa"/>
            <w:tcMar>
              <w:left w:w="57" w:type="dxa"/>
              <w:right w:w="57" w:type="dxa"/>
            </w:tcMar>
            <w:vAlign w:val="center"/>
          </w:tcPr>
          <w:p w14:paraId="72A4E22D" w14:textId="77777777" w:rsidR="00FC06AF" w:rsidRPr="009619B5" w:rsidRDefault="00FC06AF" w:rsidP="001E55CD">
            <w:pPr>
              <w:ind w:left="170"/>
              <w:jc w:val="left"/>
              <w:rPr>
                <w:sz w:val="18"/>
                <w:szCs w:val="18"/>
              </w:rPr>
            </w:pPr>
          </w:p>
        </w:tc>
        <w:tc>
          <w:tcPr>
            <w:tcW w:w="850" w:type="dxa"/>
            <w:tcMar>
              <w:left w:w="57" w:type="dxa"/>
              <w:right w:w="57" w:type="dxa"/>
            </w:tcMar>
            <w:vAlign w:val="center"/>
          </w:tcPr>
          <w:p w14:paraId="3A85D900" w14:textId="77777777" w:rsidR="00FC06AF" w:rsidRPr="009619B5" w:rsidRDefault="00FC06AF" w:rsidP="001E55CD">
            <w:pPr>
              <w:ind w:left="170"/>
              <w:jc w:val="left"/>
              <w:rPr>
                <w:sz w:val="18"/>
                <w:szCs w:val="18"/>
              </w:rPr>
            </w:pPr>
          </w:p>
        </w:tc>
        <w:tc>
          <w:tcPr>
            <w:tcW w:w="1474" w:type="dxa"/>
            <w:tcMar>
              <w:left w:w="57" w:type="dxa"/>
              <w:right w:w="57" w:type="dxa"/>
            </w:tcMar>
            <w:vAlign w:val="center"/>
          </w:tcPr>
          <w:p w14:paraId="3BE2AA32" w14:textId="77777777" w:rsidR="00FC06AF" w:rsidRPr="009619B5" w:rsidRDefault="00FC06AF" w:rsidP="001E55CD">
            <w:pPr>
              <w:ind w:left="170"/>
              <w:jc w:val="left"/>
              <w:rPr>
                <w:sz w:val="18"/>
                <w:szCs w:val="18"/>
              </w:rPr>
            </w:pPr>
          </w:p>
        </w:tc>
      </w:tr>
      <w:tr w:rsidR="00061B90" w:rsidRPr="00DB7B60" w14:paraId="4B21375F" w14:textId="77777777" w:rsidTr="00A97E54">
        <w:trPr>
          <w:trHeight w:val="284"/>
        </w:trPr>
        <w:tc>
          <w:tcPr>
            <w:tcW w:w="3401" w:type="dxa"/>
            <w:tcMar>
              <w:left w:w="57" w:type="dxa"/>
              <w:right w:w="57" w:type="dxa"/>
            </w:tcMar>
            <w:vAlign w:val="center"/>
          </w:tcPr>
          <w:p w14:paraId="263FE977" w14:textId="77777777" w:rsidR="00061B90" w:rsidRPr="00DB7B60" w:rsidRDefault="00061B90" w:rsidP="00061B90">
            <w:pPr>
              <w:ind w:left="170"/>
              <w:jc w:val="left"/>
              <w:rPr>
                <w:sz w:val="18"/>
                <w:szCs w:val="18"/>
              </w:rPr>
            </w:pPr>
            <w:r w:rsidRPr="00DB7B60">
              <w:rPr>
                <w:sz w:val="18"/>
                <w:szCs w:val="18"/>
              </w:rPr>
              <w:t>Income tax revenue</w:t>
            </w:r>
          </w:p>
        </w:tc>
        <w:tc>
          <w:tcPr>
            <w:tcW w:w="993" w:type="dxa"/>
            <w:tcMar>
              <w:left w:w="57" w:type="dxa"/>
              <w:right w:w="57" w:type="dxa"/>
            </w:tcMar>
          </w:tcPr>
          <w:p w14:paraId="7CEC313A" w14:textId="37D872F1" w:rsidR="00061B90" w:rsidRPr="009619B5" w:rsidRDefault="00061B90" w:rsidP="001E55CD">
            <w:pPr>
              <w:ind w:left="170"/>
              <w:jc w:val="left"/>
              <w:rPr>
                <w:sz w:val="18"/>
                <w:szCs w:val="18"/>
              </w:rPr>
            </w:pPr>
            <w:r w:rsidRPr="001E55CD">
              <w:rPr>
                <w:sz w:val="18"/>
                <w:szCs w:val="18"/>
              </w:rPr>
              <w:t>0.06</w:t>
            </w:r>
          </w:p>
        </w:tc>
        <w:tc>
          <w:tcPr>
            <w:tcW w:w="1558" w:type="dxa"/>
            <w:tcMar>
              <w:left w:w="57" w:type="dxa"/>
              <w:right w:w="57" w:type="dxa"/>
            </w:tcMar>
          </w:tcPr>
          <w:p w14:paraId="0C296FDA" w14:textId="05BE6165" w:rsidR="00061B90" w:rsidRPr="009619B5" w:rsidRDefault="00061B90" w:rsidP="001E55CD">
            <w:pPr>
              <w:ind w:left="170"/>
              <w:jc w:val="left"/>
              <w:rPr>
                <w:sz w:val="18"/>
                <w:szCs w:val="18"/>
              </w:rPr>
            </w:pPr>
            <w:r w:rsidRPr="001E55CD">
              <w:rPr>
                <w:sz w:val="18"/>
                <w:szCs w:val="18"/>
              </w:rPr>
              <w:t>(0.05 to 0.08)</w:t>
            </w:r>
          </w:p>
        </w:tc>
        <w:tc>
          <w:tcPr>
            <w:tcW w:w="850" w:type="dxa"/>
            <w:tcMar>
              <w:left w:w="57" w:type="dxa"/>
              <w:right w:w="57" w:type="dxa"/>
            </w:tcMar>
          </w:tcPr>
          <w:p w14:paraId="2CB4BE1C" w14:textId="73AB0AFF" w:rsidR="00061B90" w:rsidRPr="009619B5" w:rsidRDefault="00061B90" w:rsidP="001E55CD">
            <w:pPr>
              <w:ind w:left="170"/>
              <w:jc w:val="left"/>
              <w:rPr>
                <w:sz w:val="18"/>
                <w:szCs w:val="18"/>
              </w:rPr>
            </w:pPr>
            <w:r w:rsidRPr="001E55CD">
              <w:rPr>
                <w:sz w:val="18"/>
                <w:szCs w:val="18"/>
              </w:rPr>
              <w:t>0.47</w:t>
            </w:r>
          </w:p>
        </w:tc>
        <w:tc>
          <w:tcPr>
            <w:tcW w:w="1421" w:type="dxa"/>
            <w:tcMar>
              <w:left w:w="57" w:type="dxa"/>
              <w:right w:w="57" w:type="dxa"/>
            </w:tcMar>
          </w:tcPr>
          <w:p w14:paraId="2CEE0FB1" w14:textId="03D1D865" w:rsidR="00061B90" w:rsidRPr="009619B5" w:rsidRDefault="00061B90" w:rsidP="001E55CD">
            <w:pPr>
              <w:ind w:left="170"/>
              <w:jc w:val="left"/>
              <w:rPr>
                <w:sz w:val="18"/>
                <w:szCs w:val="18"/>
              </w:rPr>
            </w:pPr>
            <w:r w:rsidRPr="001E55CD">
              <w:rPr>
                <w:sz w:val="18"/>
                <w:szCs w:val="18"/>
              </w:rPr>
              <w:t>(0.37 to 0.56)</w:t>
            </w:r>
          </w:p>
        </w:tc>
        <w:tc>
          <w:tcPr>
            <w:tcW w:w="850" w:type="dxa"/>
            <w:tcMar>
              <w:left w:w="57" w:type="dxa"/>
              <w:right w:w="57" w:type="dxa"/>
            </w:tcMar>
          </w:tcPr>
          <w:p w14:paraId="43DCB2C5" w14:textId="246742A1" w:rsidR="00061B90" w:rsidRPr="009619B5" w:rsidRDefault="00061B90" w:rsidP="001E55CD">
            <w:pPr>
              <w:ind w:left="170"/>
              <w:jc w:val="left"/>
              <w:rPr>
                <w:sz w:val="18"/>
                <w:szCs w:val="18"/>
              </w:rPr>
            </w:pPr>
            <w:r w:rsidRPr="001E55CD">
              <w:rPr>
                <w:sz w:val="18"/>
                <w:szCs w:val="18"/>
              </w:rPr>
              <w:t>1.24</w:t>
            </w:r>
          </w:p>
        </w:tc>
        <w:tc>
          <w:tcPr>
            <w:tcW w:w="1474" w:type="dxa"/>
            <w:tcMar>
              <w:left w:w="57" w:type="dxa"/>
              <w:right w:w="57" w:type="dxa"/>
            </w:tcMar>
          </w:tcPr>
          <w:p w14:paraId="04C3159F" w14:textId="2873ED36" w:rsidR="00061B90" w:rsidRPr="009619B5" w:rsidRDefault="00061B90" w:rsidP="001E55CD">
            <w:pPr>
              <w:ind w:left="170"/>
              <w:jc w:val="left"/>
              <w:rPr>
                <w:sz w:val="18"/>
                <w:szCs w:val="18"/>
              </w:rPr>
            </w:pPr>
            <w:r w:rsidRPr="001E55CD">
              <w:rPr>
                <w:sz w:val="18"/>
                <w:szCs w:val="18"/>
              </w:rPr>
              <w:t>(1 to 1.48)</w:t>
            </w:r>
          </w:p>
        </w:tc>
      </w:tr>
      <w:tr w:rsidR="00320FDE" w:rsidRPr="00DB7B60" w14:paraId="415ADDF3" w14:textId="77777777" w:rsidTr="0014547F">
        <w:trPr>
          <w:trHeight w:val="284"/>
        </w:trPr>
        <w:tc>
          <w:tcPr>
            <w:tcW w:w="3401" w:type="dxa"/>
            <w:tcMar>
              <w:left w:w="57" w:type="dxa"/>
              <w:right w:w="57" w:type="dxa"/>
            </w:tcMar>
            <w:vAlign w:val="center"/>
          </w:tcPr>
          <w:p w14:paraId="545623B5" w14:textId="77777777" w:rsidR="00320FDE" w:rsidRPr="00DB7B60" w:rsidRDefault="00320FDE" w:rsidP="00320FDE">
            <w:pPr>
              <w:ind w:left="170"/>
              <w:jc w:val="left"/>
              <w:rPr>
                <w:sz w:val="18"/>
                <w:szCs w:val="18"/>
              </w:rPr>
            </w:pPr>
            <w:r w:rsidRPr="00DB7B60">
              <w:rPr>
                <w:sz w:val="18"/>
                <w:szCs w:val="18"/>
              </w:rPr>
              <w:t>GST revenue (including tobacco sales tax)</w:t>
            </w:r>
          </w:p>
        </w:tc>
        <w:tc>
          <w:tcPr>
            <w:tcW w:w="993" w:type="dxa"/>
            <w:tcMar>
              <w:left w:w="57" w:type="dxa"/>
              <w:right w:w="57" w:type="dxa"/>
            </w:tcMar>
          </w:tcPr>
          <w:p w14:paraId="07A4BBB0" w14:textId="5685118E" w:rsidR="00320FDE" w:rsidRPr="009619B5" w:rsidRDefault="00320FDE" w:rsidP="001E55CD">
            <w:pPr>
              <w:ind w:left="170"/>
              <w:jc w:val="left"/>
              <w:rPr>
                <w:sz w:val="18"/>
                <w:szCs w:val="18"/>
              </w:rPr>
            </w:pPr>
            <w:r w:rsidRPr="001E55CD">
              <w:rPr>
                <w:sz w:val="18"/>
                <w:szCs w:val="18"/>
              </w:rPr>
              <w:t>0.46</w:t>
            </w:r>
          </w:p>
        </w:tc>
        <w:tc>
          <w:tcPr>
            <w:tcW w:w="1558" w:type="dxa"/>
            <w:tcMar>
              <w:left w:w="57" w:type="dxa"/>
              <w:right w:w="57" w:type="dxa"/>
            </w:tcMar>
          </w:tcPr>
          <w:p w14:paraId="55C0F5C0" w14:textId="49FF5BFD" w:rsidR="00320FDE" w:rsidRPr="009619B5" w:rsidRDefault="00320FDE" w:rsidP="001E55CD">
            <w:pPr>
              <w:ind w:left="170"/>
              <w:jc w:val="left"/>
              <w:rPr>
                <w:sz w:val="18"/>
                <w:szCs w:val="18"/>
              </w:rPr>
            </w:pPr>
            <w:r w:rsidRPr="001E55CD">
              <w:rPr>
                <w:sz w:val="18"/>
                <w:szCs w:val="18"/>
              </w:rPr>
              <w:t>(0.37 to 0.54)</w:t>
            </w:r>
          </w:p>
        </w:tc>
        <w:tc>
          <w:tcPr>
            <w:tcW w:w="850" w:type="dxa"/>
            <w:tcMar>
              <w:left w:w="57" w:type="dxa"/>
              <w:right w:w="57" w:type="dxa"/>
            </w:tcMar>
          </w:tcPr>
          <w:p w14:paraId="66A0A409" w14:textId="6478C5DC" w:rsidR="00320FDE" w:rsidRPr="009619B5" w:rsidRDefault="00320FDE" w:rsidP="001E55CD">
            <w:pPr>
              <w:ind w:left="170"/>
              <w:jc w:val="left"/>
              <w:rPr>
                <w:sz w:val="18"/>
                <w:szCs w:val="18"/>
              </w:rPr>
            </w:pPr>
            <w:r w:rsidRPr="001E55CD">
              <w:rPr>
                <w:sz w:val="18"/>
                <w:szCs w:val="18"/>
              </w:rPr>
              <w:t>1.21</w:t>
            </w:r>
          </w:p>
        </w:tc>
        <w:tc>
          <w:tcPr>
            <w:tcW w:w="1421" w:type="dxa"/>
            <w:tcMar>
              <w:left w:w="57" w:type="dxa"/>
              <w:right w:w="57" w:type="dxa"/>
            </w:tcMar>
          </w:tcPr>
          <w:p w14:paraId="3BC1CC94" w14:textId="084B77AB" w:rsidR="00320FDE" w:rsidRPr="009619B5" w:rsidRDefault="00320FDE" w:rsidP="001E55CD">
            <w:pPr>
              <w:ind w:left="170"/>
              <w:jc w:val="left"/>
              <w:rPr>
                <w:sz w:val="18"/>
                <w:szCs w:val="18"/>
              </w:rPr>
            </w:pPr>
            <w:r w:rsidRPr="001E55CD">
              <w:rPr>
                <w:sz w:val="18"/>
                <w:szCs w:val="18"/>
              </w:rPr>
              <w:t>(0.98 to 1.42)</w:t>
            </w:r>
          </w:p>
        </w:tc>
        <w:tc>
          <w:tcPr>
            <w:tcW w:w="850" w:type="dxa"/>
            <w:tcMar>
              <w:left w:w="57" w:type="dxa"/>
              <w:right w:w="57" w:type="dxa"/>
            </w:tcMar>
          </w:tcPr>
          <w:p w14:paraId="14D22568" w14:textId="523AA06E" w:rsidR="00320FDE" w:rsidRPr="009619B5" w:rsidRDefault="00320FDE" w:rsidP="001E55CD">
            <w:pPr>
              <w:ind w:left="170"/>
              <w:jc w:val="left"/>
              <w:rPr>
                <w:sz w:val="18"/>
                <w:szCs w:val="18"/>
              </w:rPr>
            </w:pPr>
            <w:r w:rsidRPr="001E55CD">
              <w:rPr>
                <w:sz w:val="18"/>
                <w:szCs w:val="18"/>
              </w:rPr>
              <w:t>2.08</w:t>
            </w:r>
          </w:p>
        </w:tc>
        <w:tc>
          <w:tcPr>
            <w:tcW w:w="1474" w:type="dxa"/>
            <w:tcMar>
              <w:left w:w="57" w:type="dxa"/>
              <w:right w:w="57" w:type="dxa"/>
            </w:tcMar>
          </w:tcPr>
          <w:p w14:paraId="5CF1BFE0" w14:textId="2E29767A" w:rsidR="00320FDE" w:rsidRPr="009619B5" w:rsidRDefault="00320FDE" w:rsidP="001E55CD">
            <w:pPr>
              <w:ind w:left="170"/>
              <w:jc w:val="left"/>
              <w:rPr>
                <w:sz w:val="18"/>
                <w:szCs w:val="18"/>
              </w:rPr>
            </w:pPr>
            <w:r w:rsidRPr="001E55CD">
              <w:rPr>
                <w:sz w:val="18"/>
                <w:szCs w:val="18"/>
              </w:rPr>
              <w:t>(1.66 to 2.48)</w:t>
            </w:r>
          </w:p>
        </w:tc>
      </w:tr>
      <w:tr w:rsidR="00852FE6" w:rsidRPr="00DB7B60" w14:paraId="7C785E8E" w14:textId="77777777" w:rsidTr="0081043C">
        <w:trPr>
          <w:trHeight w:val="284"/>
        </w:trPr>
        <w:tc>
          <w:tcPr>
            <w:tcW w:w="3401" w:type="dxa"/>
            <w:tcMar>
              <w:left w:w="57" w:type="dxa"/>
              <w:right w:w="57" w:type="dxa"/>
            </w:tcMar>
            <w:vAlign w:val="center"/>
          </w:tcPr>
          <w:p w14:paraId="56018A7E" w14:textId="77777777" w:rsidR="00852FE6" w:rsidRPr="00DB7B60" w:rsidRDefault="00852FE6" w:rsidP="00852FE6">
            <w:pPr>
              <w:ind w:left="170"/>
              <w:jc w:val="left"/>
              <w:rPr>
                <w:sz w:val="18"/>
                <w:szCs w:val="18"/>
              </w:rPr>
            </w:pPr>
            <w:r w:rsidRPr="00DB7B60">
              <w:rPr>
                <w:sz w:val="18"/>
                <w:szCs w:val="18"/>
              </w:rPr>
              <w:t>Tobacco excise revenue</w:t>
            </w:r>
          </w:p>
        </w:tc>
        <w:tc>
          <w:tcPr>
            <w:tcW w:w="993" w:type="dxa"/>
            <w:tcMar>
              <w:left w:w="57" w:type="dxa"/>
              <w:right w:w="57" w:type="dxa"/>
            </w:tcMar>
          </w:tcPr>
          <w:p w14:paraId="142AEE1A" w14:textId="1CABD5F2" w:rsidR="00852FE6" w:rsidRPr="009619B5" w:rsidRDefault="00852FE6" w:rsidP="001E55CD">
            <w:pPr>
              <w:ind w:left="170"/>
              <w:jc w:val="left"/>
              <w:rPr>
                <w:sz w:val="18"/>
                <w:szCs w:val="18"/>
              </w:rPr>
            </w:pPr>
            <w:r w:rsidRPr="001E55CD">
              <w:rPr>
                <w:sz w:val="18"/>
                <w:szCs w:val="18"/>
              </w:rPr>
              <w:t>-6.44</w:t>
            </w:r>
          </w:p>
        </w:tc>
        <w:tc>
          <w:tcPr>
            <w:tcW w:w="1558" w:type="dxa"/>
            <w:tcMar>
              <w:left w:w="57" w:type="dxa"/>
              <w:right w:w="57" w:type="dxa"/>
            </w:tcMar>
          </w:tcPr>
          <w:p w14:paraId="4DFD0541" w14:textId="073B63B5" w:rsidR="00852FE6" w:rsidRPr="009619B5" w:rsidRDefault="00852FE6" w:rsidP="001E55CD">
            <w:pPr>
              <w:ind w:left="170"/>
              <w:jc w:val="left"/>
              <w:rPr>
                <w:sz w:val="18"/>
                <w:szCs w:val="18"/>
              </w:rPr>
            </w:pPr>
            <w:r w:rsidRPr="001E55CD">
              <w:rPr>
                <w:sz w:val="18"/>
                <w:szCs w:val="18"/>
              </w:rPr>
              <w:t>(-7.55 to -5.22)</w:t>
            </w:r>
          </w:p>
        </w:tc>
        <w:tc>
          <w:tcPr>
            <w:tcW w:w="850" w:type="dxa"/>
            <w:tcMar>
              <w:left w:w="57" w:type="dxa"/>
              <w:right w:w="57" w:type="dxa"/>
            </w:tcMar>
          </w:tcPr>
          <w:p w14:paraId="7EBF7616" w14:textId="0C6CD27A" w:rsidR="00852FE6" w:rsidRPr="009619B5" w:rsidRDefault="00852FE6" w:rsidP="001E55CD">
            <w:pPr>
              <w:ind w:left="170"/>
              <w:jc w:val="left"/>
              <w:rPr>
                <w:sz w:val="18"/>
                <w:szCs w:val="18"/>
              </w:rPr>
            </w:pPr>
            <w:r w:rsidRPr="001E55CD">
              <w:rPr>
                <w:sz w:val="18"/>
                <w:szCs w:val="18"/>
              </w:rPr>
              <w:t>-14.56</w:t>
            </w:r>
          </w:p>
        </w:tc>
        <w:tc>
          <w:tcPr>
            <w:tcW w:w="1421" w:type="dxa"/>
            <w:tcMar>
              <w:left w:w="57" w:type="dxa"/>
              <w:right w:w="57" w:type="dxa"/>
            </w:tcMar>
          </w:tcPr>
          <w:p w14:paraId="12222447" w14:textId="45D33CE1" w:rsidR="00852FE6" w:rsidRPr="009619B5" w:rsidRDefault="00852FE6" w:rsidP="001E55CD">
            <w:pPr>
              <w:ind w:left="170"/>
              <w:jc w:val="left"/>
              <w:rPr>
                <w:sz w:val="18"/>
                <w:szCs w:val="18"/>
              </w:rPr>
            </w:pPr>
            <w:r w:rsidRPr="001E55CD">
              <w:rPr>
                <w:sz w:val="18"/>
                <w:szCs w:val="18"/>
              </w:rPr>
              <w:t>(-17.27 to -11.55)</w:t>
            </w:r>
          </w:p>
        </w:tc>
        <w:tc>
          <w:tcPr>
            <w:tcW w:w="850" w:type="dxa"/>
            <w:tcMar>
              <w:left w:w="57" w:type="dxa"/>
              <w:right w:w="57" w:type="dxa"/>
            </w:tcMar>
          </w:tcPr>
          <w:p w14:paraId="42D67C0E" w14:textId="53D3642C" w:rsidR="00852FE6" w:rsidRPr="009619B5" w:rsidRDefault="00852FE6" w:rsidP="001E55CD">
            <w:pPr>
              <w:ind w:left="170"/>
              <w:jc w:val="left"/>
              <w:rPr>
                <w:sz w:val="18"/>
                <w:szCs w:val="18"/>
              </w:rPr>
            </w:pPr>
            <w:r w:rsidRPr="001E55CD">
              <w:rPr>
                <w:sz w:val="18"/>
                <w:szCs w:val="18"/>
              </w:rPr>
              <w:t>-21.49</w:t>
            </w:r>
          </w:p>
        </w:tc>
        <w:tc>
          <w:tcPr>
            <w:tcW w:w="1474" w:type="dxa"/>
            <w:tcMar>
              <w:left w:w="57" w:type="dxa"/>
              <w:right w:w="57" w:type="dxa"/>
            </w:tcMar>
          </w:tcPr>
          <w:p w14:paraId="3961EAC5" w14:textId="6FB6BD0E" w:rsidR="00852FE6" w:rsidRPr="009619B5" w:rsidRDefault="00852FE6" w:rsidP="001E55CD">
            <w:pPr>
              <w:ind w:left="170"/>
              <w:jc w:val="left"/>
              <w:rPr>
                <w:sz w:val="18"/>
                <w:szCs w:val="18"/>
              </w:rPr>
            </w:pPr>
            <w:r w:rsidRPr="001E55CD">
              <w:rPr>
                <w:sz w:val="18"/>
                <w:szCs w:val="18"/>
              </w:rPr>
              <w:t>(-26.19 to -16.5)</w:t>
            </w:r>
          </w:p>
        </w:tc>
      </w:tr>
      <w:tr w:rsidR="005A5DBE" w:rsidRPr="00DB7B60" w14:paraId="083421C4" w14:textId="77777777" w:rsidTr="002B6DB5">
        <w:trPr>
          <w:trHeight w:val="284"/>
        </w:trPr>
        <w:tc>
          <w:tcPr>
            <w:tcW w:w="3401" w:type="dxa"/>
            <w:tcBorders>
              <w:bottom w:val="single" w:sz="12" w:space="0" w:color="000000"/>
            </w:tcBorders>
            <w:tcMar>
              <w:left w:w="57" w:type="dxa"/>
              <w:right w:w="57" w:type="dxa"/>
            </w:tcMar>
            <w:vAlign w:val="center"/>
          </w:tcPr>
          <w:p w14:paraId="30D0695E" w14:textId="77777777" w:rsidR="005A5DBE" w:rsidRDefault="005A5DBE" w:rsidP="005A5DBE">
            <w:pPr>
              <w:ind w:left="57"/>
              <w:jc w:val="left"/>
              <w:rPr>
                <w:b/>
                <w:bCs/>
                <w:i/>
                <w:iCs/>
                <w:sz w:val="18"/>
                <w:szCs w:val="18"/>
              </w:rPr>
            </w:pPr>
            <w:r w:rsidRPr="00DC768F">
              <w:rPr>
                <w:b/>
                <w:bCs/>
                <w:i/>
                <w:iCs/>
                <w:sz w:val="18"/>
                <w:szCs w:val="18"/>
              </w:rPr>
              <w:t>Net Government position</w:t>
            </w:r>
            <w:r>
              <w:rPr>
                <w:b/>
                <w:bCs/>
                <w:i/>
                <w:iCs/>
                <w:sz w:val="18"/>
                <w:szCs w:val="18"/>
              </w:rPr>
              <w:t xml:space="preserve"> </w:t>
            </w:r>
          </w:p>
          <w:p w14:paraId="466717AF" w14:textId="77777777" w:rsidR="005A5DBE" w:rsidRPr="00DC768F" w:rsidRDefault="005A5DBE" w:rsidP="005A5DBE">
            <w:pPr>
              <w:ind w:left="57"/>
              <w:jc w:val="left"/>
              <w:rPr>
                <w:b/>
                <w:bCs/>
                <w:i/>
                <w:iCs/>
                <w:sz w:val="18"/>
                <w:szCs w:val="18"/>
              </w:rPr>
            </w:pPr>
            <w:r>
              <w:rPr>
                <w:b/>
                <w:bCs/>
                <w:i/>
                <w:iCs/>
                <w:sz w:val="18"/>
                <w:szCs w:val="18"/>
              </w:rPr>
              <w:t>(</w:t>
            </w:r>
            <w:proofErr w:type="gramStart"/>
            <w:r>
              <w:rPr>
                <w:b/>
                <w:bCs/>
                <w:i/>
                <w:iCs/>
                <w:sz w:val="18"/>
                <w:szCs w:val="18"/>
              </w:rPr>
              <w:t>revenue</w:t>
            </w:r>
            <w:proofErr w:type="gramEnd"/>
            <w:r>
              <w:rPr>
                <w:b/>
                <w:bCs/>
                <w:i/>
                <w:iCs/>
                <w:sz w:val="18"/>
                <w:szCs w:val="18"/>
              </w:rPr>
              <w:t xml:space="preserve"> –expenditure)</w:t>
            </w:r>
          </w:p>
        </w:tc>
        <w:tc>
          <w:tcPr>
            <w:tcW w:w="993" w:type="dxa"/>
            <w:tcBorders>
              <w:bottom w:val="single" w:sz="12" w:space="0" w:color="000000"/>
            </w:tcBorders>
            <w:tcMar>
              <w:left w:w="57" w:type="dxa"/>
              <w:right w:w="57" w:type="dxa"/>
            </w:tcMar>
          </w:tcPr>
          <w:p w14:paraId="7C047AEC" w14:textId="01193A5A" w:rsidR="005A5DBE" w:rsidRPr="009619B5" w:rsidRDefault="005A5DBE" w:rsidP="001E55CD">
            <w:pPr>
              <w:ind w:left="170"/>
              <w:jc w:val="left"/>
              <w:rPr>
                <w:sz w:val="18"/>
                <w:szCs w:val="18"/>
              </w:rPr>
            </w:pPr>
            <w:r w:rsidRPr="001E55CD">
              <w:rPr>
                <w:sz w:val="18"/>
                <w:szCs w:val="18"/>
              </w:rPr>
              <w:t>-5.72</w:t>
            </w:r>
          </w:p>
        </w:tc>
        <w:tc>
          <w:tcPr>
            <w:tcW w:w="1558" w:type="dxa"/>
            <w:tcBorders>
              <w:bottom w:val="single" w:sz="12" w:space="0" w:color="000000"/>
            </w:tcBorders>
            <w:tcMar>
              <w:left w:w="57" w:type="dxa"/>
              <w:right w:w="57" w:type="dxa"/>
            </w:tcMar>
          </w:tcPr>
          <w:p w14:paraId="52ECB495" w14:textId="3FE02DCA" w:rsidR="005A5DBE" w:rsidRPr="009619B5" w:rsidRDefault="005A5DBE" w:rsidP="001E55CD">
            <w:pPr>
              <w:ind w:left="170"/>
              <w:jc w:val="left"/>
              <w:rPr>
                <w:sz w:val="18"/>
                <w:szCs w:val="18"/>
              </w:rPr>
            </w:pPr>
            <w:r w:rsidRPr="001E55CD">
              <w:rPr>
                <w:sz w:val="18"/>
                <w:szCs w:val="18"/>
              </w:rPr>
              <w:t>(-6.72 to -4.63)</w:t>
            </w:r>
          </w:p>
        </w:tc>
        <w:tc>
          <w:tcPr>
            <w:tcW w:w="850" w:type="dxa"/>
            <w:tcBorders>
              <w:bottom w:val="single" w:sz="12" w:space="0" w:color="000000"/>
            </w:tcBorders>
            <w:tcMar>
              <w:left w:w="57" w:type="dxa"/>
              <w:right w:w="57" w:type="dxa"/>
            </w:tcMar>
          </w:tcPr>
          <w:p w14:paraId="5DD893EA" w14:textId="164986D6" w:rsidR="005A5DBE" w:rsidRPr="009619B5" w:rsidRDefault="005A5DBE" w:rsidP="001E55CD">
            <w:pPr>
              <w:ind w:left="170"/>
              <w:jc w:val="left"/>
              <w:rPr>
                <w:sz w:val="18"/>
                <w:szCs w:val="18"/>
              </w:rPr>
            </w:pPr>
            <w:r w:rsidRPr="001E55CD">
              <w:rPr>
                <w:sz w:val="18"/>
                <w:szCs w:val="18"/>
              </w:rPr>
              <w:t>-12.34</w:t>
            </w:r>
          </w:p>
        </w:tc>
        <w:tc>
          <w:tcPr>
            <w:tcW w:w="1421" w:type="dxa"/>
            <w:tcBorders>
              <w:bottom w:val="single" w:sz="12" w:space="0" w:color="000000"/>
            </w:tcBorders>
            <w:tcMar>
              <w:left w:w="57" w:type="dxa"/>
              <w:right w:w="57" w:type="dxa"/>
            </w:tcMar>
          </w:tcPr>
          <w:p w14:paraId="58AF6567" w14:textId="1DC686A0" w:rsidR="005A5DBE" w:rsidRPr="009619B5" w:rsidRDefault="005A5DBE" w:rsidP="001E55CD">
            <w:pPr>
              <w:ind w:left="170"/>
              <w:jc w:val="left"/>
              <w:rPr>
                <w:sz w:val="18"/>
                <w:szCs w:val="18"/>
              </w:rPr>
            </w:pPr>
            <w:r w:rsidRPr="001E55CD">
              <w:rPr>
                <w:sz w:val="18"/>
                <w:szCs w:val="18"/>
              </w:rPr>
              <w:t>(-14.73 to -9.68)</w:t>
            </w:r>
          </w:p>
        </w:tc>
        <w:tc>
          <w:tcPr>
            <w:tcW w:w="850" w:type="dxa"/>
            <w:tcBorders>
              <w:bottom w:val="single" w:sz="12" w:space="0" w:color="000000"/>
            </w:tcBorders>
            <w:tcMar>
              <w:left w:w="57" w:type="dxa"/>
              <w:right w:w="57" w:type="dxa"/>
            </w:tcMar>
          </w:tcPr>
          <w:p w14:paraId="5BD201C0" w14:textId="64277B85" w:rsidR="005A5DBE" w:rsidRPr="009619B5" w:rsidRDefault="005A5DBE" w:rsidP="001E55CD">
            <w:pPr>
              <w:ind w:left="170"/>
              <w:jc w:val="left"/>
              <w:rPr>
                <w:sz w:val="18"/>
                <w:szCs w:val="18"/>
              </w:rPr>
            </w:pPr>
            <w:r w:rsidRPr="001E55CD">
              <w:rPr>
                <w:sz w:val="18"/>
                <w:szCs w:val="18"/>
              </w:rPr>
              <w:t>-18.13</w:t>
            </w:r>
          </w:p>
        </w:tc>
        <w:tc>
          <w:tcPr>
            <w:tcW w:w="1474" w:type="dxa"/>
            <w:tcBorders>
              <w:bottom w:val="single" w:sz="12" w:space="0" w:color="000000"/>
            </w:tcBorders>
            <w:tcMar>
              <w:left w:w="57" w:type="dxa"/>
              <w:right w:w="57" w:type="dxa"/>
            </w:tcMar>
          </w:tcPr>
          <w:p w14:paraId="2299FAB8" w14:textId="59BA7D86" w:rsidR="005A5DBE" w:rsidRPr="009619B5" w:rsidRDefault="005A5DBE" w:rsidP="001E55CD">
            <w:pPr>
              <w:ind w:left="170"/>
              <w:jc w:val="left"/>
              <w:rPr>
                <w:sz w:val="18"/>
                <w:szCs w:val="18"/>
              </w:rPr>
            </w:pPr>
            <w:r w:rsidRPr="001E55CD">
              <w:rPr>
                <w:sz w:val="18"/>
                <w:szCs w:val="18"/>
              </w:rPr>
              <w:t>(-22.34 to -13.58)</w:t>
            </w:r>
          </w:p>
        </w:tc>
      </w:tr>
      <w:tr w:rsidR="005A5DBE" w:rsidRPr="00DB7B60" w14:paraId="6B8E5A85" w14:textId="77777777" w:rsidTr="00C007F2">
        <w:trPr>
          <w:trHeight w:val="284"/>
        </w:trPr>
        <w:tc>
          <w:tcPr>
            <w:tcW w:w="3401" w:type="dxa"/>
            <w:tcBorders>
              <w:top w:val="single" w:sz="12" w:space="0" w:color="000000"/>
              <w:bottom w:val="single" w:sz="12" w:space="0" w:color="000000"/>
            </w:tcBorders>
            <w:tcMar>
              <w:left w:w="57" w:type="dxa"/>
              <w:right w:w="57" w:type="dxa"/>
            </w:tcMar>
            <w:vAlign w:val="center"/>
          </w:tcPr>
          <w:p w14:paraId="5300032A" w14:textId="77777777" w:rsidR="005A5DBE" w:rsidRPr="00DB7B60" w:rsidRDefault="005A5DBE" w:rsidP="005A5DBE">
            <w:pPr>
              <w:jc w:val="left"/>
              <w:rPr>
                <w:b/>
                <w:bCs/>
                <w:sz w:val="18"/>
                <w:szCs w:val="18"/>
              </w:rPr>
            </w:pPr>
            <w:r w:rsidRPr="00DB7B60">
              <w:rPr>
                <w:b/>
                <w:bCs/>
                <w:sz w:val="18"/>
                <w:szCs w:val="18"/>
              </w:rPr>
              <w:t>Citizen perspective</w:t>
            </w:r>
          </w:p>
        </w:tc>
        <w:tc>
          <w:tcPr>
            <w:tcW w:w="993" w:type="dxa"/>
            <w:tcBorders>
              <w:top w:val="single" w:sz="12" w:space="0" w:color="000000"/>
              <w:bottom w:val="single" w:sz="12" w:space="0" w:color="000000"/>
            </w:tcBorders>
            <w:tcMar>
              <w:left w:w="57" w:type="dxa"/>
              <w:right w:w="57" w:type="dxa"/>
            </w:tcMar>
            <w:vAlign w:val="center"/>
          </w:tcPr>
          <w:p w14:paraId="42864D7B" w14:textId="77777777" w:rsidR="005A5DBE" w:rsidRPr="009619B5" w:rsidRDefault="005A5DBE" w:rsidP="001E55CD">
            <w:pPr>
              <w:ind w:left="170"/>
              <w:jc w:val="left"/>
              <w:rPr>
                <w:sz w:val="18"/>
                <w:szCs w:val="18"/>
              </w:rPr>
            </w:pPr>
          </w:p>
        </w:tc>
        <w:tc>
          <w:tcPr>
            <w:tcW w:w="1558" w:type="dxa"/>
            <w:tcBorders>
              <w:top w:val="single" w:sz="12" w:space="0" w:color="000000"/>
              <w:bottom w:val="single" w:sz="12" w:space="0" w:color="000000"/>
            </w:tcBorders>
            <w:tcMar>
              <w:left w:w="57" w:type="dxa"/>
              <w:right w:w="57" w:type="dxa"/>
            </w:tcMar>
            <w:vAlign w:val="center"/>
          </w:tcPr>
          <w:p w14:paraId="35573EC0" w14:textId="77777777" w:rsidR="005A5DBE" w:rsidRPr="009619B5" w:rsidRDefault="005A5DBE" w:rsidP="001E55CD">
            <w:pPr>
              <w:ind w:left="170"/>
              <w:jc w:val="left"/>
              <w:rPr>
                <w:sz w:val="18"/>
                <w:szCs w:val="18"/>
              </w:rPr>
            </w:pPr>
          </w:p>
        </w:tc>
        <w:tc>
          <w:tcPr>
            <w:tcW w:w="850" w:type="dxa"/>
            <w:tcBorders>
              <w:top w:val="single" w:sz="12" w:space="0" w:color="000000"/>
              <w:bottom w:val="single" w:sz="12" w:space="0" w:color="000000"/>
            </w:tcBorders>
            <w:tcMar>
              <w:left w:w="57" w:type="dxa"/>
              <w:right w:w="57" w:type="dxa"/>
            </w:tcMar>
            <w:vAlign w:val="center"/>
          </w:tcPr>
          <w:p w14:paraId="6F0F2822" w14:textId="77777777" w:rsidR="005A5DBE" w:rsidRPr="009619B5" w:rsidRDefault="005A5DBE" w:rsidP="001E55CD">
            <w:pPr>
              <w:ind w:left="170"/>
              <w:jc w:val="left"/>
              <w:rPr>
                <w:sz w:val="18"/>
                <w:szCs w:val="18"/>
              </w:rPr>
            </w:pPr>
          </w:p>
        </w:tc>
        <w:tc>
          <w:tcPr>
            <w:tcW w:w="1421" w:type="dxa"/>
            <w:tcBorders>
              <w:top w:val="single" w:sz="12" w:space="0" w:color="000000"/>
              <w:bottom w:val="single" w:sz="12" w:space="0" w:color="000000"/>
            </w:tcBorders>
            <w:tcMar>
              <w:left w:w="57" w:type="dxa"/>
              <w:right w:w="57" w:type="dxa"/>
            </w:tcMar>
            <w:vAlign w:val="center"/>
          </w:tcPr>
          <w:p w14:paraId="33839F22" w14:textId="77777777" w:rsidR="005A5DBE" w:rsidRPr="009619B5" w:rsidRDefault="005A5DBE" w:rsidP="001E55CD">
            <w:pPr>
              <w:ind w:left="170"/>
              <w:jc w:val="left"/>
              <w:rPr>
                <w:sz w:val="18"/>
                <w:szCs w:val="18"/>
              </w:rPr>
            </w:pPr>
          </w:p>
        </w:tc>
        <w:tc>
          <w:tcPr>
            <w:tcW w:w="850" w:type="dxa"/>
            <w:tcBorders>
              <w:top w:val="single" w:sz="12" w:space="0" w:color="000000"/>
              <w:bottom w:val="single" w:sz="12" w:space="0" w:color="000000"/>
            </w:tcBorders>
            <w:tcMar>
              <w:left w:w="57" w:type="dxa"/>
              <w:right w:w="57" w:type="dxa"/>
            </w:tcMar>
            <w:vAlign w:val="center"/>
          </w:tcPr>
          <w:p w14:paraId="5B7C9BB7" w14:textId="77777777" w:rsidR="005A5DBE" w:rsidRPr="009619B5" w:rsidRDefault="005A5DBE" w:rsidP="001E55CD">
            <w:pPr>
              <w:ind w:left="170"/>
              <w:jc w:val="left"/>
              <w:rPr>
                <w:sz w:val="18"/>
                <w:szCs w:val="18"/>
              </w:rPr>
            </w:pPr>
          </w:p>
        </w:tc>
        <w:tc>
          <w:tcPr>
            <w:tcW w:w="1474" w:type="dxa"/>
            <w:tcBorders>
              <w:top w:val="single" w:sz="12" w:space="0" w:color="000000"/>
              <w:bottom w:val="single" w:sz="12" w:space="0" w:color="000000"/>
            </w:tcBorders>
            <w:tcMar>
              <w:left w:w="57" w:type="dxa"/>
              <w:right w:w="57" w:type="dxa"/>
            </w:tcMar>
            <w:vAlign w:val="center"/>
          </w:tcPr>
          <w:p w14:paraId="566E9671" w14:textId="77777777" w:rsidR="005A5DBE" w:rsidRPr="009619B5" w:rsidRDefault="005A5DBE" w:rsidP="001E55CD">
            <w:pPr>
              <w:ind w:left="170"/>
              <w:jc w:val="left"/>
              <w:rPr>
                <w:sz w:val="18"/>
                <w:szCs w:val="18"/>
              </w:rPr>
            </w:pPr>
          </w:p>
        </w:tc>
      </w:tr>
      <w:tr w:rsidR="001E55CD" w:rsidRPr="00DB7B60" w14:paraId="4EACE8D8" w14:textId="77777777" w:rsidTr="005F63ED">
        <w:trPr>
          <w:trHeight w:val="284"/>
        </w:trPr>
        <w:tc>
          <w:tcPr>
            <w:tcW w:w="3401" w:type="dxa"/>
            <w:tcBorders>
              <w:top w:val="single" w:sz="12" w:space="0" w:color="000000"/>
            </w:tcBorders>
            <w:tcMar>
              <w:left w:w="57" w:type="dxa"/>
              <w:right w:w="57" w:type="dxa"/>
            </w:tcMar>
            <w:vAlign w:val="center"/>
          </w:tcPr>
          <w:p w14:paraId="4F33889E" w14:textId="77777777" w:rsidR="001E55CD" w:rsidRPr="00DB7B60" w:rsidRDefault="001E55CD" w:rsidP="001E55CD">
            <w:pPr>
              <w:ind w:left="170"/>
              <w:jc w:val="left"/>
              <w:rPr>
                <w:sz w:val="18"/>
                <w:szCs w:val="18"/>
              </w:rPr>
            </w:pPr>
            <w:r w:rsidRPr="00DB7B60">
              <w:rPr>
                <w:sz w:val="18"/>
                <w:szCs w:val="18"/>
              </w:rPr>
              <w:t>Population income after tax</w:t>
            </w:r>
          </w:p>
        </w:tc>
        <w:tc>
          <w:tcPr>
            <w:tcW w:w="993" w:type="dxa"/>
            <w:tcBorders>
              <w:top w:val="single" w:sz="12" w:space="0" w:color="000000"/>
            </w:tcBorders>
            <w:tcMar>
              <w:left w:w="57" w:type="dxa"/>
              <w:right w:w="57" w:type="dxa"/>
            </w:tcMar>
          </w:tcPr>
          <w:p w14:paraId="070CE93F" w14:textId="4077DAA7" w:rsidR="001E55CD" w:rsidRPr="009619B5" w:rsidRDefault="001E55CD" w:rsidP="001E55CD">
            <w:pPr>
              <w:ind w:left="170"/>
              <w:jc w:val="left"/>
              <w:rPr>
                <w:sz w:val="18"/>
                <w:szCs w:val="18"/>
              </w:rPr>
            </w:pPr>
            <w:r w:rsidRPr="001E55CD">
              <w:rPr>
                <w:sz w:val="18"/>
                <w:szCs w:val="18"/>
              </w:rPr>
              <w:t>0.18</w:t>
            </w:r>
          </w:p>
        </w:tc>
        <w:tc>
          <w:tcPr>
            <w:tcW w:w="1558" w:type="dxa"/>
            <w:tcBorders>
              <w:top w:val="single" w:sz="12" w:space="0" w:color="000000"/>
            </w:tcBorders>
            <w:tcMar>
              <w:left w:w="57" w:type="dxa"/>
              <w:right w:w="57" w:type="dxa"/>
            </w:tcMar>
          </w:tcPr>
          <w:p w14:paraId="155CD32E" w14:textId="510C0E76" w:rsidR="001E55CD" w:rsidRPr="009619B5" w:rsidRDefault="001E55CD" w:rsidP="001E55CD">
            <w:pPr>
              <w:ind w:left="170"/>
              <w:jc w:val="left"/>
              <w:rPr>
                <w:sz w:val="18"/>
                <w:szCs w:val="18"/>
              </w:rPr>
            </w:pPr>
            <w:r w:rsidRPr="001E55CD">
              <w:rPr>
                <w:sz w:val="18"/>
                <w:szCs w:val="18"/>
              </w:rPr>
              <w:t>(0.14 to 0.21)</w:t>
            </w:r>
          </w:p>
        </w:tc>
        <w:tc>
          <w:tcPr>
            <w:tcW w:w="850" w:type="dxa"/>
            <w:tcBorders>
              <w:top w:val="single" w:sz="12" w:space="0" w:color="000000"/>
            </w:tcBorders>
            <w:tcMar>
              <w:left w:w="57" w:type="dxa"/>
              <w:right w:w="57" w:type="dxa"/>
            </w:tcMar>
          </w:tcPr>
          <w:p w14:paraId="251E5584" w14:textId="56939DE2" w:rsidR="001E55CD" w:rsidRPr="009619B5" w:rsidRDefault="001E55CD" w:rsidP="001E55CD">
            <w:pPr>
              <w:ind w:left="170"/>
              <w:jc w:val="left"/>
              <w:rPr>
                <w:sz w:val="18"/>
                <w:szCs w:val="18"/>
              </w:rPr>
            </w:pPr>
            <w:r w:rsidRPr="001E55CD">
              <w:rPr>
                <w:sz w:val="18"/>
                <w:szCs w:val="18"/>
              </w:rPr>
              <w:t>1.30</w:t>
            </w:r>
          </w:p>
        </w:tc>
        <w:tc>
          <w:tcPr>
            <w:tcW w:w="1421" w:type="dxa"/>
            <w:tcBorders>
              <w:top w:val="single" w:sz="12" w:space="0" w:color="000000"/>
            </w:tcBorders>
            <w:tcMar>
              <w:left w:w="57" w:type="dxa"/>
              <w:right w:w="57" w:type="dxa"/>
            </w:tcMar>
          </w:tcPr>
          <w:p w14:paraId="17C37F93" w14:textId="781CB8D8" w:rsidR="001E55CD" w:rsidRPr="009619B5" w:rsidRDefault="001E55CD" w:rsidP="001E55CD">
            <w:pPr>
              <w:ind w:left="170"/>
              <w:jc w:val="left"/>
              <w:rPr>
                <w:sz w:val="18"/>
                <w:szCs w:val="18"/>
              </w:rPr>
            </w:pPr>
            <w:r w:rsidRPr="001E55CD">
              <w:rPr>
                <w:sz w:val="18"/>
                <w:szCs w:val="18"/>
              </w:rPr>
              <w:t>(1.04 to 1.55)</w:t>
            </w:r>
          </w:p>
        </w:tc>
        <w:tc>
          <w:tcPr>
            <w:tcW w:w="850" w:type="dxa"/>
            <w:tcBorders>
              <w:top w:val="single" w:sz="12" w:space="0" w:color="000000"/>
            </w:tcBorders>
            <w:tcMar>
              <w:left w:w="57" w:type="dxa"/>
              <w:right w:w="57" w:type="dxa"/>
            </w:tcMar>
          </w:tcPr>
          <w:p w14:paraId="4201DCFB" w14:textId="00EC3D32" w:rsidR="001E55CD" w:rsidRPr="009619B5" w:rsidRDefault="001E55CD" w:rsidP="001E55CD">
            <w:pPr>
              <w:ind w:left="170"/>
              <w:jc w:val="left"/>
              <w:rPr>
                <w:sz w:val="18"/>
                <w:szCs w:val="18"/>
              </w:rPr>
            </w:pPr>
            <w:r w:rsidRPr="001E55CD">
              <w:rPr>
                <w:sz w:val="18"/>
                <w:szCs w:val="18"/>
              </w:rPr>
              <w:t>3.44</w:t>
            </w:r>
          </w:p>
        </w:tc>
        <w:tc>
          <w:tcPr>
            <w:tcW w:w="1474" w:type="dxa"/>
            <w:tcBorders>
              <w:top w:val="single" w:sz="12" w:space="0" w:color="000000"/>
            </w:tcBorders>
            <w:tcMar>
              <w:left w:w="57" w:type="dxa"/>
              <w:right w:w="57" w:type="dxa"/>
            </w:tcMar>
          </w:tcPr>
          <w:p w14:paraId="5C8753F6" w14:textId="01F44B0F" w:rsidR="001E55CD" w:rsidRPr="009619B5" w:rsidRDefault="001E55CD" w:rsidP="001E55CD">
            <w:pPr>
              <w:ind w:left="170"/>
              <w:jc w:val="left"/>
              <w:rPr>
                <w:sz w:val="18"/>
                <w:szCs w:val="18"/>
              </w:rPr>
            </w:pPr>
            <w:r w:rsidRPr="001E55CD">
              <w:rPr>
                <w:sz w:val="18"/>
                <w:szCs w:val="18"/>
              </w:rPr>
              <w:t>(2.79 to 4.11)</w:t>
            </w:r>
          </w:p>
        </w:tc>
      </w:tr>
      <w:tr w:rsidR="001E55CD" w:rsidRPr="00DB7B60" w14:paraId="7333B30C" w14:textId="77777777" w:rsidTr="005F63ED">
        <w:trPr>
          <w:trHeight w:val="284"/>
        </w:trPr>
        <w:tc>
          <w:tcPr>
            <w:tcW w:w="3401" w:type="dxa"/>
            <w:tcBorders>
              <w:bottom w:val="single" w:sz="4" w:space="0" w:color="auto"/>
            </w:tcBorders>
            <w:tcMar>
              <w:left w:w="57" w:type="dxa"/>
              <w:right w:w="57" w:type="dxa"/>
            </w:tcMar>
            <w:vAlign w:val="center"/>
          </w:tcPr>
          <w:p w14:paraId="5A6D968F" w14:textId="77777777" w:rsidR="001E55CD" w:rsidRPr="00DB7B60" w:rsidRDefault="001E55CD" w:rsidP="001E55CD">
            <w:pPr>
              <w:ind w:left="170"/>
              <w:jc w:val="left"/>
              <w:rPr>
                <w:sz w:val="18"/>
                <w:szCs w:val="18"/>
              </w:rPr>
            </w:pPr>
            <w:r>
              <w:rPr>
                <w:sz w:val="18"/>
                <w:szCs w:val="18"/>
              </w:rPr>
              <w:t>Savings from cessation (reduced tobacco expenditure)</w:t>
            </w:r>
          </w:p>
        </w:tc>
        <w:tc>
          <w:tcPr>
            <w:tcW w:w="993" w:type="dxa"/>
            <w:tcBorders>
              <w:bottom w:val="single" w:sz="4" w:space="0" w:color="auto"/>
            </w:tcBorders>
            <w:tcMar>
              <w:left w:w="57" w:type="dxa"/>
              <w:right w:w="57" w:type="dxa"/>
            </w:tcMar>
          </w:tcPr>
          <w:p w14:paraId="3935E1F6" w14:textId="13F03227" w:rsidR="001E55CD" w:rsidRPr="009619B5" w:rsidRDefault="001E55CD" w:rsidP="001E55CD">
            <w:pPr>
              <w:ind w:left="170"/>
              <w:jc w:val="left"/>
              <w:rPr>
                <w:sz w:val="18"/>
                <w:szCs w:val="18"/>
              </w:rPr>
            </w:pPr>
            <w:r w:rsidRPr="001E55CD">
              <w:rPr>
                <w:sz w:val="18"/>
                <w:szCs w:val="18"/>
              </w:rPr>
              <w:t>13.94</w:t>
            </w:r>
          </w:p>
        </w:tc>
        <w:tc>
          <w:tcPr>
            <w:tcW w:w="1558" w:type="dxa"/>
            <w:tcBorders>
              <w:bottom w:val="single" w:sz="4" w:space="0" w:color="auto"/>
            </w:tcBorders>
            <w:tcMar>
              <w:left w:w="57" w:type="dxa"/>
              <w:right w:w="57" w:type="dxa"/>
            </w:tcMar>
          </w:tcPr>
          <w:p w14:paraId="632A776D" w14:textId="00C0CDE3" w:rsidR="001E55CD" w:rsidRPr="009619B5" w:rsidRDefault="001E55CD" w:rsidP="001E55CD">
            <w:pPr>
              <w:ind w:left="170"/>
              <w:jc w:val="left"/>
              <w:rPr>
                <w:sz w:val="18"/>
                <w:szCs w:val="18"/>
              </w:rPr>
            </w:pPr>
            <w:r w:rsidRPr="001E55CD">
              <w:rPr>
                <w:sz w:val="18"/>
                <w:szCs w:val="18"/>
              </w:rPr>
              <w:t>(16.35 to 11.29)</w:t>
            </w:r>
          </w:p>
        </w:tc>
        <w:tc>
          <w:tcPr>
            <w:tcW w:w="850" w:type="dxa"/>
            <w:tcBorders>
              <w:bottom w:val="single" w:sz="4" w:space="0" w:color="auto"/>
            </w:tcBorders>
            <w:tcMar>
              <w:left w:w="57" w:type="dxa"/>
              <w:right w:w="57" w:type="dxa"/>
            </w:tcMar>
          </w:tcPr>
          <w:p w14:paraId="6F34815D" w14:textId="7FA71BC5" w:rsidR="001E55CD" w:rsidRPr="009619B5" w:rsidRDefault="001E55CD" w:rsidP="001E55CD">
            <w:pPr>
              <w:ind w:left="170"/>
              <w:jc w:val="left"/>
              <w:rPr>
                <w:sz w:val="18"/>
                <w:szCs w:val="18"/>
              </w:rPr>
            </w:pPr>
            <w:r w:rsidRPr="001E55CD">
              <w:rPr>
                <w:sz w:val="18"/>
                <w:szCs w:val="18"/>
              </w:rPr>
              <w:t>31.54</w:t>
            </w:r>
          </w:p>
        </w:tc>
        <w:tc>
          <w:tcPr>
            <w:tcW w:w="1421" w:type="dxa"/>
            <w:tcBorders>
              <w:bottom w:val="single" w:sz="4" w:space="0" w:color="auto"/>
            </w:tcBorders>
            <w:tcMar>
              <w:left w:w="57" w:type="dxa"/>
              <w:right w:w="57" w:type="dxa"/>
            </w:tcMar>
          </w:tcPr>
          <w:p w14:paraId="4C53B4C9" w14:textId="48E153C2" w:rsidR="001E55CD" w:rsidRPr="009619B5" w:rsidRDefault="001E55CD" w:rsidP="001E55CD">
            <w:pPr>
              <w:ind w:left="170"/>
              <w:jc w:val="left"/>
              <w:rPr>
                <w:sz w:val="18"/>
                <w:szCs w:val="18"/>
              </w:rPr>
            </w:pPr>
            <w:r w:rsidRPr="001E55CD">
              <w:rPr>
                <w:sz w:val="18"/>
                <w:szCs w:val="18"/>
              </w:rPr>
              <w:t>(37.39 to 25.02)</w:t>
            </w:r>
          </w:p>
        </w:tc>
        <w:tc>
          <w:tcPr>
            <w:tcW w:w="850" w:type="dxa"/>
            <w:tcBorders>
              <w:bottom w:val="single" w:sz="4" w:space="0" w:color="auto"/>
            </w:tcBorders>
            <w:tcMar>
              <w:left w:w="57" w:type="dxa"/>
              <w:right w:w="57" w:type="dxa"/>
            </w:tcMar>
          </w:tcPr>
          <w:p w14:paraId="424B615B" w14:textId="07571890" w:rsidR="001E55CD" w:rsidRPr="009619B5" w:rsidRDefault="001E55CD" w:rsidP="001E55CD">
            <w:pPr>
              <w:ind w:left="170"/>
              <w:jc w:val="left"/>
              <w:rPr>
                <w:sz w:val="18"/>
                <w:szCs w:val="18"/>
              </w:rPr>
            </w:pPr>
            <w:r w:rsidRPr="001E55CD">
              <w:rPr>
                <w:sz w:val="18"/>
                <w:szCs w:val="18"/>
              </w:rPr>
              <w:t>46.52</w:t>
            </w:r>
          </w:p>
        </w:tc>
        <w:tc>
          <w:tcPr>
            <w:tcW w:w="1474" w:type="dxa"/>
            <w:tcBorders>
              <w:bottom w:val="single" w:sz="4" w:space="0" w:color="auto"/>
            </w:tcBorders>
            <w:tcMar>
              <w:left w:w="57" w:type="dxa"/>
              <w:right w:w="57" w:type="dxa"/>
            </w:tcMar>
          </w:tcPr>
          <w:p w14:paraId="60E2ADD5" w14:textId="3356130C" w:rsidR="001E55CD" w:rsidRPr="009619B5" w:rsidRDefault="001E55CD" w:rsidP="001E55CD">
            <w:pPr>
              <w:ind w:left="170"/>
              <w:jc w:val="left"/>
              <w:rPr>
                <w:sz w:val="18"/>
                <w:szCs w:val="18"/>
              </w:rPr>
            </w:pPr>
            <w:r w:rsidRPr="001E55CD">
              <w:rPr>
                <w:sz w:val="18"/>
                <w:szCs w:val="18"/>
              </w:rPr>
              <w:t>(56.71 to 35.72)</w:t>
            </w:r>
          </w:p>
        </w:tc>
      </w:tr>
      <w:tr w:rsidR="001E55CD" w:rsidRPr="00DB7B60" w14:paraId="2D5A1171" w14:textId="77777777" w:rsidTr="005F63ED">
        <w:trPr>
          <w:trHeight w:val="284"/>
        </w:trPr>
        <w:tc>
          <w:tcPr>
            <w:tcW w:w="3401" w:type="dxa"/>
            <w:tcBorders>
              <w:top w:val="single" w:sz="4" w:space="0" w:color="auto"/>
              <w:bottom w:val="single" w:sz="18" w:space="0" w:color="auto"/>
            </w:tcBorders>
            <w:tcMar>
              <w:left w:w="57" w:type="dxa"/>
              <w:right w:w="57" w:type="dxa"/>
            </w:tcMar>
            <w:vAlign w:val="center"/>
          </w:tcPr>
          <w:p w14:paraId="2168B811" w14:textId="77777777" w:rsidR="001E55CD" w:rsidRPr="00DB7B60" w:rsidRDefault="001E55CD" w:rsidP="001E55CD">
            <w:pPr>
              <w:ind w:left="170"/>
              <w:jc w:val="left"/>
              <w:rPr>
                <w:sz w:val="18"/>
                <w:szCs w:val="18"/>
              </w:rPr>
            </w:pPr>
            <w:r w:rsidRPr="00DB7B60">
              <w:rPr>
                <w:sz w:val="18"/>
                <w:szCs w:val="18"/>
              </w:rPr>
              <w:t>Population income after tax + savings from cessation</w:t>
            </w:r>
          </w:p>
        </w:tc>
        <w:tc>
          <w:tcPr>
            <w:tcW w:w="993" w:type="dxa"/>
            <w:tcBorders>
              <w:top w:val="single" w:sz="4" w:space="0" w:color="auto"/>
              <w:bottom w:val="single" w:sz="18" w:space="0" w:color="auto"/>
            </w:tcBorders>
            <w:tcMar>
              <w:left w:w="57" w:type="dxa"/>
              <w:right w:w="57" w:type="dxa"/>
            </w:tcMar>
          </w:tcPr>
          <w:p w14:paraId="496A1C72" w14:textId="082578D2" w:rsidR="001E55CD" w:rsidRPr="009619B5" w:rsidRDefault="001E55CD" w:rsidP="001E55CD">
            <w:pPr>
              <w:ind w:left="170"/>
              <w:jc w:val="left"/>
              <w:rPr>
                <w:sz w:val="18"/>
                <w:szCs w:val="18"/>
              </w:rPr>
            </w:pPr>
            <w:r w:rsidRPr="001E55CD">
              <w:rPr>
                <w:sz w:val="18"/>
                <w:szCs w:val="18"/>
              </w:rPr>
              <w:t>14.11</w:t>
            </w:r>
          </w:p>
        </w:tc>
        <w:tc>
          <w:tcPr>
            <w:tcW w:w="1558" w:type="dxa"/>
            <w:tcBorders>
              <w:top w:val="single" w:sz="4" w:space="0" w:color="auto"/>
              <w:bottom w:val="single" w:sz="18" w:space="0" w:color="auto"/>
            </w:tcBorders>
            <w:tcMar>
              <w:left w:w="57" w:type="dxa"/>
              <w:right w:w="57" w:type="dxa"/>
            </w:tcMar>
          </w:tcPr>
          <w:p w14:paraId="06D22B11" w14:textId="2098D261" w:rsidR="001E55CD" w:rsidRPr="009619B5" w:rsidRDefault="001E55CD" w:rsidP="001E55CD">
            <w:pPr>
              <w:ind w:left="170"/>
              <w:jc w:val="left"/>
              <w:rPr>
                <w:sz w:val="18"/>
                <w:szCs w:val="18"/>
              </w:rPr>
            </w:pPr>
            <w:r w:rsidRPr="001E55CD">
              <w:rPr>
                <w:sz w:val="18"/>
                <w:szCs w:val="18"/>
              </w:rPr>
              <w:t>(11.44 to 16.56)</w:t>
            </w:r>
          </w:p>
        </w:tc>
        <w:tc>
          <w:tcPr>
            <w:tcW w:w="850" w:type="dxa"/>
            <w:tcBorders>
              <w:top w:val="single" w:sz="4" w:space="0" w:color="auto"/>
              <w:bottom w:val="single" w:sz="18" w:space="0" w:color="auto"/>
            </w:tcBorders>
            <w:tcMar>
              <w:left w:w="57" w:type="dxa"/>
              <w:right w:w="57" w:type="dxa"/>
            </w:tcMar>
          </w:tcPr>
          <w:p w14:paraId="47CAE2FF" w14:textId="21CB8EA9" w:rsidR="001E55CD" w:rsidRPr="009619B5" w:rsidRDefault="001E55CD" w:rsidP="001E55CD">
            <w:pPr>
              <w:ind w:left="170"/>
              <w:jc w:val="left"/>
              <w:rPr>
                <w:sz w:val="18"/>
                <w:szCs w:val="18"/>
              </w:rPr>
            </w:pPr>
            <w:r w:rsidRPr="001E55CD">
              <w:rPr>
                <w:sz w:val="18"/>
                <w:szCs w:val="18"/>
              </w:rPr>
              <w:t>32.83</w:t>
            </w:r>
          </w:p>
        </w:tc>
        <w:tc>
          <w:tcPr>
            <w:tcW w:w="1421" w:type="dxa"/>
            <w:tcBorders>
              <w:top w:val="single" w:sz="4" w:space="0" w:color="auto"/>
              <w:bottom w:val="single" w:sz="18" w:space="0" w:color="auto"/>
            </w:tcBorders>
            <w:tcMar>
              <w:left w:w="57" w:type="dxa"/>
              <w:right w:w="57" w:type="dxa"/>
            </w:tcMar>
          </w:tcPr>
          <w:p w14:paraId="4D7336D7" w14:textId="192C9E72" w:rsidR="001E55CD" w:rsidRPr="009619B5" w:rsidRDefault="001E55CD" w:rsidP="001E55CD">
            <w:pPr>
              <w:ind w:left="170"/>
              <w:jc w:val="left"/>
              <w:rPr>
                <w:sz w:val="18"/>
                <w:szCs w:val="18"/>
              </w:rPr>
            </w:pPr>
            <w:r w:rsidRPr="001E55CD">
              <w:rPr>
                <w:sz w:val="18"/>
                <w:szCs w:val="18"/>
              </w:rPr>
              <w:t>(26.13 to 38.82)</w:t>
            </w:r>
          </w:p>
        </w:tc>
        <w:tc>
          <w:tcPr>
            <w:tcW w:w="850" w:type="dxa"/>
            <w:tcBorders>
              <w:top w:val="single" w:sz="4" w:space="0" w:color="auto"/>
              <w:bottom w:val="single" w:sz="18" w:space="0" w:color="auto"/>
            </w:tcBorders>
            <w:tcMar>
              <w:left w:w="57" w:type="dxa"/>
              <w:right w:w="57" w:type="dxa"/>
            </w:tcMar>
          </w:tcPr>
          <w:p w14:paraId="580BA6A7" w14:textId="5FC745F7" w:rsidR="001E55CD" w:rsidRPr="009619B5" w:rsidRDefault="001E55CD" w:rsidP="001E55CD">
            <w:pPr>
              <w:ind w:left="170"/>
              <w:jc w:val="left"/>
              <w:rPr>
                <w:sz w:val="18"/>
                <w:szCs w:val="18"/>
              </w:rPr>
            </w:pPr>
            <w:r w:rsidRPr="001E55CD">
              <w:rPr>
                <w:sz w:val="18"/>
                <w:szCs w:val="18"/>
              </w:rPr>
              <w:t>49.96</w:t>
            </w:r>
          </w:p>
        </w:tc>
        <w:tc>
          <w:tcPr>
            <w:tcW w:w="1474" w:type="dxa"/>
            <w:tcBorders>
              <w:top w:val="single" w:sz="4" w:space="0" w:color="auto"/>
              <w:bottom w:val="single" w:sz="18" w:space="0" w:color="auto"/>
            </w:tcBorders>
            <w:tcMar>
              <w:left w:w="57" w:type="dxa"/>
              <w:right w:w="57" w:type="dxa"/>
            </w:tcMar>
          </w:tcPr>
          <w:p w14:paraId="5205389F" w14:textId="7AD40AAA" w:rsidR="001E55CD" w:rsidRPr="009619B5" w:rsidRDefault="001E55CD" w:rsidP="001E55CD">
            <w:pPr>
              <w:ind w:left="170"/>
              <w:jc w:val="left"/>
              <w:rPr>
                <w:sz w:val="18"/>
                <w:szCs w:val="18"/>
              </w:rPr>
            </w:pPr>
            <w:r w:rsidRPr="001E55CD">
              <w:rPr>
                <w:sz w:val="18"/>
                <w:szCs w:val="18"/>
              </w:rPr>
              <w:t>(38.68 to 60.49)</w:t>
            </w:r>
          </w:p>
        </w:tc>
      </w:tr>
    </w:tbl>
    <w:p w14:paraId="735BE22E" w14:textId="77777777" w:rsidR="00FC06AF" w:rsidRPr="00752356" w:rsidRDefault="00FC06AF" w:rsidP="00FC06AF">
      <w:pPr>
        <w:rPr>
          <w:sz w:val="18"/>
          <w:szCs w:val="18"/>
          <w:lang w:val="en-US"/>
        </w:rPr>
      </w:pPr>
      <w:r>
        <w:rPr>
          <w:sz w:val="18"/>
          <w:szCs w:val="18"/>
          <w:lang w:val="en-US"/>
        </w:rPr>
        <w:t xml:space="preserve">Note: </w:t>
      </w:r>
      <w:r w:rsidRPr="00752356">
        <w:rPr>
          <w:sz w:val="18"/>
          <w:szCs w:val="18"/>
          <w:lang w:val="en-US"/>
        </w:rPr>
        <w:t>2020 NZ$ converted to 2021 US$ using NZ-US OECD purchasing power parity of 1.4684.</w:t>
      </w:r>
      <w:r>
        <w:rPr>
          <w:sz w:val="18"/>
          <w:szCs w:val="18"/>
          <w:lang w:val="en-US"/>
        </w:rPr>
        <w:t xml:space="preserve"> </w:t>
      </w:r>
    </w:p>
    <w:p w14:paraId="21BD64F4" w14:textId="00CDFFA4" w:rsidR="00C32752" w:rsidRPr="00752356" w:rsidRDefault="00C32752" w:rsidP="00C32752">
      <w:pPr>
        <w:rPr>
          <w:sz w:val="18"/>
          <w:szCs w:val="18"/>
          <w:lang w:val="en-US"/>
        </w:rPr>
      </w:pPr>
      <w:r>
        <w:rPr>
          <w:rFonts w:cstheme="minorHAnsi"/>
          <w:sz w:val="18"/>
          <w:szCs w:val="18"/>
          <w:lang w:val="en-US"/>
        </w:rPr>
        <w:t>†</w:t>
      </w:r>
      <w:r>
        <w:rPr>
          <w:sz w:val="18"/>
          <w:szCs w:val="18"/>
          <w:lang w:val="en-US"/>
        </w:rPr>
        <w:t xml:space="preserve"> i.e., includes estimate to left, as cumulative over time. </w:t>
      </w:r>
    </w:p>
    <w:p w14:paraId="2700FF84" w14:textId="77777777" w:rsidR="00FC06AF" w:rsidRDefault="00FC06AF" w:rsidP="00FC06AF">
      <w:pPr>
        <w:rPr>
          <w:lang w:val="en-US"/>
        </w:rPr>
      </w:pPr>
    </w:p>
    <w:p w14:paraId="7BDFF1D4" w14:textId="2BAA9C10" w:rsidR="00FC06AF" w:rsidRPr="00AF05E3" w:rsidRDefault="00FC06AF" w:rsidP="00FC06AF">
      <w:pPr>
        <w:rPr>
          <w:b/>
          <w:bCs/>
        </w:rPr>
      </w:pPr>
      <w:r w:rsidRPr="00AF05E3">
        <w:rPr>
          <w:b/>
          <w:bCs/>
        </w:rPr>
        <w:t xml:space="preserve">Table </w:t>
      </w:r>
      <w:r>
        <w:rPr>
          <w:b/>
          <w:bCs/>
        </w:rPr>
        <w:t>3</w:t>
      </w:r>
      <w:r w:rsidRPr="00AF05E3">
        <w:rPr>
          <w:b/>
          <w:bCs/>
        </w:rPr>
        <w:t xml:space="preserve"> Projected changes in cumulative expenditure and revenue </w:t>
      </w:r>
      <w:r>
        <w:rPr>
          <w:b/>
          <w:bCs/>
        </w:rPr>
        <w:t>due to</w:t>
      </w:r>
      <w:r w:rsidRPr="00AF05E3">
        <w:rPr>
          <w:b/>
          <w:bCs/>
        </w:rPr>
        <w:t xml:space="preserve"> </w:t>
      </w:r>
      <w:r>
        <w:rPr>
          <w:b/>
          <w:bCs/>
        </w:rPr>
        <w:t xml:space="preserve">the </w:t>
      </w:r>
      <w:r w:rsidRPr="00AF05E3">
        <w:rPr>
          <w:b/>
          <w:bCs/>
        </w:rPr>
        <w:t xml:space="preserve">Aotearoa-New Zealand tobacco endgame strategy compared to BAU using dynamic retirement age (2021 PPP USD billions; </w:t>
      </w:r>
      <w:r>
        <w:rPr>
          <w:b/>
          <w:bCs/>
        </w:rPr>
        <w:t>undis</w:t>
      </w:r>
      <w:r w:rsidRPr="00AF05E3">
        <w:rPr>
          <w:b/>
          <w:bCs/>
        </w:rPr>
        <w:t>count</w:t>
      </w:r>
      <w:r>
        <w:rPr>
          <w:b/>
          <w:bCs/>
        </w:rPr>
        <w:t>ed)</w:t>
      </w:r>
    </w:p>
    <w:tbl>
      <w:tblPr>
        <w:tblStyle w:val="tabletemplate"/>
        <w:tblW w:w="10547" w:type="dxa"/>
        <w:tblLook w:val="0420" w:firstRow="1" w:lastRow="0" w:firstColumn="0" w:lastColumn="0" w:noHBand="0" w:noVBand="1"/>
      </w:tblPr>
      <w:tblGrid>
        <w:gridCol w:w="3402"/>
        <w:gridCol w:w="993"/>
        <w:gridCol w:w="1559"/>
        <w:gridCol w:w="850"/>
        <w:gridCol w:w="1418"/>
        <w:gridCol w:w="850"/>
        <w:gridCol w:w="1475"/>
      </w:tblGrid>
      <w:tr w:rsidR="00FC06AF" w:rsidRPr="00DB7B60" w14:paraId="6776871C" w14:textId="77777777" w:rsidTr="00C007F2">
        <w:trPr>
          <w:cnfStyle w:val="100000000000" w:firstRow="1" w:lastRow="0" w:firstColumn="0" w:lastColumn="0" w:oddVBand="0" w:evenVBand="0" w:oddHBand="0" w:evenHBand="0" w:firstRowFirstColumn="0" w:firstRowLastColumn="0" w:lastRowFirstColumn="0" w:lastRowLastColumn="0"/>
          <w:trHeight w:val="370"/>
          <w:tblHeader/>
        </w:trPr>
        <w:tc>
          <w:tcPr>
            <w:tcW w:w="3402" w:type="dxa"/>
            <w:tcBorders>
              <w:top w:val="single" w:sz="18" w:space="0" w:color="000000"/>
              <w:bottom w:val="single" w:sz="12" w:space="0" w:color="000000"/>
            </w:tcBorders>
            <w:tcMar>
              <w:left w:w="57" w:type="dxa"/>
              <w:right w:w="57" w:type="dxa"/>
            </w:tcMar>
            <w:vAlign w:val="center"/>
          </w:tcPr>
          <w:p w14:paraId="594D5CA2" w14:textId="77777777" w:rsidR="00FC06AF" w:rsidRPr="00DB7B60" w:rsidRDefault="00FC06AF" w:rsidP="00C007F2">
            <w:pPr>
              <w:jc w:val="left"/>
              <w:rPr>
                <w:sz w:val="18"/>
                <w:szCs w:val="18"/>
              </w:rPr>
            </w:pPr>
            <w:r w:rsidRPr="00DB7B60">
              <w:rPr>
                <w:sz w:val="18"/>
                <w:szCs w:val="18"/>
              </w:rPr>
              <w:t>Revenue/expenditure items</w:t>
            </w:r>
          </w:p>
        </w:tc>
        <w:tc>
          <w:tcPr>
            <w:tcW w:w="2552" w:type="dxa"/>
            <w:gridSpan w:val="2"/>
            <w:tcBorders>
              <w:top w:val="single" w:sz="18" w:space="0" w:color="000000"/>
              <w:bottom w:val="single" w:sz="12" w:space="0" w:color="000000"/>
            </w:tcBorders>
            <w:tcMar>
              <w:left w:w="57" w:type="dxa"/>
              <w:right w:w="57" w:type="dxa"/>
            </w:tcMar>
            <w:vAlign w:val="center"/>
          </w:tcPr>
          <w:p w14:paraId="07E78E31" w14:textId="77777777" w:rsidR="00FC06AF" w:rsidRPr="00DB7B60" w:rsidRDefault="00FC06AF" w:rsidP="00C007F2">
            <w:pPr>
              <w:jc w:val="center"/>
              <w:rPr>
                <w:sz w:val="18"/>
                <w:szCs w:val="18"/>
              </w:rPr>
            </w:pPr>
            <w:r>
              <w:rPr>
                <w:sz w:val="18"/>
                <w:szCs w:val="18"/>
              </w:rPr>
              <w:t xml:space="preserve">by </w:t>
            </w:r>
            <w:r w:rsidRPr="00DB7B60">
              <w:rPr>
                <w:sz w:val="18"/>
                <w:szCs w:val="18"/>
              </w:rPr>
              <w:t>2030</w:t>
            </w:r>
          </w:p>
        </w:tc>
        <w:tc>
          <w:tcPr>
            <w:tcW w:w="2268" w:type="dxa"/>
            <w:gridSpan w:val="2"/>
            <w:tcBorders>
              <w:top w:val="single" w:sz="18" w:space="0" w:color="000000"/>
              <w:bottom w:val="single" w:sz="12" w:space="0" w:color="000000"/>
            </w:tcBorders>
            <w:tcMar>
              <w:left w:w="57" w:type="dxa"/>
              <w:right w:w="57" w:type="dxa"/>
            </w:tcMar>
            <w:vAlign w:val="center"/>
          </w:tcPr>
          <w:p w14:paraId="5946B163" w14:textId="704ECF44" w:rsidR="00FC06AF" w:rsidRPr="00DB7B60" w:rsidRDefault="00FC06AF" w:rsidP="00C007F2">
            <w:pPr>
              <w:jc w:val="center"/>
              <w:rPr>
                <w:sz w:val="18"/>
                <w:szCs w:val="18"/>
              </w:rPr>
            </w:pPr>
            <w:r>
              <w:rPr>
                <w:sz w:val="18"/>
                <w:szCs w:val="18"/>
              </w:rPr>
              <w:t xml:space="preserve">by </w:t>
            </w:r>
            <w:r w:rsidRPr="00DB7B60">
              <w:rPr>
                <w:sz w:val="18"/>
                <w:szCs w:val="18"/>
              </w:rPr>
              <w:t>2040</w:t>
            </w:r>
            <w:r w:rsidR="00051EC0">
              <w:rPr>
                <w:rFonts w:cstheme="minorHAnsi"/>
                <w:sz w:val="18"/>
                <w:szCs w:val="18"/>
              </w:rPr>
              <w:t>†</w:t>
            </w:r>
          </w:p>
        </w:tc>
        <w:tc>
          <w:tcPr>
            <w:tcW w:w="2325" w:type="dxa"/>
            <w:gridSpan w:val="2"/>
            <w:tcBorders>
              <w:top w:val="single" w:sz="18" w:space="0" w:color="000000"/>
              <w:bottom w:val="single" w:sz="12" w:space="0" w:color="000000"/>
            </w:tcBorders>
            <w:tcMar>
              <w:left w:w="57" w:type="dxa"/>
              <w:right w:w="57" w:type="dxa"/>
            </w:tcMar>
            <w:vAlign w:val="center"/>
          </w:tcPr>
          <w:p w14:paraId="080FF6AA" w14:textId="1A725A3E" w:rsidR="00FC06AF" w:rsidRPr="00DB7B60" w:rsidRDefault="00FC06AF" w:rsidP="00C007F2">
            <w:pPr>
              <w:jc w:val="center"/>
              <w:rPr>
                <w:sz w:val="18"/>
                <w:szCs w:val="18"/>
              </w:rPr>
            </w:pPr>
            <w:r>
              <w:rPr>
                <w:sz w:val="18"/>
                <w:szCs w:val="18"/>
              </w:rPr>
              <w:t>by</w:t>
            </w:r>
            <w:r w:rsidRPr="00DB7B60">
              <w:rPr>
                <w:sz w:val="18"/>
                <w:szCs w:val="18"/>
              </w:rPr>
              <w:t>2050</w:t>
            </w:r>
            <w:r w:rsidR="00051EC0">
              <w:rPr>
                <w:rFonts w:cstheme="minorHAnsi"/>
                <w:sz w:val="18"/>
                <w:szCs w:val="18"/>
              </w:rPr>
              <w:t>†</w:t>
            </w:r>
          </w:p>
        </w:tc>
      </w:tr>
      <w:tr w:rsidR="00FC06AF" w:rsidRPr="00DB7B60" w14:paraId="7F0C89EE" w14:textId="77777777" w:rsidTr="00C007F2">
        <w:trPr>
          <w:trHeight w:val="284"/>
        </w:trPr>
        <w:tc>
          <w:tcPr>
            <w:tcW w:w="3402" w:type="dxa"/>
            <w:tcBorders>
              <w:top w:val="single" w:sz="12" w:space="0" w:color="000000"/>
              <w:bottom w:val="single" w:sz="12" w:space="0" w:color="000000"/>
            </w:tcBorders>
            <w:tcMar>
              <w:left w:w="57" w:type="dxa"/>
              <w:right w:w="57" w:type="dxa"/>
            </w:tcMar>
            <w:vAlign w:val="center"/>
          </w:tcPr>
          <w:p w14:paraId="492A3595" w14:textId="77777777" w:rsidR="00FC06AF" w:rsidRPr="00DB7B60" w:rsidRDefault="00FC06AF" w:rsidP="00C007F2">
            <w:pPr>
              <w:jc w:val="left"/>
              <w:rPr>
                <w:b/>
                <w:bCs/>
                <w:sz w:val="18"/>
                <w:szCs w:val="18"/>
              </w:rPr>
            </w:pPr>
            <w:r w:rsidRPr="00DB7B60">
              <w:rPr>
                <w:b/>
                <w:bCs/>
                <w:sz w:val="18"/>
                <w:szCs w:val="18"/>
              </w:rPr>
              <w:t xml:space="preserve">Government </w:t>
            </w:r>
            <w:r>
              <w:rPr>
                <w:b/>
                <w:bCs/>
                <w:sz w:val="18"/>
                <w:szCs w:val="18"/>
              </w:rPr>
              <w:t>p</w:t>
            </w:r>
            <w:r w:rsidRPr="00DB7B60">
              <w:rPr>
                <w:b/>
                <w:bCs/>
                <w:sz w:val="18"/>
                <w:szCs w:val="18"/>
              </w:rPr>
              <w:t>erspective</w:t>
            </w:r>
          </w:p>
        </w:tc>
        <w:tc>
          <w:tcPr>
            <w:tcW w:w="993" w:type="dxa"/>
            <w:tcBorders>
              <w:top w:val="single" w:sz="12" w:space="0" w:color="000000"/>
              <w:bottom w:val="single" w:sz="12" w:space="0" w:color="000000"/>
            </w:tcBorders>
            <w:tcMar>
              <w:left w:w="57" w:type="dxa"/>
              <w:right w:w="57" w:type="dxa"/>
            </w:tcMar>
            <w:vAlign w:val="center"/>
          </w:tcPr>
          <w:p w14:paraId="73566AFE" w14:textId="77777777" w:rsidR="00FC06AF" w:rsidRPr="009108D3" w:rsidRDefault="00FC06AF" w:rsidP="00C007F2">
            <w:pPr>
              <w:jc w:val="center"/>
              <w:rPr>
                <w:b/>
                <w:bCs/>
                <w:sz w:val="18"/>
                <w:szCs w:val="18"/>
              </w:rPr>
            </w:pPr>
            <w:r w:rsidRPr="009108D3">
              <w:rPr>
                <w:b/>
                <w:bCs/>
                <w:sz w:val="18"/>
                <w:szCs w:val="18"/>
              </w:rPr>
              <w:t>Estimate</w:t>
            </w:r>
          </w:p>
        </w:tc>
        <w:tc>
          <w:tcPr>
            <w:tcW w:w="1559" w:type="dxa"/>
            <w:tcBorders>
              <w:top w:val="single" w:sz="12" w:space="0" w:color="000000"/>
              <w:bottom w:val="single" w:sz="12" w:space="0" w:color="000000"/>
            </w:tcBorders>
            <w:tcMar>
              <w:left w:w="57" w:type="dxa"/>
              <w:right w:w="57" w:type="dxa"/>
            </w:tcMar>
            <w:vAlign w:val="center"/>
          </w:tcPr>
          <w:p w14:paraId="5553989E" w14:textId="77777777" w:rsidR="00FC06AF" w:rsidRPr="009108D3" w:rsidRDefault="00FC06AF" w:rsidP="00C007F2">
            <w:pPr>
              <w:jc w:val="center"/>
              <w:rPr>
                <w:b/>
                <w:bCs/>
                <w:sz w:val="18"/>
                <w:szCs w:val="18"/>
              </w:rPr>
            </w:pPr>
            <w:r w:rsidRPr="009108D3">
              <w:rPr>
                <w:b/>
                <w:bCs/>
                <w:sz w:val="18"/>
                <w:szCs w:val="18"/>
              </w:rPr>
              <w:t>95% UI</w:t>
            </w:r>
          </w:p>
        </w:tc>
        <w:tc>
          <w:tcPr>
            <w:tcW w:w="850" w:type="dxa"/>
            <w:tcBorders>
              <w:top w:val="single" w:sz="12" w:space="0" w:color="000000"/>
              <w:bottom w:val="single" w:sz="12" w:space="0" w:color="000000"/>
            </w:tcBorders>
            <w:tcMar>
              <w:left w:w="57" w:type="dxa"/>
              <w:right w:w="57" w:type="dxa"/>
            </w:tcMar>
            <w:vAlign w:val="center"/>
          </w:tcPr>
          <w:p w14:paraId="0312D977" w14:textId="77777777" w:rsidR="00FC06AF" w:rsidRPr="009108D3" w:rsidRDefault="00FC06AF" w:rsidP="00C007F2">
            <w:pPr>
              <w:jc w:val="center"/>
              <w:rPr>
                <w:b/>
                <w:bCs/>
                <w:sz w:val="18"/>
                <w:szCs w:val="18"/>
              </w:rPr>
            </w:pPr>
            <w:r w:rsidRPr="009108D3">
              <w:rPr>
                <w:b/>
                <w:bCs/>
                <w:sz w:val="18"/>
                <w:szCs w:val="18"/>
              </w:rPr>
              <w:t>Estimate</w:t>
            </w:r>
          </w:p>
        </w:tc>
        <w:tc>
          <w:tcPr>
            <w:tcW w:w="1418" w:type="dxa"/>
            <w:tcBorders>
              <w:top w:val="single" w:sz="12" w:space="0" w:color="000000"/>
              <w:bottom w:val="single" w:sz="12" w:space="0" w:color="000000"/>
            </w:tcBorders>
            <w:tcMar>
              <w:left w:w="57" w:type="dxa"/>
              <w:right w:w="57" w:type="dxa"/>
            </w:tcMar>
            <w:vAlign w:val="center"/>
          </w:tcPr>
          <w:p w14:paraId="052D6B92" w14:textId="77777777" w:rsidR="00FC06AF" w:rsidRPr="009108D3" w:rsidRDefault="00FC06AF" w:rsidP="00C007F2">
            <w:pPr>
              <w:jc w:val="center"/>
              <w:rPr>
                <w:b/>
                <w:bCs/>
                <w:sz w:val="18"/>
                <w:szCs w:val="18"/>
              </w:rPr>
            </w:pPr>
            <w:r w:rsidRPr="009108D3">
              <w:rPr>
                <w:b/>
                <w:bCs/>
                <w:sz w:val="18"/>
                <w:szCs w:val="18"/>
              </w:rPr>
              <w:t>95%</w:t>
            </w:r>
          </w:p>
        </w:tc>
        <w:tc>
          <w:tcPr>
            <w:tcW w:w="850" w:type="dxa"/>
            <w:tcBorders>
              <w:top w:val="single" w:sz="12" w:space="0" w:color="000000"/>
              <w:bottom w:val="single" w:sz="12" w:space="0" w:color="000000"/>
            </w:tcBorders>
            <w:tcMar>
              <w:left w:w="57" w:type="dxa"/>
              <w:right w:w="57" w:type="dxa"/>
            </w:tcMar>
            <w:vAlign w:val="center"/>
          </w:tcPr>
          <w:p w14:paraId="3A848281" w14:textId="77777777" w:rsidR="00FC06AF" w:rsidRPr="009108D3" w:rsidRDefault="00FC06AF" w:rsidP="00C007F2">
            <w:pPr>
              <w:jc w:val="center"/>
              <w:rPr>
                <w:b/>
                <w:bCs/>
                <w:sz w:val="18"/>
                <w:szCs w:val="18"/>
              </w:rPr>
            </w:pPr>
            <w:r w:rsidRPr="009108D3">
              <w:rPr>
                <w:b/>
                <w:bCs/>
                <w:sz w:val="18"/>
                <w:szCs w:val="18"/>
              </w:rPr>
              <w:t>Estimate</w:t>
            </w:r>
          </w:p>
        </w:tc>
        <w:tc>
          <w:tcPr>
            <w:tcW w:w="1475" w:type="dxa"/>
            <w:tcBorders>
              <w:top w:val="single" w:sz="12" w:space="0" w:color="000000"/>
              <w:bottom w:val="single" w:sz="12" w:space="0" w:color="000000"/>
            </w:tcBorders>
            <w:tcMar>
              <w:left w:w="57" w:type="dxa"/>
              <w:right w:w="57" w:type="dxa"/>
            </w:tcMar>
            <w:vAlign w:val="center"/>
          </w:tcPr>
          <w:p w14:paraId="088F5DC2" w14:textId="77777777" w:rsidR="00FC06AF" w:rsidRPr="009108D3" w:rsidRDefault="00FC06AF" w:rsidP="00C007F2">
            <w:pPr>
              <w:jc w:val="center"/>
              <w:rPr>
                <w:b/>
                <w:bCs/>
                <w:sz w:val="18"/>
                <w:szCs w:val="18"/>
              </w:rPr>
            </w:pPr>
            <w:r w:rsidRPr="009108D3">
              <w:rPr>
                <w:b/>
                <w:bCs/>
                <w:sz w:val="18"/>
                <w:szCs w:val="18"/>
              </w:rPr>
              <w:t>95%</w:t>
            </w:r>
          </w:p>
        </w:tc>
      </w:tr>
      <w:tr w:rsidR="00FC06AF" w:rsidRPr="00DB7B60" w14:paraId="5468D650" w14:textId="77777777" w:rsidTr="00C007F2">
        <w:trPr>
          <w:trHeight w:val="284"/>
        </w:trPr>
        <w:tc>
          <w:tcPr>
            <w:tcW w:w="3402" w:type="dxa"/>
            <w:tcBorders>
              <w:top w:val="single" w:sz="12" w:space="0" w:color="000000"/>
            </w:tcBorders>
            <w:tcMar>
              <w:left w:w="57" w:type="dxa"/>
              <w:right w:w="57" w:type="dxa"/>
            </w:tcMar>
            <w:vAlign w:val="center"/>
          </w:tcPr>
          <w:p w14:paraId="1F1460FB" w14:textId="77777777" w:rsidR="00FC06AF" w:rsidRPr="00DC768F" w:rsidRDefault="00FC06AF" w:rsidP="00C007F2">
            <w:pPr>
              <w:ind w:left="57"/>
              <w:jc w:val="left"/>
              <w:rPr>
                <w:b/>
                <w:bCs/>
                <w:i/>
                <w:iCs/>
                <w:sz w:val="18"/>
                <w:szCs w:val="18"/>
              </w:rPr>
            </w:pPr>
            <w:r w:rsidRPr="00DC768F">
              <w:rPr>
                <w:b/>
                <w:bCs/>
                <w:i/>
                <w:iCs/>
                <w:sz w:val="18"/>
                <w:szCs w:val="18"/>
              </w:rPr>
              <w:t>Expenditure</w:t>
            </w:r>
          </w:p>
        </w:tc>
        <w:tc>
          <w:tcPr>
            <w:tcW w:w="993" w:type="dxa"/>
            <w:tcBorders>
              <w:top w:val="single" w:sz="12" w:space="0" w:color="000000"/>
            </w:tcBorders>
            <w:tcMar>
              <w:left w:w="57" w:type="dxa"/>
              <w:right w:w="57" w:type="dxa"/>
            </w:tcMar>
            <w:vAlign w:val="center"/>
          </w:tcPr>
          <w:p w14:paraId="6BD937DA" w14:textId="77777777" w:rsidR="00FC06AF" w:rsidRPr="00DB7B60" w:rsidRDefault="00FC06AF" w:rsidP="00C007F2">
            <w:pPr>
              <w:rPr>
                <w:sz w:val="18"/>
                <w:szCs w:val="18"/>
              </w:rPr>
            </w:pPr>
          </w:p>
        </w:tc>
        <w:tc>
          <w:tcPr>
            <w:tcW w:w="1559" w:type="dxa"/>
            <w:tcBorders>
              <w:top w:val="single" w:sz="12" w:space="0" w:color="000000"/>
            </w:tcBorders>
            <w:tcMar>
              <w:left w:w="57" w:type="dxa"/>
              <w:right w:w="57" w:type="dxa"/>
            </w:tcMar>
            <w:vAlign w:val="center"/>
          </w:tcPr>
          <w:p w14:paraId="074088A8" w14:textId="77777777" w:rsidR="00FC06AF" w:rsidRPr="00DB7B60" w:rsidRDefault="00FC06AF" w:rsidP="00C007F2">
            <w:pPr>
              <w:rPr>
                <w:sz w:val="18"/>
                <w:szCs w:val="18"/>
              </w:rPr>
            </w:pPr>
          </w:p>
        </w:tc>
        <w:tc>
          <w:tcPr>
            <w:tcW w:w="850" w:type="dxa"/>
            <w:tcBorders>
              <w:top w:val="single" w:sz="12" w:space="0" w:color="000000"/>
            </w:tcBorders>
            <w:tcMar>
              <w:left w:w="57" w:type="dxa"/>
              <w:right w:w="57" w:type="dxa"/>
            </w:tcMar>
            <w:vAlign w:val="center"/>
          </w:tcPr>
          <w:p w14:paraId="51C73C38" w14:textId="77777777" w:rsidR="00FC06AF" w:rsidRPr="00DB7B60" w:rsidRDefault="00FC06AF" w:rsidP="00C007F2">
            <w:pPr>
              <w:rPr>
                <w:sz w:val="18"/>
                <w:szCs w:val="18"/>
              </w:rPr>
            </w:pPr>
          </w:p>
        </w:tc>
        <w:tc>
          <w:tcPr>
            <w:tcW w:w="1418" w:type="dxa"/>
            <w:tcBorders>
              <w:top w:val="single" w:sz="12" w:space="0" w:color="000000"/>
            </w:tcBorders>
            <w:tcMar>
              <w:left w:w="57" w:type="dxa"/>
              <w:right w:w="57" w:type="dxa"/>
            </w:tcMar>
            <w:vAlign w:val="center"/>
          </w:tcPr>
          <w:p w14:paraId="635E0A1B" w14:textId="77777777" w:rsidR="00FC06AF" w:rsidRPr="00DB7B60" w:rsidRDefault="00FC06AF" w:rsidP="00C007F2">
            <w:pPr>
              <w:rPr>
                <w:sz w:val="18"/>
                <w:szCs w:val="18"/>
              </w:rPr>
            </w:pPr>
          </w:p>
        </w:tc>
        <w:tc>
          <w:tcPr>
            <w:tcW w:w="850" w:type="dxa"/>
            <w:tcBorders>
              <w:top w:val="single" w:sz="12" w:space="0" w:color="000000"/>
            </w:tcBorders>
            <w:tcMar>
              <w:left w:w="57" w:type="dxa"/>
              <w:right w:w="57" w:type="dxa"/>
            </w:tcMar>
            <w:vAlign w:val="center"/>
          </w:tcPr>
          <w:p w14:paraId="29B69EE1" w14:textId="77777777" w:rsidR="00FC06AF" w:rsidRPr="00DB7B60" w:rsidRDefault="00FC06AF" w:rsidP="00C007F2">
            <w:pPr>
              <w:rPr>
                <w:sz w:val="18"/>
                <w:szCs w:val="18"/>
              </w:rPr>
            </w:pPr>
          </w:p>
        </w:tc>
        <w:tc>
          <w:tcPr>
            <w:tcW w:w="1475" w:type="dxa"/>
            <w:tcBorders>
              <w:top w:val="single" w:sz="12" w:space="0" w:color="000000"/>
            </w:tcBorders>
            <w:tcMar>
              <w:left w:w="57" w:type="dxa"/>
              <w:right w:w="57" w:type="dxa"/>
            </w:tcMar>
            <w:vAlign w:val="center"/>
          </w:tcPr>
          <w:p w14:paraId="5DF9D4E2" w14:textId="77777777" w:rsidR="00FC06AF" w:rsidRPr="00DB7B60" w:rsidRDefault="00FC06AF" w:rsidP="00C007F2">
            <w:pPr>
              <w:rPr>
                <w:sz w:val="18"/>
                <w:szCs w:val="18"/>
              </w:rPr>
            </w:pPr>
          </w:p>
        </w:tc>
      </w:tr>
      <w:tr w:rsidR="000F482D" w:rsidRPr="00DB7B60" w14:paraId="680147D3" w14:textId="77777777" w:rsidTr="008F26F4">
        <w:trPr>
          <w:trHeight w:val="284"/>
        </w:trPr>
        <w:tc>
          <w:tcPr>
            <w:tcW w:w="3402" w:type="dxa"/>
            <w:tcMar>
              <w:left w:w="57" w:type="dxa"/>
              <w:right w:w="57" w:type="dxa"/>
            </w:tcMar>
            <w:vAlign w:val="center"/>
          </w:tcPr>
          <w:p w14:paraId="54F2B0B3" w14:textId="77777777" w:rsidR="000F482D" w:rsidRPr="00DB7B60" w:rsidRDefault="000F482D" w:rsidP="000F482D">
            <w:pPr>
              <w:ind w:left="170"/>
              <w:jc w:val="left"/>
              <w:rPr>
                <w:sz w:val="18"/>
                <w:szCs w:val="18"/>
              </w:rPr>
            </w:pPr>
            <w:r w:rsidRPr="00DB7B60">
              <w:rPr>
                <w:sz w:val="18"/>
                <w:szCs w:val="18"/>
              </w:rPr>
              <w:t xml:space="preserve">Health system </w:t>
            </w:r>
          </w:p>
        </w:tc>
        <w:tc>
          <w:tcPr>
            <w:tcW w:w="993" w:type="dxa"/>
            <w:tcMar>
              <w:left w:w="57" w:type="dxa"/>
              <w:right w:w="57" w:type="dxa"/>
            </w:tcMar>
          </w:tcPr>
          <w:p w14:paraId="7D71A39B" w14:textId="0585AC2E" w:rsidR="000F482D" w:rsidRPr="007D232B" w:rsidRDefault="000F482D" w:rsidP="009218DA">
            <w:pPr>
              <w:ind w:left="170"/>
              <w:jc w:val="left"/>
              <w:rPr>
                <w:sz w:val="18"/>
                <w:szCs w:val="18"/>
              </w:rPr>
            </w:pPr>
            <w:r w:rsidRPr="009218DA">
              <w:rPr>
                <w:sz w:val="18"/>
                <w:szCs w:val="18"/>
              </w:rPr>
              <w:t>0.23</w:t>
            </w:r>
          </w:p>
        </w:tc>
        <w:tc>
          <w:tcPr>
            <w:tcW w:w="1559" w:type="dxa"/>
            <w:tcMar>
              <w:left w:w="57" w:type="dxa"/>
              <w:right w:w="57" w:type="dxa"/>
            </w:tcMar>
          </w:tcPr>
          <w:p w14:paraId="0B9E76AF" w14:textId="742B0366" w:rsidR="000F482D" w:rsidRPr="007D232B" w:rsidRDefault="000F482D" w:rsidP="009218DA">
            <w:pPr>
              <w:ind w:left="170"/>
              <w:jc w:val="left"/>
              <w:rPr>
                <w:sz w:val="18"/>
                <w:szCs w:val="18"/>
              </w:rPr>
            </w:pPr>
            <w:r w:rsidRPr="009218DA">
              <w:rPr>
                <w:sz w:val="18"/>
                <w:szCs w:val="18"/>
              </w:rPr>
              <w:t>(0.28 to 0.18)</w:t>
            </w:r>
          </w:p>
        </w:tc>
        <w:tc>
          <w:tcPr>
            <w:tcW w:w="850" w:type="dxa"/>
            <w:tcMar>
              <w:left w:w="57" w:type="dxa"/>
              <w:right w:w="57" w:type="dxa"/>
            </w:tcMar>
          </w:tcPr>
          <w:p w14:paraId="593BD756" w14:textId="312E6414" w:rsidR="000F482D" w:rsidRPr="007D232B" w:rsidRDefault="000F482D" w:rsidP="009218DA">
            <w:pPr>
              <w:ind w:left="170"/>
              <w:jc w:val="left"/>
              <w:rPr>
                <w:sz w:val="18"/>
                <w:szCs w:val="18"/>
              </w:rPr>
            </w:pPr>
            <w:r w:rsidRPr="009218DA">
              <w:rPr>
                <w:sz w:val="18"/>
                <w:szCs w:val="18"/>
              </w:rPr>
              <w:t>1.12</w:t>
            </w:r>
          </w:p>
        </w:tc>
        <w:tc>
          <w:tcPr>
            <w:tcW w:w="1418" w:type="dxa"/>
            <w:tcMar>
              <w:left w:w="57" w:type="dxa"/>
              <w:right w:w="57" w:type="dxa"/>
            </w:tcMar>
          </w:tcPr>
          <w:p w14:paraId="67C0EE2F" w14:textId="5BC22F34" w:rsidR="000F482D" w:rsidRPr="007D232B" w:rsidRDefault="000F482D" w:rsidP="009218DA">
            <w:pPr>
              <w:ind w:left="170"/>
              <w:jc w:val="left"/>
              <w:rPr>
                <w:sz w:val="18"/>
                <w:szCs w:val="18"/>
              </w:rPr>
            </w:pPr>
            <w:r w:rsidRPr="009218DA">
              <w:rPr>
                <w:sz w:val="18"/>
                <w:szCs w:val="18"/>
              </w:rPr>
              <w:t>(1.38 to 0.88)</w:t>
            </w:r>
          </w:p>
        </w:tc>
        <w:tc>
          <w:tcPr>
            <w:tcW w:w="850" w:type="dxa"/>
            <w:tcMar>
              <w:left w:w="57" w:type="dxa"/>
              <w:right w:w="57" w:type="dxa"/>
            </w:tcMar>
          </w:tcPr>
          <w:p w14:paraId="6F7E6926" w14:textId="4399B2DC" w:rsidR="000F482D" w:rsidRPr="007D232B" w:rsidRDefault="000F482D" w:rsidP="009218DA">
            <w:pPr>
              <w:ind w:left="170"/>
              <w:jc w:val="left"/>
              <w:rPr>
                <w:sz w:val="18"/>
                <w:szCs w:val="18"/>
              </w:rPr>
            </w:pPr>
            <w:r w:rsidRPr="009218DA">
              <w:rPr>
                <w:sz w:val="18"/>
                <w:szCs w:val="18"/>
              </w:rPr>
              <w:t>2.45</w:t>
            </w:r>
          </w:p>
        </w:tc>
        <w:tc>
          <w:tcPr>
            <w:tcW w:w="1475" w:type="dxa"/>
            <w:tcMar>
              <w:left w:w="57" w:type="dxa"/>
              <w:right w:w="57" w:type="dxa"/>
            </w:tcMar>
          </w:tcPr>
          <w:p w14:paraId="5F94BC1B" w14:textId="7A6F7B02" w:rsidR="000F482D" w:rsidRPr="007D232B" w:rsidRDefault="000F482D" w:rsidP="009218DA">
            <w:pPr>
              <w:ind w:left="170"/>
              <w:jc w:val="left"/>
              <w:rPr>
                <w:sz w:val="18"/>
                <w:szCs w:val="18"/>
              </w:rPr>
            </w:pPr>
            <w:r w:rsidRPr="009218DA">
              <w:rPr>
                <w:sz w:val="18"/>
                <w:szCs w:val="18"/>
              </w:rPr>
              <w:t>(3.13 to 1.85)</w:t>
            </w:r>
          </w:p>
        </w:tc>
      </w:tr>
      <w:tr w:rsidR="000F482D" w:rsidRPr="00DB7B60" w14:paraId="60CEC1FA" w14:textId="77777777" w:rsidTr="008F26F4">
        <w:trPr>
          <w:trHeight w:val="284"/>
        </w:trPr>
        <w:tc>
          <w:tcPr>
            <w:tcW w:w="3402" w:type="dxa"/>
            <w:tcMar>
              <w:left w:w="57" w:type="dxa"/>
              <w:right w:w="57" w:type="dxa"/>
            </w:tcMar>
            <w:vAlign w:val="center"/>
          </w:tcPr>
          <w:p w14:paraId="142D58B3" w14:textId="77777777" w:rsidR="000F482D" w:rsidRPr="00DB7B60" w:rsidRDefault="000F482D" w:rsidP="000F482D">
            <w:pPr>
              <w:ind w:left="170"/>
              <w:jc w:val="left"/>
              <w:rPr>
                <w:sz w:val="18"/>
                <w:szCs w:val="18"/>
              </w:rPr>
            </w:pPr>
            <w:r w:rsidRPr="00DB7B60">
              <w:rPr>
                <w:sz w:val="18"/>
                <w:szCs w:val="18"/>
              </w:rPr>
              <w:t>Superannuation expenditure</w:t>
            </w:r>
          </w:p>
        </w:tc>
        <w:tc>
          <w:tcPr>
            <w:tcW w:w="993" w:type="dxa"/>
            <w:tcMar>
              <w:left w:w="57" w:type="dxa"/>
              <w:right w:w="57" w:type="dxa"/>
            </w:tcMar>
          </w:tcPr>
          <w:p w14:paraId="2AB085D9" w14:textId="21CEFACF" w:rsidR="000F482D" w:rsidRPr="007D232B" w:rsidRDefault="000F482D" w:rsidP="009218DA">
            <w:pPr>
              <w:ind w:left="170"/>
              <w:jc w:val="left"/>
              <w:rPr>
                <w:sz w:val="18"/>
                <w:szCs w:val="18"/>
              </w:rPr>
            </w:pPr>
            <w:r w:rsidRPr="009218DA">
              <w:rPr>
                <w:sz w:val="18"/>
                <w:szCs w:val="18"/>
              </w:rPr>
              <w:t>-0.39</w:t>
            </w:r>
          </w:p>
        </w:tc>
        <w:tc>
          <w:tcPr>
            <w:tcW w:w="1559" w:type="dxa"/>
            <w:tcMar>
              <w:left w:w="57" w:type="dxa"/>
              <w:right w:w="57" w:type="dxa"/>
            </w:tcMar>
          </w:tcPr>
          <w:p w14:paraId="510B9FDC" w14:textId="1C788D13" w:rsidR="000F482D" w:rsidRPr="007D232B" w:rsidRDefault="000F482D" w:rsidP="009218DA">
            <w:pPr>
              <w:ind w:left="170"/>
              <w:jc w:val="left"/>
              <w:rPr>
                <w:sz w:val="18"/>
                <w:szCs w:val="18"/>
              </w:rPr>
            </w:pPr>
            <w:r w:rsidRPr="009218DA">
              <w:rPr>
                <w:sz w:val="18"/>
                <w:szCs w:val="18"/>
              </w:rPr>
              <w:t>(-0.39 to -0.38)</w:t>
            </w:r>
          </w:p>
        </w:tc>
        <w:tc>
          <w:tcPr>
            <w:tcW w:w="850" w:type="dxa"/>
            <w:tcMar>
              <w:left w:w="57" w:type="dxa"/>
              <w:right w:w="57" w:type="dxa"/>
            </w:tcMar>
          </w:tcPr>
          <w:p w14:paraId="4600A672" w14:textId="57C8DC61" w:rsidR="000F482D" w:rsidRPr="007D232B" w:rsidRDefault="000F482D" w:rsidP="009218DA">
            <w:pPr>
              <w:ind w:left="170"/>
              <w:jc w:val="left"/>
              <w:rPr>
                <w:sz w:val="18"/>
                <w:szCs w:val="18"/>
              </w:rPr>
            </w:pPr>
            <w:r w:rsidRPr="009218DA">
              <w:rPr>
                <w:sz w:val="18"/>
                <w:szCs w:val="18"/>
              </w:rPr>
              <w:t>-2.59</w:t>
            </w:r>
          </w:p>
        </w:tc>
        <w:tc>
          <w:tcPr>
            <w:tcW w:w="1418" w:type="dxa"/>
            <w:tcMar>
              <w:left w:w="57" w:type="dxa"/>
              <w:right w:w="57" w:type="dxa"/>
            </w:tcMar>
          </w:tcPr>
          <w:p w14:paraId="21FE2FFE" w14:textId="4FBB6435" w:rsidR="000F482D" w:rsidRPr="007D232B" w:rsidRDefault="000F482D" w:rsidP="009218DA">
            <w:pPr>
              <w:ind w:left="170"/>
              <w:jc w:val="left"/>
              <w:rPr>
                <w:sz w:val="18"/>
                <w:szCs w:val="18"/>
              </w:rPr>
            </w:pPr>
            <w:r w:rsidRPr="009218DA">
              <w:rPr>
                <w:sz w:val="18"/>
                <w:szCs w:val="18"/>
              </w:rPr>
              <w:t>(-2.71 to -2.47)</w:t>
            </w:r>
          </w:p>
        </w:tc>
        <w:tc>
          <w:tcPr>
            <w:tcW w:w="850" w:type="dxa"/>
            <w:tcMar>
              <w:left w:w="57" w:type="dxa"/>
              <w:right w:w="57" w:type="dxa"/>
            </w:tcMar>
          </w:tcPr>
          <w:p w14:paraId="2F83EF2D" w14:textId="63001F77" w:rsidR="000F482D" w:rsidRPr="007D232B" w:rsidRDefault="000F482D" w:rsidP="009218DA">
            <w:pPr>
              <w:ind w:left="170"/>
              <w:jc w:val="left"/>
              <w:rPr>
                <w:sz w:val="18"/>
                <w:szCs w:val="18"/>
              </w:rPr>
            </w:pPr>
            <w:r w:rsidRPr="009218DA">
              <w:rPr>
                <w:sz w:val="18"/>
                <w:szCs w:val="18"/>
              </w:rPr>
              <w:t>-6.24</w:t>
            </w:r>
          </w:p>
        </w:tc>
        <w:tc>
          <w:tcPr>
            <w:tcW w:w="1475" w:type="dxa"/>
            <w:tcMar>
              <w:left w:w="57" w:type="dxa"/>
              <w:right w:w="57" w:type="dxa"/>
            </w:tcMar>
          </w:tcPr>
          <w:p w14:paraId="737B6B42" w14:textId="16C40CBF" w:rsidR="000F482D" w:rsidRPr="007D232B" w:rsidRDefault="000F482D" w:rsidP="009218DA">
            <w:pPr>
              <w:ind w:left="170"/>
              <w:jc w:val="left"/>
              <w:rPr>
                <w:sz w:val="18"/>
                <w:szCs w:val="18"/>
              </w:rPr>
            </w:pPr>
            <w:r w:rsidRPr="009218DA">
              <w:rPr>
                <w:sz w:val="18"/>
                <w:szCs w:val="18"/>
              </w:rPr>
              <w:t>(-6.75 to -5.72)</w:t>
            </w:r>
          </w:p>
        </w:tc>
      </w:tr>
      <w:tr w:rsidR="00FC06AF" w:rsidRPr="00DB7B60" w14:paraId="463F26C2" w14:textId="77777777" w:rsidTr="00C007F2">
        <w:trPr>
          <w:trHeight w:val="284"/>
        </w:trPr>
        <w:tc>
          <w:tcPr>
            <w:tcW w:w="3402" w:type="dxa"/>
            <w:tcMar>
              <w:left w:w="57" w:type="dxa"/>
              <w:right w:w="57" w:type="dxa"/>
            </w:tcMar>
            <w:vAlign w:val="center"/>
          </w:tcPr>
          <w:p w14:paraId="76F48F86" w14:textId="77777777" w:rsidR="00FC06AF" w:rsidRPr="00DC768F" w:rsidRDefault="00FC06AF" w:rsidP="00C007F2">
            <w:pPr>
              <w:ind w:left="57"/>
              <w:jc w:val="left"/>
              <w:rPr>
                <w:b/>
                <w:bCs/>
                <w:i/>
                <w:iCs/>
                <w:sz w:val="18"/>
                <w:szCs w:val="18"/>
              </w:rPr>
            </w:pPr>
            <w:r w:rsidRPr="00DC768F">
              <w:rPr>
                <w:b/>
                <w:bCs/>
                <w:i/>
                <w:iCs/>
                <w:sz w:val="18"/>
                <w:szCs w:val="18"/>
              </w:rPr>
              <w:t>Revenue</w:t>
            </w:r>
          </w:p>
        </w:tc>
        <w:tc>
          <w:tcPr>
            <w:tcW w:w="993" w:type="dxa"/>
            <w:tcMar>
              <w:left w:w="57" w:type="dxa"/>
              <w:right w:w="57" w:type="dxa"/>
            </w:tcMar>
            <w:vAlign w:val="center"/>
          </w:tcPr>
          <w:p w14:paraId="1F33039D" w14:textId="77777777" w:rsidR="00FC06AF" w:rsidRPr="007D232B" w:rsidRDefault="00FC06AF" w:rsidP="009218DA">
            <w:pPr>
              <w:ind w:left="170"/>
              <w:jc w:val="left"/>
              <w:rPr>
                <w:sz w:val="18"/>
                <w:szCs w:val="18"/>
              </w:rPr>
            </w:pPr>
          </w:p>
        </w:tc>
        <w:tc>
          <w:tcPr>
            <w:tcW w:w="1559" w:type="dxa"/>
            <w:tcMar>
              <w:left w:w="57" w:type="dxa"/>
              <w:right w:w="57" w:type="dxa"/>
            </w:tcMar>
            <w:vAlign w:val="center"/>
          </w:tcPr>
          <w:p w14:paraId="031E624D" w14:textId="77777777" w:rsidR="00FC06AF" w:rsidRPr="007D232B" w:rsidRDefault="00FC06AF" w:rsidP="009218DA">
            <w:pPr>
              <w:ind w:left="170"/>
              <w:jc w:val="left"/>
              <w:rPr>
                <w:sz w:val="18"/>
                <w:szCs w:val="18"/>
              </w:rPr>
            </w:pPr>
          </w:p>
        </w:tc>
        <w:tc>
          <w:tcPr>
            <w:tcW w:w="850" w:type="dxa"/>
            <w:tcMar>
              <w:left w:w="57" w:type="dxa"/>
              <w:right w:w="57" w:type="dxa"/>
            </w:tcMar>
            <w:vAlign w:val="center"/>
          </w:tcPr>
          <w:p w14:paraId="3FADC34B" w14:textId="77777777" w:rsidR="00FC06AF" w:rsidRPr="007D232B" w:rsidRDefault="00FC06AF" w:rsidP="009218DA">
            <w:pPr>
              <w:ind w:left="170"/>
              <w:jc w:val="left"/>
              <w:rPr>
                <w:sz w:val="18"/>
                <w:szCs w:val="18"/>
              </w:rPr>
            </w:pPr>
          </w:p>
        </w:tc>
        <w:tc>
          <w:tcPr>
            <w:tcW w:w="1418" w:type="dxa"/>
            <w:tcMar>
              <w:left w:w="57" w:type="dxa"/>
              <w:right w:w="57" w:type="dxa"/>
            </w:tcMar>
            <w:vAlign w:val="center"/>
          </w:tcPr>
          <w:p w14:paraId="0829EB3E" w14:textId="77777777" w:rsidR="00FC06AF" w:rsidRPr="007D232B" w:rsidRDefault="00FC06AF" w:rsidP="009218DA">
            <w:pPr>
              <w:ind w:left="170"/>
              <w:jc w:val="left"/>
              <w:rPr>
                <w:sz w:val="18"/>
                <w:szCs w:val="18"/>
              </w:rPr>
            </w:pPr>
          </w:p>
        </w:tc>
        <w:tc>
          <w:tcPr>
            <w:tcW w:w="850" w:type="dxa"/>
            <w:tcMar>
              <w:left w:w="57" w:type="dxa"/>
              <w:right w:w="57" w:type="dxa"/>
            </w:tcMar>
            <w:vAlign w:val="center"/>
          </w:tcPr>
          <w:p w14:paraId="4B326F95" w14:textId="77777777" w:rsidR="00FC06AF" w:rsidRPr="007D232B" w:rsidRDefault="00FC06AF" w:rsidP="009218DA">
            <w:pPr>
              <w:ind w:left="170"/>
              <w:jc w:val="left"/>
              <w:rPr>
                <w:sz w:val="18"/>
                <w:szCs w:val="18"/>
              </w:rPr>
            </w:pPr>
          </w:p>
        </w:tc>
        <w:tc>
          <w:tcPr>
            <w:tcW w:w="1475" w:type="dxa"/>
            <w:tcMar>
              <w:left w:w="57" w:type="dxa"/>
              <w:right w:w="57" w:type="dxa"/>
            </w:tcMar>
            <w:vAlign w:val="center"/>
          </w:tcPr>
          <w:p w14:paraId="68EF7A99" w14:textId="77777777" w:rsidR="00FC06AF" w:rsidRPr="007D232B" w:rsidRDefault="00FC06AF" w:rsidP="009218DA">
            <w:pPr>
              <w:ind w:left="170"/>
              <w:jc w:val="left"/>
              <w:rPr>
                <w:sz w:val="18"/>
                <w:szCs w:val="18"/>
              </w:rPr>
            </w:pPr>
          </w:p>
        </w:tc>
      </w:tr>
      <w:tr w:rsidR="0072181D" w:rsidRPr="00DB7B60" w14:paraId="6AFD5628" w14:textId="77777777" w:rsidTr="00AC1967">
        <w:trPr>
          <w:trHeight w:val="284"/>
        </w:trPr>
        <w:tc>
          <w:tcPr>
            <w:tcW w:w="3402" w:type="dxa"/>
            <w:tcMar>
              <w:left w:w="57" w:type="dxa"/>
              <w:right w:w="57" w:type="dxa"/>
            </w:tcMar>
            <w:vAlign w:val="center"/>
          </w:tcPr>
          <w:p w14:paraId="7FBEBEE2" w14:textId="77777777" w:rsidR="0072181D" w:rsidRPr="00DB7B60" w:rsidRDefault="0072181D" w:rsidP="0072181D">
            <w:pPr>
              <w:ind w:left="170"/>
              <w:jc w:val="left"/>
              <w:rPr>
                <w:sz w:val="18"/>
                <w:szCs w:val="18"/>
              </w:rPr>
            </w:pPr>
            <w:r w:rsidRPr="00DB7B60">
              <w:rPr>
                <w:sz w:val="18"/>
                <w:szCs w:val="18"/>
              </w:rPr>
              <w:t>Income tax revenue</w:t>
            </w:r>
          </w:p>
        </w:tc>
        <w:tc>
          <w:tcPr>
            <w:tcW w:w="993" w:type="dxa"/>
            <w:tcMar>
              <w:left w:w="57" w:type="dxa"/>
              <w:right w:w="57" w:type="dxa"/>
            </w:tcMar>
          </w:tcPr>
          <w:p w14:paraId="53ADDF35" w14:textId="2B7DB489" w:rsidR="0072181D" w:rsidRPr="007D232B" w:rsidRDefault="0072181D" w:rsidP="009218DA">
            <w:pPr>
              <w:ind w:left="170"/>
              <w:jc w:val="left"/>
              <w:rPr>
                <w:sz w:val="18"/>
                <w:szCs w:val="18"/>
              </w:rPr>
            </w:pPr>
            <w:r w:rsidRPr="009218DA">
              <w:rPr>
                <w:sz w:val="18"/>
                <w:szCs w:val="18"/>
              </w:rPr>
              <w:t>0.38</w:t>
            </w:r>
          </w:p>
        </w:tc>
        <w:tc>
          <w:tcPr>
            <w:tcW w:w="1559" w:type="dxa"/>
            <w:tcMar>
              <w:left w:w="57" w:type="dxa"/>
              <w:right w:w="57" w:type="dxa"/>
            </w:tcMar>
          </w:tcPr>
          <w:p w14:paraId="5058DEE0" w14:textId="1083C217" w:rsidR="0072181D" w:rsidRPr="007D232B" w:rsidRDefault="0072181D" w:rsidP="009218DA">
            <w:pPr>
              <w:ind w:left="170"/>
              <w:jc w:val="left"/>
              <w:rPr>
                <w:sz w:val="18"/>
                <w:szCs w:val="18"/>
              </w:rPr>
            </w:pPr>
            <w:r w:rsidRPr="009218DA">
              <w:rPr>
                <w:sz w:val="18"/>
                <w:szCs w:val="18"/>
              </w:rPr>
              <w:t>(0.32 to 0.45)</w:t>
            </w:r>
          </w:p>
        </w:tc>
        <w:tc>
          <w:tcPr>
            <w:tcW w:w="850" w:type="dxa"/>
            <w:tcMar>
              <w:left w:w="57" w:type="dxa"/>
              <w:right w:w="57" w:type="dxa"/>
            </w:tcMar>
          </w:tcPr>
          <w:p w14:paraId="7C6B236B" w14:textId="29B9A96C" w:rsidR="0072181D" w:rsidRPr="007D232B" w:rsidRDefault="0072181D" w:rsidP="009218DA">
            <w:pPr>
              <w:ind w:left="170"/>
              <w:jc w:val="left"/>
              <w:rPr>
                <w:sz w:val="18"/>
                <w:szCs w:val="18"/>
              </w:rPr>
            </w:pPr>
            <w:r w:rsidRPr="009218DA">
              <w:rPr>
                <w:sz w:val="18"/>
                <w:szCs w:val="18"/>
              </w:rPr>
              <w:t>2.82</w:t>
            </w:r>
          </w:p>
        </w:tc>
        <w:tc>
          <w:tcPr>
            <w:tcW w:w="1418" w:type="dxa"/>
            <w:tcMar>
              <w:left w:w="57" w:type="dxa"/>
              <w:right w:w="57" w:type="dxa"/>
            </w:tcMar>
          </w:tcPr>
          <w:p w14:paraId="353ABD3A" w14:textId="52A56F7F" w:rsidR="0072181D" w:rsidRPr="007D232B" w:rsidRDefault="0072181D" w:rsidP="009218DA">
            <w:pPr>
              <w:ind w:left="170"/>
              <w:jc w:val="left"/>
              <w:rPr>
                <w:sz w:val="18"/>
                <w:szCs w:val="18"/>
              </w:rPr>
            </w:pPr>
            <w:r w:rsidRPr="009218DA">
              <w:rPr>
                <w:sz w:val="18"/>
                <w:szCs w:val="18"/>
              </w:rPr>
              <w:t>(2.36 to 3.34)</w:t>
            </w:r>
          </w:p>
        </w:tc>
        <w:tc>
          <w:tcPr>
            <w:tcW w:w="850" w:type="dxa"/>
            <w:tcMar>
              <w:left w:w="57" w:type="dxa"/>
              <w:right w:w="57" w:type="dxa"/>
            </w:tcMar>
          </w:tcPr>
          <w:p w14:paraId="297A2F91" w14:textId="2FB33E1E" w:rsidR="0072181D" w:rsidRPr="007D232B" w:rsidRDefault="0072181D" w:rsidP="009218DA">
            <w:pPr>
              <w:ind w:left="170"/>
              <w:jc w:val="left"/>
              <w:rPr>
                <w:sz w:val="18"/>
                <w:szCs w:val="18"/>
              </w:rPr>
            </w:pPr>
            <w:r w:rsidRPr="009218DA">
              <w:rPr>
                <w:sz w:val="18"/>
                <w:szCs w:val="18"/>
              </w:rPr>
              <w:t>7.65</w:t>
            </w:r>
          </w:p>
        </w:tc>
        <w:tc>
          <w:tcPr>
            <w:tcW w:w="1475" w:type="dxa"/>
            <w:tcMar>
              <w:left w:w="57" w:type="dxa"/>
              <w:right w:w="57" w:type="dxa"/>
            </w:tcMar>
          </w:tcPr>
          <w:p w14:paraId="4F7F8AD1" w14:textId="0A62DCB8" w:rsidR="0072181D" w:rsidRPr="007D232B" w:rsidRDefault="0072181D" w:rsidP="009218DA">
            <w:pPr>
              <w:ind w:left="170"/>
              <w:jc w:val="left"/>
              <w:rPr>
                <w:sz w:val="18"/>
                <w:szCs w:val="18"/>
              </w:rPr>
            </w:pPr>
            <w:r w:rsidRPr="009218DA">
              <w:rPr>
                <w:sz w:val="18"/>
                <w:szCs w:val="18"/>
              </w:rPr>
              <w:t>(6.39 to 9.09)</w:t>
            </w:r>
          </w:p>
        </w:tc>
      </w:tr>
      <w:tr w:rsidR="00A0316B" w:rsidRPr="00DB7B60" w14:paraId="6229C518" w14:textId="77777777" w:rsidTr="000B37B1">
        <w:trPr>
          <w:trHeight w:val="284"/>
        </w:trPr>
        <w:tc>
          <w:tcPr>
            <w:tcW w:w="3402" w:type="dxa"/>
            <w:tcMar>
              <w:left w:w="57" w:type="dxa"/>
              <w:right w:w="57" w:type="dxa"/>
            </w:tcMar>
            <w:vAlign w:val="center"/>
          </w:tcPr>
          <w:p w14:paraId="13DF1B65" w14:textId="77777777" w:rsidR="00A0316B" w:rsidRPr="00DB7B60" w:rsidRDefault="00A0316B" w:rsidP="00A0316B">
            <w:pPr>
              <w:ind w:left="170"/>
              <w:jc w:val="left"/>
              <w:rPr>
                <w:sz w:val="18"/>
                <w:szCs w:val="18"/>
              </w:rPr>
            </w:pPr>
            <w:r w:rsidRPr="00DB7B60">
              <w:rPr>
                <w:sz w:val="18"/>
                <w:szCs w:val="18"/>
              </w:rPr>
              <w:t>GST revenue (including tobacco sales tax)</w:t>
            </w:r>
          </w:p>
        </w:tc>
        <w:tc>
          <w:tcPr>
            <w:tcW w:w="993" w:type="dxa"/>
            <w:tcMar>
              <w:left w:w="57" w:type="dxa"/>
              <w:right w:w="57" w:type="dxa"/>
            </w:tcMar>
          </w:tcPr>
          <w:p w14:paraId="712AA3AA" w14:textId="2EC22DD9" w:rsidR="00A0316B" w:rsidRPr="007D232B" w:rsidRDefault="00A0316B" w:rsidP="009218DA">
            <w:pPr>
              <w:ind w:left="170"/>
              <w:jc w:val="left"/>
              <w:rPr>
                <w:sz w:val="18"/>
                <w:szCs w:val="18"/>
              </w:rPr>
            </w:pPr>
            <w:r w:rsidRPr="009218DA">
              <w:rPr>
                <w:sz w:val="18"/>
                <w:szCs w:val="18"/>
              </w:rPr>
              <w:t>0.63</w:t>
            </w:r>
          </w:p>
        </w:tc>
        <w:tc>
          <w:tcPr>
            <w:tcW w:w="1559" w:type="dxa"/>
            <w:tcMar>
              <w:left w:w="57" w:type="dxa"/>
              <w:right w:w="57" w:type="dxa"/>
            </w:tcMar>
          </w:tcPr>
          <w:p w14:paraId="0BD5B6E2" w14:textId="6A65A9F5" w:rsidR="00A0316B" w:rsidRPr="007D232B" w:rsidRDefault="00A0316B" w:rsidP="009218DA">
            <w:pPr>
              <w:ind w:left="170"/>
              <w:jc w:val="left"/>
              <w:rPr>
                <w:sz w:val="18"/>
                <w:szCs w:val="18"/>
              </w:rPr>
            </w:pPr>
            <w:r w:rsidRPr="009218DA">
              <w:rPr>
                <w:sz w:val="18"/>
                <w:szCs w:val="18"/>
              </w:rPr>
              <w:t>(0.53 to 0.72)</w:t>
            </w:r>
          </w:p>
        </w:tc>
        <w:tc>
          <w:tcPr>
            <w:tcW w:w="850" w:type="dxa"/>
            <w:tcMar>
              <w:left w:w="57" w:type="dxa"/>
              <w:right w:w="57" w:type="dxa"/>
            </w:tcMar>
          </w:tcPr>
          <w:p w14:paraId="20D5B4F9" w14:textId="59360AD2" w:rsidR="00A0316B" w:rsidRPr="007D232B" w:rsidRDefault="00A0316B" w:rsidP="009218DA">
            <w:pPr>
              <w:ind w:left="170"/>
              <w:jc w:val="left"/>
              <w:rPr>
                <w:sz w:val="18"/>
                <w:szCs w:val="18"/>
              </w:rPr>
            </w:pPr>
            <w:r w:rsidRPr="009218DA">
              <w:rPr>
                <w:sz w:val="18"/>
                <w:szCs w:val="18"/>
              </w:rPr>
              <w:t>2.46</w:t>
            </w:r>
          </w:p>
        </w:tc>
        <w:tc>
          <w:tcPr>
            <w:tcW w:w="1418" w:type="dxa"/>
            <w:tcMar>
              <w:left w:w="57" w:type="dxa"/>
              <w:right w:w="57" w:type="dxa"/>
            </w:tcMar>
          </w:tcPr>
          <w:p w14:paraId="418C8920" w14:textId="094A0CEF" w:rsidR="00A0316B" w:rsidRPr="007D232B" w:rsidRDefault="00A0316B" w:rsidP="009218DA">
            <w:pPr>
              <w:ind w:left="170"/>
              <w:jc w:val="left"/>
              <w:rPr>
                <w:sz w:val="18"/>
                <w:szCs w:val="18"/>
              </w:rPr>
            </w:pPr>
            <w:r w:rsidRPr="009218DA">
              <w:rPr>
                <w:sz w:val="18"/>
                <w:szCs w:val="18"/>
              </w:rPr>
              <w:t>(2.11 to 2.83)</w:t>
            </w:r>
          </w:p>
        </w:tc>
        <w:tc>
          <w:tcPr>
            <w:tcW w:w="850" w:type="dxa"/>
            <w:tcMar>
              <w:left w:w="57" w:type="dxa"/>
              <w:right w:w="57" w:type="dxa"/>
            </w:tcMar>
          </w:tcPr>
          <w:p w14:paraId="47757434" w14:textId="78DEDCDA" w:rsidR="00A0316B" w:rsidRPr="007D232B" w:rsidRDefault="00A0316B" w:rsidP="009218DA">
            <w:pPr>
              <w:ind w:left="170"/>
              <w:jc w:val="left"/>
              <w:rPr>
                <w:sz w:val="18"/>
                <w:szCs w:val="18"/>
              </w:rPr>
            </w:pPr>
            <w:r w:rsidRPr="009218DA">
              <w:rPr>
                <w:sz w:val="18"/>
                <w:szCs w:val="18"/>
              </w:rPr>
              <w:t>5.48</w:t>
            </w:r>
          </w:p>
        </w:tc>
        <w:tc>
          <w:tcPr>
            <w:tcW w:w="1475" w:type="dxa"/>
            <w:tcMar>
              <w:left w:w="57" w:type="dxa"/>
              <w:right w:w="57" w:type="dxa"/>
            </w:tcMar>
          </w:tcPr>
          <w:p w14:paraId="7FF7D816" w14:textId="18CB8199" w:rsidR="00A0316B" w:rsidRPr="007D232B" w:rsidRDefault="00A0316B" w:rsidP="009218DA">
            <w:pPr>
              <w:ind w:left="170"/>
              <w:jc w:val="left"/>
              <w:rPr>
                <w:sz w:val="18"/>
                <w:szCs w:val="18"/>
              </w:rPr>
            </w:pPr>
            <w:r w:rsidRPr="009218DA">
              <w:rPr>
                <w:sz w:val="18"/>
                <w:szCs w:val="18"/>
              </w:rPr>
              <w:t>(4.69 to 6.38)</w:t>
            </w:r>
          </w:p>
        </w:tc>
      </w:tr>
      <w:tr w:rsidR="00D56D66" w:rsidRPr="00DB7B60" w14:paraId="2B72502E" w14:textId="77777777" w:rsidTr="00425A90">
        <w:trPr>
          <w:trHeight w:val="284"/>
        </w:trPr>
        <w:tc>
          <w:tcPr>
            <w:tcW w:w="3402" w:type="dxa"/>
            <w:tcMar>
              <w:left w:w="57" w:type="dxa"/>
              <w:right w:w="57" w:type="dxa"/>
            </w:tcMar>
            <w:vAlign w:val="center"/>
          </w:tcPr>
          <w:p w14:paraId="777B025B" w14:textId="77777777" w:rsidR="00D56D66" w:rsidRPr="00DB7B60" w:rsidRDefault="00D56D66" w:rsidP="00D56D66">
            <w:pPr>
              <w:ind w:left="170"/>
              <w:jc w:val="left"/>
              <w:rPr>
                <w:sz w:val="18"/>
                <w:szCs w:val="18"/>
              </w:rPr>
            </w:pPr>
            <w:r w:rsidRPr="00DB7B60">
              <w:rPr>
                <w:sz w:val="18"/>
                <w:szCs w:val="18"/>
              </w:rPr>
              <w:t>Tobacco excise revenue</w:t>
            </w:r>
          </w:p>
        </w:tc>
        <w:tc>
          <w:tcPr>
            <w:tcW w:w="993" w:type="dxa"/>
            <w:tcMar>
              <w:left w:w="57" w:type="dxa"/>
              <w:right w:w="57" w:type="dxa"/>
            </w:tcMar>
          </w:tcPr>
          <w:p w14:paraId="451658B1" w14:textId="084416D9" w:rsidR="00D56D66" w:rsidRPr="007D232B" w:rsidRDefault="00D56D66" w:rsidP="009218DA">
            <w:pPr>
              <w:ind w:left="170"/>
              <w:jc w:val="left"/>
              <w:rPr>
                <w:sz w:val="18"/>
                <w:szCs w:val="18"/>
              </w:rPr>
            </w:pPr>
            <w:r w:rsidRPr="009218DA">
              <w:rPr>
                <w:sz w:val="18"/>
                <w:szCs w:val="18"/>
              </w:rPr>
              <w:t>-6.44</w:t>
            </w:r>
          </w:p>
        </w:tc>
        <w:tc>
          <w:tcPr>
            <w:tcW w:w="1559" w:type="dxa"/>
            <w:tcMar>
              <w:left w:w="57" w:type="dxa"/>
              <w:right w:w="57" w:type="dxa"/>
            </w:tcMar>
          </w:tcPr>
          <w:p w14:paraId="05554D0E" w14:textId="372D2586" w:rsidR="00D56D66" w:rsidRPr="007D232B" w:rsidRDefault="00D56D66" w:rsidP="009218DA">
            <w:pPr>
              <w:ind w:left="170"/>
              <w:jc w:val="left"/>
              <w:rPr>
                <w:sz w:val="18"/>
                <w:szCs w:val="18"/>
              </w:rPr>
            </w:pPr>
            <w:r w:rsidRPr="009218DA">
              <w:rPr>
                <w:sz w:val="18"/>
                <w:szCs w:val="18"/>
              </w:rPr>
              <w:t>(-7.55 to -5.22)</w:t>
            </w:r>
          </w:p>
        </w:tc>
        <w:tc>
          <w:tcPr>
            <w:tcW w:w="850" w:type="dxa"/>
            <w:tcMar>
              <w:left w:w="57" w:type="dxa"/>
              <w:right w:w="57" w:type="dxa"/>
            </w:tcMar>
          </w:tcPr>
          <w:p w14:paraId="3479C1E4" w14:textId="5A056357" w:rsidR="00D56D66" w:rsidRPr="007D232B" w:rsidRDefault="00D56D66" w:rsidP="009218DA">
            <w:pPr>
              <w:ind w:left="170"/>
              <w:jc w:val="left"/>
              <w:rPr>
                <w:sz w:val="18"/>
                <w:szCs w:val="18"/>
              </w:rPr>
            </w:pPr>
            <w:r w:rsidRPr="009218DA">
              <w:rPr>
                <w:sz w:val="18"/>
                <w:szCs w:val="18"/>
              </w:rPr>
              <w:t>-14.56</w:t>
            </w:r>
          </w:p>
        </w:tc>
        <w:tc>
          <w:tcPr>
            <w:tcW w:w="1418" w:type="dxa"/>
            <w:tcMar>
              <w:left w:w="57" w:type="dxa"/>
              <w:right w:w="57" w:type="dxa"/>
            </w:tcMar>
          </w:tcPr>
          <w:p w14:paraId="3E101D52" w14:textId="1BC0DC65" w:rsidR="00D56D66" w:rsidRPr="007D232B" w:rsidRDefault="00D56D66" w:rsidP="009218DA">
            <w:pPr>
              <w:ind w:left="170"/>
              <w:jc w:val="left"/>
              <w:rPr>
                <w:sz w:val="18"/>
                <w:szCs w:val="18"/>
              </w:rPr>
            </w:pPr>
            <w:r w:rsidRPr="009218DA">
              <w:rPr>
                <w:sz w:val="18"/>
                <w:szCs w:val="18"/>
              </w:rPr>
              <w:t>(-17.27 to -11.55)</w:t>
            </w:r>
          </w:p>
        </w:tc>
        <w:tc>
          <w:tcPr>
            <w:tcW w:w="850" w:type="dxa"/>
            <w:tcMar>
              <w:left w:w="57" w:type="dxa"/>
              <w:right w:w="57" w:type="dxa"/>
            </w:tcMar>
          </w:tcPr>
          <w:p w14:paraId="0B41B64C" w14:textId="50D3D5B9" w:rsidR="00D56D66" w:rsidRPr="007D232B" w:rsidRDefault="00D56D66" w:rsidP="009218DA">
            <w:pPr>
              <w:ind w:left="170"/>
              <w:jc w:val="left"/>
              <w:rPr>
                <w:sz w:val="18"/>
                <w:szCs w:val="18"/>
              </w:rPr>
            </w:pPr>
            <w:r w:rsidRPr="009218DA">
              <w:rPr>
                <w:sz w:val="18"/>
                <w:szCs w:val="18"/>
              </w:rPr>
              <w:t>-21.49</w:t>
            </w:r>
          </w:p>
        </w:tc>
        <w:tc>
          <w:tcPr>
            <w:tcW w:w="1475" w:type="dxa"/>
            <w:tcMar>
              <w:left w:w="57" w:type="dxa"/>
              <w:right w:w="57" w:type="dxa"/>
            </w:tcMar>
          </w:tcPr>
          <w:p w14:paraId="72FB3D79" w14:textId="69BAFB89" w:rsidR="00D56D66" w:rsidRPr="007D232B" w:rsidRDefault="00D56D66" w:rsidP="009218DA">
            <w:pPr>
              <w:ind w:left="170"/>
              <w:jc w:val="left"/>
              <w:rPr>
                <w:sz w:val="18"/>
                <w:szCs w:val="18"/>
              </w:rPr>
            </w:pPr>
            <w:r w:rsidRPr="009218DA">
              <w:rPr>
                <w:sz w:val="18"/>
                <w:szCs w:val="18"/>
              </w:rPr>
              <w:t>(-26.19 to -16.5)</w:t>
            </w:r>
          </w:p>
        </w:tc>
      </w:tr>
      <w:tr w:rsidR="004E2360" w:rsidRPr="00DB7B60" w14:paraId="0F50AF26" w14:textId="77777777" w:rsidTr="00936A27">
        <w:trPr>
          <w:trHeight w:val="284"/>
        </w:trPr>
        <w:tc>
          <w:tcPr>
            <w:tcW w:w="3402" w:type="dxa"/>
            <w:tcBorders>
              <w:bottom w:val="single" w:sz="12" w:space="0" w:color="000000"/>
            </w:tcBorders>
            <w:tcMar>
              <w:left w:w="57" w:type="dxa"/>
              <w:right w:w="57" w:type="dxa"/>
            </w:tcMar>
            <w:vAlign w:val="center"/>
          </w:tcPr>
          <w:p w14:paraId="5B7ACD0D" w14:textId="77777777" w:rsidR="004E2360" w:rsidRDefault="004E2360" w:rsidP="004E2360">
            <w:pPr>
              <w:ind w:left="57"/>
              <w:jc w:val="left"/>
              <w:rPr>
                <w:b/>
                <w:bCs/>
                <w:i/>
                <w:iCs/>
                <w:sz w:val="18"/>
                <w:szCs w:val="18"/>
              </w:rPr>
            </w:pPr>
            <w:r w:rsidRPr="00DC768F">
              <w:rPr>
                <w:b/>
                <w:bCs/>
                <w:i/>
                <w:iCs/>
                <w:sz w:val="18"/>
                <w:szCs w:val="18"/>
              </w:rPr>
              <w:t>Net Government position</w:t>
            </w:r>
            <w:r>
              <w:rPr>
                <w:b/>
                <w:bCs/>
                <w:i/>
                <w:iCs/>
                <w:sz w:val="18"/>
                <w:szCs w:val="18"/>
              </w:rPr>
              <w:t xml:space="preserve"> </w:t>
            </w:r>
          </w:p>
          <w:p w14:paraId="11194B7C" w14:textId="77777777" w:rsidR="004E2360" w:rsidRPr="00DC768F" w:rsidRDefault="004E2360" w:rsidP="004E2360">
            <w:pPr>
              <w:ind w:left="57"/>
              <w:jc w:val="left"/>
              <w:rPr>
                <w:b/>
                <w:bCs/>
                <w:i/>
                <w:iCs/>
                <w:sz w:val="18"/>
                <w:szCs w:val="18"/>
              </w:rPr>
            </w:pPr>
            <w:r>
              <w:rPr>
                <w:b/>
                <w:bCs/>
                <w:i/>
                <w:iCs/>
                <w:sz w:val="18"/>
                <w:szCs w:val="18"/>
              </w:rPr>
              <w:t>(</w:t>
            </w:r>
            <w:proofErr w:type="gramStart"/>
            <w:r>
              <w:rPr>
                <w:b/>
                <w:bCs/>
                <w:i/>
                <w:iCs/>
                <w:sz w:val="18"/>
                <w:szCs w:val="18"/>
              </w:rPr>
              <w:t>revenue</w:t>
            </w:r>
            <w:proofErr w:type="gramEnd"/>
            <w:r>
              <w:rPr>
                <w:b/>
                <w:bCs/>
                <w:i/>
                <w:iCs/>
                <w:sz w:val="18"/>
                <w:szCs w:val="18"/>
              </w:rPr>
              <w:t xml:space="preserve"> – expenditure)</w:t>
            </w:r>
          </w:p>
        </w:tc>
        <w:tc>
          <w:tcPr>
            <w:tcW w:w="993" w:type="dxa"/>
            <w:tcBorders>
              <w:bottom w:val="single" w:sz="12" w:space="0" w:color="000000"/>
            </w:tcBorders>
            <w:tcMar>
              <w:left w:w="57" w:type="dxa"/>
              <w:right w:w="57" w:type="dxa"/>
            </w:tcMar>
          </w:tcPr>
          <w:p w14:paraId="12718CC5" w14:textId="36498235" w:rsidR="004E2360" w:rsidRPr="007D232B" w:rsidRDefault="004E2360" w:rsidP="009218DA">
            <w:pPr>
              <w:ind w:left="170"/>
              <w:jc w:val="left"/>
              <w:rPr>
                <w:sz w:val="18"/>
                <w:szCs w:val="18"/>
              </w:rPr>
            </w:pPr>
            <w:r w:rsidRPr="009218DA">
              <w:rPr>
                <w:sz w:val="18"/>
                <w:szCs w:val="18"/>
              </w:rPr>
              <w:t>-4.82</w:t>
            </w:r>
          </w:p>
        </w:tc>
        <w:tc>
          <w:tcPr>
            <w:tcW w:w="1559" w:type="dxa"/>
            <w:tcBorders>
              <w:bottom w:val="single" w:sz="12" w:space="0" w:color="000000"/>
            </w:tcBorders>
            <w:tcMar>
              <w:left w:w="57" w:type="dxa"/>
              <w:right w:w="57" w:type="dxa"/>
            </w:tcMar>
          </w:tcPr>
          <w:p w14:paraId="2932284D" w14:textId="3D14F4C2" w:rsidR="004E2360" w:rsidRPr="007D232B" w:rsidRDefault="004E2360" w:rsidP="009218DA">
            <w:pPr>
              <w:ind w:left="170"/>
              <w:jc w:val="left"/>
              <w:rPr>
                <w:sz w:val="18"/>
                <w:szCs w:val="18"/>
              </w:rPr>
            </w:pPr>
            <w:r w:rsidRPr="009218DA">
              <w:rPr>
                <w:sz w:val="18"/>
                <w:szCs w:val="18"/>
              </w:rPr>
              <w:t>(-5.83 to -3.73)</w:t>
            </w:r>
          </w:p>
        </w:tc>
        <w:tc>
          <w:tcPr>
            <w:tcW w:w="850" w:type="dxa"/>
            <w:tcBorders>
              <w:bottom w:val="single" w:sz="12" w:space="0" w:color="000000"/>
            </w:tcBorders>
            <w:tcMar>
              <w:left w:w="57" w:type="dxa"/>
              <w:right w:w="57" w:type="dxa"/>
            </w:tcMar>
          </w:tcPr>
          <w:p w14:paraId="0440D76F" w14:textId="67FE9795" w:rsidR="004E2360" w:rsidRPr="007D232B" w:rsidRDefault="004E2360" w:rsidP="009218DA">
            <w:pPr>
              <w:ind w:left="170"/>
              <w:jc w:val="left"/>
              <w:rPr>
                <w:sz w:val="18"/>
                <w:szCs w:val="18"/>
              </w:rPr>
            </w:pPr>
            <w:r w:rsidRPr="009218DA">
              <w:rPr>
                <w:sz w:val="18"/>
                <w:szCs w:val="18"/>
              </w:rPr>
              <w:t>-5.55</w:t>
            </w:r>
          </w:p>
        </w:tc>
        <w:tc>
          <w:tcPr>
            <w:tcW w:w="1418" w:type="dxa"/>
            <w:tcBorders>
              <w:bottom w:val="single" w:sz="12" w:space="0" w:color="000000"/>
            </w:tcBorders>
            <w:tcMar>
              <w:left w:w="57" w:type="dxa"/>
              <w:right w:w="57" w:type="dxa"/>
            </w:tcMar>
          </w:tcPr>
          <w:p w14:paraId="46957F69" w14:textId="2D0A188E" w:rsidR="004E2360" w:rsidRPr="007D232B" w:rsidRDefault="004E2360" w:rsidP="009218DA">
            <w:pPr>
              <w:ind w:left="170"/>
              <w:jc w:val="left"/>
              <w:rPr>
                <w:sz w:val="18"/>
                <w:szCs w:val="18"/>
              </w:rPr>
            </w:pPr>
            <w:r w:rsidRPr="009218DA">
              <w:rPr>
                <w:sz w:val="18"/>
                <w:szCs w:val="18"/>
              </w:rPr>
              <w:t>(-8.14 to -2.85)</w:t>
            </w:r>
          </w:p>
        </w:tc>
        <w:tc>
          <w:tcPr>
            <w:tcW w:w="850" w:type="dxa"/>
            <w:tcBorders>
              <w:bottom w:val="single" w:sz="12" w:space="0" w:color="000000"/>
            </w:tcBorders>
            <w:tcMar>
              <w:left w:w="57" w:type="dxa"/>
              <w:right w:w="57" w:type="dxa"/>
            </w:tcMar>
          </w:tcPr>
          <w:p w14:paraId="7045C0EC" w14:textId="775CC8DD" w:rsidR="004E2360" w:rsidRPr="007D232B" w:rsidRDefault="004E2360" w:rsidP="009218DA">
            <w:pPr>
              <w:ind w:left="170"/>
              <w:jc w:val="left"/>
              <w:rPr>
                <w:sz w:val="18"/>
                <w:szCs w:val="18"/>
              </w:rPr>
            </w:pPr>
            <w:r w:rsidRPr="009218DA">
              <w:rPr>
                <w:sz w:val="18"/>
                <w:szCs w:val="18"/>
              </w:rPr>
              <w:t>0.38</w:t>
            </w:r>
          </w:p>
        </w:tc>
        <w:tc>
          <w:tcPr>
            <w:tcW w:w="1475" w:type="dxa"/>
            <w:tcBorders>
              <w:bottom w:val="single" w:sz="12" w:space="0" w:color="000000"/>
            </w:tcBorders>
            <w:tcMar>
              <w:left w:w="57" w:type="dxa"/>
              <w:right w:w="57" w:type="dxa"/>
            </w:tcMar>
          </w:tcPr>
          <w:p w14:paraId="3F071F83" w14:textId="3D92B8DA" w:rsidR="004E2360" w:rsidRPr="007D232B" w:rsidRDefault="004E2360" w:rsidP="009218DA">
            <w:pPr>
              <w:ind w:left="170"/>
              <w:jc w:val="left"/>
              <w:rPr>
                <w:sz w:val="18"/>
                <w:szCs w:val="18"/>
              </w:rPr>
            </w:pPr>
            <w:r w:rsidRPr="009218DA">
              <w:rPr>
                <w:sz w:val="18"/>
                <w:szCs w:val="18"/>
              </w:rPr>
              <w:t>(-4.48 to 5.28)</w:t>
            </w:r>
          </w:p>
        </w:tc>
      </w:tr>
      <w:tr w:rsidR="00FC06AF" w:rsidRPr="00DB7B60" w14:paraId="4CB64FD9" w14:textId="77777777" w:rsidTr="00C007F2">
        <w:trPr>
          <w:trHeight w:val="284"/>
        </w:trPr>
        <w:tc>
          <w:tcPr>
            <w:tcW w:w="3402" w:type="dxa"/>
            <w:tcBorders>
              <w:top w:val="single" w:sz="12" w:space="0" w:color="000000"/>
              <w:bottom w:val="single" w:sz="12" w:space="0" w:color="000000"/>
            </w:tcBorders>
            <w:tcMar>
              <w:left w:w="57" w:type="dxa"/>
              <w:right w:w="57" w:type="dxa"/>
            </w:tcMar>
            <w:vAlign w:val="center"/>
          </w:tcPr>
          <w:p w14:paraId="255BEE04" w14:textId="77777777" w:rsidR="00FC06AF" w:rsidRPr="00DB7B60" w:rsidRDefault="00FC06AF" w:rsidP="00C007F2">
            <w:pPr>
              <w:jc w:val="left"/>
              <w:rPr>
                <w:b/>
                <w:bCs/>
                <w:sz w:val="18"/>
                <w:szCs w:val="18"/>
              </w:rPr>
            </w:pPr>
            <w:r w:rsidRPr="00DB7B60">
              <w:rPr>
                <w:b/>
                <w:bCs/>
                <w:sz w:val="18"/>
                <w:szCs w:val="18"/>
              </w:rPr>
              <w:t>Citizen perspective</w:t>
            </w:r>
          </w:p>
        </w:tc>
        <w:tc>
          <w:tcPr>
            <w:tcW w:w="993" w:type="dxa"/>
            <w:tcBorders>
              <w:top w:val="single" w:sz="12" w:space="0" w:color="000000"/>
              <w:bottom w:val="single" w:sz="12" w:space="0" w:color="000000"/>
            </w:tcBorders>
            <w:tcMar>
              <w:left w:w="57" w:type="dxa"/>
              <w:right w:w="57" w:type="dxa"/>
            </w:tcMar>
            <w:vAlign w:val="center"/>
          </w:tcPr>
          <w:p w14:paraId="52C6E58B" w14:textId="77777777" w:rsidR="00FC06AF" w:rsidRPr="007D232B" w:rsidRDefault="00FC06AF" w:rsidP="009218DA">
            <w:pPr>
              <w:ind w:left="170"/>
              <w:jc w:val="left"/>
              <w:rPr>
                <w:sz w:val="18"/>
                <w:szCs w:val="18"/>
              </w:rPr>
            </w:pPr>
          </w:p>
        </w:tc>
        <w:tc>
          <w:tcPr>
            <w:tcW w:w="1559" w:type="dxa"/>
            <w:tcBorders>
              <w:top w:val="single" w:sz="12" w:space="0" w:color="000000"/>
              <w:bottom w:val="single" w:sz="12" w:space="0" w:color="000000"/>
            </w:tcBorders>
            <w:tcMar>
              <w:left w:w="57" w:type="dxa"/>
              <w:right w:w="57" w:type="dxa"/>
            </w:tcMar>
            <w:vAlign w:val="center"/>
          </w:tcPr>
          <w:p w14:paraId="3360FA63" w14:textId="77777777" w:rsidR="00FC06AF" w:rsidRPr="007D232B" w:rsidRDefault="00FC06AF" w:rsidP="009218DA">
            <w:pPr>
              <w:ind w:left="170"/>
              <w:jc w:val="left"/>
              <w:rPr>
                <w:sz w:val="18"/>
                <w:szCs w:val="18"/>
              </w:rPr>
            </w:pPr>
          </w:p>
        </w:tc>
        <w:tc>
          <w:tcPr>
            <w:tcW w:w="850" w:type="dxa"/>
            <w:tcBorders>
              <w:top w:val="single" w:sz="12" w:space="0" w:color="000000"/>
              <w:bottom w:val="single" w:sz="12" w:space="0" w:color="000000"/>
            </w:tcBorders>
            <w:tcMar>
              <w:left w:w="57" w:type="dxa"/>
              <w:right w:w="57" w:type="dxa"/>
            </w:tcMar>
            <w:vAlign w:val="center"/>
          </w:tcPr>
          <w:p w14:paraId="2A72693B" w14:textId="77777777" w:rsidR="00FC06AF" w:rsidRPr="007D232B" w:rsidRDefault="00FC06AF" w:rsidP="009218DA">
            <w:pPr>
              <w:ind w:left="170"/>
              <w:jc w:val="left"/>
              <w:rPr>
                <w:sz w:val="18"/>
                <w:szCs w:val="18"/>
              </w:rPr>
            </w:pPr>
          </w:p>
        </w:tc>
        <w:tc>
          <w:tcPr>
            <w:tcW w:w="1418" w:type="dxa"/>
            <w:tcBorders>
              <w:top w:val="single" w:sz="12" w:space="0" w:color="000000"/>
              <w:bottom w:val="single" w:sz="12" w:space="0" w:color="000000"/>
            </w:tcBorders>
            <w:tcMar>
              <w:left w:w="57" w:type="dxa"/>
              <w:right w:w="57" w:type="dxa"/>
            </w:tcMar>
            <w:vAlign w:val="center"/>
          </w:tcPr>
          <w:p w14:paraId="023BB7EE" w14:textId="77777777" w:rsidR="00FC06AF" w:rsidRPr="007D232B" w:rsidRDefault="00FC06AF" w:rsidP="009218DA">
            <w:pPr>
              <w:ind w:left="170"/>
              <w:jc w:val="left"/>
              <w:rPr>
                <w:sz w:val="18"/>
                <w:szCs w:val="18"/>
              </w:rPr>
            </w:pPr>
          </w:p>
        </w:tc>
        <w:tc>
          <w:tcPr>
            <w:tcW w:w="850" w:type="dxa"/>
            <w:tcBorders>
              <w:top w:val="single" w:sz="12" w:space="0" w:color="000000"/>
              <w:bottom w:val="single" w:sz="12" w:space="0" w:color="000000"/>
            </w:tcBorders>
            <w:tcMar>
              <w:left w:w="57" w:type="dxa"/>
              <w:right w:w="57" w:type="dxa"/>
            </w:tcMar>
            <w:vAlign w:val="center"/>
          </w:tcPr>
          <w:p w14:paraId="480BE17A" w14:textId="77777777" w:rsidR="00FC06AF" w:rsidRPr="007D232B" w:rsidRDefault="00FC06AF" w:rsidP="009218DA">
            <w:pPr>
              <w:ind w:left="170"/>
              <w:jc w:val="left"/>
              <w:rPr>
                <w:sz w:val="18"/>
                <w:szCs w:val="18"/>
              </w:rPr>
            </w:pPr>
          </w:p>
        </w:tc>
        <w:tc>
          <w:tcPr>
            <w:tcW w:w="1475" w:type="dxa"/>
            <w:tcBorders>
              <w:top w:val="single" w:sz="12" w:space="0" w:color="000000"/>
              <w:bottom w:val="single" w:sz="12" w:space="0" w:color="000000"/>
            </w:tcBorders>
            <w:tcMar>
              <w:left w:w="57" w:type="dxa"/>
              <w:right w:w="57" w:type="dxa"/>
            </w:tcMar>
            <w:vAlign w:val="center"/>
          </w:tcPr>
          <w:p w14:paraId="0AD5F21F" w14:textId="77777777" w:rsidR="00FC06AF" w:rsidRPr="007D232B" w:rsidRDefault="00FC06AF" w:rsidP="009218DA">
            <w:pPr>
              <w:ind w:left="170"/>
              <w:jc w:val="left"/>
              <w:rPr>
                <w:sz w:val="18"/>
                <w:szCs w:val="18"/>
              </w:rPr>
            </w:pPr>
          </w:p>
        </w:tc>
      </w:tr>
      <w:tr w:rsidR="009218DA" w:rsidRPr="00DB7B60" w14:paraId="39D12347" w14:textId="77777777" w:rsidTr="001D4CBD">
        <w:trPr>
          <w:trHeight w:val="284"/>
        </w:trPr>
        <w:tc>
          <w:tcPr>
            <w:tcW w:w="3402" w:type="dxa"/>
            <w:tcBorders>
              <w:top w:val="single" w:sz="12" w:space="0" w:color="000000"/>
            </w:tcBorders>
            <w:tcMar>
              <w:left w:w="57" w:type="dxa"/>
              <w:right w:w="57" w:type="dxa"/>
            </w:tcMar>
            <w:vAlign w:val="center"/>
          </w:tcPr>
          <w:p w14:paraId="092227B4" w14:textId="77777777" w:rsidR="009218DA" w:rsidRPr="00DB7B60" w:rsidRDefault="009218DA" w:rsidP="009218DA">
            <w:pPr>
              <w:ind w:left="170"/>
              <w:jc w:val="left"/>
              <w:rPr>
                <w:sz w:val="18"/>
                <w:szCs w:val="18"/>
              </w:rPr>
            </w:pPr>
            <w:r w:rsidRPr="00DB7B60">
              <w:rPr>
                <w:sz w:val="18"/>
                <w:szCs w:val="18"/>
              </w:rPr>
              <w:t>Population income after tax</w:t>
            </w:r>
          </w:p>
        </w:tc>
        <w:tc>
          <w:tcPr>
            <w:tcW w:w="993" w:type="dxa"/>
            <w:tcBorders>
              <w:top w:val="single" w:sz="12" w:space="0" w:color="000000"/>
            </w:tcBorders>
            <w:tcMar>
              <w:left w:w="57" w:type="dxa"/>
              <w:right w:w="57" w:type="dxa"/>
            </w:tcMar>
          </w:tcPr>
          <w:p w14:paraId="7E59DF22" w14:textId="395F70FC" w:rsidR="009218DA" w:rsidRPr="007D232B" w:rsidRDefault="009218DA" w:rsidP="009218DA">
            <w:pPr>
              <w:ind w:left="170"/>
              <w:jc w:val="left"/>
              <w:rPr>
                <w:sz w:val="18"/>
                <w:szCs w:val="18"/>
              </w:rPr>
            </w:pPr>
            <w:r w:rsidRPr="009218DA">
              <w:rPr>
                <w:sz w:val="18"/>
                <w:szCs w:val="18"/>
              </w:rPr>
              <w:t>1.05</w:t>
            </w:r>
          </w:p>
        </w:tc>
        <w:tc>
          <w:tcPr>
            <w:tcW w:w="1559" w:type="dxa"/>
            <w:tcBorders>
              <w:top w:val="single" w:sz="12" w:space="0" w:color="000000"/>
            </w:tcBorders>
            <w:tcMar>
              <w:left w:w="57" w:type="dxa"/>
              <w:right w:w="57" w:type="dxa"/>
            </w:tcMar>
          </w:tcPr>
          <w:p w14:paraId="58D204C6" w14:textId="1D7E3B7B" w:rsidR="009218DA" w:rsidRPr="007D232B" w:rsidRDefault="009218DA" w:rsidP="009218DA">
            <w:pPr>
              <w:ind w:left="170"/>
              <w:jc w:val="left"/>
              <w:rPr>
                <w:sz w:val="18"/>
                <w:szCs w:val="18"/>
              </w:rPr>
            </w:pPr>
            <w:r w:rsidRPr="009218DA">
              <w:rPr>
                <w:sz w:val="18"/>
                <w:szCs w:val="18"/>
              </w:rPr>
              <w:t>(0.88 to 1.24)</w:t>
            </w:r>
          </w:p>
        </w:tc>
        <w:tc>
          <w:tcPr>
            <w:tcW w:w="850" w:type="dxa"/>
            <w:tcBorders>
              <w:top w:val="single" w:sz="12" w:space="0" w:color="000000"/>
            </w:tcBorders>
            <w:tcMar>
              <w:left w:w="57" w:type="dxa"/>
              <w:right w:w="57" w:type="dxa"/>
            </w:tcMar>
          </w:tcPr>
          <w:p w14:paraId="0C0E0FA7" w14:textId="0EBC9F8D" w:rsidR="009218DA" w:rsidRPr="007D232B" w:rsidRDefault="009218DA" w:rsidP="009218DA">
            <w:pPr>
              <w:ind w:left="170"/>
              <w:jc w:val="left"/>
              <w:rPr>
                <w:sz w:val="18"/>
                <w:szCs w:val="18"/>
              </w:rPr>
            </w:pPr>
            <w:r w:rsidRPr="009218DA">
              <w:rPr>
                <w:sz w:val="18"/>
                <w:szCs w:val="18"/>
              </w:rPr>
              <w:t>7.83</w:t>
            </w:r>
          </w:p>
        </w:tc>
        <w:tc>
          <w:tcPr>
            <w:tcW w:w="1418" w:type="dxa"/>
            <w:tcBorders>
              <w:top w:val="single" w:sz="12" w:space="0" w:color="000000"/>
            </w:tcBorders>
            <w:tcMar>
              <w:left w:w="57" w:type="dxa"/>
              <w:right w:w="57" w:type="dxa"/>
            </w:tcMar>
          </w:tcPr>
          <w:p w14:paraId="127B267A" w14:textId="75418ABC" w:rsidR="009218DA" w:rsidRPr="007D232B" w:rsidRDefault="009218DA" w:rsidP="009218DA">
            <w:pPr>
              <w:ind w:left="170"/>
              <w:jc w:val="left"/>
              <w:rPr>
                <w:sz w:val="18"/>
                <w:szCs w:val="18"/>
              </w:rPr>
            </w:pPr>
            <w:r w:rsidRPr="009218DA">
              <w:rPr>
                <w:sz w:val="18"/>
                <w:szCs w:val="18"/>
              </w:rPr>
              <w:t>(6.55 to 9.29)</w:t>
            </w:r>
          </w:p>
        </w:tc>
        <w:tc>
          <w:tcPr>
            <w:tcW w:w="850" w:type="dxa"/>
            <w:tcBorders>
              <w:top w:val="single" w:sz="12" w:space="0" w:color="000000"/>
            </w:tcBorders>
            <w:tcMar>
              <w:left w:w="57" w:type="dxa"/>
              <w:right w:w="57" w:type="dxa"/>
            </w:tcMar>
          </w:tcPr>
          <w:p w14:paraId="197FE1A0" w14:textId="6E743612" w:rsidR="009218DA" w:rsidRPr="007D232B" w:rsidRDefault="009218DA" w:rsidP="009218DA">
            <w:pPr>
              <w:ind w:left="170"/>
              <w:jc w:val="left"/>
              <w:rPr>
                <w:sz w:val="18"/>
                <w:szCs w:val="18"/>
              </w:rPr>
            </w:pPr>
            <w:r w:rsidRPr="009218DA">
              <w:rPr>
                <w:sz w:val="18"/>
                <w:szCs w:val="18"/>
              </w:rPr>
              <w:t>21.28</w:t>
            </w:r>
          </w:p>
        </w:tc>
        <w:tc>
          <w:tcPr>
            <w:tcW w:w="1475" w:type="dxa"/>
            <w:tcBorders>
              <w:top w:val="single" w:sz="12" w:space="0" w:color="000000"/>
            </w:tcBorders>
            <w:tcMar>
              <w:left w:w="57" w:type="dxa"/>
              <w:right w:w="57" w:type="dxa"/>
            </w:tcMar>
          </w:tcPr>
          <w:p w14:paraId="59FF7FA8" w14:textId="7B4B4067" w:rsidR="009218DA" w:rsidRPr="007D232B" w:rsidRDefault="009218DA" w:rsidP="009218DA">
            <w:pPr>
              <w:ind w:left="170"/>
              <w:jc w:val="left"/>
              <w:rPr>
                <w:sz w:val="18"/>
                <w:szCs w:val="18"/>
              </w:rPr>
            </w:pPr>
            <w:r w:rsidRPr="009218DA">
              <w:rPr>
                <w:sz w:val="18"/>
                <w:szCs w:val="18"/>
              </w:rPr>
              <w:t>(17.76 to 25.29)</w:t>
            </w:r>
          </w:p>
        </w:tc>
      </w:tr>
      <w:tr w:rsidR="009218DA" w:rsidRPr="00DB7B60" w14:paraId="75824375" w14:textId="77777777" w:rsidTr="001D4CBD">
        <w:trPr>
          <w:trHeight w:val="284"/>
        </w:trPr>
        <w:tc>
          <w:tcPr>
            <w:tcW w:w="3402" w:type="dxa"/>
            <w:tcBorders>
              <w:bottom w:val="single" w:sz="4" w:space="0" w:color="auto"/>
            </w:tcBorders>
            <w:tcMar>
              <w:left w:w="57" w:type="dxa"/>
              <w:right w:w="57" w:type="dxa"/>
            </w:tcMar>
            <w:vAlign w:val="center"/>
          </w:tcPr>
          <w:p w14:paraId="27432D11" w14:textId="77777777" w:rsidR="009218DA" w:rsidRPr="00DB7B60" w:rsidRDefault="009218DA" w:rsidP="009218DA">
            <w:pPr>
              <w:ind w:left="170"/>
              <w:jc w:val="left"/>
              <w:rPr>
                <w:sz w:val="18"/>
                <w:szCs w:val="18"/>
              </w:rPr>
            </w:pPr>
            <w:r>
              <w:rPr>
                <w:sz w:val="18"/>
                <w:szCs w:val="18"/>
              </w:rPr>
              <w:t>Savings from cessation (reduced tobacco expenditure)</w:t>
            </w:r>
          </w:p>
        </w:tc>
        <w:tc>
          <w:tcPr>
            <w:tcW w:w="993" w:type="dxa"/>
            <w:tcBorders>
              <w:bottom w:val="single" w:sz="4" w:space="0" w:color="auto"/>
            </w:tcBorders>
            <w:tcMar>
              <w:left w:w="57" w:type="dxa"/>
              <w:right w:w="57" w:type="dxa"/>
            </w:tcMar>
          </w:tcPr>
          <w:p w14:paraId="5724A996" w14:textId="10F2B6F7" w:rsidR="009218DA" w:rsidRPr="007D232B" w:rsidRDefault="009218DA" w:rsidP="009218DA">
            <w:pPr>
              <w:ind w:left="170"/>
              <w:jc w:val="left"/>
              <w:rPr>
                <w:sz w:val="18"/>
                <w:szCs w:val="18"/>
              </w:rPr>
            </w:pPr>
            <w:r w:rsidRPr="009218DA">
              <w:rPr>
                <w:sz w:val="18"/>
                <w:szCs w:val="18"/>
              </w:rPr>
              <w:t>13.94</w:t>
            </w:r>
          </w:p>
        </w:tc>
        <w:tc>
          <w:tcPr>
            <w:tcW w:w="1559" w:type="dxa"/>
            <w:tcBorders>
              <w:bottom w:val="single" w:sz="4" w:space="0" w:color="auto"/>
            </w:tcBorders>
            <w:tcMar>
              <w:left w:w="57" w:type="dxa"/>
              <w:right w:w="57" w:type="dxa"/>
            </w:tcMar>
          </w:tcPr>
          <w:p w14:paraId="348AB31D" w14:textId="4A61EBD6" w:rsidR="009218DA" w:rsidRPr="007D232B" w:rsidRDefault="009218DA" w:rsidP="009218DA">
            <w:pPr>
              <w:ind w:left="170"/>
              <w:jc w:val="left"/>
              <w:rPr>
                <w:sz w:val="18"/>
                <w:szCs w:val="18"/>
              </w:rPr>
            </w:pPr>
            <w:r w:rsidRPr="009218DA">
              <w:rPr>
                <w:sz w:val="18"/>
                <w:szCs w:val="18"/>
              </w:rPr>
              <w:t>(16.35 to 11.29)</w:t>
            </w:r>
          </w:p>
        </w:tc>
        <w:tc>
          <w:tcPr>
            <w:tcW w:w="850" w:type="dxa"/>
            <w:tcBorders>
              <w:bottom w:val="single" w:sz="4" w:space="0" w:color="auto"/>
            </w:tcBorders>
            <w:tcMar>
              <w:left w:w="57" w:type="dxa"/>
              <w:right w:w="57" w:type="dxa"/>
            </w:tcMar>
          </w:tcPr>
          <w:p w14:paraId="48062E49" w14:textId="29A13CDF" w:rsidR="009218DA" w:rsidRPr="007D232B" w:rsidRDefault="009218DA" w:rsidP="009218DA">
            <w:pPr>
              <w:ind w:left="170"/>
              <w:jc w:val="left"/>
              <w:rPr>
                <w:sz w:val="18"/>
                <w:szCs w:val="18"/>
              </w:rPr>
            </w:pPr>
            <w:r w:rsidRPr="009218DA">
              <w:rPr>
                <w:sz w:val="18"/>
                <w:szCs w:val="18"/>
              </w:rPr>
              <w:t>31.54</w:t>
            </w:r>
          </w:p>
        </w:tc>
        <w:tc>
          <w:tcPr>
            <w:tcW w:w="1418" w:type="dxa"/>
            <w:tcBorders>
              <w:bottom w:val="single" w:sz="4" w:space="0" w:color="auto"/>
            </w:tcBorders>
            <w:tcMar>
              <w:left w:w="57" w:type="dxa"/>
              <w:right w:w="57" w:type="dxa"/>
            </w:tcMar>
          </w:tcPr>
          <w:p w14:paraId="302A7CB0" w14:textId="29A8FF78" w:rsidR="009218DA" w:rsidRPr="007D232B" w:rsidRDefault="009218DA" w:rsidP="009218DA">
            <w:pPr>
              <w:ind w:left="170"/>
              <w:jc w:val="left"/>
              <w:rPr>
                <w:sz w:val="18"/>
                <w:szCs w:val="18"/>
              </w:rPr>
            </w:pPr>
            <w:r w:rsidRPr="009218DA">
              <w:rPr>
                <w:sz w:val="18"/>
                <w:szCs w:val="18"/>
              </w:rPr>
              <w:t>(37.39 to 25.02)</w:t>
            </w:r>
          </w:p>
        </w:tc>
        <w:tc>
          <w:tcPr>
            <w:tcW w:w="850" w:type="dxa"/>
            <w:tcBorders>
              <w:bottom w:val="single" w:sz="4" w:space="0" w:color="auto"/>
            </w:tcBorders>
            <w:tcMar>
              <w:left w:w="57" w:type="dxa"/>
              <w:right w:w="57" w:type="dxa"/>
            </w:tcMar>
          </w:tcPr>
          <w:p w14:paraId="68FE416E" w14:textId="535D6ADF" w:rsidR="009218DA" w:rsidRPr="007D232B" w:rsidRDefault="009218DA" w:rsidP="009218DA">
            <w:pPr>
              <w:ind w:left="170"/>
              <w:jc w:val="left"/>
              <w:rPr>
                <w:sz w:val="18"/>
                <w:szCs w:val="18"/>
              </w:rPr>
            </w:pPr>
            <w:r w:rsidRPr="009218DA">
              <w:rPr>
                <w:sz w:val="18"/>
                <w:szCs w:val="18"/>
              </w:rPr>
              <w:t>46.52</w:t>
            </w:r>
          </w:p>
        </w:tc>
        <w:tc>
          <w:tcPr>
            <w:tcW w:w="1475" w:type="dxa"/>
            <w:tcBorders>
              <w:bottom w:val="single" w:sz="4" w:space="0" w:color="auto"/>
            </w:tcBorders>
            <w:tcMar>
              <w:left w:w="57" w:type="dxa"/>
              <w:right w:w="57" w:type="dxa"/>
            </w:tcMar>
          </w:tcPr>
          <w:p w14:paraId="7D20FC76" w14:textId="41D9C367" w:rsidR="009218DA" w:rsidRPr="007D232B" w:rsidRDefault="009218DA" w:rsidP="009218DA">
            <w:pPr>
              <w:ind w:left="170"/>
              <w:jc w:val="left"/>
              <w:rPr>
                <w:sz w:val="18"/>
                <w:szCs w:val="18"/>
              </w:rPr>
            </w:pPr>
            <w:r w:rsidRPr="009218DA">
              <w:rPr>
                <w:sz w:val="18"/>
                <w:szCs w:val="18"/>
              </w:rPr>
              <w:t>(56.71 to 35.72)</w:t>
            </w:r>
          </w:p>
        </w:tc>
      </w:tr>
      <w:tr w:rsidR="009218DA" w:rsidRPr="00DB7B60" w14:paraId="5CD4112D" w14:textId="77777777" w:rsidTr="001D4CBD">
        <w:trPr>
          <w:trHeight w:val="284"/>
        </w:trPr>
        <w:tc>
          <w:tcPr>
            <w:tcW w:w="3402" w:type="dxa"/>
            <w:tcBorders>
              <w:top w:val="single" w:sz="4" w:space="0" w:color="auto"/>
              <w:bottom w:val="single" w:sz="18" w:space="0" w:color="auto"/>
            </w:tcBorders>
            <w:tcMar>
              <w:left w:w="57" w:type="dxa"/>
              <w:right w:w="57" w:type="dxa"/>
            </w:tcMar>
            <w:vAlign w:val="center"/>
          </w:tcPr>
          <w:p w14:paraId="2162E4CE" w14:textId="77777777" w:rsidR="009218DA" w:rsidRPr="00DB7B60" w:rsidRDefault="009218DA" w:rsidP="009218DA">
            <w:pPr>
              <w:ind w:left="170"/>
              <w:jc w:val="left"/>
              <w:rPr>
                <w:sz w:val="18"/>
                <w:szCs w:val="18"/>
              </w:rPr>
            </w:pPr>
            <w:r w:rsidRPr="00DB7B60">
              <w:rPr>
                <w:sz w:val="18"/>
                <w:szCs w:val="18"/>
              </w:rPr>
              <w:t>Population income after tax + savings from cessation</w:t>
            </w:r>
          </w:p>
        </w:tc>
        <w:tc>
          <w:tcPr>
            <w:tcW w:w="993" w:type="dxa"/>
            <w:tcBorders>
              <w:top w:val="single" w:sz="4" w:space="0" w:color="auto"/>
              <w:bottom w:val="single" w:sz="18" w:space="0" w:color="auto"/>
            </w:tcBorders>
            <w:tcMar>
              <w:left w:w="57" w:type="dxa"/>
              <w:right w:w="57" w:type="dxa"/>
            </w:tcMar>
          </w:tcPr>
          <w:p w14:paraId="69F06BB4" w14:textId="5A2A30D1" w:rsidR="009218DA" w:rsidRPr="007D232B" w:rsidRDefault="009218DA" w:rsidP="009218DA">
            <w:pPr>
              <w:ind w:left="170"/>
              <w:jc w:val="left"/>
              <w:rPr>
                <w:sz w:val="18"/>
                <w:szCs w:val="18"/>
              </w:rPr>
            </w:pPr>
            <w:r w:rsidRPr="009218DA">
              <w:rPr>
                <w:sz w:val="18"/>
                <w:szCs w:val="18"/>
              </w:rPr>
              <w:t>14.99</w:t>
            </w:r>
          </w:p>
        </w:tc>
        <w:tc>
          <w:tcPr>
            <w:tcW w:w="1559" w:type="dxa"/>
            <w:tcBorders>
              <w:top w:val="single" w:sz="4" w:space="0" w:color="auto"/>
              <w:bottom w:val="single" w:sz="18" w:space="0" w:color="auto"/>
            </w:tcBorders>
            <w:tcMar>
              <w:left w:w="57" w:type="dxa"/>
              <w:right w:w="57" w:type="dxa"/>
            </w:tcMar>
          </w:tcPr>
          <w:p w14:paraId="4760D36C" w14:textId="1F9F9912" w:rsidR="009218DA" w:rsidRPr="007D232B" w:rsidRDefault="009218DA" w:rsidP="009218DA">
            <w:pPr>
              <w:ind w:left="170"/>
              <w:jc w:val="left"/>
              <w:rPr>
                <w:sz w:val="18"/>
                <w:szCs w:val="18"/>
              </w:rPr>
            </w:pPr>
            <w:r w:rsidRPr="009218DA">
              <w:rPr>
                <w:sz w:val="18"/>
                <w:szCs w:val="18"/>
              </w:rPr>
              <w:t>(12.27 to 17.44)</w:t>
            </w:r>
          </w:p>
        </w:tc>
        <w:tc>
          <w:tcPr>
            <w:tcW w:w="850" w:type="dxa"/>
            <w:tcBorders>
              <w:top w:val="single" w:sz="4" w:space="0" w:color="auto"/>
              <w:bottom w:val="single" w:sz="18" w:space="0" w:color="auto"/>
            </w:tcBorders>
            <w:tcMar>
              <w:left w:w="57" w:type="dxa"/>
              <w:right w:w="57" w:type="dxa"/>
            </w:tcMar>
          </w:tcPr>
          <w:p w14:paraId="689BB9D0" w14:textId="48C00488" w:rsidR="009218DA" w:rsidRPr="007D232B" w:rsidRDefault="009218DA" w:rsidP="009218DA">
            <w:pPr>
              <w:ind w:left="170"/>
              <w:jc w:val="left"/>
              <w:rPr>
                <w:sz w:val="18"/>
                <w:szCs w:val="18"/>
              </w:rPr>
            </w:pPr>
            <w:r w:rsidRPr="009218DA">
              <w:rPr>
                <w:sz w:val="18"/>
                <w:szCs w:val="18"/>
              </w:rPr>
              <w:t>39.38</w:t>
            </w:r>
          </w:p>
        </w:tc>
        <w:tc>
          <w:tcPr>
            <w:tcW w:w="1418" w:type="dxa"/>
            <w:tcBorders>
              <w:top w:val="single" w:sz="4" w:space="0" w:color="auto"/>
              <w:bottom w:val="single" w:sz="18" w:space="0" w:color="auto"/>
            </w:tcBorders>
            <w:tcMar>
              <w:left w:w="57" w:type="dxa"/>
              <w:right w:w="57" w:type="dxa"/>
            </w:tcMar>
          </w:tcPr>
          <w:p w14:paraId="393449C3" w14:textId="097AA9B4" w:rsidR="009218DA" w:rsidRPr="007D232B" w:rsidRDefault="009218DA" w:rsidP="009218DA">
            <w:pPr>
              <w:ind w:left="170"/>
              <w:jc w:val="left"/>
              <w:rPr>
                <w:sz w:val="18"/>
                <w:szCs w:val="18"/>
              </w:rPr>
            </w:pPr>
            <w:r w:rsidRPr="009218DA">
              <w:rPr>
                <w:sz w:val="18"/>
                <w:szCs w:val="18"/>
              </w:rPr>
              <w:t>(32.43 to 45.67)</w:t>
            </w:r>
          </w:p>
        </w:tc>
        <w:tc>
          <w:tcPr>
            <w:tcW w:w="850" w:type="dxa"/>
            <w:tcBorders>
              <w:top w:val="single" w:sz="4" w:space="0" w:color="auto"/>
              <w:bottom w:val="single" w:sz="18" w:space="0" w:color="auto"/>
            </w:tcBorders>
            <w:tcMar>
              <w:left w:w="57" w:type="dxa"/>
              <w:right w:w="57" w:type="dxa"/>
            </w:tcMar>
          </w:tcPr>
          <w:p w14:paraId="25FE9894" w14:textId="41CD1F21" w:rsidR="009218DA" w:rsidRPr="007D232B" w:rsidRDefault="009218DA" w:rsidP="009218DA">
            <w:pPr>
              <w:ind w:left="170"/>
              <w:jc w:val="left"/>
              <w:rPr>
                <w:sz w:val="18"/>
                <w:szCs w:val="18"/>
              </w:rPr>
            </w:pPr>
            <w:r w:rsidRPr="009218DA">
              <w:rPr>
                <w:sz w:val="18"/>
                <w:szCs w:val="18"/>
              </w:rPr>
              <w:t>67.85</w:t>
            </w:r>
          </w:p>
        </w:tc>
        <w:tc>
          <w:tcPr>
            <w:tcW w:w="1475" w:type="dxa"/>
            <w:tcBorders>
              <w:top w:val="single" w:sz="4" w:space="0" w:color="auto"/>
              <w:bottom w:val="single" w:sz="18" w:space="0" w:color="auto"/>
            </w:tcBorders>
            <w:tcMar>
              <w:left w:w="57" w:type="dxa"/>
              <w:right w:w="57" w:type="dxa"/>
            </w:tcMar>
          </w:tcPr>
          <w:p w14:paraId="33303E55" w14:textId="75300C6D" w:rsidR="009218DA" w:rsidRPr="007D232B" w:rsidRDefault="009218DA" w:rsidP="009218DA">
            <w:pPr>
              <w:ind w:left="170"/>
              <w:jc w:val="left"/>
              <w:rPr>
                <w:sz w:val="18"/>
                <w:szCs w:val="18"/>
              </w:rPr>
            </w:pPr>
            <w:r w:rsidRPr="009218DA">
              <w:rPr>
                <w:sz w:val="18"/>
                <w:szCs w:val="18"/>
              </w:rPr>
              <w:t>(55.63 to 79.49)</w:t>
            </w:r>
          </w:p>
        </w:tc>
      </w:tr>
    </w:tbl>
    <w:p w14:paraId="40698EAF" w14:textId="77777777" w:rsidR="00C32752" w:rsidRDefault="00FC06AF" w:rsidP="00FC06AF">
      <w:pPr>
        <w:rPr>
          <w:sz w:val="18"/>
          <w:szCs w:val="18"/>
          <w:lang w:val="en-US"/>
        </w:rPr>
      </w:pPr>
      <w:r>
        <w:rPr>
          <w:sz w:val="18"/>
          <w:szCs w:val="18"/>
          <w:lang w:val="en-US"/>
        </w:rPr>
        <w:t xml:space="preserve">Note: </w:t>
      </w:r>
      <w:r w:rsidRPr="00752356">
        <w:rPr>
          <w:sz w:val="18"/>
          <w:szCs w:val="18"/>
          <w:lang w:val="en-US"/>
        </w:rPr>
        <w:t>2020 NZ$ converted to 2021 US$ using NZ-US OECD purchasing power parity of 1.4684.</w:t>
      </w:r>
    </w:p>
    <w:p w14:paraId="2C93AEF6" w14:textId="3C416D8A" w:rsidR="00C32752" w:rsidRPr="00752356" w:rsidRDefault="00C32752" w:rsidP="00C32752">
      <w:pPr>
        <w:rPr>
          <w:sz w:val="18"/>
          <w:szCs w:val="18"/>
          <w:lang w:val="en-US"/>
        </w:rPr>
      </w:pPr>
      <w:r>
        <w:rPr>
          <w:rFonts w:cstheme="minorHAnsi"/>
          <w:sz w:val="18"/>
          <w:szCs w:val="18"/>
          <w:lang w:val="en-US"/>
        </w:rPr>
        <w:t>†</w:t>
      </w:r>
      <w:r>
        <w:rPr>
          <w:sz w:val="18"/>
          <w:szCs w:val="18"/>
          <w:lang w:val="en-US"/>
        </w:rPr>
        <w:t xml:space="preserve"> i.e., includes estimate to left, as cumulative over time. </w:t>
      </w:r>
    </w:p>
    <w:p w14:paraId="4EA3E46E" w14:textId="66AAC58D" w:rsidR="00FC06AF" w:rsidRPr="00752356" w:rsidRDefault="00FC06AF" w:rsidP="00FC06AF">
      <w:pPr>
        <w:rPr>
          <w:sz w:val="18"/>
          <w:szCs w:val="18"/>
          <w:lang w:val="en-US"/>
        </w:rPr>
      </w:pPr>
      <w:r>
        <w:rPr>
          <w:sz w:val="18"/>
          <w:szCs w:val="18"/>
          <w:lang w:val="en-US"/>
        </w:rPr>
        <w:t xml:space="preserve"> </w:t>
      </w:r>
    </w:p>
    <w:p w14:paraId="6E369E75" w14:textId="24FEB462" w:rsidR="003406BE" w:rsidRDefault="003406BE" w:rsidP="006010D6">
      <w:pPr>
        <w:rPr>
          <w:lang w:val="en-GB"/>
        </w:rPr>
      </w:pPr>
      <w:r>
        <w:rPr>
          <w:lang w:val="en-GB"/>
        </w:rPr>
        <w:br w:type="page"/>
      </w:r>
    </w:p>
    <w:p w14:paraId="23E0ADBB" w14:textId="77777777" w:rsidR="005432B9" w:rsidRDefault="006C247E" w:rsidP="006C247E">
      <w:pPr>
        <w:rPr>
          <w:b/>
          <w:bCs/>
        </w:rPr>
      </w:pPr>
      <w:r w:rsidRPr="003860F8">
        <w:rPr>
          <w:b/>
          <w:bCs/>
        </w:rPr>
        <w:lastRenderedPageBreak/>
        <w:t xml:space="preserve">Figure </w:t>
      </w:r>
      <w:r>
        <w:rPr>
          <w:b/>
          <w:bCs/>
        </w:rPr>
        <w:t>S</w:t>
      </w:r>
      <w:r w:rsidRPr="003860F8">
        <w:rPr>
          <w:b/>
          <w:bCs/>
        </w:rPr>
        <w:fldChar w:fldCharType="begin"/>
      </w:r>
      <w:r w:rsidRPr="003860F8">
        <w:rPr>
          <w:b/>
          <w:bCs/>
        </w:rPr>
        <w:instrText xml:space="preserve"> SEQ Figure \* ARABIC </w:instrText>
      </w:r>
      <w:r w:rsidRPr="003860F8">
        <w:rPr>
          <w:b/>
          <w:bCs/>
        </w:rPr>
        <w:fldChar w:fldCharType="separate"/>
      </w:r>
      <w:r w:rsidRPr="003860F8">
        <w:rPr>
          <w:b/>
          <w:bCs/>
          <w:noProof/>
        </w:rPr>
        <w:t>1</w:t>
      </w:r>
      <w:r w:rsidRPr="003860F8">
        <w:rPr>
          <w:b/>
          <w:bCs/>
          <w:noProof/>
        </w:rPr>
        <w:fldChar w:fldCharType="end"/>
      </w:r>
      <w:r w:rsidRPr="003860F8">
        <w:rPr>
          <w:b/>
          <w:bCs/>
        </w:rPr>
        <w:t xml:space="preserve">: Estimated annual differences in revenue and expenditure (2021 US$; </w:t>
      </w:r>
      <w:r w:rsidR="00E975B2">
        <w:rPr>
          <w:b/>
          <w:bCs/>
        </w:rPr>
        <w:t>undiscounted</w:t>
      </w:r>
      <w:r w:rsidRPr="003860F8">
        <w:rPr>
          <w:b/>
          <w:bCs/>
        </w:rPr>
        <w:t>) between the tobacco endgame scenario and BAU</w:t>
      </w:r>
    </w:p>
    <w:p w14:paraId="274720BA" w14:textId="3938822E" w:rsidR="005432B9" w:rsidRDefault="00C802D6" w:rsidP="006C247E">
      <w:pPr>
        <w:rPr>
          <w:b/>
          <w:bCs/>
        </w:rPr>
      </w:pPr>
      <w:r>
        <w:rPr>
          <w:b/>
          <w:bCs/>
          <w:noProof/>
          <w:lang w:val="en-US"/>
        </w:rPr>
        <w:drawing>
          <wp:inline distT="0" distB="0" distL="0" distR="0" wp14:anchorId="47E6E55E" wp14:editId="31317638">
            <wp:extent cx="5731510" cy="68776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5731510" cy="6877685"/>
                    </a:xfrm>
                    <a:prstGeom prst="rect">
                      <a:avLst/>
                    </a:prstGeom>
                  </pic:spPr>
                </pic:pic>
              </a:graphicData>
            </a:graphic>
          </wp:inline>
        </w:drawing>
      </w:r>
    </w:p>
    <w:p w14:paraId="39639608" w14:textId="77777777" w:rsidR="005432B9" w:rsidRDefault="005432B9" w:rsidP="006C247E">
      <w:pPr>
        <w:rPr>
          <w:b/>
          <w:bCs/>
        </w:rPr>
      </w:pPr>
    </w:p>
    <w:p w14:paraId="0148B21A" w14:textId="77777777" w:rsidR="005432B9" w:rsidRDefault="005432B9" w:rsidP="006C247E">
      <w:pPr>
        <w:rPr>
          <w:b/>
          <w:bCs/>
        </w:rPr>
      </w:pPr>
    </w:p>
    <w:p w14:paraId="60F1F8AB" w14:textId="77777777" w:rsidR="005432B9" w:rsidRDefault="005432B9" w:rsidP="006C247E">
      <w:pPr>
        <w:rPr>
          <w:b/>
          <w:bCs/>
        </w:rPr>
      </w:pPr>
    </w:p>
    <w:p w14:paraId="5876A532" w14:textId="5CE53A14" w:rsidR="006C247E" w:rsidRDefault="006C247E" w:rsidP="006C247E">
      <w:pPr>
        <w:rPr>
          <w:b/>
          <w:bCs/>
        </w:rPr>
      </w:pPr>
      <w:r>
        <w:rPr>
          <w:b/>
          <w:bCs/>
        </w:rPr>
        <w:br w:type="page"/>
      </w:r>
    </w:p>
    <w:p w14:paraId="284AD771" w14:textId="490142E7" w:rsidR="00E975B2" w:rsidRDefault="00E975B2" w:rsidP="00E975B2">
      <w:pPr>
        <w:rPr>
          <w:b/>
          <w:bCs/>
        </w:rPr>
      </w:pPr>
      <w:r w:rsidRPr="00825FD4">
        <w:rPr>
          <w:b/>
          <w:bCs/>
        </w:rPr>
        <w:lastRenderedPageBreak/>
        <w:t xml:space="preserve">Figure </w:t>
      </w:r>
      <w:r>
        <w:rPr>
          <w:b/>
          <w:bCs/>
        </w:rPr>
        <w:t>S</w:t>
      </w:r>
      <w:r w:rsidRPr="00825FD4">
        <w:rPr>
          <w:b/>
          <w:bCs/>
        </w:rPr>
        <w:t xml:space="preserve">2: Estimated annual differences in revenue and expenditure (2021 PPP US$; </w:t>
      </w:r>
      <w:r>
        <w:rPr>
          <w:b/>
          <w:bCs/>
        </w:rPr>
        <w:t>undiscounted</w:t>
      </w:r>
      <w:r w:rsidRPr="00825FD4">
        <w:rPr>
          <w:b/>
          <w:bCs/>
        </w:rPr>
        <w:t>) between tobacco endgame scenario with dynamic retirement age and BAU</w:t>
      </w:r>
      <w:r w:rsidR="003A7AFA">
        <w:rPr>
          <w:b/>
          <w:bCs/>
        </w:rPr>
        <w:t xml:space="preserve"> (Government perspective)</w:t>
      </w:r>
    </w:p>
    <w:p w14:paraId="6F8983C3" w14:textId="3F579E9A" w:rsidR="00C802D6" w:rsidRDefault="00C802D6" w:rsidP="00E975B2">
      <w:pPr>
        <w:rPr>
          <w:b/>
          <w:bCs/>
        </w:rPr>
      </w:pPr>
      <w:r>
        <w:rPr>
          <w:b/>
          <w:bCs/>
          <w:noProof/>
          <w:lang w:val="en-US"/>
        </w:rPr>
        <w:drawing>
          <wp:inline distT="0" distB="0" distL="0" distR="0" wp14:anchorId="1F6C4A1F" wp14:editId="65F67C5E">
            <wp:extent cx="5731510" cy="37128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5731510" cy="3712845"/>
                    </a:xfrm>
                    <a:prstGeom prst="rect">
                      <a:avLst/>
                    </a:prstGeom>
                  </pic:spPr>
                </pic:pic>
              </a:graphicData>
            </a:graphic>
          </wp:inline>
        </w:drawing>
      </w:r>
    </w:p>
    <w:p w14:paraId="0EBBBF19" w14:textId="77777777" w:rsidR="00C802D6" w:rsidRPr="00825FD4" w:rsidRDefault="00C802D6" w:rsidP="00E975B2">
      <w:pPr>
        <w:rPr>
          <w:b/>
          <w:bCs/>
        </w:rPr>
      </w:pPr>
    </w:p>
    <w:p w14:paraId="68AF3AEF" w14:textId="77777777" w:rsidR="006C247E" w:rsidRPr="003860F8" w:rsidRDefault="006C247E" w:rsidP="006C247E">
      <w:pPr>
        <w:rPr>
          <w:b/>
          <w:bCs/>
        </w:rPr>
      </w:pPr>
    </w:p>
    <w:p w14:paraId="24516024" w14:textId="6AE835E2" w:rsidR="00F57B5D" w:rsidRDefault="00F57B5D" w:rsidP="006010D6">
      <w:pPr>
        <w:rPr>
          <w:lang w:val="en-GB"/>
        </w:rPr>
        <w:sectPr w:rsidR="00F57B5D" w:rsidSect="00394C12">
          <w:pgSz w:w="11906" w:h="16838"/>
          <w:pgMar w:top="1440" w:right="1440" w:bottom="1440" w:left="1440" w:header="708" w:footer="708" w:gutter="0"/>
          <w:cols w:space="708"/>
          <w:docGrid w:linePitch="360"/>
        </w:sectPr>
      </w:pPr>
    </w:p>
    <w:p w14:paraId="44DB747F" w14:textId="26D4D606" w:rsidR="00394C12" w:rsidRDefault="00394C12" w:rsidP="006010D6">
      <w:pPr>
        <w:rPr>
          <w:b/>
          <w:bCs/>
          <w:lang w:val="en-GB"/>
        </w:rPr>
      </w:pPr>
      <w:r w:rsidRPr="00394C12">
        <w:rPr>
          <w:b/>
          <w:bCs/>
          <w:lang w:val="en-GB"/>
        </w:rPr>
        <w:lastRenderedPageBreak/>
        <w:t>References</w:t>
      </w:r>
      <w:bookmarkStart w:id="4" w:name="_GoBack"/>
      <w:bookmarkEnd w:id="4"/>
    </w:p>
    <w:p w14:paraId="4E23667E" w14:textId="77777777" w:rsidR="00394C12" w:rsidRPr="00394C12" w:rsidRDefault="00394C12" w:rsidP="006010D6">
      <w:pPr>
        <w:rPr>
          <w:b/>
          <w:bCs/>
          <w:lang w:val="en-GB"/>
        </w:rPr>
      </w:pPr>
    </w:p>
    <w:p w14:paraId="22D065B4" w14:textId="77777777" w:rsidR="00394C12" w:rsidRPr="00394C12" w:rsidRDefault="00394C12" w:rsidP="005D797D">
      <w:pPr>
        <w:pStyle w:val="EndNoteBibliography"/>
        <w:spacing w:after="120" w:line="360" w:lineRule="auto"/>
        <w:rPr>
          <w:noProof/>
        </w:rPr>
      </w:pPr>
      <w:r>
        <w:rPr>
          <w:lang w:val="en-GB"/>
        </w:rPr>
        <w:fldChar w:fldCharType="begin"/>
      </w:r>
      <w:r>
        <w:rPr>
          <w:lang w:val="en-GB"/>
        </w:rPr>
        <w:instrText xml:space="preserve"> ADDIN EN.REFLIST </w:instrText>
      </w:r>
      <w:r>
        <w:rPr>
          <w:lang w:val="en-GB"/>
        </w:rPr>
        <w:fldChar w:fldCharType="separate"/>
      </w:r>
      <w:r w:rsidRPr="00394C12">
        <w:rPr>
          <w:noProof/>
        </w:rPr>
        <w:t>1.</w:t>
      </w:r>
      <w:r w:rsidRPr="00394C12">
        <w:rPr>
          <w:noProof/>
        </w:rPr>
        <w:tab/>
        <w:t xml:space="preserve">Nghiem N, Cleghorn CL, Leung W, et al. A national quitline service and its promotion in the mass media: modelling the health gain, health equity and cost–utility. </w:t>
      </w:r>
      <w:r w:rsidRPr="00394C12">
        <w:rPr>
          <w:i/>
          <w:noProof/>
        </w:rPr>
        <w:t>Tobacco Control</w:t>
      </w:r>
      <w:r w:rsidRPr="00394C12">
        <w:rPr>
          <w:noProof/>
        </w:rPr>
        <w:t xml:space="preserve"> 2017; </w:t>
      </w:r>
      <w:r w:rsidRPr="00394C12">
        <w:rPr>
          <w:b/>
          <w:noProof/>
        </w:rPr>
        <w:t>27</w:t>
      </w:r>
      <w:r w:rsidRPr="00394C12">
        <w:rPr>
          <w:noProof/>
        </w:rPr>
        <w:t>(4): 434-41.</w:t>
      </w:r>
    </w:p>
    <w:p w14:paraId="765D5BB5" w14:textId="77777777" w:rsidR="00394C12" w:rsidRPr="00394C12" w:rsidRDefault="00394C12" w:rsidP="005D797D">
      <w:pPr>
        <w:pStyle w:val="EndNoteBibliography"/>
        <w:spacing w:after="120" w:line="360" w:lineRule="auto"/>
        <w:rPr>
          <w:noProof/>
        </w:rPr>
      </w:pPr>
      <w:r w:rsidRPr="00394C12">
        <w:rPr>
          <w:noProof/>
        </w:rPr>
        <w:t>2.</w:t>
      </w:r>
      <w:r w:rsidRPr="00394C12">
        <w:rPr>
          <w:noProof/>
        </w:rPr>
        <w:tab/>
        <w:t xml:space="preserve">Petrovic-Van Der Deen FS, Blakely T, Kvizhinadze G, Cleghorn CL, Cobiac LJ, Wilson N. Restricting tobacco sales to only pharmacies combined with cessation advice: A modelling study of the future smoking prevalence, health and cost impacts. </w:t>
      </w:r>
      <w:r w:rsidRPr="00394C12">
        <w:rPr>
          <w:i/>
          <w:noProof/>
        </w:rPr>
        <w:t>Tobacco Control</w:t>
      </w:r>
      <w:r w:rsidRPr="00394C12">
        <w:rPr>
          <w:noProof/>
        </w:rPr>
        <w:t xml:space="preserve"> 2019; </w:t>
      </w:r>
      <w:r w:rsidRPr="00394C12">
        <w:rPr>
          <w:b/>
          <w:noProof/>
        </w:rPr>
        <w:t>28</w:t>
      </w:r>
      <w:r w:rsidRPr="00394C12">
        <w:rPr>
          <w:noProof/>
        </w:rPr>
        <w:t>(6): 643-50.</w:t>
      </w:r>
    </w:p>
    <w:p w14:paraId="3CC5FAA8" w14:textId="77777777" w:rsidR="00394C12" w:rsidRPr="00394C12" w:rsidRDefault="00394C12" w:rsidP="005D797D">
      <w:pPr>
        <w:pStyle w:val="EndNoteBibliography"/>
        <w:spacing w:after="120" w:line="360" w:lineRule="auto"/>
        <w:rPr>
          <w:noProof/>
        </w:rPr>
      </w:pPr>
      <w:r w:rsidRPr="00394C12">
        <w:rPr>
          <w:noProof/>
        </w:rPr>
        <w:t>3.</w:t>
      </w:r>
      <w:r w:rsidRPr="00394C12">
        <w:rPr>
          <w:noProof/>
        </w:rPr>
        <w:tab/>
        <w:t>Edwards R, Johnson E, Hoek J, et al. The Smokefree 2025 Action Plan: key findings from the ITC New Zealand (EASE) project. In: Expert PH, editor. Public Health Expert. Wellington: University of Otago; 2021.</w:t>
      </w:r>
    </w:p>
    <w:p w14:paraId="053A8AD1" w14:textId="77777777" w:rsidR="00394C12" w:rsidRPr="00394C12" w:rsidRDefault="00394C12" w:rsidP="005D797D">
      <w:pPr>
        <w:pStyle w:val="EndNoteBibliography"/>
        <w:spacing w:after="120" w:line="360" w:lineRule="auto"/>
        <w:rPr>
          <w:noProof/>
        </w:rPr>
      </w:pPr>
      <w:r w:rsidRPr="00394C12">
        <w:rPr>
          <w:noProof/>
        </w:rPr>
        <w:t>4.</w:t>
      </w:r>
      <w:r w:rsidRPr="00394C12">
        <w:rPr>
          <w:noProof/>
        </w:rPr>
        <w:tab/>
        <w:t xml:space="preserve">Ait Ouakrim D, Wilson T, Waa A, et al. Tobacco endgame intervention impacts on health gains and Māori:non-Māori health inequity: a simulation study of the Aotearoa/New Zealand Tobacco Action Plan. </w:t>
      </w:r>
      <w:r w:rsidRPr="00394C12">
        <w:rPr>
          <w:i/>
          <w:noProof/>
        </w:rPr>
        <w:t>Tobacco Control</w:t>
      </w:r>
      <w:r w:rsidRPr="00394C12">
        <w:rPr>
          <w:noProof/>
        </w:rPr>
        <w:t xml:space="preserve"> 2023: tc-2022-057655.</w:t>
      </w:r>
    </w:p>
    <w:p w14:paraId="5C47DC23" w14:textId="00D4F7FE" w:rsidR="006010D6" w:rsidRDefault="00394C12" w:rsidP="005D797D">
      <w:pPr>
        <w:spacing w:after="120" w:line="360" w:lineRule="auto"/>
        <w:rPr>
          <w:lang w:val="en-GB"/>
        </w:rPr>
      </w:pPr>
      <w:r>
        <w:rPr>
          <w:lang w:val="en-GB"/>
        </w:rPr>
        <w:fldChar w:fldCharType="end"/>
      </w:r>
    </w:p>
    <w:sectPr w:rsidR="006010D6" w:rsidSect="00394C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Segoe UI">
    <w:altName w:val="Calibri"/>
    <w:charset w:val="00"/>
    <w:family w:val="swiss"/>
    <w:pitch w:val="variable"/>
    <w:sig w:usb0="E4002EFF" w:usb1="C000E47F" w:usb2="00000009" w:usb3="00000000" w:csb0="000001FF" w:csb1="00000000"/>
  </w:font>
  <w:font w:name="游明朝">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DA24066"/>
    <w:lvl w:ilvl="0">
      <w:start w:val="1"/>
      <w:numFmt w:val="bullet"/>
      <w:pStyle w:val="ListBullet"/>
      <w:lvlText w:val=""/>
      <w:lvlJc w:val="left"/>
      <w:pPr>
        <w:tabs>
          <w:tab w:val="num" w:pos="360"/>
        </w:tabs>
        <w:ind w:left="360" w:hanging="360"/>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pvsd2x5q50rf9e2t9mvx2w1p0aa95d9vdzp&quot;&gt;All refs Copy-Converted&lt;record-ids&gt;&lt;item&gt;6692&lt;/item&gt;&lt;/record-ids&gt;&lt;/item&gt;&lt;/Libraries&gt;"/>
  </w:docVars>
  <w:rsids>
    <w:rsidRoot w:val="0036281E"/>
    <w:rsid w:val="0001225C"/>
    <w:rsid w:val="00017253"/>
    <w:rsid w:val="00036657"/>
    <w:rsid w:val="00051EC0"/>
    <w:rsid w:val="00061B90"/>
    <w:rsid w:val="00070CB9"/>
    <w:rsid w:val="00090840"/>
    <w:rsid w:val="000F482D"/>
    <w:rsid w:val="00142B70"/>
    <w:rsid w:val="0019452F"/>
    <w:rsid w:val="00197091"/>
    <w:rsid w:val="001B7EE8"/>
    <w:rsid w:val="001E55CD"/>
    <w:rsid w:val="002448D8"/>
    <w:rsid w:val="002A6DD3"/>
    <w:rsid w:val="002D0B59"/>
    <w:rsid w:val="002E2136"/>
    <w:rsid w:val="003000D1"/>
    <w:rsid w:val="00320FDE"/>
    <w:rsid w:val="0032373D"/>
    <w:rsid w:val="003406BE"/>
    <w:rsid w:val="003479CD"/>
    <w:rsid w:val="0036281E"/>
    <w:rsid w:val="00374AEC"/>
    <w:rsid w:val="00394C12"/>
    <w:rsid w:val="003A7AFA"/>
    <w:rsid w:val="003E5655"/>
    <w:rsid w:val="0041105A"/>
    <w:rsid w:val="00465D07"/>
    <w:rsid w:val="0048751A"/>
    <w:rsid w:val="004A051C"/>
    <w:rsid w:val="004B4371"/>
    <w:rsid w:val="004B6CC9"/>
    <w:rsid w:val="004C4342"/>
    <w:rsid w:val="004D312C"/>
    <w:rsid w:val="004E2360"/>
    <w:rsid w:val="00512CBE"/>
    <w:rsid w:val="00542D40"/>
    <w:rsid w:val="005432B9"/>
    <w:rsid w:val="005A262A"/>
    <w:rsid w:val="005A5DBE"/>
    <w:rsid w:val="005A6BD0"/>
    <w:rsid w:val="005D709C"/>
    <w:rsid w:val="005D78F7"/>
    <w:rsid w:val="005D797D"/>
    <w:rsid w:val="006010D6"/>
    <w:rsid w:val="006067EE"/>
    <w:rsid w:val="00624C31"/>
    <w:rsid w:val="00643CF7"/>
    <w:rsid w:val="006873FA"/>
    <w:rsid w:val="006C247E"/>
    <w:rsid w:val="00707833"/>
    <w:rsid w:val="0072181D"/>
    <w:rsid w:val="00732C68"/>
    <w:rsid w:val="007459E9"/>
    <w:rsid w:val="00784713"/>
    <w:rsid w:val="00812871"/>
    <w:rsid w:val="00852FE6"/>
    <w:rsid w:val="00871162"/>
    <w:rsid w:val="00887635"/>
    <w:rsid w:val="008A4C2E"/>
    <w:rsid w:val="009218DA"/>
    <w:rsid w:val="0093279F"/>
    <w:rsid w:val="0095408C"/>
    <w:rsid w:val="00A0316B"/>
    <w:rsid w:val="00A516A3"/>
    <w:rsid w:val="00A52073"/>
    <w:rsid w:val="00A55B3A"/>
    <w:rsid w:val="00A81FF6"/>
    <w:rsid w:val="00A85534"/>
    <w:rsid w:val="00AC0866"/>
    <w:rsid w:val="00AE7D36"/>
    <w:rsid w:val="00B36B2E"/>
    <w:rsid w:val="00B419EC"/>
    <w:rsid w:val="00BB5BA1"/>
    <w:rsid w:val="00BE6A4E"/>
    <w:rsid w:val="00C32752"/>
    <w:rsid w:val="00C802D6"/>
    <w:rsid w:val="00C82D0A"/>
    <w:rsid w:val="00CB5A5F"/>
    <w:rsid w:val="00D16615"/>
    <w:rsid w:val="00D30732"/>
    <w:rsid w:val="00D4451B"/>
    <w:rsid w:val="00D56D66"/>
    <w:rsid w:val="00D71F3E"/>
    <w:rsid w:val="00E72D1A"/>
    <w:rsid w:val="00E931EE"/>
    <w:rsid w:val="00E975B2"/>
    <w:rsid w:val="00EE09DE"/>
    <w:rsid w:val="00EE4B31"/>
    <w:rsid w:val="00F47FCE"/>
    <w:rsid w:val="00F57B5D"/>
    <w:rsid w:val="00F61DA0"/>
    <w:rsid w:val="00F76F45"/>
    <w:rsid w:val="00F83953"/>
    <w:rsid w:val="00F91294"/>
    <w:rsid w:val="00F97CAA"/>
    <w:rsid w:val="00FC06A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5C1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Web)"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2B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10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83953"/>
    <w:pPr>
      <w:keepNext/>
      <w:keepLines/>
      <w:spacing w:before="20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F83953"/>
    <w:pPr>
      <w:keepNext/>
      <w:keepLines/>
      <w:spacing w:before="200" w:line="276" w:lineRule="auto"/>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9"/>
    <w:unhideWhenUsed/>
    <w:qFormat/>
    <w:rsid w:val="00F83953"/>
    <w:pPr>
      <w:keepNext/>
      <w:keepLines/>
      <w:spacing w:before="200" w:line="276" w:lineRule="auto"/>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9"/>
    <w:unhideWhenUsed/>
    <w:qFormat/>
    <w:rsid w:val="00F83953"/>
    <w:pPr>
      <w:keepNext/>
      <w:keepLines/>
      <w:spacing w:before="200" w:line="276" w:lineRule="auto"/>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9"/>
    <w:unhideWhenUsed/>
    <w:qFormat/>
    <w:rsid w:val="00F83953"/>
    <w:pPr>
      <w:keepNext/>
      <w:keepLines/>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rsid w:val="00F83953"/>
    <w:pPr>
      <w:keepNext/>
      <w:keepLines/>
      <w:spacing w:before="200" w:line="276" w:lineRule="auto"/>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9"/>
    <w:unhideWhenUsed/>
    <w:qFormat/>
    <w:rsid w:val="00F83953"/>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B7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010D6"/>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6010D6"/>
    <w:rPr>
      <w:sz w:val="22"/>
      <w:szCs w:val="22"/>
      <w:lang w:val="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394C12"/>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394C12"/>
    <w:rPr>
      <w:rFonts w:ascii="Calibri" w:hAnsi="Calibri" w:cs="Calibri"/>
      <w:lang w:val="en-US"/>
    </w:rPr>
  </w:style>
  <w:style w:type="paragraph" w:customStyle="1" w:styleId="EndNoteBibliography">
    <w:name w:val="EndNote Bibliography"/>
    <w:basedOn w:val="Normal"/>
    <w:link w:val="EndNoteBibliographyChar"/>
    <w:rsid w:val="00394C12"/>
    <w:rPr>
      <w:rFonts w:ascii="Calibri" w:hAnsi="Calibri" w:cs="Calibri"/>
      <w:lang w:val="en-US"/>
    </w:rPr>
  </w:style>
  <w:style w:type="character" w:customStyle="1" w:styleId="EndNoteBibliographyChar">
    <w:name w:val="EndNote Bibliography Char"/>
    <w:basedOn w:val="DefaultParagraphFont"/>
    <w:link w:val="EndNoteBibliography"/>
    <w:rsid w:val="00394C12"/>
    <w:rPr>
      <w:rFonts w:ascii="Calibri" w:hAnsi="Calibri" w:cs="Calibri"/>
      <w:lang w:val="en-US"/>
    </w:rPr>
  </w:style>
  <w:style w:type="character" w:customStyle="1" w:styleId="Heading3Char">
    <w:name w:val="Heading 3 Char"/>
    <w:basedOn w:val="DefaultParagraphFont"/>
    <w:link w:val="Heading3"/>
    <w:uiPriority w:val="9"/>
    <w:rsid w:val="00F83953"/>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F83953"/>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9"/>
    <w:rsid w:val="00F83953"/>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9"/>
    <w:rsid w:val="00F83953"/>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9"/>
    <w:rsid w:val="00F8395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rsid w:val="00F83953"/>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9"/>
    <w:rsid w:val="00F83953"/>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F83953"/>
    <w:pPr>
      <w:ind w:left="720"/>
    </w:pPr>
    <w:rPr>
      <w:rFonts w:ascii="Times New Roman" w:eastAsia="Times New Roman" w:hAnsi="Times New Roman" w:cs="Times New Roman"/>
      <w:lang w:eastAsia="en-GB"/>
    </w:rPr>
  </w:style>
  <w:style w:type="paragraph" w:styleId="Title">
    <w:name w:val="Title"/>
    <w:basedOn w:val="Normal"/>
    <w:next w:val="Normal"/>
    <w:link w:val="TitleChar"/>
    <w:uiPriority w:val="10"/>
    <w:qFormat/>
    <w:rsid w:val="00F83953"/>
    <w:pPr>
      <w:contextualSpacing/>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uiPriority w:val="10"/>
    <w:rsid w:val="00F83953"/>
    <w:rPr>
      <w:rFonts w:asciiTheme="majorHAnsi" w:eastAsiaTheme="majorEastAsia" w:hAnsiTheme="majorHAnsi" w:cstheme="majorBidi"/>
      <w:spacing w:val="-10"/>
      <w:kern w:val="28"/>
      <w:sz w:val="56"/>
      <w:szCs w:val="56"/>
      <w:lang w:eastAsia="en-GB"/>
    </w:rPr>
  </w:style>
  <w:style w:type="paragraph" w:styleId="Caption">
    <w:name w:val="caption"/>
    <w:basedOn w:val="Normal"/>
    <w:next w:val="Normal"/>
    <w:autoRedefine/>
    <w:unhideWhenUsed/>
    <w:qFormat/>
    <w:rsid w:val="00F83953"/>
    <w:pPr>
      <w:keepNext/>
      <w:spacing w:after="120"/>
    </w:pPr>
    <w:rPr>
      <w:rFonts w:ascii="Calibri" w:eastAsia="Times New Roman" w:hAnsi="Calibri" w:cs="Times New Roman"/>
      <w:b/>
      <w:iCs/>
      <w:color w:val="4472C4" w:themeColor="accent1"/>
      <w:sz w:val="22"/>
      <w:szCs w:val="18"/>
      <w:lang w:eastAsia="en-GB"/>
    </w:rPr>
  </w:style>
  <w:style w:type="character" w:styleId="CommentReference">
    <w:name w:val="annotation reference"/>
    <w:basedOn w:val="DefaultParagraphFont"/>
    <w:uiPriority w:val="99"/>
    <w:semiHidden/>
    <w:unhideWhenUsed/>
    <w:rsid w:val="00F83953"/>
    <w:rPr>
      <w:sz w:val="16"/>
      <w:szCs w:val="16"/>
    </w:rPr>
  </w:style>
  <w:style w:type="paragraph" w:styleId="CommentText">
    <w:name w:val="annotation text"/>
    <w:basedOn w:val="Normal"/>
    <w:link w:val="CommentTextChar"/>
    <w:uiPriority w:val="99"/>
    <w:unhideWhenUsed/>
    <w:rsid w:val="00F83953"/>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F839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83953"/>
    <w:rPr>
      <w:b/>
      <w:bCs/>
    </w:rPr>
  </w:style>
  <w:style w:type="character" w:customStyle="1" w:styleId="CommentSubjectChar">
    <w:name w:val="Comment Subject Char"/>
    <w:basedOn w:val="CommentTextChar"/>
    <w:link w:val="CommentSubject"/>
    <w:uiPriority w:val="99"/>
    <w:semiHidden/>
    <w:rsid w:val="00F83953"/>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83953"/>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F83953"/>
    <w:rPr>
      <w:rFonts w:ascii="Segoe UI" w:eastAsia="Times New Roman" w:hAnsi="Segoe UI" w:cs="Segoe UI"/>
      <w:sz w:val="18"/>
      <w:szCs w:val="18"/>
      <w:lang w:eastAsia="en-GB"/>
    </w:rPr>
  </w:style>
  <w:style w:type="paragraph" w:styleId="FootnoteText">
    <w:name w:val="footnote text"/>
    <w:basedOn w:val="Normal"/>
    <w:link w:val="FootnoteTextChar"/>
    <w:uiPriority w:val="99"/>
    <w:semiHidden/>
    <w:unhideWhenUsed/>
    <w:rsid w:val="00F83953"/>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F83953"/>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F83953"/>
    <w:rPr>
      <w:vertAlign w:val="superscript"/>
    </w:rPr>
  </w:style>
  <w:style w:type="character" w:styleId="Hyperlink">
    <w:name w:val="Hyperlink"/>
    <w:basedOn w:val="DefaultParagraphFont"/>
    <w:uiPriority w:val="99"/>
    <w:unhideWhenUsed/>
    <w:rsid w:val="00F83953"/>
    <w:rPr>
      <w:color w:val="0563C1"/>
      <w:u w:val="single"/>
    </w:rPr>
  </w:style>
  <w:style w:type="paragraph" w:styleId="NormalWeb">
    <w:name w:val="Normal (Web)"/>
    <w:basedOn w:val="Normal"/>
    <w:link w:val="NormalWebChar"/>
    <w:uiPriority w:val="99"/>
    <w:unhideWhenUsed/>
    <w:qFormat/>
    <w:rsid w:val="00F83953"/>
    <w:pPr>
      <w:spacing w:before="100" w:beforeAutospacing="1" w:after="100" w:afterAutospacing="1" w:line="276" w:lineRule="auto"/>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F83953"/>
    <w:rPr>
      <w:color w:val="954F72" w:themeColor="followedHyperlink"/>
      <w:u w:val="single"/>
    </w:rPr>
  </w:style>
  <w:style w:type="character" w:customStyle="1" w:styleId="UnresolvedMention1">
    <w:name w:val="Unresolved Mention1"/>
    <w:basedOn w:val="DefaultParagraphFont"/>
    <w:uiPriority w:val="99"/>
    <w:semiHidden/>
    <w:unhideWhenUsed/>
    <w:rsid w:val="00F83953"/>
    <w:rPr>
      <w:color w:val="605E5C"/>
      <w:shd w:val="clear" w:color="auto" w:fill="E1DFDD"/>
    </w:rPr>
  </w:style>
  <w:style w:type="character" w:styleId="Emphasis">
    <w:name w:val="Emphasis"/>
    <w:basedOn w:val="DefaultParagraphFont"/>
    <w:uiPriority w:val="99"/>
    <w:qFormat/>
    <w:rsid w:val="00F83953"/>
    <w:rPr>
      <w:i/>
      <w:iCs/>
    </w:rPr>
  </w:style>
  <w:style w:type="character" w:customStyle="1" w:styleId="UnresolvedMention2">
    <w:name w:val="Unresolved Mention2"/>
    <w:basedOn w:val="DefaultParagraphFont"/>
    <w:uiPriority w:val="99"/>
    <w:semiHidden/>
    <w:unhideWhenUsed/>
    <w:rsid w:val="00F83953"/>
    <w:rPr>
      <w:color w:val="605E5C"/>
      <w:shd w:val="clear" w:color="auto" w:fill="E1DFDD"/>
    </w:rPr>
  </w:style>
  <w:style w:type="character" w:customStyle="1" w:styleId="UnresolvedMention3">
    <w:name w:val="Unresolved Mention3"/>
    <w:basedOn w:val="DefaultParagraphFont"/>
    <w:uiPriority w:val="99"/>
    <w:semiHidden/>
    <w:unhideWhenUsed/>
    <w:rsid w:val="00F83953"/>
    <w:rPr>
      <w:color w:val="605E5C"/>
      <w:shd w:val="clear" w:color="auto" w:fill="E1DFDD"/>
    </w:rPr>
  </w:style>
  <w:style w:type="character" w:customStyle="1" w:styleId="UnresolvedMention4">
    <w:name w:val="Unresolved Mention4"/>
    <w:basedOn w:val="DefaultParagraphFont"/>
    <w:uiPriority w:val="99"/>
    <w:semiHidden/>
    <w:unhideWhenUsed/>
    <w:rsid w:val="00F83953"/>
    <w:rPr>
      <w:color w:val="605E5C"/>
      <w:shd w:val="clear" w:color="auto" w:fill="E1DFDD"/>
    </w:rPr>
  </w:style>
  <w:style w:type="paragraph" w:styleId="Header">
    <w:name w:val="header"/>
    <w:basedOn w:val="Normal"/>
    <w:link w:val="HeaderChar"/>
    <w:uiPriority w:val="99"/>
    <w:unhideWhenUsed/>
    <w:rsid w:val="00F83953"/>
    <w:pPr>
      <w:tabs>
        <w:tab w:val="center" w:pos="4513"/>
        <w:tab w:val="right" w:pos="9026"/>
      </w:tabs>
      <w:spacing w:after="200" w:line="276" w:lineRule="auto"/>
    </w:pPr>
    <w:rPr>
      <w:rFonts w:eastAsiaTheme="minorEastAsia"/>
    </w:rPr>
  </w:style>
  <w:style w:type="character" w:customStyle="1" w:styleId="HeaderChar">
    <w:name w:val="Header Char"/>
    <w:basedOn w:val="DefaultParagraphFont"/>
    <w:link w:val="Header"/>
    <w:uiPriority w:val="99"/>
    <w:rsid w:val="00F83953"/>
    <w:rPr>
      <w:rFonts w:eastAsiaTheme="minorEastAsia"/>
    </w:rPr>
  </w:style>
  <w:style w:type="paragraph" w:styleId="Footer">
    <w:name w:val="footer"/>
    <w:basedOn w:val="Normal"/>
    <w:link w:val="FooterChar"/>
    <w:uiPriority w:val="99"/>
    <w:unhideWhenUsed/>
    <w:rsid w:val="00F83953"/>
    <w:pPr>
      <w:tabs>
        <w:tab w:val="center" w:pos="4513"/>
        <w:tab w:val="right" w:pos="9026"/>
      </w:tabs>
      <w:spacing w:after="200" w:line="276" w:lineRule="auto"/>
    </w:pPr>
    <w:rPr>
      <w:rFonts w:eastAsiaTheme="minorEastAsia"/>
    </w:rPr>
  </w:style>
  <w:style w:type="character" w:customStyle="1" w:styleId="FooterChar">
    <w:name w:val="Footer Char"/>
    <w:basedOn w:val="DefaultParagraphFont"/>
    <w:link w:val="Footer"/>
    <w:uiPriority w:val="99"/>
    <w:rsid w:val="00F83953"/>
    <w:rPr>
      <w:rFonts w:eastAsiaTheme="minorEastAsia"/>
    </w:rPr>
  </w:style>
  <w:style w:type="paragraph" w:styleId="Revision">
    <w:name w:val="Revision"/>
    <w:hidden/>
    <w:uiPriority w:val="99"/>
    <w:semiHidden/>
    <w:rsid w:val="00F83953"/>
    <w:pPr>
      <w:spacing w:after="200" w:line="276" w:lineRule="auto"/>
    </w:pPr>
    <w:rPr>
      <w:rFonts w:ascii="Calibri" w:eastAsiaTheme="minorEastAsia" w:hAnsi="Calibri" w:cs="Calibri"/>
      <w:sz w:val="22"/>
      <w:szCs w:val="22"/>
      <w:lang w:val="en-NZ" w:eastAsia="en-NZ"/>
    </w:rPr>
  </w:style>
  <w:style w:type="paragraph" w:styleId="PlainText">
    <w:name w:val="Plain Text"/>
    <w:basedOn w:val="Normal"/>
    <w:link w:val="PlainTextChar"/>
    <w:uiPriority w:val="99"/>
    <w:unhideWhenUsed/>
    <w:rsid w:val="00F83953"/>
    <w:pPr>
      <w:spacing w:after="200" w:line="276" w:lineRule="auto"/>
    </w:pPr>
    <w:rPr>
      <w:rFonts w:eastAsia="Calibri" w:cs="Times New Roman"/>
      <w:szCs w:val="21"/>
      <w:lang w:val="en-US"/>
    </w:rPr>
  </w:style>
  <w:style w:type="character" w:customStyle="1" w:styleId="PlainTextChar">
    <w:name w:val="Plain Text Char"/>
    <w:basedOn w:val="DefaultParagraphFont"/>
    <w:link w:val="PlainText"/>
    <w:uiPriority w:val="99"/>
    <w:rsid w:val="00F83953"/>
    <w:rPr>
      <w:rFonts w:eastAsia="Calibri" w:cs="Times New Roman"/>
      <w:szCs w:val="21"/>
      <w:lang w:val="en-US"/>
    </w:rPr>
  </w:style>
  <w:style w:type="paragraph" w:styleId="Subtitle">
    <w:name w:val="Subtitle"/>
    <w:basedOn w:val="Normal"/>
    <w:next w:val="Normal"/>
    <w:link w:val="SubtitleChar"/>
    <w:uiPriority w:val="99"/>
    <w:qFormat/>
    <w:rsid w:val="00F83953"/>
    <w:pPr>
      <w:numPr>
        <w:ilvl w:val="1"/>
      </w:numPr>
      <w:spacing w:after="200" w:line="276" w:lineRule="auto"/>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99"/>
    <w:rsid w:val="00F83953"/>
    <w:rPr>
      <w:rFonts w:asciiTheme="majorHAnsi" w:eastAsiaTheme="majorEastAsia" w:hAnsiTheme="majorHAnsi" w:cstheme="majorBidi"/>
      <w:i/>
      <w:iCs/>
      <w:color w:val="4472C4" w:themeColor="accent1"/>
      <w:spacing w:val="15"/>
    </w:rPr>
  </w:style>
  <w:style w:type="character" w:styleId="Strong">
    <w:name w:val="Strong"/>
    <w:basedOn w:val="DefaultParagraphFont"/>
    <w:uiPriority w:val="22"/>
    <w:qFormat/>
    <w:rsid w:val="00F83953"/>
    <w:rPr>
      <w:b/>
      <w:bCs/>
    </w:rPr>
  </w:style>
  <w:style w:type="paragraph" w:styleId="NoSpacing">
    <w:name w:val="No Spacing"/>
    <w:uiPriority w:val="99"/>
    <w:qFormat/>
    <w:rsid w:val="00F83953"/>
    <w:rPr>
      <w:rFonts w:eastAsiaTheme="minorEastAsia"/>
      <w:sz w:val="22"/>
      <w:szCs w:val="22"/>
      <w:lang w:val="en-NZ"/>
    </w:rPr>
  </w:style>
  <w:style w:type="paragraph" w:styleId="Quote">
    <w:name w:val="Quote"/>
    <w:basedOn w:val="Normal"/>
    <w:next w:val="Normal"/>
    <w:link w:val="QuoteChar"/>
    <w:uiPriority w:val="99"/>
    <w:qFormat/>
    <w:rsid w:val="00F83953"/>
    <w:pPr>
      <w:spacing w:after="200" w:line="276" w:lineRule="auto"/>
    </w:pPr>
    <w:rPr>
      <w:rFonts w:eastAsiaTheme="minorEastAsia"/>
      <w:i/>
      <w:iCs/>
      <w:color w:val="000000" w:themeColor="text1"/>
    </w:rPr>
  </w:style>
  <w:style w:type="character" w:customStyle="1" w:styleId="QuoteChar">
    <w:name w:val="Quote Char"/>
    <w:basedOn w:val="DefaultParagraphFont"/>
    <w:link w:val="Quote"/>
    <w:uiPriority w:val="99"/>
    <w:rsid w:val="00F83953"/>
    <w:rPr>
      <w:rFonts w:eastAsiaTheme="minorEastAsia"/>
      <w:i/>
      <w:iCs/>
      <w:color w:val="000000" w:themeColor="text1"/>
    </w:rPr>
  </w:style>
  <w:style w:type="paragraph" w:styleId="IntenseQuote">
    <w:name w:val="Intense Quote"/>
    <w:basedOn w:val="Normal"/>
    <w:next w:val="Normal"/>
    <w:link w:val="IntenseQuoteChar"/>
    <w:uiPriority w:val="99"/>
    <w:qFormat/>
    <w:rsid w:val="00F83953"/>
    <w:pPr>
      <w:pBdr>
        <w:bottom w:val="single" w:sz="4" w:space="4" w:color="4472C4" w:themeColor="accent1"/>
      </w:pBdr>
      <w:spacing w:before="200" w:after="280" w:line="276" w:lineRule="auto"/>
      <w:ind w:left="936" w:right="936"/>
    </w:pPr>
    <w:rPr>
      <w:rFonts w:eastAsiaTheme="minorEastAsia"/>
      <w:b/>
      <w:bCs/>
      <w:i/>
      <w:iCs/>
      <w:color w:val="4472C4" w:themeColor="accent1"/>
    </w:rPr>
  </w:style>
  <w:style w:type="character" w:customStyle="1" w:styleId="IntenseQuoteChar">
    <w:name w:val="Intense Quote Char"/>
    <w:basedOn w:val="DefaultParagraphFont"/>
    <w:link w:val="IntenseQuote"/>
    <w:uiPriority w:val="99"/>
    <w:rsid w:val="00F83953"/>
    <w:rPr>
      <w:rFonts w:eastAsiaTheme="minorEastAsia"/>
      <w:b/>
      <w:bCs/>
      <w:i/>
      <w:iCs/>
      <w:color w:val="4472C4" w:themeColor="accent1"/>
    </w:rPr>
  </w:style>
  <w:style w:type="character" w:styleId="SubtleEmphasis">
    <w:name w:val="Subtle Emphasis"/>
    <w:basedOn w:val="DefaultParagraphFont"/>
    <w:uiPriority w:val="99"/>
    <w:qFormat/>
    <w:rsid w:val="00F83953"/>
    <w:rPr>
      <w:i/>
      <w:iCs/>
      <w:color w:val="808080" w:themeColor="text1" w:themeTint="7F"/>
    </w:rPr>
  </w:style>
  <w:style w:type="character" w:styleId="IntenseEmphasis">
    <w:name w:val="Intense Emphasis"/>
    <w:basedOn w:val="DefaultParagraphFont"/>
    <w:uiPriority w:val="99"/>
    <w:qFormat/>
    <w:rsid w:val="00F83953"/>
    <w:rPr>
      <w:b/>
      <w:bCs/>
      <w:i/>
      <w:iCs/>
      <w:color w:val="4472C4" w:themeColor="accent1"/>
    </w:rPr>
  </w:style>
  <w:style w:type="character" w:styleId="SubtleReference">
    <w:name w:val="Subtle Reference"/>
    <w:basedOn w:val="DefaultParagraphFont"/>
    <w:uiPriority w:val="99"/>
    <w:qFormat/>
    <w:rsid w:val="00F83953"/>
    <w:rPr>
      <w:smallCaps/>
      <w:color w:val="ED7D31" w:themeColor="accent2"/>
      <w:u w:val="single"/>
    </w:rPr>
  </w:style>
  <w:style w:type="character" w:styleId="IntenseReference">
    <w:name w:val="Intense Reference"/>
    <w:basedOn w:val="DefaultParagraphFont"/>
    <w:uiPriority w:val="99"/>
    <w:qFormat/>
    <w:rsid w:val="00F83953"/>
    <w:rPr>
      <w:b/>
      <w:bCs/>
      <w:smallCaps/>
      <w:color w:val="ED7D31" w:themeColor="accent2"/>
      <w:spacing w:val="5"/>
      <w:u w:val="single"/>
    </w:rPr>
  </w:style>
  <w:style w:type="character" w:styleId="BookTitle">
    <w:name w:val="Book Title"/>
    <w:basedOn w:val="DefaultParagraphFont"/>
    <w:uiPriority w:val="99"/>
    <w:qFormat/>
    <w:rsid w:val="00F83953"/>
    <w:rPr>
      <w:b/>
      <w:bCs/>
      <w:smallCaps/>
      <w:spacing w:val="5"/>
    </w:rPr>
  </w:style>
  <w:style w:type="paragraph" w:styleId="TOCHeading">
    <w:name w:val="TOC Heading"/>
    <w:basedOn w:val="Heading1"/>
    <w:next w:val="Normal"/>
    <w:uiPriority w:val="39"/>
    <w:unhideWhenUsed/>
    <w:qFormat/>
    <w:rsid w:val="00F83953"/>
    <w:pPr>
      <w:spacing w:before="480" w:line="276" w:lineRule="auto"/>
      <w:outlineLvl w:val="9"/>
    </w:pPr>
    <w:rPr>
      <w:b/>
      <w:bCs/>
      <w:sz w:val="28"/>
      <w:szCs w:val="28"/>
    </w:rPr>
  </w:style>
  <w:style w:type="paragraph" w:styleId="TOC1">
    <w:name w:val="toc 1"/>
    <w:basedOn w:val="Normal"/>
    <w:next w:val="Normal"/>
    <w:autoRedefine/>
    <w:uiPriority w:val="39"/>
    <w:unhideWhenUsed/>
    <w:qFormat/>
    <w:rsid w:val="00F83953"/>
    <w:pPr>
      <w:spacing w:before="120" w:after="120"/>
    </w:pPr>
    <w:rPr>
      <w:rFonts w:eastAsia="Times New Roman" w:cstheme="minorHAnsi"/>
      <w:b/>
      <w:bCs/>
      <w:caps/>
      <w:sz w:val="20"/>
      <w:szCs w:val="20"/>
      <w:lang w:eastAsia="en-GB"/>
    </w:rPr>
  </w:style>
  <w:style w:type="paragraph" w:styleId="TOC2">
    <w:name w:val="toc 2"/>
    <w:basedOn w:val="Normal"/>
    <w:next w:val="Normal"/>
    <w:autoRedefine/>
    <w:uiPriority w:val="39"/>
    <w:unhideWhenUsed/>
    <w:qFormat/>
    <w:rsid w:val="00F83953"/>
    <w:pPr>
      <w:ind w:left="240"/>
    </w:pPr>
    <w:rPr>
      <w:rFonts w:eastAsia="Times New Roman" w:cstheme="minorHAnsi"/>
      <w:smallCaps/>
      <w:sz w:val="20"/>
      <w:szCs w:val="20"/>
      <w:lang w:eastAsia="en-GB"/>
    </w:rPr>
  </w:style>
  <w:style w:type="character" w:customStyle="1" w:styleId="NormalWebChar">
    <w:name w:val="Normal (Web) Char"/>
    <w:basedOn w:val="DefaultParagraphFont"/>
    <w:link w:val="NormalWeb"/>
    <w:uiPriority w:val="99"/>
    <w:rsid w:val="00F83953"/>
    <w:rPr>
      <w:rFonts w:ascii="Times New Roman" w:eastAsia="Times New Roman" w:hAnsi="Times New Roman" w:cs="Times New Roman"/>
    </w:rPr>
  </w:style>
  <w:style w:type="character" w:customStyle="1" w:styleId="sessionlisttitle">
    <w:name w:val="sessionlisttitle"/>
    <w:basedOn w:val="DefaultParagraphFont"/>
    <w:rsid w:val="00F83953"/>
  </w:style>
  <w:style w:type="character" w:customStyle="1" w:styleId="topdisplay">
    <w:name w:val="topdisplay"/>
    <w:basedOn w:val="DefaultParagraphFont"/>
    <w:rsid w:val="00F83953"/>
  </w:style>
  <w:style w:type="character" w:customStyle="1" w:styleId="UnresolvedMention5">
    <w:name w:val="Unresolved Mention5"/>
    <w:basedOn w:val="DefaultParagraphFont"/>
    <w:uiPriority w:val="99"/>
    <w:semiHidden/>
    <w:unhideWhenUsed/>
    <w:rsid w:val="00F83953"/>
    <w:rPr>
      <w:color w:val="605E5C"/>
      <w:shd w:val="clear" w:color="auto" w:fill="E1DFDD"/>
    </w:rPr>
  </w:style>
  <w:style w:type="paragraph" w:styleId="TableofFigures">
    <w:name w:val="table of figures"/>
    <w:basedOn w:val="Normal"/>
    <w:next w:val="Normal"/>
    <w:uiPriority w:val="99"/>
    <w:unhideWhenUsed/>
    <w:rsid w:val="00F83953"/>
    <w:rPr>
      <w:rFonts w:ascii="Times New Roman" w:eastAsia="Times New Roman" w:hAnsi="Times New Roman" w:cs="Times New Roman"/>
      <w:lang w:eastAsia="en-GB"/>
    </w:rPr>
  </w:style>
  <w:style w:type="paragraph" w:styleId="TOC3">
    <w:name w:val="toc 3"/>
    <w:basedOn w:val="Normal"/>
    <w:next w:val="Normal"/>
    <w:autoRedefine/>
    <w:uiPriority w:val="39"/>
    <w:unhideWhenUsed/>
    <w:qFormat/>
    <w:rsid w:val="00F83953"/>
    <w:pPr>
      <w:ind w:left="480"/>
    </w:pPr>
    <w:rPr>
      <w:rFonts w:eastAsia="Times New Roman" w:cstheme="minorHAnsi"/>
      <w:i/>
      <w:iCs/>
      <w:sz w:val="20"/>
      <w:szCs w:val="20"/>
      <w:lang w:eastAsia="en-GB"/>
    </w:rPr>
  </w:style>
  <w:style w:type="paragraph" w:styleId="TOC4">
    <w:name w:val="toc 4"/>
    <w:basedOn w:val="Normal"/>
    <w:next w:val="Normal"/>
    <w:autoRedefine/>
    <w:uiPriority w:val="39"/>
    <w:semiHidden/>
    <w:unhideWhenUsed/>
    <w:rsid w:val="00F83953"/>
    <w:pPr>
      <w:ind w:left="720"/>
    </w:pPr>
    <w:rPr>
      <w:rFonts w:eastAsia="Times New Roman" w:cstheme="minorHAnsi"/>
      <w:sz w:val="18"/>
      <w:szCs w:val="18"/>
      <w:lang w:eastAsia="en-GB"/>
    </w:rPr>
  </w:style>
  <w:style w:type="paragraph" w:styleId="TOC5">
    <w:name w:val="toc 5"/>
    <w:basedOn w:val="Normal"/>
    <w:next w:val="Normal"/>
    <w:autoRedefine/>
    <w:uiPriority w:val="39"/>
    <w:semiHidden/>
    <w:unhideWhenUsed/>
    <w:rsid w:val="00F83953"/>
    <w:pPr>
      <w:ind w:left="960"/>
    </w:pPr>
    <w:rPr>
      <w:rFonts w:eastAsia="Times New Roman" w:cstheme="minorHAnsi"/>
      <w:sz w:val="18"/>
      <w:szCs w:val="18"/>
      <w:lang w:eastAsia="en-GB"/>
    </w:rPr>
  </w:style>
  <w:style w:type="paragraph" w:styleId="TOC6">
    <w:name w:val="toc 6"/>
    <w:basedOn w:val="Normal"/>
    <w:next w:val="Normal"/>
    <w:autoRedefine/>
    <w:uiPriority w:val="39"/>
    <w:semiHidden/>
    <w:unhideWhenUsed/>
    <w:rsid w:val="00F83953"/>
    <w:pPr>
      <w:ind w:left="1200"/>
    </w:pPr>
    <w:rPr>
      <w:rFonts w:eastAsia="Times New Roman" w:cstheme="minorHAnsi"/>
      <w:sz w:val="18"/>
      <w:szCs w:val="18"/>
      <w:lang w:eastAsia="en-GB"/>
    </w:rPr>
  </w:style>
  <w:style w:type="paragraph" w:styleId="TOC7">
    <w:name w:val="toc 7"/>
    <w:basedOn w:val="Normal"/>
    <w:next w:val="Normal"/>
    <w:autoRedefine/>
    <w:uiPriority w:val="39"/>
    <w:semiHidden/>
    <w:unhideWhenUsed/>
    <w:rsid w:val="00F83953"/>
    <w:pPr>
      <w:ind w:left="1440"/>
    </w:pPr>
    <w:rPr>
      <w:rFonts w:eastAsia="Times New Roman" w:cstheme="minorHAnsi"/>
      <w:sz w:val="18"/>
      <w:szCs w:val="18"/>
      <w:lang w:eastAsia="en-GB"/>
    </w:rPr>
  </w:style>
  <w:style w:type="paragraph" w:styleId="TOC8">
    <w:name w:val="toc 8"/>
    <w:basedOn w:val="Normal"/>
    <w:next w:val="Normal"/>
    <w:autoRedefine/>
    <w:uiPriority w:val="39"/>
    <w:semiHidden/>
    <w:unhideWhenUsed/>
    <w:rsid w:val="00F83953"/>
    <w:pPr>
      <w:ind w:left="1680"/>
    </w:pPr>
    <w:rPr>
      <w:rFonts w:eastAsia="Times New Roman" w:cstheme="minorHAnsi"/>
      <w:sz w:val="18"/>
      <w:szCs w:val="18"/>
      <w:lang w:eastAsia="en-GB"/>
    </w:rPr>
  </w:style>
  <w:style w:type="paragraph" w:styleId="TOC9">
    <w:name w:val="toc 9"/>
    <w:basedOn w:val="Normal"/>
    <w:next w:val="Normal"/>
    <w:autoRedefine/>
    <w:uiPriority w:val="39"/>
    <w:semiHidden/>
    <w:unhideWhenUsed/>
    <w:rsid w:val="00F83953"/>
    <w:pPr>
      <w:ind w:left="1920"/>
    </w:pPr>
    <w:rPr>
      <w:rFonts w:eastAsia="Times New Roman" w:cstheme="minorHAnsi"/>
      <w:sz w:val="18"/>
      <w:szCs w:val="18"/>
      <w:lang w:eastAsia="en-GB"/>
    </w:rPr>
  </w:style>
  <w:style w:type="character" w:customStyle="1" w:styleId="normaltextrun">
    <w:name w:val="normaltextrun"/>
    <w:basedOn w:val="DefaultParagraphFont"/>
    <w:rsid w:val="00F83953"/>
  </w:style>
  <w:style w:type="character" w:customStyle="1" w:styleId="eop">
    <w:name w:val="eop"/>
    <w:basedOn w:val="DefaultParagraphFont"/>
    <w:rsid w:val="00F83953"/>
  </w:style>
  <w:style w:type="character" w:customStyle="1" w:styleId="UnresolvedMention">
    <w:name w:val="Unresolved Mention"/>
    <w:basedOn w:val="DefaultParagraphFont"/>
    <w:uiPriority w:val="99"/>
    <w:unhideWhenUsed/>
    <w:rsid w:val="00F83953"/>
    <w:rPr>
      <w:color w:val="605E5C"/>
      <w:shd w:val="clear" w:color="auto" w:fill="E1DFDD"/>
    </w:rPr>
  </w:style>
  <w:style w:type="character" w:customStyle="1" w:styleId="ACENormalChar">
    <w:name w:val="ACE_Normal Char"/>
    <w:basedOn w:val="DefaultParagraphFont"/>
    <w:link w:val="ACENormal"/>
    <w:locked/>
    <w:rsid w:val="00F83953"/>
    <w:rPr>
      <w:rFonts w:ascii="Arial" w:eastAsia="Arial" w:hAnsi="Arial" w:cs="Arial"/>
      <w:lang w:eastAsia="en-AU"/>
    </w:rPr>
  </w:style>
  <w:style w:type="paragraph" w:customStyle="1" w:styleId="ACENormal">
    <w:name w:val="ACE_Normal"/>
    <w:basedOn w:val="Normal"/>
    <w:link w:val="ACENormalChar"/>
    <w:rsid w:val="00F83953"/>
    <w:pPr>
      <w:spacing w:before="240" w:line="264" w:lineRule="auto"/>
      <w:jc w:val="both"/>
    </w:pPr>
    <w:rPr>
      <w:rFonts w:ascii="Arial" w:eastAsia="Arial" w:hAnsi="Arial" w:cs="Arial"/>
      <w:lang w:eastAsia="en-AU"/>
    </w:rPr>
  </w:style>
  <w:style w:type="paragraph" w:customStyle="1" w:styleId="ACECaption">
    <w:name w:val="ACE_Caption"/>
    <w:basedOn w:val="Caption"/>
    <w:next w:val="ACENormal"/>
    <w:rsid w:val="00F83953"/>
    <w:pPr>
      <w:spacing w:before="120"/>
      <w:jc w:val="center"/>
    </w:pPr>
    <w:rPr>
      <w:rFonts w:ascii="Arial" w:hAnsi="Arial"/>
      <w:b w:val="0"/>
      <w:bCs/>
      <w:iCs w:val="0"/>
      <w:color w:val="auto"/>
      <w:sz w:val="20"/>
      <w:szCs w:val="20"/>
      <w:lang w:eastAsia="en-AU"/>
    </w:rPr>
  </w:style>
  <w:style w:type="character" w:styleId="PlaceholderText">
    <w:name w:val="Placeholder Text"/>
    <w:basedOn w:val="DefaultParagraphFont"/>
    <w:uiPriority w:val="99"/>
    <w:semiHidden/>
    <w:rsid w:val="00F83953"/>
    <w:rPr>
      <w:color w:val="808080"/>
    </w:rPr>
  </w:style>
  <w:style w:type="paragraph" w:customStyle="1" w:styleId="WebAppendix">
    <w:name w:val="Web Appendix"/>
    <w:basedOn w:val="Caption"/>
    <w:uiPriority w:val="99"/>
    <w:rsid w:val="00F83953"/>
    <w:pPr>
      <w:pageBreakBefore/>
    </w:pPr>
    <w:rPr>
      <w:rFonts w:ascii="Cambria" w:eastAsia="MS Mincho" w:hAnsi="Cambria" w:cs="Cambria"/>
      <w:bCs/>
      <w:iCs w:val="0"/>
      <w:color w:val="1F497D"/>
      <w:sz w:val="28"/>
      <w:szCs w:val="28"/>
      <w:lang w:val="en-NZ" w:eastAsia="en-US"/>
    </w:rPr>
  </w:style>
  <w:style w:type="table" w:customStyle="1" w:styleId="TableGrid1">
    <w:name w:val="Table Grid1"/>
    <w:uiPriority w:val="99"/>
    <w:rsid w:val="00F83953"/>
    <w:rPr>
      <w:rFonts w:ascii="Calibri" w:eastAsia="MS Mincho" w:hAnsi="Calibri" w:cs="Calibri"/>
      <w:sz w:val="20"/>
      <w:szCs w:val="20"/>
      <w:lang w:val="en-US"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F83953"/>
    <w:rPr>
      <w:rFonts w:ascii="Calibri" w:eastAsia="MS Mincho" w:hAnsi="Calibri" w:cs="Calibri"/>
      <w:sz w:val="20"/>
      <w:szCs w:val="20"/>
      <w:lang w:val="en-US"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F83953"/>
    <w:rPr>
      <w:rFonts w:ascii="Calibri" w:eastAsia="MS Mincho" w:hAnsi="Calibri" w:cs="Calibri"/>
      <w:sz w:val="20"/>
      <w:szCs w:val="20"/>
      <w:lang w:val="en-US"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F83953"/>
    <w:rPr>
      <w:rFonts w:ascii="Calibri" w:eastAsia="MS Mincho" w:hAnsi="Calibri" w:cs="Calibri"/>
      <w:sz w:val="20"/>
      <w:szCs w:val="20"/>
      <w:lang w:val="en-US"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F83953"/>
    <w:rPr>
      <w:rFonts w:ascii="Calibri" w:eastAsia="MS Mincho" w:hAnsi="Calibri" w:cs="Calibri"/>
      <w:sz w:val="20"/>
      <w:szCs w:val="20"/>
      <w:lang w:val="en-US"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autoRedefine/>
    <w:uiPriority w:val="99"/>
    <w:rsid w:val="00F83953"/>
    <w:pPr>
      <w:numPr>
        <w:numId w:val="1"/>
      </w:numPr>
      <w:spacing w:after="200" w:line="276" w:lineRule="auto"/>
    </w:pPr>
    <w:rPr>
      <w:rFonts w:ascii="Times New Roman" w:eastAsia="MS Mincho" w:hAnsi="Times New Roman" w:cs="Calibri"/>
      <w:szCs w:val="22"/>
      <w:lang w:val="en-NZ"/>
    </w:rPr>
  </w:style>
  <w:style w:type="paragraph" w:styleId="HTMLPreformatted">
    <w:name w:val="HTML Preformatted"/>
    <w:basedOn w:val="Normal"/>
    <w:link w:val="HTMLPreformattedChar"/>
    <w:uiPriority w:val="99"/>
    <w:rsid w:val="00F83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val="en-US" w:eastAsia="ja-JP"/>
    </w:rPr>
  </w:style>
  <w:style w:type="character" w:customStyle="1" w:styleId="HTMLPreformattedChar">
    <w:name w:val="HTML Preformatted Char"/>
    <w:basedOn w:val="DefaultParagraphFont"/>
    <w:link w:val="HTMLPreformatted"/>
    <w:uiPriority w:val="99"/>
    <w:rsid w:val="00F83953"/>
    <w:rPr>
      <w:rFonts w:ascii="Courier New" w:eastAsia="MS Mincho" w:hAnsi="Courier New" w:cs="Courier New"/>
      <w:sz w:val="20"/>
      <w:szCs w:val="20"/>
      <w:lang w:val="en-US" w:eastAsia="ja-JP"/>
    </w:rPr>
  </w:style>
  <w:style w:type="character" w:customStyle="1" w:styleId="st1">
    <w:name w:val="st1"/>
    <w:uiPriority w:val="99"/>
    <w:rsid w:val="00F83953"/>
  </w:style>
  <w:style w:type="character" w:customStyle="1" w:styleId="apple-converted-space">
    <w:name w:val="apple-converted-space"/>
    <w:basedOn w:val="DefaultParagraphFont"/>
    <w:rsid w:val="00F83953"/>
  </w:style>
  <w:style w:type="paragraph" w:styleId="EndnoteText">
    <w:name w:val="endnote text"/>
    <w:basedOn w:val="Normal"/>
    <w:link w:val="EndnoteTextChar"/>
    <w:uiPriority w:val="99"/>
    <w:semiHidden/>
    <w:unhideWhenUsed/>
    <w:rsid w:val="00F83953"/>
    <w:rPr>
      <w:rFonts w:ascii="Times New Roman" w:eastAsia="MS Mincho" w:hAnsi="Times New Roman" w:cs="Calibri"/>
      <w:sz w:val="20"/>
      <w:szCs w:val="20"/>
      <w:lang w:val="en-NZ"/>
    </w:rPr>
  </w:style>
  <w:style w:type="character" w:customStyle="1" w:styleId="EndnoteTextChar">
    <w:name w:val="Endnote Text Char"/>
    <w:basedOn w:val="DefaultParagraphFont"/>
    <w:link w:val="EndnoteText"/>
    <w:uiPriority w:val="99"/>
    <w:semiHidden/>
    <w:rsid w:val="00F83953"/>
    <w:rPr>
      <w:rFonts w:ascii="Times New Roman" w:eastAsia="MS Mincho" w:hAnsi="Times New Roman" w:cs="Calibri"/>
      <w:sz w:val="20"/>
      <w:szCs w:val="20"/>
      <w:lang w:val="en-NZ"/>
    </w:rPr>
  </w:style>
  <w:style w:type="character" w:styleId="EndnoteReference">
    <w:name w:val="endnote reference"/>
    <w:basedOn w:val="DefaultParagraphFont"/>
    <w:uiPriority w:val="99"/>
    <w:semiHidden/>
    <w:unhideWhenUsed/>
    <w:rsid w:val="00F83953"/>
    <w:rPr>
      <w:vertAlign w:val="superscript"/>
    </w:rPr>
  </w:style>
  <w:style w:type="character" w:styleId="HTMLCite">
    <w:name w:val="HTML Cite"/>
    <w:basedOn w:val="DefaultParagraphFont"/>
    <w:uiPriority w:val="99"/>
    <w:semiHidden/>
    <w:unhideWhenUsed/>
    <w:rsid w:val="00F83953"/>
    <w:rPr>
      <w:i/>
      <w:iCs/>
    </w:rPr>
  </w:style>
  <w:style w:type="paragraph" w:customStyle="1" w:styleId="CharCharCharCharCharCharCharCharCharCharCharCharCharCharCharCharCharChar">
    <w:name w:val="Char Char Char Char Char Char Char Char Char Char Char Char Char Char Char Char Char Char"/>
    <w:basedOn w:val="Normal"/>
    <w:rsid w:val="00F83953"/>
    <w:pPr>
      <w:spacing w:after="160" w:line="240" w:lineRule="exact"/>
      <w:jc w:val="both"/>
    </w:pPr>
    <w:rPr>
      <w:rFonts w:ascii="Tahoma" w:eastAsia="Times New Roman" w:hAnsi="Tahoma" w:cs="Times New Roman"/>
      <w:bCs/>
      <w:szCs w:val="22"/>
      <w:lang w:val="en-US"/>
    </w:rPr>
  </w:style>
  <w:style w:type="character" w:customStyle="1" w:styleId="highlight2">
    <w:name w:val="highlight2"/>
    <w:rsid w:val="00F83953"/>
  </w:style>
  <w:style w:type="table" w:customStyle="1" w:styleId="TableGrid11">
    <w:name w:val="Table Grid11"/>
    <w:basedOn w:val="TableNormal"/>
    <w:next w:val="TableGrid"/>
    <w:uiPriority w:val="59"/>
    <w:rsid w:val="00F83953"/>
    <w:rPr>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emplate">
    <w:name w:val="table_template"/>
    <w:basedOn w:val="TableNormal"/>
    <w:uiPriority w:val="59"/>
    <w:rsid w:val="00FC06AF"/>
    <w:pPr>
      <w:jc w:val="right"/>
    </w:pPr>
    <w:rPr>
      <w:rFonts w:eastAsiaTheme="minorEastAsia"/>
      <w:lang w:val="en-US"/>
    </w:rPr>
    <w:tblPr>
      <w:jc w:val="center"/>
      <w:tblInd w:w="0" w:type="dxa"/>
      <w:tblBorders>
        <w:top w:val="single" w:sz="8" w:space="0" w:color="auto"/>
        <w:bottom w:val="single" w:sz="8" w:space="0" w:color="auto"/>
        <w:insideH w:val="single" w:sz="8" w:space="0" w:color="auto"/>
      </w:tblBorders>
      <w:tblCellMar>
        <w:top w:w="0" w:type="dxa"/>
        <w:left w:w="108" w:type="dxa"/>
        <w:bottom w:w="0" w:type="dxa"/>
        <w:right w:w="108" w:type="dxa"/>
      </w:tblCellMar>
    </w:tblPr>
    <w:trPr>
      <w:jc w:val="center"/>
    </w:trPr>
    <w:tblStylePr w:type="firstRow">
      <w:rPr>
        <w:b/>
      </w:rPr>
      <w:tblPr/>
      <w:tcPr>
        <w:tcBorders>
          <w:top w:val="nil"/>
          <w:left w:val="nil"/>
          <w:bottom w:val="single" w:sz="18" w:space="0" w:color="auto"/>
          <w:right w:val="nil"/>
          <w:insideH w:val="nil"/>
          <w:insideV w:val="nil"/>
          <w:tl2br w:val="nil"/>
          <w:tr2bl w:val="nil"/>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Web)"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2B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10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83953"/>
    <w:pPr>
      <w:keepNext/>
      <w:keepLines/>
      <w:spacing w:before="20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F83953"/>
    <w:pPr>
      <w:keepNext/>
      <w:keepLines/>
      <w:spacing w:before="200" w:line="276" w:lineRule="auto"/>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9"/>
    <w:unhideWhenUsed/>
    <w:qFormat/>
    <w:rsid w:val="00F83953"/>
    <w:pPr>
      <w:keepNext/>
      <w:keepLines/>
      <w:spacing w:before="200" w:line="276" w:lineRule="auto"/>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9"/>
    <w:unhideWhenUsed/>
    <w:qFormat/>
    <w:rsid w:val="00F83953"/>
    <w:pPr>
      <w:keepNext/>
      <w:keepLines/>
      <w:spacing w:before="200" w:line="276" w:lineRule="auto"/>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9"/>
    <w:unhideWhenUsed/>
    <w:qFormat/>
    <w:rsid w:val="00F83953"/>
    <w:pPr>
      <w:keepNext/>
      <w:keepLines/>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rsid w:val="00F83953"/>
    <w:pPr>
      <w:keepNext/>
      <w:keepLines/>
      <w:spacing w:before="200" w:line="276" w:lineRule="auto"/>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9"/>
    <w:unhideWhenUsed/>
    <w:qFormat/>
    <w:rsid w:val="00F83953"/>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B7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010D6"/>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6010D6"/>
    <w:rPr>
      <w:sz w:val="22"/>
      <w:szCs w:val="22"/>
      <w:lang w:val="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394C12"/>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394C12"/>
    <w:rPr>
      <w:rFonts w:ascii="Calibri" w:hAnsi="Calibri" w:cs="Calibri"/>
      <w:lang w:val="en-US"/>
    </w:rPr>
  </w:style>
  <w:style w:type="paragraph" w:customStyle="1" w:styleId="EndNoteBibliography">
    <w:name w:val="EndNote Bibliography"/>
    <w:basedOn w:val="Normal"/>
    <w:link w:val="EndNoteBibliographyChar"/>
    <w:rsid w:val="00394C12"/>
    <w:rPr>
      <w:rFonts w:ascii="Calibri" w:hAnsi="Calibri" w:cs="Calibri"/>
      <w:lang w:val="en-US"/>
    </w:rPr>
  </w:style>
  <w:style w:type="character" w:customStyle="1" w:styleId="EndNoteBibliographyChar">
    <w:name w:val="EndNote Bibliography Char"/>
    <w:basedOn w:val="DefaultParagraphFont"/>
    <w:link w:val="EndNoteBibliography"/>
    <w:rsid w:val="00394C12"/>
    <w:rPr>
      <w:rFonts w:ascii="Calibri" w:hAnsi="Calibri" w:cs="Calibri"/>
      <w:lang w:val="en-US"/>
    </w:rPr>
  </w:style>
  <w:style w:type="character" w:customStyle="1" w:styleId="Heading3Char">
    <w:name w:val="Heading 3 Char"/>
    <w:basedOn w:val="DefaultParagraphFont"/>
    <w:link w:val="Heading3"/>
    <w:uiPriority w:val="9"/>
    <w:rsid w:val="00F83953"/>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F83953"/>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9"/>
    <w:rsid w:val="00F83953"/>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9"/>
    <w:rsid w:val="00F83953"/>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9"/>
    <w:rsid w:val="00F8395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rsid w:val="00F83953"/>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9"/>
    <w:rsid w:val="00F83953"/>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F83953"/>
    <w:pPr>
      <w:ind w:left="720"/>
    </w:pPr>
    <w:rPr>
      <w:rFonts w:ascii="Times New Roman" w:eastAsia="Times New Roman" w:hAnsi="Times New Roman" w:cs="Times New Roman"/>
      <w:lang w:eastAsia="en-GB"/>
    </w:rPr>
  </w:style>
  <w:style w:type="paragraph" w:styleId="Title">
    <w:name w:val="Title"/>
    <w:basedOn w:val="Normal"/>
    <w:next w:val="Normal"/>
    <w:link w:val="TitleChar"/>
    <w:uiPriority w:val="10"/>
    <w:qFormat/>
    <w:rsid w:val="00F83953"/>
    <w:pPr>
      <w:contextualSpacing/>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uiPriority w:val="10"/>
    <w:rsid w:val="00F83953"/>
    <w:rPr>
      <w:rFonts w:asciiTheme="majorHAnsi" w:eastAsiaTheme="majorEastAsia" w:hAnsiTheme="majorHAnsi" w:cstheme="majorBidi"/>
      <w:spacing w:val="-10"/>
      <w:kern w:val="28"/>
      <w:sz w:val="56"/>
      <w:szCs w:val="56"/>
      <w:lang w:eastAsia="en-GB"/>
    </w:rPr>
  </w:style>
  <w:style w:type="paragraph" w:styleId="Caption">
    <w:name w:val="caption"/>
    <w:basedOn w:val="Normal"/>
    <w:next w:val="Normal"/>
    <w:autoRedefine/>
    <w:unhideWhenUsed/>
    <w:qFormat/>
    <w:rsid w:val="00F83953"/>
    <w:pPr>
      <w:keepNext/>
      <w:spacing w:after="120"/>
    </w:pPr>
    <w:rPr>
      <w:rFonts w:ascii="Calibri" w:eastAsia="Times New Roman" w:hAnsi="Calibri" w:cs="Times New Roman"/>
      <w:b/>
      <w:iCs/>
      <w:color w:val="4472C4" w:themeColor="accent1"/>
      <w:sz w:val="22"/>
      <w:szCs w:val="18"/>
      <w:lang w:eastAsia="en-GB"/>
    </w:rPr>
  </w:style>
  <w:style w:type="character" w:styleId="CommentReference">
    <w:name w:val="annotation reference"/>
    <w:basedOn w:val="DefaultParagraphFont"/>
    <w:uiPriority w:val="99"/>
    <w:semiHidden/>
    <w:unhideWhenUsed/>
    <w:rsid w:val="00F83953"/>
    <w:rPr>
      <w:sz w:val="16"/>
      <w:szCs w:val="16"/>
    </w:rPr>
  </w:style>
  <w:style w:type="paragraph" w:styleId="CommentText">
    <w:name w:val="annotation text"/>
    <w:basedOn w:val="Normal"/>
    <w:link w:val="CommentTextChar"/>
    <w:uiPriority w:val="99"/>
    <w:unhideWhenUsed/>
    <w:rsid w:val="00F83953"/>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F839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83953"/>
    <w:rPr>
      <w:b/>
      <w:bCs/>
    </w:rPr>
  </w:style>
  <w:style w:type="character" w:customStyle="1" w:styleId="CommentSubjectChar">
    <w:name w:val="Comment Subject Char"/>
    <w:basedOn w:val="CommentTextChar"/>
    <w:link w:val="CommentSubject"/>
    <w:uiPriority w:val="99"/>
    <w:semiHidden/>
    <w:rsid w:val="00F83953"/>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83953"/>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F83953"/>
    <w:rPr>
      <w:rFonts w:ascii="Segoe UI" w:eastAsia="Times New Roman" w:hAnsi="Segoe UI" w:cs="Segoe UI"/>
      <w:sz w:val="18"/>
      <w:szCs w:val="18"/>
      <w:lang w:eastAsia="en-GB"/>
    </w:rPr>
  </w:style>
  <w:style w:type="paragraph" w:styleId="FootnoteText">
    <w:name w:val="footnote text"/>
    <w:basedOn w:val="Normal"/>
    <w:link w:val="FootnoteTextChar"/>
    <w:uiPriority w:val="99"/>
    <w:semiHidden/>
    <w:unhideWhenUsed/>
    <w:rsid w:val="00F83953"/>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F83953"/>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F83953"/>
    <w:rPr>
      <w:vertAlign w:val="superscript"/>
    </w:rPr>
  </w:style>
  <w:style w:type="character" w:styleId="Hyperlink">
    <w:name w:val="Hyperlink"/>
    <w:basedOn w:val="DefaultParagraphFont"/>
    <w:uiPriority w:val="99"/>
    <w:unhideWhenUsed/>
    <w:rsid w:val="00F83953"/>
    <w:rPr>
      <w:color w:val="0563C1"/>
      <w:u w:val="single"/>
    </w:rPr>
  </w:style>
  <w:style w:type="paragraph" w:styleId="NormalWeb">
    <w:name w:val="Normal (Web)"/>
    <w:basedOn w:val="Normal"/>
    <w:link w:val="NormalWebChar"/>
    <w:uiPriority w:val="99"/>
    <w:unhideWhenUsed/>
    <w:qFormat/>
    <w:rsid w:val="00F83953"/>
    <w:pPr>
      <w:spacing w:before="100" w:beforeAutospacing="1" w:after="100" w:afterAutospacing="1" w:line="276" w:lineRule="auto"/>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F83953"/>
    <w:rPr>
      <w:color w:val="954F72" w:themeColor="followedHyperlink"/>
      <w:u w:val="single"/>
    </w:rPr>
  </w:style>
  <w:style w:type="character" w:customStyle="1" w:styleId="UnresolvedMention1">
    <w:name w:val="Unresolved Mention1"/>
    <w:basedOn w:val="DefaultParagraphFont"/>
    <w:uiPriority w:val="99"/>
    <w:semiHidden/>
    <w:unhideWhenUsed/>
    <w:rsid w:val="00F83953"/>
    <w:rPr>
      <w:color w:val="605E5C"/>
      <w:shd w:val="clear" w:color="auto" w:fill="E1DFDD"/>
    </w:rPr>
  </w:style>
  <w:style w:type="character" w:styleId="Emphasis">
    <w:name w:val="Emphasis"/>
    <w:basedOn w:val="DefaultParagraphFont"/>
    <w:uiPriority w:val="99"/>
    <w:qFormat/>
    <w:rsid w:val="00F83953"/>
    <w:rPr>
      <w:i/>
      <w:iCs/>
    </w:rPr>
  </w:style>
  <w:style w:type="character" w:customStyle="1" w:styleId="UnresolvedMention2">
    <w:name w:val="Unresolved Mention2"/>
    <w:basedOn w:val="DefaultParagraphFont"/>
    <w:uiPriority w:val="99"/>
    <w:semiHidden/>
    <w:unhideWhenUsed/>
    <w:rsid w:val="00F83953"/>
    <w:rPr>
      <w:color w:val="605E5C"/>
      <w:shd w:val="clear" w:color="auto" w:fill="E1DFDD"/>
    </w:rPr>
  </w:style>
  <w:style w:type="character" w:customStyle="1" w:styleId="UnresolvedMention3">
    <w:name w:val="Unresolved Mention3"/>
    <w:basedOn w:val="DefaultParagraphFont"/>
    <w:uiPriority w:val="99"/>
    <w:semiHidden/>
    <w:unhideWhenUsed/>
    <w:rsid w:val="00F83953"/>
    <w:rPr>
      <w:color w:val="605E5C"/>
      <w:shd w:val="clear" w:color="auto" w:fill="E1DFDD"/>
    </w:rPr>
  </w:style>
  <w:style w:type="character" w:customStyle="1" w:styleId="UnresolvedMention4">
    <w:name w:val="Unresolved Mention4"/>
    <w:basedOn w:val="DefaultParagraphFont"/>
    <w:uiPriority w:val="99"/>
    <w:semiHidden/>
    <w:unhideWhenUsed/>
    <w:rsid w:val="00F83953"/>
    <w:rPr>
      <w:color w:val="605E5C"/>
      <w:shd w:val="clear" w:color="auto" w:fill="E1DFDD"/>
    </w:rPr>
  </w:style>
  <w:style w:type="paragraph" w:styleId="Header">
    <w:name w:val="header"/>
    <w:basedOn w:val="Normal"/>
    <w:link w:val="HeaderChar"/>
    <w:uiPriority w:val="99"/>
    <w:unhideWhenUsed/>
    <w:rsid w:val="00F83953"/>
    <w:pPr>
      <w:tabs>
        <w:tab w:val="center" w:pos="4513"/>
        <w:tab w:val="right" w:pos="9026"/>
      </w:tabs>
      <w:spacing w:after="200" w:line="276" w:lineRule="auto"/>
    </w:pPr>
    <w:rPr>
      <w:rFonts w:eastAsiaTheme="minorEastAsia"/>
    </w:rPr>
  </w:style>
  <w:style w:type="character" w:customStyle="1" w:styleId="HeaderChar">
    <w:name w:val="Header Char"/>
    <w:basedOn w:val="DefaultParagraphFont"/>
    <w:link w:val="Header"/>
    <w:uiPriority w:val="99"/>
    <w:rsid w:val="00F83953"/>
    <w:rPr>
      <w:rFonts w:eastAsiaTheme="minorEastAsia"/>
    </w:rPr>
  </w:style>
  <w:style w:type="paragraph" w:styleId="Footer">
    <w:name w:val="footer"/>
    <w:basedOn w:val="Normal"/>
    <w:link w:val="FooterChar"/>
    <w:uiPriority w:val="99"/>
    <w:unhideWhenUsed/>
    <w:rsid w:val="00F83953"/>
    <w:pPr>
      <w:tabs>
        <w:tab w:val="center" w:pos="4513"/>
        <w:tab w:val="right" w:pos="9026"/>
      </w:tabs>
      <w:spacing w:after="200" w:line="276" w:lineRule="auto"/>
    </w:pPr>
    <w:rPr>
      <w:rFonts w:eastAsiaTheme="minorEastAsia"/>
    </w:rPr>
  </w:style>
  <w:style w:type="character" w:customStyle="1" w:styleId="FooterChar">
    <w:name w:val="Footer Char"/>
    <w:basedOn w:val="DefaultParagraphFont"/>
    <w:link w:val="Footer"/>
    <w:uiPriority w:val="99"/>
    <w:rsid w:val="00F83953"/>
    <w:rPr>
      <w:rFonts w:eastAsiaTheme="minorEastAsia"/>
    </w:rPr>
  </w:style>
  <w:style w:type="paragraph" w:styleId="Revision">
    <w:name w:val="Revision"/>
    <w:hidden/>
    <w:uiPriority w:val="99"/>
    <w:semiHidden/>
    <w:rsid w:val="00F83953"/>
    <w:pPr>
      <w:spacing w:after="200" w:line="276" w:lineRule="auto"/>
    </w:pPr>
    <w:rPr>
      <w:rFonts w:ascii="Calibri" w:eastAsiaTheme="minorEastAsia" w:hAnsi="Calibri" w:cs="Calibri"/>
      <w:sz w:val="22"/>
      <w:szCs w:val="22"/>
      <w:lang w:val="en-NZ" w:eastAsia="en-NZ"/>
    </w:rPr>
  </w:style>
  <w:style w:type="paragraph" w:styleId="PlainText">
    <w:name w:val="Plain Text"/>
    <w:basedOn w:val="Normal"/>
    <w:link w:val="PlainTextChar"/>
    <w:uiPriority w:val="99"/>
    <w:unhideWhenUsed/>
    <w:rsid w:val="00F83953"/>
    <w:pPr>
      <w:spacing w:after="200" w:line="276" w:lineRule="auto"/>
    </w:pPr>
    <w:rPr>
      <w:rFonts w:eastAsia="Calibri" w:cs="Times New Roman"/>
      <w:szCs w:val="21"/>
      <w:lang w:val="en-US"/>
    </w:rPr>
  </w:style>
  <w:style w:type="character" w:customStyle="1" w:styleId="PlainTextChar">
    <w:name w:val="Plain Text Char"/>
    <w:basedOn w:val="DefaultParagraphFont"/>
    <w:link w:val="PlainText"/>
    <w:uiPriority w:val="99"/>
    <w:rsid w:val="00F83953"/>
    <w:rPr>
      <w:rFonts w:eastAsia="Calibri" w:cs="Times New Roman"/>
      <w:szCs w:val="21"/>
      <w:lang w:val="en-US"/>
    </w:rPr>
  </w:style>
  <w:style w:type="paragraph" w:styleId="Subtitle">
    <w:name w:val="Subtitle"/>
    <w:basedOn w:val="Normal"/>
    <w:next w:val="Normal"/>
    <w:link w:val="SubtitleChar"/>
    <w:uiPriority w:val="99"/>
    <w:qFormat/>
    <w:rsid w:val="00F83953"/>
    <w:pPr>
      <w:numPr>
        <w:ilvl w:val="1"/>
      </w:numPr>
      <w:spacing w:after="200" w:line="276" w:lineRule="auto"/>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99"/>
    <w:rsid w:val="00F83953"/>
    <w:rPr>
      <w:rFonts w:asciiTheme="majorHAnsi" w:eastAsiaTheme="majorEastAsia" w:hAnsiTheme="majorHAnsi" w:cstheme="majorBidi"/>
      <w:i/>
      <w:iCs/>
      <w:color w:val="4472C4" w:themeColor="accent1"/>
      <w:spacing w:val="15"/>
    </w:rPr>
  </w:style>
  <w:style w:type="character" w:styleId="Strong">
    <w:name w:val="Strong"/>
    <w:basedOn w:val="DefaultParagraphFont"/>
    <w:uiPriority w:val="22"/>
    <w:qFormat/>
    <w:rsid w:val="00F83953"/>
    <w:rPr>
      <w:b/>
      <w:bCs/>
    </w:rPr>
  </w:style>
  <w:style w:type="paragraph" w:styleId="NoSpacing">
    <w:name w:val="No Spacing"/>
    <w:uiPriority w:val="99"/>
    <w:qFormat/>
    <w:rsid w:val="00F83953"/>
    <w:rPr>
      <w:rFonts w:eastAsiaTheme="minorEastAsia"/>
      <w:sz w:val="22"/>
      <w:szCs w:val="22"/>
      <w:lang w:val="en-NZ"/>
    </w:rPr>
  </w:style>
  <w:style w:type="paragraph" w:styleId="Quote">
    <w:name w:val="Quote"/>
    <w:basedOn w:val="Normal"/>
    <w:next w:val="Normal"/>
    <w:link w:val="QuoteChar"/>
    <w:uiPriority w:val="99"/>
    <w:qFormat/>
    <w:rsid w:val="00F83953"/>
    <w:pPr>
      <w:spacing w:after="200" w:line="276" w:lineRule="auto"/>
    </w:pPr>
    <w:rPr>
      <w:rFonts w:eastAsiaTheme="minorEastAsia"/>
      <w:i/>
      <w:iCs/>
      <w:color w:val="000000" w:themeColor="text1"/>
    </w:rPr>
  </w:style>
  <w:style w:type="character" w:customStyle="1" w:styleId="QuoteChar">
    <w:name w:val="Quote Char"/>
    <w:basedOn w:val="DefaultParagraphFont"/>
    <w:link w:val="Quote"/>
    <w:uiPriority w:val="99"/>
    <w:rsid w:val="00F83953"/>
    <w:rPr>
      <w:rFonts w:eastAsiaTheme="minorEastAsia"/>
      <w:i/>
      <w:iCs/>
      <w:color w:val="000000" w:themeColor="text1"/>
    </w:rPr>
  </w:style>
  <w:style w:type="paragraph" w:styleId="IntenseQuote">
    <w:name w:val="Intense Quote"/>
    <w:basedOn w:val="Normal"/>
    <w:next w:val="Normal"/>
    <w:link w:val="IntenseQuoteChar"/>
    <w:uiPriority w:val="99"/>
    <w:qFormat/>
    <w:rsid w:val="00F83953"/>
    <w:pPr>
      <w:pBdr>
        <w:bottom w:val="single" w:sz="4" w:space="4" w:color="4472C4" w:themeColor="accent1"/>
      </w:pBdr>
      <w:spacing w:before="200" w:after="280" w:line="276" w:lineRule="auto"/>
      <w:ind w:left="936" w:right="936"/>
    </w:pPr>
    <w:rPr>
      <w:rFonts w:eastAsiaTheme="minorEastAsia"/>
      <w:b/>
      <w:bCs/>
      <w:i/>
      <w:iCs/>
      <w:color w:val="4472C4" w:themeColor="accent1"/>
    </w:rPr>
  </w:style>
  <w:style w:type="character" w:customStyle="1" w:styleId="IntenseQuoteChar">
    <w:name w:val="Intense Quote Char"/>
    <w:basedOn w:val="DefaultParagraphFont"/>
    <w:link w:val="IntenseQuote"/>
    <w:uiPriority w:val="99"/>
    <w:rsid w:val="00F83953"/>
    <w:rPr>
      <w:rFonts w:eastAsiaTheme="minorEastAsia"/>
      <w:b/>
      <w:bCs/>
      <w:i/>
      <w:iCs/>
      <w:color w:val="4472C4" w:themeColor="accent1"/>
    </w:rPr>
  </w:style>
  <w:style w:type="character" w:styleId="SubtleEmphasis">
    <w:name w:val="Subtle Emphasis"/>
    <w:basedOn w:val="DefaultParagraphFont"/>
    <w:uiPriority w:val="99"/>
    <w:qFormat/>
    <w:rsid w:val="00F83953"/>
    <w:rPr>
      <w:i/>
      <w:iCs/>
      <w:color w:val="808080" w:themeColor="text1" w:themeTint="7F"/>
    </w:rPr>
  </w:style>
  <w:style w:type="character" w:styleId="IntenseEmphasis">
    <w:name w:val="Intense Emphasis"/>
    <w:basedOn w:val="DefaultParagraphFont"/>
    <w:uiPriority w:val="99"/>
    <w:qFormat/>
    <w:rsid w:val="00F83953"/>
    <w:rPr>
      <w:b/>
      <w:bCs/>
      <w:i/>
      <w:iCs/>
      <w:color w:val="4472C4" w:themeColor="accent1"/>
    </w:rPr>
  </w:style>
  <w:style w:type="character" w:styleId="SubtleReference">
    <w:name w:val="Subtle Reference"/>
    <w:basedOn w:val="DefaultParagraphFont"/>
    <w:uiPriority w:val="99"/>
    <w:qFormat/>
    <w:rsid w:val="00F83953"/>
    <w:rPr>
      <w:smallCaps/>
      <w:color w:val="ED7D31" w:themeColor="accent2"/>
      <w:u w:val="single"/>
    </w:rPr>
  </w:style>
  <w:style w:type="character" w:styleId="IntenseReference">
    <w:name w:val="Intense Reference"/>
    <w:basedOn w:val="DefaultParagraphFont"/>
    <w:uiPriority w:val="99"/>
    <w:qFormat/>
    <w:rsid w:val="00F83953"/>
    <w:rPr>
      <w:b/>
      <w:bCs/>
      <w:smallCaps/>
      <w:color w:val="ED7D31" w:themeColor="accent2"/>
      <w:spacing w:val="5"/>
      <w:u w:val="single"/>
    </w:rPr>
  </w:style>
  <w:style w:type="character" w:styleId="BookTitle">
    <w:name w:val="Book Title"/>
    <w:basedOn w:val="DefaultParagraphFont"/>
    <w:uiPriority w:val="99"/>
    <w:qFormat/>
    <w:rsid w:val="00F83953"/>
    <w:rPr>
      <w:b/>
      <w:bCs/>
      <w:smallCaps/>
      <w:spacing w:val="5"/>
    </w:rPr>
  </w:style>
  <w:style w:type="paragraph" w:styleId="TOCHeading">
    <w:name w:val="TOC Heading"/>
    <w:basedOn w:val="Heading1"/>
    <w:next w:val="Normal"/>
    <w:uiPriority w:val="39"/>
    <w:unhideWhenUsed/>
    <w:qFormat/>
    <w:rsid w:val="00F83953"/>
    <w:pPr>
      <w:spacing w:before="480" w:line="276" w:lineRule="auto"/>
      <w:outlineLvl w:val="9"/>
    </w:pPr>
    <w:rPr>
      <w:b/>
      <w:bCs/>
      <w:sz w:val="28"/>
      <w:szCs w:val="28"/>
    </w:rPr>
  </w:style>
  <w:style w:type="paragraph" w:styleId="TOC1">
    <w:name w:val="toc 1"/>
    <w:basedOn w:val="Normal"/>
    <w:next w:val="Normal"/>
    <w:autoRedefine/>
    <w:uiPriority w:val="39"/>
    <w:unhideWhenUsed/>
    <w:qFormat/>
    <w:rsid w:val="00F83953"/>
    <w:pPr>
      <w:spacing w:before="120" w:after="120"/>
    </w:pPr>
    <w:rPr>
      <w:rFonts w:eastAsia="Times New Roman" w:cstheme="minorHAnsi"/>
      <w:b/>
      <w:bCs/>
      <w:caps/>
      <w:sz w:val="20"/>
      <w:szCs w:val="20"/>
      <w:lang w:eastAsia="en-GB"/>
    </w:rPr>
  </w:style>
  <w:style w:type="paragraph" w:styleId="TOC2">
    <w:name w:val="toc 2"/>
    <w:basedOn w:val="Normal"/>
    <w:next w:val="Normal"/>
    <w:autoRedefine/>
    <w:uiPriority w:val="39"/>
    <w:unhideWhenUsed/>
    <w:qFormat/>
    <w:rsid w:val="00F83953"/>
    <w:pPr>
      <w:ind w:left="240"/>
    </w:pPr>
    <w:rPr>
      <w:rFonts w:eastAsia="Times New Roman" w:cstheme="minorHAnsi"/>
      <w:smallCaps/>
      <w:sz w:val="20"/>
      <w:szCs w:val="20"/>
      <w:lang w:eastAsia="en-GB"/>
    </w:rPr>
  </w:style>
  <w:style w:type="character" w:customStyle="1" w:styleId="NormalWebChar">
    <w:name w:val="Normal (Web) Char"/>
    <w:basedOn w:val="DefaultParagraphFont"/>
    <w:link w:val="NormalWeb"/>
    <w:uiPriority w:val="99"/>
    <w:rsid w:val="00F83953"/>
    <w:rPr>
      <w:rFonts w:ascii="Times New Roman" w:eastAsia="Times New Roman" w:hAnsi="Times New Roman" w:cs="Times New Roman"/>
    </w:rPr>
  </w:style>
  <w:style w:type="character" w:customStyle="1" w:styleId="sessionlisttitle">
    <w:name w:val="sessionlisttitle"/>
    <w:basedOn w:val="DefaultParagraphFont"/>
    <w:rsid w:val="00F83953"/>
  </w:style>
  <w:style w:type="character" w:customStyle="1" w:styleId="topdisplay">
    <w:name w:val="topdisplay"/>
    <w:basedOn w:val="DefaultParagraphFont"/>
    <w:rsid w:val="00F83953"/>
  </w:style>
  <w:style w:type="character" w:customStyle="1" w:styleId="UnresolvedMention5">
    <w:name w:val="Unresolved Mention5"/>
    <w:basedOn w:val="DefaultParagraphFont"/>
    <w:uiPriority w:val="99"/>
    <w:semiHidden/>
    <w:unhideWhenUsed/>
    <w:rsid w:val="00F83953"/>
    <w:rPr>
      <w:color w:val="605E5C"/>
      <w:shd w:val="clear" w:color="auto" w:fill="E1DFDD"/>
    </w:rPr>
  </w:style>
  <w:style w:type="paragraph" w:styleId="TableofFigures">
    <w:name w:val="table of figures"/>
    <w:basedOn w:val="Normal"/>
    <w:next w:val="Normal"/>
    <w:uiPriority w:val="99"/>
    <w:unhideWhenUsed/>
    <w:rsid w:val="00F83953"/>
    <w:rPr>
      <w:rFonts w:ascii="Times New Roman" w:eastAsia="Times New Roman" w:hAnsi="Times New Roman" w:cs="Times New Roman"/>
      <w:lang w:eastAsia="en-GB"/>
    </w:rPr>
  </w:style>
  <w:style w:type="paragraph" w:styleId="TOC3">
    <w:name w:val="toc 3"/>
    <w:basedOn w:val="Normal"/>
    <w:next w:val="Normal"/>
    <w:autoRedefine/>
    <w:uiPriority w:val="39"/>
    <w:unhideWhenUsed/>
    <w:qFormat/>
    <w:rsid w:val="00F83953"/>
    <w:pPr>
      <w:ind w:left="480"/>
    </w:pPr>
    <w:rPr>
      <w:rFonts w:eastAsia="Times New Roman" w:cstheme="minorHAnsi"/>
      <w:i/>
      <w:iCs/>
      <w:sz w:val="20"/>
      <w:szCs w:val="20"/>
      <w:lang w:eastAsia="en-GB"/>
    </w:rPr>
  </w:style>
  <w:style w:type="paragraph" w:styleId="TOC4">
    <w:name w:val="toc 4"/>
    <w:basedOn w:val="Normal"/>
    <w:next w:val="Normal"/>
    <w:autoRedefine/>
    <w:uiPriority w:val="39"/>
    <w:semiHidden/>
    <w:unhideWhenUsed/>
    <w:rsid w:val="00F83953"/>
    <w:pPr>
      <w:ind w:left="720"/>
    </w:pPr>
    <w:rPr>
      <w:rFonts w:eastAsia="Times New Roman" w:cstheme="minorHAnsi"/>
      <w:sz w:val="18"/>
      <w:szCs w:val="18"/>
      <w:lang w:eastAsia="en-GB"/>
    </w:rPr>
  </w:style>
  <w:style w:type="paragraph" w:styleId="TOC5">
    <w:name w:val="toc 5"/>
    <w:basedOn w:val="Normal"/>
    <w:next w:val="Normal"/>
    <w:autoRedefine/>
    <w:uiPriority w:val="39"/>
    <w:semiHidden/>
    <w:unhideWhenUsed/>
    <w:rsid w:val="00F83953"/>
    <w:pPr>
      <w:ind w:left="960"/>
    </w:pPr>
    <w:rPr>
      <w:rFonts w:eastAsia="Times New Roman" w:cstheme="minorHAnsi"/>
      <w:sz w:val="18"/>
      <w:szCs w:val="18"/>
      <w:lang w:eastAsia="en-GB"/>
    </w:rPr>
  </w:style>
  <w:style w:type="paragraph" w:styleId="TOC6">
    <w:name w:val="toc 6"/>
    <w:basedOn w:val="Normal"/>
    <w:next w:val="Normal"/>
    <w:autoRedefine/>
    <w:uiPriority w:val="39"/>
    <w:semiHidden/>
    <w:unhideWhenUsed/>
    <w:rsid w:val="00F83953"/>
    <w:pPr>
      <w:ind w:left="1200"/>
    </w:pPr>
    <w:rPr>
      <w:rFonts w:eastAsia="Times New Roman" w:cstheme="minorHAnsi"/>
      <w:sz w:val="18"/>
      <w:szCs w:val="18"/>
      <w:lang w:eastAsia="en-GB"/>
    </w:rPr>
  </w:style>
  <w:style w:type="paragraph" w:styleId="TOC7">
    <w:name w:val="toc 7"/>
    <w:basedOn w:val="Normal"/>
    <w:next w:val="Normal"/>
    <w:autoRedefine/>
    <w:uiPriority w:val="39"/>
    <w:semiHidden/>
    <w:unhideWhenUsed/>
    <w:rsid w:val="00F83953"/>
    <w:pPr>
      <w:ind w:left="1440"/>
    </w:pPr>
    <w:rPr>
      <w:rFonts w:eastAsia="Times New Roman" w:cstheme="minorHAnsi"/>
      <w:sz w:val="18"/>
      <w:szCs w:val="18"/>
      <w:lang w:eastAsia="en-GB"/>
    </w:rPr>
  </w:style>
  <w:style w:type="paragraph" w:styleId="TOC8">
    <w:name w:val="toc 8"/>
    <w:basedOn w:val="Normal"/>
    <w:next w:val="Normal"/>
    <w:autoRedefine/>
    <w:uiPriority w:val="39"/>
    <w:semiHidden/>
    <w:unhideWhenUsed/>
    <w:rsid w:val="00F83953"/>
    <w:pPr>
      <w:ind w:left="1680"/>
    </w:pPr>
    <w:rPr>
      <w:rFonts w:eastAsia="Times New Roman" w:cstheme="minorHAnsi"/>
      <w:sz w:val="18"/>
      <w:szCs w:val="18"/>
      <w:lang w:eastAsia="en-GB"/>
    </w:rPr>
  </w:style>
  <w:style w:type="paragraph" w:styleId="TOC9">
    <w:name w:val="toc 9"/>
    <w:basedOn w:val="Normal"/>
    <w:next w:val="Normal"/>
    <w:autoRedefine/>
    <w:uiPriority w:val="39"/>
    <w:semiHidden/>
    <w:unhideWhenUsed/>
    <w:rsid w:val="00F83953"/>
    <w:pPr>
      <w:ind w:left="1920"/>
    </w:pPr>
    <w:rPr>
      <w:rFonts w:eastAsia="Times New Roman" w:cstheme="minorHAnsi"/>
      <w:sz w:val="18"/>
      <w:szCs w:val="18"/>
      <w:lang w:eastAsia="en-GB"/>
    </w:rPr>
  </w:style>
  <w:style w:type="character" w:customStyle="1" w:styleId="normaltextrun">
    <w:name w:val="normaltextrun"/>
    <w:basedOn w:val="DefaultParagraphFont"/>
    <w:rsid w:val="00F83953"/>
  </w:style>
  <w:style w:type="character" w:customStyle="1" w:styleId="eop">
    <w:name w:val="eop"/>
    <w:basedOn w:val="DefaultParagraphFont"/>
    <w:rsid w:val="00F83953"/>
  </w:style>
  <w:style w:type="character" w:customStyle="1" w:styleId="UnresolvedMention">
    <w:name w:val="Unresolved Mention"/>
    <w:basedOn w:val="DefaultParagraphFont"/>
    <w:uiPriority w:val="99"/>
    <w:unhideWhenUsed/>
    <w:rsid w:val="00F83953"/>
    <w:rPr>
      <w:color w:val="605E5C"/>
      <w:shd w:val="clear" w:color="auto" w:fill="E1DFDD"/>
    </w:rPr>
  </w:style>
  <w:style w:type="character" w:customStyle="1" w:styleId="ACENormalChar">
    <w:name w:val="ACE_Normal Char"/>
    <w:basedOn w:val="DefaultParagraphFont"/>
    <w:link w:val="ACENormal"/>
    <w:locked/>
    <w:rsid w:val="00F83953"/>
    <w:rPr>
      <w:rFonts w:ascii="Arial" w:eastAsia="Arial" w:hAnsi="Arial" w:cs="Arial"/>
      <w:lang w:eastAsia="en-AU"/>
    </w:rPr>
  </w:style>
  <w:style w:type="paragraph" w:customStyle="1" w:styleId="ACENormal">
    <w:name w:val="ACE_Normal"/>
    <w:basedOn w:val="Normal"/>
    <w:link w:val="ACENormalChar"/>
    <w:rsid w:val="00F83953"/>
    <w:pPr>
      <w:spacing w:before="240" w:line="264" w:lineRule="auto"/>
      <w:jc w:val="both"/>
    </w:pPr>
    <w:rPr>
      <w:rFonts w:ascii="Arial" w:eastAsia="Arial" w:hAnsi="Arial" w:cs="Arial"/>
      <w:lang w:eastAsia="en-AU"/>
    </w:rPr>
  </w:style>
  <w:style w:type="paragraph" w:customStyle="1" w:styleId="ACECaption">
    <w:name w:val="ACE_Caption"/>
    <w:basedOn w:val="Caption"/>
    <w:next w:val="ACENormal"/>
    <w:rsid w:val="00F83953"/>
    <w:pPr>
      <w:spacing w:before="120"/>
      <w:jc w:val="center"/>
    </w:pPr>
    <w:rPr>
      <w:rFonts w:ascii="Arial" w:hAnsi="Arial"/>
      <w:b w:val="0"/>
      <w:bCs/>
      <w:iCs w:val="0"/>
      <w:color w:val="auto"/>
      <w:sz w:val="20"/>
      <w:szCs w:val="20"/>
      <w:lang w:eastAsia="en-AU"/>
    </w:rPr>
  </w:style>
  <w:style w:type="character" w:styleId="PlaceholderText">
    <w:name w:val="Placeholder Text"/>
    <w:basedOn w:val="DefaultParagraphFont"/>
    <w:uiPriority w:val="99"/>
    <w:semiHidden/>
    <w:rsid w:val="00F83953"/>
    <w:rPr>
      <w:color w:val="808080"/>
    </w:rPr>
  </w:style>
  <w:style w:type="paragraph" w:customStyle="1" w:styleId="WebAppendix">
    <w:name w:val="Web Appendix"/>
    <w:basedOn w:val="Caption"/>
    <w:uiPriority w:val="99"/>
    <w:rsid w:val="00F83953"/>
    <w:pPr>
      <w:pageBreakBefore/>
    </w:pPr>
    <w:rPr>
      <w:rFonts w:ascii="Cambria" w:eastAsia="MS Mincho" w:hAnsi="Cambria" w:cs="Cambria"/>
      <w:bCs/>
      <w:iCs w:val="0"/>
      <w:color w:val="1F497D"/>
      <w:sz w:val="28"/>
      <w:szCs w:val="28"/>
      <w:lang w:val="en-NZ" w:eastAsia="en-US"/>
    </w:rPr>
  </w:style>
  <w:style w:type="table" w:customStyle="1" w:styleId="TableGrid1">
    <w:name w:val="Table Grid1"/>
    <w:uiPriority w:val="99"/>
    <w:rsid w:val="00F83953"/>
    <w:rPr>
      <w:rFonts w:ascii="Calibri" w:eastAsia="MS Mincho" w:hAnsi="Calibri" w:cs="Calibri"/>
      <w:sz w:val="20"/>
      <w:szCs w:val="20"/>
      <w:lang w:val="en-US"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F83953"/>
    <w:rPr>
      <w:rFonts w:ascii="Calibri" w:eastAsia="MS Mincho" w:hAnsi="Calibri" w:cs="Calibri"/>
      <w:sz w:val="20"/>
      <w:szCs w:val="20"/>
      <w:lang w:val="en-US"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F83953"/>
    <w:rPr>
      <w:rFonts w:ascii="Calibri" w:eastAsia="MS Mincho" w:hAnsi="Calibri" w:cs="Calibri"/>
      <w:sz w:val="20"/>
      <w:szCs w:val="20"/>
      <w:lang w:val="en-US"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F83953"/>
    <w:rPr>
      <w:rFonts w:ascii="Calibri" w:eastAsia="MS Mincho" w:hAnsi="Calibri" w:cs="Calibri"/>
      <w:sz w:val="20"/>
      <w:szCs w:val="20"/>
      <w:lang w:val="en-US"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F83953"/>
    <w:rPr>
      <w:rFonts w:ascii="Calibri" w:eastAsia="MS Mincho" w:hAnsi="Calibri" w:cs="Calibri"/>
      <w:sz w:val="20"/>
      <w:szCs w:val="20"/>
      <w:lang w:val="en-US"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autoRedefine/>
    <w:uiPriority w:val="99"/>
    <w:rsid w:val="00F83953"/>
    <w:pPr>
      <w:numPr>
        <w:numId w:val="1"/>
      </w:numPr>
      <w:spacing w:after="200" w:line="276" w:lineRule="auto"/>
    </w:pPr>
    <w:rPr>
      <w:rFonts w:ascii="Times New Roman" w:eastAsia="MS Mincho" w:hAnsi="Times New Roman" w:cs="Calibri"/>
      <w:szCs w:val="22"/>
      <w:lang w:val="en-NZ"/>
    </w:rPr>
  </w:style>
  <w:style w:type="paragraph" w:styleId="HTMLPreformatted">
    <w:name w:val="HTML Preformatted"/>
    <w:basedOn w:val="Normal"/>
    <w:link w:val="HTMLPreformattedChar"/>
    <w:uiPriority w:val="99"/>
    <w:rsid w:val="00F83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val="en-US" w:eastAsia="ja-JP"/>
    </w:rPr>
  </w:style>
  <w:style w:type="character" w:customStyle="1" w:styleId="HTMLPreformattedChar">
    <w:name w:val="HTML Preformatted Char"/>
    <w:basedOn w:val="DefaultParagraphFont"/>
    <w:link w:val="HTMLPreformatted"/>
    <w:uiPriority w:val="99"/>
    <w:rsid w:val="00F83953"/>
    <w:rPr>
      <w:rFonts w:ascii="Courier New" w:eastAsia="MS Mincho" w:hAnsi="Courier New" w:cs="Courier New"/>
      <w:sz w:val="20"/>
      <w:szCs w:val="20"/>
      <w:lang w:val="en-US" w:eastAsia="ja-JP"/>
    </w:rPr>
  </w:style>
  <w:style w:type="character" w:customStyle="1" w:styleId="st1">
    <w:name w:val="st1"/>
    <w:uiPriority w:val="99"/>
    <w:rsid w:val="00F83953"/>
  </w:style>
  <w:style w:type="character" w:customStyle="1" w:styleId="apple-converted-space">
    <w:name w:val="apple-converted-space"/>
    <w:basedOn w:val="DefaultParagraphFont"/>
    <w:rsid w:val="00F83953"/>
  </w:style>
  <w:style w:type="paragraph" w:styleId="EndnoteText">
    <w:name w:val="endnote text"/>
    <w:basedOn w:val="Normal"/>
    <w:link w:val="EndnoteTextChar"/>
    <w:uiPriority w:val="99"/>
    <w:semiHidden/>
    <w:unhideWhenUsed/>
    <w:rsid w:val="00F83953"/>
    <w:rPr>
      <w:rFonts w:ascii="Times New Roman" w:eastAsia="MS Mincho" w:hAnsi="Times New Roman" w:cs="Calibri"/>
      <w:sz w:val="20"/>
      <w:szCs w:val="20"/>
      <w:lang w:val="en-NZ"/>
    </w:rPr>
  </w:style>
  <w:style w:type="character" w:customStyle="1" w:styleId="EndnoteTextChar">
    <w:name w:val="Endnote Text Char"/>
    <w:basedOn w:val="DefaultParagraphFont"/>
    <w:link w:val="EndnoteText"/>
    <w:uiPriority w:val="99"/>
    <w:semiHidden/>
    <w:rsid w:val="00F83953"/>
    <w:rPr>
      <w:rFonts w:ascii="Times New Roman" w:eastAsia="MS Mincho" w:hAnsi="Times New Roman" w:cs="Calibri"/>
      <w:sz w:val="20"/>
      <w:szCs w:val="20"/>
      <w:lang w:val="en-NZ"/>
    </w:rPr>
  </w:style>
  <w:style w:type="character" w:styleId="EndnoteReference">
    <w:name w:val="endnote reference"/>
    <w:basedOn w:val="DefaultParagraphFont"/>
    <w:uiPriority w:val="99"/>
    <w:semiHidden/>
    <w:unhideWhenUsed/>
    <w:rsid w:val="00F83953"/>
    <w:rPr>
      <w:vertAlign w:val="superscript"/>
    </w:rPr>
  </w:style>
  <w:style w:type="character" w:styleId="HTMLCite">
    <w:name w:val="HTML Cite"/>
    <w:basedOn w:val="DefaultParagraphFont"/>
    <w:uiPriority w:val="99"/>
    <w:semiHidden/>
    <w:unhideWhenUsed/>
    <w:rsid w:val="00F83953"/>
    <w:rPr>
      <w:i/>
      <w:iCs/>
    </w:rPr>
  </w:style>
  <w:style w:type="paragraph" w:customStyle="1" w:styleId="CharCharCharCharCharCharCharCharCharCharCharCharCharCharCharCharCharChar">
    <w:name w:val="Char Char Char Char Char Char Char Char Char Char Char Char Char Char Char Char Char Char"/>
    <w:basedOn w:val="Normal"/>
    <w:rsid w:val="00F83953"/>
    <w:pPr>
      <w:spacing w:after="160" w:line="240" w:lineRule="exact"/>
      <w:jc w:val="both"/>
    </w:pPr>
    <w:rPr>
      <w:rFonts w:ascii="Tahoma" w:eastAsia="Times New Roman" w:hAnsi="Tahoma" w:cs="Times New Roman"/>
      <w:bCs/>
      <w:szCs w:val="22"/>
      <w:lang w:val="en-US"/>
    </w:rPr>
  </w:style>
  <w:style w:type="character" w:customStyle="1" w:styleId="highlight2">
    <w:name w:val="highlight2"/>
    <w:rsid w:val="00F83953"/>
  </w:style>
  <w:style w:type="table" w:customStyle="1" w:styleId="TableGrid11">
    <w:name w:val="Table Grid11"/>
    <w:basedOn w:val="TableNormal"/>
    <w:next w:val="TableGrid"/>
    <w:uiPriority w:val="59"/>
    <w:rsid w:val="00F83953"/>
    <w:rPr>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emplate">
    <w:name w:val="table_template"/>
    <w:basedOn w:val="TableNormal"/>
    <w:uiPriority w:val="59"/>
    <w:rsid w:val="00FC06AF"/>
    <w:pPr>
      <w:jc w:val="right"/>
    </w:pPr>
    <w:rPr>
      <w:rFonts w:eastAsiaTheme="minorEastAsia"/>
      <w:lang w:val="en-US"/>
    </w:rPr>
    <w:tblPr>
      <w:jc w:val="center"/>
      <w:tblInd w:w="0" w:type="dxa"/>
      <w:tblBorders>
        <w:top w:val="single" w:sz="8" w:space="0" w:color="auto"/>
        <w:bottom w:val="single" w:sz="8" w:space="0" w:color="auto"/>
        <w:insideH w:val="single" w:sz="8" w:space="0" w:color="auto"/>
      </w:tblBorders>
      <w:tblCellMar>
        <w:top w:w="0" w:type="dxa"/>
        <w:left w:w="108" w:type="dxa"/>
        <w:bottom w:w="0" w:type="dxa"/>
        <w:right w:w="108" w:type="dxa"/>
      </w:tblCellMar>
    </w:tblPr>
    <w:trPr>
      <w:jc w:val="center"/>
    </w:trPr>
    <w:tblStylePr w:type="firstRow">
      <w:rPr>
        <w:b/>
      </w:rPr>
      <w:tblPr/>
      <w:tcPr>
        <w:tcBorders>
          <w:top w:val="nil"/>
          <w:left w:val="nil"/>
          <w:bottom w:val="single" w:sz="18"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7d8113-1d44-46cb-baa5-a742d0650dfc" xsi:nil="true"/>
    <lcf76f155ced4ddcb4097134ff3c332f xmlns="da7c69ca-badc-4474-8fea-05c5fde1874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40075BD224AE449FF701EAD4713FC4" ma:contentTypeVersion="16" ma:contentTypeDescription="Create a new document." ma:contentTypeScope="" ma:versionID="66a368ce26d18eee90b59d223c8c6805">
  <xsd:schema xmlns:xsd="http://www.w3.org/2001/XMLSchema" xmlns:xs="http://www.w3.org/2001/XMLSchema" xmlns:p="http://schemas.microsoft.com/office/2006/metadata/properties" xmlns:ns2="da7c69ca-badc-4474-8fea-05c5fde18741" xmlns:ns3="66ee2525-5f9a-41dd-bf04-d22476b56099" xmlns:ns4="f07d8113-1d44-46cb-baa5-a742d0650dfc" targetNamespace="http://schemas.microsoft.com/office/2006/metadata/properties" ma:root="true" ma:fieldsID="ea78b6739f9e905ee9920e1f52f3b58b" ns2:_="" ns3:_="" ns4:_="">
    <xsd:import namespace="da7c69ca-badc-4474-8fea-05c5fde18741"/>
    <xsd:import namespace="66ee2525-5f9a-41dd-bf04-d22476b56099"/>
    <xsd:import namespace="f07d8113-1d44-46cb-baa5-a742d0650d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c69ca-badc-4474-8fea-05c5fde18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ee2525-5f9a-41dd-bf04-d22476b560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7d8113-1d44-46cb-baa5-a742d0650df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bff397d-4ae3-4468-85d0-cf07c2aa2438}" ma:internalName="TaxCatchAll" ma:showField="CatchAllData" ma:web="66ee2525-5f9a-41dd-bf04-d22476b560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455BCB-1B22-4A92-AE18-9FEF05992DCE}">
  <ds:schemaRefs>
    <ds:schemaRef ds:uri="http://schemas.microsoft.com/office/2006/metadata/properties"/>
    <ds:schemaRef ds:uri="http://schemas.microsoft.com/office/infopath/2007/PartnerControls"/>
    <ds:schemaRef ds:uri="f07d8113-1d44-46cb-baa5-a742d0650dfc"/>
    <ds:schemaRef ds:uri="da7c69ca-badc-4474-8fea-05c5fde18741"/>
  </ds:schemaRefs>
</ds:datastoreItem>
</file>

<file path=customXml/itemProps2.xml><?xml version="1.0" encoding="utf-8"?>
<ds:datastoreItem xmlns:ds="http://schemas.openxmlformats.org/officeDocument/2006/customXml" ds:itemID="{20EDC6AD-F824-4D18-ABFE-96043DCEE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c69ca-badc-4474-8fea-05c5fde18741"/>
    <ds:schemaRef ds:uri="66ee2525-5f9a-41dd-bf04-d22476b56099"/>
    <ds:schemaRef ds:uri="f07d8113-1d44-46cb-baa5-a742d0650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5BEB09-5FEC-4F4A-A6D4-CC790776E3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1757</Words>
  <Characters>10018</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Driss Ait Ouakrim</dc:creator>
  <cp:keywords/>
  <dc:description/>
  <cp:lastModifiedBy>Samantha H</cp:lastModifiedBy>
  <cp:revision>30</cp:revision>
  <dcterms:created xsi:type="dcterms:W3CDTF">2023-03-13T00:42:00Z</dcterms:created>
  <dcterms:modified xsi:type="dcterms:W3CDTF">2023-03-16T06:52:00Z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0x010100D140075BD224AE449FF701EAD4713FC4</vt:lpwstr>
  </property>
  <property fmtid="{D5CDD505-2E9C-101B-9397-08002B2CF9AE}" pid="3" name="MediaServiceImageTags">
    <vt:lpwstr/>
  </property>
</Properties>
</file>