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678CB" w14:textId="4CD79721" w:rsidR="00626D65" w:rsidRPr="00D43DC4" w:rsidRDefault="7D46A644" w:rsidP="00BC3AE0">
      <w:pPr>
        <w:pStyle w:val="Title"/>
      </w:pPr>
      <w:r>
        <w:t>Appendix</w:t>
      </w:r>
      <w:r w:rsidR="50333B30">
        <w:t xml:space="preserve"> 1</w:t>
      </w:r>
      <w:r w:rsidR="0F8D8B4E">
        <w:t xml:space="preserve">: </w:t>
      </w:r>
      <w:r w:rsidR="001E66D9">
        <w:t>S</w:t>
      </w:r>
      <w:r w:rsidR="79BC9793">
        <w:t xml:space="preserve">upplementary methods and results </w:t>
      </w:r>
      <w:r w:rsidR="001E66D9">
        <w:t>for</w:t>
      </w:r>
      <w:r w:rsidR="79BC9793">
        <w:t xml:space="preserve"> </w:t>
      </w:r>
      <w:r w:rsidR="001E66D9">
        <w:t>“</w:t>
      </w:r>
      <w:r w:rsidR="79BC9793">
        <w:t xml:space="preserve">Forecasting the trajectory of the COVID-19 pandemic </w:t>
      </w:r>
      <w:r w:rsidR="001E66D9">
        <w:t xml:space="preserve">into 2023 </w:t>
      </w:r>
      <w:r w:rsidR="79BC9793">
        <w:t>under plausible variant and intervention scenarios: a global mode</w:t>
      </w:r>
      <w:r w:rsidR="004C271A">
        <w:t>l</w:t>
      </w:r>
      <w:r w:rsidR="79BC9793">
        <w:t>ling study”</w:t>
      </w:r>
    </w:p>
    <w:p w14:paraId="6D154DAF" w14:textId="77777777" w:rsidR="00173E39" w:rsidRPr="00D43DC4" w:rsidRDefault="00173E39" w:rsidP="00BC3AE0">
      <w:pPr>
        <w:rPr>
          <w:lang w:val="en-GB"/>
        </w:rPr>
      </w:pPr>
    </w:p>
    <w:p w14:paraId="78BE9A05" w14:textId="10AA8A6C" w:rsidR="00774F54" w:rsidRPr="00D43DC4" w:rsidRDefault="79BC9793" w:rsidP="00BC3AE0">
      <w:pPr>
        <w:rPr>
          <w:lang w:val="en-GB"/>
        </w:rPr>
      </w:pPr>
      <w:r w:rsidRPr="24B06F8B">
        <w:rPr>
          <w:lang w:val="en-GB"/>
        </w:rPr>
        <w:t xml:space="preserve">This appendix provides further methodological details and supplementary results for </w:t>
      </w:r>
      <w:r>
        <w:t>“Forecasting the trajectory of the COVID-19 pandemic under plausible variant and intervention scenarios: a global mode</w:t>
      </w:r>
      <w:r w:rsidR="004C271A">
        <w:t>l</w:t>
      </w:r>
      <w:r>
        <w:t>ling study”</w:t>
      </w:r>
      <w:r w:rsidR="24B06F8B" w:rsidRPr="24B06F8B">
        <w:rPr>
          <w:lang w:val="en-GB"/>
        </w:rPr>
        <w:t xml:space="preserve"> </w:t>
      </w:r>
    </w:p>
    <w:p w14:paraId="6535B7F1" w14:textId="77777777" w:rsidR="00774F54" w:rsidRPr="00D43DC4" w:rsidRDefault="00774F54" w:rsidP="00BC3AE0">
      <w:pPr>
        <w:rPr>
          <w:lang w:val="en-GB"/>
        </w:rPr>
      </w:pPr>
    </w:p>
    <w:p w14:paraId="463B80A2" w14:textId="435031EE" w:rsidR="0055199C" w:rsidRPr="00D43DC4" w:rsidRDefault="00774F54" w:rsidP="00BC3AE0">
      <w:pPr>
        <w:rPr>
          <w:lang w:val="en-GB"/>
        </w:rPr>
      </w:pPr>
      <w:r w:rsidRPr="00D43DC4">
        <w:rPr>
          <w:lang w:val="en-GB"/>
        </w:rPr>
        <w:t>Portions of this appendix have been reproduced or adapted from Reiner et al.</w:t>
      </w:r>
      <w:r w:rsidRPr="00D43DC4">
        <w:rPr>
          <w:color w:val="2B579A"/>
          <w:shd w:val="clear" w:color="auto" w:fill="E6E6E6"/>
          <w:lang w:val="en-GB"/>
        </w:rPr>
        <w:fldChar w:fldCharType="begin"/>
      </w:r>
      <w:r w:rsidR="004876B1">
        <w:rPr>
          <w:lang w:val="en-GB"/>
        </w:rPr>
        <w:instrText xml:space="preserve"> ADDIN ZOTERO_ITEM CSL_CITATION {"citationID":"ULZtgpV7","properties":{"formattedCitation":"\\super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Pr="00D43DC4">
        <w:rPr>
          <w:color w:val="2B579A"/>
          <w:shd w:val="clear" w:color="auto" w:fill="E6E6E6"/>
          <w:lang w:val="en-GB"/>
        </w:rPr>
        <w:fldChar w:fldCharType="separate"/>
      </w:r>
      <w:r w:rsidR="00585C9F" w:rsidRPr="00D43DC4">
        <w:rPr>
          <w:vertAlign w:val="superscript"/>
        </w:rPr>
        <w:t>1</w:t>
      </w:r>
      <w:r w:rsidRPr="00D43DC4">
        <w:rPr>
          <w:color w:val="2B579A"/>
          <w:shd w:val="clear" w:color="auto" w:fill="E6E6E6"/>
          <w:lang w:val="en-GB"/>
        </w:rPr>
        <w:fldChar w:fldCharType="end"/>
      </w:r>
      <w:r w:rsidRPr="00D43DC4">
        <w:rPr>
          <w:lang w:val="en-GB"/>
        </w:rPr>
        <w:t xml:space="preserve"> </w:t>
      </w:r>
      <w:r w:rsidR="004C271A">
        <w:rPr>
          <w:lang w:val="en-GB"/>
        </w:rPr>
        <w:t xml:space="preserve">and </w:t>
      </w:r>
      <w:r w:rsidR="00850D87">
        <w:rPr>
          <w:lang w:val="en-GB"/>
        </w:rPr>
        <w:t>Barber et al.</w:t>
      </w:r>
      <w:r w:rsidR="00850D87">
        <w:rPr>
          <w:color w:val="2B579A"/>
          <w:shd w:val="clear" w:color="auto" w:fill="E6E6E6"/>
          <w:lang w:val="en-GB"/>
        </w:rPr>
        <w:fldChar w:fldCharType="begin"/>
      </w:r>
      <w:r w:rsidR="004876B1">
        <w:rPr>
          <w:lang w:val="en-GB"/>
        </w:rPr>
        <w:instrText xml:space="preserve"> ADDIN ZOTERO_ITEM CSL_CITATION {"citationID":"ThX2FpH9","properties":{"formattedCitation":"\\super 2\\nosupersub{}","plainCitation":"2","noteIndex":0},"citationItems":[{"id":21604,"uris":["http://zotero.org/groups/2154524/items/2GFYXY7A"],"itemData":{"id":21604,"type":"article-journal","container-title":"The Lancet","DOI":"10.1016/S0140-6736(22)00484-6","issue":"10344","journalAbbreviation":"Lancet","page":"2349-2378","title":"Estimating global, regional, and national daily and cumulative infections with SARS-CoV-2 through Nov 14, 2021: a statistical analysis","volume":"399","author":[{"literal":"Barber, RM"},{"family":"Sorensen","given":"RJD"},{"family":"Pigott","given":"DM"},{"family":"Bisignano","given":"C"},{"family":"Carter","given":"A"},{"family":"Almag","given":"JO"},{"family":"Collins","given":"JA"},{"family":"Abbafati","given":"C"},{"family":"Adolph","given":"C"},{"literal":"et al"}],"issued":{"date-parts":[["2022",4,8]]}}}],"schema":"https://github.com/citation-style-language/schema/raw/master/csl-citation.json"} </w:instrText>
      </w:r>
      <w:r w:rsidR="00850D87">
        <w:rPr>
          <w:color w:val="2B579A"/>
          <w:shd w:val="clear" w:color="auto" w:fill="E6E6E6"/>
          <w:lang w:val="en-GB"/>
        </w:rPr>
        <w:fldChar w:fldCharType="separate"/>
      </w:r>
      <w:r w:rsidR="00850D87" w:rsidRPr="00850D87">
        <w:rPr>
          <w:sz w:val="22"/>
          <w:szCs w:val="24"/>
          <w:vertAlign w:val="superscript"/>
        </w:rPr>
        <w:t>2</w:t>
      </w:r>
      <w:r w:rsidR="00850D87">
        <w:rPr>
          <w:color w:val="2B579A"/>
          <w:shd w:val="clear" w:color="auto" w:fill="E6E6E6"/>
          <w:lang w:val="en-GB"/>
        </w:rPr>
        <w:fldChar w:fldCharType="end"/>
      </w:r>
      <w:r w:rsidR="008F045F">
        <w:rPr>
          <w:lang w:val="en-GB"/>
        </w:rPr>
        <w:t xml:space="preserve"> </w:t>
      </w:r>
      <w:r w:rsidRPr="00D43DC4">
        <w:rPr>
          <w:lang w:val="en-GB"/>
        </w:rPr>
        <w:t>References are provided for reproduced sections.</w:t>
      </w:r>
      <w:r w:rsidR="0055199C" w:rsidRPr="00D43DC4">
        <w:rPr>
          <w:lang w:val="en-GB"/>
        </w:rPr>
        <w:br w:type="page"/>
      </w:r>
    </w:p>
    <w:bookmarkStart w:id="0" w:name="_Toc124499455" w:displacedByCustomXml="next"/>
    <w:bookmarkStart w:id="1" w:name="_Toc104252046" w:displacedByCustomXml="next"/>
    <w:bookmarkStart w:id="2" w:name="_Toc104155408" w:displacedByCustomXml="next"/>
    <w:bookmarkStart w:id="3" w:name="_Toc104245003" w:displacedByCustomXml="next"/>
    <w:bookmarkStart w:id="4" w:name="_Toc104249318" w:displacedByCustomXml="next"/>
    <w:bookmarkStart w:id="5" w:name="_Toc104251096" w:displacedByCustomXml="next"/>
    <w:bookmarkStart w:id="6" w:name="_Toc104251812" w:displacedByCustomXml="next"/>
    <w:sdt>
      <w:sdtPr>
        <w:rPr>
          <w:rFonts w:asciiTheme="minorHAnsi" w:eastAsiaTheme="minorHAnsi" w:hAnsiTheme="minorHAnsi" w:cstheme="minorHAnsi"/>
          <w:color w:val="auto"/>
          <w:sz w:val="22"/>
          <w:szCs w:val="22"/>
          <w:shd w:val="clear" w:color="auto" w:fill="E6E6E6"/>
        </w:rPr>
        <w:id w:val="1878739383"/>
        <w:docPartObj>
          <w:docPartGallery w:val="Table of Contents"/>
          <w:docPartUnique/>
        </w:docPartObj>
      </w:sdtPr>
      <w:sdtEndPr>
        <w:rPr>
          <w:sz w:val="20"/>
          <w:szCs w:val="20"/>
        </w:rPr>
      </w:sdtEndPr>
      <w:sdtContent>
        <w:p w14:paraId="220D6F0C" w14:textId="77777777" w:rsidR="00517309" w:rsidRDefault="3F570B1E" w:rsidP="00E93D6A">
          <w:pPr>
            <w:pStyle w:val="Heading1"/>
            <w:rPr>
              <w:noProof/>
            </w:rPr>
          </w:pPr>
          <w:r>
            <w:t>Table of Contents</w:t>
          </w:r>
          <w:bookmarkEnd w:id="6"/>
          <w:bookmarkEnd w:id="5"/>
          <w:bookmarkEnd w:id="4"/>
          <w:bookmarkEnd w:id="3"/>
          <w:bookmarkEnd w:id="2"/>
          <w:bookmarkEnd w:id="1"/>
          <w:bookmarkEnd w:id="0"/>
          <w:r w:rsidR="00834C6A" w:rsidRPr="3320FE39">
            <w:rPr>
              <w:bCs/>
              <w:color w:val="2B579A"/>
              <w:sz w:val="20"/>
              <w:szCs w:val="20"/>
              <w:shd w:val="clear" w:color="auto" w:fill="E6E6E6"/>
            </w:rPr>
            <w:fldChar w:fldCharType="begin"/>
          </w:r>
          <w:r w:rsidR="00834C6A" w:rsidRPr="00057D5B">
            <w:rPr>
              <w:bCs/>
              <w:sz w:val="20"/>
              <w:szCs w:val="20"/>
            </w:rPr>
            <w:instrText xml:space="preserve"> TOC \o "1-3" \h \z \u </w:instrText>
          </w:r>
          <w:r w:rsidR="00834C6A" w:rsidRPr="3320FE39">
            <w:rPr>
              <w:bCs/>
              <w:color w:val="2B579A"/>
              <w:sz w:val="20"/>
              <w:szCs w:val="20"/>
              <w:shd w:val="clear" w:color="auto" w:fill="E6E6E6"/>
            </w:rPr>
            <w:fldChar w:fldCharType="separate"/>
          </w:r>
        </w:p>
        <w:p w14:paraId="7869DB00" w14:textId="3204B56F" w:rsidR="00517309" w:rsidRDefault="00000000">
          <w:pPr>
            <w:pStyle w:val="TOC1"/>
            <w:tabs>
              <w:tab w:val="left" w:pos="1320"/>
              <w:tab w:val="right" w:leader="dot" w:pos="9350"/>
            </w:tabs>
            <w:rPr>
              <w:rFonts w:eastAsiaTheme="minorEastAsia" w:cstheme="minorBidi"/>
              <w:b w:val="0"/>
              <w:bCs w:val="0"/>
              <w:i w:val="0"/>
              <w:iCs w:val="0"/>
              <w:noProof/>
            </w:rPr>
          </w:pPr>
          <w:hyperlink w:anchor="_Toc124499455" w:history="1">
            <w:r w:rsidR="00517309" w:rsidRPr="003F3909">
              <w:rPr>
                <w:rStyle w:val="Hyperlink"/>
                <w:noProof/>
              </w:rPr>
              <w:t>Section 1</w:t>
            </w:r>
            <w:r w:rsidR="00517309">
              <w:rPr>
                <w:rFonts w:eastAsiaTheme="minorEastAsia" w:cstheme="minorBidi"/>
                <w:b w:val="0"/>
                <w:bCs w:val="0"/>
                <w:i w:val="0"/>
                <w:iCs w:val="0"/>
                <w:noProof/>
              </w:rPr>
              <w:tab/>
            </w:r>
            <w:r w:rsidR="00517309" w:rsidRPr="003F3909">
              <w:rPr>
                <w:rStyle w:val="Hyperlink"/>
                <w:noProof/>
              </w:rPr>
              <w:t>Table of Contents</w:t>
            </w:r>
            <w:r w:rsidR="00517309">
              <w:rPr>
                <w:noProof/>
                <w:webHidden/>
              </w:rPr>
              <w:tab/>
            </w:r>
            <w:r w:rsidR="00517309">
              <w:rPr>
                <w:noProof/>
                <w:webHidden/>
              </w:rPr>
              <w:fldChar w:fldCharType="begin"/>
            </w:r>
            <w:r w:rsidR="00517309">
              <w:rPr>
                <w:noProof/>
                <w:webHidden/>
              </w:rPr>
              <w:instrText xml:space="preserve"> PAGEREF _Toc124499455 \h </w:instrText>
            </w:r>
            <w:r w:rsidR="00517309">
              <w:rPr>
                <w:noProof/>
                <w:webHidden/>
              </w:rPr>
            </w:r>
            <w:r w:rsidR="00517309">
              <w:rPr>
                <w:noProof/>
                <w:webHidden/>
              </w:rPr>
              <w:fldChar w:fldCharType="separate"/>
            </w:r>
            <w:r w:rsidR="00517309">
              <w:rPr>
                <w:noProof/>
                <w:webHidden/>
              </w:rPr>
              <w:t>2</w:t>
            </w:r>
            <w:r w:rsidR="00517309">
              <w:rPr>
                <w:noProof/>
                <w:webHidden/>
              </w:rPr>
              <w:fldChar w:fldCharType="end"/>
            </w:r>
          </w:hyperlink>
        </w:p>
        <w:p w14:paraId="10037F52" w14:textId="38555F52" w:rsidR="00517309" w:rsidRDefault="00000000">
          <w:pPr>
            <w:pStyle w:val="TOC1"/>
            <w:tabs>
              <w:tab w:val="right" w:leader="dot" w:pos="9350"/>
            </w:tabs>
            <w:rPr>
              <w:rFonts w:eastAsiaTheme="minorEastAsia" w:cstheme="minorBidi"/>
              <w:b w:val="0"/>
              <w:bCs w:val="0"/>
              <w:i w:val="0"/>
              <w:iCs w:val="0"/>
              <w:noProof/>
            </w:rPr>
          </w:pPr>
          <w:hyperlink w:anchor="_Toc124499456" w:history="1">
            <w:r w:rsidR="00517309" w:rsidRPr="003F3909">
              <w:rPr>
                <w:rStyle w:val="Hyperlink"/>
                <w:noProof/>
              </w:rPr>
              <w:t>List of abbreviations</w:t>
            </w:r>
            <w:r w:rsidR="00517309">
              <w:rPr>
                <w:noProof/>
                <w:webHidden/>
              </w:rPr>
              <w:tab/>
            </w:r>
            <w:r w:rsidR="00517309">
              <w:rPr>
                <w:noProof/>
                <w:webHidden/>
              </w:rPr>
              <w:fldChar w:fldCharType="begin"/>
            </w:r>
            <w:r w:rsidR="00517309">
              <w:rPr>
                <w:noProof/>
                <w:webHidden/>
              </w:rPr>
              <w:instrText xml:space="preserve"> PAGEREF _Toc124499456 \h </w:instrText>
            </w:r>
            <w:r w:rsidR="00517309">
              <w:rPr>
                <w:noProof/>
                <w:webHidden/>
              </w:rPr>
            </w:r>
            <w:r w:rsidR="00517309">
              <w:rPr>
                <w:noProof/>
                <w:webHidden/>
              </w:rPr>
              <w:fldChar w:fldCharType="separate"/>
            </w:r>
            <w:r w:rsidR="00517309">
              <w:rPr>
                <w:noProof/>
                <w:webHidden/>
              </w:rPr>
              <w:t>5</w:t>
            </w:r>
            <w:r w:rsidR="00517309">
              <w:rPr>
                <w:noProof/>
                <w:webHidden/>
              </w:rPr>
              <w:fldChar w:fldCharType="end"/>
            </w:r>
          </w:hyperlink>
        </w:p>
        <w:p w14:paraId="71382B0D" w14:textId="61801593" w:rsidR="00517309" w:rsidRDefault="00000000">
          <w:pPr>
            <w:pStyle w:val="TOC1"/>
            <w:tabs>
              <w:tab w:val="left" w:pos="1320"/>
              <w:tab w:val="right" w:leader="dot" w:pos="9350"/>
            </w:tabs>
            <w:rPr>
              <w:rFonts w:eastAsiaTheme="minorEastAsia" w:cstheme="minorBidi"/>
              <w:b w:val="0"/>
              <w:bCs w:val="0"/>
              <w:i w:val="0"/>
              <w:iCs w:val="0"/>
              <w:noProof/>
            </w:rPr>
          </w:pPr>
          <w:hyperlink w:anchor="_Toc124499457" w:history="1">
            <w:r w:rsidR="00517309" w:rsidRPr="003F3909">
              <w:rPr>
                <w:rStyle w:val="Hyperlink"/>
                <w:noProof/>
                <w:lang w:val="en-GB"/>
              </w:rPr>
              <w:t>Section 2</w:t>
            </w:r>
            <w:r w:rsidR="00517309">
              <w:rPr>
                <w:rFonts w:eastAsiaTheme="minorEastAsia" w:cstheme="minorBidi"/>
                <w:b w:val="0"/>
                <w:bCs w:val="0"/>
                <w:i w:val="0"/>
                <w:iCs w:val="0"/>
                <w:noProof/>
              </w:rPr>
              <w:tab/>
            </w:r>
            <w:r w:rsidR="00517309" w:rsidRPr="003F3909">
              <w:rPr>
                <w:rStyle w:val="Hyperlink"/>
                <w:noProof/>
                <w:lang w:val="en-GB"/>
              </w:rPr>
              <w:t>Guidelines for Accurate and Transparent Health Estimates Reporting (GATHER)</w:t>
            </w:r>
            <w:r w:rsidR="00517309">
              <w:rPr>
                <w:noProof/>
                <w:webHidden/>
              </w:rPr>
              <w:tab/>
            </w:r>
            <w:r w:rsidR="00517309">
              <w:rPr>
                <w:noProof/>
                <w:webHidden/>
              </w:rPr>
              <w:fldChar w:fldCharType="begin"/>
            </w:r>
            <w:r w:rsidR="00517309">
              <w:rPr>
                <w:noProof/>
                <w:webHidden/>
              </w:rPr>
              <w:instrText xml:space="preserve"> PAGEREF _Toc124499457 \h </w:instrText>
            </w:r>
            <w:r w:rsidR="00517309">
              <w:rPr>
                <w:noProof/>
                <w:webHidden/>
              </w:rPr>
            </w:r>
            <w:r w:rsidR="00517309">
              <w:rPr>
                <w:noProof/>
                <w:webHidden/>
              </w:rPr>
              <w:fldChar w:fldCharType="separate"/>
            </w:r>
            <w:r w:rsidR="00517309">
              <w:rPr>
                <w:noProof/>
                <w:webHidden/>
              </w:rPr>
              <w:t>6</w:t>
            </w:r>
            <w:r w:rsidR="00517309">
              <w:rPr>
                <w:noProof/>
                <w:webHidden/>
              </w:rPr>
              <w:fldChar w:fldCharType="end"/>
            </w:r>
          </w:hyperlink>
        </w:p>
        <w:p w14:paraId="12D88FC1" w14:textId="30CC3D02" w:rsidR="00517309" w:rsidRDefault="00000000">
          <w:pPr>
            <w:pStyle w:val="TOC3"/>
            <w:tabs>
              <w:tab w:val="left" w:pos="1540"/>
              <w:tab w:val="right" w:leader="dot" w:pos="9350"/>
            </w:tabs>
            <w:rPr>
              <w:rFonts w:eastAsiaTheme="minorEastAsia" w:cstheme="minorBidi"/>
              <w:noProof/>
              <w:sz w:val="24"/>
              <w:szCs w:val="24"/>
            </w:rPr>
          </w:pPr>
          <w:hyperlink w:anchor="_Toc124499458" w:history="1">
            <w:r w:rsidR="00517309" w:rsidRPr="003F3909">
              <w:rPr>
                <w:rStyle w:val="Hyperlink"/>
                <w:noProof/>
              </w:rPr>
              <w:t>Table S1</w:t>
            </w:r>
            <w:r w:rsidR="00517309">
              <w:rPr>
                <w:rFonts w:eastAsiaTheme="minorEastAsia" w:cstheme="minorBidi"/>
                <w:noProof/>
                <w:sz w:val="24"/>
                <w:szCs w:val="24"/>
              </w:rPr>
              <w:tab/>
            </w:r>
            <w:r w:rsidR="00517309" w:rsidRPr="003F3909">
              <w:rPr>
                <w:rStyle w:val="Hyperlink"/>
                <w:noProof/>
              </w:rPr>
              <w:t>GATHER checklist</w:t>
            </w:r>
            <w:r w:rsidR="00517309">
              <w:rPr>
                <w:noProof/>
                <w:webHidden/>
              </w:rPr>
              <w:tab/>
            </w:r>
            <w:r w:rsidR="00517309">
              <w:rPr>
                <w:noProof/>
                <w:webHidden/>
              </w:rPr>
              <w:fldChar w:fldCharType="begin"/>
            </w:r>
            <w:r w:rsidR="00517309">
              <w:rPr>
                <w:noProof/>
                <w:webHidden/>
              </w:rPr>
              <w:instrText xml:space="preserve"> PAGEREF _Toc124499458 \h </w:instrText>
            </w:r>
            <w:r w:rsidR="00517309">
              <w:rPr>
                <w:noProof/>
                <w:webHidden/>
              </w:rPr>
            </w:r>
            <w:r w:rsidR="00517309">
              <w:rPr>
                <w:noProof/>
                <w:webHidden/>
              </w:rPr>
              <w:fldChar w:fldCharType="separate"/>
            </w:r>
            <w:r w:rsidR="00517309">
              <w:rPr>
                <w:noProof/>
                <w:webHidden/>
              </w:rPr>
              <w:t>6</w:t>
            </w:r>
            <w:r w:rsidR="00517309">
              <w:rPr>
                <w:noProof/>
                <w:webHidden/>
              </w:rPr>
              <w:fldChar w:fldCharType="end"/>
            </w:r>
          </w:hyperlink>
        </w:p>
        <w:p w14:paraId="190FA6AC" w14:textId="6F6884C0" w:rsidR="00517309" w:rsidRDefault="00000000">
          <w:pPr>
            <w:pStyle w:val="TOC1"/>
            <w:tabs>
              <w:tab w:val="left" w:pos="1320"/>
              <w:tab w:val="right" w:leader="dot" w:pos="9350"/>
            </w:tabs>
            <w:rPr>
              <w:rFonts w:eastAsiaTheme="minorEastAsia" w:cstheme="minorBidi"/>
              <w:b w:val="0"/>
              <w:bCs w:val="0"/>
              <w:i w:val="0"/>
              <w:iCs w:val="0"/>
              <w:noProof/>
            </w:rPr>
          </w:pPr>
          <w:hyperlink w:anchor="_Toc124499459" w:history="1">
            <w:r w:rsidR="00517309" w:rsidRPr="003F3909">
              <w:rPr>
                <w:rStyle w:val="Hyperlink"/>
                <w:noProof/>
                <w:lang w:val="en-GB"/>
              </w:rPr>
              <w:t>Section 3</w:t>
            </w:r>
            <w:r w:rsidR="00517309">
              <w:rPr>
                <w:rFonts w:eastAsiaTheme="minorEastAsia" w:cstheme="minorBidi"/>
                <w:b w:val="0"/>
                <w:bCs w:val="0"/>
                <w:i w:val="0"/>
                <w:iCs w:val="0"/>
                <w:noProof/>
              </w:rPr>
              <w:tab/>
            </w:r>
            <w:r w:rsidR="00517309" w:rsidRPr="003F3909">
              <w:rPr>
                <w:rStyle w:val="Hyperlink"/>
                <w:noProof/>
                <w:lang w:val="en-GB"/>
              </w:rPr>
              <w:t>Primary model inputs</w:t>
            </w:r>
            <w:r w:rsidR="00517309" w:rsidRPr="003F3909">
              <w:rPr>
                <w:rStyle w:val="Hyperlink"/>
                <w:noProof/>
                <w:vertAlign w:val="superscript"/>
              </w:rPr>
              <w:t>2</w:t>
            </w:r>
            <w:r w:rsidR="00517309">
              <w:rPr>
                <w:noProof/>
                <w:webHidden/>
              </w:rPr>
              <w:tab/>
            </w:r>
            <w:r w:rsidR="00517309">
              <w:rPr>
                <w:noProof/>
                <w:webHidden/>
              </w:rPr>
              <w:fldChar w:fldCharType="begin"/>
            </w:r>
            <w:r w:rsidR="00517309">
              <w:rPr>
                <w:noProof/>
                <w:webHidden/>
              </w:rPr>
              <w:instrText xml:space="preserve"> PAGEREF _Toc124499459 \h </w:instrText>
            </w:r>
            <w:r w:rsidR="00517309">
              <w:rPr>
                <w:noProof/>
                <w:webHidden/>
              </w:rPr>
            </w:r>
            <w:r w:rsidR="00517309">
              <w:rPr>
                <w:noProof/>
                <w:webHidden/>
              </w:rPr>
              <w:fldChar w:fldCharType="separate"/>
            </w:r>
            <w:r w:rsidR="00517309">
              <w:rPr>
                <w:noProof/>
                <w:webHidden/>
              </w:rPr>
              <w:t>7</w:t>
            </w:r>
            <w:r w:rsidR="00517309">
              <w:rPr>
                <w:noProof/>
                <w:webHidden/>
              </w:rPr>
              <w:fldChar w:fldCharType="end"/>
            </w:r>
          </w:hyperlink>
        </w:p>
        <w:p w14:paraId="0879D9DF" w14:textId="04651853"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60" w:history="1">
            <w:r w:rsidR="00517309" w:rsidRPr="003F3909">
              <w:rPr>
                <w:rStyle w:val="Hyperlink"/>
                <w:noProof/>
                <w:lang w:val="en-GB"/>
              </w:rPr>
              <w:t>Section 3.1</w:t>
            </w:r>
            <w:r w:rsidR="00517309">
              <w:rPr>
                <w:rFonts w:eastAsiaTheme="minorEastAsia" w:cstheme="minorBidi"/>
                <w:b w:val="0"/>
                <w:bCs w:val="0"/>
                <w:noProof/>
                <w:sz w:val="24"/>
                <w:szCs w:val="24"/>
              </w:rPr>
              <w:tab/>
            </w:r>
            <w:r w:rsidR="00517309" w:rsidRPr="003F3909">
              <w:rPr>
                <w:rStyle w:val="Hyperlink"/>
                <w:noProof/>
                <w:lang w:val="en-GB"/>
              </w:rPr>
              <w:t>Reported cases data</w:t>
            </w:r>
            <w:r w:rsidR="00517309">
              <w:rPr>
                <w:noProof/>
                <w:webHidden/>
              </w:rPr>
              <w:tab/>
            </w:r>
            <w:r w:rsidR="00517309">
              <w:rPr>
                <w:noProof/>
                <w:webHidden/>
              </w:rPr>
              <w:fldChar w:fldCharType="begin"/>
            </w:r>
            <w:r w:rsidR="00517309">
              <w:rPr>
                <w:noProof/>
                <w:webHidden/>
              </w:rPr>
              <w:instrText xml:space="preserve"> PAGEREF _Toc124499460 \h </w:instrText>
            </w:r>
            <w:r w:rsidR="00517309">
              <w:rPr>
                <w:noProof/>
                <w:webHidden/>
              </w:rPr>
            </w:r>
            <w:r w:rsidR="00517309">
              <w:rPr>
                <w:noProof/>
                <w:webHidden/>
              </w:rPr>
              <w:fldChar w:fldCharType="separate"/>
            </w:r>
            <w:r w:rsidR="00517309">
              <w:rPr>
                <w:noProof/>
                <w:webHidden/>
              </w:rPr>
              <w:t>7</w:t>
            </w:r>
            <w:r w:rsidR="00517309">
              <w:rPr>
                <w:noProof/>
                <w:webHidden/>
              </w:rPr>
              <w:fldChar w:fldCharType="end"/>
            </w:r>
          </w:hyperlink>
        </w:p>
        <w:p w14:paraId="45A7FB21" w14:textId="7DC46940"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61" w:history="1">
            <w:r w:rsidR="00517309" w:rsidRPr="003F3909">
              <w:rPr>
                <w:rStyle w:val="Hyperlink"/>
                <w:noProof/>
              </w:rPr>
              <w:t>Section 3.2</w:t>
            </w:r>
            <w:r w:rsidR="00517309">
              <w:rPr>
                <w:rFonts w:eastAsiaTheme="minorEastAsia" w:cstheme="minorBidi"/>
                <w:b w:val="0"/>
                <w:bCs w:val="0"/>
                <w:noProof/>
                <w:sz w:val="24"/>
                <w:szCs w:val="24"/>
              </w:rPr>
              <w:tab/>
            </w:r>
            <w:r w:rsidR="00517309" w:rsidRPr="003F3909">
              <w:rPr>
                <w:rStyle w:val="Hyperlink"/>
                <w:noProof/>
              </w:rPr>
              <w:t>Hospital admissions data</w:t>
            </w:r>
            <w:r w:rsidR="00517309">
              <w:rPr>
                <w:noProof/>
                <w:webHidden/>
              </w:rPr>
              <w:tab/>
            </w:r>
            <w:r w:rsidR="00517309">
              <w:rPr>
                <w:noProof/>
                <w:webHidden/>
              </w:rPr>
              <w:fldChar w:fldCharType="begin"/>
            </w:r>
            <w:r w:rsidR="00517309">
              <w:rPr>
                <w:noProof/>
                <w:webHidden/>
              </w:rPr>
              <w:instrText xml:space="preserve"> PAGEREF _Toc124499461 \h </w:instrText>
            </w:r>
            <w:r w:rsidR="00517309">
              <w:rPr>
                <w:noProof/>
                <w:webHidden/>
              </w:rPr>
            </w:r>
            <w:r w:rsidR="00517309">
              <w:rPr>
                <w:noProof/>
                <w:webHidden/>
              </w:rPr>
              <w:fldChar w:fldCharType="separate"/>
            </w:r>
            <w:r w:rsidR="00517309">
              <w:rPr>
                <w:noProof/>
                <w:webHidden/>
              </w:rPr>
              <w:t>7</w:t>
            </w:r>
            <w:r w:rsidR="00517309">
              <w:rPr>
                <w:noProof/>
                <w:webHidden/>
              </w:rPr>
              <w:fldChar w:fldCharType="end"/>
            </w:r>
          </w:hyperlink>
        </w:p>
        <w:p w14:paraId="585A06E4" w14:textId="746E908E"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62" w:history="1">
            <w:r w:rsidR="00517309" w:rsidRPr="003F3909">
              <w:rPr>
                <w:rStyle w:val="Hyperlink"/>
                <w:noProof/>
              </w:rPr>
              <w:t>Section 3.3</w:t>
            </w:r>
            <w:r w:rsidR="00517309">
              <w:rPr>
                <w:rFonts w:eastAsiaTheme="minorEastAsia" w:cstheme="minorBidi"/>
                <w:b w:val="0"/>
                <w:bCs w:val="0"/>
                <w:noProof/>
                <w:sz w:val="24"/>
                <w:szCs w:val="24"/>
              </w:rPr>
              <w:tab/>
            </w:r>
            <w:r w:rsidR="00517309" w:rsidRPr="003F3909">
              <w:rPr>
                <w:rStyle w:val="Hyperlink"/>
                <w:noProof/>
              </w:rPr>
              <w:t>Reported deaths data</w:t>
            </w:r>
            <w:r w:rsidR="00517309">
              <w:rPr>
                <w:noProof/>
                <w:webHidden/>
              </w:rPr>
              <w:tab/>
            </w:r>
            <w:r w:rsidR="00517309">
              <w:rPr>
                <w:noProof/>
                <w:webHidden/>
              </w:rPr>
              <w:fldChar w:fldCharType="begin"/>
            </w:r>
            <w:r w:rsidR="00517309">
              <w:rPr>
                <w:noProof/>
                <w:webHidden/>
              </w:rPr>
              <w:instrText xml:space="preserve"> PAGEREF _Toc124499462 \h </w:instrText>
            </w:r>
            <w:r w:rsidR="00517309">
              <w:rPr>
                <w:noProof/>
                <w:webHidden/>
              </w:rPr>
            </w:r>
            <w:r w:rsidR="00517309">
              <w:rPr>
                <w:noProof/>
                <w:webHidden/>
              </w:rPr>
              <w:fldChar w:fldCharType="separate"/>
            </w:r>
            <w:r w:rsidR="00517309">
              <w:rPr>
                <w:noProof/>
                <w:webHidden/>
              </w:rPr>
              <w:t>7</w:t>
            </w:r>
            <w:r w:rsidR="00517309">
              <w:rPr>
                <w:noProof/>
                <w:webHidden/>
              </w:rPr>
              <w:fldChar w:fldCharType="end"/>
            </w:r>
          </w:hyperlink>
        </w:p>
        <w:p w14:paraId="10C733DF" w14:textId="1E8B5300"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63" w:history="1">
            <w:r w:rsidR="00517309" w:rsidRPr="003F3909">
              <w:rPr>
                <w:rStyle w:val="Hyperlink"/>
                <w:noProof/>
              </w:rPr>
              <w:t>Section 3.4</w:t>
            </w:r>
            <w:r w:rsidR="00517309">
              <w:rPr>
                <w:rFonts w:eastAsiaTheme="minorEastAsia" w:cstheme="minorBidi"/>
                <w:b w:val="0"/>
                <w:bCs w:val="0"/>
                <w:noProof/>
                <w:sz w:val="24"/>
                <w:szCs w:val="24"/>
              </w:rPr>
              <w:tab/>
            </w:r>
            <w:r w:rsidR="00517309" w:rsidRPr="003F3909">
              <w:rPr>
                <w:rStyle w:val="Hyperlink"/>
                <w:noProof/>
              </w:rPr>
              <w:t>Seroprevalence data</w:t>
            </w:r>
            <w:r w:rsidR="00517309">
              <w:rPr>
                <w:noProof/>
                <w:webHidden/>
              </w:rPr>
              <w:tab/>
            </w:r>
            <w:r w:rsidR="00517309">
              <w:rPr>
                <w:noProof/>
                <w:webHidden/>
              </w:rPr>
              <w:fldChar w:fldCharType="begin"/>
            </w:r>
            <w:r w:rsidR="00517309">
              <w:rPr>
                <w:noProof/>
                <w:webHidden/>
              </w:rPr>
              <w:instrText xml:space="preserve"> PAGEREF _Toc124499463 \h </w:instrText>
            </w:r>
            <w:r w:rsidR="00517309">
              <w:rPr>
                <w:noProof/>
                <w:webHidden/>
              </w:rPr>
            </w:r>
            <w:r w:rsidR="00517309">
              <w:rPr>
                <w:noProof/>
                <w:webHidden/>
              </w:rPr>
              <w:fldChar w:fldCharType="separate"/>
            </w:r>
            <w:r w:rsidR="00517309">
              <w:rPr>
                <w:noProof/>
                <w:webHidden/>
              </w:rPr>
              <w:t>7</w:t>
            </w:r>
            <w:r w:rsidR="00517309">
              <w:rPr>
                <w:noProof/>
                <w:webHidden/>
              </w:rPr>
              <w:fldChar w:fldCharType="end"/>
            </w:r>
          </w:hyperlink>
        </w:p>
        <w:p w14:paraId="451D99B9" w14:textId="522B05A6" w:rsidR="00517309" w:rsidRDefault="00000000">
          <w:pPr>
            <w:pStyle w:val="TOC1"/>
            <w:tabs>
              <w:tab w:val="left" w:pos="1320"/>
              <w:tab w:val="right" w:leader="dot" w:pos="9350"/>
            </w:tabs>
            <w:rPr>
              <w:rFonts w:eastAsiaTheme="minorEastAsia" w:cstheme="minorBidi"/>
              <w:b w:val="0"/>
              <w:bCs w:val="0"/>
              <w:i w:val="0"/>
              <w:iCs w:val="0"/>
              <w:noProof/>
            </w:rPr>
          </w:pPr>
          <w:hyperlink w:anchor="_Toc124499464" w:history="1">
            <w:r w:rsidR="00517309" w:rsidRPr="003F3909">
              <w:rPr>
                <w:rStyle w:val="Hyperlink"/>
                <w:noProof/>
                <w:lang w:val="en-GB"/>
              </w:rPr>
              <w:t>Section 4</w:t>
            </w:r>
            <w:r w:rsidR="00517309">
              <w:rPr>
                <w:rFonts w:eastAsiaTheme="minorEastAsia" w:cstheme="minorBidi"/>
                <w:b w:val="0"/>
                <w:bCs w:val="0"/>
                <w:i w:val="0"/>
                <w:iCs w:val="0"/>
                <w:noProof/>
              </w:rPr>
              <w:tab/>
            </w:r>
            <w:r w:rsidR="00517309" w:rsidRPr="003F3909">
              <w:rPr>
                <w:rStyle w:val="Hyperlink"/>
                <w:noProof/>
                <w:lang w:val="en-GB"/>
              </w:rPr>
              <w:t>Historical ratio estimation</w:t>
            </w:r>
            <w:r w:rsidR="00517309">
              <w:rPr>
                <w:noProof/>
                <w:webHidden/>
              </w:rPr>
              <w:tab/>
            </w:r>
            <w:r w:rsidR="00517309">
              <w:rPr>
                <w:noProof/>
                <w:webHidden/>
              </w:rPr>
              <w:fldChar w:fldCharType="begin"/>
            </w:r>
            <w:r w:rsidR="00517309">
              <w:rPr>
                <w:noProof/>
                <w:webHidden/>
              </w:rPr>
              <w:instrText xml:space="preserve"> PAGEREF _Toc124499464 \h </w:instrText>
            </w:r>
            <w:r w:rsidR="00517309">
              <w:rPr>
                <w:noProof/>
                <w:webHidden/>
              </w:rPr>
            </w:r>
            <w:r w:rsidR="00517309">
              <w:rPr>
                <w:noProof/>
                <w:webHidden/>
              </w:rPr>
              <w:fldChar w:fldCharType="separate"/>
            </w:r>
            <w:r w:rsidR="00517309">
              <w:rPr>
                <w:noProof/>
                <w:webHidden/>
              </w:rPr>
              <w:t>8</w:t>
            </w:r>
            <w:r w:rsidR="00517309">
              <w:rPr>
                <w:noProof/>
                <w:webHidden/>
              </w:rPr>
              <w:fldChar w:fldCharType="end"/>
            </w:r>
          </w:hyperlink>
        </w:p>
        <w:p w14:paraId="1B9F3264" w14:textId="1CA731B9" w:rsidR="00517309" w:rsidRDefault="00000000">
          <w:pPr>
            <w:pStyle w:val="TOC1"/>
            <w:tabs>
              <w:tab w:val="left" w:pos="1320"/>
              <w:tab w:val="right" w:leader="dot" w:pos="9350"/>
            </w:tabs>
            <w:rPr>
              <w:rFonts w:eastAsiaTheme="minorEastAsia" w:cstheme="minorBidi"/>
              <w:b w:val="0"/>
              <w:bCs w:val="0"/>
              <w:i w:val="0"/>
              <w:iCs w:val="0"/>
              <w:noProof/>
            </w:rPr>
          </w:pPr>
          <w:hyperlink w:anchor="_Toc124499465" w:history="1">
            <w:r w:rsidR="00517309" w:rsidRPr="003F3909">
              <w:rPr>
                <w:rStyle w:val="Hyperlink"/>
                <w:noProof/>
                <w:lang w:val="en-GB"/>
              </w:rPr>
              <w:t>Section 5</w:t>
            </w:r>
            <w:r w:rsidR="00517309">
              <w:rPr>
                <w:rFonts w:eastAsiaTheme="minorEastAsia" w:cstheme="minorBidi"/>
                <w:b w:val="0"/>
                <w:bCs w:val="0"/>
                <w:i w:val="0"/>
                <w:iCs w:val="0"/>
                <w:noProof/>
              </w:rPr>
              <w:tab/>
            </w:r>
            <w:r w:rsidR="00517309" w:rsidRPr="003F3909">
              <w:rPr>
                <w:rStyle w:val="Hyperlink"/>
                <w:noProof/>
                <w:lang w:val="en-GB"/>
              </w:rPr>
              <w:t>Model drivers</w:t>
            </w:r>
            <w:r w:rsidR="00517309">
              <w:rPr>
                <w:noProof/>
                <w:webHidden/>
              </w:rPr>
              <w:tab/>
            </w:r>
            <w:r w:rsidR="00517309">
              <w:rPr>
                <w:noProof/>
                <w:webHidden/>
              </w:rPr>
              <w:fldChar w:fldCharType="begin"/>
            </w:r>
            <w:r w:rsidR="00517309">
              <w:rPr>
                <w:noProof/>
                <w:webHidden/>
              </w:rPr>
              <w:instrText xml:space="preserve"> PAGEREF _Toc124499465 \h </w:instrText>
            </w:r>
            <w:r w:rsidR="00517309">
              <w:rPr>
                <w:noProof/>
                <w:webHidden/>
              </w:rPr>
            </w:r>
            <w:r w:rsidR="00517309">
              <w:rPr>
                <w:noProof/>
                <w:webHidden/>
              </w:rPr>
              <w:fldChar w:fldCharType="separate"/>
            </w:r>
            <w:r w:rsidR="00517309">
              <w:rPr>
                <w:noProof/>
                <w:webHidden/>
              </w:rPr>
              <w:t>8</w:t>
            </w:r>
            <w:r w:rsidR="00517309">
              <w:rPr>
                <w:noProof/>
                <w:webHidden/>
              </w:rPr>
              <w:fldChar w:fldCharType="end"/>
            </w:r>
          </w:hyperlink>
        </w:p>
        <w:p w14:paraId="455CD42F" w14:textId="343A1838"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66" w:history="1">
            <w:r w:rsidR="00517309" w:rsidRPr="003F3909">
              <w:rPr>
                <w:rStyle w:val="Hyperlink"/>
                <w:noProof/>
                <w:lang w:val="en-GB"/>
              </w:rPr>
              <w:t>Section 5.1</w:t>
            </w:r>
            <w:r w:rsidR="00517309">
              <w:rPr>
                <w:rFonts w:eastAsiaTheme="minorEastAsia" w:cstheme="minorBidi"/>
                <w:b w:val="0"/>
                <w:bCs w:val="0"/>
                <w:noProof/>
                <w:sz w:val="24"/>
                <w:szCs w:val="24"/>
              </w:rPr>
              <w:tab/>
            </w:r>
            <w:r w:rsidR="00517309" w:rsidRPr="003F3909">
              <w:rPr>
                <w:rStyle w:val="Hyperlink"/>
                <w:noProof/>
                <w:lang w:val="en-GB"/>
              </w:rPr>
              <w:t>Variants</w:t>
            </w:r>
            <w:r w:rsidR="00517309">
              <w:rPr>
                <w:noProof/>
                <w:webHidden/>
              </w:rPr>
              <w:tab/>
            </w:r>
            <w:r w:rsidR="00517309">
              <w:rPr>
                <w:noProof/>
                <w:webHidden/>
              </w:rPr>
              <w:fldChar w:fldCharType="begin"/>
            </w:r>
            <w:r w:rsidR="00517309">
              <w:rPr>
                <w:noProof/>
                <w:webHidden/>
              </w:rPr>
              <w:instrText xml:space="preserve"> PAGEREF _Toc124499466 \h </w:instrText>
            </w:r>
            <w:r w:rsidR="00517309">
              <w:rPr>
                <w:noProof/>
                <w:webHidden/>
              </w:rPr>
            </w:r>
            <w:r w:rsidR="00517309">
              <w:rPr>
                <w:noProof/>
                <w:webHidden/>
              </w:rPr>
              <w:fldChar w:fldCharType="separate"/>
            </w:r>
            <w:r w:rsidR="00517309">
              <w:rPr>
                <w:noProof/>
                <w:webHidden/>
              </w:rPr>
              <w:t>8</w:t>
            </w:r>
            <w:r w:rsidR="00517309">
              <w:rPr>
                <w:noProof/>
                <w:webHidden/>
              </w:rPr>
              <w:fldChar w:fldCharType="end"/>
            </w:r>
          </w:hyperlink>
        </w:p>
        <w:p w14:paraId="1544EF36" w14:textId="0BB5554E" w:rsidR="00517309" w:rsidRDefault="00000000">
          <w:pPr>
            <w:pStyle w:val="TOC3"/>
            <w:tabs>
              <w:tab w:val="left" w:pos="1760"/>
              <w:tab w:val="right" w:leader="dot" w:pos="9350"/>
            </w:tabs>
            <w:rPr>
              <w:rFonts w:eastAsiaTheme="minorEastAsia" w:cstheme="minorBidi"/>
              <w:noProof/>
              <w:sz w:val="24"/>
              <w:szCs w:val="24"/>
            </w:rPr>
          </w:pPr>
          <w:hyperlink w:anchor="_Toc124499467" w:history="1">
            <w:r w:rsidR="00517309" w:rsidRPr="003F3909">
              <w:rPr>
                <w:rStyle w:val="Hyperlink"/>
                <w:noProof/>
                <w:lang w:val="en-GB"/>
              </w:rPr>
              <w:t>Section 5.1.1</w:t>
            </w:r>
            <w:r w:rsidR="00517309">
              <w:rPr>
                <w:rFonts w:eastAsiaTheme="minorEastAsia" w:cstheme="minorBidi"/>
                <w:noProof/>
                <w:sz w:val="24"/>
                <w:szCs w:val="24"/>
              </w:rPr>
              <w:tab/>
            </w:r>
            <w:r w:rsidR="00517309" w:rsidRPr="003F3909">
              <w:rPr>
                <w:rStyle w:val="Hyperlink"/>
                <w:noProof/>
                <w:lang w:val="en-GB"/>
              </w:rPr>
              <w:t>Data sources</w:t>
            </w:r>
            <w:r w:rsidR="00517309">
              <w:rPr>
                <w:noProof/>
                <w:webHidden/>
              </w:rPr>
              <w:tab/>
            </w:r>
            <w:r w:rsidR="00517309">
              <w:rPr>
                <w:noProof/>
                <w:webHidden/>
              </w:rPr>
              <w:fldChar w:fldCharType="begin"/>
            </w:r>
            <w:r w:rsidR="00517309">
              <w:rPr>
                <w:noProof/>
                <w:webHidden/>
              </w:rPr>
              <w:instrText xml:space="preserve"> PAGEREF _Toc124499467 \h </w:instrText>
            </w:r>
            <w:r w:rsidR="00517309">
              <w:rPr>
                <w:noProof/>
                <w:webHidden/>
              </w:rPr>
            </w:r>
            <w:r w:rsidR="00517309">
              <w:rPr>
                <w:noProof/>
                <w:webHidden/>
              </w:rPr>
              <w:fldChar w:fldCharType="separate"/>
            </w:r>
            <w:r w:rsidR="00517309">
              <w:rPr>
                <w:noProof/>
                <w:webHidden/>
              </w:rPr>
              <w:t>8</w:t>
            </w:r>
            <w:r w:rsidR="00517309">
              <w:rPr>
                <w:noProof/>
                <w:webHidden/>
              </w:rPr>
              <w:fldChar w:fldCharType="end"/>
            </w:r>
          </w:hyperlink>
        </w:p>
        <w:p w14:paraId="10999FD2" w14:textId="3F858BCA" w:rsidR="00517309" w:rsidRDefault="00000000">
          <w:pPr>
            <w:pStyle w:val="TOC3"/>
            <w:tabs>
              <w:tab w:val="left" w:pos="1760"/>
              <w:tab w:val="right" w:leader="dot" w:pos="9350"/>
            </w:tabs>
            <w:rPr>
              <w:rFonts w:eastAsiaTheme="minorEastAsia" w:cstheme="minorBidi"/>
              <w:noProof/>
              <w:sz w:val="24"/>
              <w:szCs w:val="24"/>
            </w:rPr>
          </w:pPr>
          <w:hyperlink w:anchor="_Toc124499468" w:history="1">
            <w:r w:rsidR="00517309" w:rsidRPr="003F3909">
              <w:rPr>
                <w:rStyle w:val="Hyperlink"/>
                <w:noProof/>
                <w:lang w:val="en-GB"/>
              </w:rPr>
              <w:t>Section 5.1.2</w:t>
            </w:r>
            <w:r w:rsidR="00517309">
              <w:rPr>
                <w:rFonts w:eastAsiaTheme="minorEastAsia" w:cstheme="minorBidi"/>
                <w:noProof/>
                <w:sz w:val="24"/>
                <w:szCs w:val="24"/>
              </w:rPr>
              <w:tab/>
            </w:r>
            <w:r w:rsidR="00517309" w:rsidRPr="003F3909">
              <w:rPr>
                <w:rStyle w:val="Hyperlink"/>
                <w:noProof/>
                <w:lang w:val="en-GB"/>
              </w:rPr>
              <w:t>Modelling sequence data</w:t>
            </w:r>
            <w:r w:rsidR="00517309">
              <w:rPr>
                <w:noProof/>
                <w:webHidden/>
              </w:rPr>
              <w:tab/>
            </w:r>
            <w:r w:rsidR="00517309">
              <w:rPr>
                <w:noProof/>
                <w:webHidden/>
              </w:rPr>
              <w:fldChar w:fldCharType="begin"/>
            </w:r>
            <w:r w:rsidR="00517309">
              <w:rPr>
                <w:noProof/>
                <w:webHidden/>
              </w:rPr>
              <w:instrText xml:space="preserve"> PAGEREF _Toc124499468 \h </w:instrText>
            </w:r>
            <w:r w:rsidR="00517309">
              <w:rPr>
                <w:noProof/>
                <w:webHidden/>
              </w:rPr>
            </w:r>
            <w:r w:rsidR="00517309">
              <w:rPr>
                <w:noProof/>
                <w:webHidden/>
              </w:rPr>
              <w:fldChar w:fldCharType="separate"/>
            </w:r>
            <w:r w:rsidR="00517309">
              <w:rPr>
                <w:noProof/>
                <w:webHidden/>
              </w:rPr>
              <w:t>8</w:t>
            </w:r>
            <w:r w:rsidR="00517309">
              <w:rPr>
                <w:noProof/>
                <w:webHidden/>
              </w:rPr>
              <w:fldChar w:fldCharType="end"/>
            </w:r>
          </w:hyperlink>
        </w:p>
        <w:p w14:paraId="7094ED6A" w14:textId="1E1255A2" w:rsidR="00517309" w:rsidRDefault="00000000">
          <w:pPr>
            <w:pStyle w:val="TOC3"/>
            <w:tabs>
              <w:tab w:val="left" w:pos="1760"/>
              <w:tab w:val="right" w:leader="dot" w:pos="9350"/>
            </w:tabs>
            <w:rPr>
              <w:rFonts w:eastAsiaTheme="minorEastAsia" w:cstheme="minorBidi"/>
              <w:noProof/>
              <w:sz w:val="24"/>
              <w:szCs w:val="24"/>
            </w:rPr>
          </w:pPr>
          <w:hyperlink w:anchor="_Toc124499469" w:history="1">
            <w:r w:rsidR="00517309" w:rsidRPr="003F3909">
              <w:rPr>
                <w:rStyle w:val="Hyperlink"/>
                <w:noProof/>
                <w:lang w:val="en-GB"/>
              </w:rPr>
              <w:t>Section 5.1.3</w:t>
            </w:r>
            <w:r w:rsidR="00517309">
              <w:rPr>
                <w:rFonts w:eastAsiaTheme="minorEastAsia" w:cstheme="minorBidi"/>
                <w:noProof/>
                <w:sz w:val="24"/>
                <w:szCs w:val="24"/>
              </w:rPr>
              <w:tab/>
            </w:r>
            <w:r w:rsidR="00517309" w:rsidRPr="003F3909">
              <w:rPr>
                <w:rStyle w:val="Hyperlink"/>
                <w:noProof/>
                <w:lang w:val="en-GB"/>
              </w:rPr>
              <w:t>Model calibration</w:t>
            </w:r>
            <w:r w:rsidR="00517309">
              <w:rPr>
                <w:noProof/>
                <w:webHidden/>
              </w:rPr>
              <w:tab/>
            </w:r>
            <w:r w:rsidR="00517309">
              <w:rPr>
                <w:noProof/>
                <w:webHidden/>
              </w:rPr>
              <w:fldChar w:fldCharType="begin"/>
            </w:r>
            <w:r w:rsidR="00517309">
              <w:rPr>
                <w:noProof/>
                <w:webHidden/>
              </w:rPr>
              <w:instrText xml:space="preserve"> PAGEREF _Toc124499469 \h </w:instrText>
            </w:r>
            <w:r w:rsidR="00517309">
              <w:rPr>
                <w:noProof/>
                <w:webHidden/>
              </w:rPr>
            </w:r>
            <w:r w:rsidR="00517309">
              <w:rPr>
                <w:noProof/>
                <w:webHidden/>
              </w:rPr>
              <w:fldChar w:fldCharType="separate"/>
            </w:r>
            <w:r w:rsidR="00517309">
              <w:rPr>
                <w:noProof/>
                <w:webHidden/>
              </w:rPr>
              <w:t>9</w:t>
            </w:r>
            <w:r w:rsidR="00517309">
              <w:rPr>
                <w:noProof/>
                <w:webHidden/>
              </w:rPr>
              <w:fldChar w:fldCharType="end"/>
            </w:r>
          </w:hyperlink>
        </w:p>
        <w:p w14:paraId="1C64E935" w14:textId="05B7840B" w:rsidR="00517309" w:rsidRDefault="00000000">
          <w:pPr>
            <w:pStyle w:val="TOC3"/>
            <w:tabs>
              <w:tab w:val="left" w:pos="1760"/>
              <w:tab w:val="right" w:leader="dot" w:pos="9350"/>
            </w:tabs>
            <w:rPr>
              <w:rFonts w:eastAsiaTheme="minorEastAsia" w:cstheme="minorBidi"/>
              <w:noProof/>
              <w:sz w:val="24"/>
              <w:szCs w:val="24"/>
            </w:rPr>
          </w:pPr>
          <w:hyperlink w:anchor="_Toc124499470" w:history="1">
            <w:r w:rsidR="00517309" w:rsidRPr="003F3909">
              <w:rPr>
                <w:rStyle w:val="Hyperlink"/>
                <w:noProof/>
                <w:lang w:val="en-GB"/>
              </w:rPr>
              <w:t>Section 5.1.4</w:t>
            </w:r>
            <w:r w:rsidR="00517309">
              <w:rPr>
                <w:rFonts w:eastAsiaTheme="minorEastAsia" w:cstheme="minorBidi"/>
                <w:noProof/>
                <w:sz w:val="24"/>
                <w:szCs w:val="24"/>
              </w:rPr>
              <w:tab/>
            </w:r>
            <w:r w:rsidR="00517309" w:rsidRPr="003F3909">
              <w:rPr>
                <w:rStyle w:val="Hyperlink"/>
                <w:noProof/>
                <w:lang w:val="en-GB"/>
              </w:rPr>
              <w:t>New variant invasion scenario</w:t>
            </w:r>
            <w:r w:rsidR="00517309">
              <w:rPr>
                <w:noProof/>
                <w:webHidden/>
              </w:rPr>
              <w:tab/>
            </w:r>
            <w:r w:rsidR="00517309">
              <w:rPr>
                <w:noProof/>
                <w:webHidden/>
              </w:rPr>
              <w:fldChar w:fldCharType="begin"/>
            </w:r>
            <w:r w:rsidR="00517309">
              <w:rPr>
                <w:noProof/>
                <w:webHidden/>
              </w:rPr>
              <w:instrText xml:space="preserve"> PAGEREF _Toc124499470 \h </w:instrText>
            </w:r>
            <w:r w:rsidR="00517309">
              <w:rPr>
                <w:noProof/>
                <w:webHidden/>
              </w:rPr>
            </w:r>
            <w:r w:rsidR="00517309">
              <w:rPr>
                <w:noProof/>
                <w:webHidden/>
              </w:rPr>
              <w:fldChar w:fldCharType="separate"/>
            </w:r>
            <w:r w:rsidR="00517309">
              <w:rPr>
                <w:noProof/>
                <w:webHidden/>
              </w:rPr>
              <w:t>9</w:t>
            </w:r>
            <w:r w:rsidR="00517309">
              <w:rPr>
                <w:noProof/>
                <w:webHidden/>
              </w:rPr>
              <w:fldChar w:fldCharType="end"/>
            </w:r>
          </w:hyperlink>
        </w:p>
        <w:p w14:paraId="665346BB" w14:textId="724017B8"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71" w:history="1">
            <w:r w:rsidR="00517309" w:rsidRPr="003F3909">
              <w:rPr>
                <w:rStyle w:val="Hyperlink"/>
                <w:noProof/>
                <w:lang w:val="en-GB"/>
              </w:rPr>
              <w:t>Section 5.2</w:t>
            </w:r>
            <w:r w:rsidR="00517309">
              <w:rPr>
                <w:rFonts w:eastAsiaTheme="minorEastAsia" w:cstheme="minorBidi"/>
                <w:b w:val="0"/>
                <w:bCs w:val="0"/>
                <w:noProof/>
                <w:sz w:val="24"/>
                <w:szCs w:val="24"/>
              </w:rPr>
              <w:tab/>
            </w:r>
            <w:r w:rsidR="00517309" w:rsidRPr="003F3909">
              <w:rPr>
                <w:rStyle w:val="Hyperlink"/>
                <w:noProof/>
                <w:lang w:val="en-GB"/>
              </w:rPr>
              <w:t>Vaccination rates</w:t>
            </w:r>
            <w:r w:rsidR="00517309">
              <w:rPr>
                <w:noProof/>
                <w:webHidden/>
              </w:rPr>
              <w:tab/>
            </w:r>
            <w:r w:rsidR="00517309">
              <w:rPr>
                <w:noProof/>
                <w:webHidden/>
              </w:rPr>
              <w:fldChar w:fldCharType="begin"/>
            </w:r>
            <w:r w:rsidR="00517309">
              <w:rPr>
                <w:noProof/>
                <w:webHidden/>
              </w:rPr>
              <w:instrText xml:space="preserve"> PAGEREF _Toc124499471 \h </w:instrText>
            </w:r>
            <w:r w:rsidR="00517309">
              <w:rPr>
                <w:noProof/>
                <w:webHidden/>
              </w:rPr>
            </w:r>
            <w:r w:rsidR="00517309">
              <w:rPr>
                <w:noProof/>
                <w:webHidden/>
              </w:rPr>
              <w:fldChar w:fldCharType="separate"/>
            </w:r>
            <w:r w:rsidR="00517309">
              <w:rPr>
                <w:noProof/>
                <w:webHidden/>
              </w:rPr>
              <w:t>10</w:t>
            </w:r>
            <w:r w:rsidR="00517309">
              <w:rPr>
                <w:noProof/>
                <w:webHidden/>
              </w:rPr>
              <w:fldChar w:fldCharType="end"/>
            </w:r>
          </w:hyperlink>
        </w:p>
        <w:p w14:paraId="23CD61C8" w14:textId="72DF3B15" w:rsidR="00517309" w:rsidRDefault="00000000">
          <w:pPr>
            <w:pStyle w:val="TOC3"/>
            <w:tabs>
              <w:tab w:val="left" w:pos="1760"/>
              <w:tab w:val="right" w:leader="dot" w:pos="9350"/>
            </w:tabs>
            <w:rPr>
              <w:rFonts w:eastAsiaTheme="minorEastAsia" w:cstheme="minorBidi"/>
              <w:noProof/>
              <w:sz w:val="24"/>
              <w:szCs w:val="24"/>
            </w:rPr>
          </w:pPr>
          <w:hyperlink w:anchor="_Toc124499472" w:history="1">
            <w:r w:rsidR="00517309" w:rsidRPr="003F3909">
              <w:rPr>
                <w:rStyle w:val="Hyperlink"/>
                <w:noProof/>
                <w:lang w:val="en-GB"/>
              </w:rPr>
              <w:t>Section 5.2.1</w:t>
            </w:r>
            <w:r w:rsidR="00517309">
              <w:rPr>
                <w:rFonts w:eastAsiaTheme="minorEastAsia" w:cstheme="minorBidi"/>
                <w:noProof/>
                <w:sz w:val="24"/>
                <w:szCs w:val="24"/>
              </w:rPr>
              <w:tab/>
            </w:r>
            <w:r w:rsidR="00517309" w:rsidRPr="003F3909">
              <w:rPr>
                <w:rStyle w:val="Hyperlink"/>
                <w:noProof/>
                <w:lang w:val="en-GB"/>
              </w:rPr>
              <w:t>Vaccine delivery</w:t>
            </w:r>
            <w:r w:rsidR="00517309">
              <w:rPr>
                <w:noProof/>
                <w:webHidden/>
              </w:rPr>
              <w:tab/>
            </w:r>
            <w:r w:rsidR="00517309">
              <w:rPr>
                <w:noProof/>
                <w:webHidden/>
              </w:rPr>
              <w:fldChar w:fldCharType="begin"/>
            </w:r>
            <w:r w:rsidR="00517309">
              <w:rPr>
                <w:noProof/>
                <w:webHidden/>
              </w:rPr>
              <w:instrText xml:space="preserve"> PAGEREF _Toc124499472 \h </w:instrText>
            </w:r>
            <w:r w:rsidR="00517309">
              <w:rPr>
                <w:noProof/>
                <w:webHidden/>
              </w:rPr>
            </w:r>
            <w:r w:rsidR="00517309">
              <w:rPr>
                <w:noProof/>
                <w:webHidden/>
              </w:rPr>
              <w:fldChar w:fldCharType="separate"/>
            </w:r>
            <w:r w:rsidR="00517309">
              <w:rPr>
                <w:noProof/>
                <w:webHidden/>
              </w:rPr>
              <w:t>11</w:t>
            </w:r>
            <w:r w:rsidR="00517309">
              <w:rPr>
                <w:noProof/>
                <w:webHidden/>
              </w:rPr>
              <w:fldChar w:fldCharType="end"/>
            </w:r>
          </w:hyperlink>
        </w:p>
        <w:p w14:paraId="192CF413" w14:textId="2A10C346" w:rsidR="00517309" w:rsidRDefault="00000000">
          <w:pPr>
            <w:pStyle w:val="TOC3"/>
            <w:tabs>
              <w:tab w:val="left" w:pos="1760"/>
              <w:tab w:val="right" w:leader="dot" w:pos="9350"/>
            </w:tabs>
            <w:rPr>
              <w:rFonts w:eastAsiaTheme="minorEastAsia" w:cstheme="minorBidi"/>
              <w:noProof/>
              <w:sz w:val="24"/>
              <w:szCs w:val="24"/>
            </w:rPr>
          </w:pPr>
          <w:hyperlink w:anchor="_Toc124499473" w:history="1">
            <w:r w:rsidR="00517309" w:rsidRPr="003F3909">
              <w:rPr>
                <w:rStyle w:val="Hyperlink"/>
                <w:noProof/>
                <w:lang w:val="en-GB"/>
              </w:rPr>
              <w:t>Section 5.2.2</w:t>
            </w:r>
            <w:r w:rsidR="00517309">
              <w:rPr>
                <w:rFonts w:eastAsiaTheme="minorEastAsia" w:cstheme="minorBidi"/>
                <w:noProof/>
                <w:sz w:val="24"/>
                <w:szCs w:val="24"/>
              </w:rPr>
              <w:tab/>
            </w:r>
            <w:r w:rsidR="00517309" w:rsidRPr="003F3909">
              <w:rPr>
                <w:rStyle w:val="Hyperlink"/>
                <w:noProof/>
                <w:lang w:val="en-GB"/>
              </w:rPr>
              <w:t>Vaccine Supply</w:t>
            </w:r>
            <w:r w:rsidR="00517309">
              <w:rPr>
                <w:noProof/>
                <w:webHidden/>
              </w:rPr>
              <w:tab/>
            </w:r>
            <w:r w:rsidR="00517309">
              <w:rPr>
                <w:noProof/>
                <w:webHidden/>
              </w:rPr>
              <w:fldChar w:fldCharType="begin"/>
            </w:r>
            <w:r w:rsidR="00517309">
              <w:rPr>
                <w:noProof/>
                <w:webHidden/>
              </w:rPr>
              <w:instrText xml:space="preserve"> PAGEREF _Toc124499473 \h </w:instrText>
            </w:r>
            <w:r w:rsidR="00517309">
              <w:rPr>
                <w:noProof/>
                <w:webHidden/>
              </w:rPr>
            </w:r>
            <w:r w:rsidR="00517309">
              <w:rPr>
                <w:noProof/>
                <w:webHidden/>
              </w:rPr>
              <w:fldChar w:fldCharType="separate"/>
            </w:r>
            <w:r w:rsidR="00517309">
              <w:rPr>
                <w:noProof/>
                <w:webHidden/>
              </w:rPr>
              <w:t>11</w:t>
            </w:r>
            <w:r w:rsidR="00517309">
              <w:rPr>
                <w:noProof/>
                <w:webHidden/>
              </w:rPr>
              <w:fldChar w:fldCharType="end"/>
            </w:r>
          </w:hyperlink>
        </w:p>
        <w:p w14:paraId="6C9C3C24" w14:textId="179957EF" w:rsidR="00517309" w:rsidRDefault="00000000">
          <w:pPr>
            <w:pStyle w:val="TOC3"/>
            <w:tabs>
              <w:tab w:val="left" w:pos="1760"/>
              <w:tab w:val="right" w:leader="dot" w:pos="9350"/>
            </w:tabs>
            <w:rPr>
              <w:rFonts w:eastAsiaTheme="minorEastAsia" w:cstheme="minorBidi"/>
              <w:noProof/>
              <w:sz w:val="24"/>
              <w:szCs w:val="24"/>
            </w:rPr>
          </w:pPr>
          <w:hyperlink w:anchor="_Toc124499474" w:history="1">
            <w:r w:rsidR="00517309" w:rsidRPr="003F3909">
              <w:rPr>
                <w:rStyle w:val="Hyperlink"/>
                <w:noProof/>
                <w:lang w:val="en-GB"/>
              </w:rPr>
              <w:t>Section 5.2.3</w:t>
            </w:r>
            <w:r w:rsidR="00517309">
              <w:rPr>
                <w:rFonts w:eastAsiaTheme="minorEastAsia" w:cstheme="minorBidi"/>
                <w:noProof/>
                <w:sz w:val="24"/>
                <w:szCs w:val="24"/>
              </w:rPr>
              <w:tab/>
            </w:r>
            <w:r w:rsidR="00517309" w:rsidRPr="003F3909">
              <w:rPr>
                <w:rStyle w:val="Hyperlink"/>
                <w:noProof/>
                <w:lang w:val="en-GB"/>
              </w:rPr>
              <w:t>Vaccine hesitancy</w:t>
            </w:r>
            <w:r w:rsidR="00517309">
              <w:rPr>
                <w:noProof/>
                <w:webHidden/>
              </w:rPr>
              <w:tab/>
            </w:r>
            <w:r w:rsidR="00517309">
              <w:rPr>
                <w:noProof/>
                <w:webHidden/>
              </w:rPr>
              <w:fldChar w:fldCharType="begin"/>
            </w:r>
            <w:r w:rsidR="00517309">
              <w:rPr>
                <w:noProof/>
                <w:webHidden/>
              </w:rPr>
              <w:instrText xml:space="preserve"> PAGEREF _Toc124499474 \h </w:instrText>
            </w:r>
            <w:r w:rsidR="00517309">
              <w:rPr>
                <w:noProof/>
                <w:webHidden/>
              </w:rPr>
            </w:r>
            <w:r w:rsidR="00517309">
              <w:rPr>
                <w:noProof/>
                <w:webHidden/>
              </w:rPr>
              <w:fldChar w:fldCharType="separate"/>
            </w:r>
            <w:r w:rsidR="00517309">
              <w:rPr>
                <w:noProof/>
                <w:webHidden/>
              </w:rPr>
              <w:t>12</w:t>
            </w:r>
            <w:r w:rsidR="00517309">
              <w:rPr>
                <w:noProof/>
                <w:webHidden/>
              </w:rPr>
              <w:fldChar w:fldCharType="end"/>
            </w:r>
          </w:hyperlink>
        </w:p>
        <w:p w14:paraId="40BC169B" w14:textId="572AD1BD"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75" w:history="1">
            <w:r w:rsidR="00517309" w:rsidRPr="003F3909">
              <w:rPr>
                <w:rStyle w:val="Hyperlink"/>
                <w:noProof/>
                <w:lang w:val="en-GB"/>
              </w:rPr>
              <w:t>Section 5.3</w:t>
            </w:r>
            <w:r w:rsidR="00517309">
              <w:rPr>
                <w:rFonts w:eastAsiaTheme="minorEastAsia" w:cstheme="minorBidi"/>
                <w:b w:val="0"/>
                <w:bCs w:val="0"/>
                <w:noProof/>
                <w:sz w:val="24"/>
                <w:szCs w:val="24"/>
              </w:rPr>
              <w:tab/>
            </w:r>
            <w:r w:rsidR="00517309" w:rsidRPr="003F3909">
              <w:rPr>
                <w:rStyle w:val="Hyperlink"/>
                <w:noProof/>
                <w:lang w:val="en-GB"/>
              </w:rPr>
              <w:t>Vaccine Efficacy and Waning Immunity</w:t>
            </w:r>
            <w:r w:rsidR="00517309">
              <w:rPr>
                <w:noProof/>
                <w:webHidden/>
              </w:rPr>
              <w:tab/>
            </w:r>
            <w:r w:rsidR="00517309">
              <w:rPr>
                <w:noProof/>
                <w:webHidden/>
              </w:rPr>
              <w:fldChar w:fldCharType="begin"/>
            </w:r>
            <w:r w:rsidR="00517309">
              <w:rPr>
                <w:noProof/>
                <w:webHidden/>
              </w:rPr>
              <w:instrText xml:space="preserve"> PAGEREF _Toc124499475 \h </w:instrText>
            </w:r>
            <w:r w:rsidR="00517309">
              <w:rPr>
                <w:noProof/>
                <w:webHidden/>
              </w:rPr>
            </w:r>
            <w:r w:rsidR="00517309">
              <w:rPr>
                <w:noProof/>
                <w:webHidden/>
              </w:rPr>
              <w:fldChar w:fldCharType="separate"/>
            </w:r>
            <w:r w:rsidR="00517309">
              <w:rPr>
                <w:noProof/>
                <w:webHidden/>
              </w:rPr>
              <w:t>12</w:t>
            </w:r>
            <w:r w:rsidR="00517309">
              <w:rPr>
                <w:noProof/>
                <w:webHidden/>
              </w:rPr>
              <w:fldChar w:fldCharType="end"/>
            </w:r>
          </w:hyperlink>
        </w:p>
        <w:p w14:paraId="0ABC16F2" w14:textId="35C62F60" w:rsidR="00517309" w:rsidRDefault="00000000">
          <w:pPr>
            <w:pStyle w:val="TOC3"/>
            <w:tabs>
              <w:tab w:val="left" w:pos="1760"/>
              <w:tab w:val="right" w:leader="dot" w:pos="9350"/>
            </w:tabs>
            <w:rPr>
              <w:rFonts w:eastAsiaTheme="minorEastAsia" w:cstheme="minorBidi"/>
              <w:noProof/>
              <w:sz w:val="24"/>
              <w:szCs w:val="24"/>
            </w:rPr>
          </w:pPr>
          <w:hyperlink w:anchor="_Toc124499476" w:history="1">
            <w:r w:rsidR="00517309" w:rsidRPr="003F3909">
              <w:rPr>
                <w:rStyle w:val="Hyperlink"/>
                <w:noProof/>
                <w:lang w:val="en-GB"/>
              </w:rPr>
              <w:t>Section 5.3.1</w:t>
            </w:r>
            <w:r w:rsidR="00517309">
              <w:rPr>
                <w:rFonts w:eastAsiaTheme="minorEastAsia" w:cstheme="minorBidi"/>
                <w:noProof/>
                <w:sz w:val="24"/>
                <w:szCs w:val="24"/>
              </w:rPr>
              <w:tab/>
            </w:r>
            <w:r w:rsidR="00517309" w:rsidRPr="003F3909">
              <w:rPr>
                <w:rStyle w:val="Hyperlink"/>
                <w:noProof/>
                <w:lang w:val="en-GB"/>
              </w:rPr>
              <w:t>Maximum effect sizes</w:t>
            </w:r>
            <w:r w:rsidR="00517309">
              <w:rPr>
                <w:noProof/>
                <w:webHidden/>
              </w:rPr>
              <w:tab/>
            </w:r>
            <w:r w:rsidR="00517309">
              <w:rPr>
                <w:noProof/>
                <w:webHidden/>
              </w:rPr>
              <w:fldChar w:fldCharType="begin"/>
            </w:r>
            <w:r w:rsidR="00517309">
              <w:rPr>
                <w:noProof/>
                <w:webHidden/>
              </w:rPr>
              <w:instrText xml:space="preserve"> PAGEREF _Toc124499476 \h </w:instrText>
            </w:r>
            <w:r w:rsidR="00517309">
              <w:rPr>
                <w:noProof/>
                <w:webHidden/>
              </w:rPr>
            </w:r>
            <w:r w:rsidR="00517309">
              <w:rPr>
                <w:noProof/>
                <w:webHidden/>
              </w:rPr>
              <w:fldChar w:fldCharType="separate"/>
            </w:r>
            <w:r w:rsidR="00517309">
              <w:rPr>
                <w:noProof/>
                <w:webHidden/>
              </w:rPr>
              <w:t>12</w:t>
            </w:r>
            <w:r w:rsidR="00517309">
              <w:rPr>
                <w:noProof/>
                <w:webHidden/>
              </w:rPr>
              <w:fldChar w:fldCharType="end"/>
            </w:r>
          </w:hyperlink>
        </w:p>
        <w:p w14:paraId="6CC90532" w14:textId="6DF2926B" w:rsidR="00517309" w:rsidRDefault="00000000">
          <w:pPr>
            <w:pStyle w:val="TOC3"/>
            <w:tabs>
              <w:tab w:val="left" w:pos="1760"/>
              <w:tab w:val="right" w:leader="dot" w:pos="9350"/>
            </w:tabs>
            <w:rPr>
              <w:rFonts w:eastAsiaTheme="minorEastAsia" w:cstheme="minorBidi"/>
              <w:noProof/>
              <w:sz w:val="24"/>
              <w:szCs w:val="24"/>
            </w:rPr>
          </w:pPr>
          <w:hyperlink w:anchor="_Toc124499477" w:history="1">
            <w:r w:rsidR="00517309" w:rsidRPr="003F3909">
              <w:rPr>
                <w:rStyle w:val="Hyperlink"/>
                <w:noProof/>
                <w:lang w:val="en-GB"/>
              </w:rPr>
              <w:t>Section 5.3.2</w:t>
            </w:r>
            <w:r w:rsidR="00517309">
              <w:rPr>
                <w:rFonts w:eastAsiaTheme="minorEastAsia" w:cstheme="minorBidi"/>
                <w:noProof/>
                <w:sz w:val="24"/>
                <w:szCs w:val="24"/>
              </w:rPr>
              <w:tab/>
            </w:r>
            <w:r w:rsidR="00517309" w:rsidRPr="003F3909">
              <w:rPr>
                <w:rStyle w:val="Hyperlink"/>
                <w:noProof/>
                <w:lang w:val="en-GB"/>
              </w:rPr>
              <w:t>Waning immunity</w:t>
            </w:r>
            <w:r w:rsidR="00517309">
              <w:rPr>
                <w:noProof/>
                <w:webHidden/>
              </w:rPr>
              <w:tab/>
            </w:r>
            <w:r w:rsidR="00517309">
              <w:rPr>
                <w:noProof/>
                <w:webHidden/>
              </w:rPr>
              <w:fldChar w:fldCharType="begin"/>
            </w:r>
            <w:r w:rsidR="00517309">
              <w:rPr>
                <w:noProof/>
                <w:webHidden/>
              </w:rPr>
              <w:instrText xml:space="preserve"> PAGEREF _Toc124499477 \h </w:instrText>
            </w:r>
            <w:r w:rsidR="00517309">
              <w:rPr>
                <w:noProof/>
                <w:webHidden/>
              </w:rPr>
            </w:r>
            <w:r w:rsidR="00517309">
              <w:rPr>
                <w:noProof/>
                <w:webHidden/>
              </w:rPr>
              <w:fldChar w:fldCharType="separate"/>
            </w:r>
            <w:r w:rsidR="00517309">
              <w:rPr>
                <w:noProof/>
                <w:webHidden/>
              </w:rPr>
              <w:t>13</w:t>
            </w:r>
            <w:r w:rsidR="00517309">
              <w:rPr>
                <w:noProof/>
                <w:webHidden/>
              </w:rPr>
              <w:fldChar w:fldCharType="end"/>
            </w:r>
          </w:hyperlink>
        </w:p>
        <w:p w14:paraId="76D953B6" w14:textId="20106C1D" w:rsidR="00517309" w:rsidRDefault="00000000">
          <w:pPr>
            <w:pStyle w:val="TOC3"/>
            <w:tabs>
              <w:tab w:val="left" w:pos="1760"/>
              <w:tab w:val="right" w:leader="dot" w:pos="9350"/>
            </w:tabs>
            <w:rPr>
              <w:rFonts w:eastAsiaTheme="minorEastAsia" w:cstheme="minorBidi"/>
              <w:noProof/>
              <w:sz w:val="24"/>
              <w:szCs w:val="24"/>
            </w:rPr>
          </w:pPr>
          <w:hyperlink w:anchor="_Toc124499478" w:history="1">
            <w:r w:rsidR="00517309" w:rsidRPr="003F3909">
              <w:rPr>
                <w:rStyle w:val="Hyperlink"/>
                <w:noProof/>
                <w:lang w:val="en-GB"/>
              </w:rPr>
              <w:t>Section 5.3.3</w:t>
            </w:r>
            <w:r w:rsidR="00517309">
              <w:rPr>
                <w:rFonts w:eastAsiaTheme="minorEastAsia" w:cstheme="minorBidi"/>
                <w:noProof/>
                <w:sz w:val="24"/>
                <w:szCs w:val="24"/>
              </w:rPr>
              <w:tab/>
            </w:r>
            <w:r w:rsidR="00517309" w:rsidRPr="003F3909">
              <w:rPr>
                <w:rStyle w:val="Hyperlink"/>
                <w:noProof/>
                <w:lang w:val="en-GB"/>
              </w:rPr>
              <w:t>Reduction in transmission intensity</w:t>
            </w:r>
            <w:r w:rsidR="00517309">
              <w:rPr>
                <w:noProof/>
                <w:webHidden/>
              </w:rPr>
              <w:tab/>
            </w:r>
            <w:r w:rsidR="00517309">
              <w:rPr>
                <w:noProof/>
                <w:webHidden/>
              </w:rPr>
              <w:fldChar w:fldCharType="begin"/>
            </w:r>
            <w:r w:rsidR="00517309">
              <w:rPr>
                <w:noProof/>
                <w:webHidden/>
              </w:rPr>
              <w:instrText xml:space="preserve"> PAGEREF _Toc124499478 \h </w:instrText>
            </w:r>
            <w:r w:rsidR="00517309">
              <w:rPr>
                <w:noProof/>
                <w:webHidden/>
              </w:rPr>
            </w:r>
            <w:r w:rsidR="00517309">
              <w:rPr>
                <w:noProof/>
                <w:webHidden/>
              </w:rPr>
              <w:fldChar w:fldCharType="separate"/>
            </w:r>
            <w:r w:rsidR="00517309">
              <w:rPr>
                <w:noProof/>
                <w:webHidden/>
              </w:rPr>
              <w:t>13</w:t>
            </w:r>
            <w:r w:rsidR="00517309">
              <w:rPr>
                <w:noProof/>
                <w:webHidden/>
              </w:rPr>
              <w:fldChar w:fldCharType="end"/>
            </w:r>
          </w:hyperlink>
        </w:p>
        <w:p w14:paraId="0A6D5366" w14:textId="35ABE0D4" w:rsidR="00517309" w:rsidRDefault="00000000">
          <w:pPr>
            <w:pStyle w:val="TOC3"/>
            <w:tabs>
              <w:tab w:val="left" w:pos="1760"/>
              <w:tab w:val="right" w:leader="dot" w:pos="9350"/>
            </w:tabs>
            <w:rPr>
              <w:rFonts w:eastAsiaTheme="minorEastAsia" w:cstheme="minorBidi"/>
              <w:noProof/>
              <w:sz w:val="24"/>
              <w:szCs w:val="24"/>
            </w:rPr>
          </w:pPr>
          <w:hyperlink w:anchor="_Toc124499479" w:history="1">
            <w:r w:rsidR="00517309" w:rsidRPr="003F3909">
              <w:rPr>
                <w:rStyle w:val="Hyperlink"/>
                <w:noProof/>
                <w:lang w:val="en-GB"/>
              </w:rPr>
              <w:t>Section 5.3.4</w:t>
            </w:r>
            <w:r w:rsidR="00517309">
              <w:rPr>
                <w:rFonts w:eastAsiaTheme="minorEastAsia" w:cstheme="minorBidi"/>
                <w:noProof/>
                <w:sz w:val="24"/>
                <w:szCs w:val="24"/>
              </w:rPr>
              <w:tab/>
            </w:r>
            <w:r w:rsidR="00517309" w:rsidRPr="003F3909">
              <w:rPr>
                <w:rStyle w:val="Hyperlink"/>
                <w:noProof/>
                <w:lang w:val="en-GB"/>
              </w:rPr>
              <w:t>Waning infection-derived immunity</w:t>
            </w:r>
            <w:r w:rsidR="00517309">
              <w:rPr>
                <w:noProof/>
                <w:webHidden/>
              </w:rPr>
              <w:tab/>
            </w:r>
            <w:r w:rsidR="00517309">
              <w:rPr>
                <w:noProof/>
                <w:webHidden/>
              </w:rPr>
              <w:fldChar w:fldCharType="begin"/>
            </w:r>
            <w:r w:rsidR="00517309">
              <w:rPr>
                <w:noProof/>
                <w:webHidden/>
              </w:rPr>
              <w:instrText xml:space="preserve"> PAGEREF _Toc124499479 \h </w:instrText>
            </w:r>
            <w:r w:rsidR="00517309">
              <w:rPr>
                <w:noProof/>
                <w:webHidden/>
              </w:rPr>
            </w:r>
            <w:r w:rsidR="00517309">
              <w:rPr>
                <w:noProof/>
                <w:webHidden/>
              </w:rPr>
              <w:fldChar w:fldCharType="separate"/>
            </w:r>
            <w:r w:rsidR="00517309">
              <w:rPr>
                <w:noProof/>
                <w:webHidden/>
              </w:rPr>
              <w:t>13</w:t>
            </w:r>
            <w:r w:rsidR="00517309">
              <w:rPr>
                <w:noProof/>
                <w:webHidden/>
              </w:rPr>
              <w:fldChar w:fldCharType="end"/>
            </w:r>
          </w:hyperlink>
        </w:p>
        <w:p w14:paraId="1F252149" w14:textId="45B54DBC"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80" w:history="1">
            <w:r w:rsidR="00517309" w:rsidRPr="003F3909">
              <w:rPr>
                <w:rStyle w:val="Hyperlink"/>
                <w:noProof/>
                <w:lang w:val="en-GB"/>
              </w:rPr>
              <w:t>Section 5.4</w:t>
            </w:r>
            <w:r w:rsidR="00517309">
              <w:rPr>
                <w:rFonts w:eastAsiaTheme="minorEastAsia" w:cstheme="minorBidi"/>
                <w:b w:val="0"/>
                <w:bCs w:val="0"/>
                <w:noProof/>
                <w:sz w:val="24"/>
                <w:szCs w:val="24"/>
              </w:rPr>
              <w:tab/>
            </w:r>
            <w:r w:rsidR="00517309" w:rsidRPr="003F3909">
              <w:rPr>
                <w:rStyle w:val="Hyperlink"/>
                <w:noProof/>
                <w:lang w:val="en-GB"/>
              </w:rPr>
              <w:t>Pneumonia seasonality</w:t>
            </w:r>
            <w:r w:rsidR="00517309" w:rsidRPr="003F3909">
              <w:rPr>
                <w:rStyle w:val="Hyperlink"/>
                <w:noProof/>
                <w:vertAlign w:val="superscript"/>
              </w:rPr>
              <w:t>1</w:t>
            </w:r>
            <w:r w:rsidR="00517309">
              <w:rPr>
                <w:noProof/>
                <w:webHidden/>
              </w:rPr>
              <w:tab/>
            </w:r>
            <w:r w:rsidR="00517309">
              <w:rPr>
                <w:noProof/>
                <w:webHidden/>
              </w:rPr>
              <w:fldChar w:fldCharType="begin"/>
            </w:r>
            <w:r w:rsidR="00517309">
              <w:rPr>
                <w:noProof/>
                <w:webHidden/>
              </w:rPr>
              <w:instrText xml:space="preserve"> PAGEREF _Toc124499480 \h </w:instrText>
            </w:r>
            <w:r w:rsidR="00517309">
              <w:rPr>
                <w:noProof/>
                <w:webHidden/>
              </w:rPr>
            </w:r>
            <w:r w:rsidR="00517309">
              <w:rPr>
                <w:noProof/>
                <w:webHidden/>
              </w:rPr>
              <w:fldChar w:fldCharType="separate"/>
            </w:r>
            <w:r w:rsidR="00517309">
              <w:rPr>
                <w:noProof/>
                <w:webHidden/>
              </w:rPr>
              <w:t>13</w:t>
            </w:r>
            <w:r w:rsidR="00517309">
              <w:rPr>
                <w:noProof/>
                <w:webHidden/>
              </w:rPr>
              <w:fldChar w:fldCharType="end"/>
            </w:r>
          </w:hyperlink>
        </w:p>
        <w:p w14:paraId="6E7AADF5" w14:textId="1B4AC8ED" w:rsidR="00517309" w:rsidRDefault="00000000">
          <w:pPr>
            <w:pStyle w:val="TOC3"/>
            <w:tabs>
              <w:tab w:val="left" w:pos="1760"/>
              <w:tab w:val="right" w:leader="dot" w:pos="9350"/>
            </w:tabs>
            <w:rPr>
              <w:rFonts w:eastAsiaTheme="minorEastAsia" w:cstheme="minorBidi"/>
              <w:noProof/>
              <w:sz w:val="24"/>
              <w:szCs w:val="24"/>
            </w:rPr>
          </w:pPr>
          <w:hyperlink w:anchor="_Toc124499481" w:history="1">
            <w:r w:rsidR="00517309" w:rsidRPr="003F3909">
              <w:rPr>
                <w:rStyle w:val="Hyperlink"/>
                <w:noProof/>
                <w:lang w:val="en-GB"/>
              </w:rPr>
              <w:t>Section 5.4.1</w:t>
            </w:r>
            <w:r w:rsidR="00517309">
              <w:rPr>
                <w:rFonts w:eastAsiaTheme="minorEastAsia" w:cstheme="minorBidi"/>
                <w:noProof/>
                <w:sz w:val="24"/>
                <w:szCs w:val="24"/>
              </w:rPr>
              <w:tab/>
            </w:r>
            <w:r w:rsidR="00517309" w:rsidRPr="003F3909">
              <w:rPr>
                <w:rStyle w:val="Hyperlink"/>
                <w:noProof/>
                <w:lang w:val="en-GB"/>
              </w:rPr>
              <w:t>Data sources</w:t>
            </w:r>
            <w:r w:rsidR="00517309">
              <w:rPr>
                <w:noProof/>
                <w:webHidden/>
              </w:rPr>
              <w:tab/>
            </w:r>
            <w:r w:rsidR="00517309">
              <w:rPr>
                <w:noProof/>
                <w:webHidden/>
              </w:rPr>
              <w:fldChar w:fldCharType="begin"/>
            </w:r>
            <w:r w:rsidR="00517309">
              <w:rPr>
                <w:noProof/>
                <w:webHidden/>
              </w:rPr>
              <w:instrText xml:space="preserve"> PAGEREF _Toc124499481 \h </w:instrText>
            </w:r>
            <w:r w:rsidR="00517309">
              <w:rPr>
                <w:noProof/>
                <w:webHidden/>
              </w:rPr>
            </w:r>
            <w:r w:rsidR="00517309">
              <w:rPr>
                <w:noProof/>
                <w:webHidden/>
              </w:rPr>
              <w:fldChar w:fldCharType="separate"/>
            </w:r>
            <w:r w:rsidR="00517309">
              <w:rPr>
                <w:noProof/>
                <w:webHidden/>
              </w:rPr>
              <w:t>14</w:t>
            </w:r>
            <w:r w:rsidR="00517309">
              <w:rPr>
                <w:noProof/>
                <w:webHidden/>
              </w:rPr>
              <w:fldChar w:fldCharType="end"/>
            </w:r>
          </w:hyperlink>
        </w:p>
        <w:p w14:paraId="737071EF" w14:textId="3E321612" w:rsidR="00517309" w:rsidRDefault="00000000">
          <w:pPr>
            <w:pStyle w:val="TOC3"/>
            <w:tabs>
              <w:tab w:val="left" w:pos="1760"/>
              <w:tab w:val="right" w:leader="dot" w:pos="9350"/>
            </w:tabs>
            <w:rPr>
              <w:rFonts w:eastAsiaTheme="minorEastAsia" w:cstheme="minorBidi"/>
              <w:noProof/>
              <w:sz w:val="24"/>
              <w:szCs w:val="24"/>
            </w:rPr>
          </w:pPr>
          <w:hyperlink w:anchor="_Toc124499482" w:history="1">
            <w:r w:rsidR="00517309" w:rsidRPr="003F3909">
              <w:rPr>
                <w:rStyle w:val="Hyperlink"/>
                <w:noProof/>
                <w:lang w:val="en-GB"/>
              </w:rPr>
              <w:t>Section 5.4.2</w:t>
            </w:r>
            <w:r w:rsidR="00517309">
              <w:rPr>
                <w:rFonts w:eastAsiaTheme="minorEastAsia" w:cstheme="minorBidi"/>
                <w:noProof/>
                <w:sz w:val="24"/>
                <w:szCs w:val="24"/>
              </w:rPr>
              <w:tab/>
            </w:r>
            <w:r w:rsidR="00517309" w:rsidRPr="003F3909">
              <w:rPr>
                <w:rStyle w:val="Hyperlink"/>
                <w:noProof/>
                <w:lang w:val="en-GB"/>
              </w:rPr>
              <w:t>Estimation process</w:t>
            </w:r>
            <w:r w:rsidR="00517309">
              <w:rPr>
                <w:noProof/>
                <w:webHidden/>
              </w:rPr>
              <w:tab/>
            </w:r>
            <w:r w:rsidR="00517309">
              <w:rPr>
                <w:noProof/>
                <w:webHidden/>
              </w:rPr>
              <w:fldChar w:fldCharType="begin"/>
            </w:r>
            <w:r w:rsidR="00517309">
              <w:rPr>
                <w:noProof/>
                <w:webHidden/>
              </w:rPr>
              <w:instrText xml:space="preserve"> PAGEREF _Toc124499482 \h </w:instrText>
            </w:r>
            <w:r w:rsidR="00517309">
              <w:rPr>
                <w:noProof/>
                <w:webHidden/>
              </w:rPr>
            </w:r>
            <w:r w:rsidR="00517309">
              <w:rPr>
                <w:noProof/>
                <w:webHidden/>
              </w:rPr>
              <w:fldChar w:fldCharType="separate"/>
            </w:r>
            <w:r w:rsidR="00517309">
              <w:rPr>
                <w:noProof/>
                <w:webHidden/>
              </w:rPr>
              <w:t>14</w:t>
            </w:r>
            <w:r w:rsidR="00517309">
              <w:rPr>
                <w:noProof/>
                <w:webHidden/>
              </w:rPr>
              <w:fldChar w:fldCharType="end"/>
            </w:r>
          </w:hyperlink>
        </w:p>
        <w:p w14:paraId="3BCFC740" w14:textId="68012A1B"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83" w:history="1">
            <w:r w:rsidR="00517309" w:rsidRPr="003F3909">
              <w:rPr>
                <w:rStyle w:val="Hyperlink"/>
                <w:noProof/>
                <w:lang w:val="en-GB"/>
              </w:rPr>
              <w:t>Section 5.5</w:t>
            </w:r>
            <w:r w:rsidR="00517309">
              <w:rPr>
                <w:rFonts w:eastAsiaTheme="minorEastAsia" w:cstheme="minorBidi"/>
                <w:b w:val="0"/>
                <w:bCs w:val="0"/>
                <w:noProof/>
                <w:sz w:val="24"/>
                <w:szCs w:val="24"/>
              </w:rPr>
              <w:tab/>
            </w:r>
            <w:r w:rsidR="00517309" w:rsidRPr="003F3909">
              <w:rPr>
                <w:rStyle w:val="Hyperlink"/>
                <w:noProof/>
                <w:lang w:val="en-GB"/>
              </w:rPr>
              <w:t>Testing per capita</w:t>
            </w:r>
            <w:r w:rsidR="00517309" w:rsidRPr="003F3909">
              <w:rPr>
                <w:rStyle w:val="Hyperlink"/>
                <w:noProof/>
                <w:vertAlign w:val="superscript"/>
              </w:rPr>
              <w:t>1</w:t>
            </w:r>
            <w:r w:rsidR="00517309">
              <w:rPr>
                <w:noProof/>
                <w:webHidden/>
              </w:rPr>
              <w:tab/>
            </w:r>
            <w:r w:rsidR="00517309">
              <w:rPr>
                <w:noProof/>
                <w:webHidden/>
              </w:rPr>
              <w:fldChar w:fldCharType="begin"/>
            </w:r>
            <w:r w:rsidR="00517309">
              <w:rPr>
                <w:noProof/>
                <w:webHidden/>
              </w:rPr>
              <w:instrText xml:space="preserve"> PAGEREF _Toc124499483 \h </w:instrText>
            </w:r>
            <w:r w:rsidR="00517309">
              <w:rPr>
                <w:noProof/>
                <w:webHidden/>
              </w:rPr>
            </w:r>
            <w:r w:rsidR="00517309">
              <w:rPr>
                <w:noProof/>
                <w:webHidden/>
              </w:rPr>
              <w:fldChar w:fldCharType="separate"/>
            </w:r>
            <w:r w:rsidR="00517309">
              <w:rPr>
                <w:noProof/>
                <w:webHidden/>
              </w:rPr>
              <w:t>14</w:t>
            </w:r>
            <w:r w:rsidR="00517309">
              <w:rPr>
                <w:noProof/>
                <w:webHidden/>
              </w:rPr>
              <w:fldChar w:fldCharType="end"/>
            </w:r>
          </w:hyperlink>
        </w:p>
        <w:p w14:paraId="2D1BAB9B" w14:textId="40A478A8" w:rsidR="00517309" w:rsidRDefault="00000000">
          <w:pPr>
            <w:pStyle w:val="TOC3"/>
            <w:tabs>
              <w:tab w:val="left" w:pos="1760"/>
              <w:tab w:val="right" w:leader="dot" w:pos="9350"/>
            </w:tabs>
            <w:rPr>
              <w:rFonts w:eastAsiaTheme="minorEastAsia" w:cstheme="minorBidi"/>
              <w:noProof/>
              <w:sz w:val="24"/>
              <w:szCs w:val="24"/>
            </w:rPr>
          </w:pPr>
          <w:hyperlink w:anchor="_Toc124499484" w:history="1">
            <w:r w:rsidR="00517309" w:rsidRPr="003F3909">
              <w:rPr>
                <w:rStyle w:val="Hyperlink"/>
                <w:noProof/>
                <w:lang w:val="en-GB"/>
              </w:rPr>
              <w:t>Section 5.5.1</w:t>
            </w:r>
            <w:r w:rsidR="00517309">
              <w:rPr>
                <w:rFonts w:eastAsiaTheme="minorEastAsia" w:cstheme="minorBidi"/>
                <w:noProof/>
                <w:sz w:val="24"/>
                <w:szCs w:val="24"/>
              </w:rPr>
              <w:tab/>
            </w:r>
            <w:r w:rsidR="00517309" w:rsidRPr="003F3909">
              <w:rPr>
                <w:rStyle w:val="Hyperlink"/>
                <w:noProof/>
                <w:lang w:val="en-GB"/>
              </w:rPr>
              <w:t>Data sources</w:t>
            </w:r>
            <w:r w:rsidR="00517309">
              <w:rPr>
                <w:noProof/>
                <w:webHidden/>
              </w:rPr>
              <w:tab/>
            </w:r>
            <w:r w:rsidR="00517309">
              <w:rPr>
                <w:noProof/>
                <w:webHidden/>
              </w:rPr>
              <w:fldChar w:fldCharType="begin"/>
            </w:r>
            <w:r w:rsidR="00517309">
              <w:rPr>
                <w:noProof/>
                <w:webHidden/>
              </w:rPr>
              <w:instrText xml:space="preserve"> PAGEREF _Toc124499484 \h </w:instrText>
            </w:r>
            <w:r w:rsidR="00517309">
              <w:rPr>
                <w:noProof/>
                <w:webHidden/>
              </w:rPr>
            </w:r>
            <w:r w:rsidR="00517309">
              <w:rPr>
                <w:noProof/>
                <w:webHidden/>
              </w:rPr>
              <w:fldChar w:fldCharType="separate"/>
            </w:r>
            <w:r w:rsidR="00517309">
              <w:rPr>
                <w:noProof/>
                <w:webHidden/>
              </w:rPr>
              <w:t>14</w:t>
            </w:r>
            <w:r w:rsidR="00517309">
              <w:rPr>
                <w:noProof/>
                <w:webHidden/>
              </w:rPr>
              <w:fldChar w:fldCharType="end"/>
            </w:r>
          </w:hyperlink>
        </w:p>
        <w:p w14:paraId="19932C7B" w14:textId="42616E1C" w:rsidR="00517309" w:rsidRDefault="00000000">
          <w:pPr>
            <w:pStyle w:val="TOC3"/>
            <w:tabs>
              <w:tab w:val="left" w:pos="1760"/>
              <w:tab w:val="right" w:leader="dot" w:pos="9350"/>
            </w:tabs>
            <w:rPr>
              <w:rFonts w:eastAsiaTheme="minorEastAsia" w:cstheme="minorBidi"/>
              <w:noProof/>
              <w:sz w:val="24"/>
              <w:szCs w:val="24"/>
            </w:rPr>
          </w:pPr>
          <w:hyperlink w:anchor="_Toc124499485" w:history="1">
            <w:r w:rsidR="00517309" w:rsidRPr="003F3909">
              <w:rPr>
                <w:rStyle w:val="Hyperlink"/>
                <w:noProof/>
                <w:lang w:val="en-GB"/>
              </w:rPr>
              <w:t>Section 5.5.2</w:t>
            </w:r>
            <w:r w:rsidR="00517309">
              <w:rPr>
                <w:rFonts w:eastAsiaTheme="minorEastAsia" w:cstheme="minorBidi"/>
                <w:noProof/>
                <w:sz w:val="24"/>
                <w:szCs w:val="24"/>
              </w:rPr>
              <w:tab/>
            </w:r>
            <w:r w:rsidR="00517309" w:rsidRPr="003F3909">
              <w:rPr>
                <w:rStyle w:val="Hyperlink"/>
                <w:noProof/>
                <w:lang w:val="en-GB"/>
              </w:rPr>
              <w:t>Descriptive model</w:t>
            </w:r>
            <w:r w:rsidR="00517309">
              <w:rPr>
                <w:noProof/>
                <w:webHidden/>
              </w:rPr>
              <w:tab/>
            </w:r>
            <w:r w:rsidR="00517309">
              <w:rPr>
                <w:noProof/>
                <w:webHidden/>
              </w:rPr>
              <w:fldChar w:fldCharType="begin"/>
            </w:r>
            <w:r w:rsidR="00517309">
              <w:rPr>
                <w:noProof/>
                <w:webHidden/>
              </w:rPr>
              <w:instrText xml:space="preserve"> PAGEREF _Toc124499485 \h </w:instrText>
            </w:r>
            <w:r w:rsidR="00517309">
              <w:rPr>
                <w:noProof/>
                <w:webHidden/>
              </w:rPr>
            </w:r>
            <w:r w:rsidR="00517309">
              <w:rPr>
                <w:noProof/>
                <w:webHidden/>
              </w:rPr>
              <w:fldChar w:fldCharType="separate"/>
            </w:r>
            <w:r w:rsidR="00517309">
              <w:rPr>
                <w:noProof/>
                <w:webHidden/>
              </w:rPr>
              <w:t>14</w:t>
            </w:r>
            <w:r w:rsidR="00517309">
              <w:rPr>
                <w:noProof/>
                <w:webHidden/>
              </w:rPr>
              <w:fldChar w:fldCharType="end"/>
            </w:r>
          </w:hyperlink>
        </w:p>
        <w:p w14:paraId="3E1E35FD" w14:textId="512E4225" w:rsidR="00517309" w:rsidRDefault="00000000">
          <w:pPr>
            <w:pStyle w:val="TOC3"/>
            <w:tabs>
              <w:tab w:val="left" w:pos="1760"/>
              <w:tab w:val="right" w:leader="dot" w:pos="9350"/>
            </w:tabs>
            <w:rPr>
              <w:rFonts w:eastAsiaTheme="minorEastAsia" w:cstheme="minorBidi"/>
              <w:noProof/>
              <w:sz w:val="24"/>
              <w:szCs w:val="24"/>
            </w:rPr>
          </w:pPr>
          <w:hyperlink w:anchor="_Toc124499486" w:history="1">
            <w:r w:rsidR="00517309" w:rsidRPr="003F3909">
              <w:rPr>
                <w:rStyle w:val="Hyperlink"/>
                <w:noProof/>
                <w:lang w:val="en-GB"/>
              </w:rPr>
              <w:t>Section 5.5.3</w:t>
            </w:r>
            <w:r w:rsidR="00517309">
              <w:rPr>
                <w:rFonts w:eastAsiaTheme="minorEastAsia" w:cstheme="minorBidi"/>
                <w:noProof/>
                <w:sz w:val="24"/>
                <w:szCs w:val="24"/>
              </w:rPr>
              <w:tab/>
            </w:r>
            <w:r w:rsidR="00517309" w:rsidRPr="003F3909">
              <w:rPr>
                <w:rStyle w:val="Hyperlink"/>
                <w:noProof/>
                <w:lang w:val="en-GB"/>
              </w:rPr>
              <w:t>Testing forecasting model</w:t>
            </w:r>
            <w:r w:rsidR="00517309">
              <w:rPr>
                <w:noProof/>
                <w:webHidden/>
              </w:rPr>
              <w:tab/>
            </w:r>
            <w:r w:rsidR="00517309">
              <w:rPr>
                <w:noProof/>
                <w:webHidden/>
              </w:rPr>
              <w:fldChar w:fldCharType="begin"/>
            </w:r>
            <w:r w:rsidR="00517309">
              <w:rPr>
                <w:noProof/>
                <w:webHidden/>
              </w:rPr>
              <w:instrText xml:space="preserve"> PAGEREF _Toc124499486 \h </w:instrText>
            </w:r>
            <w:r w:rsidR="00517309">
              <w:rPr>
                <w:noProof/>
                <w:webHidden/>
              </w:rPr>
            </w:r>
            <w:r w:rsidR="00517309">
              <w:rPr>
                <w:noProof/>
                <w:webHidden/>
              </w:rPr>
              <w:fldChar w:fldCharType="separate"/>
            </w:r>
            <w:r w:rsidR="00517309">
              <w:rPr>
                <w:noProof/>
                <w:webHidden/>
              </w:rPr>
              <w:t>15</w:t>
            </w:r>
            <w:r w:rsidR="00517309">
              <w:rPr>
                <w:noProof/>
                <w:webHidden/>
              </w:rPr>
              <w:fldChar w:fldCharType="end"/>
            </w:r>
          </w:hyperlink>
        </w:p>
        <w:p w14:paraId="2809F371" w14:textId="55598921"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87" w:history="1">
            <w:r w:rsidR="00517309" w:rsidRPr="003F3909">
              <w:rPr>
                <w:rStyle w:val="Hyperlink"/>
                <w:noProof/>
                <w:lang w:val="en-GB"/>
              </w:rPr>
              <w:t>Section 5.6</w:t>
            </w:r>
            <w:r w:rsidR="00517309">
              <w:rPr>
                <w:rFonts w:eastAsiaTheme="minorEastAsia" w:cstheme="minorBidi"/>
                <w:b w:val="0"/>
                <w:bCs w:val="0"/>
                <w:noProof/>
                <w:sz w:val="24"/>
                <w:szCs w:val="24"/>
              </w:rPr>
              <w:tab/>
            </w:r>
            <w:r w:rsidR="00517309" w:rsidRPr="003F3909">
              <w:rPr>
                <w:rStyle w:val="Hyperlink"/>
                <w:noProof/>
                <w:lang w:val="en-GB"/>
              </w:rPr>
              <w:t>Mask use</w:t>
            </w:r>
            <w:r w:rsidR="00517309">
              <w:rPr>
                <w:noProof/>
                <w:webHidden/>
              </w:rPr>
              <w:tab/>
            </w:r>
            <w:r w:rsidR="00517309">
              <w:rPr>
                <w:noProof/>
                <w:webHidden/>
              </w:rPr>
              <w:fldChar w:fldCharType="begin"/>
            </w:r>
            <w:r w:rsidR="00517309">
              <w:rPr>
                <w:noProof/>
                <w:webHidden/>
              </w:rPr>
              <w:instrText xml:space="preserve"> PAGEREF _Toc124499487 \h </w:instrText>
            </w:r>
            <w:r w:rsidR="00517309">
              <w:rPr>
                <w:noProof/>
                <w:webHidden/>
              </w:rPr>
            </w:r>
            <w:r w:rsidR="00517309">
              <w:rPr>
                <w:noProof/>
                <w:webHidden/>
              </w:rPr>
              <w:fldChar w:fldCharType="separate"/>
            </w:r>
            <w:r w:rsidR="00517309">
              <w:rPr>
                <w:noProof/>
                <w:webHidden/>
              </w:rPr>
              <w:t>15</w:t>
            </w:r>
            <w:r w:rsidR="00517309">
              <w:rPr>
                <w:noProof/>
                <w:webHidden/>
              </w:rPr>
              <w:fldChar w:fldCharType="end"/>
            </w:r>
          </w:hyperlink>
        </w:p>
        <w:p w14:paraId="20CD094C" w14:textId="03DE58C2" w:rsidR="00517309" w:rsidRDefault="00000000">
          <w:pPr>
            <w:pStyle w:val="TOC3"/>
            <w:tabs>
              <w:tab w:val="left" w:pos="1760"/>
              <w:tab w:val="right" w:leader="dot" w:pos="9350"/>
            </w:tabs>
            <w:rPr>
              <w:rFonts w:eastAsiaTheme="minorEastAsia" w:cstheme="minorBidi"/>
              <w:noProof/>
              <w:sz w:val="24"/>
              <w:szCs w:val="24"/>
            </w:rPr>
          </w:pPr>
          <w:hyperlink w:anchor="_Toc124499488" w:history="1">
            <w:r w:rsidR="00517309" w:rsidRPr="003F3909">
              <w:rPr>
                <w:rStyle w:val="Hyperlink"/>
                <w:noProof/>
                <w:lang w:val="en-GB"/>
              </w:rPr>
              <w:t>Section 5.6.1</w:t>
            </w:r>
            <w:r w:rsidR="00517309">
              <w:rPr>
                <w:rFonts w:eastAsiaTheme="minorEastAsia" w:cstheme="minorBidi"/>
                <w:noProof/>
                <w:sz w:val="24"/>
                <w:szCs w:val="24"/>
              </w:rPr>
              <w:tab/>
            </w:r>
            <w:r w:rsidR="00517309" w:rsidRPr="003F3909">
              <w:rPr>
                <w:rStyle w:val="Hyperlink"/>
                <w:noProof/>
                <w:lang w:val="en-GB"/>
              </w:rPr>
              <w:t>Data sources</w:t>
            </w:r>
            <w:r w:rsidR="00517309">
              <w:rPr>
                <w:noProof/>
                <w:webHidden/>
              </w:rPr>
              <w:tab/>
            </w:r>
            <w:r w:rsidR="00517309">
              <w:rPr>
                <w:noProof/>
                <w:webHidden/>
              </w:rPr>
              <w:fldChar w:fldCharType="begin"/>
            </w:r>
            <w:r w:rsidR="00517309">
              <w:rPr>
                <w:noProof/>
                <w:webHidden/>
              </w:rPr>
              <w:instrText xml:space="preserve"> PAGEREF _Toc124499488 \h </w:instrText>
            </w:r>
            <w:r w:rsidR="00517309">
              <w:rPr>
                <w:noProof/>
                <w:webHidden/>
              </w:rPr>
            </w:r>
            <w:r w:rsidR="00517309">
              <w:rPr>
                <w:noProof/>
                <w:webHidden/>
              </w:rPr>
              <w:fldChar w:fldCharType="separate"/>
            </w:r>
            <w:r w:rsidR="00517309">
              <w:rPr>
                <w:noProof/>
                <w:webHidden/>
              </w:rPr>
              <w:t>15</w:t>
            </w:r>
            <w:r w:rsidR="00517309">
              <w:rPr>
                <w:noProof/>
                <w:webHidden/>
              </w:rPr>
              <w:fldChar w:fldCharType="end"/>
            </w:r>
          </w:hyperlink>
        </w:p>
        <w:p w14:paraId="74EA7AE1" w14:textId="249BC783" w:rsidR="00517309" w:rsidRDefault="00000000">
          <w:pPr>
            <w:pStyle w:val="TOC3"/>
            <w:tabs>
              <w:tab w:val="left" w:pos="1760"/>
              <w:tab w:val="right" w:leader="dot" w:pos="9350"/>
            </w:tabs>
            <w:rPr>
              <w:rFonts w:eastAsiaTheme="minorEastAsia" w:cstheme="minorBidi"/>
              <w:noProof/>
              <w:sz w:val="24"/>
              <w:szCs w:val="24"/>
            </w:rPr>
          </w:pPr>
          <w:hyperlink w:anchor="_Toc124499489" w:history="1">
            <w:r w:rsidR="00517309" w:rsidRPr="003F3909">
              <w:rPr>
                <w:rStyle w:val="Hyperlink"/>
                <w:noProof/>
                <w:lang w:val="en-GB"/>
              </w:rPr>
              <w:t>Section 5.6.2</w:t>
            </w:r>
            <w:r w:rsidR="00517309">
              <w:rPr>
                <w:rFonts w:eastAsiaTheme="minorEastAsia" w:cstheme="minorBidi"/>
                <w:noProof/>
                <w:sz w:val="24"/>
                <w:szCs w:val="24"/>
              </w:rPr>
              <w:tab/>
            </w:r>
            <w:r w:rsidR="00517309" w:rsidRPr="003F3909">
              <w:rPr>
                <w:rStyle w:val="Hyperlink"/>
                <w:noProof/>
                <w:lang w:val="en-GB"/>
              </w:rPr>
              <w:t>Mask use forecasting model</w:t>
            </w:r>
            <w:r w:rsidR="00517309">
              <w:rPr>
                <w:noProof/>
                <w:webHidden/>
              </w:rPr>
              <w:tab/>
            </w:r>
            <w:r w:rsidR="00517309">
              <w:rPr>
                <w:noProof/>
                <w:webHidden/>
              </w:rPr>
              <w:fldChar w:fldCharType="begin"/>
            </w:r>
            <w:r w:rsidR="00517309">
              <w:rPr>
                <w:noProof/>
                <w:webHidden/>
              </w:rPr>
              <w:instrText xml:space="preserve"> PAGEREF _Toc124499489 \h </w:instrText>
            </w:r>
            <w:r w:rsidR="00517309">
              <w:rPr>
                <w:noProof/>
                <w:webHidden/>
              </w:rPr>
            </w:r>
            <w:r w:rsidR="00517309">
              <w:rPr>
                <w:noProof/>
                <w:webHidden/>
              </w:rPr>
              <w:fldChar w:fldCharType="separate"/>
            </w:r>
            <w:r w:rsidR="00517309">
              <w:rPr>
                <w:noProof/>
                <w:webHidden/>
              </w:rPr>
              <w:t>15</w:t>
            </w:r>
            <w:r w:rsidR="00517309">
              <w:rPr>
                <w:noProof/>
                <w:webHidden/>
              </w:rPr>
              <w:fldChar w:fldCharType="end"/>
            </w:r>
          </w:hyperlink>
        </w:p>
        <w:p w14:paraId="6278F482" w14:textId="6BB5F480"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90" w:history="1">
            <w:r w:rsidR="00517309" w:rsidRPr="003F3909">
              <w:rPr>
                <w:rStyle w:val="Hyperlink"/>
                <w:noProof/>
                <w:lang w:val="en-GB"/>
              </w:rPr>
              <w:t>Section 5.7</w:t>
            </w:r>
            <w:r w:rsidR="00517309">
              <w:rPr>
                <w:rFonts w:eastAsiaTheme="minorEastAsia" w:cstheme="minorBidi"/>
                <w:b w:val="0"/>
                <w:bCs w:val="0"/>
                <w:noProof/>
                <w:sz w:val="24"/>
                <w:szCs w:val="24"/>
              </w:rPr>
              <w:tab/>
            </w:r>
            <w:r w:rsidR="00517309" w:rsidRPr="003F3909">
              <w:rPr>
                <w:rStyle w:val="Hyperlink"/>
                <w:noProof/>
                <w:lang w:val="en-GB"/>
              </w:rPr>
              <w:t>Social distancing mandates</w:t>
            </w:r>
            <w:r w:rsidR="00517309">
              <w:rPr>
                <w:noProof/>
                <w:webHidden/>
              </w:rPr>
              <w:tab/>
            </w:r>
            <w:r w:rsidR="00517309">
              <w:rPr>
                <w:noProof/>
                <w:webHidden/>
              </w:rPr>
              <w:fldChar w:fldCharType="begin"/>
            </w:r>
            <w:r w:rsidR="00517309">
              <w:rPr>
                <w:noProof/>
                <w:webHidden/>
              </w:rPr>
              <w:instrText xml:space="preserve"> PAGEREF _Toc124499490 \h </w:instrText>
            </w:r>
            <w:r w:rsidR="00517309">
              <w:rPr>
                <w:noProof/>
                <w:webHidden/>
              </w:rPr>
            </w:r>
            <w:r w:rsidR="00517309">
              <w:rPr>
                <w:noProof/>
                <w:webHidden/>
              </w:rPr>
              <w:fldChar w:fldCharType="separate"/>
            </w:r>
            <w:r w:rsidR="00517309">
              <w:rPr>
                <w:noProof/>
                <w:webHidden/>
              </w:rPr>
              <w:t>16</w:t>
            </w:r>
            <w:r w:rsidR="00517309">
              <w:rPr>
                <w:noProof/>
                <w:webHidden/>
              </w:rPr>
              <w:fldChar w:fldCharType="end"/>
            </w:r>
          </w:hyperlink>
        </w:p>
        <w:p w14:paraId="55491949" w14:textId="10C34C85" w:rsidR="00517309" w:rsidRDefault="00000000">
          <w:pPr>
            <w:pStyle w:val="TOC3"/>
            <w:tabs>
              <w:tab w:val="left" w:pos="1760"/>
              <w:tab w:val="right" w:leader="dot" w:pos="9350"/>
            </w:tabs>
            <w:rPr>
              <w:rFonts w:eastAsiaTheme="minorEastAsia" w:cstheme="minorBidi"/>
              <w:noProof/>
              <w:sz w:val="24"/>
              <w:szCs w:val="24"/>
            </w:rPr>
          </w:pPr>
          <w:hyperlink w:anchor="_Toc124499491" w:history="1">
            <w:r w:rsidR="00517309" w:rsidRPr="003F3909">
              <w:rPr>
                <w:rStyle w:val="Hyperlink"/>
                <w:noProof/>
              </w:rPr>
              <w:t>Section 5.7.1</w:t>
            </w:r>
            <w:r w:rsidR="00517309">
              <w:rPr>
                <w:rFonts w:eastAsiaTheme="minorEastAsia" w:cstheme="minorBidi"/>
                <w:noProof/>
                <w:sz w:val="24"/>
                <w:szCs w:val="24"/>
              </w:rPr>
              <w:tab/>
            </w:r>
            <w:r w:rsidR="00517309" w:rsidRPr="003F3909">
              <w:rPr>
                <w:rStyle w:val="Hyperlink"/>
                <w:noProof/>
                <w:shd w:val="clear" w:color="auto" w:fill="FFFFFF"/>
              </w:rPr>
              <w:t>Detailed mandate descriptions</w:t>
            </w:r>
            <w:r w:rsidR="00517309">
              <w:rPr>
                <w:noProof/>
                <w:webHidden/>
              </w:rPr>
              <w:tab/>
            </w:r>
            <w:r w:rsidR="00517309">
              <w:rPr>
                <w:noProof/>
                <w:webHidden/>
              </w:rPr>
              <w:fldChar w:fldCharType="begin"/>
            </w:r>
            <w:r w:rsidR="00517309">
              <w:rPr>
                <w:noProof/>
                <w:webHidden/>
              </w:rPr>
              <w:instrText xml:space="preserve"> PAGEREF _Toc124499491 \h </w:instrText>
            </w:r>
            <w:r w:rsidR="00517309">
              <w:rPr>
                <w:noProof/>
                <w:webHidden/>
              </w:rPr>
            </w:r>
            <w:r w:rsidR="00517309">
              <w:rPr>
                <w:noProof/>
                <w:webHidden/>
              </w:rPr>
              <w:fldChar w:fldCharType="separate"/>
            </w:r>
            <w:r w:rsidR="00517309">
              <w:rPr>
                <w:noProof/>
                <w:webHidden/>
              </w:rPr>
              <w:t>16</w:t>
            </w:r>
            <w:r w:rsidR="00517309">
              <w:rPr>
                <w:noProof/>
                <w:webHidden/>
              </w:rPr>
              <w:fldChar w:fldCharType="end"/>
            </w:r>
          </w:hyperlink>
        </w:p>
        <w:p w14:paraId="705BDB3C" w14:textId="7DF548A4" w:rsidR="00517309" w:rsidRDefault="00000000">
          <w:pPr>
            <w:pStyle w:val="TOC3"/>
            <w:tabs>
              <w:tab w:val="left" w:pos="1760"/>
              <w:tab w:val="right" w:leader="dot" w:pos="9350"/>
            </w:tabs>
            <w:rPr>
              <w:rFonts w:eastAsiaTheme="minorEastAsia" w:cstheme="minorBidi"/>
              <w:noProof/>
              <w:sz w:val="24"/>
              <w:szCs w:val="24"/>
            </w:rPr>
          </w:pPr>
          <w:hyperlink w:anchor="_Toc124499492" w:history="1">
            <w:r w:rsidR="00517309" w:rsidRPr="003F3909">
              <w:rPr>
                <w:rStyle w:val="Hyperlink"/>
                <w:noProof/>
                <w:lang w:val="en-GB"/>
              </w:rPr>
              <w:t>Section 5.7.2</w:t>
            </w:r>
            <w:r w:rsidR="00517309">
              <w:rPr>
                <w:rFonts w:eastAsiaTheme="minorEastAsia" w:cstheme="minorBidi"/>
                <w:noProof/>
                <w:sz w:val="24"/>
                <w:szCs w:val="24"/>
              </w:rPr>
              <w:tab/>
            </w:r>
            <w:r w:rsidR="00517309" w:rsidRPr="003F3909">
              <w:rPr>
                <w:rStyle w:val="Hyperlink"/>
                <w:noProof/>
                <w:lang w:val="en-GB"/>
              </w:rPr>
              <w:t>Mandate averaging and forecasting</w:t>
            </w:r>
            <w:r w:rsidR="00517309">
              <w:rPr>
                <w:noProof/>
                <w:webHidden/>
              </w:rPr>
              <w:tab/>
            </w:r>
            <w:r w:rsidR="00517309">
              <w:rPr>
                <w:noProof/>
                <w:webHidden/>
              </w:rPr>
              <w:fldChar w:fldCharType="begin"/>
            </w:r>
            <w:r w:rsidR="00517309">
              <w:rPr>
                <w:noProof/>
                <w:webHidden/>
              </w:rPr>
              <w:instrText xml:space="preserve"> PAGEREF _Toc124499492 \h </w:instrText>
            </w:r>
            <w:r w:rsidR="00517309">
              <w:rPr>
                <w:noProof/>
                <w:webHidden/>
              </w:rPr>
            </w:r>
            <w:r w:rsidR="00517309">
              <w:rPr>
                <w:noProof/>
                <w:webHidden/>
              </w:rPr>
              <w:fldChar w:fldCharType="separate"/>
            </w:r>
            <w:r w:rsidR="00517309">
              <w:rPr>
                <w:noProof/>
                <w:webHidden/>
              </w:rPr>
              <w:t>17</w:t>
            </w:r>
            <w:r w:rsidR="00517309">
              <w:rPr>
                <w:noProof/>
                <w:webHidden/>
              </w:rPr>
              <w:fldChar w:fldCharType="end"/>
            </w:r>
          </w:hyperlink>
        </w:p>
        <w:p w14:paraId="0EF68536" w14:textId="5777B1BA"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493" w:history="1">
            <w:r w:rsidR="00517309" w:rsidRPr="003F3909">
              <w:rPr>
                <w:rStyle w:val="Hyperlink"/>
                <w:noProof/>
                <w:lang w:val="en-GB"/>
              </w:rPr>
              <w:t>Section 5.8</w:t>
            </w:r>
            <w:r w:rsidR="00517309">
              <w:rPr>
                <w:rFonts w:eastAsiaTheme="minorEastAsia" w:cstheme="minorBidi"/>
                <w:b w:val="0"/>
                <w:bCs w:val="0"/>
                <w:noProof/>
                <w:sz w:val="24"/>
                <w:szCs w:val="24"/>
              </w:rPr>
              <w:tab/>
            </w:r>
            <w:r w:rsidR="00517309" w:rsidRPr="003F3909">
              <w:rPr>
                <w:rStyle w:val="Hyperlink"/>
                <w:noProof/>
                <w:lang w:val="en-GB"/>
              </w:rPr>
              <w:t>Time-invariant drivers</w:t>
            </w:r>
            <w:r w:rsidR="00517309" w:rsidRPr="003F3909">
              <w:rPr>
                <w:rStyle w:val="Hyperlink"/>
                <w:noProof/>
                <w:vertAlign w:val="superscript"/>
              </w:rPr>
              <w:t>1</w:t>
            </w:r>
            <w:r w:rsidR="00517309">
              <w:rPr>
                <w:noProof/>
                <w:webHidden/>
              </w:rPr>
              <w:tab/>
            </w:r>
            <w:r w:rsidR="00517309">
              <w:rPr>
                <w:noProof/>
                <w:webHidden/>
              </w:rPr>
              <w:fldChar w:fldCharType="begin"/>
            </w:r>
            <w:r w:rsidR="00517309">
              <w:rPr>
                <w:noProof/>
                <w:webHidden/>
              </w:rPr>
              <w:instrText xml:space="preserve"> PAGEREF _Toc124499493 \h </w:instrText>
            </w:r>
            <w:r w:rsidR="00517309">
              <w:rPr>
                <w:noProof/>
                <w:webHidden/>
              </w:rPr>
            </w:r>
            <w:r w:rsidR="00517309">
              <w:rPr>
                <w:noProof/>
                <w:webHidden/>
              </w:rPr>
              <w:fldChar w:fldCharType="separate"/>
            </w:r>
            <w:r w:rsidR="00517309">
              <w:rPr>
                <w:noProof/>
                <w:webHidden/>
              </w:rPr>
              <w:t>18</w:t>
            </w:r>
            <w:r w:rsidR="00517309">
              <w:rPr>
                <w:noProof/>
                <w:webHidden/>
              </w:rPr>
              <w:fldChar w:fldCharType="end"/>
            </w:r>
          </w:hyperlink>
        </w:p>
        <w:p w14:paraId="22611833" w14:textId="5184CD6C" w:rsidR="00517309" w:rsidRDefault="00000000">
          <w:pPr>
            <w:pStyle w:val="TOC3"/>
            <w:tabs>
              <w:tab w:val="left" w:pos="1760"/>
              <w:tab w:val="right" w:leader="dot" w:pos="9350"/>
            </w:tabs>
            <w:rPr>
              <w:rFonts w:eastAsiaTheme="minorEastAsia" w:cstheme="minorBidi"/>
              <w:noProof/>
              <w:sz w:val="24"/>
              <w:szCs w:val="24"/>
            </w:rPr>
          </w:pPr>
          <w:hyperlink w:anchor="_Toc124499494" w:history="1">
            <w:r w:rsidR="00517309" w:rsidRPr="003F3909">
              <w:rPr>
                <w:rStyle w:val="Hyperlink"/>
                <w:noProof/>
                <w:lang w:val="en-GB"/>
              </w:rPr>
              <w:t>Section 5.8.1</w:t>
            </w:r>
            <w:r w:rsidR="00517309">
              <w:rPr>
                <w:rFonts w:eastAsiaTheme="minorEastAsia" w:cstheme="minorBidi"/>
                <w:noProof/>
                <w:sz w:val="24"/>
                <w:szCs w:val="24"/>
              </w:rPr>
              <w:tab/>
            </w:r>
            <w:r w:rsidR="00517309" w:rsidRPr="003F3909">
              <w:rPr>
                <w:rStyle w:val="Hyperlink"/>
                <w:noProof/>
                <w:lang w:val="en-GB"/>
              </w:rPr>
              <w:t>Lower respiratory infection mortality</w:t>
            </w:r>
            <w:r w:rsidR="00517309">
              <w:rPr>
                <w:noProof/>
                <w:webHidden/>
              </w:rPr>
              <w:tab/>
            </w:r>
            <w:r w:rsidR="00517309">
              <w:rPr>
                <w:noProof/>
                <w:webHidden/>
              </w:rPr>
              <w:fldChar w:fldCharType="begin"/>
            </w:r>
            <w:r w:rsidR="00517309">
              <w:rPr>
                <w:noProof/>
                <w:webHidden/>
              </w:rPr>
              <w:instrText xml:space="preserve"> PAGEREF _Toc124499494 \h </w:instrText>
            </w:r>
            <w:r w:rsidR="00517309">
              <w:rPr>
                <w:noProof/>
                <w:webHidden/>
              </w:rPr>
            </w:r>
            <w:r w:rsidR="00517309">
              <w:rPr>
                <w:noProof/>
                <w:webHidden/>
              </w:rPr>
              <w:fldChar w:fldCharType="separate"/>
            </w:r>
            <w:r w:rsidR="00517309">
              <w:rPr>
                <w:noProof/>
                <w:webHidden/>
              </w:rPr>
              <w:t>18</w:t>
            </w:r>
            <w:r w:rsidR="00517309">
              <w:rPr>
                <w:noProof/>
                <w:webHidden/>
              </w:rPr>
              <w:fldChar w:fldCharType="end"/>
            </w:r>
          </w:hyperlink>
        </w:p>
        <w:p w14:paraId="01EA1D1F" w14:textId="1D7CBF4C" w:rsidR="00517309" w:rsidRDefault="00000000">
          <w:pPr>
            <w:pStyle w:val="TOC3"/>
            <w:tabs>
              <w:tab w:val="left" w:pos="1760"/>
              <w:tab w:val="right" w:leader="dot" w:pos="9350"/>
            </w:tabs>
            <w:rPr>
              <w:rFonts w:eastAsiaTheme="minorEastAsia" w:cstheme="minorBidi"/>
              <w:noProof/>
              <w:sz w:val="24"/>
              <w:szCs w:val="24"/>
            </w:rPr>
          </w:pPr>
          <w:hyperlink w:anchor="_Toc124499495" w:history="1">
            <w:r w:rsidR="00517309" w:rsidRPr="003F3909">
              <w:rPr>
                <w:rStyle w:val="Hyperlink"/>
                <w:noProof/>
                <w:lang w:val="en-GB"/>
              </w:rPr>
              <w:t>Section 5.8.2</w:t>
            </w:r>
            <w:r w:rsidR="00517309">
              <w:rPr>
                <w:rFonts w:eastAsiaTheme="minorEastAsia" w:cstheme="minorBidi"/>
                <w:noProof/>
                <w:sz w:val="24"/>
                <w:szCs w:val="24"/>
              </w:rPr>
              <w:tab/>
            </w:r>
            <w:r w:rsidR="00517309" w:rsidRPr="003F3909">
              <w:rPr>
                <w:rStyle w:val="Hyperlink"/>
                <w:noProof/>
                <w:lang w:val="en-GB"/>
              </w:rPr>
              <w:t>Altitude</w:t>
            </w:r>
            <w:r w:rsidR="00517309">
              <w:rPr>
                <w:noProof/>
                <w:webHidden/>
              </w:rPr>
              <w:tab/>
            </w:r>
            <w:r w:rsidR="00517309">
              <w:rPr>
                <w:noProof/>
                <w:webHidden/>
              </w:rPr>
              <w:fldChar w:fldCharType="begin"/>
            </w:r>
            <w:r w:rsidR="00517309">
              <w:rPr>
                <w:noProof/>
                <w:webHidden/>
              </w:rPr>
              <w:instrText xml:space="preserve"> PAGEREF _Toc124499495 \h </w:instrText>
            </w:r>
            <w:r w:rsidR="00517309">
              <w:rPr>
                <w:noProof/>
                <w:webHidden/>
              </w:rPr>
            </w:r>
            <w:r w:rsidR="00517309">
              <w:rPr>
                <w:noProof/>
                <w:webHidden/>
              </w:rPr>
              <w:fldChar w:fldCharType="separate"/>
            </w:r>
            <w:r w:rsidR="00517309">
              <w:rPr>
                <w:noProof/>
                <w:webHidden/>
              </w:rPr>
              <w:t>18</w:t>
            </w:r>
            <w:r w:rsidR="00517309">
              <w:rPr>
                <w:noProof/>
                <w:webHidden/>
              </w:rPr>
              <w:fldChar w:fldCharType="end"/>
            </w:r>
          </w:hyperlink>
        </w:p>
        <w:p w14:paraId="0D6BD168" w14:textId="48266D0D" w:rsidR="00517309" w:rsidRDefault="00000000">
          <w:pPr>
            <w:pStyle w:val="TOC3"/>
            <w:tabs>
              <w:tab w:val="left" w:pos="1760"/>
              <w:tab w:val="right" w:leader="dot" w:pos="9350"/>
            </w:tabs>
            <w:rPr>
              <w:rFonts w:eastAsiaTheme="minorEastAsia" w:cstheme="minorBidi"/>
              <w:noProof/>
              <w:sz w:val="24"/>
              <w:szCs w:val="24"/>
            </w:rPr>
          </w:pPr>
          <w:hyperlink w:anchor="_Toc124499496" w:history="1">
            <w:r w:rsidR="00517309" w:rsidRPr="003F3909">
              <w:rPr>
                <w:rStyle w:val="Hyperlink"/>
                <w:noProof/>
                <w:lang w:val="en-GB"/>
              </w:rPr>
              <w:t>Section 5.8.3</w:t>
            </w:r>
            <w:r w:rsidR="00517309">
              <w:rPr>
                <w:rFonts w:eastAsiaTheme="minorEastAsia" w:cstheme="minorBidi"/>
                <w:noProof/>
                <w:sz w:val="24"/>
                <w:szCs w:val="24"/>
              </w:rPr>
              <w:tab/>
            </w:r>
            <w:r w:rsidR="00517309" w:rsidRPr="003F3909">
              <w:rPr>
                <w:rStyle w:val="Hyperlink"/>
                <w:noProof/>
                <w:lang w:val="en-GB"/>
              </w:rPr>
              <w:t>Smoking</w:t>
            </w:r>
            <w:r w:rsidR="00517309">
              <w:rPr>
                <w:noProof/>
                <w:webHidden/>
              </w:rPr>
              <w:tab/>
            </w:r>
            <w:r w:rsidR="00517309">
              <w:rPr>
                <w:noProof/>
                <w:webHidden/>
              </w:rPr>
              <w:fldChar w:fldCharType="begin"/>
            </w:r>
            <w:r w:rsidR="00517309">
              <w:rPr>
                <w:noProof/>
                <w:webHidden/>
              </w:rPr>
              <w:instrText xml:space="preserve"> PAGEREF _Toc124499496 \h </w:instrText>
            </w:r>
            <w:r w:rsidR="00517309">
              <w:rPr>
                <w:noProof/>
                <w:webHidden/>
              </w:rPr>
            </w:r>
            <w:r w:rsidR="00517309">
              <w:rPr>
                <w:noProof/>
                <w:webHidden/>
              </w:rPr>
              <w:fldChar w:fldCharType="separate"/>
            </w:r>
            <w:r w:rsidR="00517309">
              <w:rPr>
                <w:noProof/>
                <w:webHidden/>
              </w:rPr>
              <w:t>18</w:t>
            </w:r>
            <w:r w:rsidR="00517309">
              <w:rPr>
                <w:noProof/>
                <w:webHidden/>
              </w:rPr>
              <w:fldChar w:fldCharType="end"/>
            </w:r>
          </w:hyperlink>
        </w:p>
        <w:p w14:paraId="7C4D3D86" w14:textId="2A2A0857" w:rsidR="00517309" w:rsidRDefault="00000000">
          <w:pPr>
            <w:pStyle w:val="TOC3"/>
            <w:tabs>
              <w:tab w:val="left" w:pos="1760"/>
              <w:tab w:val="right" w:leader="dot" w:pos="9350"/>
            </w:tabs>
            <w:rPr>
              <w:rFonts w:eastAsiaTheme="minorEastAsia" w:cstheme="minorBidi"/>
              <w:noProof/>
              <w:sz w:val="24"/>
              <w:szCs w:val="24"/>
            </w:rPr>
          </w:pPr>
          <w:hyperlink w:anchor="_Toc124499497" w:history="1">
            <w:r w:rsidR="00517309" w:rsidRPr="003F3909">
              <w:rPr>
                <w:rStyle w:val="Hyperlink"/>
                <w:noProof/>
                <w:lang w:val="en-GB"/>
              </w:rPr>
              <w:t>Section 5.8.4</w:t>
            </w:r>
            <w:r w:rsidR="00517309">
              <w:rPr>
                <w:rFonts w:eastAsiaTheme="minorEastAsia" w:cstheme="minorBidi"/>
                <w:noProof/>
                <w:sz w:val="24"/>
                <w:szCs w:val="24"/>
              </w:rPr>
              <w:tab/>
            </w:r>
            <w:r w:rsidR="00517309" w:rsidRPr="003F3909">
              <w:rPr>
                <w:rStyle w:val="Hyperlink"/>
                <w:noProof/>
                <w:lang w:val="en-GB"/>
              </w:rPr>
              <w:t>Ambient particulate matter pollution</w:t>
            </w:r>
            <w:r w:rsidR="00517309">
              <w:rPr>
                <w:noProof/>
                <w:webHidden/>
              </w:rPr>
              <w:tab/>
            </w:r>
            <w:r w:rsidR="00517309">
              <w:rPr>
                <w:noProof/>
                <w:webHidden/>
              </w:rPr>
              <w:fldChar w:fldCharType="begin"/>
            </w:r>
            <w:r w:rsidR="00517309">
              <w:rPr>
                <w:noProof/>
                <w:webHidden/>
              </w:rPr>
              <w:instrText xml:space="preserve"> PAGEREF _Toc124499497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3A3E3E1C" w14:textId="6365AB41" w:rsidR="00517309" w:rsidRDefault="00000000">
          <w:pPr>
            <w:pStyle w:val="TOC3"/>
            <w:tabs>
              <w:tab w:val="left" w:pos="1760"/>
              <w:tab w:val="right" w:leader="dot" w:pos="9350"/>
            </w:tabs>
            <w:rPr>
              <w:rFonts w:eastAsiaTheme="minorEastAsia" w:cstheme="minorBidi"/>
              <w:noProof/>
              <w:sz w:val="24"/>
              <w:szCs w:val="24"/>
            </w:rPr>
          </w:pPr>
          <w:hyperlink w:anchor="_Toc124499498" w:history="1">
            <w:r w:rsidR="00517309" w:rsidRPr="003F3909">
              <w:rPr>
                <w:rStyle w:val="Hyperlink"/>
                <w:noProof/>
                <w:lang w:val="en-GB"/>
              </w:rPr>
              <w:t>Section 5.8.5</w:t>
            </w:r>
            <w:r w:rsidR="00517309">
              <w:rPr>
                <w:rFonts w:eastAsiaTheme="minorEastAsia" w:cstheme="minorBidi"/>
                <w:noProof/>
                <w:sz w:val="24"/>
                <w:szCs w:val="24"/>
              </w:rPr>
              <w:tab/>
            </w:r>
            <w:r w:rsidR="00517309" w:rsidRPr="003F3909">
              <w:rPr>
                <w:rStyle w:val="Hyperlink"/>
                <w:noProof/>
                <w:lang w:val="en-GB"/>
              </w:rPr>
              <w:t>Population density</w:t>
            </w:r>
            <w:r w:rsidR="00517309">
              <w:rPr>
                <w:noProof/>
                <w:webHidden/>
              </w:rPr>
              <w:tab/>
            </w:r>
            <w:r w:rsidR="00517309">
              <w:rPr>
                <w:noProof/>
                <w:webHidden/>
              </w:rPr>
              <w:fldChar w:fldCharType="begin"/>
            </w:r>
            <w:r w:rsidR="00517309">
              <w:rPr>
                <w:noProof/>
                <w:webHidden/>
              </w:rPr>
              <w:instrText xml:space="preserve"> PAGEREF _Toc124499498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00E1788A" w14:textId="10AF3448" w:rsidR="00517309" w:rsidRDefault="00000000">
          <w:pPr>
            <w:pStyle w:val="TOC3"/>
            <w:tabs>
              <w:tab w:val="left" w:pos="1760"/>
              <w:tab w:val="right" w:leader="dot" w:pos="9350"/>
            </w:tabs>
            <w:rPr>
              <w:rFonts w:eastAsiaTheme="minorEastAsia" w:cstheme="minorBidi"/>
              <w:noProof/>
              <w:sz w:val="24"/>
              <w:szCs w:val="24"/>
            </w:rPr>
          </w:pPr>
          <w:hyperlink w:anchor="_Toc124499499" w:history="1">
            <w:r w:rsidR="00517309" w:rsidRPr="003F3909">
              <w:rPr>
                <w:rStyle w:val="Hyperlink"/>
                <w:noProof/>
                <w:lang w:val="en-GB"/>
              </w:rPr>
              <w:t>Section 5.8.6</w:t>
            </w:r>
            <w:r w:rsidR="00517309">
              <w:rPr>
                <w:rFonts w:eastAsiaTheme="minorEastAsia" w:cstheme="minorBidi"/>
                <w:noProof/>
                <w:sz w:val="24"/>
                <w:szCs w:val="24"/>
              </w:rPr>
              <w:tab/>
            </w:r>
            <w:r w:rsidR="00517309" w:rsidRPr="003F3909">
              <w:rPr>
                <w:rStyle w:val="Hyperlink"/>
                <w:noProof/>
                <w:lang w:val="en-GB"/>
              </w:rPr>
              <w:t>Demography</w:t>
            </w:r>
            <w:r w:rsidR="00517309">
              <w:rPr>
                <w:noProof/>
                <w:webHidden/>
              </w:rPr>
              <w:tab/>
            </w:r>
            <w:r w:rsidR="00517309">
              <w:rPr>
                <w:noProof/>
                <w:webHidden/>
              </w:rPr>
              <w:fldChar w:fldCharType="begin"/>
            </w:r>
            <w:r w:rsidR="00517309">
              <w:rPr>
                <w:noProof/>
                <w:webHidden/>
              </w:rPr>
              <w:instrText xml:space="preserve"> PAGEREF _Toc124499499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64D9FABB" w14:textId="178F1976" w:rsidR="00517309" w:rsidRDefault="00000000">
          <w:pPr>
            <w:pStyle w:val="TOC3"/>
            <w:tabs>
              <w:tab w:val="left" w:pos="1760"/>
              <w:tab w:val="right" w:leader="dot" w:pos="9350"/>
            </w:tabs>
            <w:rPr>
              <w:rFonts w:eastAsiaTheme="minorEastAsia" w:cstheme="minorBidi"/>
              <w:noProof/>
              <w:sz w:val="24"/>
              <w:szCs w:val="24"/>
            </w:rPr>
          </w:pPr>
          <w:hyperlink w:anchor="_Toc124499500" w:history="1">
            <w:r w:rsidR="00517309" w:rsidRPr="003F3909">
              <w:rPr>
                <w:rStyle w:val="Hyperlink"/>
                <w:noProof/>
                <w:lang w:val="en-GB"/>
              </w:rPr>
              <w:t>Section 5.8.7</w:t>
            </w:r>
            <w:r w:rsidR="00517309">
              <w:rPr>
                <w:rFonts w:eastAsiaTheme="minorEastAsia" w:cstheme="minorBidi"/>
                <w:noProof/>
                <w:sz w:val="24"/>
                <w:szCs w:val="24"/>
              </w:rPr>
              <w:tab/>
            </w:r>
            <w:r w:rsidR="00517309" w:rsidRPr="003F3909">
              <w:rPr>
                <w:rStyle w:val="Hyperlink"/>
                <w:noProof/>
                <w:lang w:val="en-GB"/>
              </w:rPr>
              <w:t>Lag-distributed income</w:t>
            </w:r>
            <w:r w:rsidR="00517309">
              <w:rPr>
                <w:noProof/>
                <w:webHidden/>
              </w:rPr>
              <w:tab/>
            </w:r>
            <w:r w:rsidR="00517309">
              <w:rPr>
                <w:noProof/>
                <w:webHidden/>
              </w:rPr>
              <w:fldChar w:fldCharType="begin"/>
            </w:r>
            <w:r w:rsidR="00517309">
              <w:rPr>
                <w:noProof/>
                <w:webHidden/>
              </w:rPr>
              <w:instrText xml:space="preserve"> PAGEREF _Toc124499500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1974C568" w14:textId="014037CD" w:rsidR="00517309" w:rsidRDefault="00000000">
          <w:pPr>
            <w:pStyle w:val="TOC3"/>
            <w:tabs>
              <w:tab w:val="left" w:pos="1760"/>
              <w:tab w:val="right" w:leader="dot" w:pos="9350"/>
            </w:tabs>
            <w:rPr>
              <w:rFonts w:eastAsiaTheme="minorEastAsia" w:cstheme="minorBidi"/>
              <w:noProof/>
              <w:sz w:val="24"/>
              <w:szCs w:val="24"/>
            </w:rPr>
          </w:pPr>
          <w:hyperlink w:anchor="_Toc124499501" w:history="1">
            <w:r w:rsidR="00517309" w:rsidRPr="003F3909">
              <w:rPr>
                <w:rStyle w:val="Hyperlink"/>
                <w:noProof/>
                <w:lang w:val="en-GB"/>
              </w:rPr>
              <w:t>Section 5.8.8</w:t>
            </w:r>
            <w:r w:rsidR="00517309">
              <w:rPr>
                <w:rFonts w:eastAsiaTheme="minorEastAsia" w:cstheme="minorBidi"/>
                <w:noProof/>
                <w:sz w:val="24"/>
                <w:szCs w:val="24"/>
              </w:rPr>
              <w:tab/>
            </w:r>
            <w:r w:rsidR="00517309" w:rsidRPr="003F3909">
              <w:rPr>
                <w:rStyle w:val="Hyperlink"/>
                <w:noProof/>
                <w:lang w:val="en-GB"/>
              </w:rPr>
              <w:t>UHC effective coverage</w:t>
            </w:r>
            <w:r w:rsidR="00517309">
              <w:rPr>
                <w:noProof/>
                <w:webHidden/>
              </w:rPr>
              <w:tab/>
            </w:r>
            <w:r w:rsidR="00517309">
              <w:rPr>
                <w:noProof/>
                <w:webHidden/>
              </w:rPr>
              <w:fldChar w:fldCharType="begin"/>
            </w:r>
            <w:r w:rsidR="00517309">
              <w:rPr>
                <w:noProof/>
                <w:webHidden/>
              </w:rPr>
              <w:instrText xml:space="preserve"> PAGEREF _Toc124499501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2FC5F42F" w14:textId="3A64B143" w:rsidR="00517309" w:rsidRDefault="00000000">
          <w:pPr>
            <w:pStyle w:val="TOC3"/>
            <w:tabs>
              <w:tab w:val="left" w:pos="1760"/>
              <w:tab w:val="right" w:leader="dot" w:pos="9350"/>
            </w:tabs>
            <w:rPr>
              <w:rFonts w:eastAsiaTheme="minorEastAsia" w:cstheme="minorBidi"/>
              <w:noProof/>
              <w:sz w:val="24"/>
              <w:szCs w:val="24"/>
            </w:rPr>
          </w:pPr>
          <w:hyperlink w:anchor="_Toc124499502" w:history="1">
            <w:r w:rsidR="00517309" w:rsidRPr="003F3909">
              <w:rPr>
                <w:rStyle w:val="Hyperlink"/>
                <w:noProof/>
                <w:lang w:val="en-GB"/>
              </w:rPr>
              <w:t>Section 5.8.9</w:t>
            </w:r>
            <w:r w:rsidR="00517309">
              <w:rPr>
                <w:rFonts w:eastAsiaTheme="minorEastAsia" w:cstheme="minorBidi"/>
                <w:noProof/>
                <w:sz w:val="24"/>
                <w:szCs w:val="24"/>
              </w:rPr>
              <w:tab/>
            </w:r>
            <w:r w:rsidR="00517309" w:rsidRPr="003F3909">
              <w:rPr>
                <w:rStyle w:val="Hyperlink"/>
                <w:noProof/>
                <w:lang w:val="en-GB"/>
              </w:rPr>
              <w:t>Healthcare Access and Quality index</w:t>
            </w:r>
            <w:r w:rsidR="00517309">
              <w:rPr>
                <w:noProof/>
                <w:webHidden/>
              </w:rPr>
              <w:tab/>
            </w:r>
            <w:r w:rsidR="00517309">
              <w:rPr>
                <w:noProof/>
                <w:webHidden/>
              </w:rPr>
              <w:fldChar w:fldCharType="begin"/>
            </w:r>
            <w:r w:rsidR="00517309">
              <w:rPr>
                <w:noProof/>
                <w:webHidden/>
              </w:rPr>
              <w:instrText xml:space="preserve"> PAGEREF _Toc124499502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58357AE7" w14:textId="765B66F9" w:rsidR="00517309" w:rsidRDefault="00000000">
          <w:pPr>
            <w:pStyle w:val="TOC3"/>
            <w:tabs>
              <w:tab w:val="left" w:pos="1831"/>
              <w:tab w:val="right" w:leader="dot" w:pos="9350"/>
            </w:tabs>
            <w:rPr>
              <w:rFonts w:eastAsiaTheme="minorEastAsia" w:cstheme="minorBidi"/>
              <w:noProof/>
              <w:sz w:val="24"/>
              <w:szCs w:val="24"/>
            </w:rPr>
          </w:pPr>
          <w:hyperlink w:anchor="_Toc124499503" w:history="1">
            <w:r w:rsidR="00517309" w:rsidRPr="003F3909">
              <w:rPr>
                <w:rStyle w:val="Hyperlink"/>
                <w:noProof/>
                <w:lang w:val="en-GB"/>
              </w:rPr>
              <w:t>Section 5.8.10</w:t>
            </w:r>
            <w:r w:rsidR="00517309">
              <w:rPr>
                <w:rFonts w:eastAsiaTheme="minorEastAsia" w:cstheme="minorBidi"/>
                <w:noProof/>
                <w:sz w:val="24"/>
                <w:szCs w:val="24"/>
              </w:rPr>
              <w:tab/>
            </w:r>
            <w:r w:rsidR="00517309" w:rsidRPr="003F3909">
              <w:rPr>
                <w:rStyle w:val="Hyperlink"/>
                <w:noProof/>
                <w:lang w:val="en-GB"/>
              </w:rPr>
              <w:t>Obesity</w:t>
            </w:r>
            <w:r w:rsidR="00517309">
              <w:rPr>
                <w:noProof/>
                <w:webHidden/>
              </w:rPr>
              <w:tab/>
            </w:r>
            <w:r w:rsidR="00517309">
              <w:rPr>
                <w:noProof/>
                <w:webHidden/>
              </w:rPr>
              <w:fldChar w:fldCharType="begin"/>
            </w:r>
            <w:r w:rsidR="00517309">
              <w:rPr>
                <w:noProof/>
                <w:webHidden/>
              </w:rPr>
              <w:instrText xml:space="preserve"> PAGEREF _Toc124499503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16B8C2DE" w14:textId="7372CA4D" w:rsidR="00517309" w:rsidRDefault="00000000">
          <w:pPr>
            <w:pStyle w:val="TOC3"/>
            <w:tabs>
              <w:tab w:val="left" w:pos="1831"/>
              <w:tab w:val="right" w:leader="dot" w:pos="9350"/>
            </w:tabs>
            <w:rPr>
              <w:rFonts w:eastAsiaTheme="minorEastAsia" w:cstheme="minorBidi"/>
              <w:noProof/>
              <w:sz w:val="24"/>
              <w:szCs w:val="24"/>
            </w:rPr>
          </w:pPr>
          <w:hyperlink w:anchor="_Toc124499504" w:history="1">
            <w:r w:rsidR="00517309" w:rsidRPr="003F3909">
              <w:rPr>
                <w:rStyle w:val="Hyperlink"/>
                <w:noProof/>
                <w:lang w:val="en-GB"/>
              </w:rPr>
              <w:t>Section 5.8.11</w:t>
            </w:r>
            <w:r w:rsidR="00517309">
              <w:rPr>
                <w:rFonts w:eastAsiaTheme="minorEastAsia" w:cstheme="minorBidi"/>
                <w:noProof/>
                <w:sz w:val="24"/>
                <w:szCs w:val="24"/>
              </w:rPr>
              <w:tab/>
            </w:r>
            <w:r w:rsidR="00517309" w:rsidRPr="003F3909">
              <w:rPr>
                <w:rStyle w:val="Hyperlink"/>
                <w:noProof/>
                <w:lang w:val="en-GB"/>
              </w:rPr>
              <w:t>Diabetes</w:t>
            </w:r>
            <w:r w:rsidR="00517309">
              <w:rPr>
                <w:noProof/>
                <w:webHidden/>
              </w:rPr>
              <w:tab/>
            </w:r>
            <w:r w:rsidR="00517309">
              <w:rPr>
                <w:noProof/>
                <w:webHidden/>
              </w:rPr>
              <w:fldChar w:fldCharType="begin"/>
            </w:r>
            <w:r w:rsidR="00517309">
              <w:rPr>
                <w:noProof/>
                <w:webHidden/>
              </w:rPr>
              <w:instrText xml:space="preserve"> PAGEREF _Toc124499504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4918750C" w14:textId="5D23F931" w:rsidR="00517309" w:rsidRDefault="00000000">
          <w:pPr>
            <w:pStyle w:val="TOC3"/>
            <w:tabs>
              <w:tab w:val="left" w:pos="1831"/>
              <w:tab w:val="right" w:leader="dot" w:pos="9350"/>
            </w:tabs>
            <w:rPr>
              <w:rFonts w:eastAsiaTheme="minorEastAsia" w:cstheme="minorBidi"/>
              <w:noProof/>
              <w:sz w:val="24"/>
              <w:szCs w:val="24"/>
            </w:rPr>
          </w:pPr>
          <w:hyperlink w:anchor="_Toc124499505" w:history="1">
            <w:r w:rsidR="00517309" w:rsidRPr="003F3909">
              <w:rPr>
                <w:rStyle w:val="Hyperlink"/>
                <w:noProof/>
                <w:lang w:val="en-GB"/>
              </w:rPr>
              <w:t>Section 5.8.12</w:t>
            </w:r>
            <w:r w:rsidR="00517309">
              <w:rPr>
                <w:rFonts w:eastAsiaTheme="minorEastAsia" w:cstheme="minorBidi"/>
                <w:noProof/>
                <w:sz w:val="24"/>
                <w:szCs w:val="24"/>
              </w:rPr>
              <w:tab/>
            </w:r>
            <w:r w:rsidR="00517309" w:rsidRPr="003F3909">
              <w:rPr>
                <w:rStyle w:val="Hyperlink"/>
                <w:noProof/>
                <w:lang w:val="en-GB"/>
              </w:rPr>
              <w:t>Cancer</w:t>
            </w:r>
            <w:r w:rsidR="00517309">
              <w:rPr>
                <w:noProof/>
                <w:webHidden/>
              </w:rPr>
              <w:tab/>
            </w:r>
            <w:r w:rsidR="00517309">
              <w:rPr>
                <w:noProof/>
                <w:webHidden/>
              </w:rPr>
              <w:fldChar w:fldCharType="begin"/>
            </w:r>
            <w:r w:rsidR="00517309">
              <w:rPr>
                <w:noProof/>
                <w:webHidden/>
              </w:rPr>
              <w:instrText xml:space="preserve"> PAGEREF _Toc124499505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4A4F2241" w14:textId="49996740" w:rsidR="00517309" w:rsidRDefault="00000000">
          <w:pPr>
            <w:pStyle w:val="TOC3"/>
            <w:tabs>
              <w:tab w:val="left" w:pos="1831"/>
              <w:tab w:val="right" w:leader="dot" w:pos="9350"/>
            </w:tabs>
            <w:rPr>
              <w:rFonts w:eastAsiaTheme="minorEastAsia" w:cstheme="minorBidi"/>
              <w:noProof/>
              <w:sz w:val="24"/>
              <w:szCs w:val="24"/>
            </w:rPr>
          </w:pPr>
          <w:hyperlink w:anchor="_Toc124499506" w:history="1">
            <w:r w:rsidR="00517309" w:rsidRPr="003F3909">
              <w:rPr>
                <w:rStyle w:val="Hyperlink"/>
                <w:noProof/>
                <w:lang w:val="en-GB"/>
              </w:rPr>
              <w:t>Section 5.8.13</w:t>
            </w:r>
            <w:r w:rsidR="00517309">
              <w:rPr>
                <w:rFonts w:eastAsiaTheme="minorEastAsia" w:cstheme="minorBidi"/>
                <w:noProof/>
                <w:sz w:val="24"/>
                <w:szCs w:val="24"/>
              </w:rPr>
              <w:tab/>
            </w:r>
            <w:r w:rsidR="00517309" w:rsidRPr="003F3909">
              <w:rPr>
                <w:rStyle w:val="Hyperlink"/>
                <w:noProof/>
                <w:lang w:val="en-GB"/>
              </w:rPr>
              <w:t>Cardiovascular disease</w:t>
            </w:r>
            <w:r w:rsidR="00517309">
              <w:rPr>
                <w:noProof/>
                <w:webHidden/>
              </w:rPr>
              <w:tab/>
            </w:r>
            <w:r w:rsidR="00517309">
              <w:rPr>
                <w:noProof/>
                <w:webHidden/>
              </w:rPr>
              <w:fldChar w:fldCharType="begin"/>
            </w:r>
            <w:r w:rsidR="00517309">
              <w:rPr>
                <w:noProof/>
                <w:webHidden/>
              </w:rPr>
              <w:instrText xml:space="preserve"> PAGEREF _Toc124499506 \h </w:instrText>
            </w:r>
            <w:r w:rsidR="00517309">
              <w:rPr>
                <w:noProof/>
                <w:webHidden/>
              </w:rPr>
            </w:r>
            <w:r w:rsidR="00517309">
              <w:rPr>
                <w:noProof/>
                <w:webHidden/>
              </w:rPr>
              <w:fldChar w:fldCharType="separate"/>
            </w:r>
            <w:r w:rsidR="00517309">
              <w:rPr>
                <w:noProof/>
                <w:webHidden/>
              </w:rPr>
              <w:t>19</w:t>
            </w:r>
            <w:r w:rsidR="00517309">
              <w:rPr>
                <w:noProof/>
                <w:webHidden/>
              </w:rPr>
              <w:fldChar w:fldCharType="end"/>
            </w:r>
          </w:hyperlink>
        </w:p>
        <w:p w14:paraId="58E1E9BC" w14:textId="154230BE" w:rsidR="00517309" w:rsidRDefault="00000000">
          <w:pPr>
            <w:pStyle w:val="TOC3"/>
            <w:tabs>
              <w:tab w:val="left" w:pos="1831"/>
              <w:tab w:val="right" w:leader="dot" w:pos="9350"/>
            </w:tabs>
            <w:rPr>
              <w:rFonts w:eastAsiaTheme="minorEastAsia" w:cstheme="minorBidi"/>
              <w:noProof/>
              <w:sz w:val="24"/>
              <w:szCs w:val="24"/>
            </w:rPr>
          </w:pPr>
          <w:hyperlink w:anchor="_Toc124499507" w:history="1">
            <w:r w:rsidR="00517309" w:rsidRPr="003F3909">
              <w:rPr>
                <w:rStyle w:val="Hyperlink"/>
                <w:noProof/>
                <w:lang w:val="en-GB"/>
              </w:rPr>
              <w:t>Section 5.8.14</w:t>
            </w:r>
            <w:r w:rsidR="00517309">
              <w:rPr>
                <w:rFonts w:eastAsiaTheme="minorEastAsia" w:cstheme="minorBidi"/>
                <w:noProof/>
                <w:sz w:val="24"/>
                <w:szCs w:val="24"/>
              </w:rPr>
              <w:tab/>
            </w:r>
            <w:r w:rsidR="00517309" w:rsidRPr="003F3909">
              <w:rPr>
                <w:rStyle w:val="Hyperlink"/>
                <w:noProof/>
                <w:lang w:val="en-GB"/>
              </w:rPr>
              <w:t>Chronic obstructive pulmonary disease</w:t>
            </w:r>
            <w:r w:rsidR="00517309">
              <w:rPr>
                <w:noProof/>
                <w:webHidden/>
              </w:rPr>
              <w:tab/>
            </w:r>
            <w:r w:rsidR="00517309">
              <w:rPr>
                <w:noProof/>
                <w:webHidden/>
              </w:rPr>
              <w:fldChar w:fldCharType="begin"/>
            </w:r>
            <w:r w:rsidR="00517309">
              <w:rPr>
                <w:noProof/>
                <w:webHidden/>
              </w:rPr>
              <w:instrText xml:space="preserve"> PAGEREF _Toc124499507 \h </w:instrText>
            </w:r>
            <w:r w:rsidR="00517309">
              <w:rPr>
                <w:noProof/>
                <w:webHidden/>
              </w:rPr>
            </w:r>
            <w:r w:rsidR="00517309">
              <w:rPr>
                <w:noProof/>
                <w:webHidden/>
              </w:rPr>
              <w:fldChar w:fldCharType="separate"/>
            </w:r>
            <w:r w:rsidR="00517309">
              <w:rPr>
                <w:noProof/>
                <w:webHidden/>
              </w:rPr>
              <w:t>20</w:t>
            </w:r>
            <w:r w:rsidR="00517309">
              <w:rPr>
                <w:noProof/>
                <w:webHidden/>
              </w:rPr>
              <w:fldChar w:fldCharType="end"/>
            </w:r>
          </w:hyperlink>
        </w:p>
        <w:p w14:paraId="6DD0AE21" w14:textId="52C7A664" w:rsidR="00517309" w:rsidRDefault="00000000">
          <w:pPr>
            <w:pStyle w:val="TOC3"/>
            <w:tabs>
              <w:tab w:val="left" w:pos="1831"/>
              <w:tab w:val="right" w:leader="dot" w:pos="9350"/>
            </w:tabs>
            <w:rPr>
              <w:rFonts w:eastAsiaTheme="minorEastAsia" w:cstheme="minorBidi"/>
              <w:noProof/>
              <w:sz w:val="24"/>
              <w:szCs w:val="24"/>
            </w:rPr>
          </w:pPr>
          <w:hyperlink w:anchor="_Toc124499508" w:history="1">
            <w:r w:rsidR="00517309" w:rsidRPr="003F3909">
              <w:rPr>
                <w:rStyle w:val="Hyperlink"/>
                <w:noProof/>
                <w:lang w:val="en-GB"/>
              </w:rPr>
              <w:t>Section 5.8.15</w:t>
            </w:r>
            <w:r w:rsidR="00517309">
              <w:rPr>
                <w:rFonts w:eastAsiaTheme="minorEastAsia" w:cstheme="minorBidi"/>
                <w:noProof/>
                <w:sz w:val="24"/>
                <w:szCs w:val="24"/>
              </w:rPr>
              <w:tab/>
            </w:r>
            <w:r w:rsidR="00517309" w:rsidRPr="003F3909">
              <w:rPr>
                <w:rStyle w:val="Hyperlink"/>
                <w:noProof/>
                <w:lang w:val="en-GB"/>
              </w:rPr>
              <w:t>Chronic kidney disease</w:t>
            </w:r>
            <w:r w:rsidR="00517309">
              <w:rPr>
                <w:noProof/>
                <w:webHidden/>
              </w:rPr>
              <w:tab/>
            </w:r>
            <w:r w:rsidR="00517309">
              <w:rPr>
                <w:noProof/>
                <w:webHidden/>
              </w:rPr>
              <w:fldChar w:fldCharType="begin"/>
            </w:r>
            <w:r w:rsidR="00517309">
              <w:rPr>
                <w:noProof/>
                <w:webHidden/>
              </w:rPr>
              <w:instrText xml:space="preserve"> PAGEREF _Toc124499508 \h </w:instrText>
            </w:r>
            <w:r w:rsidR="00517309">
              <w:rPr>
                <w:noProof/>
                <w:webHidden/>
              </w:rPr>
            </w:r>
            <w:r w:rsidR="00517309">
              <w:rPr>
                <w:noProof/>
                <w:webHidden/>
              </w:rPr>
              <w:fldChar w:fldCharType="separate"/>
            </w:r>
            <w:r w:rsidR="00517309">
              <w:rPr>
                <w:noProof/>
                <w:webHidden/>
              </w:rPr>
              <w:t>20</w:t>
            </w:r>
            <w:r w:rsidR="00517309">
              <w:rPr>
                <w:noProof/>
                <w:webHidden/>
              </w:rPr>
              <w:fldChar w:fldCharType="end"/>
            </w:r>
          </w:hyperlink>
        </w:p>
        <w:p w14:paraId="79B52A36" w14:textId="30C40572" w:rsidR="00517309" w:rsidRDefault="00000000">
          <w:pPr>
            <w:pStyle w:val="TOC1"/>
            <w:tabs>
              <w:tab w:val="left" w:pos="1320"/>
              <w:tab w:val="right" w:leader="dot" w:pos="9350"/>
            </w:tabs>
            <w:rPr>
              <w:rFonts w:eastAsiaTheme="minorEastAsia" w:cstheme="minorBidi"/>
              <w:b w:val="0"/>
              <w:bCs w:val="0"/>
              <w:i w:val="0"/>
              <w:iCs w:val="0"/>
              <w:noProof/>
            </w:rPr>
          </w:pPr>
          <w:hyperlink w:anchor="_Toc124499509" w:history="1">
            <w:r w:rsidR="00517309" w:rsidRPr="003F3909">
              <w:rPr>
                <w:rStyle w:val="Hyperlink"/>
                <w:noProof/>
                <w:lang w:val="en-GB"/>
              </w:rPr>
              <w:t>Section 6</w:t>
            </w:r>
            <w:r w:rsidR="00517309">
              <w:rPr>
                <w:rFonts w:eastAsiaTheme="minorEastAsia" w:cstheme="minorBidi"/>
                <w:b w:val="0"/>
                <w:bCs w:val="0"/>
                <w:i w:val="0"/>
                <w:iCs w:val="0"/>
                <w:noProof/>
              </w:rPr>
              <w:tab/>
            </w:r>
            <w:r w:rsidR="00517309" w:rsidRPr="003F3909">
              <w:rPr>
                <w:rStyle w:val="Hyperlink"/>
                <w:noProof/>
                <w:lang w:val="en-GB"/>
              </w:rPr>
              <w:t>The SEI transmission model</w:t>
            </w:r>
            <w:r w:rsidR="00517309">
              <w:rPr>
                <w:noProof/>
                <w:webHidden/>
              </w:rPr>
              <w:tab/>
            </w:r>
            <w:r w:rsidR="00517309">
              <w:rPr>
                <w:noProof/>
                <w:webHidden/>
              </w:rPr>
              <w:fldChar w:fldCharType="begin"/>
            </w:r>
            <w:r w:rsidR="00517309">
              <w:rPr>
                <w:noProof/>
                <w:webHidden/>
              </w:rPr>
              <w:instrText xml:space="preserve"> PAGEREF _Toc124499509 \h </w:instrText>
            </w:r>
            <w:r w:rsidR="00517309">
              <w:rPr>
                <w:noProof/>
                <w:webHidden/>
              </w:rPr>
            </w:r>
            <w:r w:rsidR="00517309">
              <w:rPr>
                <w:noProof/>
                <w:webHidden/>
              </w:rPr>
              <w:fldChar w:fldCharType="separate"/>
            </w:r>
            <w:r w:rsidR="00517309">
              <w:rPr>
                <w:noProof/>
                <w:webHidden/>
              </w:rPr>
              <w:t>20</w:t>
            </w:r>
            <w:r w:rsidR="00517309">
              <w:rPr>
                <w:noProof/>
                <w:webHidden/>
              </w:rPr>
              <w:fldChar w:fldCharType="end"/>
            </w:r>
          </w:hyperlink>
        </w:p>
        <w:p w14:paraId="36214E22" w14:textId="62DDCAFE" w:rsidR="00517309" w:rsidRDefault="00000000">
          <w:pPr>
            <w:pStyle w:val="TOC1"/>
            <w:tabs>
              <w:tab w:val="left" w:pos="1320"/>
              <w:tab w:val="right" w:leader="dot" w:pos="9350"/>
            </w:tabs>
            <w:rPr>
              <w:rFonts w:eastAsiaTheme="minorEastAsia" w:cstheme="minorBidi"/>
              <w:b w:val="0"/>
              <w:bCs w:val="0"/>
              <w:i w:val="0"/>
              <w:iCs w:val="0"/>
              <w:noProof/>
            </w:rPr>
          </w:pPr>
          <w:hyperlink w:anchor="_Toc124499510" w:history="1">
            <w:r w:rsidR="00517309" w:rsidRPr="003F3909">
              <w:rPr>
                <w:rStyle w:val="Hyperlink"/>
                <w:noProof/>
                <w:lang w:val="en-GB"/>
              </w:rPr>
              <w:t>Section 7</w:t>
            </w:r>
            <w:r w:rsidR="00517309">
              <w:rPr>
                <w:rFonts w:eastAsiaTheme="minorEastAsia" w:cstheme="minorBidi"/>
                <w:b w:val="0"/>
                <w:bCs w:val="0"/>
                <w:i w:val="0"/>
                <w:iCs w:val="0"/>
                <w:noProof/>
              </w:rPr>
              <w:tab/>
            </w:r>
            <w:r w:rsidR="00517309" w:rsidRPr="003F3909">
              <w:rPr>
                <w:rStyle w:val="Hyperlink"/>
                <w:noProof/>
                <w:lang w:val="en-GB"/>
              </w:rPr>
              <w:t>Estimating infections in the past</w:t>
            </w:r>
            <w:r w:rsidR="00517309">
              <w:rPr>
                <w:noProof/>
                <w:webHidden/>
              </w:rPr>
              <w:tab/>
            </w:r>
            <w:r w:rsidR="00517309">
              <w:rPr>
                <w:noProof/>
                <w:webHidden/>
              </w:rPr>
              <w:fldChar w:fldCharType="begin"/>
            </w:r>
            <w:r w:rsidR="00517309">
              <w:rPr>
                <w:noProof/>
                <w:webHidden/>
              </w:rPr>
              <w:instrText xml:space="preserve"> PAGEREF _Toc124499510 \h </w:instrText>
            </w:r>
            <w:r w:rsidR="00517309">
              <w:rPr>
                <w:noProof/>
                <w:webHidden/>
              </w:rPr>
            </w:r>
            <w:r w:rsidR="00517309">
              <w:rPr>
                <w:noProof/>
                <w:webHidden/>
              </w:rPr>
              <w:fldChar w:fldCharType="separate"/>
            </w:r>
            <w:r w:rsidR="00517309">
              <w:rPr>
                <w:noProof/>
                <w:webHidden/>
              </w:rPr>
              <w:t>23</w:t>
            </w:r>
            <w:r w:rsidR="00517309">
              <w:rPr>
                <w:noProof/>
                <w:webHidden/>
              </w:rPr>
              <w:fldChar w:fldCharType="end"/>
            </w:r>
          </w:hyperlink>
        </w:p>
        <w:p w14:paraId="36BF3336" w14:textId="755B2994"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11" w:history="1">
            <w:r w:rsidR="00517309" w:rsidRPr="003F3909">
              <w:rPr>
                <w:rStyle w:val="Hyperlink"/>
                <w:noProof/>
                <w:lang w:val="en-GB"/>
              </w:rPr>
              <w:t>Section 7.1</w:t>
            </w:r>
            <w:r w:rsidR="00517309">
              <w:rPr>
                <w:rFonts w:eastAsiaTheme="minorEastAsia" w:cstheme="minorBidi"/>
                <w:b w:val="0"/>
                <w:bCs w:val="0"/>
                <w:noProof/>
                <w:sz w:val="24"/>
                <w:szCs w:val="24"/>
              </w:rPr>
              <w:tab/>
            </w:r>
            <w:r w:rsidR="00517309" w:rsidRPr="003F3909">
              <w:rPr>
                <w:rStyle w:val="Hyperlink"/>
                <w:noProof/>
                <w:lang w:val="en-GB"/>
              </w:rPr>
              <w:t xml:space="preserve">Measure-specific estimates of </w:t>
            </w:r>
            <m:oMath>
              <m:r>
                <m:rPr>
                  <m:sty m:val="bi"/>
                </m:rPr>
                <w:rPr>
                  <w:rStyle w:val="Hyperlink"/>
                  <w:rFonts w:ascii="Cambria Math" w:hAnsi="Cambria Math"/>
                  <w:noProof/>
                  <w:lang w:val="en-GB"/>
                </w:rPr>
                <m:t>β</m:t>
              </m:r>
            </m:oMath>
            <w:r w:rsidR="00517309">
              <w:rPr>
                <w:noProof/>
                <w:webHidden/>
              </w:rPr>
              <w:tab/>
            </w:r>
            <w:r w:rsidR="00517309">
              <w:rPr>
                <w:noProof/>
                <w:webHidden/>
              </w:rPr>
              <w:fldChar w:fldCharType="begin"/>
            </w:r>
            <w:r w:rsidR="00517309">
              <w:rPr>
                <w:noProof/>
                <w:webHidden/>
              </w:rPr>
              <w:instrText xml:space="preserve"> PAGEREF _Toc124499511 \h </w:instrText>
            </w:r>
            <w:r w:rsidR="00517309">
              <w:rPr>
                <w:noProof/>
                <w:webHidden/>
              </w:rPr>
            </w:r>
            <w:r w:rsidR="00517309">
              <w:rPr>
                <w:noProof/>
                <w:webHidden/>
              </w:rPr>
              <w:fldChar w:fldCharType="separate"/>
            </w:r>
            <w:r w:rsidR="00517309">
              <w:rPr>
                <w:noProof/>
                <w:webHidden/>
              </w:rPr>
              <w:t>23</w:t>
            </w:r>
            <w:r w:rsidR="00517309">
              <w:rPr>
                <w:noProof/>
                <w:webHidden/>
              </w:rPr>
              <w:fldChar w:fldCharType="end"/>
            </w:r>
          </w:hyperlink>
        </w:p>
        <w:p w14:paraId="601C75AF" w14:textId="07FD50A9"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12" w:history="1">
            <w:r w:rsidR="00517309" w:rsidRPr="003F3909">
              <w:rPr>
                <w:rStyle w:val="Hyperlink"/>
                <w:noProof/>
                <w:lang w:val="en-GB"/>
              </w:rPr>
              <w:t>Section 7.2</w:t>
            </w:r>
            <w:r w:rsidR="00517309">
              <w:rPr>
                <w:rFonts w:eastAsiaTheme="minorEastAsia" w:cstheme="minorBidi"/>
                <w:b w:val="0"/>
                <w:bCs w:val="0"/>
                <w:noProof/>
                <w:sz w:val="24"/>
                <w:szCs w:val="24"/>
              </w:rPr>
              <w:tab/>
            </w:r>
            <w:r w:rsidR="00517309" w:rsidRPr="003F3909">
              <w:rPr>
                <w:rStyle w:val="Hyperlink"/>
                <w:noProof/>
                <w:lang w:val="en-GB"/>
              </w:rPr>
              <w:t>Model ensemble and estimation of variant-specific outcome risk</w:t>
            </w:r>
            <w:r w:rsidR="00517309">
              <w:rPr>
                <w:noProof/>
                <w:webHidden/>
              </w:rPr>
              <w:tab/>
            </w:r>
            <w:r w:rsidR="00517309">
              <w:rPr>
                <w:noProof/>
                <w:webHidden/>
              </w:rPr>
              <w:fldChar w:fldCharType="begin"/>
            </w:r>
            <w:r w:rsidR="00517309">
              <w:rPr>
                <w:noProof/>
                <w:webHidden/>
              </w:rPr>
              <w:instrText xml:space="preserve"> PAGEREF _Toc124499512 \h </w:instrText>
            </w:r>
            <w:r w:rsidR="00517309">
              <w:rPr>
                <w:noProof/>
                <w:webHidden/>
              </w:rPr>
            </w:r>
            <w:r w:rsidR="00517309">
              <w:rPr>
                <w:noProof/>
                <w:webHidden/>
              </w:rPr>
              <w:fldChar w:fldCharType="separate"/>
            </w:r>
            <w:r w:rsidR="00517309">
              <w:rPr>
                <w:noProof/>
                <w:webHidden/>
              </w:rPr>
              <w:t>24</w:t>
            </w:r>
            <w:r w:rsidR="00517309">
              <w:rPr>
                <w:noProof/>
                <w:webHidden/>
              </w:rPr>
              <w:fldChar w:fldCharType="end"/>
            </w:r>
          </w:hyperlink>
        </w:p>
        <w:p w14:paraId="3EDB96F6" w14:textId="7E0C0B50" w:rsidR="00517309" w:rsidRDefault="00000000">
          <w:pPr>
            <w:pStyle w:val="TOC3"/>
            <w:tabs>
              <w:tab w:val="left" w:pos="1760"/>
              <w:tab w:val="right" w:leader="dot" w:pos="9350"/>
            </w:tabs>
            <w:rPr>
              <w:rFonts w:eastAsiaTheme="minorEastAsia" w:cstheme="minorBidi"/>
              <w:noProof/>
              <w:sz w:val="24"/>
              <w:szCs w:val="24"/>
            </w:rPr>
          </w:pPr>
          <w:hyperlink w:anchor="_Toc124499513" w:history="1">
            <w:r w:rsidR="00517309" w:rsidRPr="003F3909">
              <w:rPr>
                <w:rStyle w:val="Hyperlink"/>
                <w:noProof/>
                <w:lang w:val="en-GB"/>
              </w:rPr>
              <w:t>Section 7.2.1</w:t>
            </w:r>
            <w:r w:rsidR="00517309">
              <w:rPr>
                <w:rFonts w:eastAsiaTheme="minorEastAsia" w:cstheme="minorBidi"/>
                <w:noProof/>
                <w:sz w:val="24"/>
                <w:szCs w:val="24"/>
              </w:rPr>
              <w:tab/>
            </w:r>
            <w:r w:rsidR="00517309" w:rsidRPr="003F3909">
              <w:rPr>
                <w:rStyle w:val="Hyperlink"/>
                <w:noProof/>
                <w:lang w:val="en-GB"/>
              </w:rPr>
              <w:t>Global Calibration</w:t>
            </w:r>
            <w:r w:rsidR="00517309">
              <w:rPr>
                <w:noProof/>
                <w:webHidden/>
              </w:rPr>
              <w:tab/>
            </w:r>
            <w:r w:rsidR="00517309">
              <w:rPr>
                <w:noProof/>
                <w:webHidden/>
              </w:rPr>
              <w:fldChar w:fldCharType="begin"/>
            </w:r>
            <w:r w:rsidR="00517309">
              <w:rPr>
                <w:noProof/>
                <w:webHidden/>
              </w:rPr>
              <w:instrText xml:space="preserve"> PAGEREF _Toc124499513 \h </w:instrText>
            </w:r>
            <w:r w:rsidR="00517309">
              <w:rPr>
                <w:noProof/>
                <w:webHidden/>
              </w:rPr>
            </w:r>
            <w:r w:rsidR="00517309">
              <w:rPr>
                <w:noProof/>
                <w:webHidden/>
              </w:rPr>
              <w:fldChar w:fldCharType="separate"/>
            </w:r>
            <w:r w:rsidR="00517309">
              <w:rPr>
                <w:noProof/>
                <w:webHidden/>
              </w:rPr>
              <w:t>25</w:t>
            </w:r>
            <w:r w:rsidR="00517309">
              <w:rPr>
                <w:noProof/>
                <w:webHidden/>
              </w:rPr>
              <w:fldChar w:fldCharType="end"/>
            </w:r>
          </w:hyperlink>
        </w:p>
        <w:p w14:paraId="093B33C9" w14:textId="5F0864AB" w:rsidR="00517309" w:rsidRDefault="00000000">
          <w:pPr>
            <w:pStyle w:val="TOC3"/>
            <w:tabs>
              <w:tab w:val="left" w:pos="1760"/>
              <w:tab w:val="right" w:leader="dot" w:pos="9350"/>
            </w:tabs>
            <w:rPr>
              <w:rFonts w:eastAsiaTheme="minorEastAsia" w:cstheme="minorBidi"/>
              <w:noProof/>
              <w:sz w:val="24"/>
              <w:szCs w:val="24"/>
            </w:rPr>
          </w:pPr>
          <w:hyperlink w:anchor="_Toc124499514" w:history="1">
            <w:r w:rsidR="00517309" w:rsidRPr="003F3909">
              <w:rPr>
                <w:rStyle w:val="Hyperlink"/>
                <w:noProof/>
                <w:lang w:val="en-GB"/>
              </w:rPr>
              <w:t>Section 7.2.2</w:t>
            </w:r>
            <w:r w:rsidR="00517309">
              <w:rPr>
                <w:rFonts w:eastAsiaTheme="minorEastAsia" w:cstheme="minorBidi"/>
                <w:noProof/>
                <w:sz w:val="24"/>
                <w:szCs w:val="24"/>
              </w:rPr>
              <w:tab/>
            </w:r>
            <w:r w:rsidR="00517309" w:rsidRPr="003F3909">
              <w:rPr>
                <w:rStyle w:val="Hyperlink"/>
                <w:noProof/>
                <w:lang w:val="en-GB"/>
              </w:rPr>
              <w:t>Local Calibration</w:t>
            </w:r>
            <w:r w:rsidR="00517309">
              <w:rPr>
                <w:noProof/>
                <w:webHidden/>
              </w:rPr>
              <w:tab/>
            </w:r>
            <w:r w:rsidR="00517309">
              <w:rPr>
                <w:noProof/>
                <w:webHidden/>
              </w:rPr>
              <w:fldChar w:fldCharType="begin"/>
            </w:r>
            <w:r w:rsidR="00517309">
              <w:rPr>
                <w:noProof/>
                <w:webHidden/>
              </w:rPr>
              <w:instrText xml:space="preserve"> PAGEREF _Toc124499514 \h </w:instrText>
            </w:r>
            <w:r w:rsidR="00517309">
              <w:rPr>
                <w:noProof/>
                <w:webHidden/>
              </w:rPr>
            </w:r>
            <w:r w:rsidR="00517309">
              <w:rPr>
                <w:noProof/>
                <w:webHidden/>
              </w:rPr>
              <w:fldChar w:fldCharType="separate"/>
            </w:r>
            <w:r w:rsidR="00517309">
              <w:rPr>
                <w:noProof/>
                <w:webHidden/>
              </w:rPr>
              <w:t>25</w:t>
            </w:r>
            <w:r w:rsidR="00517309">
              <w:rPr>
                <w:noProof/>
                <w:webHidden/>
              </w:rPr>
              <w:fldChar w:fldCharType="end"/>
            </w:r>
          </w:hyperlink>
        </w:p>
        <w:p w14:paraId="3F3E6662" w14:textId="1E93B961"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15" w:history="1">
            <w:r w:rsidR="00517309" w:rsidRPr="003F3909">
              <w:rPr>
                <w:rStyle w:val="Hyperlink"/>
                <w:noProof/>
                <w:lang w:val="en-GB"/>
              </w:rPr>
              <w:t>Section 7.3</w:t>
            </w:r>
            <w:r w:rsidR="00517309">
              <w:rPr>
                <w:rFonts w:eastAsiaTheme="minorEastAsia" w:cstheme="minorBidi"/>
                <w:b w:val="0"/>
                <w:bCs w:val="0"/>
                <w:noProof/>
                <w:sz w:val="24"/>
                <w:szCs w:val="24"/>
              </w:rPr>
              <w:tab/>
            </w:r>
            <w:r w:rsidR="00517309" w:rsidRPr="003F3909">
              <w:rPr>
                <w:rStyle w:val="Hyperlink"/>
                <w:noProof/>
                <w:lang w:val="en-GB"/>
              </w:rPr>
              <w:t>Model averaging and final estimates</w:t>
            </w:r>
            <w:r w:rsidR="00517309">
              <w:rPr>
                <w:noProof/>
                <w:webHidden/>
              </w:rPr>
              <w:tab/>
            </w:r>
            <w:r w:rsidR="00517309">
              <w:rPr>
                <w:noProof/>
                <w:webHidden/>
              </w:rPr>
              <w:fldChar w:fldCharType="begin"/>
            </w:r>
            <w:r w:rsidR="00517309">
              <w:rPr>
                <w:noProof/>
                <w:webHidden/>
              </w:rPr>
              <w:instrText xml:space="preserve"> PAGEREF _Toc124499515 \h </w:instrText>
            </w:r>
            <w:r w:rsidR="00517309">
              <w:rPr>
                <w:noProof/>
                <w:webHidden/>
              </w:rPr>
            </w:r>
            <w:r w:rsidR="00517309">
              <w:rPr>
                <w:noProof/>
                <w:webHidden/>
              </w:rPr>
              <w:fldChar w:fldCharType="separate"/>
            </w:r>
            <w:r w:rsidR="00517309">
              <w:rPr>
                <w:noProof/>
                <w:webHidden/>
              </w:rPr>
              <w:t>26</w:t>
            </w:r>
            <w:r w:rsidR="00517309">
              <w:rPr>
                <w:noProof/>
                <w:webHidden/>
              </w:rPr>
              <w:fldChar w:fldCharType="end"/>
            </w:r>
          </w:hyperlink>
        </w:p>
        <w:p w14:paraId="57EA9890" w14:textId="5C0A7D3F" w:rsidR="00517309" w:rsidRDefault="00000000">
          <w:pPr>
            <w:pStyle w:val="TOC1"/>
            <w:tabs>
              <w:tab w:val="left" w:pos="1320"/>
              <w:tab w:val="right" w:leader="dot" w:pos="9350"/>
            </w:tabs>
            <w:rPr>
              <w:rFonts w:eastAsiaTheme="minorEastAsia" w:cstheme="minorBidi"/>
              <w:b w:val="0"/>
              <w:bCs w:val="0"/>
              <w:i w:val="0"/>
              <w:iCs w:val="0"/>
              <w:noProof/>
            </w:rPr>
          </w:pPr>
          <w:hyperlink w:anchor="_Toc124499516" w:history="1">
            <w:r w:rsidR="00517309" w:rsidRPr="003F3909">
              <w:rPr>
                <w:rStyle w:val="Hyperlink"/>
                <w:noProof/>
                <w:lang w:val="en-GB"/>
              </w:rPr>
              <w:t>Section 8</w:t>
            </w:r>
            <w:r w:rsidR="00517309">
              <w:rPr>
                <w:rFonts w:eastAsiaTheme="minorEastAsia" w:cstheme="minorBidi"/>
                <w:b w:val="0"/>
                <w:bCs w:val="0"/>
                <w:i w:val="0"/>
                <w:iCs w:val="0"/>
                <w:noProof/>
              </w:rPr>
              <w:tab/>
            </w:r>
            <w:r w:rsidR="00517309" w:rsidRPr="003F3909">
              <w:rPr>
                <w:rStyle w:val="Hyperlink"/>
                <w:noProof/>
                <w:lang w:val="en-GB"/>
              </w:rPr>
              <w:t>Forecasting infections, deaths, admissions, and cases</w:t>
            </w:r>
            <w:r w:rsidR="00517309">
              <w:rPr>
                <w:noProof/>
                <w:webHidden/>
              </w:rPr>
              <w:tab/>
            </w:r>
            <w:r w:rsidR="00517309">
              <w:rPr>
                <w:noProof/>
                <w:webHidden/>
              </w:rPr>
              <w:fldChar w:fldCharType="begin"/>
            </w:r>
            <w:r w:rsidR="00517309">
              <w:rPr>
                <w:noProof/>
                <w:webHidden/>
              </w:rPr>
              <w:instrText xml:space="preserve"> PAGEREF _Toc124499516 \h </w:instrText>
            </w:r>
            <w:r w:rsidR="00517309">
              <w:rPr>
                <w:noProof/>
                <w:webHidden/>
              </w:rPr>
            </w:r>
            <w:r w:rsidR="00517309">
              <w:rPr>
                <w:noProof/>
                <w:webHidden/>
              </w:rPr>
              <w:fldChar w:fldCharType="separate"/>
            </w:r>
            <w:r w:rsidR="00517309">
              <w:rPr>
                <w:noProof/>
                <w:webHidden/>
              </w:rPr>
              <w:t>27</w:t>
            </w:r>
            <w:r w:rsidR="00517309">
              <w:rPr>
                <w:noProof/>
                <w:webHidden/>
              </w:rPr>
              <w:fldChar w:fldCharType="end"/>
            </w:r>
          </w:hyperlink>
        </w:p>
        <w:p w14:paraId="5DEBB9C8" w14:textId="5D707E3A"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17" w:history="1">
            <w:r w:rsidR="00517309" w:rsidRPr="003F3909">
              <w:rPr>
                <w:rStyle w:val="Hyperlink"/>
                <w:noProof/>
                <w:lang w:val="en-GB"/>
              </w:rPr>
              <w:t>Section 8.1</w:t>
            </w:r>
            <w:r w:rsidR="00517309">
              <w:rPr>
                <w:rFonts w:eastAsiaTheme="minorEastAsia" w:cstheme="minorBidi"/>
                <w:b w:val="0"/>
                <w:bCs w:val="0"/>
                <w:noProof/>
                <w:sz w:val="24"/>
                <w:szCs w:val="24"/>
              </w:rPr>
              <w:tab/>
            </w:r>
            <w:r w:rsidR="00517309" w:rsidRPr="003F3909">
              <w:rPr>
                <w:rStyle w:val="Hyperlink"/>
                <w:noProof/>
                <w:lang w:val="en-GB"/>
              </w:rPr>
              <w:t>Regression of transmission intensity onto model covariates</w:t>
            </w:r>
            <w:r w:rsidR="00517309">
              <w:rPr>
                <w:noProof/>
                <w:webHidden/>
              </w:rPr>
              <w:tab/>
            </w:r>
            <w:r w:rsidR="00517309">
              <w:rPr>
                <w:noProof/>
                <w:webHidden/>
              </w:rPr>
              <w:fldChar w:fldCharType="begin"/>
            </w:r>
            <w:r w:rsidR="00517309">
              <w:rPr>
                <w:noProof/>
                <w:webHidden/>
              </w:rPr>
              <w:instrText xml:space="preserve"> PAGEREF _Toc124499517 \h </w:instrText>
            </w:r>
            <w:r w:rsidR="00517309">
              <w:rPr>
                <w:noProof/>
                <w:webHidden/>
              </w:rPr>
            </w:r>
            <w:r w:rsidR="00517309">
              <w:rPr>
                <w:noProof/>
                <w:webHidden/>
              </w:rPr>
              <w:fldChar w:fldCharType="separate"/>
            </w:r>
            <w:r w:rsidR="00517309">
              <w:rPr>
                <w:noProof/>
                <w:webHidden/>
              </w:rPr>
              <w:t>27</w:t>
            </w:r>
            <w:r w:rsidR="00517309">
              <w:rPr>
                <w:noProof/>
                <w:webHidden/>
              </w:rPr>
              <w:fldChar w:fldCharType="end"/>
            </w:r>
          </w:hyperlink>
        </w:p>
        <w:p w14:paraId="374315F5" w14:textId="7CA78755"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18" w:history="1">
            <w:r w:rsidR="00517309" w:rsidRPr="003F3909">
              <w:rPr>
                <w:rStyle w:val="Hyperlink"/>
                <w:noProof/>
                <w:lang w:val="en-GB"/>
              </w:rPr>
              <w:t>Section 8.2</w:t>
            </w:r>
            <w:r w:rsidR="00517309">
              <w:rPr>
                <w:rFonts w:eastAsiaTheme="minorEastAsia" w:cstheme="minorBidi"/>
                <w:b w:val="0"/>
                <w:bCs w:val="0"/>
                <w:noProof/>
                <w:sz w:val="24"/>
                <w:szCs w:val="24"/>
              </w:rPr>
              <w:tab/>
            </w:r>
            <w:r w:rsidR="00517309" w:rsidRPr="003F3909">
              <w:rPr>
                <w:rStyle w:val="Hyperlink"/>
                <w:noProof/>
                <w:lang w:val="en-GB"/>
              </w:rPr>
              <w:t>Forecasting transmission intensity</w:t>
            </w:r>
            <w:r w:rsidR="00517309">
              <w:rPr>
                <w:noProof/>
                <w:webHidden/>
              </w:rPr>
              <w:tab/>
            </w:r>
            <w:r w:rsidR="00517309">
              <w:rPr>
                <w:noProof/>
                <w:webHidden/>
              </w:rPr>
              <w:fldChar w:fldCharType="begin"/>
            </w:r>
            <w:r w:rsidR="00517309">
              <w:rPr>
                <w:noProof/>
                <w:webHidden/>
              </w:rPr>
              <w:instrText xml:space="preserve"> PAGEREF _Toc124499518 \h </w:instrText>
            </w:r>
            <w:r w:rsidR="00517309">
              <w:rPr>
                <w:noProof/>
                <w:webHidden/>
              </w:rPr>
            </w:r>
            <w:r w:rsidR="00517309">
              <w:rPr>
                <w:noProof/>
                <w:webHidden/>
              </w:rPr>
              <w:fldChar w:fldCharType="separate"/>
            </w:r>
            <w:r w:rsidR="00517309">
              <w:rPr>
                <w:noProof/>
                <w:webHidden/>
              </w:rPr>
              <w:t>27</w:t>
            </w:r>
            <w:r w:rsidR="00517309">
              <w:rPr>
                <w:noProof/>
                <w:webHidden/>
              </w:rPr>
              <w:fldChar w:fldCharType="end"/>
            </w:r>
          </w:hyperlink>
        </w:p>
        <w:p w14:paraId="23AE2BDA" w14:textId="03FF49C3"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19" w:history="1">
            <w:r w:rsidR="00517309" w:rsidRPr="003F3909">
              <w:rPr>
                <w:rStyle w:val="Hyperlink"/>
                <w:noProof/>
                <w:lang w:val="en-GB"/>
              </w:rPr>
              <w:t>Section 8.3</w:t>
            </w:r>
            <w:r w:rsidR="00517309">
              <w:rPr>
                <w:rFonts w:eastAsiaTheme="minorEastAsia" w:cstheme="minorBidi"/>
                <w:b w:val="0"/>
                <w:bCs w:val="0"/>
                <w:noProof/>
                <w:sz w:val="24"/>
                <w:szCs w:val="24"/>
              </w:rPr>
              <w:tab/>
            </w:r>
            <w:r w:rsidR="00517309" w:rsidRPr="003F3909">
              <w:rPr>
                <w:rStyle w:val="Hyperlink"/>
                <w:noProof/>
                <w:lang w:val="en-GB"/>
              </w:rPr>
              <w:t>Forecasting IDR, IHR and IFR</w:t>
            </w:r>
            <w:r w:rsidR="00517309">
              <w:rPr>
                <w:noProof/>
                <w:webHidden/>
              </w:rPr>
              <w:tab/>
            </w:r>
            <w:r w:rsidR="00517309">
              <w:rPr>
                <w:noProof/>
                <w:webHidden/>
              </w:rPr>
              <w:fldChar w:fldCharType="begin"/>
            </w:r>
            <w:r w:rsidR="00517309">
              <w:rPr>
                <w:noProof/>
                <w:webHidden/>
              </w:rPr>
              <w:instrText xml:space="preserve"> PAGEREF _Toc124499519 \h </w:instrText>
            </w:r>
            <w:r w:rsidR="00517309">
              <w:rPr>
                <w:noProof/>
                <w:webHidden/>
              </w:rPr>
            </w:r>
            <w:r w:rsidR="00517309">
              <w:rPr>
                <w:noProof/>
                <w:webHidden/>
              </w:rPr>
              <w:fldChar w:fldCharType="separate"/>
            </w:r>
            <w:r w:rsidR="00517309">
              <w:rPr>
                <w:noProof/>
                <w:webHidden/>
              </w:rPr>
              <w:t>28</w:t>
            </w:r>
            <w:r w:rsidR="00517309">
              <w:rPr>
                <w:noProof/>
                <w:webHidden/>
              </w:rPr>
              <w:fldChar w:fldCharType="end"/>
            </w:r>
          </w:hyperlink>
        </w:p>
        <w:p w14:paraId="6BD5077C" w14:textId="7F45573F"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20" w:history="1">
            <w:r w:rsidR="00517309" w:rsidRPr="003F3909">
              <w:rPr>
                <w:rStyle w:val="Hyperlink"/>
                <w:noProof/>
                <w:lang w:val="en-GB"/>
              </w:rPr>
              <w:t>Section 8.4</w:t>
            </w:r>
            <w:r w:rsidR="00517309">
              <w:rPr>
                <w:rFonts w:eastAsiaTheme="minorEastAsia" w:cstheme="minorBidi"/>
                <w:b w:val="0"/>
                <w:bCs w:val="0"/>
                <w:noProof/>
                <w:sz w:val="24"/>
                <w:szCs w:val="24"/>
              </w:rPr>
              <w:tab/>
            </w:r>
            <w:r w:rsidR="00517309" w:rsidRPr="003F3909">
              <w:rPr>
                <w:rStyle w:val="Hyperlink"/>
                <w:noProof/>
                <w:lang w:val="en-GB"/>
              </w:rPr>
              <w:t>SEI forecast</w:t>
            </w:r>
            <w:r w:rsidR="00517309">
              <w:rPr>
                <w:noProof/>
                <w:webHidden/>
              </w:rPr>
              <w:tab/>
            </w:r>
            <w:r w:rsidR="00517309">
              <w:rPr>
                <w:noProof/>
                <w:webHidden/>
              </w:rPr>
              <w:fldChar w:fldCharType="begin"/>
            </w:r>
            <w:r w:rsidR="00517309">
              <w:rPr>
                <w:noProof/>
                <w:webHidden/>
              </w:rPr>
              <w:instrText xml:space="preserve"> PAGEREF _Toc124499520 \h </w:instrText>
            </w:r>
            <w:r w:rsidR="00517309">
              <w:rPr>
                <w:noProof/>
                <w:webHidden/>
              </w:rPr>
            </w:r>
            <w:r w:rsidR="00517309">
              <w:rPr>
                <w:noProof/>
                <w:webHidden/>
              </w:rPr>
              <w:fldChar w:fldCharType="separate"/>
            </w:r>
            <w:r w:rsidR="00517309">
              <w:rPr>
                <w:noProof/>
                <w:webHidden/>
              </w:rPr>
              <w:t>28</w:t>
            </w:r>
            <w:r w:rsidR="00517309">
              <w:rPr>
                <w:noProof/>
                <w:webHidden/>
              </w:rPr>
              <w:fldChar w:fldCharType="end"/>
            </w:r>
          </w:hyperlink>
        </w:p>
        <w:p w14:paraId="668D1036" w14:textId="292CE769" w:rsidR="00517309" w:rsidRDefault="00000000">
          <w:pPr>
            <w:pStyle w:val="TOC2"/>
            <w:tabs>
              <w:tab w:val="left" w:pos="1540"/>
              <w:tab w:val="right" w:leader="dot" w:pos="9350"/>
            </w:tabs>
            <w:rPr>
              <w:rFonts w:eastAsiaTheme="minorEastAsia" w:cstheme="minorBidi"/>
              <w:b w:val="0"/>
              <w:bCs w:val="0"/>
              <w:noProof/>
              <w:sz w:val="24"/>
              <w:szCs w:val="24"/>
            </w:rPr>
          </w:pPr>
          <w:hyperlink w:anchor="_Toc124499521" w:history="1">
            <w:r w:rsidR="00517309" w:rsidRPr="003F3909">
              <w:rPr>
                <w:rStyle w:val="Hyperlink"/>
                <w:noProof/>
                <w:lang w:val="en-GB"/>
              </w:rPr>
              <w:t>Section 8.5</w:t>
            </w:r>
            <w:r w:rsidR="00517309">
              <w:rPr>
                <w:rFonts w:eastAsiaTheme="minorEastAsia" w:cstheme="minorBidi"/>
                <w:b w:val="0"/>
                <w:bCs w:val="0"/>
                <w:noProof/>
                <w:sz w:val="24"/>
                <w:szCs w:val="24"/>
              </w:rPr>
              <w:tab/>
            </w:r>
            <w:r w:rsidR="00517309" w:rsidRPr="003F3909">
              <w:rPr>
                <w:rStyle w:val="Hyperlink"/>
                <w:noProof/>
                <w:lang w:val="en-GB"/>
              </w:rPr>
              <w:t>Limitations</w:t>
            </w:r>
            <w:r w:rsidR="00517309">
              <w:rPr>
                <w:noProof/>
                <w:webHidden/>
              </w:rPr>
              <w:tab/>
            </w:r>
            <w:r w:rsidR="00517309">
              <w:rPr>
                <w:noProof/>
                <w:webHidden/>
              </w:rPr>
              <w:fldChar w:fldCharType="begin"/>
            </w:r>
            <w:r w:rsidR="00517309">
              <w:rPr>
                <w:noProof/>
                <w:webHidden/>
              </w:rPr>
              <w:instrText xml:space="preserve"> PAGEREF _Toc124499521 \h </w:instrText>
            </w:r>
            <w:r w:rsidR="00517309">
              <w:rPr>
                <w:noProof/>
                <w:webHidden/>
              </w:rPr>
            </w:r>
            <w:r w:rsidR="00517309">
              <w:rPr>
                <w:noProof/>
                <w:webHidden/>
              </w:rPr>
              <w:fldChar w:fldCharType="separate"/>
            </w:r>
            <w:r w:rsidR="00517309">
              <w:rPr>
                <w:noProof/>
                <w:webHidden/>
              </w:rPr>
              <w:t>28</w:t>
            </w:r>
            <w:r w:rsidR="00517309">
              <w:rPr>
                <w:noProof/>
                <w:webHidden/>
              </w:rPr>
              <w:fldChar w:fldCharType="end"/>
            </w:r>
          </w:hyperlink>
        </w:p>
        <w:p w14:paraId="4CB3E4AC" w14:textId="2D1CEA63" w:rsidR="00517309" w:rsidRDefault="00000000">
          <w:pPr>
            <w:pStyle w:val="TOC1"/>
            <w:tabs>
              <w:tab w:val="left" w:pos="1320"/>
              <w:tab w:val="right" w:leader="dot" w:pos="9350"/>
            </w:tabs>
            <w:rPr>
              <w:rFonts w:eastAsiaTheme="minorEastAsia" w:cstheme="minorBidi"/>
              <w:b w:val="0"/>
              <w:bCs w:val="0"/>
              <w:i w:val="0"/>
              <w:iCs w:val="0"/>
              <w:noProof/>
            </w:rPr>
          </w:pPr>
          <w:hyperlink w:anchor="_Toc124499522" w:history="1">
            <w:r w:rsidR="00517309" w:rsidRPr="003F3909">
              <w:rPr>
                <w:rStyle w:val="Hyperlink"/>
                <w:noProof/>
                <w:lang w:val="en-GB"/>
              </w:rPr>
              <w:t>Section 9</w:t>
            </w:r>
            <w:r w:rsidR="00517309">
              <w:rPr>
                <w:rFonts w:eastAsiaTheme="minorEastAsia" w:cstheme="minorBidi"/>
                <w:b w:val="0"/>
                <w:bCs w:val="0"/>
                <w:i w:val="0"/>
                <w:iCs w:val="0"/>
                <w:noProof/>
              </w:rPr>
              <w:tab/>
            </w:r>
            <w:r w:rsidR="00517309" w:rsidRPr="003F3909">
              <w:rPr>
                <w:rStyle w:val="Hyperlink"/>
                <w:noProof/>
                <w:lang w:val="en-GB"/>
              </w:rPr>
              <w:t>Sources of uncertainty</w:t>
            </w:r>
            <w:r w:rsidR="00517309">
              <w:rPr>
                <w:noProof/>
                <w:webHidden/>
              </w:rPr>
              <w:tab/>
            </w:r>
            <w:r w:rsidR="00517309">
              <w:rPr>
                <w:noProof/>
                <w:webHidden/>
              </w:rPr>
              <w:fldChar w:fldCharType="begin"/>
            </w:r>
            <w:r w:rsidR="00517309">
              <w:rPr>
                <w:noProof/>
                <w:webHidden/>
              </w:rPr>
              <w:instrText xml:space="preserve"> PAGEREF _Toc124499522 \h </w:instrText>
            </w:r>
            <w:r w:rsidR="00517309">
              <w:rPr>
                <w:noProof/>
                <w:webHidden/>
              </w:rPr>
            </w:r>
            <w:r w:rsidR="00517309">
              <w:rPr>
                <w:noProof/>
                <w:webHidden/>
              </w:rPr>
              <w:fldChar w:fldCharType="separate"/>
            </w:r>
            <w:r w:rsidR="00517309">
              <w:rPr>
                <w:noProof/>
                <w:webHidden/>
              </w:rPr>
              <w:t>29</w:t>
            </w:r>
            <w:r w:rsidR="00517309">
              <w:rPr>
                <w:noProof/>
                <w:webHidden/>
              </w:rPr>
              <w:fldChar w:fldCharType="end"/>
            </w:r>
          </w:hyperlink>
        </w:p>
        <w:p w14:paraId="2C587A65" w14:textId="1A5C22DA" w:rsidR="00517309" w:rsidRDefault="00000000">
          <w:pPr>
            <w:pStyle w:val="TOC1"/>
            <w:tabs>
              <w:tab w:val="left" w:pos="1320"/>
              <w:tab w:val="right" w:leader="dot" w:pos="9350"/>
            </w:tabs>
            <w:rPr>
              <w:rFonts w:eastAsiaTheme="minorEastAsia" w:cstheme="minorBidi"/>
              <w:b w:val="0"/>
              <w:bCs w:val="0"/>
              <w:i w:val="0"/>
              <w:iCs w:val="0"/>
              <w:noProof/>
            </w:rPr>
          </w:pPr>
          <w:hyperlink w:anchor="_Toc124499523" w:history="1">
            <w:r w:rsidR="00517309" w:rsidRPr="003F3909">
              <w:rPr>
                <w:rStyle w:val="Hyperlink"/>
                <w:noProof/>
                <w:lang w:val="en-GB"/>
              </w:rPr>
              <w:t>Section 10</w:t>
            </w:r>
            <w:r w:rsidR="00517309">
              <w:rPr>
                <w:rFonts w:eastAsiaTheme="minorEastAsia" w:cstheme="minorBidi"/>
                <w:b w:val="0"/>
                <w:bCs w:val="0"/>
                <w:i w:val="0"/>
                <w:iCs w:val="0"/>
                <w:noProof/>
              </w:rPr>
              <w:tab/>
            </w:r>
            <w:r w:rsidR="00517309" w:rsidRPr="003F3909">
              <w:rPr>
                <w:rStyle w:val="Hyperlink"/>
                <w:noProof/>
                <w:lang w:val="en-GB"/>
              </w:rPr>
              <w:t>Predictive validity</w:t>
            </w:r>
            <w:r w:rsidR="00517309">
              <w:rPr>
                <w:noProof/>
                <w:webHidden/>
              </w:rPr>
              <w:tab/>
            </w:r>
            <w:r w:rsidR="00517309">
              <w:rPr>
                <w:noProof/>
                <w:webHidden/>
              </w:rPr>
              <w:fldChar w:fldCharType="begin"/>
            </w:r>
            <w:r w:rsidR="00517309">
              <w:rPr>
                <w:noProof/>
                <w:webHidden/>
              </w:rPr>
              <w:instrText xml:space="preserve"> PAGEREF _Toc124499523 \h </w:instrText>
            </w:r>
            <w:r w:rsidR="00517309">
              <w:rPr>
                <w:noProof/>
                <w:webHidden/>
              </w:rPr>
            </w:r>
            <w:r w:rsidR="00517309">
              <w:rPr>
                <w:noProof/>
                <w:webHidden/>
              </w:rPr>
              <w:fldChar w:fldCharType="separate"/>
            </w:r>
            <w:r w:rsidR="00517309">
              <w:rPr>
                <w:noProof/>
                <w:webHidden/>
              </w:rPr>
              <w:t>29</w:t>
            </w:r>
            <w:r w:rsidR="00517309">
              <w:rPr>
                <w:noProof/>
                <w:webHidden/>
              </w:rPr>
              <w:fldChar w:fldCharType="end"/>
            </w:r>
          </w:hyperlink>
        </w:p>
        <w:p w14:paraId="595C3B59" w14:textId="09DBAD10" w:rsidR="00517309" w:rsidRDefault="00000000">
          <w:pPr>
            <w:pStyle w:val="TOC1"/>
            <w:tabs>
              <w:tab w:val="left" w:pos="1320"/>
              <w:tab w:val="right" w:leader="dot" w:pos="9350"/>
            </w:tabs>
            <w:rPr>
              <w:rFonts w:eastAsiaTheme="minorEastAsia" w:cstheme="minorBidi"/>
              <w:b w:val="0"/>
              <w:bCs w:val="0"/>
              <w:i w:val="0"/>
              <w:iCs w:val="0"/>
              <w:noProof/>
            </w:rPr>
          </w:pPr>
          <w:hyperlink w:anchor="_Toc124499524" w:history="1">
            <w:r w:rsidR="00517309" w:rsidRPr="003F3909">
              <w:rPr>
                <w:rStyle w:val="Hyperlink"/>
                <w:noProof/>
                <w:lang w:val="en-GB"/>
              </w:rPr>
              <w:t>Section 11</w:t>
            </w:r>
            <w:r w:rsidR="00517309">
              <w:rPr>
                <w:rFonts w:eastAsiaTheme="minorEastAsia" w:cstheme="minorBidi"/>
                <w:b w:val="0"/>
                <w:bCs w:val="0"/>
                <w:i w:val="0"/>
                <w:iCs w:val="0"/>
                <w:noProof/>
              </w:rPr>
              <w:tab/>
            </w:r>
            <w:r w:rsidR="00517309" w:rsidRPr="003F3909">
              <w:rPr>
                <w:rStyle w:val="Hyperlink"/>
                <w:noProof/>
                <w:lang w:val="en-GB"/>
              </w:rPr>
              <w:t>References</w:t>
            </w:r>
            <w:r w:rsidR="00517309">
              <w:rPr>
                <w:noProof/>
                <w:webHidden/>
              </w:rPr>
              <w:tab/>
            </w:r>
            <w:r w:rsidR="00517309">
              <w:rPr>
                <w:noProof/>
                <w:webHidden/>
              </w:rPr>
              <w:fldChar w:fldCharType="begin"/>
            </w:r>
            <w:r w:rsidR="00517309">
              <w:rPr>
                <w:noProof/>
                <w:webHidden/>
              </w:rPr>
              <w:instrText xml:space="preserve"> PAGEREF _Toc124499524 \h </w:instrText>
            </w:r>
            <w:r w:rsidR="00517309">
              <w:rPr>
                <w:noProof/>
                <w:webHidden/>
              </w:rPr>
            </w:r>
            <w:r w:rsidR="00517309">
              <w:rPr>
                <w:noProof/>
                <w:webHidden/>
              </w:rPr>
              <w:fldChar w:fldCharType="separate"/>
            </w:r>
            <w:r w:rsidR="00517309">
              <w:rPr>
                <w:noProof/>
                <w:webHidden/>
              </w:rPr>
              <w:t>29</w:t>
            </w:r>
            <w:r w:rsidR="00517309">
              <w:rPr>
                <w:noProof/>
                <w:webHidden/>
              </w:rPr>
              <w:fldChar w:fldCharType="end"/>
            </w:r>
          </w:hyperlink>
        </w:p>
        <w:p w14:paraId="425DAA30" w14:textId="5200AF90" w:rsidR="00517309" w:rsidRDefault="00000000">
          <w:pPr>
            <w:pStyle w:val="TOC1"/>
            <w:tabs>
              <w:tab w:val="left" w:pos="1320"/>
              <w:tab w:val="right" w:leader="dot" w:pos="9350"/>
            </w:tabs>
            <w:rPr>
              <w:rFonts w:eastAsiaTheme="minorEastAsia" w:cstheme="minorBidi"/>
              <w:b w:val="0"/>
              <w:bCs w:val="0"/>
              <w:i w:val="0"/>
              <w:iCs w:val="0"/>
              <w:noProof/>
            </w:rPr>
          </w:pPr>
          <w:hyperlink w:anchor="_Toc124499525" w:history="1">
            <w:r w:rsidR="00517309" w:rsidRPr="003F3909">
              <w:rPr>
                <w:rStyle w:val="Hyperlink"/>
                <w:noProof/>
                <w:lang w:val="en-GB"/>
              </w:rPr>
              <w:t>Section 12</w:t>
            </w:r>
            <w:r w:rsidR="00517309">
              <w:rPr>
                <w:rFonts w:eastAsiaTheme="minorEastAsia" w:cstheme="minorBidi"/>
                <w:b w:val="0"/>
                <w:bCs w:val="0"/>
                <w:i w:val="0"/>
                <w:iCs w:val="0"/>
                <w:noProof/>
              </w:rPr>
              <w:tab/>
            </w:r>
            <w:r w:rsidR="00517309" w:rsidRPr="003F3909">
              <w:rPr>
                <w:rStyle w:val="Hyperlink"/>
                <w:noProof/>
                <w:lang w:val="en-GB"/>
              </w:rPr>
              <w:t>Supplementary Tables</w:t>
            </w:r>
            <w:r w:rsidR="00517309">
              <w:rPr>
                <w:noProof/>
                <w:webHidden/>
              </w:rPr>
              <w:tab/>
            </w:r>
            <w:r w:rsidR="00517309">
              <w:rPr>
                <w:noProof/>
                <w:webHidden/>
              </w:rPr>
              <w:fldChar w:fldCharType="begin"/>
            </w:r>
            <w:r w:rsidR="00517309">
              <w:rPr>
                <w:noProof/>
                <w:webHidden/>
              </w:rPr>
              <w:instrText xml:space="preserve"> PAGEREF _Toc124499525 \h </w:instrText>
            </w:r>
            <w:r w:rsidR="00517309">
              <w:rPr>
                <w:noProof/>
                <w:webHidden/>
              </w:rPr>
            </w:r>
            <w:r w:rsidR="00517309">
              <w:rPr>
                <w:noProof/>
                <w:webHidden/>
              </w:rPr>
              <w:fldChar w:fldCharType="separate"/>
            </w:r>
            <w:r w:rsidR="00517309">
              <w:rPr>
                <w:noProof/>
                <w:webHidden/>
              </w:rPr>
              <w:t>34</w:t>
            </w:r>
            <w:r w:rsidR="00517309">
              <w:rPr>
                <w:noProof/>
                <w:webHidden/>
              </w:rPr>
              <w:fldChar w:fldCharType="end"/>
            </w:r>
          </w:hyperlink>
        </w:p>
        <w:p w14:paraId="1E56B9A6" w14:textId="62ACE958" w:rsidR="00517309" w:rsidRDefault="00000000">
          <w:pPr>
            <w:pStyle w:val="TOC3"/>
            <w:tabs>
              <w:tab w:val="left" w:pos="1540"/>
              <w:tab w:val="right" w:leader="dot" w:pos="9350"/>
            </w:tabs>
            <w:rPr>
              <w:rFonts w:eastAsiaTheme="minorEastAsia" w:cstheme="minorBidi"/>
              <w:noProof/>
              <w:sz w:val="24"/>
              <w:szCs w:val="24"/>
            </w:rPr>
          </w:pPr>
          <w:hyperlink w:anchor="_Toc124499526" w:history="1">
            <w:r w:rsidR="00517309" w:rsidRPr="003F3909">
              <w:rPr>
                <w:rStyle w:val="Hyperlink"/>
                <w:noProof/>
              </w:rPr>
              <w:t>Table S2</w:t>
            </w:r>
            <w:r w:rsidR="00517309">
              <w:rPr>
                <w:rFonts w:eastAsiaTheme="minorEastAsia" w:cstheme="minorBidi"/>
                <w:noProof/>
                <w:sz w:val="24"/>
                <w:szCs w:val="24"/>
              </w:rPr>
              <w:tab/>
            </w:r>
            <w:r w:rsidR="00517309" w:rsidRPr="003F3909">
              <w:rPr>
                <w:rStyle w:val="Hyperlink"/>
                <w:noProof/>
              </w:rPr>
              <w:t>Vaccine efficacy by coronavirus variant, available, data, and modelled estimates</w:t>
            </w:r>
            <w:r w:rsidR="00517309">
              <w:rPr>
                <w:noProof/>
                <w:webHidden/>
              </w:rPr>
              <w:tab/>
            </w:r>
            <w:r w:rsidR="00517309">
              <w:rPr>
                <w:noProof/>
                <w:webHidden/>
              </w:rPr>
              <w:fldChar w:fldCharType="begin"/>
            </w:r>
            <w:r w:rsidR="00517309">
              <w:rPr>
                <w:noProof/>
                <w:webHidden/>
              </w:rPr>
              <w:instrText xml:space="preserve"> PAGEREF _Toc124499526 \h </w:instrText>
            </w:r>
            <w:r w:rsidR="00517309">
              <w:rPr>
                <w:noProof/>
                <w:webHidden/>
              </w:rPr>
            </w:r>
            <w:r w:rsidR="00517309">
              <w:rPr>
                <w:noProof/>
                <w:webHidden/>
              </w:rPr>
              <w:fldChar w:fldCharType="separate"/>
            </w:r>
            <w:r w:rsidR="00517309">
              <w:rPr>
                <w:noProof/>
                <w:webHidden/>
              </w:rPr>
              <w:t>34</w:t>
            </w:r>
            <w:r w:rsidR="00517309">
              <w:rPr>
                <w:noProof/>
                <w:webHidden/>
              </w:rPr>
              <w:fldChar w:fldCharType="end"/>
            </w:r>
          </w:hyperlink>
        </w:p>
        <w:p w14:paraId="001CD05A" w14:textId="78330C93" w:rsidR="00517309" w:rsidRDefault="00000000">
          <w:pPr>
            <w:pStyle w:val="TOC3"/>
            <w:tabs>
              <w:tab w:val="left" w:pos="1540"/>
              <w:tab w:val="right" w:leader="dot" w:pos="9350"/>
            </w:tabs>
            <w:rPr>
              <w:rFonts w:eastAsiaTheme="minorEastAsia" w:cstheme="minorBidi"/>
              <w:noProof/>
              <w:sz w:val="24"/>
              <w:szCs w:val="24"/>
            </w:rPr>
          </w:pPr>
          <w:hyperlink w:anchor="_Toc124499527" w:history="1">
            <w:r w:rsidR="00517309" w:rsidRPr="003F3909">
              <w:rPr>
                <w:rStyle w:val="Hyperlink"/>
                <w:noProof/>
              </w:rPr>
              <w:t>Table S3</w:t>
            </w:r>
            <w:r w:rsidR="00517309">
              <w:rPr>
                <w:rFonts w:eastAsiaTheme="minorEastAsia" w:cstheme="minorBidi"/>
                <w:noProof/>
                <w:sz w:val="24"/>
                <w:szCs w:val="24"/>
              </w:rPr>
              <w:tab/>
            </w:r>
            <w:r w:rsidR="00517309" w:rsidRPr="003F3909">
              <w:rPr>
                <w:rStyle w:val="Hyperlink"/>
                <w:noProof/>
              </w:rPr>
              <w:t>SEI transmission model parameter distributions.</w:t>
            </w:r>
            <w:r w:rsidR="00517309">
              <w:rPr>
                <w:noProof/>
                <w:webHidden/>
              </w:rPr>
              <w:tab/>
            </w:r>
            <w:r w:rsidR="00517309">
              <w:rPr>
                <w:noProof/>
                <w:webHidden/>
              </w:rPr>
              <w:fldChar w:fldCharType="begin"/>
            </w:r>
            <w:r w:rsidR="00517309">
              <w:rPr>
                <w:noProof/>
                <w:webHidden/>
              </w:rPr>
              <w:instrText xml:space="preserve"> PAGEREF _Toc124499527 \h </w:instrText>
            </w:r>
            <w:r w:rsidR="00517309">
              <w:rPr>
                <w:noProof/>
                <w:webHidden/>
              </w:rPr>
            </w:r>
            <w:r w:rsidR="00517309">
              <w:rPr>
                <w:noProof/>
                <w:webHidden/>
              </w:rPr>
              <w:fldChar w:fldCharType="separate"/>
            </w:r>
            <w:r w:rsidR="00517309">
              <w:rPr>
                <w:noProof/>
                <w:webHidden/>
              </w:rPr>
              <w:t>35</w:t>
            </w:r>
            <w:r w:rsidR="00517309">
              <w:rPr>
                <w:noProof/>
                <w:webHidden/>
              </w:rPr>
              <w:fldChar w:fldCharType="end"/>
            </w:r>
          </w:hyperlink>
        </w:p>
        <w:p w14:paraId="6C71C544" w14:textId="13AF4844" w:rsidR="00517309" w:rsidRDefault="00000000">
          <w:pPr>
            <w:pStyle w:val="TOC3"/>
            <w:tabs>
              <w:tab w:val="left" w:pos="1540"/>
              <w:tab w:val="right" w:leader="dot" w:pos="9350"/>
            </w:tabs>
            <w:rPr>
              <w:rFonts w:eastAsiaTheme="minorEastAsia" w:cstheme="minorBidi"/>
              <w:noProof/>
              <w:sz w:val="24"/>
              <w:szCs w:val="24"/>
            </w:rPr>
          </w:pPr>
          <w:hyperlink w:anchor="_Toc124499528" w:history="1">
            <w:r w:rsidR="00517309" w:rsidRPr="003F3909">
              <w:rPr>
                <w:rStyle w:val="Hyperlink"/>
                <w:noProof/>
                <w:lang w:val="en-GB"/>
              </w:rPr>
              <w:t>Table S4</w:t>
            </w:r>
            <w:r w:rsidR="00517309">
              <w:rPr>
                <w:rFonts w:eastAsiaTheme="minorEastAsia" w:cstheme="minorBidi"/>
                <w:noProof/>
                <w:sz w:val="24"/>
                <w:szCs w:val="24"/>
              </w:rPr>
              <w:tab/>
            </w:r>
            <w:r w:rsidR="00517309" w:rsidRPr="003F3909">
              <w:rPr>
                <w:rStyle w:val="Hyperlink"/>
                <w:noProof/>
                <w:lang w:val="en-GB"/>
              </w:rPr>
              <w:t>SEI Regression priors and coefficients</w:t>
            </w:r>
            <w:r w:rsidR="00517309">
              <w:rPr>
                <w:noProof/>
                <w:webHidden/>
              </w:rPr>
              <w:tab/>
            </w:r>
            <w:r w:rsidR="00517309">
              <w:rPr>
                <w:noProof/>
                <w:webHidden/>
              </w:rPr>
              <w:fldChar w:fldCharType="begin"/>
            </w:r>
            <w:r w:rsidR="00517309">
              <w:rPr>
                <w:noProof/>
                <w:webHidden/>
              </w:rPr>
              <w:instrText xml:space="preserve"> PAGEREF _Toc124499528 \h </w:instrText>
            </w:r>
            <w:r w:rsidR="00517309">
              <w:rPr>
                <w:noProof/>
                <w:webHidden/>
              </w:rPr>
            </w:r>
            <w:r w:rsidR="00517309">
              <w:rPr>
                <w:noProof/>
                <w:webHidden/>
              </w:rPr>
              <w:fldChar w:fldCharType="separate"/>
            </w:r>
            <w:r w:rsidR="00517309">
              <w:rPr>
                <w:noProof/>
                <w:webHidden/>
              </w:rPr>
              <w:t>35</w:t>
            </w:r>
            <w:r w:rsidR="00517309">
              <w:rPr>
                <w:noProof/>
                <w:webHidden/>
              </w:rPr>
              <w:fldChar w:fldCharType="end"/>
            </w:r>
          </w:hyperlink>
        </w:p>
        <w:p w14:paraId="63A9A0DD" w14:textId="11358507" w:rsidR="00517309" w:rsidRDefault="00000000">
          <w:pPr>
            <w:pStyle w:val="TOC1"/>
            <w:tabs>
              <w:tab w:val="left" w:pos="1320"/>
              <w:tab w:val="right" w:leader="dot" w:pos="9350"/>
            </w:tabs>
            <w:rPr>
              <w:rFonts w:eastAsiaTheme="minorEastAsia" w:cstheme="minorBidi"/>
              <w:b w:val="0"/>
              <w:bCs w:val="0"/>
              <w:i w:val="0"/>
              <w:iCs w:val="0"/>
              <w:noProof/>
            </w:rPr>
          </w:pPr>
          <w:hyperlink w:anchor="_Toc124499529" w:history="1">
            <w:r w:rsidR="00517309" w:rsidRPr="003F3909">
              <w:rPr>
                <w:rStyle w:val="Hyperlink"/>
                <w:noProof/>
                <w:lang w:val="en-GB"/>
              </w:rPr>
              <w:t>Section 13</w:t>
            </w:r>
            <w:r w:rsidR="00517309">
              <w:rPr>
                <w:rFonts w:eastAsiaTheme="minorEastAsia" w:cstheme="minorBidi"/>
                <w:b w:val="0"/>
                <w:bCs w:val="0"/>
                <w:i w:val="0"/>
                <w:iCs w:val="0"/>
                <w:noProof/>
              </w:rPr>
              <w:tab/>
            </w:r>
            <w:r w:rsidR="00517309" w:rsidRPr="003F3909">
              <w:rPr>
                <w:rStyle w:val="Hyperlink"/>
                <w:noProof/>
                <w:lang w:val="en-GB"/>
              </w:rPr>
              <w:t>Supplementary Figures</w:t>
            </w:r>
            <w:r w:rsidR="00517309">
              <w:rPr>
                <w:noProof/>
                <w:webHidden/>
              </w:rPr>
              <w:tab/>
            </w:r>
            <w:r w:rsidR="00517309">
              <w:rPr>
                <w:noProof/>
                <w:webHidden/>
              </w:rPr>
              <w:fldChar w:fldCharType="begin"/>
            </w:r>
            <w:r w:rsidR="00517309">
              <w:rPr>
                <w:noProof/>
                <w:webHidden/>
              </w:rPr>
              <w:instrText xml:space="preserve"> PAGEREF _Toc124499529 \h </w:instrText>
            </w:r>
            <w:r w:rsidR="00517309">
              <w:rPr>
                <w:noProof/>
                <w:webHidden/>
              </w:rPr>
            </w:r>
            <w:r w:rsidR="00517309">
              <w:rPr>
                <w:noProof/>
                <w:webHidden/>
              </w:rPr>
              <w:fldChar w:fldCharType="separate"/>
            </w:r>
            <w:r w:rsidR="00517309">
              <w:rPr>
                <w:noProof/>
                <w:webHidden/>
              </w:rPr>
              <w:t>37</w:t>
            </w:r>
            <w:r w:rsidR="00517309">
              <w:rPr>
                <w:noProof/>
                <w:webHidden/>
              </w:rPr>
              <w:fldChar w:fldCharType="end"/>
            </w:r>
          </w:hyperlink>
        </w:p>
        <w:p w14:paraId="7D8D1A5E" w14:textId="4A7821CC" w:rsidR="00517309" w:rsidRDefault="00000000">
          <w:pPr>
            <w:pStyle w:val="TOC3"/>
            <w:tabs>
              <w:tab w:val="right" w:leader="dot" w:pos="9350"/>
            </w:tabs>
            <w:rPr>
              <w:rFonts w:eastAsiaTheme="minorEastAsia" w:cstheme="minorBidi"/>
              <w:noProof/>
              <w:sz w:val="24"/>
              <w:szCs w:val="24"/>
            </w:rPr>
          </w:pPr>
          <w:hyperlink w:anchor="_Toc124499530" w:history="1">
            <w:r w:rsidR="00517309" w:rsidRPr="003F3909">
              <w:rPr>
                <w:rStyle w:val="Hyperlink"/>
                <w:noProof/>
                <w:lang w:val="en-GB"/>
              </w:rPr>
              <w:t>Figure S1. SEI model accounting for multiple vaccination rounds and SARS-CoV-2 variants</w:t>
            </w:r>
            <w:r w:rsidR="00517309">
              <w:rPr>
                <w:noProof/>
                <w:webHidden/>
              </w:rPr>
              <w:tab/>
            </w:r>
            <w:r w:rsidR="00517309">
              <w:rPr>
                <w:noProof/>
                <w:webHidden/>
              </w:rPr>
              <w:fldChar w:fldCharType="begin"/>
            </w:r>
            <w:r w:rsidR="00517309">
              <w:rPr>
                <w:noProof/>
                <w:webHidden/>
              </w:rPr>
              <w:instrText xml:space="preserve"> PAGEREF _Toc124499530 \h </w:instrText>
            </w:r>
            <w:r w:rsidR="00517309">
              <w:rPr>
                <w:noProof/>
                <w:webHidden/>
              </w:rPr>
            </w:r>
            <w:r w:rsidR="00517309">
              <w:rPr>
                <w:noProof/>
                <w:webHidden/>
              </w:rPr>
              <w:fldChar w:fldCharType="separate"/>
            </w:r>
            <w:r w:rsidR="00517309">
              <w:rPr>
                <w:noProof/>
                <w:webHidden/>
              </w:rPr>
              <w:t>37</w:t>
            </w:r>
            <w:r w:rsidR="00517309">
              <w:rPr>
                <w:noProof/>
                <w:webHidden/>
              </w:rPr>
              <w:fldChar w:fldCharType="end"/>
            </w:r>
          </w:hyperlink>
        </w:p>
        <w:p w14:paraId="2939916B" w14:textId="7439A8B2" w:rsidR="00517309" w:rsidRDefault="00000000">
          <w:pPr>
            <w:pStyle w:val="TOC3"/>
            <w:tabs>
              <w:tab w:val="right" w:leader="dot" w:pos="9350"/>
            </w:tabs>
            <w:rPr>
              <w:rFonts w:eastAsiaTheme="minorEastAsia" w:cstheme="minorBidi"/>
              <w:noProof/>
              <w:sz w:val="24"/>
              <w:szCs w:val="24"/>
            </w:rPr>
          </w:pPr>
          <w:hyperlink w:anchor="_Toc124499531" w:history="1">
            <w:r w:rsidR="00517309" w:rsidRPr="003F3909">
              <w:rPr>
                <w:rStyle w:val="Hyperlink"/>
                <w:noProof/>
                <w:shd w:val="clear" w:color="auto" w:fill="FAF9F8"/>
              </w:rPr>
              <w:t>Figure S2. Total COVID-19 hospital admissions, June 1, 2022, through November 30, 2022, across four intervention scenarios, globally and by WHO region</w:t>
            </w:r>
            <w:r w:rsidR="00517309">
              <w:rPr>
                <w:noProof/>
                <w:webHidden/>
              </w:rPr>
              <w:tab/>
            </w:r>
            <w:r w:rsidR="00517309">
              <w:rPr>
                <w:noProof/>
                <w:webHidden/>
              </w:rPr>
              <w:fldChar w:fldCharType="begin"/>
            </w:r>
            <w:r w:rsidR="00517309">
              <w:rPr>
                <w:noProof/>
                <w:webHidden/>
              </w:rPr>
              <w:instrText xml:space="preserve"> PAGEREF _Toc124499531 \h </w:instrText>
            </w:r>
            <w:r w:rsidR="00517309">
              <w:rPr>
                <w:noProof/>
                <w:webHidden/>
              </w:rPr>
            </w:r>
            <w:r w:rsidR="00517309">
              <w:rPr>
                <w:noProof/>
                <w:webHidden/>
              </w:rPr>
              <w:fldChar w:fldCharType="separate"/>
            </w:r>
            <w:r w:rsidR="00517309">
              <w:rPr>
                <w:noProof/>
                <w:webHidden/>
              </w:rPr>
              <w:t>38</w:t>
            </w:r>
            <w:r w:rsidR="00517309">
              <w:rPr>
                <w:noProof/>
                <w:webHidden/>
              </w:rPr>
              <w:fldChar w:fldCharType="end"/>
            </w:r>
          </w:hyperlink>
        </w:p>
        <w:p w14:paraId="0BC560A9" w14:textId="36178F4B" w:rsidR="00626D65" w:rsidRPr="007872F7" w:rsidRDefault="00834C6A" w:rsidP="007872F7">
          <w:pPr>
            <w:pStyle w:val="TOC3"/>
            <w:tabs>
              <w:tab w:val="right" w:leader="dot" w:pos="9350"/>
            </w:tabs>
          </w:pPr>
          <w:r w:rsidRPr="3320FE39">
            <w:rPr>
              <w:color w:val="2B579A"/>
            </w:rPr>
            <w:fldChar w:fldCharType="end"/>
          </w:r>
        </w:p>
      </w:sdtContent>
    </w:sdt>
    <w:bookmarkStart w:id="7" w:name="_Toc76457824" w:displacedByCustomXml="prev"/>
    <w:p w14:paraId="20977443" w14:textId="77777777" w:rsidR="0058529A" w:rsidRDefault="0058529A">
      <w:r>
        <w:br w:type="page"/>
      </w:r>
    </w:p>
    <w:p w14:paraId="1454A37C" w14:textId="6D53EFAD" w:rsidR="0058529A" w:rsidRDefault="0058529A" w:rsidP="00E94DAE">
      <w:pPr>
        <w:pStyle w:val="Heading1"/>
        <w:numPr>
          <w:ilvl w:val="0"/>
          <w:numId w:val="0"/>
        </w:numPr>
      </w:pPr>
      <w:bookmarkStart w:id="8" w:name="_Toc104252047"/>
      <w:bookmarkStart w:id="9" w:name="_Toc124499456"/>
      <w:r>
        <w:lastRenderedPageBreak/>
        <w:t>List of abbreviations</w:t>
      </w:r>
      <w:bookmarkEnd w:id="8"/>
      <w:bookmarkEnd w:id="9"/>
    </w:p>
    <w:tbl>
      <w:tblPr>
        <w:tblW w:w="84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6840"/>
      </w:tblGrid>
      <w:tr w:rsidR="00311012" w:rsidRPr="00D43DC4" w14:paraId="2FC07A7C" w14:textId="77777777" w:rsidTr="0058529A">
        <w:tc>
          <w:tcPr>
            <w:tcW w:w="1620" w:type="dxa"/>
            <w:tcBorders>
              <w:top w:val="nil"/>
              <w:left w:val="nil"/>
              <w:bottom w:val="nil"/>
              <w:right w:val="nil"/>
            </w:tcBorders>
            <w:shd w:val="clear" w:color="auto" w:fill="auto"/>
            <w:hideMark/>
          </w:tcPr>
          <w:p w14:paraId="28838A6E" w14:textId="77777777" w:rsidR="00311012" w:rsidRPr="00D43DC4" w:rsidRDefault="00311012" w:rsidP="00BC3AE0">
            <w:pPr>
              <w:rPr>
                <w:rFonts w:ascii="Segoe UI" w:hAnsi="Segoe UI" w:cs="Segoe UI"/>
                <w:sz w:val="18"/>
                <w:szCs w:val="18"/>
                <w:lang w:val="en-GB"/>
              </w:rPr>
            </w:pPr>
            <w:r w:rsidRPr="00D43DC4">
              <w:rPr>
                <w:lang w:val="en-GB"/>
              </w:rPr>
              <w:t>Abbreviation  </w:t>
            </w:r>
          </w:p>
        </w:tc>
        <w:tc>
          <w:tcPr>
            <w:tcW w:w="6840" w:type="dxa"/>
            <w:tcBorders>
              <w:top w:val="nil"/>
              <w:left w:val="nil"/>
              <w:bottom w:val="nil"/>
              <w:right w:val="nil"/>
            </w:tcBorders>
            <w:shd w:val="clear" w:color="auto" w:fill="auto"/>
            <w:hideMark/>
          </w:tcPr>
          <w:p w14:paraId="59626B70" w14:textId="77777777" w:rsidR="00311012" w:rsidRPr="00D43DC4" w:rsidRDefault="2BBA4ECA" w:rsidP="00BC3AE0">
            <w:pPr>
              <w:rPr>
                <w:rFonts w:ascii="Segoe UI" w:hAnsi="Segoe UI" w:cs="Segoe UI"/>
                <w:sz w:val="18"/>
                <w:szCs w:val="18"/>
                <w:lang w:val="en-GB"/>
              </w:rPr>
            </w:pPr>
            <w:r w:rsidRPr="24B06F8B">
              <w:rPr>
                <w:lang w:val="en-GB"/>
              </w:rPr>
              <w:t>Full phrase  </w:t>
            </w:r>
          </w:p>
        </w:tc>
      </w:tr>
      <w:tr w:rsidR="00311012" w:rsidRPr="00D43DC4" w14:paraId="0A60C82E" w14:textId="77777777" w:rsidTr="0058529A">
        <w:tc>
          <w:tcPr>
            <w:tcW w:w="1620" w:type="dxa"/>
            <w:tcBorders>
              <w:top w:val="nil"/>
              <w:left w:val="nil"/>
              <w:bottom w:val="nil"/>
              <w:right w:val="nil"/>
            </w:tcBorders>
            <w:shd w:val="clear" w:color="auto" w:fill="auto"/>
            <w:hideMark/>
          </w:tcPr>
          <w:p w14:paraId="0627B5E0" w14:textId="77777777" w:rsidR="00311012" w:rsidRPr="00D43DC4" w:rsidRDefault="00311012" w:rsidP="00BC3AE0">
            <w:pPr>
              <w:rPr>
                <w:rFonts w:ascii="Segoe UI" w:hAnsi="Segoe UI" w:cs="Segoe UI"/>
                <w:sz w:val="18"/>
                <w:szCs w:val="18"/>
                <w:lang w:val="en-GB"/>
              </w:rPr>
            </w:pPr>
            <w:r w:rsidRPr="00D43DC4">
              <w:rPr>
                <w:lang w:val="en-GB"/>
              </w:rPr>
              <w:t>B.1.1.7 </w:t>
            </w:r>
          </w:p>
        </w:tc>
        <w:tc>
          <w:tcPr>
            <w:tcW w:w="6840" w:type="dxa"/>
            <w:tcBorders>
              <w:top w:val="nil"/>
              <w:left w:val="nil"/>
              <w:bottom w:val="nil"/>
              <w:right w:val="nil"/>
            </w:tcBorders>
            <w:shd w:val="clear" w:color="auto" w:fill="auto"/>
            <w:hideMark/>
          </w:tcPr>
          <w:p w14:paraId="3C790926" w14:textId="77777777" w:rsidR="00311012" w:rsidRPr="00D43DC4" w:rsidRDefault="00311012" w:rsidP="00BC3AE0">
            <w:pPr>
              <w:rPr>
                <w:rFonts w:ascii="Segoe UI" w:hAnsi="Segoe UI" w:cs="Segoe UI"/>
                <w:sz w:val="18"/>
                <w:szCs w:val="18"/>
                <w:lang w:val="en-GB"/>
              </w:rPr>
            </w:pPr>
            <w:r w:rsidRPr="00D43DC4">
              <w:rPr>
                <w:lang w:val="en-GB"/>
              </w:rPr>
              <w:t>SARS-CoV-2 Alpha variant </w:t>
            </w:r>
          </w:p>
        </w:tc>
      </w:tr>
      <w:tr w:rsidR="00311012" w:rsidRPr="00D43DC4" w14:paraId="6C61CFE8" w14:textId="77777777" w:rsidTr="0058529A">
        <w:tc>
          <w:tcPr>
            <w:tcW w:w="1620" w:type="dxa"/>
            <w:tcBorders>
              <w:top w:val="nil"/>
              <w:left w:val="nil"/>
              <w:bottom w:val="nil"/>
              <w:right w:val="nil"/>
            </w:tcBorders>
            <w:shd w:val="clear" w:color="auto" w:fill="auto"/>
            <w:hideMark/>
          </w:tcPr>
          <w:p w14:paraId="3DEC4A3A" w14:textId="77777777" w:rsidR="00311012" w:rsidRPr="00D43DC4" w:rsidRDefault="00311012" w:rsidP="00BC3AE0">
            <w:pPr>
              <w:rPr>
                <w:rFonts w:ascii="Segoe UI" w:hAnsi="Segoe UI" w:cs="Segoe UI"/>
                <w:sz w:val="18"/>
                <w:szCs w:val="18"/>
                <w:lang w:val="en-GB"/>
              </w:rPr>
            </w:pPr>
            <w:r w:rsidRPr="00D43DC4">
              <w:rPr>
                <w:lang w:val="en-GB"/>
              </w:rPr>
              <w:t>B.1.351 </w:t>
            </w:r>
          </w:p>
        </w:tc>
        <w:tc>
          <w:tcPr>
            <w:tcW w:w="6840" w:type="dxa"/>
            <w:tcBorders>
              <w:top w:val="nil"/>
              <w:left w:val="nil"/>
              <w:bottom w:val="nil"/>
              <w:right w:val="nil"/>
            </w:tcBorders>
            <w:shd w:val="clear" w:color="auto" w:fill="auto"/>
            <w:hideMark/>
          </w:tcPr>
          <w:p w14:paraId="2CE871C8" w14:textId="77777777" w:rsidR="00311012" w:rsidRPr="00D43DC4" w:rsidRDefault="00311012" w:rsidP="00BC3AE0">
            <w:pPr>
              <w:rPr>
                <w:rFonts w:ascii="Segoe UI" w:hAnsi="Segoe UI" w:cs="Segoe UI"/>
                <w:sz w:val="18"/>
                <w:szCs w:val="18"/>
                <w:lang w:val="en-GB"/>
              </w:rPr>
            </w:pPr>
            <w:r w:rsidRPr="00D43DC4">
              <w:rPr>
                <w:lang w:val="en-GB"/>
              </w:rPr>
              <w:t>SARS-CoV-2 Beta variant </w:t>
            </w:r>
          </w:p>
        </w:tc>
      </w:tr>
      <w:tr w:rsidR="00311012" w:rsidRPr="00D43DC4" w14:paraId="666366B8" w14:textId="77777777" w:rsidTr="0058529A">
        <w:tc>
          <w:tcPr>
            <w:tcW w:w="1620" w:type="dxa"/>
            <w:tcBorders>
              <w:top w:val="nil"/>
              <w:left w:val="nil"/>
              <w:bottom w:val="nil"/>
              <w:right w:val="nil"/>
            </w:tcBorders>
            <w:shd w:val="clear" w:color="auto" w:fill="auto"/>
            <w:hideMark/>
          </w:tcPr>
          <w:p w14:paraId="7F71F7B4" w14:textId="4EE11F07" w:rsidR="00311012" w:rsidRPr="00D43DC4" w:rsidRDefault="00311012" w:rsidP="00BC3AE0">
            <w:pPr>
              <w:rPr>
                <w:rFonts w:ascii="Segoe UI" w:hAnsi="Segoe UI" w:cs="Segoe UI"/>
                <w:sz w:val="18"/>
                <w:szCs w:val="18"/>
                <w:lang w:val="en-GB"/>
              </w:rPr>
            </w:pPr>
            <w:r w:rsidRPr="00D43DC4">
              <w:rPr>
                <w:lang w:val="en-GB"/>
              </w:rPr>
              <w:t>B.1.617</w:t>
            </w:r>
            <w:r w:rsidR="00A634C7" w:rsidRPr="00D43DC4">
              <w:rPr>
                <w:lang w:val="en-GB"/>
              </w:rPr>
              <w:t>.2</w:t>
            </w:r>
            <w:r w:rsidRPr="00D43DC4">
              <w:rPr>
                <w:lang w:val="en-GB"/>
              </w:rPr>
              <w:t> </w:t>
            </w:r>
          </w:p>
        </w:tc>
        <w:tc>
          <w:tcPr>
            <w:tcW w:w="6840" w:type="dxa"/>
            <w:tcBorders>
              <w:top w:val="nil"/>
              <w:left w:val="nil"/>
              <w:bottom w:val="nil"/>
              <w:right w:val="nil"/>
            </w:tcBorders>
            <w:shd w:val="clear" w:color="auto" w:fill="auto"/>
            <w:hideMark/>
          </w:tcPr>
          <w:p w14:paraId="5238C17B" w14:textId="77777777" w:rsidR="00311012" w:rsidRPr="00D43DC4" w:rsidRDefault="00311012" w:rsidP="00BC3AE0">
            <w:pPr>
              <w:rPr>
                <w:rFonts w:ascii="Segoe UI" w:hAnsi="Segoe UI" w:cs="Segoe UI"/>
                <w:sz w:val="18"/>
                <w:szCs w:val="18"/>
                <w:lang w:val="en-GB"/>
              </w:rPr>
            </w:pPr>
            <w:r w:rsidRPr="00D43DC4">
              <w:rPr>
                <w:lang w:val="en-GB"/>
              </w:rPr>
              <w:t>SARS-CoV-2 Delta variant </w:t>
            </w:r>
          </w:p>
        </w:tc>
      </w:tr>
      <w:tr w:rsidR="00311012" w:rsidRPr="00D43DC4" w14:paraId="27A5EA77" w14:textId="77777777" w:rsidTr="0058529A">
        <w:tc>
          <w:tcPr>
            <w:tcW w:w="1620" w:type="dxa"/>
            <w:tcBorders>
              <w:top w:val="nil"/>
              <w:left w:val="nil"/>
              <w:bottom w:val="nil"/>
              <w:right w:val="nil"/>
            </w:tcBorders>
            <w:shd w:val="clear" w:color="auto" w:fill="auto"/>
            <w:hideMark/>
          </w:tcPr>
          <w:p w14:paraId="0E689549" w14:textId="77777777" w:rsidR="00311012" w:rsidRPr="00D43DC4" w:rsidRDefault="00311012" w:rsidP="00BC3AE0">
            <w:pPr>
              <w:rPr>
                <w:rFonts w:ascii="Segoe UI" w:hAnsi="Segoe UI" w:cs="Segoe UI"/>
                <w:sz w:val="18"/>
                <w:szCs w:val="18"/>
                <w:lang w:val="en-GB"/>
              </w:rPr>
            </w:pPr>
            <w:r w:rsidRPr="00D43DC4">
              <w:rPr>
                <w:lang w:val="en-GB"/>
              </w:rPr>
              <w:t>COVID-19 </w:t>
            </w:r>
          </w:p>
        </w:tc>
        <w:tc>
          <w:tcPr>
            <w:tcW w:w="6840" w:type="dxa"/>
            <w:tcBorders>
              <w:top w:val="nil"/>
              <w:left w:val="nil"/>
              <w:bottom w:val="nil"/>
              <w:right w:val="nil"/>
            </w:tcBorders>
            <w:shd w:val="clear" w:color="auto" w:fill="auto"/>
            <w:hideMark/>
          </w:tcPr>
          <w:p w14:paraId="5D33CF55" w14:textId="77777777" w:rsidR="00311012" w:rsidRPr="00D43DC4" w:rsidRDefault="00311012" w:rsidP="00BC3AE0">
            <w:pPr>
              <w:rPr>
                <w:rFonts w:ascii="Segoe UI" w:hAnsi="Segoe UI" w:cs="Segoe UI"/>
                <w:sz w:val="18"/>
                <w:szCs w:val="18"/>
                <w:lang w:val="en-GB"/>
              </w:rPr>
            </w:pPr>
            <w:r w:rsidRPr="00D43DC4">
              <w:rPr>
                <w:lang w:val="en-GB"/>
              </w:rPr>
              <w:t>coronavirus disease 2019 </w:t>
            </w:r>
          </w:p>
        </w:tc>
      </w:tr>
      <w:tr w:rsidR="00311012" w:rsidRPr="00D43DC4" w14:paraId="25EED4CE" w14:textId="77777777" w:rsidTr="0058529A">
        <w:tc>
          <w:tcPr>
            <w:tcW w:w="1620" w:type="dxa"/>
            <w:tcBorders>
              <w:top w:val="nil"/>
              <w:left w:val="nil"/>
              <w:bottom w:val="nil"/>
              <w:right w:val="nil"/>
            </w:tcBorders>
            <w:shd w:val="clear" w:color="auto" w:fill="auto"/>
            <w:hideMark/>
          </w:tcPr>
          <w:p w14:paraId="23209101" w14:textId="77777777" w:rsidR="00311012" w:rsidRPr="00D43DC4" w:rsidRDefault="00311012" w:rsidP="00BC3AE0">
            <w:pPr>
              <w:rPr>
                <w:rFonts w:ascii="Segoe UI" w:hAnsi="Segoe UI" w:cs="Segoe UI"/>
                <w:sz w:val="18"/>
                <w:szCs w:val="18"/>
                <w:lang w:val="en-GB"/>
              </w:rPr>
            </w:pPr>
            <w:r w:rsidRPr="00D43DC4">
              <w:rPr>
                <w:lang w:val="en-GB"/>
              </w:rPr>
              <w:t>CDC  </w:t>
            </w:r>
          </w:p>
        </w:tc>
        <w:tc>
          <w:tcPr>
            <w:tcW w:w="6840" w:type="dxa"/>
            <w:tcBorders>
              <w:top w:val="nil"/>
              <w:left w:val="nil"/>
              <w:bottom w:val="nil"/>
              <w:right w:val="nil"/>
            </w:tcBorders>
            <w:shd w:val="clear" w:color="auto" w:fill="auto"/>
            <w:hideMark/>
          </w:tcPr>
          <w:p w14:paraId="33678890" w14:textId="77777777" w:rsidR="00311012" w:rsidRPr="00D43DC4" w:rsidRDefault="00311012" w:rsidP="00BC3AE0">
            <w:pPr>
              <w:rPr>
                <w:rFonts w:ascii="Segoe UI" w:hAnsi="Segoe UI" w:cs="Segoe UI"/>
                <w:sz w:val="18"/>
                <w:szCs w:val="18"/>
                <w:lang w:val="en-GB"/>
              </w:rPr>
            </w:pPr>
            <w:proofErr w:type="spellStart"/>
            <w:r w:rsidRPr="00D43DC4">
              <w:rPr>
                <w:lang w:val="en-GB"/>
              </w:rPr>
              <w:t>Centers</w:t>
            </w:r>
            <w:proofErr w:type="spellEnd"/>
            <w:r w:rsidRPr="00D43DC4">
              <w:rPr>
                <w:lang w:val="en-GB"/>
              </w:rPr>
              <w:t xml:space="preserve"> for Disease Control and Prevention  </w:t>
            </w:r>
          </w:p>
        </w:tc>
      </w:tr>
      <w:tr w:rsidR="00311012" w:rsidRPr="00D43DC4" w14:paraId="45ED3EB6" w14:textId="77777777" w:rsidTr="0058529A">
        <w:tc>
          <w:tcPr>
            <w:tcW w:w="1620" w:type="dxa"/>
            <w:tcBorders>
              <w:top w:val="nil"/>
              <w:left w:val="nil"/>
              <w:bottom w:val="nil"/>
              <w:right w:val="nil"/>
            </w:tcBorders>
            <w:shd w:val="clear" w:color="auto" w:fill="auto"/>
            <w:hideMark/>
          </w:tcPr>
          <w:p w14:paraId="5666AA2B" w14:textId="77777777" w:rsidR="00311012" w:rsidRPr="00D43DC4" w:rsidRDefault="00311012" w:rsidP="00BC3AE0">
            <w:pPr>
              <w:rPr>
                <w:rFonts w:ascii="Segoe UI" w:hAnsi="Segoe UI" w:cs="Segoe UI"/>
                <w:sz w:val="18"/>
                <w:szCs w:val="18"/>
                <w:lang w:val="en-GB"/>
              </w:rPr>
            </w:pPr>
            <w:r w:rsidRPr="00D43DC4">
              <w:rPr>
                <w:lang w:val="en-GB"/>
              </w:rPr>
              <w:t>GATHER </w:t>
            </w:r>
          </w:p>
        </w:tc>
        <w:tc>
          <w:tcPr>
            <w:tcW w:w="6840" w:type="dxa"/>
            <w:tcBorders>
              <w:top w:val="nil"/>
              <w:left w:val="nil"/>
              <w:bottom w:val="nil"/>
              <w:right w:val="nil"/>
            </w:tcBorders>
            <w:shd w:val="clear" w:color="auto" w:fill="auto"/>
            <w:hideMark/>
          </w:tcPr>
          <w:p w14:paraId="3B9B0A77" w14:textId="77777777" w:rsidR="00311012" w:rsidRPr="00D43DC4" w:rsidRDefault="00311012" w:rsidP="00BC3AE0">
            <w:pPr>
              <w:rPr>
                <w:rFonts w:ascii="Segoe UI" w:hAnsi="Segoe UI" w:cs="Segoe UI"/>
                <w:sz w:val="18"/>
                <w:szCs w:val="18"/>
                <w:lang w:val="en-GB"/>
              </w:rPr>
            </w:pPr>
            <w:r w:rsidRPr="00D43DC4">
              <w:rPr>
                <w:lang w:val="en-GB"/>
              </w:rPr>
              <w:t>Guidelines for Accurate and Transparent Health Estimates Reporting </w:t>
            </w:r>
          </w:p>
        </w:tc>
      </w:tr>
      <w:tr w:rsidR="00311012" w:rsidRPr="00D43DC4" w14:paraId="1CF31F47" w14:textId="77777777" w:rsidTr="0058529A">
        <w:tc>
          <w:tcPr>
            <w:tcW w:w="1620" w:type="dxa"/>
            <w:tcBorders>
              <w:top w:val="nil"/>
              <w:left w:val="nil"/>
              <w:bottom w:val="nil"/>
              <w:right w:val="nil"/>
            </w:tcBorders>
            <w:shd w:val="clear" w:color="auto" w:fill="auto"/>
            <w:hideMark/>
          </w:tcPr>
          <w:p w14:paraId="398BB0E5" w14:textId="77777777" w:rsidR="00311012" w:rsidRPr="00D43DC4" w:rsidRDefault="00311012" w:rsidP="00BC3AE0">
            <w:pPr>
              <w:rPr>
                <w:rFonts w:ascii="Segoe UI" w:hAnsi="Segoe UI" w:cs="Segoe UI"/>
                <w:sz w:val="18"/>
                <w:szCs w:val="18"/>
                <w:lang w:val="en-GB"/>
              </w:rPr>
            </w:pPr>
            <w:r w:rsidRPr="00D43DC4">
              <w:rPr>
                <w:lang w:val="en-GB"/>
              </w:rPr>
              <w:t>GBD </w:t>
            </w:r>
          </w:p>
        </w:tc>
        <w:tc>
          <w:tcPr>
            <w:tcW w:w="6840" w:type="dxa"/>
            <w:tcBorders>
              <w:top w:val="nil"/>
              <w:left w:val="nil"/>
              <w:bottom w:val="nil"/>
              <w:right w:val="nil"/>
            </w:tcBorders>
            <w:shd w:val="clear" w:color="auto" w:fill="auto"/>
            <w:hideMark/>
          </w:tcPr>
          <w:p w14:paraId="3F0E26CB" w14:textId="77777777" w:rsidR="00311012" w:rsidRPr="00D43DC4" w:rsidRDefault="00311012" w:rsidP="00BC3AE0">
            <w:pPr>
              <w:rPr>
                <w:rFonts w:ascii="Segoe UI" w:hAnsi="Segoe UI" w:cs="Segoe UI"/>
                <w:sz w:val="18"/>
                <w:szCs w:val="18"/>
                <w:lang w:val="en-GB"/>
              </w:rPr>
            </w:pPr>
            <w:r w:rsidRPr="00D43DC4">
              <w:rPr>
                <w:lang w:val="en-GB"/>
              </w:rPr>
              <w:t>Global Burden of Diseases, Injuries, and Risk Factors Study </w:t>
            </w:r>
          </w:p>
        </w:tc>
      </w:tr>
      <w:tr w:rsidR="003138A9" w:rsidRPr="00D43DC4" w14:paraId="23A704A7" w14:textId="77777777" w:rsidTr="0058529A">
        <w:tc>
          <w:tcPr>
            <w:tcW w:w="1620" w:type="dxa"/>
            <w:tcBorders>
              <w:top w:val="nil"/>
              <w:left w:val="nil"/>
              <w:bottom w:val="nil"/>
              <w:right w:val="nil"/>
            </w:tcBorders>
            <w:shd w:val="clear" w:color="auto" w:fill="auto"/>
          </w:tcPr>
          <w:p w14:paraId="02C7C456" w14:textId="3EEC6FB2" w:rsidR="003138A9" w:rsidRPr="00D43DC4" w:rsidRDefault="003138A9" w:rsidP="00BC3AE0">
            <w:pPr>
              <w:rPr>
                <w:lang w:val="en-GB"/>
              </w:rPr>
            </w:pPr>
            <w:r w:rsidRPr="00D43DC4">
              <w:rPr>
                <w:lang w:val="en-GB"/>
              </w:rPr>
              <w:t>GHDx</w:t>
            </w:r>
          </w:p>
        </w:tc>
        <w:tc>
          <w:tcPr>
            <w:tcW w:w="6840" w:type="dxa"/>
            <w:tcBorders>
              <w:top w:val="nil"/>
              <w:left w:val="nil"/>
              <w:bottom w:val="nil"/>
              <w:right w:val="nil"/>
            </w:tcBorders>
            <w:shd w:val="clear" w:color="auto" w:fill="auto"/>
          </w:tcPr>
          <w:p w14:paraId="44C3B942" w14:textId="20071A0E" w:rsidR="003138A9" w:rsidRPr="00D43DC4" w:rsidRDefault="003138A9" w:rsidP="00BC3AE0">
            <w:pPr>
              <w:rPr>
                <w:lang w:val="en-GB"/>
              </w:rPr>
            </w:pPr>
            <w:r w:rsidRPr="00D43DC4">
              <w:rPr>
                <w:lang w:val="en-GB"/>
              </w:rPr>
              <w:t>Global Health Data Exchange website</w:t>
            </w:r>
          </w:p>
        </w:tc>
      </w:tr>
      <w:tr w:rsidR="003138A9" w:rsidRPr="00D43DC4" w14:paraId="23BA5449" w14:textId="77777777" w:rsidTr="0058529A">
        <w:tc>
          <w:tcPr>
            <w:tcW w:w="1620" w:type="dxa"/>
            <w:tcBorders>
              <w:top w:val="nil"/>
              <w:left w:val="nil"/>
              <w:bottom w:val="nil"/>
              <w:right w:val="nil"/>
            </w:tcBorders>
            <w:shd w:val="clear" w:color="auto" w:fill="auto"/>
          </w:tcPr>
          <w:p w14:paraId="1B29244E" w14:textId="4A3CCB4B" w:rsidR="003138A9" w:rsidRPr="00D43DC4" w:rsidRDefault="003138A9" w:rsidP="00BC3AE0">
            <w:pPr>
              <w:rPr>
                <w:lang w:val="en-GB"/>
              </w:rPr>
            </w:pPr>
            <w:r w:rsidRPr="00D43DC4">
              <w:rPr>
                <w:lang w:val="en-GB"/>
              </w:rPr>
              <w:t>GISAID</w:t>
            </w:r>
          </w:p>
        </w:tc>
        <w:tc>
          <w:tcPr>
            <w:tcW w:w="6840" w:type="dxa"/>
            <w:tcBorders>
              <w:top w:val="nil"/>
              <w:left w:val="nil"/>
              <w:bottom w:val="nil"/>
              <w:right w:val="nil"/>
            </w:tcBorders>
            <w:shd w:val="clear" w:color="auto" w:fill="auto"/>
          </w:tcPr>
          <w:p w14:paraId="14628CA5" w14:textId="035B5AD1" w:rsidR="003138A9" w:rsidRPr="00D43DC4" w:rsidRDefault="003138A9" w:rsidP="00BC3AE0">
            <w:pPr>
              <w:rPr>
                <w:lang w:val="en-GB"/>
              </w:rPr>
            </w:pPr>
            <w:r w:rsidRPr="00D43DC4">
              <w:rPr>
                <w:lang w:val="en-GB"/>
              </w:rPr>
              <w:t>global initiative on sharing avian influenza data</w:t>
            </w:r>
          </w:p>
        </w:tc>
      </w:tr>
      <w:tr w:rsidR="00311012" w:rsidRPr="00D43DC4" w14:paraId="7D5CAD28" w14:textId="77777777" w:rsidTr="0058529A">
        <w:tc>
          <w:tcPr>
            <w:tcW w:w="1620" w:type="dxa"/>
            <w:tcBorders>
              <w:top w:val="nil"/>
              <w:left w:val="nil"/>
              <w:bottom w:val="nil"/>
              <w:right w:val="nil"/>
            </w:tcBorders>
            <w:shd w:val="clear" w:color="auto" w:fill="auto"/>
            <w:hideMark/>
          </w:tcPr>
          <w:p w14:paraId="36039EFD" w14:textId="77777777" w:rsidR="00311012" w:rsidRPr="00D43DC4" w:rsidRDefault="00311012" w:rsidP="00BC3AE0">
            <w:pPr>
              <w:rPr>
                <w:rFonts w:ascii="Segoe UI" w:hAnsi="Segoe UI" w:cs="Segoe UI"/>
                <w:sz w:val="18"/>
                <w:szCs w:val="18"/>
                <w:lang w:val="en-GB"/>
              </w:rPr>
            </w:pPr>
            <w:r w:rsidRPr="00D43DC4">
              <w:rPr>
                <w:lang w:val="en-GB"/>
              </w:rPr>
              <w:t>IDR </w:t>
            </w:r>
          </w:p>
        </w:tc>
        <w:tc>
          <w:tcPr>
            <w:tcW w:w="6840" w:type="dxa"/>
            <w:tcBorders>
              <w:top w:val="nil"/>
              <w:left w:val="nil"/>
              <w:bottom w:val="nil"/>
              <w:right w:val="nil"/>
            </w:tcBorders>
            <w:shd w:val="clear" w:color="auto" w:fill="auto"/>
            <w:hideMark/>
          </w:tcPr>
          <w:p w14:paraId="43F73297" w14:textId="2B4DCC4D" w:rsidR="00311012" w:rsidRPr="00D43DC4" w:rsidRDefault="00311012" w:rsidP="6183920F">
            <w:pPr>
              <w:spacing w:line="257" w:lineRule="auto"/>
              <w:rPr>
                <w:rFonts w:ascii="Segoe UI" w:hAnsi="Segoe UI" w:cs="Segoe UI"/>
                <w:sz w:val="18"/>
                <w:szCs w:val="18"/>
                <w:lang w:val="en-GB"/>
              </w:rPr>
            </w:pPr>
            <w:r w:rsidRPr="00D43DC4">
              <w:rPr>
                <w:lang w:val="en-GB"/>
              </w:rPr>
              <w:t>infection</w:t>
            </w:r>
            <w:r w:rsidR="6183920F" w:rsidRPr="6183920F">
              <w:rPr>
                <w:rFonts w:eastAsia="Times New Roman"/>
                <w:lang w:val="en-GB"/>
              </w:rPr>
              <w:t>–</w:t>
            </w:r>
            <w:r w:rsidRPr="00D43DC4">
              <w:rPr>
                <w:lang w:val="en-GB"/>
              </w:rPr>
              <w:t>detection ratio </w:t>
            </w:r>
          </w:p>
        </w:tc>
      </w:tr>
      <w:tr w:rsidR="00311012" w:rsidRPr="00D43DC4" w14:paraId="350FC9DC" w14:textId="77777777" w:rsidTr="0058529A">
        <w:tc>
          <w:tcPr>
            <w:tcW w:w="1620" w:type="dxa"/>
            <w:tcBorders>
              <w:top w:val="nil"/>
              <w:left w:val="nil"/>
              <w:bottom w:val="nil"/>
              <w:right w:val="nil"/>
            </w:tcBorders>
            <w:shd w:val="clear" w:color="auto" w:fill="auto"/>
            <w:hideMark/>
          </w:tcPr>
          <w:p w14:paraId="676BE3B8" w14:textId="77777777" w:rsidR="00311012" w:rsidRPr="00D43DC4" w:rsidRDefault="00311012" w:rsidP="00BC3AE0">
            <w:pPr>
              <w:rPr>
                <w:rFonts w:ascii="Segoe UI" w:hAnsi="Segoe UI" w:cs="Segoe UI"/>
                <w:sz w:val="18"/>
                <w:szCs w:val="18"/>
                <w:lang w:val="en-GB"/>
              </w:rPr>
            </w:pPr>
            <w:r w:rsidRPr="00D43DC4">
              <w:rPr>
                <w:lang w:val="en-GB"/>
              </w:rPr>
              <w:t>IFR </w:t>
            </w:r>
          </w:p>
        </w:tc>
        <w:tc>
          <w:tcPr>
            <w:tcW w:w="6840" w:type="dxa"/>
            <w:tcBorders>
              <w:top w:val="nil"/>
              <w:left w:val="nil"/>
              <w:bottom w:val="nil"/>
              <w:right w:val="nil"/>
            </w:tcBorders>
            <w:shd w:val="clear" w:color="auto" w:fill="auto"/>
            <w:hideMark/>
          </w:tcPr>
          <w:p w14:paraId="310C045A" w14:textId="382EBBFE" w:rsidR="00311012" w:rsidRPr="00D43DC4" w:rsidRDefault="00311012" w:rsidP="00BC3AE0">
            <w:pPr>
              <w:rPr>
                <w:rFonts w:ascii="Segoe UI" w:hAnsi="Segoe UI" w:cs="Segoe UI"/>
                <w:sz w:val="18"/>
                <w:szCs w:val="18"/>
                <w:lang w:val="en-GB"/>
              </w:rPr>
            </w:pPr>
            <w:r w:rsidRPr="00D43DC4">
              <w:rPr>
                <w:lang w:val="en-GB"/>
              </w:rPr>
              <w:t>infection</w:t>
            </w:r>
            <w:r w:rsidR="6183920F" w:rsidRPr="6183920F">
              <w:rPr>
                <w:rFonts w:eastAsia="Times New Roman"/>
                <w:lang w:val="en-GB"/>
              </w:rPr>
              <w:t>–</w:t>
            </w:r>
            <w:r w:rsidRPr="00D43DC4">
              <w:rPr>
                <w:lang w:val="en-GB"/>
              </w:rPr>
              <w:t>fatality ratio </w:t>
            </w:r>
          </w:p>
        </w:tc>
      </w:tr>
      <w:tr w:rsidR="00311012" w:rsidRPr="00D43DC4" w14:paraId="72F36673" w14:textId="77777777" w:rsidTr="0058529A">
        <w:tc>
          <w:tcPr>
            <w:tcW w:w="1620" w:type="dxa"/>
            <w:tcBorders>
              <w:top w:val="nil"/>
              <w:left w:val="nil"/>
              <w:bottom w:val="nil"/>
              <w:right w:val="nil"/>
            </w:tcBorders>
            <w:shd w:val="clear" w:color="auto" w:fill="auto"/>
            <w:hideMark/>
          </w:tcPr>
          <w:p w14:paraId="39BFDC9B" w14:textId="77777777" w:rsidR="00311012" w:rsidRPr="00D43DC4" w:rsidRDefault="00311012" w:rsidP="00BC3AE0">
            <w:pPr>
              <w:rPr>
                <w:rFonts w:ascii="Segoe UI" w:hAnsi="Segoe UI" w:cs="Segoe UI"/>
                <w:sz w:val="18"/>
                <w:szCs w:val="18"/>
                <w:lang w:val="en-GB"/>
              </w:rPr>
            </w:pPr>
            <w:r w:rsidRPr="00D43DC4">
              <w:rPr>
                <w:lang w:val="en-GB"/>
              </w:rPr>
              <w:t>IHR </w:t>
            </w:r>
          </w:p>
        </w:tc>
        <w:tc>
          <w:tcPr>
            <w:tcW w:w="6840" w:type="dxa"/>
            <w:tcBorders>
              <w:top w:val="nil"/>
              <w:left w:val="nil"/>
              <w:bottom w:val="nil"/>
              <w:right w:val="nil"/>
            </w:tcBorders>
            <w:shd w:val="clear" w:color="auto" w:fill="auto"/>
            <w:hideMark/>
          </w:tcPr>
          <w:p w14:paraId="107EFE6D" w14:textId="6A2211ED" w:rsidR="00311012" w:rsidRPr="00D43DC4" w:rsidRDefault="00311012" w:rsidP="00BC3AE0">
            <w:pPr>
              <w:rPr>
                <w:rFonts w:ascii="Segoe UI" w:hAnsi="Segoe UI" w:cs="Segoe UI"/>
                <w:sz w:val="18"/>
                <w:szCs w:val="18"/>
                <w:lang w:val="en-GB"/>
              </w:rPr>
            </w:pPr>
            <w:r w:rsidRPr="00D43DC4">
              <w:rPr>
                <w:lang w:val="en-GB"/>
              </w:rPr>
              <w:t>infection</w:t>
            </w:r>
            <w:r w:rsidR="6183920F" w:rsidRPr="6183920F">
              <w:rPr>
                <w:rFonts w:eastAsia="Times New Roman"/>
                <w:lang w:val="en-GB"/>
              </w:rPr>
              <w:t>–</w:t>
            </w:r>
            <w:r w:rsidRPr="00D43DC4">
              <w:rPr>
                <w:lang w:val="en-GB"/>
              </w:rPr>
              <w:t>hospitalisation ratio </w:t>
            </w:r>
          </w:p>
        </w:tc>
      </w:tr>
      <w:tr w:rsidR="00E75037" w:rsidRPr="00D43DC4" w14:paraId="67D464E3" w14:textId="77777777" w:rsidTr="0058529A">
        <w:tc>
          <w:tcPr>
            <w:tcW w:w="1620" w:type="dxa"/>
            <w:tcBorders>
              <w:top w:val="nil"/>
              <w:left w:val="nil"/>
              <w:bottom w:val="nil"/>
              <w:right w:val="nil"/>
            </w:tcBorders>
            <w:shd w:val="clear" w:color="auto" w:fill="auto"/>
          </w:tcPr>
          <w:p w14:paraId="44CE2859" w14:textId="6BD998A5" w:rsidR="00E75037" w:rsidRPr="00D43DC4" w:rsidRDefault="00E75037" w:rsidP="00BC3AE0">
            <w:pPr>
              <w:rPr>
                <w:lang w:val="en-GB"/>
              </w:rPr>
            </w:pPr>
            <w:r w:rsidRPr="00D43DC4">
              <w:rPr>
                <w:lang w:val="en-GB"/>
              </w:rPr>
              <w:t>J&amp;J</w:t>
            </w:r>
            <w:r w:rsidR="00B87110" w:rsidRPr="00D43DC4">
              <w:rPr>
                <w:lang w:val="en-GB"/>
              </w:rPr>
              <w:t xml:space="preserve"> vaccine</w:t>
            </w:r>
          </w:p>
        </w:tc>
        <w:tc>
          <w:tcPr>
            <w:tcW w:w="6840" w:type="dxa"/>
            <w:tcBorders>
              <w:top w:val="nil"/>
              <w:left w:val="nil"/>
              <w:bottom w:val="nil"/>
              <w:right w:val="nil"/>
            </w:tcBorders>
            <w:shd w:val="clear" w:color="auto" w:fill="auto"/>
          </w:tcPr>
          <w:p w14:paraId="33EEB64D" w14:textId="64115607" w:rsidR="00E75037" w:rsidRPr="00D43DC4" w:rsidRDefault="00E75037" w:rsidP="00BC3AE0">
            <w:pPr>
              <w:rPr>
                <w:lang w:val="en-GB"/>
              </w:rPr>
            </w:pPr>
            <w:r w:rsidRPr="00D43DC4">
              <w:rPr>
                <w:lang w:val="en-GB"/>
              </w:rPr>
              <w:t xml:space="preserve">Johnson </w:t>
            </w:r>
            <w:r w:rsidR="00CF6216">
              <w:rPr>
                <w:lang w:val="en-GB"/>
              </w:rPr>
              <w:t>&amp;</w:t>
            </w:r>
            <w:r w:rsidRPr="00D43DC4">
              <w:rPr>
                <w:lang w:val="en-GB"/>
              </w:rPr>
              <w:t xml:space="preserve"> Johnson Janssen COVID-19 vaccine</w:t>
            </w:r>
          </w:p>
        </w:tc>
      </w:tr>
      <w:tr w:rsidR="00D6465A" w:rsidRPr="00D43DC4" w14:paraId="1789F356" w14:textId="77777777" w:rsidTr="0058529A">
        <w:tc>
          <w:tcPr>
            <w:tcW w:w="1620" w:type="dxa"/>
            <w:tcBorders>
              <w:top w:val="nil"/>
              <w:left w:val="nil"/>
              <w:bottom w:val="nil"/>
              <w:right w:val="nil"/>
            </w:tcBorders>
            <w:shd w:val="clear" w:color="auto" w:fill="auto"/>
          </w:tcPr>
          <w:p w14:paraId="1591DE9C" w14:textId="18553EBC" w:rsidR="00D6465A" w:rsidRPr="00D43DC4" w:rsidRDefault="00D6465A" w:rsidP="00BC3AE0">
            <w:pPr>
              <w:rPr>
                <w:lang w:val="en-GB"/>
              </w:rPr>
            </w:pPr>
            <w:r w:rsidRPr="00D43DC4">
              <w:rPr>
                <w:lang w:val="en-GB"/>
              </w:rPr>
              <w:t>LRI</w:t>
            </w:r>
          </w:p>
        </w:tc>
        <w:tc>
          <w:tcPr>
            <w:tcW w:w="6840" w:type="dxa"/>
            <w:tcBorders>
              <w:top w:val="nil"/>
              <w:left w:val="nil"/>
              <w:bottom w:val="nil"/>
              <w:right w:val="nil"/>
            </w:tcBorders>
            <w:shd w:val="clear" w:color="auto" w:fill="auto"/>
          </w:tcPr>
          <w:p w14:paraId="1815CDEE" w14:textId="346D63DD" w:rsidR="00D6465A" w:rsidRPr="00D43DC4" w:rsidRDefault="00D6465A" w:rsidP="00BC3AE0">
            <w:pPr>
              <w:rPr>
                <w:lang w:val="en-GB"/>
              </w:rPr>
            </w:pPr>
            <w:r w:rsidRPr="00D43DC4">
              <w:rPr>
                <w:lang w:val="en-GB"/>
              </w:rPr>
              <w:t>lower respiratory infection</w:t>
            </w:r>
          </w:p>
        </w:tc>
      </w:tr>
      <w:tr w:rsidR="00311012" w:rsidRPr="00D43DC4" w14:paraId="40651E0D" w14:textId="77777777" w:rsidTr="0058529A">
        <w:tc>
          <w:tcPr>
            <w:tcW w:w="1620" w:type="dxa"/>
            <w:tcBorders>
              <w:top w:val="nil"/>
              <w:left w:val="nil"/>
              <w:bottom w:val="nil"/>
              <w:right w:val="nil"/>
            </w:tcBorders>
            <w:shd w:val="clear" w:color="auto" w:fill="auto"/>
            <w:hideMark/>
          </w:tcPr>
          <w:p w14:paraId="7EAE3539" w14:textId="426A05BB" w:rsidR="00311012" w:rsidRPr="00D43DC4" w:rsidRDefault="003C29CC" w:rsidP="00BC3AE0">
            <w:pPr>
              <w:rPr>
                <w:rFonts w:ascii="Segoe UI" w:hAnsi="Segoe UI" w:cs="Segoe UI"/>
                <w:sz w:val="18"/>
                <w:szCs w:val="18"/>
                <w:lang w:val="en-GB"/>
              </w:rPr>
            </w:pPr>
            <w:r w:rsidRPr="00D43DC4">
              <w:rPr>
                <w:lang w:val="en-GB"/>
              </w:rPr>
              <w:t>MR-BRT</w:t>
            </w:r>
          </w:p>
        </w:tc>
        <w:tc>
          <w:tcPr>
            <w:tcW w:w="6840" w:type="dxa"/>
            <w:tcBorders>
              <w:top w:val="nil"/>
              <w:left w:val="nil"/>
              <w:bottom w:val="nil"/>
              <w:right w:val="nil"/>
            </w:tcBorders>
            <w:shd w:val="clear" w:color="auto" w:fill="auto"/>
            <w:hideMark/>
          </w:tcPr>
          <w:p w14:paraId="7C3CB7D3" w14:textId="559C4B99" w:rsidR="00311012" w:rsidRPr="00D43DC4" w:rsidRDefault="003C29CC" w:rsidP="00BC3AE0">
            <w:pPr>
              <w:rPr>
                <w:rFonts w:ascii="Segoe UI" w:hAnsi="Segoe UI" w:cs="Segoe UI"/>
                <w:sz w:val="18"/>
                <w:szCs w:val="18"/>
                <w:lang w:val="en-GB"/>
              </w:rPr>
            </w:pPr>
            <w:r w:rsidRPr="00D43DC4">
              <w:rPr>
                <w:lang w:val="en-GB"/>
              </w:rPr>
              <w:t>meta-regression—Bayesian, regularised, trimmed</w:t>
            </w:r>
          </w:p>
        </w:tc>
      </w:tr>
      <w:tr w:rsidR="00DE0ACD" w:rsidRPr="00D43DC4" w14:paraId="4E6ADC9E" w14:textId="77777777" w:rsidTr="0058529A">
        <w:tc>
          <w:tcPr>
            <w:tcW w:w="1620" w:type="dxa"/>
            <w:tcBorders>
              <w:top w:val="nil"/>
              <w:left w:val="nil"/>
              <w:bottom w:val="nil"/>
              <w:right w:val="nil"/>
            </w:tcBorders>
            <w:shd w:val="clear" w:color="auto" w:fill="auto"/>
          </w:tcPr>
          <w:p w14:paraId="193E3D35" w14:textId="4AEF2973" w:rsidR="00DE0ACD" w:rsidRPr="00D43DC4" w:rsidRDefault="00DE0ACD" w:rsidP="00BC3AE0">
            <w:pPr>
              <w:rPr>
                <w:lang w:val="en-GB"/>
              </w:rPr>
            </w:pPr>
            <w:r>
              <w:rPr>
                <w:lang w:val="en-GB"/>
              </w:rPr>
              <w:t>NPI</w:t>
            </w:r>
          </w:p>
        </w:tc>
        <w:tc>
          <w:tcPr>
            <w:tcW w:w="6840" w:type="dxa"/>
            <w:tcBorders>
              <w:top w:val="nil"/>
              <w:left w:val="nil"/>
              <w:bottom w:val="nil"/>
              <w:right w:val="nil"/>
            </w:tcBorders>
            <w:shd w:val="clear" w:color="auto" w:fill="auto"/>
          </w:tcPr>
          <w:p w14:paraId="03BEEBDB" w14:textId="4D111751" w:rsidR="00DE0ACD" w:rsidRPr="00D43DC4" w:rsidRDefault="00DE0ACD" w:rsidP="00BC3AE0">
            <w:pPr>
              <w:rPr>
                <w:lang w:val="en-GB"/>
              </w:rPr>
            </w:pPr>
            <w:r>
              <w:rPr>
                <w:lang w:val="en-GB"/>
              </w:rPr>
              <w:t>non-</w:t>
            </w:r>
            <w:proofErr w:type="spellStart"/>
            <w:r>
              <w:rPr>
                <w:lang w:val="en-GB"/>
              </w:rPr>
              <w:t>pharmeceutical</w:t>
            </w:r>
            <w:proofErr w:type="spellEnd"/>
            <w:r>
              <w:rPr>
                <w:lang w:val="en-GB"/>
              </w:rPr>
              <w:t xml:space="preserve"> intervention</w:t>
            </w:r>
          </w:p>
        </w:tc>
      </w:tr>
      <w:tr w:rsidR="00311012" w:rsidRPr="00D43DC4" w14:paraId="4ED2CA20" w14:textId="77777777" w:rsidTr="0058529A">
        <w:tc>
          <w:tcPr>
            <w:tcW w:w="1620" w:type="dxa"/>
            <w:tcBorders>
              <w:top w:val="nil"/>
              <w:left w:val="nil"/>
              <w:bottom w:val="nil"/>
              <w:right w:val="nil"/>
            </w:tcBorders>
            <w:shd w:val="clear" w:color="auto" w:fill="auto"/>
            <w:hideMark/>
          </w:tcPr>
          <w:p w14:paraId="023EB111" w14:textId="5C0A6CF2" w:rsidR="00311012" w:rsidRPr="00D43DC4" w:rsidRDefault="00311012" w:rsidP="00BC3AE0">
            <w:pPr>
              <w:rPr>
                <w:rFonts w:ascii="Segoe UI" w:hAnsi="Segoe UI" w:cs="Segoe UI"/>
                <w:sz w:val="18"/>
                <w:szCs w:val="18"/>
                <w:lang w:val="en-GB"/>
              </w:rPr>
            </w:pPr>
            <w:r w:rsidRPr="00D43DC4">
              <w:rPr>
                <w:lang w:val="en-GB"/>
              </w:rPr>
              <w:t>P.1 </w:t>
            </w:r>
          </w:p>
        </w:tc>
        <w:tc>
          <w:tcPr>
            <w:tcW w:w="6840" w:type="dxa"/>
            <w:tcBorders>
              <w:top w:val="nil"/>
              <w:left w:val="nil"/>
              <w:bottom w:val="nil"/>
              <w:right w:val="nil"/>
            </w:tcBorders>
            <w:shd w:val="clear" w:color="auto" w:fill="auto"/>
            <w:hideMark/>
          </w:tcPr>
          <w:p w14:paraId="3A1B9292" w14:textId="77777777" w:rsidR="00311012" w:rsidRPr="00D43DC4" w:rsidRDefault="00311012" w:rsidP="00BC3AE0">
            <w:pPr>
              <w:rPr>
                <w:rFonts w:ascii="Segoe UI" w:hAnsi="Segoe UI" w:cs="Segoe UI"/>
                <w:sz w:val="18"/>
                <w:szCs w:val="18"/>
                <w:lang w:val="en-GB"/>
              </w:rPr>
            </w:pPr>
            <w:r w:rsidRPr="00D43DC4">
              <w:rPr>
                <w:lang w:val="en-GB"/>
              </w:rPr>
              <w:t>SARS-CoV-2 Gamma variant </w:t>
            </w:r>
          </w:p>
        </w:tc>
      </w:tr>
      <w:tr w:rsidR="003138A9" w:rsidRPr="00D43DC4" w14:paraId="0BBB31A2" w14:textId="77777777" w:rsidTr="0058529A">
        <w:tc>
          <w:tcPr>
            <w:tcW w:w="1620" w:type="dxa"/>
            <w:tcBorders>
              <w:top w:val="nil"/>
              <w:left w:val="nil"/>
              <w:bottom w:val="nil"/>
              <w:right w:val="nil"/>
            </w:tcBorders>
            <w:shd w:val="clear" w:color="auto" w:fill="auto"/>
          </w:tcPr>
          <w:p w14:paraId="528B2A67" w14:textId="23645038" w:rsidR="003138A9" w:rsidRPr="00D43DC4" w:rsidRDefault="003138A9" w:rsidP="00BC3AE0">
            <w:pPr>
              <w:rPr>
                <w:lang w:val="en-GB"/>
              </w:rPr>
            </w:pPr>
            <w:r w:rsidRPr="00D43DC4">
              <w:rPr>
                <w:lang w:val="en-GB"/>
              </w:rPr>
              <w:t>PANGO</w:t>
            </w:r>
          </w:p>
        </w:tc>
        <w:tc>
          <w:tcPr>
            <w:tcW w:w="6840" w:type="dxa"/>
            <w:tcBorders>
              <w:top w:val="nil"/>
              <w:left w:val="nil"/>
              <w:bottom w:val="nil"/>
              <w:right w:val="nil"/>
            </w:tcBorders>
            <w:shd w:val="clear" w:color="auto" w:fill="auto"/>
          </w:tcPr>
          <w:p w14:paraId="3FE693A7" w14:textId="25CDB5EF" w:rsidR="003138A9" w:rsidRPr="00D43DC4" w:rsidRDefault="003138A9" w:rsidP="00BC3AE0">
            <w:pPr>
              <w:rPr>
                <w:rFonts w:eastAsia="Times New Roman"/>
                <w:lang w:val="en-GB"/>
              </w:rPr>
            </w:pPr>
            <w:proofErr w:type="spellStart"/>
            <w:r w:rsidRPr="00D43DC4">
              <w:rPr>
                <w:lang w:val="en-GB"/>
              </w:rPr>
              <w:t>Phylogenic</w:t>
            </w:r>
            <w:proofErr w:type="spellEnd"/>
            <w:r w:rsidRPr="00D43DC4">
              <w:rPr>
                <w:lang w:val="en-GB"/>
              </w:rPr>
              <w:t xml:space="preserve"> Assignment of Named Global Outbreak</w:t>
            </w:r>
          </w:p>
        </w:tc>
      </w:tr>
      <w:tr w:rsidR="003138A9" w:rsidRPr="00D43DC4" w14:paraId="330D2A81" w14:textId="77777777" w:rsidTr="0058529A">
        <w:tc>
          <w:tcPr>
            <w:tcW w:w="1620" w:type="dxa"/>
            <w:tcBorders>
              <w:top w:val="nil"/>
              <w:left w:val="nil"/>
              <w:bottom w:val="nil"/>
              <w:right w:val="nil"/>
            </w:tcBorders>
            <w:shd w:val="clear" w:color="auto" w:fill="auto"/>
          </w:tcPr>
          <w:p w14:paraId="0989220D" w14:textId="162D37E4" w:rsidR="003138A9" w:rsidRPr="00D43DC4" w:rsidRDefault="003138A9" w:rsidP="00BC3AE0">
            <w:pPr>
              <w:rPr>
                <w:vertAlign w:val="subscript"/>
                <w:lang w:val="en-GB"/>
              </w:rPr>
            </w:pPr>
            <w:proofErr w:type="spellStart"/>
            <w:r w:rsidRPr="00D43DC4">
              <w:rPr>
                <w:lang w:val="en-GB"/>
              </w:rPr>
              <w:t>R</w:t>
            </w:r>
            <w:r w:rsidRPr="00D43DC4">
              <w:rPr>
                <w:vertAlign w:val="subscript"/>
                <w:lang w:val="en-GB"/>
              </w:rPr>
              <w:t>effective</w:t>
            </w:r>
            <w:proofErr w:type="spellEnd"/>
          </w:p>
        </w:tc>
        <w:tc>
          <w:tcPr>
            <w:tcW w:w="6840" w:type="dxa"/>
            <w:tcBorders>
              <w:top w:val="nil"/>
              <w:left w:val="nil"/>
              <w:bottom w:val="nil"/>
              <w:right w:val="nil"/>
            </w:tcBorders>
            <w:shd w:val="clear" w:color="auto" w:fill="auto"/>
          </w:tcPr>
          <w:p w14:paraId="6CEBF46F" w14:textId="4B33E091" w:rsidR="003138A9" w:rsidRPr="00D43DC4" w:rsidRDefault="003138A9" w:rsidP="00BC3AE0">
            <w:pPr>
              <w:rPr>
                <w:lang w:val="en-GB"/>
              </w:rPr>
            </w:pPr>
            <w:r w:rsidRPr="00D43DC4">
              <w:rPr>
                <w:lang w:val="en-GB"/>
              </w:rPr>
              <w:t>effective reproduction number</w:t>
            </w:r>
          </w:p>
        </w:tc>
      </w:tr>
      <w:tr w:rsidR="00311012" w:rsidRPr="00D43DC4" w14:paraId="00DCC6A0" w14:textId="77777777" w:rsidTr="0058529A">
        <w:tc>
          <w:tcPr>
            <w:tcW w:w="1620" w:type="dxa"/>
            <w:tcBorders>
              <w:top w:val="nil"/>
              <w:left w:val="nil"/>
              <w:bottom w:val="nil"/>
              <w:right w:val="nil"/>
            </w:tcBorders>
            <w:shd w:val="clear" w:color="auto" w:fill="auto"/>
            <w:hideMark/>
          </w:tcPr>
          <w:p w14:paraId="07A10B5D" w14:textId="77777777" w:rsidR="00311012" w:rsidRPr="00D43DC4" w:rsidRDefault="00311012" w:rsidP="00BC3AE0">
            <w:pPr>
              <w:rPr>
                <w:rFonts w:ascii="Segoe UI" w:hAnsi="Segoe UI" w:cs="Segoe UI"/>
                <w:sz w:val="18"/>
                <w:szCs w:val="18"/>
                <w:lang w:val="en-GB"/>
              </w:rPr>
            </w:pPr>
            <w:r w:rsidRPr="00D43DC4">
              <w:rPr>
                <w:lang w:val="en-GB"/>
              </w:rPr>
              <w:t>RT-PCR </w:t>
            </w:r>
          </w:p>
        </w:tc>
        <w:tc>
          <w:tcPr>
            <w:tcW w:w="6840" w:type="dxa"/>
            <w:tcBorders>
              <w:top w:val="nil"/>
              <w:left w:val="nil"/>
              <w:bottom w:val="nil"/>
              <w:right w:val="nil"/>
            </w:tcBorders>
            <w:shd w:val="clear" w:color="auto" w:fill="auto"/>
            <w:hideMark/>
          </w:tcPr>
          <w:p w14:paraId="483DAB2D" w14:textId="77777777" w:rsidR="00311012" w:rsidRPr="00D43DC4" w:rsidRDefault="00311012" w:rsidP="00BC3AE0">
            <w:pPr>
              <w:rPr>
                <w:rFonts w:ascii="Segoe UI" w:hAnsi="Segoe UI" w:cs="Segoe UI"/>
                <w:sz w:val="18"/>
                <w:szCs w:val="18"/>
                <w:lang w:val="en-GB"/>
              </w:rPr>
            </w:pPr>
            <w:r w:rsidRPr="00D43DC4">
              <w:rPr>
                <w:lang w:val="en-GB"/>
              </w:rPr>
              <w:t>reverse transcription-polymerase chain reaction </w:t>
            </w:r>
          </w:p>
        </w:tc>
      </w:tr>
      <w:tr w:rsidR="00311012" w:rsidRPr="00D43DC4" w14:paraId="2D92E4CF" w14:textId="77777777" w:rsidTr="0058529A">
        <w:tc>
          <w:tcPr>
            <w:tcW w:w="1620" w:type="dxa"/>
            <w:tcBorders>
              <w:top w:val="nil"/>
              <w:left w:val="nil"/>
              <w:bottom w:val="nil"/>
              <w:right w:val="nil"/>
            </w:tcBorders>
            <w:shd w:val="clear" w:color="auto" w:fill="auto"/>
            <w:hideMark/>
          </w:tcPr>
          <w:p w14:paraId="30BCA378" w14:textId="77777777" w:rsidR="00311012" w:rsidRPr="00D43DC4" w:rsidRDefault="00311012" w:rsidP="00BC3AE0">
            <w:pPr>
              <w:rPr>
                <w:rFonts w:ascii="Segoe UI" w:hAnsi="Segoe UI" w:cs="Segoe UI"/>
                <w:sz w:val="18"/>
                <w:szCs w:val="18"/>
                <w:lang w:val="en-GB"/>
              </w:rPr>
            </w:pPr>
            <w:r w:rsidRPr="00D43DC4">
              <w:rPr>
                <w:lang w:val="en-GB"/>
              </w:rPr>
              <w:t>SARS-CoV-2 </w:t>
            </w:r>
          </w:p>
        </w:tc>
        <w:tc>
          <w:tcPr>
            <w:tcW w:w="6840" w:type="dxa"/>
            <w:tcBorders>
              <w:top w:val="nil"/>
              <w:left w:val="nil"/>
              <w:bottom w:val="nil"/>
              <w:right w:val="nil"/>
            </w:tcBorders>
            <w:shd w:val="clear" w:color="auto" w:fill="auto"/>
            <w:hideMark/>
          </w:tcPr>
          <w:p w14:paraId="4FD8070A" w14:textId="77777777" w:rsidR="00311012" w:rsidRPr="00D43DC4" w:rsidRDefault="00311012" w:rsidP="00BC3AE0">
            <w:pPr>
              <w:rPr>
                <w:rFonts w:ascii="Segoe UI" w:hAnsi="Segoe UI" w:cs="Segoe UI"/>
                <w:sz w:val="18"/>
                <w:szCs w:val="18"/>
                <w:lang w:val="en-GB"/>
              </w:rPr>
            </w:pPr>
            <w:r w:rsidRPr="00D43DC4">
              <w:rPr>
                <w:lang w:val="en-GB"/>
              </w:rPr>
              <w:t>severe acute respiratory syndrome coronavirus 2 </w:t>
            </w:r>
          </w:p>
        </w:tc>
      </w:tr>
      <w:tr w:rsidR="002B6CFB" w:rsidRPr="00D43DC4" w14:paraId="30C6161C" w14:textId="77777777" w:rsidTr="0058529A">
        <w:tc>
          <w:tcPr>
            <w:tcW w:w="1620" w:type="dxa"/>
            <w:tcBorders>
              <w:top w:val="nil"/>
              <w:left w:val="nil"/>
              <w:bottom w:val="nil"/>
              <w:right w:val="nil"/>
            </w:tcBorders>
            <w:shd w:val="clear" w:color="auto" w:fill="auto"/>
          </w:tcPr>
          <w:p w14:paraId="169A5BEB" w14:textId="59AAE553" w:rsidR="002B6CFB" w:rsidRPr="00D43DC4" w:rsidRDefault="730A7C1F" w:rsidP="00BC3AE0">
            <w:pPr>
              <w:rPr>
                <w:lang w:val="en-GB"/>
              </w:rPr>
            </w:pPr>
            <w:r w:rsidRPr="6183920F">
              <w:rPr>
                <w:lang w:val="en-GB"/>
              </w:rPr>
              <w:t>SEI</w:t>
            </w:r>
          </w:p>
        </w:tc>
        <w:tc>
          <w:tcPr>
            <w:tcW w:w="6840" w:type="dxa"/>
            <w:tcBorders>
              <w:top w:val="nil"/>
              <w:left w:val="nil"/>
              <w:bottom w:val="nil"/>
              <w:right w:val="nil"/>
            </w:tcBorders>
            <w:shd w:val="clear" w:color="auto" w:fill="auto"/>
          </w:tcPr>
          <w:p w14:paraId="3AC4F3B4" w14:textId="5D62FBF2" w:rsidR="002B6CFB" w:rsidRPr="00D43DC4" w:rsidRDefault="21E3C6AD" w:rsidP="00BC3AE0">
            <w:pPr>
              <w:rPr>
                <w:lang w:val="en-GB"/>
              </w:rPr>
            </w:pPr>
            <w:r w:rsidRPr="00D43DC4">
              <w:rPr>
                <w:lang w:val="en-GB"/>
              </w:rPr>
              <w:t>s</w:t>
            </w:r>
            <w:r w:rsidR="002B6CFB" w:rsidRPr="00D43DC4">
              <w:rPr>
                <w:lang w:val="en-GB"/>
              </w:rPr>
              <w:t>usceptible</w:t>
            </w:r>
            <w:r w:rsidR="436EE568" w:rsidRPr="00D43DC4">
              <w:rPr>
                <w:lang w:val="en-GB"/>
              </w:rPr>
              <w:t>-e</w:t>
            </w:r>
            <w:r w:rsidR="002B6CFB" w:rsidRPr="00D43DC4">
              <w:rPr>
                <w:lang w:val="en-GB"/>
              </w:rPr>
              <w:t>xposed</w:t>
            </w:r>
            <w:r w:rsidR="23504A77" w:rsidRPr="00D43DC4">
              <w:rPr>
                <w:lang w:val="en-GB"/>
              </w:rPr>
              <w:t>-i</w:t>
            </w:r>
            <w:r w:rsidR="002B6CFB" w:rsidRPr="00D43DC4">
              <w:rPr>
                <w:lang w:val="en-GB"/>
              </w:rPr>
              <w:t>nfectious</w:t>
            </w:r>
          </w:p>
        </w:tc>
      </w:tr>
      <w:tr w:rsidR="00311012" w:rsidRPr="00D43DC4" w14:paraId="0FF96E02" w14:textId="77777777" w:rsidTr="0058529A">
        <w:tc>
          <w:tcPr>
            <w:tcW w:w="1620" w:type="dxa"/>
            <w:tcBorders>
              <w:top w:val="nil"/>
              <w:left w:val="nil"/>
              <w:bottom w:val="nil"/>
              <w:right w:val="nil"/>
            </w:tcBorders>
            <w:shd w:val="clear" w:color="auto" w:fill="auto"/>
            <w:hideMark/>
          </w:tcPr>
          <w:p w14:paraId="7760B702" w14:textId="77777777" w:rsidR="00311012" w:rsidRPr="00D43DC4" w:rsidRDefault="00311012" w:rsidP="00BC3AE0">
            <w:pPr>
              <w:rPr>
                <w:rFonts w:ascii="Segoe UI" w:hAnsi="Segoe UI" w:cs="Segoe UI"/>
                <w:sz w:val="18"/>
                <w:szCs w:val="18"/>
                <w:lang w:val="en-GB"/>
              </w:rPr>
            </w:pPr>
            <w:r w:rsidRPr="00D43DC4">
              <w:rPr>
                <w:lang w:val="en-GB"/>
              </w:rPr>
              <w:t>UI </w:t>
            </w:r>
          </w:p>
        </w:tc>
        <w:tc>
          <w:tcPr>
            <w:tcW w:w="6840" w:type="dxa"/>
            <w:tcBorders>
              <w:top w:val="nil"/>
              <w:left w:val="nil"/>
              <w:bottom w:val="nil"/>
              <w:right w:val="nil"/>
            </w:tcBorders>
            <w:shd w:val="clear" w:color="auto" w:fill="auto"/>
            <w:hideMark/>
          </w:tcPr>
          <w:p w14:paraId="5459B173" w14:textId="77777777" w:rsidR="00311012" w:rsidRPr="00D43DC4" w:rsidRDefault="00311012" w:rsidP="00BC3AE0">
            <w:pPr>
              <w:rPr>
                <w:rFonts w:ascii="Segoe UI" w:hAnsi="Segoe UI" w:cs="Segoe UI"/>
                <w:sz w:val="18"/>
                <w:szCs w:val="18"/>
                <w:lang w:val="en-GB"/>
              </w:rPr>
            </w:pPr>
            <w:r w:rsidRPr="00D43DC4">
              <w:rPr>
                <w:lang w:val="en-GB"/>
              </w:rPr>
              <w:t>uncertainty interval </w:t>
            </w:r>
          </w:p>
        </w:tc>
      </w:tr>
      <w:tr w:rsidR="00311012" w:rsidRPr="00D43DC4" w14:paraId="20A13795" w14:textId="77777777" w:rsidTr="0058529A">
        <w:tc>
          <w:tcPr>
            <w:tcW w:w="1620" w:type="dxa"/>
            <w:tcBorders>
              <w:top w:val="nil"/>
              <w:left w:val="nil"/>
              <w:bottom w:val="nil"/>
              <w:right w:val="nil"/>
            </w:tcBorders>
            <w:shd w:val="clear" w:color="auto" w:fill="auto"/>
            <w:hideMark/>
          </w:tcPr>
          <w:p w14:paraId="6EFE0569" w14:textId="77777777" w:rsidR="00311012" w:rsidRPr="00D43DC4" w:rsidRDefault="00311012" w:rsidP="00BC3AE0">
            <w:pPr>
              <w:rPr>
                <w:rFonts w:ascii="Segoe UI" w:hAnsi="Segoe UI" w:cs="Segoe UI"/>
                <w:sz w:val="18"/>
                <w:szCs w:val="18"/>
                <w:lang w:val="en-GB"/>
              </w:rPr>
            </w:pPr>
            <w:r w:rsidRPr="00D43DC4">
              <w:rPr>
                <w:lang w:val="en-GB"/>
              </w:rPr>
              <w:t>WHO </w:t>
            </w:r>
          </w:p>
        </w:tc>
        <w:tc>
          <w:tcPr>
            <w:tcW w:w="6840" w:type="dxa"/>
            <w:tcBorders>
              <w:top w:val="nil"/>
              <w:left w:val="nil"/>
              <w:bottom w:val="nil"/>
              <w:right w:val="nil"/>
            </w:tcBorders>
            <w:shd w:val="clear" w:color="auto" w:fill="auto"/>
            <w:hideMark/>
          </w:tcPr>
          <w:p w14:paraId="22228050" w14:textId="77777777" w:rsidR="00311012" w:rsidRPr="00D43DC4" w:rsidRDefault="00311012" w:rsidP="00BC3AE0">
            <w:pPr>
              <w:rPr>
                <w:rFonts w:ascii="Segoe UI" w:hAnsi="Segoe UI" w:cs="Segoe UI"/>
                <w:sz w:val="18"/>
                <w:szCs w:val="18"/>
                <w:lang w:val="en-GB"/>
              </w:rPr>
            </w:pPr>
            <w:r w:rsidRPr="00D43DC4">
              <w:rPr>
                <w:lang w:val="en-GB"/>
              </w:rPr>
              <w:t>World Health Organization </w:t>
            </w:r>
          </w:p>
        </w:tc>
      </w:tr>
    </w:tbl>
    <w:p w14:paraId="4E8421D9" w14:textId="63DE23A5" w:rsidR="00311012" w:rsidRPr="00D43DC4" w:rsidRDefault="00311012" w:rsidP="00BC3AE0">
      <w:pPr>
        <w:rPr>
          <w:lang w:val="en-GB"/>
        </w:rPr>
      </w:pPr>
    </w:p>
    <w:p w14:paraId="4106C997" w14:textId="77777777" w:rsidR="00EB0243" w:rsidRDefault="00EB0243">
      <w:pPr>
        <w:rPr>
          <w:rFonts w:eastAsiaTheme="majorEastAsia"/>
          <w:color w:val="2E74B5" w:themeColor="accent1" w:themeShade="BF"/>
          <w:sz w:val="24"/>
          <w:szCs w:val="32"/>
          <w:lang w:val="en-GB"/>
        </w:rPr>
      </w:pPr>
      <w:bookmarkStart w:id="10" w:name="_Toc76653781"/>
      <w:bookmarkStart w:id="11" w:name="_Toc76726249"/>
      <w:bookmarkStart w:id="12" w:name="_Toc76727557"/>
      <w:bookmarkStart w:id="13" w:name="_Toc76840477"/>
      <w:r>
        <w:rPr>
          <w:lang w:val="en-GB"/>
        </w:rPr>
        <w:br w:type="page"/>
      </w:r>
    </w:p>
    <w:p w14:paraId="4F167274" w14:textId="3C0D4702" w:rsidR="00626D65" w:rsidRPr="00BC3AE0" w:rsidRDefault="36022CD7" w:rsidP="00BC3AE0">
      <w:pPr>
        <w:pStyle w:val="Heading1"/>
        <w:rPr>
          <w:lang w:val="en-GB"/>
        </w:rPr>
      </w:pPr>
      <w:bookmarkStart w:id="14" w:name="_Toc104245005"/>
      <w:bookmarkStart w:id="15" w:name="_Toc104249320"/>
      <w:bookmarkStart w:id="16" w:name="_Toc104252048"/>
      <w:bookmarkStart w:id="17" w:name="_Toc124499457"/>
      <w:r w:rsidRPr="00BC3AE0">
        <w:rPr>
          <w:lang w:val="en-GB"/>
        </w:rPr>
        <w:lastRenderedPageBreak/>
        <w:t>Guidelines for Accurate and Transparent Health Estimates Reporting (GATHER)</w:t>
      </w:r>
      <w:bookmarkEnd w:id="10"/>
      <w:bookmarkEnd w:id="11"/>
      <w:bookmarkEnd w:id="12"/>
      <w:bookmarkEnd w:id="13"/>
      <w:bookmarkEnd w:id="14"/>
      <w:bookmarkEnd w:id="15"/>
      <w:bookmarkEnd w:id="16"/>
      <w:bookmarkEnd w:id="17"/>
    </w:p>
    <w:p w14:paraId="6469DAC9" w14:textId="05A6259F" w:rsidR="00487295" w:rsidRPr="00D43DC4" w:rsidRDefault="00487295" w:rsidP="00BC3AE0">
      <w:pPr>
        <w:rPr>
          <w:lang w:val="en-GB"/>
        </w:rPr>
      </w:pPr>
      <w:r w:rsidRPr="00D43DC4">
        <w:rPr>
          <w:lang w:val="en-GB"/>
        </w:rPr>
        <w:t>This study complies with GATHER recommendations.</w:t>
      </w:r>
      <w:r w:rsidRPr="00D43DC4">
        <w:rPr>
          <w:color w:val="2B579A"/>
          <w:shd w:val="clear" w:color="auto" w:fill="E6E6E6"/>
          <w:lang w:val="en-GB"/>
        </w:rPr>
        <w:fldChar w:fldCharType="begin"/>
      </w:r>
      <w:r w:rsidR="004876B1">
        <w:rPr>
          <w:lang w:val="en-GB"/>
        </w:rPr>
        <w:instrText xml:space="preserve"> ADDIN ZOTERO_ITEM CSL_CITATION {"citationID":"82QzEVMF","properties":{"formattedCitation":"\\super 3\\nosupersub{}","plainCitation":"3","noteIndex":0},"citationItems":[{"id":971,"uris":["http://zotero.org/groups/2154524/items/67ENYA8N"],"itemData":{"id":971,"type":"article-journal","abstract":"&lt;h2&gt;Summary&lt;/h2&gt;&lt;p&gt;Measurements of health indicators are rarely available for every population and period of interest, and available data may not be comparable. The Guidelines for Accurate and Transparent Health Estimates Reporting (GATHER) define best reporting practices for studies that calculate health estimates for multiple populations (in time or space) using multiple information sources. Health estimates that fall within the scope of GATHER include all quantitative population-level estimates (including global, regional, national, or subnational estimates) of health indicators, including indicators of health status, incidence and prevalence of diseases, injuries, and disability and functioning; and indicators of health determinants, including health behaviours and health exposures. GATHER comprises a checklist of 18 items that are essential for best reporting practice. A more detailed explanation and elaboration document, describing the interpretation and rationale of each reporting item along with examples of good reporting, is available on the GATHER website.&lt;/p&gt;","container-title":"Lancet","DOI":"10.1016/S0140-6736(16)30388-9","ISSN":"0140-6736, 1474-547X","issue":"10062","journalAbbreviation":"Lancet","language":"English","note":"publisher: Elsevier\nPMID: 27371184","page":"e19-e23","source":"www.thelancet.com","title":"Guidelines for Accurate and Transparent Health Estimates Reporting: the GATHER statement","title-short":"Guidelines for Accurate and Transparent Health Estimates Reporting","volume":"388","author":[{"family":"Stevens","given":"Gretchen A."},{"family":"Alkema","given":"Leontine"},{"family":"Black","given":"Robert E."},{"family":"Boerma","given":"J. Ties"},{"family":"Collins","given":"Gary S."},{"family":"Ezzati","given":"Majid"},{"family":"Grove","given":"John T."},{"family":"Hogan","given":"Daniel R."},{"family":"Hogan","given":"Margaret C."},{"family":"Horton","given":"Richard"},{"family":"Lawn","given":"Joy E."},{"family":"Marušić","given":"Ana"},{"family":"Mathers","given":"Colin D."},{"family":"Murray","given":"Christopher J. L."},{"family":"Rudan","given":"Igor"},{"family":"Salomon","given":"Joshua A."},{"family":"Simpson","given":"Paul J."},{"family":"Vos","given":"Theo"},{"family":"Welch","given":"Vivian"}],"issued":{"date-parts":[["2016",12,10]]}}}],"schema":"https://github.com/citation-style-language/schema/raw/master/csl-citation.json"} </w:instrText>
      </w:r>
      <w:r w:rsidRPr="00D43DC4">
        <w:rPr>
          <w:color w:val="2B579A"/>
          <w:shd w:val="clear" w:color="auto" w:fill="E6E6E6"/>
          <w:lang w:val="en-GB"/>
        </w:rPr>
        <w:fldChar w:fldCharType="separate"/>
      </w:r>
      <w:r w:rsidR="00850D87" w:rsidRPr="00850D87">
        <w:rPr>
          <w:sz w:val="22"/>
          <w:szCs w:val="24"/>
          <w:vertAlign w:val="superscript"/>
        </w:rPr>
        <w:t>3</w:t>
      </w:r>
      <w:r w:rsidRPr="00D43DC4">
        <w:rPr>
          <w:color w:val="2B579A"/>
          <w:shd w:val="clear" w:color="auto" w:fill="E6E6E6"/>
          <w:lang w:val="en-GB"/>
        </w:rPr>
        <w:fldChar w:fldCharType="end"/>
      </w:r>
      <w:r w:rsidRPr="00D43DC4">
        <w:rPr>
          <w:lang w:val="en-GB"/>
        </w:rPr>
        <w:t xml:space="preserve"> We have documented the steps in our analytical procedures and detailed the data sources used. See table S1 for the GATHER checklist. The GATHER recommendations can be found on the </w:t>
      </w:r>
      <w:hyperlink r:id="rId11" w:history="1">
        <w:r w:rsidRPr="00D43DC4">
          <w:rPr>
            <w:rStyle w:val="Hyperlink"/>
            <w:lang w:val="en-GB"/>
          </w:rPr>
          <w:t>GATHER website</w:t>
        </w:r>
      </w:hyperlink>
      <w:r w:rsidRPr="00D43DC4">
        <w:rPr>
          <w:lang w:val="en-GB"/>
        </w:rPr>
        <w:t xml:space="preserve">. </w:t>
      </w:r>
    </w:p>
    <w:p w14:paraId="31C9153F" w14:textId="15B4B0F5" w:rsidR="00DF6E6A" w:rsidRPr="00D43DC4" w:rsidRDefault="00DF6E6A" w:rsidP="00E93D6A">
      <w:pPr>
        <w:pStyle w:val="Table"/>
      </w:pPr>
      <w:bookmarkStart w:id="18" w:name="_Toc76653782"/>
      <w:bookmarkStart w:id="19" w:name="_Toc76726250"/>
      <w:bookmarkStart w:id="20" w:name="_Toc76727558"/>
      <w:bookmarkStart w:id="21" w:name="_Toc104245006"/>
      <w:bookmarkStart w:id="22" w:name="_Toc104249321"/>
      <w:bookmarkStart w:id="23" w:name="_Toc104252049"/>
      <w:bookmarkStart w:id="24" w:name="_Toc124499458"/>
      <w:bookmarkStart w:id="25" w:name="_Toc76457825"/>
      <w:bookmarkStart w:id="26" w:name="_Toc76653783"/>
      <w:bookmarkEnd w:id="7"/>
      <w:r w:rsidRPr="00D43DC4">
        <w:t>GATHER checklist</w:t>
      </w:r>
      <w:bookmarkEnd w:id="18"/>
      <w:bookmarkEnd w:id="19"/>
      <w:bookmarkEnd w:id="20"/>
      <w:bookmarkEnd w:id="21"/>
      <w:bookmarkEnd w:id="22"/>
      <w:bookmarkEnd w:id="23"/>
      <w:bookmarkEnd w:id="24"/>
    </w:p>
    <w:tbl>
      <w:tblPr>
        <w:tblStyle w:val="TableGrid"/>
        <w:tblW w:w="0" w:type="auto"/>
        <w:tblLayout w:type="fixed"/>
        <w:tblLook w:val="0000" w:firstRow="0" w:lastRow="0" w:firstColumn="0" w:lastColumn="0" w:noHBand="0" w:noVBand="0"/>
      </w:tblPr>
      <w:tblGrid>
        <w:gridCol w:w="750"/>
        <w:gridCol w:w="5265"/>
        <w:gridCol w:w="3315"/>
      </w:tblGrid>
      <w:tr w:rsidR="00DF6E6A" w:rsidRPr="00BC3AE0" w14:paraId="35167B13" w14:textId="77777777" w:rsidTr="5F941F9E">
        <w:tc>
          <w:tcPr>
            <w:tcW w:w="750"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14:paraId="3B8467F3" w14:textId="0846A065" w:rsidR="00DF6E6A" w:rsidRPr="00BC3AE0" w:rsidRDefault="00DF6E6A" w:rsidP="00BC3AE0">
            <w:pPr>
              <w:pStyle w:val="Tabletext"/>
            </w:pPr>
            <w:r w:rsidRPr="00BC3AE0">
              <w:t>Item #</w:t>
            </w:r>
          </w:p>
        </w:tc>
        <w:tc>
          <w:tcPr>
            <w:tcW w:w="5265"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14:paraId="0FD93B79" w14:textId="3EEA71F4" w:rsidR="00DF6E6A" w:rsidRPr="00BC3AE0" w:rsidRDefault="00DF6E6A" w:rsidP="00BC3AE0">
            <w:pPr>
              <w:pStyle w:val="Tabletext"/>
            </w:pPr>
            <w:r w:rsidRPr="00BC3AE0">
              <w:t>Checklist item</w:t>
            </w:r>
          </w:p>
        </w:tc>
        <w:tc>
          <w:tcPr>
            <w:tcW w:w="3315"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565DD23F" w14:textId="24E6E80C" w:rsidR="00DF6E6A" w:rsidRPr="00BC3AE0" w:rsidRDefault="00DF6E6A" w:rsidP="00BC3AE0">
            <w:pPr>
              <w:pStyle w:val="Tabletext"/>
            </w:pPr>
            <w:r w:rsidRPr="00BC3AE0">
              <w:t>Reported location</w:t>
            </w:r>
          </w:p>
        </w:tc>
      </w:tr>
      <w:tr w:rsidR="00DF6E6A" w:rsidRPr="00BC3AE0" w14:paraId="3A45A96B" w14:textId="77777777" w:rsidTr="5F941F9E">
        <w:tc>
          <w:tcPr>
            <w:tcW w:w="9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49FF895C" w14:textId="56BF19F1" w:rsidR="00DF6E6A" w:rsidRPr="00BC3AE0" w:rsidRDefault="00DF6E6A" w:rsidP="00BC3AE0">
            <w:pPr>
              <w:pStyle w:val="Tabletext"/>
            </w:pPr>
            <w:r w:rsidRPr="00BC3AE0">
              <w:t>Objectives and funding</w:t>
            </w:r>
          </w:p>
        </w:tc>
      </w:tr>
      <w:tr w:rsidR="00DF6E6A" w:rsidRPr="00BC3AE0" w14:paraId="49B08B8E"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FF6C6F" w14:textId="64840FFB" w:rsidR="00DF6E6A" w:rsidRPr="00BC3AE0" w:rsidRDefault="00DF6E6A" w:rsidP="00BC3AE0">
            <w:pPr>
              <w:pStyle w:val="Tabletext"/>
            </w:pPr>
            <w:r w:rsidRPr="00BC3AE0">
              <w:t>1</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48C244" w14:textId="106B5611" w:rsidR="00DF6E6A" w:rsidRPr="00BC3AE0" w:rsidRDefault="00DF6E6A" w:rsidP="00BC3AE0">
            <w:pPr>
              <w:pStyle w:val="Tabletext"/>
            </w:pPr>
            <w:r w:rsidRPr="00BC3AE0">
              <w:t>Define the indicator(s), populations (including age, sex, and geographic entities), and time period(s) for which estimates were made.</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2BBC9B" w14:textId="503A2983" w:rsidR="00DF6E6A" w:rsidRPr="00BC3AE0" w:rsidRDefault="00DF6E6A" w:rsidP="00BC3AE0">
            <w:pPr>
              <w:pStyle w:val="Tabletext"/>
            </w:pPr>
            <w:r>
              <w:t>Main text methods: “time periods, locations, age groups, and outcome measures”</w:t>
            </w:r>
          </w:p>
        </w:tc>
      </w:tr>
      <w:tr w:rsidR="00DF6E6A" w:rsidRPr="00BC3AE0" w14:paraId="76F4970A"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6292AC" w14:textId="58D1B6C7" w:rsidR="00DF6E6A" w:rsidRPr="00BC3AE0" w:rsidRDefault="00DF6E6A" w:rsidP="00BC3AE0">
            <w:pPr>
              <w:pStyle w:val="Tabletext"/>
            </w:pPr>
            <w:r w:rsidRPr="00BC3AE0">
              <w:t>2</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0D1DF0" w14:textId="78FDBE6D" w:rsidR="00DF6E6A" w:rsidRPr="00BC3AE0" w:rsidRDefault="00DF6E6A" w:rsidP="00BC3AE0">
            <w:pPr>
              <w:pStyle w:val="Tabletext"/>
            </w:pPr>
            <w:r w:rsidRPr="00BC3AE0">
              <w:t>List the funding sources for the work.</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8A916" w14:textId="27E71D76" w:rsidR="00DF6E6A" w:rsidRPr="00BC3AE0" w:rsidRDefault="00DF6E6A" w:rsidP="00BC3AE0">
            <w:pPr>
              <w:pStyle w:val="Tabletext"/>
            </w:pPr>
            <w:r w:rsidRPr="00BC3AE0">
              <w:t>Main text summary</w:t>
            </w:r>
            <w:r>
              <w:t xml:space="preserve"> &amp; acknowledgments</w:t>
            </w:r>
          </w:p>
        </w:tc>
      </w:tr>
      <w:tr w:rsidR="00DF6E6A" w:rsidRPr="00BC3AE0" w14:paraId="77950D91" w14:textId="77777777" w:rsidTr="5F941F9E">
        <w:tc>
          <w:tcPr>
            <w:tcW w:w="9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4717AA0D" w14:textId="398B5AF9" w:rsidR="00DF6E6A" w:rsidRPr="00BC3AE0" w:rsidRDefault="00DF6E6A" w:rsidP="00BC3AE0">
            <w:pPr>
              <w:pStyle w:val="Tabletext"/>
            </w:pPr>
            <w:r w:rsidRPr="00BC3AE0">
              <w:t>Data Inputs</w:t>
            </w:r>
          </w:p>
        </w:tc>
      </w:tr>
      <w:tr w:rsidR="00DF6E6A" w:rsidRPr="00BC3AE0" w14:paraId="4416948B" w14:textId="77777777" w:rsidTr="5F941F9E">
        <w:tc>
          <w:tcPr>
            <w:tcW w:w="9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EC3557D" w14:textId="425685DE" w:rsidR="00DF6E6A" w:rsidRPr="00BC3AE0" w:rsidRDefault="00DF6E6A" w:rsidP="00BC3AE0">
            <w:pPr>
              <w:pStyle w:val="Tabletext"/>
            </w:pPr>
            <w:r w:rsidRPr="00BC3AE0">
              <w:t xml:space="preserve"> For all data inputs from multiple sources that are synthesized as part of the study:</w:t>
            </w:r>
          </w:p>
        </w:tc>
      </w:tr>
      <w:tr w:rsidR="00DF6E6A" w:rsidRPr="00BC3AE0" w14:paraId="650FA0AD" w14:textId="77777777" w:rsidTr="5F941F9E">
        <w:trPr>
          <w:trHeight w:val="675"/>
        </w:trPr>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7D32E3" w14:textId="07B406FD" w:rsidR="00DF6E6A" w:rsidRPr="00BC3AE0" w:rsidRDefault="00DF6E6A" w:rsidP="00BC3AE0">
            <w:pPr>
              <w:pStyle w:val="Tabletext"/>
            </w:pPr>
            <w:r w:rsidRPr="00BC3AE0">
              <w:t>3</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A8699E" w14:textId="729852A9" w:rsidR="00DF6E6A" w:rsidRPr="00BC3AE0" w:rsidRDefault="00DF6E6A" w:rsidP="00BC3AE0">
            <w:pPr>
              <w:pStyle w:val="Tabletext"/>
            </w:pPr>
            <w:r w:rsidRPr="00BC3AE0">
              <w:t xml:space="preserve">Describe how the data were identified and how the data were accessed.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D392DE" w14:textId="07449956" w:rsidR="00DF6E6A" w:rsidRPr="00BC3AE0" w:rsidRDefault="00DF6E6A" w:rsidP="00BC3AE0">
            <w:pPr>
              <w:pStyle w:val="Tabletext"/>
            </w:pPr>
            <w:r>
              <w:t>Main text methods “estimating and forecasting key model drivers”; detailed in appendix 1, sections 4, and data source sections within section 6</w:t>
            </w:r>
          </w:p>
        </w:tc>
      </w:tr>
      <w:tr w:rsidR="00DF6E6A" w:rsidRPr="00BC3AE0" w14:paraId="5B5DB2F4"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66B38C" w14:textId="06F73679" w:rsidR="00DF6E6A" w:rsidRPr="00BC3AE0" w:rsidRDefault="00DF6E6A" w:rsidP="00BC3AE0">
            <w:pPr>
              <w:pStyle w:val="Tabletext"/>
            </w:pPr>
            <w:r w:rsidRPr="00BC3AE0">
              <w:t>4</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582C6C" w14:textId="6CB82D79" w:rsidR="00DF6E6A" w:rsidRPr="00BC3AE0" w:rsidRDefault="00DF6E6A" w:rsidP="00BC3AE0">
            <w:pPr>
              <w:pStyle w:val="Tabletext"/>
            </w:pPr>
            <w:r w:rsidRPr="00BC3AE0">
              <w:t>Specify the inclusion and exclusion criteria. Identify all ad-hoc exclusions.</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24D6B2" w14:textId="13302C4B" w:rsidR="00DF6E6A" w:rsidRPr="00BC3AE0" w:rsidRDefault="648273B0" w:rsidP="00BC3AE0">
            <w:pPr>
              <w:pStyle w:val="Tabletext"/>
              <w:rPr>
                <w:rFonts w:eastAsia="Calibri"/>
              </w:rPr>
            </w:pPr>
            <w:r>
              <w:t>Appendix 1</w:t>
            </w:r>
          </w:p>
        </w:tc>
      </w:tr>
      <w:tr w:rsidR="00DF6E6A" w:rsidRPr="00BC3AE0" w14:paraId="7A331488"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C93FA0" w14:textId="41391BCD" w:rsidR="00DF6E6A" w:rsidRPr="00BC3AE0" w:rsidRDefault="00DF6E6A" w:rsidP="00BC3AE0">
            <w:pPr>
              <w:pStyle w:val="Tabletext"/>
            </w:pPr>
            <w:r w:rsidRPr="00BC3AE0">
              <w:t>5</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6FAB37" w14:textId="2DC64E77" w:rsidR="00DF6E6A" w:rsidRPr="00BC3AE0" w:rsidRDefault="00DF6E6A" w:rsidP="00BC3AE0">
            <w:pPr>
              <w:pStyle w:val="Tabletext"/>
            </w:pPr>
            <w:r w:rsidRPr="00BC3AE0">
              <w:t xml:space="preserve">Provide information on all included data sources and their main characteristics. For each data source used, report reference information or contact name/institution, population represented, data collection method, year(s) of data collection, sex and age range, diagnostic criteria or measurement method, and sample size, as relevant.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C381E" w14:textId="11600191" w:rsidR="00DF6E6A" w:rsidRPr="00BC3AE0" w:rsidRDefault="00DF6E6A" w:rsidP="00BC3AE0">
            <w:pPr>
              <w:pStyle w:val="Tabletext"/>
            </w:pPr>
            <w:r>
              <w:t>Appendix 1, section 4; appendix 2; link to GHDx will be added at acceptance.</w:t>
            </w:r>
          </w:p>
        </w:tc>
      </w:tr>
      <w:tr w:rsidR="00DF6E6A" w:rsidRPr="00BC3AE0" w14:paraId="64ACEE8B"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F988CA" w14:textId="5A4BC153" w:rsidR="00DF6E6A" w:rsidRPr="00BC3AE0" w:rsidRDefault="00DF6E6A" w:rsidP="00BC3AE0">
            <w:pPr>
              <w:pStyle w:val="Tabletext"/>
            </w:pPr>
            <w:r w:rsidRPr="00BC3AE0">
              <w:t>6</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4A859B" w14:textId="6C922DF8" w:rsidR="00DF6E6A" w:rsidRPr="00BC3AE0" w:rsidRDefault="00DF6E6A" w:rsidP="00BC3AE0">
            <w:pPr>
              <w:pStyle w:val="Tabletext"/>
            </w:pPr>
            <w:r w:rsidRPr="00BC3AE0">
              <w:t>Identify and describe any categories of input data that have potentially important biases (e.g., based on characteristics listed in item 5).</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A401E" w14:textId="5118BB61" w:rsidR="00DF6E6A" w:rsidRPr="00BC3AE0" w:rsidRDefault="648273B0" w:rsidP="00BC3AE0">
            <w:pPr>
              <w:pStyle w:val="Tabletext"/>
              <w:rPr>
                <w:rFonts w:eastAsia="Calibri"/>
              </w:rPr>
            </w:pPr>
            <w:r>
              <w:t>Appendix 1, section 6; main text limitations section</w:t>
            </w:r>
          </w:p>
        </w:tc>
      </w:tr>
      <w:tr w:rsidR="00DF6E6A" w:rsidRPr="00BC3AE0" w14:paraId="36433C52" w14:textId="77777777" w:rsidTr="5F941F9E">
        <w:tc>
          <w:tcPr>
            <w:tcW w:w="9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C96BA82" w14:textId="05B011DC" w:rsidR="00DF6E6A" w:rsidRPr="00BC3AE0" w:rsidRDefault="00DF6E6A" w:rsidP="00BC3AE0">
            <w:pPr>
              <w:pStyle w:val="Tabletext"/>
            </w:pPr>
            <w:r w:rsidRPr="00BC3AE0">
              <w:t xml:space="preserve"> For data inputs that contribute to the analysis but were not synthesized as part of the study:</w:t>
            </w:r>
          </w:p>
        </w:tc>
      </w:tr>
      <w:tr w:rsidR="00DF6E6A" w:rsidRPr="00BC3AE0" w14:paraId="60C08564"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B00BEC" w14:textId="200A2EC9" w:rsidR="00DF6E6A" w:rsidRPr="00BC3AE0" w:rsidRDefault="00DF6E6A" w:rsidP="00BC3AE0">
            <w:pPr>
              <w:pStyle w:val="Tabletext"/>
            </w:pPr>
            <w:r w:rsidRPr="00BC3AE0">
              <w:t>7</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10AD57" w14:textId="42D4F814" w:rsidR="00DF6E6A" w:rsidRPr="00BC3AE0" w:rsidRDefault="00DF6E6A" w:rsidP="00BC3AE0">
            <w:pPr>
              <w:pStyle w:val="Tabletext"/>
            </w:pPr>
            <w:r w:rsidRPr="00BC3AE0">
              <w:t xml:space="preserve">Describe and give sources for any other data inputs.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34229" w14:textId="3AD7F0F8" w:rsidR="00DF6E6A" w:rsidRPr="00BC3AE0" w:rsidRDefault="648273B0" w:rsidP="00BC3AE0">
            <w:pPr>
              <w:pStyle w:val="Tabletext"/>
              <w:rPr>
                <w:rFonts w:eastAsia="Calibri"/>
              </w:rPr>
            </w:pPr>
            <w:r>
              <w:t>N/A</w:t>
            </w:r>
          </w:p>
        </w:tc>
      </w:tr>
      <w:tr w:rsidR="00DF6E6A" w:rsidRPr="00BC3AE0" w14:paraId="55166E07" w14:textId="77777777" w:rsidTr="5F941F9E">
        <w:tc>
          <w:tcPr>
            <w:tcW w:w="9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4482D5C" w14:textId="65DC8758" w:rsidR="00DF6E6A" w:rsidRPr="00BC3AE0" w:rsidRDefault="00DF6E6A" w:rsidP="00BC3AE0">
            <w:pPr>
              <w:pStyle w:val="Tabletext"/>
            </w:pPr>
            <w:r w:rsidRPr="00BC3AE0">
              <w:t xml:space="preserve"> For all data inputs:</w:t>
            </w:r>
          </w:p>
        </w:tc>
      </w:tr>
      <w:tr w:rsidR="00DF6E6A" w:rsidRPr="00BC3AE0" w14:paraId="6597D9A0"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FB7803" w14:textId="57186184" w:rsidR="00DF6E6A" w:rsidRPr="00BC3AE0" w:rsidRDefault="00DF6E6A" w:rsidP="00BC3AE0">
            <w:pPr>
              <w:pStyle w:val="Tabletext"/>
            </w:pPr>
            <w:r w:rsidRPr="00BC3AE0">
              <w:t>8</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978DEC" w14:textId="61CC2CF9" w:rsidR="00DF6E6A" w:rsidRPr="00BC3AE0" w:rsidRDefault="00DF6E6A" w:rsidP="00BC3AE0">
            <w:pPr>
              <w:pStyle w:val="Tabletext"/>
            </w:pPr>
            <w:r w:rsidRPr="00BC3AE0">
              <w:t>Provide all data inputs in a file format from which data can be efficiently extracted (e.g., a spreadsheet rather than a PDF), including all relevant meta-data listed in item 5. For any data inputs that cannot be shared because of ethical or legal reasons, such as third-party ownership, provide a contact name or the name of the institution that retains the right to the data.</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B1FDF" w14:textId="01B6C9DA" w:rsidR="00DF6E6A" w:rsidRPr="00BC3AE0" w:rsidRDefault="648273B0" w:rsidP="00BC3AE0">
            <w:pPr>
              <w:pStyle w:val="Tabletext"/>
              <w:rPr>
                <w:rFonts w:eastAsia="Calibri"/>
              </w:rPr>
            </w:pPr>
            <w:r>
              <w:t>GHDx URL will be added at acceptance; all data inputs can be downloaded there</w:t>
            </w:r>
          </w:p>
        </w:tc>
      </w:tr>
      <w:tr w:rsidR="00DF6E6A" w:rsidRPr="00BC3AE0" w14:paraId="3D8FBF1A" w14:textId="77777777" w:rsidTr="5F941F9E">
        <w:tc>
          <w:tcPr>
            <w:tcW w:w="9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5BB5BA9D" w14:textId="25BAB89E" w:rsidR="00DF6E6A" w:rsidRPr="00BC3AE0" w:rsidRDefault="00DF6E6A" w:rsidP="00BC3AE0">
            <w:pPr>
              <w:pStyle w:val="Tabletext"/>
            </w:pPr>
            <w:r w:rsidRPr="00BC3AE0">
              <w:t>Data analysis</w:t>
            </w:r>
          </w:p>
        </w:tc>
      </w:tr>
      <w:tr w:rsidR="00DF6E6A" w:rsidRPr="00BC3AE0" w14:paraId="22AB6BF6"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147994" w14:textId="7F6BB650" w:rsidR="00DF6E6A" w:rsidRPr="00BC3AE0" w:rsidRDefault="00DF6E6A" w:rsidP="00BC3AE0">
            <w:pPr>
              <w:pStyle w:val="Tabletext"/>
            </w:pPr>
            <w:r w:rsidRPr="00BC3AE0">
              <w:t>9</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F94930" w14:textId="782E9ABB" w:rsidR="00DF6E6A" w:rsidRPr="00BC3AE0" w:rsidRDefault="00DF6E6A" w:rsidP="00BC3AE0">
            <w:pPr>
              <w:pStyle w:val="Tabletext"/>
            </w:pPr>
            <w:r w:rsidRPr="00BC3AE0">
              <w:t xml:space="preserve">Provide a conceptual overview of the data analysis method. A diagram may be helpful.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0C631" w14:textId="068D3A4A" w:rsidR="00DF6E6A" w:rsidRPr="00BC3AE0" w:rsidRDefault="648273B0" w:rsidP="00BC3AE0">
            <w:pPr>
              <w:pStyle w:val="Tabletext"/>
              <w:rPr>
                <w:rFonts w:eastAsia="Calibri"/>
              </w:rPr>
            </w:pPr>
            <w:r>
              <w:t>Main text methods sections: “overview of the SEI transmission model” and “estimating and forecasting key model drivers”</w:t>
            </w:r>
          </w:p>
        </w:tc>
      </w:tr>
      <w:tr w:rsidR="00DF6E6A" w:rsidRPr="00BC3AE0" w14:paraId="7950DACC"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ADA6E3" w14:textId="4BD51DD0" w:rsidR="00DF6E6A" w:rsidRPr="00BC3AE0" w:rsidRDefault="00DF6E6A" w:rsidP="00BC3AE0">
            <w:pPr>
              <w:pStyle w:val="Tabletext"/>
            </w:pPr>
            <w:r w:rsidRPr="00BC3AE0">
              <w:t>10</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74729A" w14:textId="47EACC5A" w:rsidR="00DF6E6A" w:rsidRPr="00BC3AE0" w:rsidRDefault="00DF6E6A" w:rsidP="00BC3AE0">
            <w:pPr>
              <w:pStyle w:val="Tabletext"/>
            </w:pPr>
            <w:r w:rsidRPr="00BC3AE0">
              <w:t xml:space="preserve">Provide a detailed description of all steps of the analysis, including mathematical formulae. This description should cover, as relevant, data cleaning, data pre-processing, data adjustments and weighting of data sources, and mathematical or statistical model(s). </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0456BD" w14:textId="06E7E0F1" w:rsidR="00DF6E6A" w:rsidRPr="00BC3AE0" w:rsidRDefault="648273B0" w:rsidP="00BC3AE0">
            <w:pPr>
              <w:pStyle w:val="Tabletext"/>
              <w:rPr>
                <w:rFonts w:eastAsia="Calibri"/>
              </w:rPr>
            </w:pPr>
            <w:r>
              <w:t xml:space="preserve">Appendix 1, sections 4–9 </w:t>
            </w:r>
          </w:p>
        </w:tc>
      </w:tr>
      <w:tr w:rsidR="00DF6E6A" w:rsidRPr="00BC3AE0" w14:paraId="224991F4"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75D9BF" w14:textId="29E2E052" w:rsidR="00DF6E6A" w:rsidRPr="00BC3AE0" w:rsidRDefault="00DF6E6A" w:rsidP="00BC3AE0">
            <w:pPr>
              <w:pStyle w:val="Tabletext"/>
            </w:pPr>
            <w:r w:rsidRPr="00BC3AE0">
              <w:t>11</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3C06D3" w14:textId="662E3A4B" w:rsidR="00DF6E6A" w:rsidRPr="00BC3AE0" w:rsidRDefault="00DF6E6A" w:rsidP="00BC3AE0">
            <w:pPr>
              <w:pStyle w:val="Tabletext"/>
            </w:pPr>
            <w:r w:rsidRPr="00BC3AE0">
              <w:t>Describe how candidate models were evaluated and how the final model(s) were selected.</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8AD78" w14:textId="50048ED4" w:rsidR="00DF6E6A" w:rsidRPr="00BC3AE0" w:rsidRDefault="648273B0" w:rsidP="00BC3AE0">
            <w:pPr>
              <w:pStyle w:val="Tabletext"/>
              <w:rPr>
                <w:rFonts w:eastAsia="Calibri"/>
              </w:rPr>
            </w:pPr>
            <w:r>
              <w:t>Appendix 1, section 11</w:t>
            </w:r>
          </w:p>
        </w:tc>
      </w:tr>
      <w:tr w:rsidR="00DF6E6A" w:rsidRPr="00BC3AE0" w14:paraId="244F36FF"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79642A" w14:textId="34881663" w:rsidR="00DF6E6A" w:rsidRPr="00BC3AE0" w:rsidRDefault="00DF6E6A" w:rsidP="00BC3AE0">
            <w:pPr>
              <w:pStyle w:val="Tabletext"/>
            </w:pPr>
            <w:r w:rsidRPr="00BC3AE0">
              <w:t>12</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8D7A04" w14:textId="43A0A9D6" w:rsidR="00DF6E6A" w:rsidRPr="00BC3AE0" w:rsidRDefault="00DF6E6A" w:rsidP="00BC3AE0">
            <w:pPr>
              <w:pStyle w:val="Tabletext"/>
            </w:pPr>
            <w:r w:rsidRPr="00BC3AE0">
              <w:t>Provide the results of an evaluation of model performance, if done, as well as the results of any relevant sensitivity analysis.</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C72EA" w14:textId="23325E68" w:rsidR="00DF6E6A" w:rsidRPr="00BC3AE0" w:rsidRDefault="648273B0" w:rsidP="00BC3AE0">
            <w:pPr>
              <w:pStyle w:val="Tabletext"/>
              <w:rPr>
                <w:rFonts w:eastAsia="Calibri"/>
              </w:rPr>
            </w:pPr>
            <w:r>
              <w:t>Appendices 4 and 5</w:t>
            </w:r>
          </w:p>
        </w:tc>
      </w:tr>
      <w:tr w:rsidR="00DF6E6A" w:rsidRPr="00BC3AE0" w14:paraId="2D3E9E57"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7B4B10" w14:textId="61943109" w:rsidR="00DF6E6A" w:rsidRPr="00BC3AE0" w:rsidRDefault="00DF6E6A" w:rsidP="00BC3AE0">
            <w:pPr>
              <w:pStyle w:val="Tabletext"/>
            </w:pPr>
            <w:r w:rsidRPr="00BC3AE0">
              <w:t>13</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AF74EF" w14:textId="4762ADED" w:rsidR="00DF6E6A" w:rsidRPr="00BC3AE0" w:rsidRDefault="00DF6E6A" w:rsidP="00BC3AE0">
            <w:pPr>
              <w:pStyle w:val="Tabletext"/>
            </w:pPr>
            <w:r w:rsidRPr="00BC3AE0">
              <w:t>Describe methods for calculating uncertainty of the estimates. State which sources of uncertainty were, and were not, accounted for in the uncertainty analysis.</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E7A10" w14:textId="1A90247B" w:rsidR="00DF6E6A" w:rsidRPr="00BC3AE0" w:rsidRDefault="648273B0" w:rsidP="00BC3AE0">
            <w:pPr>
              <w:pStyle w:val="Tabletext"/>
              <w:rPr>
                <w:rFonts w:eastAsia="Calibri"/>
              </w:rPr>
            </w:pPr>
            <w:r>
              <w:t>Main text methods section “uncertainty estimation”; appendix 1 section 10</w:t>
            </w:r>
          </w:p>
        </w:tc>
      </w:tr>
      <w:tr w:rsidR="00DF6E6A" w:rsidRPr="00BC3AE0" w14:paraId="03679315"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7DEEBB" w14:textId="07D1878F" w:rsidR="00DF6E6A" w:rsidRPr="00BC3AE0" w:rsidRDefault="00DF6E6A" w:rsidP="00BC3AE0">
            <w:pPr>
              <w:pStyle w:val="Tabletext"/>
            </w:pPr>
            <w:r w:rsidRPr="00BC3AE0">
              <w:t>14</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A9958" w14:textId="2C043185" w:rsidR="00DF6E6A" w:rsidRPr="00BC3AE0" w:rsidRDefault="00DF6E6A" w:rsidP="00BC3AE0">
            <w:pPr>
              <w:pStyle w:val="Tabletext"/>
            </w:pPr>
            <w:r w:rsidRPr="00BC3AE0">
              <w:t>State how analytic or statistical source code used to generate estimates can be accessed.</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D07F4" w14:textId="44843DCF" w:rsidR="00DF6E6A" w:rsidRPr="00BC3AE0" w:rsidRDefault="00DF6E6A" w:rsidP="00BC3AE0">
            <w:pPr>
              <w:pStyle w:val="Tabletext"/>
              <w:rPr>
                <w:rFonts w:eastAsia="Calibri"/>
              </w:rPr>
            </w:pPr>
            <w:proofErr w:type="spellStart"/>
            <w:r>
              <w:t>Github</w:t>
            </w:r>
            <w:proofErr w:type="spellEnd"/>
            <w:r>
              <w:t xml:space="preserve"> link provided in main text methods “GATHER compliance” section</w:t>
            </w:r>
          </w:p>
        </w:tc>
      </w:tr>
      <w:tr w:rsidR="00DF6E6A" w:rsidRPr="00BC3AE0" w14:paraId="464C96D0" w14:textId="77777777" w:rsidTr="5F941F9E">
        <w:tc>
          <w:tcPr>
            <w:tcW w:w="933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5AA15F6C" w14:textId="3D06A1EE" w:rsidR="00DF6E6A" w:rsidRPr="00BC3AE0" w:rsidRDefault="00DF6E6A" w:rsidP="00BC3AE0">
            <w:pPr>
              <w:pStyle w:val="Tabletext"/>
            </w:pPr>
            <w:r w:rsidRPr="00BC3AE0">
              <w:t>Results and Discussion</w:t>
            </w:r>
          </w:p>
        </w:tc>
      </w:tr>
      <w:tr w:rsidR="00DF6E6A" w:rsidRPr="00BC3AE0" w14:paraId="5073562B"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70DFB0" w14:textId="46EFE29A" w:rsidR="00DF6E6A" w:rsidRPr="00BC3AE0" w:rsidRDefault="00DF6E6A" w:rsidP="00BC3AE0">
            <w:pPr>
              <w:pStyle w:val="Tabletext"/>
            </w:pPr>
            <w:r w:rsidRPr="00BC3AE0">
              <w:t>15</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3CCA6B" w14:textId="0D891F5F" w:rsidR="00DF6E6A" w:rsidRPr="00BC3AE0" w:rsidRDefault="00DF6E6A" w:rsidP="00BC3AE0">
            <w:pPr>
              <w:pStyle w:val="Tabletext"/>
            </w:pPr>
            <w:r w:rsidRPr="00BC3AE0">
              <w:t>Provide published estimates in a file format from which data can be efficiently extracted.</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C873B" w14:textId="0207E758" w:rsidR="00DF6E6A" w:rsidRPr="00BC3AE0" w:rsidRDefault="00DF6E6A" w:rsidP="00BC3AE0">
            <w:pPr>
              <w:pStyle w:val="Tabletext"/>
            </w:pPr>
            <w:r w:rsidRPr="00BC3AE0">
              <w:t xml:space="preserve">Online data tools (data visualization tools, data query tools, and the Global Health Data Exchange, link to the GHDx to be provided upon </w:t>
            </w:r>
            <w:r>
              <w:t>acceptance)</w:t>
            </w:r>
          </w:p>
        </w:tc>
      </w:tr>
      <w:tr w:rsidR="00DF6E6A" w:rsidRPr="00BC3AE0" w14:paraId="4A3500B8"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6B08B8" w14:textId="673955FE" w:rsidR="00DF6E6A" w:rsidRPr="00BC3AE0" w:rsidRDefault="00DF6E6A" w:rsidP="00BC3AE0">
            <w:pPr>
              <w:pStyle w:val="Tabletext"/>
            </w:pPr>
            <w:r w:rsidRPr="00BC3AE0">
              <w:t>16</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6DA754" w14:textId="52D46E86" w:rsidR="00DF6E6A" w:rsidRPr="00BC3AE0" w:rsidRDefault="00DF6E6A" w:rsidP="00BC3AE0">
            <w:pPr>
              <w:pStyle w:val="Tabletext"/>
            </w:pPr>
            <w:r w:rsidRPr="00BC3AE0">
              <w:t>Report a quantitative measure of the uncertainty of the estimates (e.g. uncertainty intervals).</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4185C" w14:textId="2BA15015" w:rsidR="00DF6E6A" w:rsidRPr="00BC3AE0" w:rsidRDefault="648273B0" w:rsidP="00BC3AE0">
            <w:pPr>
              <w:pStyle w:val="Tabletext"/>
              <w:rPr>
                <w:rFonts w:eastAsia="Calibri"/>
              </w:rPr>
            </w:pPr>
            <w:r>
              <w:t>All quantitative measures are reported with 95% UIs, including in the results section, tables, and figures (as appropriate)</w:t>
            </w:r>
          </w:p>
        </w:tc>
      </w:tr>
      <w:tr w:rsidR="00DF6E6A" w:rsidRPr="00BC3AE0" w14:paraId="31196957"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07FF1D" w14:textId="14D5406D" w:rsidR="00DF6E6A" w:rsidRPr="00BC3AE0" w:rsidRDefault="00DF6E6A" w:rsidP="00BC3AE0">
            <w:pPr>
              <w:pStyle w:val="Tabletext"/>
            </w:pPr>
            <w:r w:rsidRPr="00BC3AE0">
              <w:t>17</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73ADD6" w14:textId="5C03200E" w:rsidR="00DF6E6A" w:rsidRPr="00BC3AE0" w:rsidRDefault="00DF6E6A" w:rsidP="00BC3AE0">
            <w:pPr>
              <w:pStyle w:val="Tabletext"/>
            </w:pPr>
            <w:r w:rsidRPr="00BC3AE0">
              <w:t>Interpret results in light of existing evidence. If updating a previous set of estimates, describe the reasons for changes in estimates.</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4F6C0" w14:textId="000AFE01" w:rsidR="00DF6E6A" w:rsidRPr="00BC3AE0" w:rsidRDefault="648273B0" w:rsidP="00BC3AE0">
            <w:pPr>
              <w:pStyle w:val="Tabletext"/>
            </w:pPr>
            <w:r>
              <w:t>Main text RIC section “implications of all the available evidence,” and discussion</w:t>
            </w:r>
          </w:p>
        </w:tc>
      </w:tr>
      <w:tr w:rsidR="00DF6E6A" w:rsidRPr="00BC3AE0" w14:paraId="12B07DD4" w14:textId="77777777" w:rsidTr="5F941F9E">
        <w:tc>
          <w:tcPr>
            <w:tcW w:w="7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264EB1" w14:textId="05043EFE" w:rsidR="00DF6E6A" w:rsidRPr="00BC3AE0" w:rsidRDefault="00DF6E6A" w:rsidP="00BC3AE0">
            <w:pPr>
              <w:pStyle w:val="Tabletext"/>
            </w:pPr>
            <w:r w:rsidRPr="00BC3AE0">
              <w:t>18</w:t>
            </w:r>
          </w:p>
        </w:tc>
        <w:tc>
          <w:tcPr>
            <w:tcW w:w="5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BCBD3B" w14:textId="2A4AC204" w:rsidR="00DF6E6A" w:rsidRPr="00BC3AE0" w:rsidRDefault="00DF6E6A" w:rsidP="00BC3AE0">
            <w:pPr>
              <w:pStyle w:val="Tabletext"/>
            </w:pPr>
            <w:r w:rsidRPr="00BC3AE0">
              <w:t>Discuss limitations of the estimates. Include a discussion of any modelling assumptions or data limitations that affect interpretation of the estimates.</w:t>
            </w:r>
          </w:p>
        </w:tc>
        <w:tc>
          <w:tcPr>
            <w:tcW w:w="33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D7C333" w14:textId="19AE6BE1" w:rsidR="00DF6E6A" w:rsidRPr="00BC3AE0" w:rsidRDefault="00DF6E6A" w:rsidP="00BC3AE0">
            <w:pPr>
              <w:pStyle w:val="Tabletext"/>
            </w:pPr>
            <w:r w:rsidRPr="00BC3AE0">
              <w:t xml:space="preserve">Main text </w:t>
            </w:r>
            <w:r>
              <w:t xml:space="preserve">methods </w:t>
            </w:r>
            <w:r w:rsidRPr="00BC3AE0">
              <w:t xml:space="preserve">and </w:t>
            </w:r>
            <w:r>
              <w:t>discussion</w:t>
            </w:r>
            <w:r w:rsidRPr="00BC3AE0">
              <w:t xml:space="preserve"> and appendix</w:t>
            </w:r>
            <w:r>
              <w:t xml:space="preserve"> 1</w:t>
            </w:r>
          </w:p>
        </w:tc>
      </w:tr>
    </w:tbl>
    <w:p w14:paraId="14CD06C9" w14:textId="2B4EBDBD" w:rsidR="00DF6E6A" w:rsidRPr="00D43DC4" w:rsidRDefault="00DF6E6A" w:rsidP="00BC3AE0">
      <w:pPr>
        <w:rPr>
          <w:lang w:val="en-GB"/>
        </w:rPr>
      </w:pPr>
    </w:p>
    <w:p w14:paraId="53853F57" w14:textId="78AAF2A5" w:rsidR="0027092A" w:rsidRDefault="00751B70" w:rsidP="0027092A">
      <w:pPr>
        <w:pStyle w:val="Heading1"/>
        <w:rPr>
          <w:lang w:val="en-GB"/>
        </w:rPr>
      </w:pPr>
      <w:bookmarkStart w:id="27" w:name="_Toc104245007"/>
      <w:bookmarkStart w:id="28" w:name="_Toc104249322"/>
      <w:bookmarkStart w:id="29" w:name="_Toc104252050"/>
      <w:bookmarkStart w:id="30" w:name="_Toc124499459"/>
      <w:bookmarkEnd w:id="25"/>
      <w:bookmarkEnd w:id="26"/>
      <w:r w:rsidRPr="001601FB">
        <w:rPr>
          <w:lang w:val="en-GB"/>
        </w:rPr>
        <w:lastRenderedPageBreak/>
        <w:t xml:space="preserve">Primary </w:t>
      </w:r>
      <w:r w:rsidR="00910502" w:rsidRPr="001601FB">
        <w:rPr>
          <w:lang w:val="en-GB"/>
        </w:rPr>
        <w:t>m</w:t>
      </w:r>
      <w:r w:rsidRPr="001601FB">
        <w:rPr>
          <w:lang w:val="en-GB"/>
        </w:rPr>
        <w:t xml:space="preserve">odel </w:t>
      </w:r>
      <w:r w:rsidR="00910502" w:rsidRPr="001601FB">
        <w:rPr>
          <w:lang w:val="en-GB"/>
        </w:rPr>
        <w:t>i</w:t>
      </w:r>
      <w:r w:rsidRPr="001601FB">
        <w:rPr>
          <w:lang w:val="en-GB"/>
        </w:rPr>
        <w:t>nputs</w:t>
      </w:r>
      <w:r w:rsidR="008F045F" w:rsidRPr="001601FB">
        <w:rPr>
          <w:color w:val="2B579A"/>
          <w:shd w:val="clear" w:color="auto" w:fill="E6E6E6"/>
          <w:lang w:val="en-GB"/>
        </w:rPr>
        <w:fldChar w:fldCharType="begin"/>
      </w:r>
      <w:r w:rsidR="004876B1">
        <w:rPr>
          <w:lang w:val="en-GB"/>
        </w:rPr>
        <w:instrText xml:space="preserve"> ADDIN ZOTERO_ITEM CSL_CITATION {"citationID":"qnrYzESs","properties":{"formattedCitation":"\\super 2\\nosupersub{}","plainCitation":"2","noteIndex":0},"citationItems":[{"id":21604,"uris":["http://zotero.org/groups/2154524/items/2GFYXY7A"],"itemData":{"id":21604,"type":"article-journal","container-title":"The Lancet","DOI":"10.1016/S0140-6736(22)00484-6","issue":"10344","journalAbbreviation":"Lancet","page":"2349-2378","title":"Estimating global, regional, and national daily and cumulative infections with SARS-CoV-2 through Nov 14, 2021: a statistical analysis","volume":"399","author":[{"literal":"Barber, RM"},{"family":"Sorensen","given":"RJD"},{"family":"Pigott","given":"DM"},{"family":"Bisignano","given":"C"},{"family":"Carter","given":"A"},{"family":"Almag","given":"JO"},{"family":"Collins","given":"JA"},{"family":"Abbafati","given":"C"},{"family":"Adolph","given":"C"},{"literal":"et al"}],"issued":{"date-parts":[["2022",4,8]]}}}],"schema":"https://github.com/citation-style-language/schema/raw/master/csl-citation.json"} </w:instrText>
      </w:r>
      <w:r w:rsidR="008F045F" w:rsidRPr="001601FB">
        <w:rPr>
          <w:color w:val="2B579A"/>
          <w:shd w:val="clear" w:color="auto" w:fill="E6E6E6"/>
          <w:lang w:val="en-GB"/>
        </w:rPr>
        <w:fldChar w:fldCharType="separate"/>
      </w:r>
      <w:r w:rsidR="008F045F" w:rsidRPr="001601FB">
        <w:rPr>
          <w:szCs w:val="24"/>
          <w:vertAlign w:val="superscript"/>
        </w:rPr>
        <w:t>2</w:t>
      </w:r>
      <w:bookmarkEnd w:id="27"/>
      <w:bookmarkEnd w:id="28"/>
      <w:bookmarkEnd w:id="29"/>
      <w:bookmarkEnd w:id="30"/>
      <w:r w:rsidR="008F045F" w:rsidRPr="001601FB">
        <w:rPr>
          <w:color w:val="2B579A"/>
          <w:shd w:val="clear" w:color="auto" w:fill="E6E6E6"/>
          <w:lang w:val="en-GB"/>
        </w:rPr>
        <w:fldChar w:fldCharType="end"/>
      </w:r>
    </w:p>
    <w:p w14:paraId="402EA454" w14:textId="220FCF02" w:rsidR="00910502" w:rsidRPr="00DE0ACD" w:rsidRDefault="00910502" w:rsidP="00DE0ACD">
      <w:pPr>
        <w:pStyle w:val="Heading2"/>
        <w:numPr>
          <w:ilvl w:val="1"/>
          <w:numId w:val="34"/>
        </w:numPr>
        <w:rPr>
          <w:lang w:val="en-GB"/>
        </w:rPr>
      </w:pPr>
      <w:bookmarkStart w:id="31" w:name="_Toc104245008"/>
      <w:bookmarkStart w:id="32" w:name="_Toc104249323"/>
      <w:bookmarkStart w:id="33" w:name="_Toc104252051"/>
      <w:bookmarkStart w:id="34" w:name="_Toc124499460"/>
      <w:r w:rsidRPr="00DE0ACD">
        <w:rPr>
          <w:lang w:val="en-GB"/>
        </w:rPr>
        <w:t>Reported cases data</w:t>
      </w:r>
      <w:bookmarkEnd w:id="31"/>
      <w:bookmarkEnd w:id="32"/>
      <w:bookmarkEnd w:id="33"/>
      <w:bookmarkEnd w:id="34"/>
    </w:p>
    <w:p w14:paraId="273D1173" w14:textId="52520E26" w:rsidR="00AF02FD" w:rsidRPr="006A0823" w:rsidRDefault="4882E7EB" w:rsidP="00FA5CF3">
      <w:pPr>
        <w:pStyle w:val="ListParagraph"/>
        <w:ind w:left="0"/>
      </w:pPr>
      <w:r>
        <w:t xml:space="preserve">Data </w:t>
      </w:r>
      <w:r w:rsidRPr="006A0823">
        <w:t>on reported cases primarily came from Johns Hopkins University,</w:t>
      </w:r>
      <w:r w:rsidR="00AF02FD" w:rsidRPr="006A0823">
        <w:rPr>
          <w:color w:val="2B579A"/>
        </w:rPr>
        <w:fldChar w:fldCharType="begin"/>
      </w:r>
      <w:r w:rsidR="004876B1" w:rsidRPr="006A0823">
        <w:instrText xml:space="preserve"> ADDIN ZOTERO_ITEM CSL_CITATION {"citationID":"ZhfJVGSn","properties":{"formattedCitation":"\\super 4\\nosupersub{}","plainCitation":"4","noteIndex":0},"citationItems":[{"id":21738,"uris":["http://zotero.org/groups/2154524/items/VVR8CTRY"],"itemData":{"id":21738,"type":"article-journal","container-title":"The Lancet Infectious Diseases","DOI":"10.1016/S1473-3099(20)30120-1","ISSN":"1473-3099, 1474-4457","issue":"5","journalAbbreviation":"The Lancet Infectious Diseases","language":"English","note":"publisher: Elsevier\nPMID: 32087114","page":"533-534","source":"www.thelancet.com","title":"An interactive web-based dashboard to track COVID-19 in real time","volume":"20","author":[{"family":"Dong","given":"Ensheng"},{"family":"Du","given":"Hongru"},{"family":"Gardner","given":"Lauren"}],"issued":{"date-parts":[["2020",5,1]]}}}],"schema":"https://github.com/citation-style-language/schema/raw/master/csl-citation.json"} </w:instrText>
      </w:r>
      <w:r w:rsidR="00AF02FD" w:rsidRPr="006A0823">
        <w:rPr>
          <w:color w:val="2B579A"/>
        </w:rPr>
        <w:fldChar w:fldCharType="separate"/>
      </w:r>
      <w:r w:rsidR="3909ACFF" w:rsidRPr="006A0823">
        <w:rPr>
          <w:vertAlign w:val="superscript"/>
        </w:rPr>
        <w:t>4</w:t>
      </w:r>
      <w:r w:rsidR="00AF02FD" w:rsidRPr="006A0823">
        <w:rPr>
          <w:color w:val="2B579A"/>
        </w:rPr>
        <w:fldChar w:fldCharType="end"/>
      </w:r>
      <w:r w:rsidRPr="006A0823">
        <w:t xml:space="preserve"> supplemented by location-specific datasets extracted either directly from ministries of health, departments of public health, or other third parties. Sources are outlined in appendix 2</w:t>
      </w:r>
      <w:r w:rsidR="5CC38ABD" w:rsidRPr="006A0823">
        <w:t xml:space="preserve">, </w:t>
      </w:r>
      <w:r w:rsidRPr="006A0823">
        <w:t xml:space="preserve">section </w:t>
      </w:r>
      <w:r w:rsidR="71E5010F" w:rsidRPr="006A0823">
        <w:t>8</w:t>
      </w:r>
      <w:r w:rsidRPr="006A0823">
        <w:t>. Cases were defined, depending on the local context, as either an individual who has received a positive test result, whether RT-PCR, antigen, or antibody (regardless of symptoms status) or an individual who has symptoms consistent with a clinical definition of COVID-19. Adjustments to the time series were periodically required, either to account for interruptions in daily reporting due to, for instance, major public holidays, or more systematic issues, such as reporting backlogs of cases accumulated in laboratory processing, or adjustments due to changes in case definitions. A catalogue of these corrections is available through the associated GHDx record</w:t>
      </w:r>
      <w:r w:rsidR="64759B3B" w:rsidRPr="006A0823">
        <w:t>.</w:t>
      </w:r>
    </w:p>
    <w:p w14:paraId="1CF4E322" w14:textId="3CF50D8B" w:rsidR="00910502" w:rsidRPr="006A0823" w:rsidRDefault="000A5C2F" w:rsidP="00BC3AE0">
      <w:pPr>
        <w:pStyle w:val="Heading2"/>
        <w:rPr>
          <w:rStyle w:val="eop"/>
        </w:rPr>
      </w:pPr>
      <w:bookmarkStart w:id="35" w:name="_Toc104245009"/>
      <w:bookmarkStart w:id="36" w:name="_Toc104249324"/>
      <w:bookmarkStart w:id="37" w:name="_Toc104252052"/>
      <w:bookmarkStart w:id="38" w:name="_Toc124499461"/>
      <w:r w:rsidRPr="006A0823">
        <w:rPr>
          <w:rStyle w:val="eop"/>
        </w:rPr>
        <w:t>Hospital admissions d</w:t>
      </w:r>
      <w:r w:rsidR="00910502" w:rsidRPr="006A0823">
        <w:rPr>
          <w:rStyle w:val="eop"/>
        </w:rPr>
        <w:t>ata</w:t>
      </w:r>
      <w:bookmarkEnd w:id="35"/>
      <w:bookmarkEnd w:id="36"/>
      <w:bookmarkEnd w:id="37"/>
      <w:bookmarkEnd w:id="38"/>
    </w:p>
    <w:p w14:paraId="72DA856A" w14:textId="0102C4C2" w:rsidR="00AB2DEC" w:rsidRPr="006A0823" w:rsidRDefault="113EC957" w:rsidP="00BC3AE0">
      <w:r w:rsidRPr="006A0823">
        <w:t xml:space="preserve">Data on reported daily admissions, or cumulative hospitalisations, was typically sourced from ministries of health, or multi-jurisdiction agencies such as the US Department of Health and Human Services (HHS), or the European </w:t>
      </w:r>
      <w:proofErr w:type="spellStart"/>
      <w:r w:rsidRPr="006A0823">
        <w:t>Centres</w:t>
      </w:r>
      <w:proofErr w:type="spellEnd"/>
      <w:r w:rsidRPr="006A0823">
        <w:t xml:space="preserve"> for Disease Control. Sources are outlined in appendix 2</w:t>
      </w:r>
      <w:r w:rsidR="30F8A247" w:rsidRPr="006A0823">
        <w:t>, sections 3, 4, 5, 6, and 7</w:t>
      </w:r>
      <w:r w:rsidRPr="006A0823">
        <w:t xml:space="preserve">. Adjustments to the time series were periodically required, either to account for interruptions in daily reporting due to, for instance, major public holidays, or more systematic issues, such as changes in COVID case definitions. A catalogue of these corrections is available through the associated GHDx record. </w:t>
      </w:r>
    </w:p>
    <w:p w14:paraId="6465BB58" w14:textId="0EA50259" w:rsidR="00AF02FD" w:rsidRPr="006A0823" w:rsidRDefault="00AB2DEC" w:rsidP="00BC3AE0">
      <w:r w:rsidRPr="006A0823">
        <w:t>For time series that were incomplete for the entirety of the pandemic, such as the US HHS admissions dataset, we imputed the missing time-series portions by first running separate linear regressions for each location with missingness. The dependent variable was admissions, and the independent variable was infections derived from both daily deaths divided by the infection–fatality ratio (IFR)</w:t>
      </w:r>
      <w:r w:rsidRPr="006A0823">
        <w:rPr>
          <w:color w:val="2B579A"/>
        </w:rPr>
        <w:fldChar w:fldCharType="begin"/>
      </w:r>
      <w:r w:rsidR="004876B1" w:rsidRPr="006A0823">
        <w:instrText xml:space="preserve"> ADDIN ZOTERO_ITEM CSL_CITATION {"citationID":"p3cHSTuM","properties":{"formattedCitation":"\\super 5\\nosupersub{}","plainCitation":"5","noteIndex":0},"citationItems":[{"id":21736,"uris":["http://zotero.org/groups/2154524/items/H75IWWGF"],"itemData":{"id":21736,"type":"article-journal","container-title":"Lancet","issue":"10334","journalAbbreviation":"Lancet","page":"1469-1488","title":"Variation in the COVID-19 infection–fatality ratio by age, time, and geography during the pre-vaccine era: a systematic analysis","volume":"399","author":[{"family":"Sorensen","given":"RJD"},{"family":"Barber","given":"RM"},{"family":"Pigott","given":"DM"},{"literal":"et al"}],"issued":{"date-parts":[["2022",4,16]]}}}],"schema":"https://github.com/citation-style-language/schema/raw/master/csl-citation.json"} </w:instrText>
      </w:r>
      <w:r w:rsidRPr="006A0823">
        <w:rPr>
          <w:color w:val="2B579A"/>
        </w:rPr>
        <w:fldChar w:fldCharType="separate"/>
      </w:r>
      <w:r w:rsidR="00AF3F32" w:rsidRPr="006A0823">
        <w:rPr>
          <w:vertAlign w:val="superscript"/>
        </w:rPr>
        <w:t>5</w:t>
      </w:r>
      <w:r w:rsidRPr="006A0823">
        <w:rPr>
          <w:color w:val="2B579A"/>
        </w:rPr>
        <w:fldChar w:fldCharType="end"/>
      </w:r>
      <w:r w:rsidRPr="006A0823">
        <w:t xml:space="preserve"> and from cases divided by the infection–detection ratio (IDR) for the period in time that overlapped with the admissions data. We then used the coefficient from this model, a naïve infection–hospitalisation ratio (IHR) estimate, to predict out of sample for the period that was missing admissions, using the average of the two separately derived infections estimates. To avoid any disjoints at the day of transition from imputed data to the observed, we gradually transitioned from the former to the latter over the tail period of the imputation. We did this by determining the ratio of the average observed admissions over first week of data to the predicted admissions for that week, linearly interpolated from a ratio of 1 at 60 days before observed to the calculated residual ratio at the first day of </w:t>
      </w:r>
      <w:r w:rsidR="71A57560" w:rsidRPr="006A0823">
        <w:t>observed and</w:t>
      </w:r>
      <w:r w:rsidRPr="006A0823">
        <w:t xml:space="preserve"> multiplied the imputation model predictions by that ratio during that period. We then included the imputed admissions along with the observed in our hospitalisations database.</w:t>
      </w:r>
    </w:p>
    <w:p w14:paraId="731C64D0" w14:textId="10495365" w:rsidR="00910502" w:rsidRPr="006A0823" w:rsidRDefault="00910502" w:rsidP="00BC3AE0">
      <w:pPr>
        <w:pStyle w:val="Heading2"/>
        <w:rPr>
          <w:rStyle w:val="eop"/>
          <w:szCs w:val="22"/>
        </w:rPr>
      </w:pPr>
      <w:bookmarkStart w:id="39" w:name="_Toc104245010"/>
      <w:bookmarkStart w:id="40" w:name="_Toc104249325"/>
      <w:bookmarkStart w:id="41" w:name="_Toc104252053"/>
      <w:bookmarkStart w:id="42" w:name="_Toc124499462"/>
      <w:r w:rsidRPr="006A0823">
        <w:rPr>
          <w:rStyle w:val="eop"/>
          <w:szCs w:val="22"/>
        </w:rPr>
        <w:t>Reported deaths data</w:t>
      </w:r>
      <w:bookmarkEnd w:id="39"/>
      <w:bookmarkEnd w:id="40"/>
      <w:bookmarkEnd w:id="41"/>
      <w:bookmarkEnd w:id="42"/>
    </w:p>
    <w:p w14:paraId="68110688" w14:textId="65C1CCE0" w:rsidR="00AB2DEC" w:rsidRPr="006A0823" w:rsidRDefault="113EC957" w:rsidP="00BC3AE0">
      <w:r w:rsidRPr="006A0823">
        <w:t>Data on reported daily deaths primarily came from Johns Hopkins University,</w:t>
      </w:r>
      <w:r w:rsidR="00AB2DEC" w:rsidRPr="006A0823">
        <w:rPr>
          <w:color w:val="2B579A"/>
        </w:rPr>
        <w:fldChar w:fldCharType="begin"/>
      </w:r>
      <w:r w:rsidR="004876B1" w:rsidRPr="006A0823">
        <w:instrText xml:space="preserve"> ADDIN ZOTERO_ITEM CSL_CITATION {"citationID":"01DIN6D5","properties":{"formattedCitation":"\\super 4\\nosupersub{}","plainCitation":"4","noteIndex":0},"citationItems":[{"id":21738,"uris":["http://zotero.org/groups/2154524/items/VVR8CTRY"],"itemData":{"id":21738,"type":"article-journal","container-title":"The Lancet Infectious Diseases","DOI":"10.1016/S1473-3099(20)30120-1","ISSN":"1473-3099, 1474-4457","issue":"5","journalAbbreviation":"The Lancet Infectious Diseases","language":"English","note":"publisher: Elsevier\nPMID: 32087114","page":"533-534","source":"www.thelancet.com","title":"An interactive web-based dashboard to track COVID-19 in real time","volume":"20","author":[{"family":"Dong","given":"Ensheng"},{"family":"Du","given":"Hongru"},{"family":"Gardner","given":"Lauren"}],"issued":{"date-parts":[["2020",5,1]]}}}],"schema":"https://github.com/citation-style-language/schema/raw/master/csl-citation.json"} </w:instrText>
      </w:r>
      <w:r w:rsidR="00AB2DEC" w:rsidRPr="006A0823">
        <w:rPr>
          <w:color w:val="2B579A"/>
        </w:rPr>
        <w:fldChar w:fldCharType="separate"/>
      </w:r>
      <w:r w:rsidR="185C1F98" w:rsidRPr="006A0823">
        <w:rPr>
          <w:vertAlign w:val="superscript"/>
        </w:rPr>
        <w:t>4</w:t>
      </w:r>
      <w:r w:rsidR="00AB2DEC" w:rsidRPr="006A0823">
        <w:rPr>
          <w:color w:val="2B579A"/>
        </w:rPr>
        <w:fldChar w:fldCharType="end"/>
      </w:r>
      <w:r w:rsidRPr="006A0823">
        <w:t xml:space="preserve"> supplemented by location-specific datasets extracted either directly from ministries of health, departments of public health, or other third parties. Sources are outlined in appendix 2</w:t>
      </w:r>
      <w:r w:rsidR="33961167" w:rsidRPr="006A0823">
        <w:t>,</w:t>
      </w:r>
      <w:r w:rsidRPr="006A0823">
        <w:t xml:space="preserve"> </w:t>
      </w:r>
      <w:r w:rsidR="1F466BB5" w:rsidRPr="006A0823">
        <w:t>sections 1 and 2</w:t>
      </w:r>
      <w:r w:rsidRPr="006A0823">
        <w:t>. Adjustments to the time series were periodically required, either to account for interruptions in daily reporting due to, for instance, major public holidays, or more systematic issues, such as reporting backlogs of deaths accumulated in vital registration system processing, or adjustments due to changes in case definitions and reconciliation of death certificates. A catalog of these corrections is available through the associated GHDx record</w:t>
      </w:r>
      <w:r w:rsidR="4DB2FB29" w:rsidRPr="006A0823">
        <w:t>.</w:t>
      </w:r>
    </w:p>
    <w:p w14:paraId="2ACACACD" w14:textId="4A966913" w:rsidR="00910502" w:rsidRPr="006A0823" w:rsidRDefault="00910502" w:rsidP="00BC3AE0">
      <w:pPr>
        <w:pStyle w:val="Heading2"/>
        <w:rPr>
          <w:rStyle w:val="eop"/>
        </w:rPr>
      </w:pPr>
      <w:bookmarkStart w:id="43" w:name="_Toc104245011"/>
      <w:bookmarkStart w:id="44" w:name="_Toc104249326"/>
      <w:bookmarkStart w:id="45" w:name="_Toc104252054"/>
      <w:bookmarkStart w:id="46" w:name="_Toc124499463"/>
      <w:r w:rsidRPr="006A0823">
        <w:rPr>
          <w:rStyle w:val="eop"/>
        </w:rPr>
        <w:t>Seroprevalence data</w:t>
      </w:r>
      <w:bookmarkEnd w:id="43"/>
      <w:bookmarkEnd w:id="44"/>
      <w:bookmarkEnd w:id="45"/>
      <w:bookmarkEnd w:id="46"/>
    </w:p>
    <w:p w14:paraId="5E0E14C0" w14:textId="6B3A46E6" w:rsidR="00AB2DEC" w:rsidRPr="006A0823" w:rsidRDefault="1B726E87" w:rsidP="00BC3AE0">
      <w:pPr>
        <w:rPr>
          <w:rStyle w:val="normaltextrun"/>
          <w:color w:val="000000"/>
          <w:shd w:val="clear" w:color="auto" w:fill="FFFFFF"/>
          <w:lang w:val="en-GB"/>
        </w:rPr>
      </w:pPr>
      <w:r w:rsidRPr="006A0823">
        <w:rPr>
          <w:rStyle w:val="normaltextrun"/>
          <w:color w:val="000000"/>
          <w:shd w:val="clear" w:color="auto" w:fill="FFFFFF"/>
          <w:lang w:val="en-GB"/>
        </w:rPr>
        <w:t>Data on serosurveys reporting antibody positivity were collated on an ongoing basis. Two key data types were tracked—ongoing serological surveys conducted by governmental organisations and released periodically, and publications of antibody surveys published in preprint servers and traditional journals. For the latter, we leveraged existing published reviews</w:t>
      </w:r>
      <w:r w:rsidR="00E325A6"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{"citationID":"3pmu4ykq","properties":{"formattedCitation":"\\super 6,7\\nosupersub{}","plainCitation":"6,7","noteIndex":0},"citationItems":[{"id":21735,"uris":["http://zotero.org/groups/2154524/items/ZF48DJL3"],"itemData":{"id":21735,"type":"article-journal","abstract":"OBJECTIVE: To estimate the infection fatality rate of coronavirus disease 2019 (COVID-19) from seroprevalence data.\nMETHODS: I searched PubMed and preprint servers for COVID-19 seroprevalence studies with a sample size ≥ 500 as of 9 September 2020. I also retrieved additional results of national studies from preliminary press releases and reports. I assessed the studies for design features and seroprevalence estimates. I estimated the infection fatality rate for each study by dividing the cumulative number of COVID-19 deaths by the number of people estimated to be infected in each region. I corrected for the number of immunoglobin (Ig) types tested (IgG, IgM, IgA).\nFINDINGS: I included 61 studies (74 estimates) and eight preliminary national estimates. Seroprevalence estimates ranged from 0.02% to 53.40%. Infection fatality rates ranged from 0.00% to 1.63%, corrected values from 0.00% to 1.54%. Across 51 locations, the median COVID-19 infection fatality rate was 0.27% (corrected 0.23%): the rate was 0.09% in locations with COVID-19 population mortality rates less than the global average (&lt; 118 deaths/million), 0.20% in locations with 118-500 COVID-19 deaths/million people and 0.57% in locations with &gt; 500 COVID-19 deaths/million people. In people younger than 70 years, infection fatality rates ranged from 0.00% to 0.31% with crude and corrected medians of 0.05%.\nCONCLUSION: The infection fatality rate of COVID-19 can vary substantially across different locations and this may reflect differences in population age structure and case-mix of infected and deceased patients and other factors. The inferred infection fatality rates tended to be much lower than estimates made earlier in the pandemic.","container-title":"Bulletin of the World Health Organization","DOI":"10.2471/BLT.20.265892","ISSN":"1564-0604","issue":"1","journalAbbreviation":"Bull World Health Organ","language":"eng","note":"PMID: 33716331\nPMCID: PMC7947934","page":"19-33F","source":"PubMed","title":"Infection fatality rate of COVID-19 inferred from seroprevalence data","volume":"99","author":[{"family":"Ioannidis","given":"John P. A."}],"issued":{"date-parts":[["2021",1,1]]}},"label":"page"},{"id":21734,"uris":["http://zotero.org/groups/2154524/items/FQ4A7XGK"],"itemData":{"id":21734,"type":"article-journal","abstract":"Determine age-specific infection fatality rates for COVID-19 to inform public health policies and communications that help protect vulnerable age groups. Studies of COVID-19 prevalence were collected by conducting an online search of published articles, preprints, and government reports that were publicly disseminated prior to 18 September 2020. The systematic review encompassed 113 studies, of which 27 studies (covering 34 geographical locations) satisfied the inclusion criteria and were included in the meta-analysis. Age-specific IFRs were computed using the prevalence data in conjunction with reported fatalities 4 weeks after the midpoint date of the study, reflecting typical lags in fatalities and reporting. Meta-regression procedures in Stata were used to analyze the infection fatality rate (IFR) by age. Our analysis finds a exponential relationship between age and IFR for COVID-19. The estimated age-specific IFR is very low for children and younger adults (e.g., 0.002% at age 10 and 0.01% at age 25) but increases progressively to 0.4% at age 55, 1.4% at age 65, 4.6% at age 75, and 15% at age 85. Moreover, our results indicate that about 90% of the variation in population IFR across geographical locations reflects differences in the age composition of the population and the extent to which relatively vulnerable age groups were exposed to the virus. These results indicate that COVID-19 is hazardous not only for the elderly but also for middle-aged adults, for whom the infection fatality rate is two orders of magnitude greater than the annualized risk of a fatal automobile accident and far more dangerous than seasonal influenza. Moreover, the overall IFR for COVID-19 should not be viewed as a fixed parameter but as intrinsically linked to the age-specific pattern of infections. Consequently, public health measures to mitigate infections in older adults could substantially decrease total deaths.","container-title":"European Journal of Epidemiology","DOI":"10.1007/s10654-020-00698-1","ISSN":"1573-7284","issue":"12","journalAbbreviation":"Eur J Epidemiol","language":"eng","note":"PMID: 33289900\nPMCID: PMC7721859","page":"1123-1138","source":"PubMed","title":"Assessing the age specificity of infection fatality rates for COVID-19: systematic review, meta-analysis, and public policy implications","title-short":"Assessing the age specificity of infection fatality rates for COVID-19","volume":"35","author":[{"family":"Levin","given":"Andrew T."},{"family":"Hanage","given":"William P."},{"family":"Owusu-Boaitey","given":"Nana"},{"family":"Cochran","given":"Kensington B."},{"family":"Walsh","given":"Seamus P."},{"family":"Meyerowitz-Katz","given":"Gideon"}],"issued":{"date-parts":[["2020",12]]}},"label":"page"}],"schema":"https://github.com/citation-style-language/schema/raw/master/csl-citation.json"} </w:instrText>
      </w:r>
      <w:r w:rsidR="00E325A6" w:rsidRPr="006A0823">
        <w:rPr>
          <w:rStyle w:val="normaltextrun"/>
          <w:color w:val="000000"/>
          <w:shd w:val="clear" w:color="auto" w:fill="FFFFFF"/>
          <w:lang w:val="en-GB"/>
        </w:rPr>
        <w:fldChar w:fldCharType="separate"/>
      </w:r>
      <w:r w:rsidR="37F07314" w:rsidRPr="006A0823">
        <w:rPr>
          <w:vertAlign w:val="superscript"/>
        </w:rPr>
        <w:t>6,7</w:t>
      </w:r>
      <w:r w:rsidR="00E325A6" w:rsidRPr="006A0823">
        <w:rPr>
          <w:rStyle w:val="normaltextrun"/>
          <w:color w:val="000000"/>
          <w:shd w:val="clear" w:color="auto" w:fill="FFFFFF"/>
          <w:lang w:val="en-GB"/>
        </w:rPr>
        <w:fldChar w:fldCharType="end"/>
      </w:r>
      <w:r w:rsidRPr="006A0823">
        <w:rPr>
          <w:rStyle w:val="normaltextrun"/>
          <w:color w:val="000000"/>
          <w:shd w:val="clear" w:color="auto" w:fill="FFFFFF"/>
          <w:lang w:val="en-GB"/>
        </w:rPr>
        <w:t xml:space="preserve"> and cross-referenced the </w:t>
      </w:r>
      <w:proofErr w:type="spellStart"/>
      <w:r w:rsidRPr="006A0823">
        <w:rPr>
          <w:rStyle w:val="normaltextrun"/>
          <w:color w:val="000000"/>
          <w:shd w:val="clear" w:color="auto" w:fill="FFFFFF"/>
          <w:lang w:val="en-GB"/>
        </w:rPr>
        <w:t>Serotracker</w:t>
      </w:r>
      <w:proofErr w:type="spellEnd"/>
      <w:r w:rsidRPr="006A0823">
        <w:rPr>
          <w:rStyle w:val="normaltextrun"/>
          <w:color w:val="000000"/>
          <w:shd w:val="clear" w:color="auto" w:fill="FFFFFF"/>
          <w:lang w:val="en-GB"/>
        </w:rPr>
        <w:t xml:space="preserve"> database.</w:t>
      </w:r>
      <w:r w:rsidR="005F6E83"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{"citationID":"XOmooY0P","properties":{"formattedCitation":"\\super 8\\nosupersub{}","plainCitation":"8","noteIndex":0},"citationItems":[{"id":21733,"uris":["http://zotero.org/groups/2154524/items/V8SBJMYQ"],"itemData":{"id":21733,"type":"article-journal","container-title":"The Lancet Infectious Diseases","DOI":"10.1016/S1473-3099(20)30631-9","ISSN":"1473-3099, 1474-4457","issue":"4","journalAbbreviation":"The Lancet Infectious Diseases","language":"English","note":"publisher: Elsevier\nPMID: 32763195","page":"e75-e76","source":"www.thelancet.com","title":"SeroTracker: a global SARS-CoV-2 seroprevalence dashboard","title-short":"SeroTracker","volume":"21","author":[{"family":"Arora","given":"Rahul K."},{"family":"Joseph","given":"Abel"},{"family":"Wyk","given":"Jordan Van"},{"family":"Rocco","given":"Simona"},{"family":"Atmaja","given":"Austin"},{"family":"May","given":"Ewan"},{"family":"Yan","given":"Tingting"},{"family":"Bobrovitz","given":"Niklas"},{"family":"Chevrier","given":"Jonathan"},{"family":"Cheng","given":"Matthew P."},{"family":"Williamson","given":"Tyler"},{"family":"Buckeridge","given":"David L."}],"issued":{"date-parts":[["2021",4,1]]}}}],"schema":"https://github.com/citation-style-language/schema/raw/master/csl-citation.json"} </w:instrText>
      </w:r>
      <w:r w:rsidR="005F6E83" w:rsidRPr="006A0823">
        <w:rPr>
          <w:rStyle w:val="normaltextrun"/>
          <w:color w:val="000000"/>
          <w:shd w:val="clear" w:color="auto" w:fill="FFFFFF"/>
          <w:lang w:val="en-GB"/>
        </w:rPr>
        <w:fldChar w:fldCharType="separate"/>
      </w:r>
      <w:r w:rsidR="33897319" w:rsidRPr="006A0823">
        <w:rPr>
          <w:vertAlign w:val="superscript"/>
        </w:rPr>
        <w:t>8</w:t>
      </w:r>
      <w:r w:rsidR="005F6E83" w:rsidRPr="006A0823">
        <w:rPr>
          <w:rStyle w:val="normaltextrun"/>
          <w:color w:val="000000"/>
          <w:shd w:val="clear" w:color="auto" w:fill="FFFFFF"/>
          <w:lang w:val="en-GB"/>
        </w:rPr>
        <w:fldChar w:fldCharType="end"/>
      </w:r>
      <w:r w:rsidR="611D176A" w:rsidRPr="006A0823">
        <w:rPr>
          <w:rStyle w:val="normaltextrun"/>
          <w:color w:val="000000"/>
          <w:shd w:val="clear" w:color="auto" w:fill="FFFFFF"/>
          <w:lang w:val="en-GB"/>
        </w:rPr>
        <w:t xml:space="preserve"> S</w:t>
      </w:r>
      <w:r w:rsidRPr="006A0823">
        <w:rPr>
          <w:rStyle w:val="normaltextrun"/>
          <w:color w:val="000000"/>
          <w:shd w:val="clear" w:color="auto" w:fill="FFFFFF"/>
          <w:lang w:val="en-GB"/>
        </w:rPr>
        <w:t>ources used in this study and used as location-representative studies are outlined in appendix 2</w:t>
      </w:r>
      <w:r w:rsidR="7EB4B778" w:rsidRPr="006A0823">
        <w:rPr>
          <w:rStyle w:val="normaltextrun"/>
          <w:color w:val="000000"/>
          <w:shd w:val="clear" w:color="auto" w:fill="FFFFFF"/>
          <w:lang w:val="en-GB"/>
        </w:rPr>
        <w:t>,</w:t>
      </w:r>
      <w:r w:rsidRPr="006A0823">
        <w:rPr>
          <w:rStyle w:val="normaltextrun"/>
          <w:color w:val="000000"/>
          <w:shd w:val="clear" w:color="auto" w:fill="FFFFFF"/>
          <w:lang w:val="en-GB"/>
        </w:rPr>
        <w:t xml:space="preserve"> </w:t>
      </w:r>
      <w:r w:rsidR="7FF7E490" w:rsidRPr="006A0823">
        <w:rPr>
          <w:rStyle w:val="normaltextrun"/>
          <w:color w:val="000000"/>
          <w:shd w:val="clear" w:color="auto" w:fill="FFFFFF"/>
          <w:lang w:val="en-GB"/>
        </w:rPr>
        <w:t xml:space="preserve">sections </w:t>
      </w:r>
      <w:r w:rsidR="04A9CE2C" w:rsidRPr="006A0823">
        <w:rPr>
          <w:rStyle w:val="normaltextrun"/>
          <w:color w:val="000000"/>
          <w:shd w:val="clear" w:color="auto" w:fill="FFFFFF"/>
          <w:lang w:val="en-GB"/>
        </w:rPr>
        <w:t>9 and 10</w:t>
      </w:r>
      <w:r w:rsidRPr="006A0823">
        <w:rPr>
          <w:rStyle w:val="normaltextrun"/>
          <w:color w:val="000000"/>
          <w:shd w:val="clear" w:color="auto" w:fill="FFFFFF"/>
          <w:lang w:val="en-GB"/>
        </w:rPr>
        <w:t xml:space="preserve">. Data that were deemed not to be representative of the general population in the most-detailed geographical location in our modelling hierarchy covering the study site were excluded. Additionally, we excluded studies that reported less than 0.03 seroprevalence, </w:t>
      </w:r>
      <w:r w:rsidRPr="006A0823">
        <w:rPr>
          <w:rStyle w:val="normaltextrun"/>
          <w:color w:val="000000"/>
          <w:shd w:val="clear" w:color="auto" w:fill="FFFFFF"/>
          <w:lang w:val="en-GB"/>
        </w:rPr>
        <w:lastRenderedPageBreak/>
        <w:t>as we found that measurements taken with little signal in the population resulted in empirical estimates of IFR not generalisable across locations, or even within location after broader exposure of the population.</w:t>
      </w:r>
    </w:p>
    <w:p w14:paraId="39E889C3" w14:textId="77777777" w:rsidR="00825ED8" w:rsidRPr="006A0823" w:rsidRDefault="00825ED8" w:rsidP="00BC3AE0">
      <w:pPr>
        <w:pStyle w:val="Heading1"/>
        <w:rPr>
          <w:lang w:val="en-GB"/>
        </w:rPr>
      </w:pPr>
      <w:bookmarkStart w:id="47" w:name="_Toc104245012"/>
      <w:bookmarkStart w:id="48" w:name="_Toc104249327"/>
      <w:bookmarkStart w:id="49" w:name="_Toc104252055"/>
      <w:bookmarkStart w:id="50" w:name="_Toc124499464"/>
      <w:r w:rsidRPr="006A0823">
        <w:rPr>
          <w:lang w:val="en-GB"/>
        </w:rPr>
        <w:t>Historical ratio estimation</w:t>
      </w:r>
      <w:bookmarkEnd w:id="47"/>
      <w:bookmarkEnd w:id="48"/>
      <w:bookmarkEnd w:id="49"/>
      <w:bookmarkEnd w:id="50"/>
    </w:p>
    <w:p w14:paraId="249A0633" w14:textId="2937CDF9" w:rsidR="00825ED8" w:rsidRPr="006A0823" w:rsidRDefault="00825ED8" w:rsidP="00BC3AE0">
      <w:pPr>
        <w:rPr>
          <w:rStyle w:val="normaltextrun"/>
          <w:color w:val="000000"/>
          <w:shd w:val="clear" w:color="auto" w:fill="FFFFFF"/>
          <w:lang w:val="en-GB"/>
        </w:rPr>
      </w:pPr>
      <w:r w:rsidRPr="006A0823">
        <w:rPr>
          <w:lang w:val="en-GB"/>
        </w:rPr>
        <w:t>Detailed descriptions of methods for estimating the infection</w:t>
      </w:r>
      <w:r w:rsidR="005120E0" w:rsidRPr="006A0823">
        <w:rPr>
          <w:lang w:val="en-GB"/>
        </w:rPr>
        <w:t>–</w:t>
      </w:r>
      <w:r w:rsidRPr="006A0823">
        <w:rPr>
          <w:lang w:val="en-GB"/>
        </w:rPr>
        <w:t>detection ratio (IDR), infection</w:t>
      </w:r>
      <w:r w:rsidR="005120E0" w:rsidRPr="006A0823">
        <w:rPr>
          <w:lang w:val="en-GB"/>
        </w:rPr>
        <w:t>–</w:t>
      </w:r>
      <w:r w:rsidRPr="006A0823">
        <w:rPr>
          <w:lang w:val="en-GB"/>
        </w:rPr>
        <w:t>hospitali</w:t>
      </w:r>
      <w:r w:rsidR="005120E0" w:rsidRPr="006A0823">
        <w:rPr>
          <w:lang w:val="en-GB"/>
        </w:rPr>
        <w:t>s</w:t>
      </w:r>
      <w:r w:rsidRPr="006A0823">
        <w:rPr>
          <w:lang w:val="en-GB"/>
        </w:rPr>
        <w:t>ation ratio (IHR) and infection</w:t>
      </w:r>
      <w:r w:rsidR="005120E0" w:rsidRPr="006A0823">
        <w:rPr>
          <w:lang w:val="en-GB"/>
        </w:rPr>
        <w:t>–</w:t>
      </w:r>
      <w:r w:rsidRPr="006A0823">
        <w:rPr>
          <w:lang w:val="en-GB"/>
        </w:rPr>
        <w:t>fatality ratio (IFR) can be found in Barber et al.</w:t>
      </w:r>
      <w:r w:rsidRPr="006A0823">
        <w:rPr>
          <w:color w:val="2B579A"/>
          <w:lang w:val="en-GB"/>
        </w:rPr>
        <w:fldChar w:fldCharType="begin"/>
      </w:r>
      <w:r w:rsidR="004876B1" w:rsidRPr="006A0823">
        <w:rPr>
          <w:lang w:val="en-GB"/>
        </w:rPr>
        <w:instrText xml:space="preserve"> ADDIN ZOTERO_ITEM CSL_CITATION {"citationID":"nxsjLgn3","properties":{"formattedCitation":"\\super 2\\nosupersub{}","plainCitation":"2","noteIndex":0},"citationItems":[{"id":21604,"uris":["http://zotero.org/groups/2154524/items/2GFYXY7A"],"itemData":{"id":21604,"type":"article-journal","container-title":"The Lancet","DOI":"10.1016/S0140-6736(22)00484-6","issue":"10344","journalAbbreviation":"Lancet","page":"2349-2378","title":"Estimating global, regional, and national daily and cumulative infections with SARS-CoV-2 through Nov 14, 2021: a statistical analysis","volume":"399","author":[{"literal":"Barber, RM"},{"family":"Sorensen","given":"RJD"},{"family":"Pigott","given":"DM"},{"family":"Bisignano","given":"C"},{"family":"Carter","given":"A"},{"family":"Almag","given":"JO"},{"family":"Collins","given":"JA"},{"family":"Abbafati","given":"C"},{"family":"Adolph","given":"C"},{"literal":"et al"}],"issued":{"date-parts":[["2022",4,8]]}}}],"schema":"https://github.com/citation-style-language/schema/raw/master/csl-citation.json"} </w:instrText>
      </w:r>
      <w:r w:rsidRPr="006A0823">
        <w:rPr>
          <w:color w:val="2B579A"/>
          <w:lang w:val="en-GB"/>
        </w:rPr>
        <w:fldChar w:fldCharType="separate"/>
      </w:r>
      <w:r w:rsidR="005120E0" w:rsidRPr="006A0823">
        <w:rPr>
          <w:vertAlign w:val="superscript"/>
        </w:rPr>
        <w:t>2</w:t>
      </w:r>
      <w:r w:rsidRPr="006A0823">
        <w:rPr>
          <w:color w:val="2B579A"/>
          <w:lang w:val="en-GB"/>
        </w:rPr>
        <w:fldChar w:fldCharType="end"/>
      </w:r>
      <w:r w:rsidRPr="006A0823">
        <w:rPr>
          <w:lang w:val="en-GB"/>
        </w:rPr>
        <w:t xml:space="preserve"> A summary of the current adaptation is provided here. Seroprevalence surveys from ongoing government surveillance programs and from preprint and peer-reviewed studies were collated. Surveys were adjusted to account for vaccination rates, where appropriate, and for decaying sensitivity over time due to </w:t>
      </w:r>
      <w:proofErr w:type="spellStart"/>
      <w:r w:rsidRPr="006A0823">
        <w:rPr>
          <w:lang w:val="en-GB"/>
        </w:rPr>
        <w:t>seroreversion</w:t>
      </w:r>
      <w:proofErr w:type="spellEnd"/>
      <w:r w:rsidRPr="006A0823">
        <w:rPr>
          <w:lang w:val="en-GB"/>
        </w:rPr>
        <w:t>. These data were paired with cumulative cases, hospitalizations, and deaths to produce empirical estimates of the IDR, IHR, and IFR, respectively. Case, hospitalization, and death data were first adjusted to only be representative of individuals with no existing immunity from prior infection or vaccination using methods described i</w:t>
      </w:r>
      <w:r w:rsidR="00395660" w:rsidRPr="006A0823">
        <w:rPr>
          <w:lang w:val="en-GB"/>
        </w:rPr>
        <w:t xml:space="preserve">n </w:t>
      </w:r>
      <w:r w:rsidR="5CAF0508" w:rsidRPr="006A0823">
        <w:rPr>
          <w:lang w:val="en-GB"/>
        </w:rPr>
        <w:t>section</w:t>
      </w:r>
      <w:r w:rsidR="00395660" w:rsidRPr="006A0823">
        <w:rPr>
          <w:lang w:val="en-GB"/>
        </w:rPr>
        <w:t xml:space="preserve"> </w:t>
      </w:r>
      <w:r w:rsidR="000C4F20" w:rsidRPr="006A0823">
        <w:rPr>
          <w:lang w:val="en-GB"/>
        </w:rPr>
        <w:t>7</w:t>
      </w:r>
      <w:r w:rsidR="007F5B06" w:rsidRPr="006A0823">
        <w:rPr>
          <w:lang w:val="en-GB"/>
        </w:rPr>
        <w:t>.1</w:t>
      </w:r>
      <w:r w:rsidRPr="006A0823">
        <w:rPr>
          <w:lang w:val="en-GB"/>
        </w:rPr>
        <w:t xml:space="preserve">. Models for each ratio were then fit in a cascading meta-regression framework using </w:t>
      </w:r>
      <w:proofErr w:type="spellStart"/>
      <w:r w:rsidRPr="006A0823">
        <w:rPr>
          <w:lang w:val="en-GB"/>
        </w:rPr>
        <w:t>MRTool</w:t>
      </w:r>
      <w:proofErr w:type="spellEnd"/>
      <w:r w:rsidRPr="006A0823">
        <w:rPr>
          <w:lang w:val="en-GB"/>
        </w:rPr>
        <w:t xml:space="preserve"> – an open-source Bayesian meta-regression framework developed by IHME</w:t>
      </w:r>
      <w:r w:rsidRPr="006A0823">
        <w:rPr>
          <w:color w:val="2B579A"/>
          <w:lang w:val="en-GB"/>
        </w:rPr>
        <w:fldChar w:fldCharType="begin"/>
      </w:r>
      <w:r w:rsidR="004876B1" w:rsidRPr="006A0823">
        <w:rPr>
          <w:lang w:val="en-GB"/>
        </w:rPr>
        <w:instrText xml:space="preserve"> ADDIN ZOTERO_ITEM CSL_CITATION {"citationID":"r3cpbhq9","properties":{"formattedCitation":"\\super 9,10\\nosupersub{}","plainCitation":"9,10","noteIndex":0},"citationItems":[{"id":20777,"uris":["http://zotero.org/groups/2154524/items/2BT4KVYF"],"itemData":{"id":20777,"type":"article-journal","abstract":"Mixed effects (ME) models inform a vast array of problems in the physical and social sciences, and are pervasive in meta-analysis. We consider ME models where the random effects component is linear. We then develop an efficient approach for a broad problem class that allows nonlinear measurements, priors, and constraints, and finds robust estimates in all of these cases using trimming in the associated marginal likelihood. The software accompanying this article is disseminated as an open-source Python package called LimeTr. LimeTr is able to recover results more accurately in the presence of outliers compared to available packages for both standard longitudinal analysis and meta-analysis, and is also more computationally efficient than competing robust alternatives. Supplementary materials that reproduce the simulations, as well as run LimeTr and third party code are available online. We also present analyses of global health data, where we use advanced functionality of LimeTr, including constraints to impose monotonicity and concavity for dose–response relationships. Nonlinear observation models allow new analyses in place of classic approximations, such as log-linear models. Robust extensions in all analyses ensure that spurious data points do not drive our understanding of either mean relationships or between-study heterogeneity.","container-title":"Journal of Computational and Graphical Statistics","DOI":"10.1080/10618600.2020.1868303","ISSN":"1061-8600","issue":"0","note":"publisher: Taylor &amp; Francis\n_eprint: https://doi.org/10.1080/10618600.2020.1868303","page":"1-13","source":"Taylor and Francis+NEJM","title":"Trimmed constrained mixed effects models: formulations and algorithms","title-short":"Trimmed Constrained Mixed Effects Models","volume":"0","author":[{"family":"Zheng","given":"Peng"},{"family":"Barber","given":"Ryan"},{"family":"Sorensen","given":"Reed J. D."},{"family":"Murray","given":"Christopher J. L."},{"family":"Aravkin","given":"Aleksandr Y."}],"issued":{"date-parts":[["2021",1,4]]}},"label":"page"},{"id":1026,"uris":["http://zotero.org/groups/2154524/items/IDD696X2"],"itemData":{"id":1026,"type":"software","abstract":"Featured Nonlinear Mixed effects Models","genre":"Python","license":"BSD-2-Clause","note":"original-date: 2020-02-11T18:21:19Z","publisher":"IHME Math Sciences","source":"GitHub","title":"MRTool","URL":"https://github.com/ihmeuw-msca/mrtool","author":[{"literal":"Rajeev Mittal"}],"accessed":{"date-parts":[["2021",6,30]]},"issued":{"date-parts":[["2021",3,19]]}},"label":"page"}],"schema":"https://github.com/citation-style-language/schema/raw/master/csl-citation.json"} </w:instrText>
      </w:r>
      <w:r w:rsidRPr="006A0823">
        <w:rPr>
          <w:color w:val="2B579A"/>
          <w:lang w:val="en-GB"/>
        </w:rPr>
        <w:fldChar w:fldCharType="separate"/>
      </w:r>
      <w:r w:rsidR="005F6E83" w:rsidRPr="006A0823">
        <w:rPr>
          <w:sz w:val="22"/>
          <w:szCs w:val="22"/>
          <w:vertAlign w:val="superscript"/>
        </w:rPr>
        <w:t>9,10</w:t>
      </w:r>
      <w:r w:rsidRPr="006A0823">
        <w:rPr>
          <w:color w:val="2B579A"/>
          <w:lang w:val="en-GB"/>
        </w:rPr>
        <w:fldChar w:fldCharType="end"/>
      </w:r>
      <w:r w:rsidRPr="006A0823">
        <w:rPr>
          <w:lang w:val="en-GB"/>
        </w:rPr>
        <w:t xml:space="preserve"> – based on various combinations of predictive covariates listed in section </w:t>
      </w:r>
      <w:r w:rsidR="00CC0D3F" w:rsidRPr="006A0823">
        <w:rPr>
          <w:lang w:val="en-GB"/>
        </w:rPr>
        <w:t>5</w:t>
      </w:r>
      <w:r w:rsidRPr="006A0823">
        <w:rPr>
          <w:lang w:val="en-GB"/>
        </w:rPr>
        <w:t xml:space="preserve">. The model of IFR also included a time variable to capture the effect of improved treatment over time, and both the IFR and IHR models included a term to control for the severity risk ratio of non-ancestral variants relative to ancestral given the cumulative variant prevalence at the time of the survey. Predictions were made the variant effect, thus representing the ratio associated with ancestral infections among the unvaccinated with no prior infection. These predictions, made for all location-dates in the analysis, serve as the prior estimates of IDR, IHR, and IFR in the estimation of past infections described in </w:t>
      </w:r>
      <w:r w:rsidR="7EF8A33A" w:rsidRPr="006A0823">
        <w:rPr>
          <w:lang w:val="en-GB"/>
        </w:rPr>
        <w:t>section</w:t>
      </w:r>
      <w:r w:rsidRPr="006A0823">
        <w:rPr>
          <w:lang w:val="en-GB"/>
        </w:rPr>
        <w:t xml:space="preserve"> </w:t>
      </w:r>
      <w:r w:rsidR="00CC0D3F" w:rsidRPr="006A0823">
        <w:rPr>
          <w:lang w:val="en-GB"/>
        </w:rPr>
        <w:t>7</w:t>
      </w:r>
      <w:r w:rsidRPr="006A0823">
        <w:rPr>
          <w:lang w:val="en-GB"/>
        </w:rPr>
        <w:t>.</w:t>
      </w:r>
    </w:p>
    <w:p w14:paraId="4D64AE20" w14:textId="5605E2F3" w:rsidR="00981017" w:rsidRPr="006A0823" w:rsidRDefault="3DEBDE38" w:rsidP="00BC3AE0">
      <w:pPr>
        <w:pStyle w:val="Heading1"/>
        <w:rPr>
          <w:lang w:val="en-GB"/>
        </w:rPr>
      </w:pPr>
      <w:bookmarkStart w:id="51" w:name="_Toc76457826"/>
      <w:bookmarkStart w:id="52" w:name="_Toc76653785"/>
      <w:bookmarkStart w:id="53" w:name="_Toc76726254"/>
      <w:bookmarkStart w:id="54" w:name="_Toc76727562"/>
      <w:bookmarkStart w:id="55" w:name="_Toc76840480"/>
      <w:bookmarkStart w:id="56" w:name="_Toc104245013"/>
      <w:bookmarkStart w:id="57" w:name="_Toc104249328"/>
      <w:bookmarkStart w:id="58" w:name="_Toc104252056"/>
      <w:bookmarkStart w:id="59" w:name="_Toc124499465"/>
      <w:r w:rsidRPr="006A0823">
        <w:rPr>
          <w:lang w:val="en-GB"/>
        </w:rPr>
        <w:t xml:space="preserve">Model </w:t>
      </w:r>
      <w:r w:rsidR="04B63ECB" w:rsidRPr="006A0823">
        <w:rPr>
          <w:lang w:val="en-GB"/>
        </w:rPr>
        <w:t>d</w:t>
      </w:r>
      <w:r w:rsidRPr="006A0823">
        <w:rPr>
          <w:lang w:val="en-GB"/>
        </w:rPr>
        <w:t>rivers</w:t>
      </w:r>
      <w:bookmarkEnd w:id="51"/>
      <w:bookmarkEnd w:id="52"/>
      <w:bookmarkEnd w:id="53"/>
      <w:bookmarkEnd w:id="54"/>
      <w:bookmarkEnd w:id="55"/>
      <w:bookmarkEnd w:id="56"/>
      <w:bookmarkEnd w:id="57"/>
      <w:bookmarkEnd w:id="58"/>
      <w:bookmarkEnd w:id="59"/>
    </w:p>
    <w:p w14:paraId="3811EDF1" w14:textId="5FDEE70C" w:rsidR="0C3F05A7" w:rsidRPr="006A0823" w:rsidRDefault="7AE84D5B" w:rsidP="00DE0ACD">
      <w:pPr>
        <w:pStyle w:val="Heading2"/>
        <w:numPr>
          <w:ilvl w:val="1"/>
          <w:numId w:val="34"/>
        </w:numPr>
        <w:rPr>
          <w:lang w:val="en-GB"/>
        </w:rPr>
      </w:pPr>
      <w:bookmarkStart w:id="60" w:name="_Toc76457827"/>
      <w:bookmarkStart w:id="61" w:name="_Toc76653786"/>
      <w:bookmarkStart w:id="62" w:name="_Toc76726255"/>
      <w:bookmarkStart w:id="63" w:name="_Toc76727563"/>
      <w:bookmarkStart w:id="64" w:name="_Toc76840481"/>
      <w:bookmarkStart w:id="65" w:name="_Toc104245014"/>
      <w:bookmarkStart w:id="66" w:name="_Toc104249329"/>
      <w:bookmarkStart w:id="67" w:name="_Toc104252057"/>
      <w:bookmarkStart w:id="68" w:name="_Toc124499466"/>
      <w:r w:rsidRPr="006A0823">
        <w:rPr>
          <w:lang w:val="en-GB"/>
        </w:rPr>
        <w:t>Variants</w:t>
      </w:r>
      <w:bookmarkEnd w:id="60"/>
      <w:bookmarkEnd w:id="61"/>
      <w:bookmarkEnd w:id="62"/>
      <w:bookmarkEnd w:id="63"/>
      <w:bookmarkEnd w:id="64"/>
      <w:bookmarkEnd w:id="65"/>
      <w:bookmarkEnd w:id="66"/>
      <w:bookmarkEnd w:id="67"/>
      <w:bookmarkEnd w:id="68"/>
    </w:p>
    <w:p w14:paraId="0E0D22B9" w14:textId="037C66AA" w:rsidR="00D561BA" w:rsidRPr="006A0823" w:rsidRDefault="67A8499E" w:rsidP="00BC3AE0">
      <w:pPr>
        <w:rPr>
          <w:vertAlign w:val="superscript"/>
          <w:lang w:val="en-GB"/>
        </w:rPr>
      </w:pPr>
      <w:r w:rsidRPr="006A0823">
        <w:rPr>
          <w:lang w:val="en-GB"/>
        </w:rPr>
        <w:t>Our </w:t>
      </w:r>
      <w:r w:rsidR="2A141B10" w:rsidRPr="006A0823">
        <w:rPr>
          <w:lang w:val="en-GB"/>
        </w:rPr>
        <w:t xml:space="preserve">base </w:t>
      </w:r>
      <w:r w:rsidRPr="006A0823">
        <w:rPr>
          <w:lang w:val="en-GB"/>
        </w:rPr>
        <w:t xml:space="preserve">model of the invasion date and the rate of invasion of several </w:t>
      </w:r>
      <w:r w:rsidR="714A2F9F" w:rsidRPr="006A0823">
        <w:rPr>
          <w:lang w:val="en-GB"/>
        </w:rPr>
        <w:t>severe acute respiratory syndrome coronavirus 2 (</w:t>
      </w:r>
      <w:r w:rsidRPr="006A0823">
        <w:rPr>
          <w:lang w:val="en-GB"/>
        </w:rPr>
        <w:t>SARS-CoV-2</w:t>
      </w:r>
      <w:r w:rsidR="714A2F9F" w:rsidRPr="006A0823">
        <w:rPr>
          <w:lang w:val="en-GB"/>
        </w:rPr>
        <w:t>)</w:t>
      </w:r>
      <w:r w:rsidRPr="006A0823">
        <w:rPr>
          <w:lang w:val="en-GB"/>
        </w:rPr>
        <w:t xml:space="preserve"> variants was based on sequence </w:t>
      </w:r>
      <w:r w:rsidR="3801688D" w:rsidRPr="006A0823">
        <w:rPr>
          <w:lang w:val="en-GB"/>
        </w:rPr>
        <w:t>data from the GISAID Initiative</w:t>
      </w:r>
      <w:r w:rsidRPr="006A0823">
        <w:rPr>
          <w:color w:val="2B579A"/>
          <w:lang w:val="en-GB"/>
        </w:rPr>
        <w:fldChar w:fldCharType="begin"/>
      </w:r>
      <w:r w:rsidR="004876B1" w:rsidRPr="006A0823">
        <w:rPr>
          <w:lang w:val="en-GB"/>
        </w:rPr>
        <w:instrText xml:space="preserve"> ADDIN ZOTERO_ITEM CSL_CITATION {"citationID":"Lfh6R8MX","properties":{"formattedCitation":"\\super 11\\nosupersub{}","plainCitation":"11","noteIndex":0},"citationItems":[{"id":979,"uris":["http://zotero.org/groups/2154524/items/CZ3XXAME"],"itemData":{"id":979,"type":"article-journal","abstract":"The international sharing of virus data is critical for protecting populations against lethal infectious disease outbreaks. Scientists must rapidly share information to assess the nature of the threat and develop new medical countermeasures. Governments need the data to trace the extent of the outbreak, initiate public health responses, and coordinate access to medicines and vaccines. Recent outbreaks suggest, however, that the sharing of such data cannot be taken for granted – making the timely international exchange of virus data a vital global challenge. This article undertakes the first analysis of the Global Initiative on Sharing All Influenza Data as an innovative policy effort to promote the international sharing of genetic and associated influenza virus data. Based on more than 20 semi-structured interviews conducted with key informants in the international community, coupled with analysis of a wide range of primary and secondary sources, the article finds that the Global Initiative on Sharing All Influenza Data contributes to global health in at least five ways: (1) collating the most complete repository of high-quality influenza data in the world; (2) facilitating the rapid sharing of potentially pandemic virus information during recent outbreaks; (3) supporting the World Health Organization's biannual seasonal flu vaccine strain selection process; (4) developing informal mechanisms for conflict resolution around the sharing of virus data; and (5) building greater trust with several countries key to global pandemic preparedness.","container-title":"Global Challenges","DOI":"10.1002/gch2.1018","ISSN":"2056-6646","issue":"1","language":"en","note":"_eprint: https://onlinelibrary.wiley.com/doi/pdf/10.1002/gch2.1018","page":"33-46","source":"Wiley Online Library","title":"Data, disease and diplomacy: GISAID's innovative contribution to global health","title-short":"Data, disease and diplomacy","volume":"1","author":[{"family":"Elbe","given":"Stefan"},{"family":"Buckland-Merrett","given":"Gemma"}],"issued":{"date-parts":[["2017"]]}}}],"schema":"https://github.com/citation-style-language/schema/raw/master/csl-citation.json"} </w:instrText>
      </w:r>
      <w:r w:rsidRPr="006A0823">
        <w:rPr>
          <w:color w:val="2B579A"/>
          <w:lang w:val="en-GB"/>
        </w:rPr>
        <w:fldChar w:fldCharType="separate"/>
      </w:r>
      <w:r w:rsidR="005F6E83" w:rsidRPr="006A0823">
        <w:rPr>
          <w:sz w:val="22"/>
          <w:szCs w:val="22"/>
          <w:vertAlign w:val="superscript"/>
        </w:rPr>
        <w:t>11</w:t>
      </w:r>
      <w:r w:rsidRPr="006A0823">
        <w:rPr>
          <w:color w:val="2B579A"/>
          <w:lang w:val="en-GB"/>
        </w:rPr>
        <w:fldChar w:fldCharType="end"/>
      </w:r>
      <w:r w:rsidR="680C205E" w:rsidRPr="006A0823">
        <w:rPr>
          <w:lang w:val="en-GB"/>
        </w:rPr>
        <w:t xml:space="preserve">. </w:t>
      </w:r>
      <w:r w:rsidR="707AAD10" w:rsidRPr="006A0823">
        <w:rPr>
          <w:lang w:val="en-GB"/>
        </w:rPr>
        <w:t xml:space="preserve">The resulting models were then manually calibrated against reported case, hospitalisation, and death data in each location. </w:t>
      </w:r>
      <w:r w:rsidRPr="006A0823">
        <w:rPr>
          <w:lang w:val="en-GB"/>
        </w:rPr>
        <w:t xml:space="preserve">The invasion dates for the new variant in our scenarios were determined by shifting the Omicron invasion dates forward so that South Africa is invaded on </w:t>
      </w:r>
      <w:r w:rsidR="16B3D681" w:rsidRPr="006A0823">
        <w:rPr>
          <w:lang w:val="en-GB"/>
        </w:rPr>
        <w:t>January 1</w:t>
      </w:r>
      <w:r w:rsidR="48F7C09B" w:rsidRPr="006A0823">
        <w:rPr>
          <w:lang w:val="en-GB"/>
        </w:rPr>
        <w:t>5</w:t>
      </w:r>
      <w:r w:rsidR="16B3D681" w:rsidRPr="006A0823">
        <w:rPr>
          <w:lang w:val="en-GB"/>
        </w:rPr>
        <w:t>, 2023</w:t>
      </w:r>
      <w:r w:rsidRPr="006A0823">
        <w:rPr>
          <w:lang w:val="en-GB"/>
        </w:rPr>
        <w:t>.</w:t>
      </w:r>
      <w:bookmarkStart w:id="69" w:name="_Toc76457828"/>
    </w:p>
    <w:p w14:paraId="7B6E17BF" w14:textId="230E18FB" w:rsidR="0075195A" w:rsidRPr="006A0823" w:rsidRDefault="7AE84D5B" w:rsidP="00DE0ACD">
      <w:pPr>
        <w:pStyle w:val="Heading3"/>
        <w:rPr>
          <w:lang w:val="en-GB"/>
        </w:rPr>
      </w:pPr>
      <w:bookmarkStart w:id="70" w:name="_Toc76653787"/>
      <w:bookmarkStart w:id="71" w:name="_Toc76726256"/>
      <w:bookmarkStart w:id="72" w:name="_Toc76727564"/>
      <w:bookmarkStart w:id="73" w:name="_Toc76840482"/>
      <w:bookmarkStart w:id="74" w:name="_Toc104245015"/>
      <w:bookmarkStart w:id="75" w:name="_Toc104249330"/>
      <w:bookmarkStart w:id="76" w:name="_Toc104252058"/>
      <w:bookmarkStart w:id="77" w:name="_Toc124499467"/>
      <w:bookmarkEnd w:id="69"/>
      <w:r w:rsidRPr="006A0823">
        <w:rPr>
          <w:lang w:val="en-GB"/>
        </w:rPr>
        <w:t xml:space="preserve">Data </w:t>
      </w:r>
      <w:bookmarkEnd w:id="70"/>
      <w:bookmarkEnd w:id="71"/>
      <w:bookmarkEnd w:id="72"/>
      <w:r w:rsidR="4A356D39" w:rsidRPr="006A0823">
        <w:rPr>
          <w:lang w:val="en-GB"/>
        </w:rPr>
        <w:t>sources</w:t>
      </w:r>
      <w:bookmarkEnd w:id="73"/>
      <w:bookmarkEnd w:id="74"/>
      <w:bookmarkEnd w:id="75"/>
      <w:bookmarkEnd w:id="76"/>
      <w:bookmarkEnd w:id="77"/>
    </w:p>
    <w:p w14:paraId="15DB14F3" w14:textId="60FC8196" w:rsidR="5F722668" w:rsidRPr="006A0823" w:rsidRDefault="4DFB5FF5" w:rsidP="00BC3AE0">
      <w:pPr>
        <w:rPr>
          <w:lang w:val="en-GB"/>
        </w:rPr>
      </w:pPr>
      <w:r w:rsidRPr="006A0823">
        <w:rPr>
          <w:lang w:val="en-GB"/>
        </w:rPr>
        <w:t>Data on variants was primarily sourced from th</w:t>
      </w:r>
      <w:r w:rsidR="496F5BE0" w:rsidRPr="006A0823">
        <w:rPr>
          <w:lang w:val="en-GB"/>
        </w:rPr>
        <w:t xml:space="preserve">e GISAID </w:t>
      </w:r>
      <w:r w:rsidR="00297A46" w:rsidRPr="006A0823">
        <w:rPr>
          <w:lang w:val="en-GB"/>
        </w:rPr>
        <w:t>Initiative</w:t>
      </w:r>
      <w:r w:rsidRPr="006A0823">
        <w:rPr>
          <w:lang w:val="en-GB"/>
        </w:rPr>
        <w:t>.</w:t>
      </w:r>
      <w:r w:rsidRPr="006A0823">
        <w:rPr>
          <w:color w:val="2B579A"/>
          <w:lang w:val="en-GB"/>
        </w:rPr>
        <w:fldChar w:fldCharType="begin"/>
      </w:r>
      <w:r w:rsidR="004876B1" w:rsidRPr="006A0823">
        <w:rPr>
          <w:lang w:val="en-GB"/>
        </w:rPr>
        <w:instrText xml:space="preserve"> ADDIN ZOTERO_ITEM CSL_CITATION {"citationID":"wn9Y85Qv","properties":{"formattedCitation":"\\super 11\\nosupersub{}","plainCitation":"11","noteIndex":0},"citationItems":[{"id":979,"uris":["http://zotero.org/groups/2154524/items/CZ3XXAME"],"itemData":{"id":979,"type":"article-journal","abstract":"The international sharing of virus data is critical for protecting populations against lethal infectious disease outbreaks. Scientists must rapidly share information to assess the nature of the threat and develop new medical countermeasures. Governments need the data to trace the extent of the outbreak, initiate public health responses, and coordinate access to medicines and vaccines. Recent outbreaks suggest, however, that the sharing of such data cannot be taken for granted – making the timely international exchange of virus data a vital global challenge. This article undertakes the first analysis of the Global Initiative on Sharing All Influenza Data as an innovative policy effort to promote the international sharing of genetic and associated influenza virus data. Based on more than 20 semi-structured interviews conducted with key informants in the international community, coupled with analysis of a wide range of primary and secondary sources, the article finds that the Global Initiative on Sharing All Influenza Data contributes to global health in at least five ways: (1) collating the most complete repository of high-quality influenza data in the world; (2) facilitating the rapid sharing of potentially pandemic virus information during recent outbreaks; (3) supporting the World Health Organization's biannual seasonal flu vaccine strain selection process; (4) developing informal mechanisms for conflict resolution around the sharing of virus data; and (5) building greater trust with several countries key to global pandemic preparedness.","container-title":"Global Challenges","DOI":"10.1002/gch2.1018","ISSN":"2056-6646","issue":"1","language":"en","note":"_eprint: https://onlinelibrary.wiley.com/doi/pdf/10.1002/gch2.1018","page":"33-46","source":"Wiley Online Library","title":"Data, disease and diplomacy: GISAID's innovative contribution to global health","title-short":"Data, disease and diplomacy","volume":"1","author":[{"family":"Elbe","given":"Stefan"},{"family":"Buckland-Merrett","given":"Gemma"}],"issued":{"date-parts":[["2017"]]}}}],"schema":"https://github.com/citation-style-language/schema/raw/master/csl-citation.json"} </w:instrText>
      </w:r>
      <w:r w:rsidRPr="006A0823">
        <w:rPr>
          <w:color w:val="2B579A"/>
          <w:lang w:val="en-GB"/>
        </w:rPr>
        <w:fldChar w:fldCharType="separate"/>
      </w:r>
      <w:r w:rsidR="005F6E83" w:rsidRPr="006A0823">
        <w:rPr>
          <w:sz w:val="22"/>
          <w:szCs w:val="22"/>
          <w:vertAlign w:val="superscript"/>
        </w:rPr>
        <w:t>11</w:t>
      </w:r>
      <w:r w:rsidRPr="006A0823">
        <w:rPr>
          <w:color w:val="2B579A"/>
          <w:lang w:val="en-GB"/>
        </w:rPr>
        <w:fldChar w:fldCharType="end"/>
      </w:r>
      <w:r w:rsidRPr="006A0823">
        <w:rPr>
          <w:lang w:val="en-GB"/>
        </w:rPr>
        <w:t xml:space="preserve"> </w:t>
      </w:r>
      <w:r w:rsidR="56BB898C" w:rsidRPr="006A0823">
        <w:rPr>
          <w:lang w:val="en-GB"/>
        </w:rPr>
        <w:t xml:space="preserve">This group provides a centralized mechanism for the collation and curation of sequences of SARS-CoV-2 viruses. Key metadata are tracked, including date of specimen collection, and </w:t>
      </w:r>
      <w:proofErr w:type="spellStart"/>
      <w:r w:rsidR="6E7EA285" w:rsidRPr="006A0823">
        <w:rPr>
          <w:lang w:val="en-GB"/>
        </w:rPr>
        <w:t>Phylogenic</w:t>
      </w:r>
      <w:proofErr w:type="spellEnd"/>
      <w:r w:rsidR="6E7EA285" w:rsidRPr="006A0823">
        <w:rPr>
          <w:lang w:val="en-GB"/>
        </w:rPr>
        <w:t xml:space="preserve"> Assignment of Named Global Outbreak (</w:t>
      </w:r>
      <w:r w:rsidR="56BB898C" w:rsidRPr="006A0823">
        <w:rPr>
          <w:lang w:val="en-GB"/>
        </w:rPr>
        <w:t>PANGO</w:t>
      </w:r>
      <w:r w:rsidR="6E7EA285" w:rsidRPr="006A0823">
        <w:rPr>
          <w:lang w:val="en-GB"/>
        </w:rPr>
        <w:t>)</w:t>
      </w:r>
      <w:r w:rsidR="56BB898C" w:rsidRPr="006A0823">
        <w:rPr>
          <w:lang w:val="en-GB"/>
        </w:rPr>
        <w:t xml:space="preserve"> lineage assignment</w:t>
      </w:r>
      <w:r w:rsidR="51BBA07B" w:rsidRPr="006A0823">
        <w:rPr>
          <w:lang w:val="en-GB"/>
        </w:rPr>
        <w:t xml:space="preserve">. For each estimation location, we track the daily </w:t>
      </w:r>
      <w:r w:rsidR="5E64D3A5" w:rsidRPr="006A0823">
        <w:rPr>
          <w:lang w:val="en-GB"/>
        </w:rPr>
        <w:t>n</w:t>
      </w:r>
      <w:r w:rsidR="51BBA07B" w:rsidRPr="006A0823">
        <w:rPr>
          <w:lang w:val="en-GB"/>
        </w:rPr>
        <w:t>umber of SARS-CoV-2 sequences</w:t>
      </w:r>
      <w:r w:rsidR="377AE835" w:rsidRPr="006A0823">
        <w:rPr>
          <w:lang w:val="en-GB"/>
        </w:rPr>
        <w:t xml:space="preserve"> coll</w:t>
      </w:r>
      <w:r w:rsidR="6E7EA285" w:rsidRPr="006A0823">
        <w:rPr>
          <w:lang w:val="en-GB"/>
        </w:rPr>
        <w:t>ected (starting from January 1,</w:t>
      </w:r>
      <w:r w:rsidR="377AE835" w:rsidRPr="006A0823">
        <w:rPr>
          <w:lang w:val="en-GB"/>
        </w:rPr>
        <w:t xml:space="preserve"> 2020)</w:t>
      </w:r>
      <w:r w:rsidR="51BBA07B" w:rsidRPr="006A0823">
        <w:rPr>
          <w:lang w:val="en-GB"/>
        </w:rPr>
        <w:t xml:space="preserve">, and </w:t>
      </w:r>
      <w:r w:rsidR="4E281A69" w:rsidRPr="006A0823">
        <w:rPr>
          <w:lang w:val="en-GB"/>
        </w:rPr>
        <w:t xml:space="preserve">the number of variant-specific sequences collected on that day. We specifically track: </w:t>
      </w:r>
      <w:r w:rsidR="2732A71D" w:rsidRPr="006A0823">
        <w:rPr>
          <w:lang w:val="en-GB"/>
        </w:rPr>
        <w:t>B.1.1.7 (Alpha), B.1.351 (Beta), P.1 (Gamma), B.1.617.1 (Kappa), and B.1.617.2 (Delta)</w:t>
      </w:r>
      <w:r w:rsidR="136FA76B" w:rsidRPr="006A0823">
        <w:rPr>
          <w:lang w:val="en-GB"/>
        </w:rPr>
        <w:t xml:space="preserve"> using sequence data</w:t>
      </w:r>
      <w:r w:rsidR="2732A71D" w:rsidRPr="006A0823">
        <w:rPr>
          <w:lang w:val="en-GB"/>
        </w:rPr>
        <w:t>.</w:t>
      </w:r>
      <w:r w:rsidR="4B264C90" w:rsidRPr="006A0823">
        <w:rPr>
          <w:lang w:val="en-GB"/>
        </w:rPr>
        <w:t xml:space="preserve"> </w:t>
      </w:r>
    </w:p>
    <w:p w14:paraId="6B4ABE9D" w14:textId="0A2AB875" w:rsidR="24B06F8B" w:rsidRPr="006A0823" w:rsidRDefault="24B06F8B" w:rsidP="00BC3AE0">
      <w:pPr>
        <w:rPr>
          <w:lang w:val="en-GB"/>
        </w:rPr>
      </w:pPr>
      <w:r w:rsidRPr="006A0823">
        <w:rPr>
          <w:lang w:val="en-GB"/>
        </w:rPr>
        <w:t>Case</w:t>
      </w:r>
      <w:r w:rsidR="1602D8D5" w:rsidRPr="006A0823">
        <w:rPr>
          <w:lang w:val="en-GB"/>
        </w:rPr>
        <w:t>, hospitalisation, and death</w:t>
      </w:r>
      <w:r w:rsidRPr="006A0823">
        <w:rPr>
          <w:lang w:val="en-GB"/>
        </w:rPr>
        <w:t xml:space="preserve"> data w</w:t>
      </w:r>
      <w:r w:rsidR="4CA0F104" w:rsidRPr="006A0823">
        <w:rPr>
          <w:lang w:val="en-GB"/>
        </w:rPr>
        <w:t>ere</w:t>
      </w:r>
      <w:r w:rsidRPr="006A0823">
        <w:rPr>
          <w:lang w:val="en-GB"/>
        </w:rPr>
        <w:t xml:space="preserve"> procured from a variety of sources described in </w:t>
      </w:r>
      <w:r w:rsidR="00CC0D3F" w:rsidRPr="006A0823">
        <w:rPr>
          <w:lang w:val="en-GB"/>
        </w:rPr>
        <w:t>section 3</w:t>
      </w:r>
      <w:r w:rsidRPr="006A0823">
        <w:rPr>
          <w:lang w:val="en-GB"/>
        </w:rPr>
        <w:t>.</w:t>
      </w:r>
    </w:p>
    <w:p w14:paraId="2C173F6D" w14:textId="7F3F1803" w:rsidR="58E45EAE" w:rsidRPr="006A0823" w:rsidRDefault="58E45EAE" w:rsidP="0133EC87">
      <w:pPr>
        <w:pStyle w:val="Heading3"/>
        <w:ind w:left="720" w:hanging="720"/>
        <w:rPr>
          <w:lang w:val="en-GB"/>
        </w:rPr>
      </w:pPr>
      <w:bookmarkStart w:id="78" w:name="_Toc124499468"/>
      <w:r w:rsidRPr="006A0823">
        <w:rPr>
          <w:lang w:val="en-GB"/>
        </w:rPr>
        <w:t>Modelling sequence data</w:t>
      </w:r>
      <w:bookmarkEnd w:id="78"/>
    </w:p>
    <w:p w14:paraId="5D92A697" w14:textId="789402C3" w:rsidR="1CD0A215" w:rsidRPr="006A0823" w:rsidRDefault="5E740420" w:rsidP="00BC3AE0">
      <w:pPr>
        <w:rPr>
          <w:lang w:val="en-GB"/>
        </w:rPr>
      </w:pPr>
      <w:r w:rsidRPr="006A0823">
        <w:rPr>
          <w:lang w:val="en-GB"/>
        </w:rPr>
        <w:t>For the model</w:t>
      </w:r>
      <w:r w:rsidR="0062285B" w:rsidRPr="006A0823">
        <w:rPr>
          <w:lang w:val="en-GB"/>
        </w:rPr>
        <w:t>l</w:t>
      </w:r>
      <w:r w:rsidRPr="006A0823">
        <w:rPr>
          <w:lang w:val="en-GB"/>
        </w:rPr>
        <w:t xml:space="preserve">ing of the GISAID data, we first </w:t>
      </w:r>
      <w:r w:rsidR="283E35B4" w:rsidRPr="006A0823">
        <w:rPr>
          <w:lang w:val="en-GB"/>
        </w:rPr>
        <w:t xml:space="preserve">apply inclusion / exclusion criteria by location. The </w:t>
      </w:r>
      <w:r w:rsidR="2101B3DE" w:rsidRPr="006A0823">
        <w:rPr>
          <w:lang w:val="en-GB"/>
        </w:rPr>
        <w:t>primary</w:t>
      </w:r>
      <w:r w:rsidR="5AABC0BE" w:rsidRPr="006A0823">
        <w:rPr>
          <w:lang w:val="en-GB"/>
        </w:rPr>
        <w:t xml:space="preserve"> </w:t>
      </w:r>
      <w:r w:rsidR="39826255" w:rsidRPr="006A0823">
        <w:rPr>
          <w:lang w:val="en-GB"/>
        </w:rPr>
        <w:t>reason to apply inclusion / exclusion rules</w:t>
      </w:r>
      <w:r w:rsidR="53512CC2" w:rsidRPr="006A0823">
        <w:rPr>
          <w:lang w:val="en-GB"/>
        </w:rPr>
        <w:t xml:space="preserve"> is that</w:t>
      </w:r>
      <w:r w:rsidR="39826255" w:rsidRPr="006A0823">
        <w:rPr>
          <w:lang w:val="en-GB"/>
        </w:rPr>
        <w:t xml:space="preserve"> the sequence data reported to GISAID is not guaranteed to representative</w:t>
      </w:r>
      <w:r w:rsidR="74CF9826" w:rsidRPr="006A0823">
        <w:rPr>
          <w:lang w:val="en-GB"/>
        </w:rPr>
        <w:t xml:space="preserve">. </w:t>
      </w:r>
      <w:r w:rsidR="283E35B4" w:rsidRPr="006A0823">
        <w:rPr>
          <w:lang w:val="en-GB"/>
        </w:rPr>
        <w:t xml:space="preserve">There are </w:t>
      </w:r>
      <w:r w:rsidR="003E3762" w:rsidRPr="006A0823">
        <w:rPr>
          <w:lang w:val="en-GB"/>
        </w:rPr>
        <w:t>few</w:t>
      </w:r>
      <w:r w:rsidR="283E35B4" w:rsidRPr="006A0823">
        <w:rPr>
          <w:lang w:val="en-GB"/>
        </w:rPr>
        <w:t xml:space="preserve"> locations globally that have only a small number of infections sequenced, and </w:t>
      </w:r>
      <w:r w:rsidR="5F7D76BA" w:rsidRPr="006A0823">
        <w:rPr>
          <w:lang w:val="en-GB"/>
        </w:rPr>
        <w:t>in some cases, these sequences were based on contact tracing of someone entering from a locat</w:t>
      </w:r>
      <w:r w:rsidR="5C4B7C59" w:rsidRPr="006A0823">
        <w:rPr>
          <w:lang w:val="en-GB"/>
        </w:rPr>
        <w:t>i</w:t>
      </w:r>
      <w:r w:rsidR="5F7D76BA" w:rsidRPr="006A0823">
        <w:rPr>
          <w:lang w:val="en-GB"/>
        </w:rPr>
        <w:t>on with a specific variant of concern. As such, we apply 3 general rules for minimal data for mode</w:t>
      </w:r>
      <w:r w:rsidR="0062285B" w:rsidRPr="006A0823">
        <w:rPr>
          <w:lang w:val="en-GB"/>
        </w:rPr>
        <w:t>l</w:t>
      </w:r>
      <w:r w:rsidR="5F7D76BA" w:rsidRPr="006A0823">
        <w:rPr>
          <w:lang w:val="en-GB"/>
        </w:rPr>
        <w:t xml:space="preserve">ling. </w:t>
      </w:r>
      <w:r w:rsidR="424295C6" w:rsidRPr="006A0823">
        <w:rPr>
          <w:lang w:val="en-GB"/>
        </w:rPr>
        <w:t>We do not consider a location for sequence mode</w:t>
      </w:r>
      <w:r w:rsidR="0062285B" w:rsidRPr="006A0823">
        <w:rPr>
          <w:lang w:val="en-GB"/>
        </w:rPr>
        <w:t>l</w:t>
      </w:r>
      <w:r w:rsidR="424295C6" w:rsidRPr="006A0823">
        <w:rPr>
          <w:lang w:val="en-GB"/>
        </w:rPr>
        <w:t>ling unless</w:t>
      </w:r>
      <w:r w:rsidR="5A65440A" w:rsidRPr="006A0823">
        <w:rPr>
          <w:lang w:val="en-GB"/>
        </w:rPr>
        <w:t>:</w:t>
      </w:r>
      <w:r w:rsidR="424295C6" w:rsidRPr="006A0823">
        <w:rPr>
          <w:lang w:val="en-GB"/>
        </w:rPr>
        <w:t xml:space="preserve"> 1) </w:t>
      </w:r>
      <w:r w:rsidR="45021CE2" w:rsidRPr="006A0823">
        <w:rPr>
          <w:lang w:val="en-GB"/>
        </w:rPr>
        <w:t>they have one variant of concern with at least 200 sequences</w:t>
      </w:r>
      <w:r w:rsidR="5B43E031" w:rsidRPr="006A0823">
        <w:rPr>
          <w:lang w:val="en-GB"/>
        </w:rPr>
        <w:t>; 2) they have two variants of concern with at least 100 sequences each; or 3) they have one variant of concern with at least 50 sequ</w:t>
      </w:r>
      <w:r w:rsidR="4B5EF7E1" w:rsidRPr="006A0823">
        <w:rPr>
          <w:lang w:val="en-GB"/>
        </w:rPr>
        <w:t>e</w:t>
      </w:r>
      <w:r w:rsidR="5B43E031" w:rsidRPr="006A0823">
        <w:rPr>
          <w:lang w:val="en-GB"/>
        </w:rPr>
        <w:t xml:space="preserve">nces in the last six weeks. On a case-by-case basis we investigate each instance of a location almost </w:t>
      </w:r>
      <w:r w:rsidR="27420715" w:rsidRPr="006A0823">
        <w:rPr>
          <w:lang w:val="en-GB"/>
        </w:rPr>
        <w:t>passing a requirement (e.</w:t>
      </w:r>
      <w:r w:rsidR="283E35B4" w:rsidRPr="006A0823">
        <w:rPr>
          <w:lang w:val="en-GB"/>
        </w:rPr>
        <w:t>g</w:t>
      </w:r>
      <w:r w:rsidR="27420715" w:rsidRPr="006A0823">
        <w:rPr>
          <w:lang w:val="en-GB"/>
        </w:rPr>
        <w:t>., a location with 190 sequences of a single variant of concern will be researched to ide</w:t>
      </w:r>
      <w:r w:rsidR="07F7B741" w:rsidRPr="006A0823">
        <w:rPr>
          <w:lang w:val="en-GB"/>
        </w:rPr>
        <w:t>ntify if there are other reasons to presume there is local transmiss</w:t>
      </w:r>
      <w:r w:rsidR="5227899E" w:rsidRPr="006A0823">
        <w:rPr>
          <w:lang w:val="en-GB"/>
        </w:rPr>
        <w:t>i</w:t>
      </w:r>
      <w:r w:rsidR="07F7B741" w:rsidRPr="006A0823">
        <w:rPr>
          <w:lang w:val="en-GB"/>
        </w:rPr>
        <w:t xml:space="preserve">on, in which case we would include it). We then only model those variants that </w:t>
      </w:r>
      <w:r w:rsidR="07F7B741" w:rsidRPr="006A0823">
        <w:rPr>
          <w:lang w:val="en-GB"/>
        </w:rPr>
        <w:lastRenderedPageBreak/>
        <w:t xml:space="preserve">satisfied one of the three requirements for that </w:t>
      </w:r>
      <w:r w:rsidR="06DA7292" w:rsidRPr="006A0823">
        <w:rPr>
          <w:lang w:val="en-GB"/>
        </w:rPr>
        <w:t>location</w:t>
      </w:r>
      <w:r w:rsidR="07F7B741" w:rsidRPr="006A0823">
        <w:rPr>
          <w:lang w:val="en-GB"/>
        </w:rPr>
        <w:t xml:space="preserve">, reclassifying all other </w:t>
      </w:r>
      <w:r w:rsidR="619771E9" w:rsidRPr="006A0823">
        <w:rPr>
          <w:lang w:val="en-GB"/>
        </w:rPr>
        <w:t xml:space="preserve">variant sequences in that location as “other”. </w:t>
      </w:r>
    </w:p>
    <w:p w14:paraId="7ADEB036" w14:textId="7F32A85F" w:rsidR="178C38A0" w:rsidRPr="006A0823" w:rsidRDefault="07F7B741" w:rsidP="00297A46">
      <w:pPr>
        <w:pStyle w:val="ListParagraph"/>
        <w:ind w:left="0"/>
        <w:rPr>
          <w:lang w:val="en-GB"/>
        </w:rPr>
      </w:pPr>
      <w:r w:rsidRPr="006A0823">
        <w:rPr>
          <w:lang w:val="en-GB"/>
        </w:rPr>
        <w:t>Once the location</w:t>
      </w:r>
      <w:r w:rsidR="004D75E2" w:rsidRPr="006A0823">
        <w:rPr>
          <w:lang w:val="en-GB"/>
        </w:rPr>
        <w:t>/variant set is defined, we model each location’s included variants with a sequential logistic</w:t>
      </w:r>
      <w:r w:rsidR="030D4D2A" w:rsidRPr="006A0823">
        <w:rPr>
          <w:lang w:val="en-GB"/>
        </w:rPr>
        <w:t xml:space="preserve"> regression using t</w:t>
      </w:r>
      <w:r w:rsidR="0304627D" w:rsidRPr="006A0823">
        <w:rPr>
          <w:lang w:val="en-GB"/>
        </w:rPr>
        <w:t>he regression tool MR-BRT</w:t>
      </w:r>
      <w:r w:rsidR="295D7311" w:rsidRPr="006A0823">
        <w:rPr>
          <w:lang w:val="en-GB"/>
        </w:rPr>
        <w:t>.</w:t>
      </w:r>
      <w:r w:rsidRPr="006A0823">
        <w:rPr>
          <w:color w:val="2B579A"/>
          <w:lang w:val="en-GB"/>
        </w:rPr>
        <w:fldChar w:fldCharType="begin"/>
      </w:r>
      <w:r w:rsidR="004876B1" w:rsidRPr="006A0823">
        <w:rPr>
          <w:lang w:val="en-GB"/>
        </w:rPr>
        <w:instrText xml:space="preserve"> ADDIN ZOTERO_ITEM CSL_CITATION {"citationID":"a2hpcn6fgos","properties":{"formattedCitation":"\\super 9\\nosupersub{}","plainCitation":"9","noteIndex":0},"citationItems":[{"id":20777,"uris":["http://zotero.org/groups/2154524/items/2BT4KVYF"],"itemData":{"id":20777,"type":"article-journal","abstract":"Mixed effects (ME) models inform a vast array of problems in the physical and social sciences, and are pervasive in meta-analysis. We consider ME models where the random effects component is linear. We then develop an efficient approach for a broad problem class that allows nonlinear measurements, priors, and constraints, and finds robust estimates in all of these cases using trimming in the associated marginal likelihood. The software accompanying this article is disseminated as an open-source Python package called LimeTr. LimeTr is able to recover results more accurately in the presence of outliers compared to available packages for both standard longitudinal analysis and meta-analysis, and is also more computationally efficient than competing robust alternatives. Supplementary materials that reproduce the simulations, as well as run LimeTr and third party code are available online. We also present analyses of global health data, where we use advanced functionality of LimeTr, including constraints to impose monotonicity and concavity for dose–response relationships. Nonlinear observation models allow new analyses in place of classic approximations, such as log-linear models. Robust extensions in all analyses ensure that spurious data points do not drive our understanding of either mean relationships or between-study heterogeneity.","container-title":"Journal of Computational and Graphical Statistics","DOI":"10.1080/10618600.2020.1868303","ISSN":"1061-8600","issue":"0","note":"publisher: Taylor &amp; Francis\n_eprint: https://doi.org/10.1080/10618600.2020.1868303","page":"1-13","source":"Taylor and Francis+NEJM","title":"Trimmed constrained mixed effects models: formulations and algorithms","title-short":"Trimmed Constrained Mixed Effects Models","volume":"0","author":[{"family":"Zheng","given":"Peng"},{"family":"Barber","given":"Ryan"},{"family":"Sorensen","given":"Reed J. D."},{"family":"Murray","given":"Christopher J. L."},{"family":"Aravkin","given":"Aleksandr Y."}],"issued":{"date-parts":[["2021",1,4]]}}}],"schema":"https://github.com/citation-style-language/schema/raw/master/csl-citation.json"} </w:instrText>
      </w:r>
      <w:r w:rsidRPr="006A0823">
        <w:rPr>
          <w:color w:val="2B579A"/>
          <w:lang w:val="en-GB"/>
        </w:rPr>
        <w:fldChar w:fldCharType="separate"/>
      </w:r>
      <w:r w:rsidR="005F6E83" w:rsidRPr="006A0823">
        <w:rPr>
          <w:sz w:val="22"/>
          <w:szCs w:val="22"/>
          <w:vertAlign w:val="superscript"/>
        </w:rPr>
        <w:t>9</w:t>
      </w:r>
      <w:r w:rsidRPr="006A0823">
        <w:rPr>
          <w:color w:val="2B579A"/>
          <w:lang w:val="en-GB"/>
        </w:rPr>
        <w:fldChar w:fldCharType="end"/>
      </w:r>
      <w:r w:rsidR="0304627D" w:rsidRPr="006A0823">
        <w:rPr>
          <w:lang w:val="en-GB"/>
        </w:rPr>
        <w:t xml:space="preserve"> In particular, </w:t>
      </w:r>
      <w:r w:rsidR="7D355B37" w:rsidRPr="006A0823">
        <w:rPr>
          <w:lang w:val="en-GB"/>
        </w:rPr>
        <w:t>by day, we model what fraction of all circulating infections are of each variant type.</w:t>
      </w:r>
      <w:r w:rsidR="0304627D" w:rsidRPr="006A0823">
        <w:rPr>
          <w:lang w:val="en-GB"/>
        </w:rPr>
        <w:t xml:space="preserve"> </w:t>
      </w:r>
      <w:r w:rsidR="7D355B37" w:rsidRPr="006A0823">
        <w:rPr>
          <w:lang w:val="en-GB"/>
        </w:rPr>
        <w:t xml:space="preserve">First, </w:t>
      </w:r>
      <w:r w:rsidR="0304627D" w:rsidRPr="006A0823">
        <w:rPr>
          <w:lang w:val="en-GB"/>
        </w:rPr>
        <w:t xml:space="preserve">we identify the variant with the most sequences (which frequently is the “other” variant) and model </w:t>
      </w:r>
      <w:r w:rsidR="44AA3970" w:rsidRPr="006A0823">
        <w:rPr>
          <w:lang w:val="en-GB"/>
        </w:rPr>
        <w:t>what</w:t>
      </w:r>
      <w:r w:rsidR="0304627D" w:rsidRPr="006A0823">
        <w:rPr>
          <w:lang w:val="en-GB"/>
        </w:rPr>
        <w:t xml:space="preserve"> fraction of all variants are of that type</w:t>
      </w:r>
      <w:r w:rsidR="0B3EE6AC" w:rsidRPr="006A0823">
        <w:rPr>
          <w:lang w:val="en-GB"/>
        </w:rPr>
        <w:t xml:space="preserve"> by day</w:t>
      </w:r>
      <w:r w:rsidR="0304627D" w:rsidRPr="006A0823">
        <w:rPr>
          <w:lang w:val="en-GB"/>
        </w:rPr>
        <w:t>. W</w:t>
      </w:r>
      <w:r w:rsidR="4BD23D8A" w:rsidRPr="006A0823">
        <w:rPr>
          <w:lang w:val="en-GB"/>
        </w:rPr>
        <w:t xml:space="preserve">e then move to the next most common variant for a location, and model what fraction of the </w:t>
      </w:r>
      <w:r w:rsidR="79C4DF43" w:rsidRPr="006A0823">
        <w:rPr>
          <w:lang w:val="en-GB"/>
        </w:rPr>
        <w:t xml:space="preserve">unaccounted-for variants each day are of that type. We continue in this manner until we have </w:t>
      </w:r>
      <w:r w:rsidR="403F1FC5" w:rsidRPr="006A0823">
        <w:rPr>
          <w:lang w:val="en-GB"/>
        </w:rPr>
        <w:t>modelled</w:t>
      </w:r>
      <w:r w:rsidR="79C4DF43" w:rsidRPr="006A0823">
        <w:rPr>
          <w:lang w:val="en-GB"/>
        </w:rPr>
        <w:t xml:space="preserve"> 100% of each day’s variant distribution. </w:t>
      </w:r>
      <w:r w:rsidR="22232E53" w:rsidRPr="006A0823">
        <w:rPr>
          <w:lang w:val="en-GB"/>
        </w:rPr>
        <w:t xml:space="preserve">Second, we use our fitted model to forecast into the future the fraction of each day’s variants that are of each type. </w:t>
      </w:r>
    </w:p>
    <w:p w14:paraId="589FF728" w14:textId="5D3D74BA" w:rsidR="34B62F21" w:rsidRPr="006A0823" w:rsidRDefault="7A42F6EA" w:rsidP="00BC3AE0">
      <w:pPr>
        <w:rPr>
          <w:lang w:val="en-GB"/>
        </w:rPr>
      </w:pPr>
      <w:r w:rsidRPr="006A0823">
        <w:rPr>
          <w:lang w:val="en-GB"/>
        </w:rPr>
        <w:t>We model Delta and Kappa sep</w:t>
      </w:r>
      <w:r w:rsidR="67A9C47E" w:rsidRPr="006A0823">
        <w:rPr>
          <w:lang w:val="en-GB"/>
        </w:rPr>
        <w:t>a</w:t>
      </w:r>
      <w:r w:rsidRPr="006A0823">
        <w:rPr>
          <w:lang w:val="en-GB"/>
        </w:rPr>
        <w:t>rately but given the ubiquity of the Delta variant, we combine their estimates</w:t>
      </w:r>
      <w:r w:rsidR="31E400F9" w:rsidRPr="006A0823">
        <w:rPr>
          <w:lang w:val="en-GB"/>
        </w:rPr>
        <w:t>.</w:t>
      </w:r>
      <w:r w:rsidR="49972C97" w:rsidRPr="006A0823">
        <w:rPr>
          <w:lang w:val="en-GB"/>
        </w:rPr>
        <w:t xml:space="preserve"> </w:t>
      </w:r>
      <w:r w:rsidR="599879CA" w:rsidRPr="006A0823">
        <w:rPr>
          <w:lang w:val="en-GB"/>
        </w:rPr>
        <w:t xml:space="preserve">Finally, as there are many locations that began sequencing data well after their invasion, we anchor each regression by </w:t>
      </w:r>
      <w:r w:rsidR="5DE21215" w:rsidRPr="006A0823">
        <w:rPr>
          <w:lang w:val="en-GB"/>
        </w:rPr>
        <w:t>imputing</w:t>
      </w:r>
      <w:r w:rsidR="4258AAC7" w:rsidRPr="006A0823">
        <w:rPr>
          <w:lang w:val="en-GB"/>
        </w:rPr>
        <w:t xml:space="preserve"> an anchor for each variant at zero percent 3 weeks before the first included variant of concern data point.</w:t>
      </w:r>
    </w:p>
    <w:p w14:paraId="149CA069" w14:textId="4AD01CFD" w:rsidR="78935281" w:rsidRPr="006A0823" w:rsidRDefault="78935281" w:rsidP="0133EC87">
      <w:pPr>
        <w:pStyle w:val="Heading3"/>
        <w:ind w:left="720" w:hanging="720"/>
        <w:rPr>
          <w:lang w:val="en-GB"/>
        </w:rPr>
      </w:pPr>
      <w:bookmarkStart w:id="79" w:name="_Toc124499469"/>
      <w:r w:rsidRPr="006A0823">
        <w:rPr>
          <w:lang w:val="en-GB"/>
        </w:rPr>
        <w:t>Model calibration</w:t>
      </w:r>
      <w:bookmarkEnd w:id="79"/>
    </w:p>
    <w:p w14:paraId="461A2832" w14:textId="7CF33C0B" w:rsidR="00734414" w:rsidRPr="006A0823" w:rsidRDefault="00AA7E51" w:rsidP="00AA7E51">
      <w:pPr>
        <w:rPr>
          <w:lang w:val="en-GB"/>
        </w:rPr>
      </w:pPr>
      <w:r w:rsidRPr="006A0823">
        <w:rPr>
          <w:lang w:val="en-GB"/>
        </w:rPr>
        <w:t xml:space="preserve">Our base model attempts to best capture the date and speed of a variant invasion according to the GISAID database. New variant invasions form a boundary condition in our SEI transmission model, and we found that the raw results </w:t>
      </w:r>
      <w:r w:rsidR="00C664BA" w:rsidRPr="006A0823">
        <w:rPr>
          <w:lang w:val="en-GB"/>
        </w:rPr>
        <w:t xml:space="preserve">from our initial model to be inconsistent with reported trends in cases, hospital admissions, and deaths. </w:t>
      </w:r>
      <w:r w:rsidR="00734414" w:rsidRPr="006A0823">
        <w:rPr>
          <w:lang w:val="en-GB"/>
        </w:rPr>
        <w:t>Part of the discrepancy is explained by differences in the reporting mechanisms. GISAID collates its own data sources with reporting mechanisms that are unclear to us, and so data may or may not be representative of the population of a country or subnational unit in question, the data may be lagged or aggregated from multiple data sources with different lags, and the data may be exposed to other issues that compromise the quality of the reports in ways we cannot accommodate.</w:t>
      </w:r>
      <w:r w:rsidR="00475A62" w:rsidRPr="006A0823">
        <w:rPr>
          <w:lang w:val="en-GB"/>
        </w:rPr>
        <w:t xml:space="preserve"> There are also just far, far fewer sequences of COVID-19 cases than there are cases (and often fewer sequences than hospitalisations or deaths). These data quality issues can lead the sequence model to predict variant invasions in the middle of downturns in transmission and invasions at periods where there is almost no reported COVID-19 transmission. </w:t>
      </w:r>
      <w:r w:rsidR="00734414" w:rsidRPr="006A0823">
        <w:rPr>
          <w:lang w:val="en-GB"/>
        </w:rPr>
        <w:t>The second issue is definitional: our model of GISAID sequences seeks to identify the date at which a new variant begins to compete with and dominate transmission in a particular country or subnational unit</w:t>
      </w:r>
      <w:r w:rsidR="00475A62" w:rsidRPr="006A0823">
        <w:rPr>
          <w:lang w:val="en-GB"/>
        </w:rPr>
        <w:t>, assuming the sequences are representative of the location as a whole</w:t>
      </w:r>
      <w:r w:rsidR="00734414" w:rsidRPr="006A0823">
        <w:rPr>
          <w:lang w:val="en-GB"/>
        </w:rPr>
        <w:t>. Our SEI transmission model is looking for boundary conditions that mechanically explain sudden surges in transmission</w:t>
      </w:r>
      <w:r w:rsidR="00475A62" w:rsidRPr="006A0823">
        <w:rPr>
          <w:lang w:val="en-GB"/>
        </w:rPr>
        <w:t xml:space="preserve"> in a particular country or subnational unit, assuming current transmission is representative of the location as a whole</w:t>
      </w:r>
      <w:r w:rsidR="00734414" w:rsidRPr="006A0823">
        <w:rPr>
          <w:lang w:val="en-GB"/>
        </w:rPr>
        <w:t xml:space="preserve">. As a result, </w:t>
      </w:r>
      <w:r w:rsidR="000F4755" w:rsidRPr="006A0823">
        <w:rPr>
          <w:lang w:val="en-GB"/>
        </w:rPr>
        <w:t>invasions according to sequence data can often occur weeks or months ahead of a surge in COVID-19 transmission.</w:t>
      </w:r>
      <w:r w:rsidR="00475A62" w:rsidRPr="006A0823">
        <w:rPr>
          <w:lang w:val="en-GB"/>
        </w:rPr>
        <w:t xml:space="preserve"> </w:t>
      </w:r>
    </w:p>
    <w:p w14:paraId="4444AFBE" w14:textId="20F53B53" w:rsidR="24B06F8B" w:rsidRPr="006A0823" w:rsidRDefault="4AB80A23" w:rsidP="00BC3AE0">
      <w:pPr>
        <w:rPr>
          <w:lang w:val="en-GB"/>
        </w:rPr>
      </w:pPr>
      <w:r w:rsidRPr="006A0823">
        <w:rPr>
          <w:lang w:val="en-GB"/>
        </w:rPr>
        <w:t>To resolve th</w:t>
      </w:r>
      <w:r w:rsidR="4EB695ED" w:rsidRPr="006A0823">
        <w:rPr>
          <w:lang w:val="en-GB"/>
        </w:rPr>
        <w:t xml:space="preserve">e inconsistencies between the models in the service of making the best estimates and predictions for the geographies we model, we elected for a manual calibration procedure that uses unexplained surges in reported cases, hospital admissions, and deaths as the primary indicator of a new variant invasion and then used the sequencing model and GISAID data as an indicator of variant presence and timing. For this calibration, we built panel plots with the total daily sequences from GISAID, the sequence rate (daily sequences / daily cases), the variant proportion from our base sequence model and then the reported daily cases, hospital admissions, and deaths. Atop these plots, we drew </w:t>
      </w:r>
      <w:r w:rsidRPr="006A0823">
        <w:rPr>
          <w:lang w:val="en-GB"/>
        </w:rPr>
        <w:t xml:space="preserve">vertical lines representing the base model predictions for the variant invasion date in purple and the </w:t>
      </w:r>
      <w:r w:rsidR="365DE609" w:rsidRPr="006A0823">
        <w:rPr>
          <w:lang w:val="en-GB"/>
        </w:rPr>
        <w:t>post-calibration invasion date</w:t>
      </w:r>
      <w:r w:rsidR="4EB695ED" w:rsidRPr="006A0823">
        <w:rPr>
          <w:lang w:val="en-GB"/>
        </w:rPr>
        <w:t xml:space="preserve">s in red. Invasion dates were then adjusted by hand to best align with transmission surges and variants were selected to best match our sequence model. For the two Omicron waves we model, we found the GISAID sequence data to generally be a poor match and we relied entirely on the manual calibration process for invasion date selection. </w:t>
      </w:r>
      <w:r w:rsidR="09ED4193" w:rsidRPr="006A0823">
        <w:rPr>
          <w:lang w:val="en-GB"/>
        </w:rPr>
        <w:t xml:space="preserve">Calibration plots are included for all locations in </w:t>
      </w:r>
      <w:r w:rsidR="15DA6A92" w:rsidRPr="006A0823">
        <w:rPr>
          <w:lang w:val="en-GB"/>
        </w:rPr>
        <w:t>a</w:t>
      </w:r>
      <w:r w:rsidR="09ED4193" w:rsidRPr="006A0823">
        <w:rPr>
          <w:lang w:val="en-GB"/>
        </w:rPr>
        <w:t xml:space="preserve">ppendix 6, </w:t>
      </w:r>
      <w:r w:rsidR="063B32AF" w:rsidRPr="006A0823">
        <w:rPr>
          <w:lang w:val="en-GB"/>
        </w:rPr>
        <w:t>s</w:t>
      </w:r>
      <w:r w:rsidR="09ED4193" w:rsidRPr="006A0823">
        <w:rPr>
          <w:lang w:val="en-GB"/>
        </w:rPr>
        <w:t xml:space="preserve">ection 2. Our transmission model attributes reported cases, hospital admissions, and deaths to particular variants, and so we used the outputs of model runs in an iterative process to tweak variant invasion dates using area plots of the variant-split metrics (see </w:t>
      </w:r>
      <w:r w:rsidR="7AB6FA0C" w:rsidRPr="006A0823">
        <w:rPr>
          <w:lang w:val="en-GB"/>
        </w:rPr>
        <w:t>a</w:t>
      </w:r>
      <w:r w:rsidR="09ED4193" w:rsidRPr="006A0823">
        <w:rPr>
          <w:lang w:val="en-GB"/>
        </w:rPr>
        <w:t xml:space="preserve">ppendix 6, </w:t>
      </w:r>
      <w:r w:rsidR="40129CBD" w:rsidRPr="006A0823">
        <w:rPr>
          <w:lang w:val="en-GB"/>
        </w:rPr>
        <w:t>s</w:t>
      </w:r>
      <w:r w:rsidR="09ED4193" w:rsidRPr="006A0823">
        <w:rPr>
          <w:lang w:val="en-GB"/>
        </w:rPr>
        <w:t>ection 3).</w:t>
      </w:r>
    </w:p>
    <w:p w14:paraId="2DA8DF84" w14:textId="39157FB7" w:rsidR="24B06F8B" w:rsidRPr="006A0823" w:rsidRDefault="0E4BD7E8" w:rsidP="00F97F3D">
      <w:pPr>
        <w:pStyle w:val="Heading3"/>
        <w:rPr>
          <w:lang w:val="en-GB"/>
        </w:rPr>
      </w:pPr>
      <w:bookmarkStart w:id="80" w:name="_Toc104245018"/>
      <w:bookmarkStart w:id="81" w:name="_Toc104249333"/>
      <w:bookmarkStart w:id="82" w:name="_Toc104252061"/>
      <w:bookmarkStart w:id="83" w:name="_Toc124499470"/>
      <w:r w:rsidRPr="006A0823">
        <w:rPr>
          <w:lang w:val="en-GB"/>
        </w:rPr>
        <w:t>New variant invasion scenario</w:t>
      </w:r>
      <w:bookmarkEnd w:id="80"/>
      <w:bookmarkEnd w:id="81"/>
      <w:bookmarkEnd w:id="82"/>
      <w:bookmarkEnd w:id="83"/>
    </w:p>
    <w:p w14:paraId="2FEFA85C" w14:textId="62640C90" w:rsidR="00AF5B46" w:rsidRPr="006A0823" w:rsidRDefault="5A975848" w:rsidP="00BC3AE0">
      <w:pPr>
        <w:rPr>
          <w:rFonts w:eastAsia="Calibri"/>
          <w:lang w:val="en-GB"/>
        </w:rPr>
      </w:pPr>
      <w:r w:rsidRPr="006A0823">
        <w:rPr>
          <w:lang w:val="en-GB"/>
        </w:rPr>
        <w:t>New variants of SARS-CoV-2 are inevitable. The exact nature of the next variant of concern and its origin and timing are unknowable</w:t>
      </w:r>
      <w:r w:rsidR="36BB6629" w:rsidRPr="006A0823" w:rsidDel="5A975848">
        <w:rPr>
          <w:lang w:val="en-GB"/>
        </w:rPr>
        <w:t xml:space="preserve">. </w:t>
      </w:r>
      <w:r w:rsidRPr="006A0823">
        <w:rPr>
          <w:lang w:val="en-GB"/>
        </w:rPr>
        <w:t xml:space="preserve">To account for the uncertain nature of the next variant, we have constructed a set of parameterizations that blend the characteristics of both the Delta variant and the Omicron variant, as detailed in the </w:t>
      </w:r>
      <w:r w:rsidRPr="006A0823">
        <w:rPr>
          <w:lang w:val="en-GB"/>
        </w:rPr>
        <w:lastRenderedPageBreak/>
        <w:t>main text</w:t>
      </w:r>
      <w:r w:rsidR="36BB6629" w:rsidRPr="006A0823" w:rsidDel="5A975848">
        <w:rPr>
          <w:lang w:val="en-GB"/>
        </w:rPr>
        <w:t xml:space="preserve">. </w:t>
      </w:r>
      <w:r w:rsidRPr="006A0823">
        <w:rPr>
          <w:lang w:val="en-GB"/>
        </w:rPr>
        <w:t xml:space="preserve">For the origin and timing of the next variant, we have decided to have the new variant first appear in South Africa on </w:t>
      </w:r>
      <w:r w:rsidR="00961C24" w:rsidRPr="006A0823">
        <w:rPr>
          <w:lang w:val="en-GB"/>
        </w:rPr>
        <w:t>January 15, 2023</w:t>
      </w:r>
      <w:r w:rsidRPr="006A0823">
        <w:rPr>
          <w:lang w:val="en-GB"/>
        </w:rPr>
        <w:t>, and then follow the same invasion pattern relative to this first invasion as the Omicron variant did</w:t>
      </w:r>
      <w:r w:rsidR="36BB6629" w:rsidRPr="006A0823" w:rsidDel="5A975848">
        <w:rPr>
          <w:lang w:val="en-GB"/>
        </w:rPr>
        <w:t xml:space="preserve">. </w:t>
      </w:r>
      <w:r w:rsidRPr="006A0823">
        <w:rPr>
          <w:lang w:val="en-GB"/>
        </w:rPr>
        <w:t xml:space="preserve">There are many options we could choose to use for origin and timing but using the Omicron invasion pattern lets us use a historically realistic pattern of location-to-location spread in what we expect is a representative behavioural and mandate policy environment. </w:t>
      </w:r>
    </w:p>
    <w:p w14:paraId="351A447D" w14:textId="2C2921BB" w:rsidR="24B06F8B" w:rsidRPr="006A0823" w:rsidRDefault="0E4BD7E8" w:rsidP="00BC3AE0">
      <w:pPr>
        <w:pStyle w:val="Heading2"/>
        <w:rPr>
          <w:lang w:val="en-GB"/>
        </w:rPr>
      </w:pPr>
      <w:bookmarkStart w:id="84" w:name="_Toc104245019"/>
      <w:bookmarkStart w:id="85" w:name="_Toc104249334"/>
      <w:bookmarkStart w:id="86" w:name="_Toc104252062"/>
      <w:bookmarkStart w:id="87" w:name="_Toc124499471"/>
      <w:r w:rsidRPr="006A0823">
        <w:rPr>
          <w:lang w:val="en-GB"/>
        </w:rPr>
        <w:t xml:space="preserve">Vaccination </w:t>
      </w:r>
      <w:r w:rsidR="00297A46" w:rsidRPr="006A0823">
        <w:rPr>
          <w:lang w:val="en-GB"/>
        </w:rPr>
        <w:t>r</w:t>
      </w:r>
      <w:r w:rsidRPr="006A0823">
        <w:rPr>
          <w:lang w:val="en-GB"/>
        </w:rPr>
        <w:t>ates</w:t>
      </w:r>
      <w:bookmarkEnd w:id="84"/>
      <w:bookmarkEnd w:id="85"/>
      <w:bookmarkEnd w:id="86"/>
      <w:bookmarkEnd w:id="87"/>
    </w:p>
    <w:p w14:paraId="5D0BEF51" w14:textId="3016846D" w:rsidR="00740CCA" w:rsidRPr="006A0823" w:rsidRDefault="659DEFD9" w:rsidP="00BC3AE0">
      <w:pPr>
        <w:rPr>
          <w:lang w:val="en-GB"/>
        </w:rPr>
      </w:pPr>
      <w:r w:rsidRPr="006A0823">
        <w:rPr>
          <w:lang w:val="en-GB"/>
        </w:rPr>
        <w:t xml:space="preserve">The rapid development and distribution COVID-19 vaccines has been one of the primary pharmaceutical interventions used to reduce SARS-CoV-2 transmission and mortality. </w:t>
      </w:r>
      <w:r w:rsidR="1FD0A29F" w:rsidRPr="006A0823">
        <w:rPr>
          <w:lang w:val="en-GB"/>
        </w:rPr>
        <w:t xml:space="preserve">Forecasting SARS-CoV-2 transmission therefore requires data on historical vaccine uptake as well as an accurate prediction of population level vaccination coverage in the future. </w:t>
      </w:r>
      <w:r w:rsidRPr="006A0823">
        <w:rPr>
          <w:lang w:val="en-GB"/>
        </w:rPr>
        <w:t xml:space="preserve">Since COVID-19 vaccines were developed in response to the ongoing pandemic, quantifying vaccination coverage depends on a suite of factors which include the supply and manufacturing constraints of the vaccines, international purchasing agreements, which vaccine brands are available in each </w:t>
      </w:r>
      <w:r w:rsidR="191B8376" w:rsidRPr="006A0823">
        <w:rPr>
          <w:lang w:val="en-GB"/>
        </w:rPr>
        <w:t>country</w:t>
      </w:r>
      <w:r w:rsidRPr="006A0823">
        <w:rPr>
          <w:lang w:val="en-GB"/>
        </w:rPr>
        <w:t xml:space="preserve">, and the willingness to be vaccinated in the population (vaccine hesitancy).  </w:t>
      </w:r>
    </w:p>
    <w:p w14:paraId="4AC715EA" w14:textId="2BBB2A51" w:rsidR="00EB27B1" w:rsidRPr="006A0823" w:rsidRDefault="2A9401F7" w:rsidP="00BC3AE0">
      <w:pPr>
        <w:rPr>
          <w:rFonts w:eastAsia="Calibri"/>
          <w:lang w:val="en-GB"/>
        </w:rPr>
      </w:pPr>
      <w:bookmarkStart w:id="88" w:name="_Toc76457832"/>
      <w:bookmarkStart w:id="89" w:name="_Toc76653791"/>
      <w:r w:rsidRPr="006A0823">
        <w:rPr>
          <w:lang w:val="en-GB"/>
        </w:rPr>
        <w:t>To predict population</w:t>
      </w:r>
      <w:r w:rsidR="2ACFB927" w:rsidRPr="006A0823">
        <w:rPr>
          <w:lang w:val="en-GB"/>
        </w:rPr>
        <w:t xml:space="preserve"> vaccination coverage in the future, we constructed location-specific models that project the daily rate of vaccination as a function of vaccine supply, the current trajectory of vaccine administration (shots in arms), and vaccine hesitancy. More detailed descriptions of each component can be found in the following sections. For the overall mathematical framework of vaccine delivery</w:t>
      </w:r>
      <w:r w:rsidR="1BFB06BE" w:rsidRPr="006A0823">
        <w:rPr>
          <w:lang w:val="en-GB"/>
        </w:rPr>
        <w:t xml:space="preserve">, we define the proportion of the population that has received at least one dose in location </w:t>
      </w:r>
      <m:oMath>
        <m:r>
          <w:rPr>
            <w:rFonts w:ascii="Cambria Math" w:hAnsi="Cambria Math"/>
          </w:rPr>
          <m:t>j </m:t>
        </m:r>
      </m:oMath>
      <w:r w:rsidR="1BFB06BE" w:rsidRPr="006A0823">
        <w:rPr>
          <w:lang w:val="en-GB"/>
        </w:rPr>
        <w:t xml:space="preserve"> </w:t>
      </w:r>
      <w:r w:rsidR="1351E0DB" w:rsidRPr="006A0823">
        <w:rPr>
          <w:lang w:val="en-GB"/>
        </w:rPr>
        <w:t xml:space="preserve">and time </w:t>
      </w:r>
      <m:oMath>
        <m:r>
          <w:rPr>
            <w:rFonts w:ascii="Cambria Math" w:hAnsi="Cambria Math"/>
          </w:rPr>
          <m:t>t </m:t>
        </m:r>
      </m:oMath>
      <w:r w:rsidR="1BFB06BE" w:rsidRPr="006A0823">
        <w:rPr>
          <w:lang w:val="en-GB"/>
        </w:rPr>
        <w:t xml:space="preserve"> as:</w:t>
      </w:r>
    </w:p>
    <w:p w14:paraId="7DC00EF1" w14:textId="7AE20143" w:rsidR="00093666" w:rsidRPr="006A0823" w:rsidRDefault="00000000" w:rsidP="65640B3B">
      <w:pPr>
        <w:jc w:val="center"/>
      </w:pPr>
      <m:oMath>
        <m:sSub>
          <m:sSubPr>
            <m:ctrlPr>
              <w:rPr>
                <w:rFonts w:ascii="Cambria Math" w:hAnsi="Cambria Math"/>
              </w:rPr>
            </m:ctrlPr>
          </m:sSubPr>
          <m:e>
            <m:r>
              <w:rPr>
                <w:rFonts w:ascii="Cambria Math" w:hAnsi="Cambria Math"/>
              </w:rPr>
              <m:t>p</m:t>
            </m:r>
          </m:e>
          <m:sub>
            <m:r>
              <w:rPr>
                <w:rFonts w:ascii="Cambria Math" w:hAnsi="Cambria Math"/>
              </w:rPr>
              <m:t>jt</m:t>
            </m:r>
          </m:sub>
        </m:sSub>
        <m:r>
          <w:rPr>
            <w:rFonts w:ascii="Cambria Math" w:hAnsi="Cambria Math"/>
          </w:rPr>
          <m:t>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jt</m:t>
                </m:r>
              </m:sub>
            </m:sSub>
          </m:num>
          <m:den>
            <m:sSub>
              <m:sSubPr>
                <m:ctrlPr>
                  <w:rPr>
                    <w:rFonts w:ascii="Cambria Math" w:hAnsi="Cambria Math"/>
                  </w:rPr>
                </m:ctrlPr>
              </m:sSubPr>
              <m:e>
                <m:r>
                  <w:rPr>
                    <w:rFonts w:ascii="Cambria Math" w:hAnsi="Cambria Math"/>
                  </w:rPr>
                  <m:t>N</m:t>
                </m:r>
              </m:e>
              <m:sub>
                <m:r>
                  <w:rPr>
                    <w:rFonts w:ascii="Cambria Math" w:hAnsi="Cambria Math"/>
                  </w:rPr>
                  <m:t>j</m:t>
                </m:r>
              </m:sub>
            </m:sSub>
          </m:den>
        </m:f>
      </m:oMath>
      <w:r w:rsidR="0B949941" w:rsidRPr="006A0823">
        <w:t>.</w:t>
      </w:r>
    </w:p>
    <w:p w14:paraId="11DC6EF6" w14:textId="107D2EDF" w:rsidR="00D953D8" w:rsidRPr="006A0823" w:rsidRDefault="73F51683" w:rsidP="00BC3AE0">
      <w:r w:rsidRPr="006A0823">
        <w:t xml:space="preserve">Where </w:t>
      </w:r>
      <m:oMath>
        <m:sSub>
          <m:sSubPr>
            <m:ctrlPr>
              <w:rPr>
                <w:rFonts w:ascii="Cambria Math" w:hAnsi="Cambria Math"/>
              </w:rPr>
            </m:ctrlPr>
          </m:sSubPr>
          <m:e>
            <m:r>
              <w:rPr>
                <w:rFonts w:ascii="Cambria Math" w:hAnsi="Cambria Math"/>
              </w:rPr>
              <m:t>V</m:t>
            </m:r>
          </m:e>
          <m:sub>
            <m:r>
              <w:rPr>
                <w:rFonts w:ascii="Cambria Math" w:hAnsi="Cambria Math"/>
              </w:rPr>
              <m:t>jt</m:t>
            </m:r>
          </m:sub>
        </m:sSub>
      </m:oMath>
      <w:r w:rsidRPr="006A0823">
        <w:t xml:space="preserve"> is the total number of individuals with a first vaccine dose and </w:t>
      </w:r>
      <m:oMath>
        <m:sSub>
          <m:sSubPr>
            <m:ctrlPr>
              <w:rPr>
                <w:rFonts w:ascii="Cambria Math" w:hAnsi="Cambria Math"/>
              </w:rPr>
            </m:ctrlPr>
          </m:sSubPr>
          <m:e>
            <m:r>
              <w:rPr>
                <w:rFonts w:ascii="Cambria Math" w:hAnsi="Cambria Math"/>
              </w:rPr>
              <m:t>N</m:t>
            </m:r>
          </m:e>
          <m:sub>
            <m:r>
              <w:rPr>
                <w:rFonts w:ascii="Cambria Math" w:hAnsi="Cambria Math"/>
              </w:rPr>
              <m:t>j</m:t>
            </m:r>
          </m:sub>
        </m:sSub>
      </m:oMath>
      <w:r w:rsidRPr="006A0823">
        <w:t xml:space="preserve"> is the population size of location </w:t>
      </w:r>
      <m:oMath>
        <m:r>
          <w:rPr>
            <w:rFonts w:ascii="Cambria Math" w:hAnsi="Cambria Math"/>
          </w:rPr>
          <m:t>j </m:t>
        </m:r>
      </m:oMath>
      <w:r w:rsidRPr="006A0823">
        <w:t xml:space="preserve">. </w:t>
      </w:r>
      <w:r w:rsidR="188469FB" w:rsidRPr="006A0823">
        <w:t xml:space="preserve">The value of </w:t>
      </w:r>
      <m:oMath>
        <m:sSub>
          <m:sSubPr>
            <m:ctrlPr>
              <w:rPr>
                <w:rFonts w:ascii="Cambria Math" w:hAnsi="Cambria Math"/>
              </w:rPr>
            </m:ctrlPr>
          </m:sSubPr>
          <m:e>
            <m:r>
              <w:rPr>
                <w:rFonts w:ascii="Cambria Math" w:hAnsi="Cambria Math"/>
              </w:rPr>
              <m:t>V</m:t>
            </m:r>
          </m:e>
          <m:sub>
            <m:r>
              <w:rPr>
                <w:rFonts w:ascii="Cambria Math" w:hAnsi="Cambria Math"/>
              </w:rPr>
              <m:t>jt</m:t>
            </m:r>
          </m:sub>
        </m:sSub>
      </m:oMath>
      <w:r w:rsidR="188469FB" w:rsidRPr="006A0823">
        <w:t xml:space="preserve"> (past or future) is given by the cumulative sum of the daily rate of vaccination up to time </w:t>
      </w:r>
      <m:oMath>
        <m:r>
          <w:rPr>
            <w:rFonts w:ascii="Cambria Math" w:hAnsi="Cambria Math"/>
          </w:rPr>
          <m:t>t </m:t>
        </m:r>
      </m:oMath>
      <w:r w:rsidR="188469FB" w:rsidRPr="006A0823">
        <w:t>:</w:t>
      </w:r>
    </w:p>
    <w:p w14:paraId="2711F7B1" w14:textId="15F3983B" w:rsidR="00694B5B" w:rsidRPr="006A0823" w:rsidRDefault="00000000" w:rsidP="65640B3B">
      <w:pPr>
        <w:jc w:val="center"/>
        <w:rPr>
          <w:rFonts w:ascii="Cambria Math" w:hAnsi="Cambria Math"/>
          <w:oMath/>
        </w:rPr>
      </w:pPr>
      <m:oMath>
        <m:sSub>
          <m:sSubPr>
            <m:ctrlPr>
              <w:rPr>
                <w:rFonts w:ascii="Cambria Math" w:hAnsi="Cambria Math"/>
              </w:rPr>
            </m:ctrlPr>
          </m:sSubPr>
          <m:e>
            <m:r>
              <w:rPr>
                <w:rFonts w:ascii="Cambria Math" w:hAnsi="Cambria Math"/>
              </w:rPr>
              <m:t>V</m:t>
            </m:r>
          </m:e>
          <m:sub>
            <m:r>
              <w:rPr>
                <w:rFonts w:ascii="Cambria Math" w:hAnsi="Cambria Math"/>
              </w:rPr>
              <m:t>jt</m:t>
            </m:r>
          </m:sub>
        </m:sSub>
        <m:r>
          <w:rPr>
            <w:rFonts w:ascii="Cambria Math" w:hAnsi="Cambria Math"/>
          </w:rPr>
          <m:t> = </m:t>
        </m:r>
        <m:nary>
          <m:naryPr>
            <m:chr m:val="∑"/>
            <m:ctrlPr>
              <w:rPr>
                <w:rFonts w:ascii="Cambria Math" w:hAnsi="Cambria Math"/>
              </w:rPr>
            </m:ctrlPr>
          </m:naryPr>
          <m:sub>
            <m:r>
              <w:rPr>
                <w:rFonts w:ascii="Cambria Math" w:hAnsi="Cambria Math"/>
              </w:rPr>
              <m:t> t=1</m:t>
            </m:r>
          </m:sub>
          <m:sup>
            <m:r>
              <w:rPr>
                <w:rFonts w:ascii="Cambria Math" w:hAnsi="Cambria Math"/>
              </w:rPr>
              <m:t> t</m:t>
            </m:r>
          </m:sup>
          <m:e>
            <m:sSubSup>
              <m:sSubSupPr>
                <m:ctrlPr>
                  <w:rPr>
                    <w:rFonts w:ascii="Cambria Math" w:hAnsi="Cambria Math"/>
                  </w:rPr>
                </m:ctrlPr>
              </m:sSubSupPr>
              <m:e>
                <m:r>
                  <w:rPr>
                    <w:rFonts w:ascii="Cambria Math" w:hAnsi="Cambria Math"/>
                  </w:rPr>
                  <m:t>r</m:t>
                </m:r>
              </m:e>
              <m:sub>
                <m:r>
                  <w:rPr>
                    <w:rFonts w:ascii="Cambria Math" w:hAnsi="Cambria Math"/>
                  </w:rPr>
                  <m:t>jt</m:t>
                </m:r>
              </m:sub>
              <m:sup>
                <m:r>
                  <w:rPr>
                    <w:rFonts w:ascii="Cambria Math" w:hAnsi="Cambria Math"/>
                  </w:rPr>
                  <m:t>'</m:t>
                </m:r>
              </m:sup>
            </m:sSubSup>
          </m:e>
        </m:nary>
      </m:oMath>
      <w:r w:rsidR="2A0B78EE" w:rsidRPr="006A0823">
        <w:t>.</w:t>
      </w:r>
    </w:p>
    <w:p w14:paraId="6EA98A19" w14:textId="1F8BF130" w:rsidR="00EB27B1" w:rsidRPr="006A0823" w:rsidRDefault="1D53F52F" w:rsidP="00BC3AE0">
      <w:r w:rsidRPr="006A0823">
        <w:t xml:space="preserve">The effective daily rate of vaccination </w:t>
      </w:r>
      <m:oMath>
        <m:sSubSup>
          <m:sSubSupPr>
            <m:ctrlPr>
              <w:rPr>
                <w:rFonts w:ascii="Cambria Math" w:hAnsi="Cambria Math"/>
              </w:rPr>
            </m:ctrlPr>
          </m:sSubSupPr>
          <m:e>
            <m:r>
              <w:rPr>
                <w:rFonts w:ascii="Cambria Math" w:hAnsi="Cambria Math"/>
              </w:rPr>
              <m:t>r</m:t>
            </m:r>
          </m:e>
          <m:sub>
            <m:r>
              <w:rPr>
                <w:rFonts w:ascii="Cambria Math" w:hAnsi="Cambria Math"/>
              </w:rPr>
              <m:t>jt</m:t>
            </m:r>
          </m:sub>
          <m:sup>
            <m:r>
              <w:rPr>
                <w:rFonts w:ascii="Cambria Math" w:hAnsi="Cambria Math"/>
              </w:rPr>
              <m:t>'</m:t>
            </m:r>
          </m:sup>
        </m:sSubSup>
      </m:oMath>
      <w:r w:rsidRPr="006A0823">
        <w:t xml:space="preserve"> is determined empirically from past observations, but future time steps are estimated using a flexible MR-BRT spline model fitted to observed values of </w:t>
      </w:r>
      <m:oMath>
        <m:sSub>
          <m:sSubPr>
            <m:ctrlPr>
              <w:rPr>
                <w:rFonts w:ascii="Cambria Math" w:hAnsi="Cambria Math"/>
              </w:rPr>
            </m:ctrlPr>
          </m:sSubPr>
          <m:e>
            <m:r>
              <w:rPr>
                <w:rFonts w:ascii="Cambria Math" w:hAnsi="Cambria Math"/>
              </w:rPr>
              <m:t>p</m:t>
            </m:r>
          </m:e>
          <m:sub>
            <m:r>
              <w:rPr>
                <w:rFonts w:ascii="Cambria Math" w:hAnsi="Cambria Math"/>
              </w:rPr>
              <m:t>jt</m:t>
            </m:r>
          </m:sub>
        </m:sSub>
      </m:oMath>
      <w:r w:rsidRPr="006A0823">
        <w:t xml:space="preserve"> that asymptotes at </w:t>
      </w:r>
      <w:r w:rsidR="1351E0DB" w:rsidRPr="006A0823">
        <w:t xml:space="preserve">the total </w:t>
      </w:r>
      <w:r w:rsidR="00DA3715" w:rsidRPr="006A0823">
        <w:t>vaccine-eligible</w:t>
      </w:r>
      <w:r w:rsidR="1351E0DB" w:rsidRPr="006A0823">
        <w:t xml:space="preserve"> population subject to available vaccine supply and population willingness to be vaccinated</w:t>
      </w:r>
      <w:r w:rsidRPr="006A0823">
        <w:t xml:space="preserve">. This provides a constrained projection of vaccination rate </w:t>
      </w:r>
      <m:oMath>
        <m:sSubSup>
          <m:sSubSupPr>
            <m:ctrlPr>
              <w:rPr>
                <w:rFonts w:ascii="Cambria Math" w:hAnsi="Cambria Math"/>
              </w:rPr>
            </m:ctrlPr>
          </m:sSubSupPr>
          <m:e>
            <m:r>
              <w:rPr>
                <w:rFonts w:ascii="Cambria Math" w:hAnsi="Cambria Math"/>
              </w:rPr>
              <m:t>r</m:t>
            </m:r>
          </m:e>
          <m:sub>
            <m:r>
              <w:rPr>
                <w:rFonts w:ascii="Cambria Math" w:hAnsi="Cambria Math"/>
              </w:rPr>
              <m:t>jt</m:t>
            </m:r>
          </m:sub>
          <m:sup>
            <m:r>
              <w:rPr>
                <w:rFonts w:ascii="Cambria Math" w:hAnsi="Cambria Math"/>
              </w:rPr>
              <m:t>'</m:t>
            </m:r>
          </m:sup>
        </m:sSubSup>
      </m:oMath>
      <w:r w:rsidRPr="006A0823">
        <w:t xml:space="preserve"> that is limited by both vaccine supply and vaccine demand:</w:t>
      </w:r>
    </w:p>
    <w:p w14:paraId="1DC3A34C" w14:textId="74CB3FF5" w:rsidR="00EB27B1" w:rsidRPr="006A0823" w:rsidRDefault="00000000" w:rsidP="65640B3B">
      <w:pPr>
        <w:jc w:val="center"/>
      </w:pPr>
      <m:oMath>
        <m:sSubSup>
          <m:sSubSupPr>
            <m:ctrlPr>
              <w:rPr>
                <w:rFonts w:ascii="Cambria Math" w:hAnsi="Cambria Math"/>
              </w:rPr>
            </m:ctrlPr>
          </m:sSubSupPr>
          <m:e>
            <m:r>
              <w:rPr>
                <w:rFonts w:ascii="Cambria Math" w:hAnsi="Cambria Math"/>
              </w:rPr>
              <m:t>r</m:t>
            </m:r>
          </m:e>
          <m:sub>
            <m:r>
              <w:rPr>
                <w:rFonts w:ascii="Cambria Math" w:hAnsi="Cambria Math"/>
              </w:rPr>
              <m:t>jt</m:t>
            </m:r>
          </m:sub>
          <m:sup>
            <m:r>
              <w:rPr>
                <w:rFonts w:ascii="Cambria Math" w:hAnsi="Cambria Math"/>
              </w:rPr>
              <m:t>'</m:t>
            </m:r>
          </m:sup>
        </m:sSubSup>
        <m:r>
          <w:rPr>
            <w:rFonts w:ascii="Cambria Math" w:hAnsi="Cambria Math"/>
          </w:rPr>
          <m:t> =</m:t>
        </m:r>
        <m:r>
          <m:rPr>
            <m:nor/>
          </m:rPr>
          <m:t>Min</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jt</m:t>
                </m:r>
              </m:sub>
            </m:sSub>
            <m:r>
              <w:rPr>
                <w:rFonts w:ascii="Cambria Math" w:hAnsi="Cambria Math"/>
              </w:rPr>
              <m:t>, </m:t>
            </m:r>
            <m:sSub>
              <m:sSubPr>
                <m:ctrlPr>
                  <w:rPr>
                    <w:rFonts w:ascii="Cambria Math" w:hAnsi="Cambria Math"/>
                  </w:rPr>
                </m:ctrlPr>
              </m:sSubPr>
              <m:e>
                <m:r>
                  <w:rPr>
                    <w:rFonts w:ascii="Cambria Math" w:hAnsi="Cambria Math"/>
                  </w:rPr>
                  <m:t>a</m:t>
                </m:r>
              </m:e>
              <m:sub>
                <m:r>
                  <w:rPr>
                    <w:rFonts w:ascii="Cambria Math" w:hAnsi="Cambria Math"/>
                  </w:rPr>
                  <m:t>jt</m:t>
                </m:r>
              </m:sub>
            </m:sSub>
            <m:r>
              <w:rPr>
                <w:rFonts w:ascii="Cambria Math" w:hAnsi="Cambria Math"/>
              </w:rPr>
              <m:t>, </m:t>
            </m:r>
            <m:sSub>
              <m:sSubPr>
                <m:ctrlPr>
                  <w:rPr>
                    <w:rFonts w:ascii="Cambria Math" w:hAnsi="Cambria Math"/>
                  </w:rPr>
                </m:ctrlPr>
              </m:sSubPr>
              <m:e>
                <m:r>
                  <w:rPr>
                    <w:rFonts w:ascii="Cambria Math" w:hAnsi="Cambria Math"/>
                  </w:rPr>
                  <m:t>d</m:t>
                </m:r>
              </m:e>
              <m:sub>
                <m:r>
                  <w:rPr>
                    <w:rFonts w:ascii="Cambria Math" w:hAnsi="Cambria Math"/>
                  </w:rPr>
                  <m:t>jt</m:t>
                </m:r>
              </m:sub>
            </m:sSub>
          </m:e>
        </m:d>
      </m:oMath>
      <w:r w:rsidR="1D53F52F" w:rsidRPr="006A0823">
        <w:t>.</w:t>
      </w:r>
    </w:p>
    <w:p w14:paraId="54563705" w14:textId="1191B366" w:rsidR="00EB27B1" w:rsidRPr="006A0823" w:rsidRDefault="1D53F52F" w:rsidP="00BC3AE0">
      <w:r w:rsidRPr="006A0823">
        <w:t xml:space="preserve">The constraints on vaccination rate are defined by separate models and data for vaccine supply (described in Section 6.2.2) and vaccine demand (described in Section 6.2.3). The supply constraint is given as </w:t>
      </w:r>
      <m:oMath>
        <m:sSub>
          <m:sSubPr>
            <m:ctrlPr>
              <w:rPr>
                <w:rFonts w:ascii="Cambria Math" w:hAnsi="Cambria Math"/>
              </w:rPr>
            </m:ctrlPr>
          </m:sSubPr>
          <m:e>
            <m:r>
              <w:rPr>
                <w:rFonts w:ascii="Cambria Math" w:hAnsi="Cambria Math"/>
              </w:rPr>
              <m:t>a</m:t>
            </m:r>
          </m:e>
          <m:sub>
            <m:r>
              <w:rPr>
                <w:rFonts w:ascii="Cambria Math" w:hAnsi="Cambria Math"/>
              </w:rPr>
              <m:t>jt</m:t>
            </m:r>
          </m:sub>
        </m:sSub>
      </m:oMath>
      <w:r w:rsidRPr="006A0823">
        <w:t xml:space="preserve">, which reflects the total number of doses available for administration in location at time </w:t>
      </w:r>
      <m:oMath>
        <m:r>
          <w:rPr>
            <w:rFonts w:ascii="Cambria Math" w:hAnsi="Cambria Math"/>
          </w:rPr>
          <m:t>t </m:t>
        </m:r>
      </m:oMath>
      <w:r w:rsidRPr="006A0823">
        <w:t xml:space="preserve">. Available doses are determined by vaccine supply that is dynamic over time with increases due to purchases and delivery of doses from manufacturers and decreases from administration to the population: </w:t>
      </w:r>
    </w:p>
    <w:p w14:paraId="649460FF" w14:textId="05EBBC30" w:rsidR="00EB27B1" w:rsidRPr="006A0823" w:rsidRDefault="00000000" w:rsidP="65640B3B">
      <w:pPr>
        <w:jc w:val="center"/>
        <w:rPr>
          <w:rFonts w:eastAsia="Calibri"/>
        </w:rPr>
      </w:pPr>
      <m:oMath>
        <m:sSub>
          <m:sSubPr>
            <m:ctrlPr>
              <w:rPr>
                <w:rFonts w:ascii="Cambria Math" w:hAnsi="Cambria Math"/>
              </w:rPr>
            </m:ctrlPr>
          </m:sSubPr>
          <m:e>
            <m:r>
              <w:rPr>
                <w:rFonts w:ascii="Cambria Math" w:hAnsi="Cambria Math"/>
              </w:rPr>
              <m:t>a</m:t>
            </m:r>
          </m:e>
          <m:sub>
            <m:r>
              <w:rPr>
                <w:rFonts w:ascii="Cambria Math" w:hAnsi="Cambria Math"/>
              </w:rPr>
              <m:t>jt</m:t>
            </m:r>
          </m:sub>
        </m:sSub>
        <m:r>
          <w:rPr>
            <w:rFonts w:ascii="Cambria Math" w:hAnsi="Cambria Math"/>
          </w:rPr>
          <m:t> = </m:t>
        </m:r>
        <m:nary>
          <m:naryPr>
            <m:chr m:val="∑"/>
            <m:ctrlPr>
              <w:rPr>
                <w:rFonts w:ascii="Cambria Math" w:hAnsi="Cambria Math"/>
              </w:rPr>
            </m:ctrlPr>
          </m:naryPr>
          <m:sub>
            <m:r>
              <w:rPr>
                <w:rFonts w:ascii="Cambria Math" w:hAnsi="Cambria Math"/>
              </w:rPr>
              <m:t>t=1</m:t>
            </m:r>
          </m:sub>
          <m:sup>
            <m:r>
              <w:rPr>
                <w:rFonts w:ascii="Cambria Math" w:hAnsi="Cambria Math"/>
              </w:rPr>
              <m:t>t</m:t>
            </m:r>
          </m:sup>
          <m:e>
            <m:sSub>
              <m:sSubPr>
                <m:ctrlPr>
                  <w:rPr>
                    <w:rFonts w:ascii="Cambria Math" w:hAnsi="Cambria Math"/>
                  </w:rPr>
                </m:ctrlPr>
              </m:sSubPr>
              <m:e>
                <m:r>
                  <w:rPr>
                    <w:rFonts w:ascii="Cambria Math" w:hAnsi="Cambria Math"/>
                  </w:rPr>
                  <m:t>s</m:t>
                </m:r>
              </m:e>
              <m:sub>
                <m:r>
                  <w:rPr>
                    <w:rFonts w:ascii="Cambria Math" w:hAnsi="Cambria Math"/>
                  </w:rPr>
                  <m:t>jt</m:t>
                </m:r>
              </m:sub>
            </m:sSub>
          </m:e>
        </m:nary>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j,t-1</m:t>
            </m:r>
          </m:sub>
        </m:sSub>
      </m:oMath>
      <w:r w:rsidR="31ED9327" w:rsidRPr="006A0823">
        <w:rPr>
          <w:rFonts w:eastAsia="Calibri"/>
        </w:rPr>
        <w:t>.</w:t>
      </w:r>
    </w:p>
    <w:p w14:paraId="372B030F" w14:textId="1412B7D8" w:rsidR="00EB27B1" w:rsidRPr="006A0823" w:rsidRDefault="31ED9327" w:rsidP="00BC3AE0">
      <w:r w:rsidRPr="006A0823">
        <w:t xml:space="preserve">The daily rate of vaccination is also constrained by vaccine demand </w:t>
      </w:r>
      <m:oMath>
        <m:sSub>
          <m:sSubPr>
            <m:ctrlPr>
              <w:rPr>
                <w:rFonts w:ascii="Cambria Math" w:hAnsi="Cambria Math"/>
              </w:rPr>
            </m:ctrlPr>
          </m:sSubPr>
          <m:e>
            <m:r>
              <w:rPr>
                <w:rFonts w:ascii="Cambria Math" w:hAnsi="Cambria Math"/>
              </w:rPr>
              <m:t>d</m:t>
            </m:r>
          </m:e>
          <m:sub>
            <m:r>
              <w:rPr>
                <w:rFonts w:ascii="Cambria Math" w:hAnsi="Cambria Math"/>
              </w:rPr>
              <m:t>jt</m:t>
            </m:r>
          </m:sub>
        </m:sSub>
      </m:oMath>
      <w:r w:rsidRPr="006A0823">
        <w:t>, which gives the total number of unvaccinated individuals that are willing to be vaccinated. Demand is estimated as:</w:t>
      </w:r>
    </w:p>
    <w:p w14:paraId="0FF746E6" w14:textId="6B8573BD" w:rsidR="00EB27B1" w:rsidRPr="006A0823" w:rsidRDefault="00000000" w:rsidP="65640B3B">
      <w:pPr>
        <w:jc w:val="center"/>
      </w:pPr>
      <m:oMath>
        <m:sSub>
          <m:sSubPr>
            <m:ctrlPr>
              <w:rPr>
                <w:rFonts w:ascii="Cambria Math" w:hAnsi="Cambria Math"/>
              </w:rPr>
            </m:ctrlPr>
          </m:sSubPr>
          <m:e>
            <m:r>
              <w:rPr>
                <w:rFonts w:ascii="Cambria Math" w:hAnsi="Cambria Math"/>
              </w:rPr>
              <m:t>d</m:t>
            </m:r>
          </m:e>
          <m:sub>
            <m:r>
              <w:rPr>
                <w:rFonts w:ascii="Cambria Math" w:hAnsi="Cambria Math"/>
              </w:rPr>
              <m:t>jt</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j</m:t>
            </m:r>
          </m:sub>
        </m:sSub>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jt</m:t>
                </m:r>
              </m:sub>
            </m:sSub>
          </m:e>
        </m:d>
        <m:sSub>
          <m:sSubPr>
            <m:ctrlPr>
              <w:rPr>
                <w:rFonts w:ascii="Cambria Math" w:hAnsi="Cambria Math"/>
              </w:rPr>
            </m:ctrlPr>
          </m:sSubPr>
          <m:e>
            <m:r>
              <w:rPr>
                <w:rFonts w:ascii="Cambria Math" w:hAnsi="Cambria Math"/>
              </w:rPr>
              <m:t>w</m:t>
            </m:r>
          </m:e>
          <m:sub>
            <m:r>
              <w:rPr>
                <w:rFonts w:ascii="Cambria Math" w:hAnsi="Cambria Math"/>
              </w:rPr>
              <m:t>jt</m:t>
            </m:r>
          </m:sub>
        </m:sSub>
      </m:oMath>
      <w:r w:rsidR="31ED9327" w:rsidRPr="006A0823">
        <w:rPr>
          <w:rFonts w:eastAsia="Calibri"/>
        </w:rPr>
        <w:t>,</w:t>
      </w:r>
    </w:p>
    <w:p w14:paraId="6CBA93CF" w14:textId="76FF1E17" w:rsidR="00EB27B1" w:rsidRPr="006A0823" w:rsidRDefault="1D53F52F" w:rsidP="00BC3AE0">
      <w:r w:rsidRPr="006A0823">
        <w:t xml:space="preserve">where the population size of location </w:t>
      </w:r>
      <m:oMath>
        <m:r>
          <w:rPr>
            <w:rFonts w:ascii="Cambria Math" w:hAnsi="Cambria Math"/>
          </w:rPr>
          <m:t>j </m:t>
        </m:r>
      </m:oMath>
      <w:r w:rsidRPr="006A0823">
        <w:t xml:space="preserve">is scaled by the proportion of the population that is unvaccinated </w:t>
      </w:r>
      <m:oMath>
        <m: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jt</m:t>
            </m:r>
          </m:sub>
        </m:sSub>
      </m:oMath>
      <w:r w:rsidRPr="006A0823">
        <w:t xml:space="preserve"> and the proportion of unvaccinated individuals </w:t>
      </w:r>
      <m:oMath>
        <m:sSub>
          <m:sSubPr>
            <m:ctrlPr>
              <w:rPr>
                <w:rFonts w:ascii="Cambria Math" w:hAnsi="Cambria Math"/>
              </w:rPr>
            </m:ctrlPr>
          </m:sSubPr>
          <m:e>
            <m:r>
              <w:rPr>
                <w:rFonts w:ascii="Cambria Math" w:hAnsi="Cambria Math"/>
              </w:rPr>
              <m:t>w</m:t>
            </m:r>
          </m:e>
          <m:sub>
            <m:r>
              <w:rPr>
                <w:rFonts w:ascii="Cambria Math" w:hAnsi="Cambria Math"/>
              </w:rPr>
              <m:t>jt</m:t>
            </m:r>
          </m:sub>
        </m:sSub>
      </m:oMath>
      <w:r w:rsidRPr="006A0823">
        <w:t xml:space="preserve"> which is based on survey responses in the Facebook Global Symptom Survey reporting the number of unvaccinated individuals that would accept a vaccine (details below). </w:t>
      </w:r>
    </w:p>
    <w:p w14:paraId="0B02666B" w14:textId="6E1055C1" w:rsidR="00EB27B1" w:rsidRPr="006A0823" w:rsidRDefault="1D53F52F" w:rsidP="00BC3AE0">
      <w:pPr>
        <w:rPr>
          <w:lang w:val="en-GB"/>
        </w:rPr>
      </w:pPr>
      <w:r w:rsidRPr="006A0823">
        <w:lastRenderedPageBreak/>
        <w:t xml:space="preserve">The above model provides estimates of initially vaccinated individuals (first dose). Quantities for subsequent vaccine doses (fully vaccinated and boosters) were estimated by lagging according to the corresponding dosing period and scaling by the dropout rate, which were both calculated empirically from observed data in each location. Models of vaccination coverage were applied to low and high-risk populations (under 65 and 65+ respectively) and stratified into brand-specific estimates based on the available proportions of each vaccine brand in location </w:t>
      </w:r>
      <m:oMath>
        <m:r>
          <w:rPr>
            <w:rFonts w:ascii="Cambria Math" w:hAnsi="Cambria Math"/>
          </w:rPr>
          <m:t>j </m:t>
        </m:r>
      </m:oMath>
      <w:r w:rsidRPr="006A0823">
        <w:t xml:space="preserve">and time </w:t>
      </w:r>
      <m:oMath>
        <m:r>
          <w:rPr>
            <w:rFonts w:ascii="Cambria Math" w:hAnsi="Cambria Math"/>
          </w:rPr>
          <m:t>t </m:t>
        </m:r>
      </m:oMath>
      <w:r w:rsidRPr="006A0823">
        <w:t>.</w:t>
      </w:r>
      <w:r w:rsidR="2ACFB927" w:rsidRPr="006A0823">
        <w:rPr>
          <w:lang w:val="en-GB"/>
        </w:rPr>
        <w:t xml:space="preserve"> </w:t>
      </w:r>
      <w:bookmarkEnd w:id="88"/>
      <w:bookmarkEnd w:id="89"/>
    </w:p>
    <w:p w14:paraId="1CC528C6" w14:textId="0CFA92CE" w:rsidR="00EB27B1" w:rsidRPr="006A0823" w:rsidRDefault="0B949941" w:rsidP="00F97F3D">
      <w:pPr>
        <w:pStyle w:val="Heading3"/>
        <w:rPr>
          <w:lang w:val="en-GB"/>
        </w:rPr>
      </w:pPr>
      <w:bookmarkStart w:id="90" w:name="_Toc104245020"/>
      <w:bookmarkStart w:id="91" w:name="_Toc104249335"/>
      <w:bookmarkStart w:id="92" w:name="_Toc104252063"/>
      <w:bookmarkStart w:id="93" w:name="_Toc124499472"/>
      <w:r w:rsidRPr="006A0823">
        <w:rPr>
          <w:lang w:val="en-GB"/>
        </w:rPr>
        <w:t>Vaccine delivery</w:t>
      </w:r>
      <w:bookmarkEnd w:id="90"/>
      <w:bookmarkEnd w:id="91"/>
      <w:bookmarkEnd w:id="92"/>
      <w:bookmarkEnd w:id="93"/>
    </w:p>
    <w:p w14:paraId="3383BE0B" w14:textId="3C777540" w:rsidR="264F8CE4" w:rsidRPr="006A0823" w:rsidRDefault="7A6BF82B" w:rsidP="00BC3AE0">
      <w:pPr>
        <w:rPr>
          <w:rFonts w:eastAsia="Calibri"/>
          <w:lang w:val="en-GB"/>
        </w:rPr>
      </w:pPr>
      <w:r w:rsidRPr="006A0823">
        <w:rPr>
          <w:lang w:val="en-GB"/>
        </w:rPr>
        <w:t xml:space="preserve">Data on vaccinations </w:t>
      </w:r>
      <w:r w:rsidR="49E3A3CF" w:rsidRPr="006A0823">
        <w:rPr>
          <w:lang w:val="en-GB"/>
        </w:rPr>
        <w:t xml:space="preserve">delivered </w:t>
      </w:r>
      <w:r w:rsidRPr="006A0823">
        <w:rPr>
          <w:lang w:val="en-GB"/>
        </w:rPr>
        <w:t>were source</w:t>
      </w:r>
      <w:r w:rsidR="05F4108E" w:rsidRPr="006A0823">
        <w:rPr>
          <w:lang w:val="en-GB"/>
        </w:rPr>
        <w:t>d</w:t>
      </w:r>
      <w:r w:rsidRPr="006A0823">
        <w:rPr>
          <w:lang w:val="en-GB"/>
        </w:rPr>
        <w:t xml:space="preserve"> from Our World in Data for most nations,</w:t>
      </w:r>
      <w:r w:rsidR="613EF787" w:rsidRPr="006A0823">
        <w:rPr>
          <w:color w:val="2B579A"/>
          <w:lang w:val="en-GB"/>
        </w:rPr>
        <w:fldChar w:fldCharType="begin"/>
      </w:r>
      <w:r w:rsidR="004876B1" w:rsidRPr="006A0823">
        <w:rPr>
          <w:lang w:val="en-GB"/>
        </w:rPr>
        <w:instrText xml:space="preserve"> ADDIN ZOTERO_ITEM CSL_CITATION {"citationID":"vlVUMVwB","properties":{"formattedCitation":"\\super 12\\nosupersub{}","plainCitation":"12","noteIndex":0},"citationItems":[{"id":969,"uris":["http://zotero.org/groups/2154524/items/IXPDCYCI"],"itemData":{"id":969,"type":"article-journal","abstract":"An effective rollout of vaccinations against COVID-19 offers the most promising prospect of bringing the pandemic to an end. We present the Our World in Data COVID-19 vaccination dataset, a global public dataset that tracks the scale and rate of the vaccine rollout across the world. This dataset is updated regularly and includes data on the total number of vaccinations administered, first and second doses administered, daily vaccination rates and population-adjusted coverage for all countries for which data are available (169 countries as of 7 April 2021). It will be maintained as the global vaccination campaign continues to progress. This resource aids policymakers and researchers in understanding the rate of current and potential vaccine rollout; the interactions with non-vaccination policy responses; the potential impact of vaccinations on pandemic outcomes such as transmission, morbidity and mortality; and global inequalities in vaccine access.","container-title":"Nature Human Behaviour","journalAbbreviation":"Nat Hum Behav","language":"en","title":"A global database of COVID-19 vaccinations","author":[{"family":"Mathieu","given":"Edouard"},{"family":"Ritchie","given":"Hannah"},{"family":"Ortiz-Ospina","given":"Esteban"},{"family":"Roser","given":"Max"},{"family":"Hasell","given":"Joe"},{"family":"Appel","given":"Cameron"},{"family":"Giattino","given":"Charlie"},{"family":"Rodés-Guirao","given":"Lucas"}],"issued":{"date-parts":[["2021",5,10]]}}}],"schema":"https://github.com/citation-style-language/schema/raw/master/csl-citation.json"} </w:instrText>
      </w:r>
      <w:r w:rsidR="613EF787" w:rsidRPr="006A0823">
        <w:rPr>
          <w:color w:val="2B579A"/>
          <w:lang w:val="en-GB"/>
        </w:rPr>
        <w:fldChar w:fldCharType="separate"/>
      </w:r>
      <w:r w:rsidR="6C7FEF97" w:rsidRPr="006A0823">
        <w:rPr>
          <w:sz w:val="22"/>
          <w:szCs w:val="22"/>
          <w:vertAlign w:val="superscript"/>
        </w:rPr>
        <w:t>12</w:t>
      </w:r>
      <w:r w:rsidR="613EF787" w:rsidRPr="006A0823">
        <w:rPr>
          <w:color w:val="2B579A"/>
          <w:lang w:val="en-GB"/>
        </w:rPr>
        <w:fldChar w:fldCharType="end"/>
      </w:r>
      <w:r w:rsidRPr="006A0823">
        <w:rPr>
          <w:lang w:val="en-GB"/>
        </w:rPr>
        <w:t xml:space="preserve"> apart from </w:t>
      </w:r>
      <w:r w:rsidR="6E840AB5" w:rsidRPr="006A0823">
        <w:rPr>
          <w:lang w:val="en-GB"/>
        </w:rPr>
        <w:t xml:space="preserve">the United States, Mexico, </w:t>
      </w:r>
      <w:r w:rsidR="11FEE0BF" w:rsidRPr="006A0823">
        <w:rPr>
          <w:lang w:val="en-GB"/>
        </w:rPr>
        <w:t>Canada, Brazil, Germany, India, Italy, Spain, and China, where datasets tracking subnational vaccination numbers were used instead</w:t>
      </w:r>
      <w:r w:rsidRPr="006A0823">
        <w:rPr>
          <w:lang w:val="en-GB"/>
        </w:rPr>
        <w:t>. Vaccination data for subnational locations was extracted from public government webpages or acquired through collaboration with national ministries of public health. Most sources provided time</w:t>
      </w:r>
      <w:r w:rsidR="4C75021A" w:rsidRPr="006A0823">
        <w:rPr>
          <w:lang w:val="en-GB"/>
        </w:rPr>
        <w:t xml:space="preserve"> </w:t>
      </w:r>
      <w:r w:rsidRPr="006A0823">
        <w:rPr>
          <w:lang w:val="en-GB"/>
        </w:rPr>
        <w:t>series of the number of people vaccinated (received any dose), fully vaccinated (one dose Janssen or two doses of other vaccines) and boosted (second dose Janssen or third dose of other vaccines). In cases where time</w:t>
      </w:r>
      <w:r w:rsidR="4C75021A" w:rsidRPr="006A0823">
        <w:rPr>
          <w:lang w:val="en-GB"/>
        </w:rPr>
        <w:t xml:space="preserve"> </w:t>
      </w:r>
      <w:r w:rsidRPr="006A0823">
        <w:rPr>
          <w:lang w:val="en-GB"/>
        </w:rPr>
        <w:t xml:space="preserve">series were incomplete, we assumed vaccination scale up followed a square root increase starting from the date of emergency use authorisation in that country. </w:t>
      </w:r>
      <w:r w:rsidR="5CBD6485" w:rsidRPr="006A0823">
        <w:rPr>
          <w:lang w:val="en-GB"/>
        </w:rPr>
        <w:t xml:space="preserve">We found evidence that the US </w:t>
      </w:r>
      <w:proofErr w:type="spellStart"/>
      <w:r w:rsidR="5CBD6485" w:rsidRPr="006A0823">
        <w:rPr>
          <w:lang w:val="en-GB"/>
        </w:rPr>
        <w:t>Centers</w:t>
      </w:r>
      <w:proofErr w:type="spellEnd"/>
      <w:r w:rsidR="5CBD6485" w:rsidRPr="006A0823">
        <w:rPr>
          <w:lang w:val="en-GB"/>
        </w:rPr>
        <w:t xml:space="preserve"> for Disease Control (CDC) numbers lag behind state reports by 3 days, so we shift the CDC reported vaccinations by 3 days before adjusting our estimates.</w:t>
      </w:r>
      <w:r w:rsidR="1C21BC3F" w:rsidRPr="006A0823">
        <w:rPr>
          <w:lang w:val="en-GB"/>
        </w:rPr>
        <w:t xml:space="preserve"> Data sources are listed in appendix 2, sections 12, 13, 14, and 15.</w:t>
      </w:r>
    </w:p>
    <w:p w14:paraId="1291B6AD" w14:textId="6B50E8F0" w:rsidR="264F8CE4" w:rsidRPr="006A0823" w:rsidRDefault="613EF787" w:rsidP="00BC3AE0">
      <w:pPr>
        <w:rPr>
          <w:lang w:val="en-GB"/>
        </w:rPr>
      </w:pPr>
      <w:r w:rsidRPr="006A0823">
        <w:rPr>
          <w:lang w:val="en-GB"/>
        </w:rPr>
        <w:t>When data for fully vaccinated or boosted individuals was sparse or only a point estimate, we inferred the full time</w:t>
      </w:r>
      <w:r w:rsidR="00DA3715" w:rsidRPr="006A0823">
        <w:rPr>
          <w:lang w:val="en-GB"/>
        </w:rPr>
        <w:t xml:space="preserve"> </w:t>
      </w:r>
      <w:r w:rsidRPr="006A0823">
        <w:rPr>
          <w:lang w:val="en-GB"/>
        </w:rPr>
        <w:t>series by scaling the complete time</w:t>
      </w:r>
      <w:r w:rsidR="00DA3715" w:rsidRPr="006A0823">
        <w:rPr>
          <w:lang w:val="en-GB"/>
        </w:rPr>
        <w:t xml:space="preserve"> </w:t>
      </w:r>
      <w:r w:rsidRPr="006A0823">
        <w:rPr>
          <w:lang w:val="en-GB"/>
        </w:rPr>
        <w:t>series of fully vaccinated by the proportional relationship to the point estimate. When the data for fully vaccinated or boosted was sparse, we calculated the proportional relationship for each of the observed time points and then linearly interpolated the proportional relationship before scaling fully vaccinated numbers to account for changes in the administration of different vaccine courses over time. Thus, these data provide full time</w:t>
      </w:r>
      <w:r w:rsidR="00DA3715" w:rsidRPr="006A0823">
        <w:rPr>
          <w:lang w:val="en-GB"/>
        </w:rPr>
        <w:t xml:space="preserve"> </w:t>
      </w:r>
      <w:r w:rsidRPr="006A0823">
        <w:rPr>
          <w:lang w:val="en-GB"/>
        </w:rPr>
        <w:t xml:space="preserve">series for number of people initially vaccinated, fully vaccinated, and boosted for each location </w:t>
      </w:r>
      <w:r w:rsidR="1351E0DB" w:rsidRPr="006A0823">
        <w:rPr>
          <w:lang w:val="en-GB"/>
        </w:rPr>
        <w:t>and time. The observed daily rate of vaccination described above (</w:t>
      </w:r>
      <m:oMath>
        <m:sSub>
          <m:sSubPr>
            <m:ctrlPr>
              <w:rPr>
                <w:rFonts w:ascii="Cambria Math" w:hAnsi="Cambria Math"/>
              </w:rPr>
            </m:ctrlPr>
          </m:sSubPr>
          <m:e>
            <m:r>
              <w:rPr>
                <w:rFonts w:ascii="Cambria Math" w:hAnsi="Cambria Math"/>
              </w:rPr>
              <m:t>r</m:t>
            </m:r>
          </m:e>
          <m:sub>
            <m:r>
              <w:rPr>
                <w:rFonts w:ascii="Cambria Math" w:hAnsi="Cambria Math"/>
              </w:rPr>
              <m:t>jt</m:t>
            </m:r>
          </m:sub>
        </m:sSub>
      </m:oMath>
      <w:r w:rsidR="1351E0DB" w:rsidRPr="006A0823">
        <w:rPr>
          <w:lang w:val="en-GB"/>
        </w:rPr>
        <w:t>) therefore is the daily difference in reported cumulative timeseries (</w:t>
      </w:r>
      <m:oMath>
        <m:sSub>
          <m:sSubPr>
            <m:ctrlPr>
              <w:rPr>
                <w:rFonts w:ascii="Cambria Math" w:hAnsi="Cambria Math"/>
              </w:rPr>
            </m:ctrlPr>
          </m:sSubPr>
          <m:e>
            <m:r>
              <w:rPr>
                <w:rFonts w:ascii="Cambria Math" w:hAnsi="Cambria Math"/>
              </w:rPr>
              <m:t>V</m:t>
            </m:r>
          </m:e>
          <m:sub>
            <m:r>
              <w:rPr>
                <w:rFonts w:ascii="Cambria Math" w:hAnsi="Cambria Math"/>
              </w:rPr>
              <m:t>jt</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j,t-1</m:t>
            </m:r>
          </m:sub>
        </m:sSub>
      </m:oMath>
      <w:r w:rsidR="1351E0DB" w:rsidRPr="006A0823">
        <w:rPr>
          <w:lang w:val="en-GB"/>
        </w:rPr>
        <w:t>).</w:t>
      </w:r>
    </w:p>
    <w:p w14:paraId="3748D6A5" w14:textId="4C74233B" w:rsidR="3A44FA9A" w:rsidRPr="006A0823" w:rsidRDefault="592A94BF" w:rsidP="00BC3AE0">
      <w:pPr>
        <w:rPr>
          <w:lang w:val="en-GB"/>
        </w:rPr>
      </w:pPr>
      <w:r w:rsidRPr="006A0823">
        <w:rPr>
          <w:lang w:val="en-GB"/>
        </w:rPr>
        <w:t xml:space="preserve">To estimate </w:t>
      </w:r>
      <w:r w:rsidR="60C83B95" w:rsidRPr="006A0823">
        <w:rPr>
          <w:lang w:val="en-GB"/>
        </w:rPr>
        <w:t xml:space="preserve">the trajectory of vaccination rate, </w:t>
      </w:r>
      <w:r w:rsidRPr="006A0823">
        <w:rPr>
          <w:lang w:val="en-GB"/>
        </w:rPr>
        <w:t xml:space="preserve">we </w:t>
      </w:r>
      <w:r w:rsidR="60C83B95" w:rsidRPr="006A0823">
        <w:rPr>
          <w:lang w:val="en-GB"/>
        </w:rPr>
        <w:t xml:space="preserve">first </w:t>
      </w:r>
      <w:r w:rsidRPr="006A0823">
        <w:rPr>
          <w:lang w:val="en-GB"/>
        </w:rPr>
        <w:t>find the ceiling for vaccination coverage in each location by estimating the percentage of the population that is either already vaccinated or willing to be vaccinated up to the current time point. Using MR-BRT</w:t>
      </w:r>
      <w:r w:rsidR="0EFDBBA1" w:rsidRPr="006A0823">
        <w:rPr>
          <w:lang w:val="en-GB"/>
        </w:rPr>
        <w:t>,</w:t>
      </w:r>
      <w:r w:rsidR="3A44FA9A" w:rsidRPr="006A0823">
        <w:rPr>
          <w:color w:val="2B579A"/>
          <w:shd w:val="clear" w:color="auto" w:fill="E6E6E6"/>
          <w:lang w:val="en-GB"/>
        </w:rPr>
        <w:fldChar w:fldCharType="begin"/>
      </w:r>
      <w:r w:rsidR="004876B1" w:rsidRPr="006A0823">
        <w:rPr>
          <w:lang w:val="en-GB"/>
        </w:rPr>
        <w:instrText xml:space="preserve"> ADDIN ZOTERO_ITEM CSL_CITATION {"citationID":"ag1hvmg2dv","properties":{"formattedCitation":"\\super 9\\nosupersub{}","plainCitation":"9","noteIndex":0},"citationItems":[{"id":20777,"uris":["http://zotero.org/groups/2154524/items/2BT4KVYF"],"itemData":{"id":20777,"type":"article-journal","abstract":"Mixed effects (ME) models inform a vast array of problems in the physical and social sciences, and are pervasive in meta-analysis. We consider ME models where the random effects component is linear. We then develop an efficient approach for a broad problem class that allows nonlinear measurements, priors, and constraints, and finds robust estimates in all of these cases using trimming in the associated marginal likelihood. The software accompanying this article is disseminated as an open-source Python package called LimeTr. LimeTr is able to recover results more accurately in the presence of outliers compared to available packages for both standard longitudinal analysis and meta-analysis, and is also more computationally efficient than competing robust alternatives. Supplementary materials that reproduce the simulations, as well as run LimeTr and third party code are available online. We also present analyses of global health data, where we use advanced functionality of LimeTr, including constraints to impose monotonicity and concavity for dose–response relationships. Nonlinear observation models allow new analyses in place of classic approximations, such as log-linear models. Robust extensions in all analyses ensure that spurious data points do not drive our understanding of either mean relationships or between-study heterogeneity.","container-title":"Journal of Computational and Graphical Statistics","DOI":"10.1080/10618600.2020.1868303","ISSN":"1061-8600","issue":"0","note":"publisher: Taylor &amp; Francis\n_eprint: https://doi.org/10.1080/10618600.2020.1868303","page":"1-13","source":"Taylor and Francis+NEJM","title":"Trimmed constrained mixed effects models: formulations and algorithms","title-short":"Trimmed Constrained Mixed Effects Models","volume":"0","author":[{"family":"Zheng","given":"Peng"},{"family":"Barber","given":"Ryan"},{"family":"Sorensen","given":"Reed J. D."},{"family":"Murray","given":"Christopher J. L."},{"family":"Aravkin","given":"Aleksandr Y."}],"issued":{"date-parts":[["2021",1,4]]}}}],"schema":"https://github.com/citation-style-language/schema/raw/master/csl-citation.json"} </w:instrText>
      </w:r>
      <w:r w:rsidR="3A44FA9A" w:rsidRPr="006A0823">
        <w:rPr>
          <w:color w:val="2B579A"/>
          <w:shd w:val="clear" w:color="auto" w:fill="E6E6E6"/>
          <w:lang w:val="en-GB"/>
        </w:rPr>
        <w:fldChar w:fldCharType="separate"/>
      </w:r>
      <w:r w:rsidR="005F6E83" w:rsidRPr="006A0823">
        <w:rPr>
          <w:sz w:val="22"/>
          <w:szCs w:val="24"/>
          <w:vertAlign w:val="superscript"/>
        </w:rPr>
        <w:t>9</w:t>
      </w:r>
      <w:r w:rsidR="3A44FA9A" w:rsidRPr="006A0823">
        <w:rPr>
          <w:color w:val="2B579A"/>
          <w:shd w:val="clear" w:color="auto" w:fill="E6E6E6"/>
          <w:lang w:val="en-GB"/>
        </w:rPr>
        <w:fldChar w:fldCharType="end"/>
      </w:r>
      <w:r w:rsidRPr="006A0823">
        <w:rPr>
          <w:lang w:val="en-GB"/>
        </w:rPr>
        <w:t xml:space="preserve"> we fit a hierarchical </w:t>
      </w:r>
      <w:hyperlink r:id="rId12" w:history="1">
        <w:r w:rsidRPr="006A0823">
          <w:rPr>
            <w:lang w:val="en-GB"/>
          </w:rPr>
          <w:t>spline model</w:t>
        </w:r>
      </w:hyperlink>
      <w:r w:rsidRPr="006A0823">
        <w:rPr>
          <w:lang w:val="en-GB"/>
        </w:rPr>
        <w:t xml:space="preserve"> in logit space with a linear offset and a monotonicity constraint where the independent variable is days since first vaccination. Specifically, we model the logit fraction of the population that has been vaccinated among the </w:t>
      </w:r>
      <w:r w:rsidRPr="006A0823">
        <w:rPr>
          <w:i/>
          <w:iCs/>
          <w:lang w:val="en-GB"/>
        </w:rPr>
        <w:t xml:space="preserve">total </w:t>
      </w:r>
      <w:r w:rsidRPr="006A0823">
        <w:rPr>
          <w:lang w:val="en-GB"/>
        </w:rPr>
        <w:t>willing population (</w:t>
      </w:r>
      <m:oMath>
        <m:sSub>
          <m:sSubPr>
            <m:ctrlPr>
              <w:rPr>
                <w:rFonts w:ascii="Cambria Math" w:hAnsi="Cambria Math"/>
              </w:rPr>
            </m:ctrlPr>
          </m:sSubPr>
          <m:e>
            <m:r>
              <w:rPr>
                <w:rFonts w:ascii="Cambria Math" w:hAnsi="Cambria Math"/>
              </w:rPr>
              <m:t>p</m:t>
            </m:r>
          </m:e>
          <m:sub>
            <m:r>
              <w:rPr>
                <w:rFonts w:ascii="Cambria Math" w:hAnsi="Cambria Math"/>
              </w:rPr>
              <m:t>jt</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jt</m:t>
            </m:r>
          </m:sub>
        </m:sSub>
        <m:r>
          <m:rPr>
            <m:lit/>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j</m:t>
            </m:r>
          </m:sub>
        </m:sSub>
      </m:oMath>
      <w:r w:rsidRPr="006A0823">
        <w:rPr>
          <w:lang w:val="en-GB"/>
        </w:rPr>
        <w:t xml:space="preserve">) that reported that they would definitely get vaccinated as a function of time since the first day of vaccination. The model was used to predict an average scale global curve for the predicted percentage of the population that is likely to be vaccinated. The resulting scale-up curve </w:t>
      </w:r>
      <w:r w:rsidR="60C83B95" w:rsidRPr="006A0823">
        <w:rPr>
          <w:lang w:val="en-GB"/>
        </w:rPr>
        <w:t xml:space="preserve">better </w:t>
      </w:r>
      <w:r w:rsidRPr="006A0823">
        <w:rPr>
          <w:lang w:val="en-GB"/>
        </w:rPr>
        <w:t>approximates the observed slowing rate of vaccination as countries approach the maximum number of people who are willing to get vaccinated. The average scale-up curve was calibrated to the observed number of vaccinations reported</w:t>
      </w:r>
      <w:r w:rsidR="60C83B95" w:rsidRPr="006A0823">
        <w:rPr>
          <w:lang w:val="en-GB"/>
        </w:rPr>
        <w:t xml:space="preserve"> as</w:t>
      </w:r>
      <w:r w:rsidRPr="006A0823">
        <w:rPr>
          <w:lang w:val="en-GB"/>
        </w:rPr>
        <w:t xml:space="preserve"> delivered in each location. This was done by calculating the ratio of the predicted cumulative percentage vaccinated over the observed percentage vaccinated for the most recent time period. This ratio was then used to adjust the average scale-up curve. For locations without observed data, we used the regional average ratio to calibrate the scale-up curve.</w:t>
      </w:r>
    </w:p>
    <w:p w14:paraId="6B529D08" w14:textId="7C9C6590" w:rsidR="0B949941" w:rsidRPr="006A0823" w:rsidRDefault="0B949941" w:rsidP="00F97F3D">
      <w:pPr>
        <w:pStyle w:val="Heading3"/>
        <w:rPr>
          <w:lang w:val="en-GB"/>
        </w:rPr>
      </w:pPr>
      <w:bookmarkStart w:id="94" w:name="_Toc104245021"/>
      <w:bookmarkStart w:id="95" w:name="_Toc104249336"/>
      <w:bookmarkStart w:id="96" w:name="_Toc104252064"/>
      <w:bookmarkStart w:id="97" w:name="_Toc124499473"/>
      <w:r w:rsidRPr="006A0823">
        <w:rPr>
          <w:lang w:val="en-GB"/>
        </w:rPr>
        <w:t>Vaccine Supply</w:t>
      </w:r>
      <w:bookmarkEnd w:id="94"/>
      <w:bookmarkEnd w:id="95"/>
      <w:bookmarkEnd w:id="96"/>
      <w:bookmarkEnd w:id="97"/>
    </w:p>
    <w:p w14:paraId="7F838D71" w14:textId="5F9F4B7D" w:rsidR="4743B735" w:rsidRPr="006A0823" w:rsidRDefault="1ABA9471" w:rsidP="00BC3AE0">
      <w:pPr>
        <w:rPr>
          <w:lang w:val="en-GB"/>
        </w:rPr>
      </w:pPr>
      <w:r w:rsidRPr="006A0823">
        <w:rPr>
          <w:lang w:val="en-GB"/>
        </w:rPr>
        <w:t xml:space="preserve">Data on vaccine purchasing unilateral and multilateral agreements are from the </w:t>
      </w:r>
      <w:r w:rsidR="1351E0DB" w:rsidRPr="006A0823">
        <w:rPr>
          <w:lang w:val="en-GB"/>
        </w:rPr>
        <w:t xml:space="preserve">Duke Global Health Innovation </w:t>
      </w:r>
      <w:proofErr w:type="spellStart"/>
      <w:r w:rsidR="1351E0DB" w:rsidRPr="006A0823">
        <w:rPr>
          <w:lang w:val="en-GB"/>
        </w:rPr>
        <w:t>Center</w:t>
      </w:r>
      <w:proofErr w:type="spellEnd"/>
      <w:r w:rsidR="1351E0DB" w:rsidRPr="006A0823">
        <w:rPr>
          <w:lang w:val="en-GB"/>
        </w:rPr>
        <w:t xml:space="preserve"> (</w:t>
      </w:r>
      <w:hyperlink r:id="rId13" w:history="1">
        <w:r w:rsidR="1351E0DB" w:rsidRPr="006A0823">
          <w:rPr>
            <w:rStyle w:val="Hyperlink"/>
            <w:lang w:val="en-GB"/>
          </w:rPr>
          <w:t>https://launchandscalefaster.org/COVID-19</w:t>
        </w:r>
      </w:hyperlink>
      <w:r w:rsidR="1351E0DB" w:rsidRPr="006A0823">
        <w:rPr>
          <w:lang w:val="en-GB"/>
        </w:rPr>
        <w:t xml:space="preserve">), </w:t>
      </w:r>
      <w:proofErr w:type="spellStart"/>
      <w:r w:rsidRPr="006A0823">
        <w:rPr>
          <w:lang w:val="en-GB"/>
        </w:rPr>
        <w:t>Linksbridge</w:t>
      </w:r>
      <w:proofErr w:type="spellEnd"/>
      <w:r w:rsidRPr="006A0823">
        <w:rPr>
          <w:lang w:val="en-GB"/>
        </w:rPr>
        <w:t>, and relevant news articles</w:t>
      </w:r>
      <w:r w:rsidR="4743B735" w:rsidRPr="006A0823">
        <w:rPr>
          <w:color w:val="2B579A"/>
          <w:shd w:val="clear" w:color="auto" w:fill="E6E6E6"/>
          <w:lang w:val="en-GB"/>
        </w:rPr>
        <w:fldChar w:fldCharType="begin"/>
      </w:r>
      <w:r w:rsidR="004876B1" w:rsidRPr="006A0823">
        <w:rPr>
          <w:lang w:val="en-GB"/>
        </w:rPr>
        <w:instrText xml:space="preserve"> ADDIN ZOTERO_ITEM CSL_CITATION {"citationID":"vxmtbgSy","properties":{"formattedCitation":"\\super 13\\nosupersub{}","plainCitation":"13","noteIndex":0},"citationItems":[{"id":967,"uris":["http://zotero.org/groups/2154524/items/QRR72BSE"],"itemData":{"id":967,"type":"webpage","container-title":"Duke University","title":"Launch and scale speedometer","URL":"https://launchandscalefaster.org/speedometer-data","author":[{"literal":"Duke Global Health Innovation Center"}],"accessed":{"date-parts":[["2021",7,4]]},"issued":{"date-parts":[["2020"]]}}}],"schema":"https://github.com/citation-style-language/schema/raw/master/csl-citation.json"} </w:instrText>
      </w:r>
      <w:r w:rsidR="4743B735" w:rsidRPr="006A0823">
        <w:rPr>
          <w:color w:val="2B579A"/>
          <w:shd w:val="clear" w:color="auto" w:fill="E6E6E6"/>
          <w:lang w:val="en-GB"/>
        </w:rPr>
        <w:fldChar w:fldCharType="separate"/>
      </w:r>
      <w:r w:rsidR="00710C6C" w:rsidRPr="006A0823">
        <w:rPr>
          <w:sz w:val="22"/>
          <w:szCs w:val="24"/>
          <w:vertAlign w:val="superscript"/>
        </w:rPr>
        <w:t>13</w:t>
      </w:r>
      <w:r w:rsidR="4743B735" w:rsidRPr="006A0823">
        <w:rPr>
          <w:color w:val="2B579A"/>
          <w:shd w:val="clear" w:color="auto" w:fill="E6E6E6"/>
          <w:lang w:val="en-GB"/>
        </w:rPr>
        <w:fldChar w:fldCharType="end"/>
      </w:r>
      <w:r w:rsidRPr="006A0823">
        <w:rPr>
          <w:lang w:val="en-GB"/>
        </w:rPr>
        <w:t xml:space="preserve"> . Supply data also include multilateral donation agreements that are part of the Gavi COVID-19 Vaccines Global Access Facility Advance Market Commitment (COVAX AMC; </w:t>
      </w:r>
      <w:r w:rsidR="0B949941" w:rsidRPr="006A0823">
        <w:rPr>
          <w:lang w:val="en-GB"/>
        </w:rPr>
        <w:t>https://www.gavi.org/gavi-covax-amc</w:t>
      </w:r>
      <w:r w:rsidRPr="006A0823">
        <w:rPr>
          <w:lang w:val="en-GB"/>
        </w:rPr>
        <w:t xml:space="preserve">). COVAX AMC provides financing and delivery mechanisms that facilitate donations of COVID-19 vaccines to 92 low- and middle-income countries. Together these data represent, by country or purchasing block, the number of doses secured and optioned from the primary approved and in development vaccines. </w:t>
      </w:r>
      <w:r w:rsidR="0B6D2F7E" w:rsidRPr="006A0823">
        <w:rPr>
          <w:lang w:val="en-GB"/>
        </w:rPr>
        <w:t xml:space="preserve">Data on manufacturing capacity by </w:t>
      </w:r>
      <w:r w:rsidR="5F021457" w:rsidRPr="006A0823">
        <w:rPr>
          <w:lang w:val="en-GB"/>
        </w:rPr>
        <w:t xml:space="preserve">quarter were from </w:t>
      </w:r>
      <w:proofErr w:type="spellStart"/>
      <w:r w:rsidR="5F021457" w:rsidRPr="006A0823">
        <w:rPr>
          <w:lang w:val="en-GB"/>
        </w:rPr>
        <w:t>Linksbridge</w:t>
      </w:r>
      <w:proofErr w:type="spellEnd"/>
      <w:r w:rsidR="5F021457" w:rsidRPr="006A0823">
        <w:rPr>
          <w:lang w:val="en-GB"/>
        </w:rPr>
        <w:t>.</w:t>
      </w:r>
      <w:r w:rsidR="79327EE3" w:rsidRPr="006A0823">
        <w:rPr>
          <w:lang w:val="en-GB"/>
        </w:rPr>
        <w:t xml:space="preserve"> Dates of </w:t>
      </w:r>
      <w:r w:rsidR="21D10C60" w:rsidRPr="006A0823">
        <w:rPr>
          <w:lang w:val="en-GB"/>
        </w:rPr>
        <w:t xml:space="preserve">initiation of vaccine delivery were from news reports when available and assumed to be the first date of daily vaccinations delivered based on Our World in Data when the date of emergency use authorization </w:t>
      </w:r>
      <w:r w:rsidR="21D10C60" w:rsidRPr="006A0823">
        <w:rPr>
          <w:lang w:val="en-GB"/>
        </w:rPr>
        <w:lastRenderedPageBreak/>
        <w:t xml:space="preserve">was not available. </w:t>
      </w:r>
      <w:r w:rsidR="172F09E6" w:rsidRPr="006A0823">
        <w:rPr>
          <w:lang w:val="en-GB"/>
        </w:rPr>
        <w:t xml:space="preserve">Starting in 2021, we have data on vaccinations delivered for most locations (100+) from </w:t>
      </w:r>
      <w:hyperlink r:id="rId14" w:history="1">
        <w:r w:rsidR="172F09E6" w:rsidRPr="006A0823">
          <w:rPr>
            <w:lang w:val="en-GB"/>
          </w:rPr>
          <w:t>Our World in Data</w:t>
        </w:r>
      </w:hyperlink>
      <w:r w:rsidR="172F09E6" w:rsidRPr="006A0823">
        <w:rPr>
          <w:lang w:val="en-GB"/>
        </w:rPr>
        <w:t xml:space="preserve"> and from the </w:t>
      </w:r>
      <w:hyperlink r:id="rId15" w:anchor="vaccinations" w:history="1">
        <w:r w:rsidR="172F09E6" w:rsidRPr="006A0823">
          <w:rPr>
            <w:lang w:val="en-GB"/>
          </w:rPr>
          <w:t>United States CDC</w:t>
        </w:r>
      </w:hyperlink>
      <w:r w:rsidR="172F09E6" w:rsidRPr="006A0823">
        <w:rPr>
          <w:lang w:val="en-GB"/>
        </w:rPr>
        <w:t>. To match the reported number of people vaccinated, we simply use reported numbers of people, when available. For missing dates, we linearly interpolate cumulative vaccinations. Together, these data sources provide the total number of doses supplied to a location up to timepoint</w:t>
      </w:r>
      <w:r w:rsidR="1351E0DB" w:rsidRPr="006A0823">
        <w:rPr>
          <w:lang w:val="en-GB"/>
        </w:rPr>
        <w:t>, denoted as in the model above.</w:t>
      </w:r>
    </w:p>
    <w:p w14:paraId="325D23DD" w14:textId="2B8AFBD9" w:rsidR="00576BF0" w:rsidRPr="006A0823" w:rsidRDefault="74AED4E9" w:rsidP="00BC3AE0">
      <w:pPr>
        <w:rPr>
          <w:lang w:val="en-GB"/>
        </w:rPr>
      </w:pPr>
      <w:r w:rsidRPr="006A0823">
        <w:rPr>
          <w:lang w:val="en-GB"/>
        </w:rPr>
        <w:t>When constructing estimates of vaccine supply, we assume that the number of doses that can be manufactured per day is constant across quarters in 2021 (meaning that the doses per day is quarter capacity divided by days in the quarter). We also assume that when a vaccine first becomes available, there will be a stockpile that is equal to the previous quarter’s capacity. That stockpile is used over the first 30 days of the vaccine being available. There are two exceptions for the Pfizer/BioNTech and Moderna vaccines where we use the manufacturers’ stated capacity for the remainder of 2020. This leads to a large bump in available doses when a vaccine first becomes available. Otherwise, since we assume a constant number of doses manufactured per day, this is a step function over time. We then assign doses to locations based on purchasing and donation agreements and spread the number of secured doses across the stockpile doses and the daily manufacturing capacity for each manufacturer.</w:t>
      </w:r>
    </w:p>
    <w:p w14:paraId="50D7D3F7" w14:textId="7CA055F9" w:rsidR="2DA2C98F" w:rsidRPr="006A0823" w:rsidRDefault="2DA2C98F" w:rsidP="00F97F3D">
      <w:pPr>
        <w:pStyle w:val="Heading3"/>
        <w:rPr>
          <w:lang w:val="en-GB"/>
        </w:rPr>
      </w:pPr>
      <w:bookmarkStart w:id="98" w:name="_Toc76840488"/>
      <w:bookmarkStart w:id="99" w:name="_Toc104245022"/>
      <w:bookmarkStart w:id="100" w:name="_Toc104249337"/>
      <w:bookmarkStart w:id="101" w:name="_Toc104252065"/>
      <w:bookmarkStart w:id="102" w:name="_Toc124499474"/>
      <w:r w:rsidRPr="006A0823">
        <w:rPr>
          <w:lang w:val="en-GB"/>
        </w:rPr>
        <w:t xml:space="preserve">Vaccine </w:t>
      </w:r>
      <w:r w:rsidR="3DECAD37" w:rsidRPr="006A0823">
        <w:rPr>
          <w:lang w:val="en-GB"/>
        </w:rPr>
        <w:t>hesitancy</w:t>
      </w:r>
      <w:bookmarkEnd w:id="98"/>
      <w:bookmarkEnd w:id="99"/>
      <w:bookmarkEnd w:id="100"/>
      <w:bookmarkEnd w:id="101"/>
      <w:bookmarkEnd w:id="102"/>
    </w:p>
    <w:p w14:paraId="678A89A2" w14:textId="5280EABA" w:rsidR="50B81EE2" w:rsidRPr="006A0823" w:rsidRDefault="3BDE1AE0" w:rsidP="00BC3AE0">
      <w:pPr>
        <w:rPr>
          <w:lang w:val="en-GB"/>
        </w:rPr>
      </w:pPr>
      <w:r w:rsidRPr="006A0823">
        <w:rPr>
          <w:lang w:val="en-GB"/>
        </w:rPr>
        <w:t xml:space="preserve">Willingness to accept the COVID-19 vaccine is based on data from the </w:t>
      </w:r>
      <w:r w:rsidR="1351E0DB" w:rsidRPr="006A0823">
        <w:rPr>
          <w:lang w:val="en-GB"/>
        </w:rPr>
        <w:t>COVID-19 Trends and Impact Survey (CTIS). The CTIS is comprised of two data sources: national level data for over 190 countries collated by the University of Maryland (https://covidmap.umd.edu/) and state level data within the USA collated by the Delphi Group at Carnegie Mellon University (https://delphi.cmu.edu/covidcast/survey-results/)</w:t>
      </w:r>
      <w:r w:rsidR="50B81EE2" w:rsidRPr="006A0823">
        <w:rPr>
          <w:color w:val="2B579A"/>
          <w:shd w:val="clear" w:color="auto" w:fill="E6E6E6"/>
          <w:lang w:val="en-GB"/>
        </w:rPr>
        <w:fldChar w:fldCharType="begin"/>
      </w:r>
      <w:r w:rsidR="004876B1" w:rsidRPr="006A0823">
        <w:rPr>
          <w:lang w:val="en-GB"/>
        </w:rPr>
        <w:instrText xml:space="preserve"> ADDIN ZOTERO_ITEM CSL_CITATION {"citationID":"xTgel8Ek","properties":{"formattedCitation":"\\super 14,15\\nosupersub{}","plainCitation":"14,15","noteIndex":0},"citationItems":[{"id":952,"uris":["http://zotero.org/groups/2154524/items/RR25ALWY"],"itemData":{"id":952,"type":"webpage","title":"COVID-19 World Symptoms survey","URL":"https://covidmap.umd.edu/","author":[{"literal":"Center for Geospatial Information Science, University of Maryland"}],"accessed":{"date-parts":[["2021",7,4]]},"issued":{"date-parts":[["2021",6,25]]}},"label":"page"},{"id":966,"uris":["http://zotero.org/groups/2154524/items/RIHA6C7F"],"itemData":{"id":966,"type":"webpage","abstract":"Summary results for the survey are now available. Click here to explore\n In collaboration with Facebook, along with a consortium of universities and public health officials, the Delphi group at Carnegie Mellon University conducts research surveys to monitor the spread and impact of the COVID-19 pandemic in the United States. This survey is advertised through Facebook. It has run continuously since early April 2020, and about 50,000 people in the United States participate every day.","language":"en-us","title":"Delphi's COVID-19 surveys","URL":"https://delphi.cmu.edu/covidcast/surveys/","author":[{"literal":"Carnegie Mellon University Delphi Group"}],"accessed":{"date-parts":[["2021",7,4]]},"issued":{"date-parts":[["2021"]]}},"label":"page"}],"schema":"https://github.com/citation-style-language/schema/raw/master/csl-citation.json"} </w:instrText>
      </w:r>
      <w:r w:rsidR="50B81EE2" w:rsidRPr="006A0823">
        <w:rPr>
          <w:color w:val="2B579A"/>
          <w:shd w:val="clear" w:color="auto" w:fill="E6E6E6"/>
          <w:lang w:val="en-GB"/>
        </w:rPr>
        <w:fldChar w:fldCharType="separate"/>
      </w:r>
      <w:r w:rsidR="00710C6C" w:rsidRPr="006A0823">
        <w:rPr>
          <w:sz w:val="22"/>
          <w:szCs w:val="24"/>
          <w:vertAlign w:val="superscript"/>
        </w:rPr>
        <w:t>14,15</w:t>
      </w:r>
      <w:r w:rsidR="50B81EE2" w:rsidRPr="006A0823">
        <w:rPr>
          <w:color w:val="2B579A"/>
          <w:shd w:val="clear" w:color="auto" w:fill="E6E6E6"/>
          <w:lang w:val="en-GB"/>
        </w:rPr>
        <w:fldChar w:fldCharType="end"/>
      </w:r>
      <w:r w:rsidRPr="006A0823">
        <w:rPr>
          <w:lang w:val="en-GB"/>
        </w:rPr>
        <w:t xml:space="preserve"> . </w:t>
      </w:r>
      <w:r w:rsidR="09E88B79" w:rsidRPr="006A0823">
        <w:rPr>
          <w:lang w:val="en-GB"/>
        </w:rPr>
        <w:t xml:space="preserve">The surveys are administered </w:t>
      </w:r>
      <w:r w:rsidR="1351E0DB" w:rsidRPr="006A0823">
        <w:rPr>
          <w:lang w:val="en-GB"/>
        </w:rPr>
        <w:t>in collaboration with Facebook</w:t>
      </w:r>
      <w:r w:rsidR="09E88B79" w:rsidRPr="006A0823">
        <w:rPr>
          <w:lang w:val="en-GB"/>
        </w:rPr>
        <w:t xml:space="preserve"> in 56 languages globally. To estimate vaccine willingness in the unvaccinated, we used survey question V1 in the global survey and V3 in the US survey, which ask “If a vaccine against COVID-19 were offered to you today, would you accept it?” to which respondents can select one of four answers: “Yes”, “Yes, probably”, “No, probably”, or “No”. </w:t>
      </w:r>
      <w:r w:rsidR="5F42D46A" w:rsidRPr="006A0823">
        <w:rPr>
          <w:lang w:val="en-GB"/>
        </w:rPr>
        <w:t xml:space="preserve">Data from the surveys were tabulated by location-date. Note that this survey question is administered only to respondents who have previously answered that they are </w:t>
      </w:r>
      <w:r w:rsidR="5F42D46A" w:rsidRPr="006A0823">
        <w:rPr>
          <w:i/>
          <w:iCs/>
          <w:lang w:val="en-GB"/>
        </w:rPr>
        <w:t xml:space="preserve">not </w:t>
      </w:r>
      <w:r w:rsidR="5F42D46A" w:rsidRPr="006A0823">
        <w:rPr>
          <w:lang w:val="en-GB"/>
        </w:rPr>
        <w:t>vaccinated.</w:t>
      </w:r>
    </w:p>
    <w:p w14:paraId="4CCE200F" w14:textId="1A069B22" w:rsidR="00F73DAB" w:rsidRPr="006A0823" w:rsidRDefault="04E8D980" w:rsidP="00BC3AE0">
      <w:pPr>
        <w:rPr>
          <w:lang w:val="en-GB"/>
        </w:rPr>
      </w:pPr>
      <w:r w:rsidRPr="006A0823">
        <w:rPr>
          <w:lang w:val="en-GB"/>
        </w:rPr>
        <w:t>We estimate a smooth timeseries of vaccine willingness (</w:t>
      </w:r>
      <m:oMath>
        <m:sSub>
          <m:sSubPr>
            <m:ctrlPr>
              <w:rPr>
                <w:rFonts w:ascii="Cambria Math" w:hAnsi="Cambria Math"/>
              </w:rPr>
            </m:ctrlPr>
          </m:sSubPr>
          <m:e>
            <m:r>
              <w:rPr>
                <w:rFonts w:ascii="Cambria Math" w:hAnsi="Cambria Math"/>
              </w:rPr>
              <m:t>w</m:t>
            </m:r>
          </m:e>
          <m:sub>
            <m:r>
              <w:rPr>
                <w:rFonts w:ascii="Cambria Math" w:hAnsi="Cambria Math"/>
              </w:rPr>
              <m:t>jt</m:t>
            </m:r>
          </m:sub>
        </m:sSub>
      </m:oMath>
      <w:r w:rsidRPr="006A0823">
        <w:rPr>
          <w:lang w:val="en-GB"/>
        </w:rPr>
        <w:t>) by fitting a Quasi-binomial Generalized Additive Model (GAM) with a thin plate smoothing term applied across dates.</w:t>
      </w:r>
      <w:r w:rsidR="00E64C3D" w:rsidRPr="006A0823">
        <w:rPr>
          <w:color w:val="2B579A"/>
          <w:shd w:val="clear" w:color="auto" w:fill="E6E6E6"/>
          <w:lang w:val="en-GB"/>
        </w:rPr>
        <w:fldChar w:fldCharType="begin"/>
      </w:r>
      <w:r w:rsidR="004876B1" w:rsidRPr="006A0823">
        <w:rPr>
          <w:lang w:val="en-GB"/>
        </w:rPr>
        <w:instrText xml:space="preserve"> ADDIN ZOTERO_ITEM CSL_CITATION {"citationID":"N4AAOfKW","properties":{"formattedCitation":"\\super 16\\nosupersub{}","plainCitation":"16","noteIndex":0},"citationItems":[{"id":21732,"uris":["http://zotero.org/groups/2154524/items/WLYZEPST"],"itemData":{"id":21732,"type":"book","edition":"1st edition","event-place":"Boca Raton, FL","ISBN":"978-1-58488-474-3","language":"English","number-of-pages":"410","publisher":"Chapman and Hall/CRC","publisher-place":"Boca Raton, FL","source":"Amazon","title":"Generalized Additive Models: An Introduction with R","title-short":"Generalized Additive Models","author":[{"family":"Wood","given":"Simon N."}],"issued":{"date-parts":[["2006",2,27]]}}}],"schema":"https://github.com/citation-style-language/schema/raw/master/csl-citation.json"} </w:instrText>
      </w:r>
      <w:r w:rsidR="00E64C3D" w:rsidRPr="006A0823">
        <w:rPr>
          <w:color w:val="2B579A"/>
          <w:shd w:val="clear" w:color="auto" w:fill="E6E6E6"/>
          <w:lang w:val="en-GB"/>
        </w:rPr>
        <w:fldChar w:fldCharType="separate"/>
      </w:r>
      <w:r w:rsidR="00710C6C" w:rsidRPr="006A0823">
        <w:rPr>
          <w:vertAlign w:val="superscript"/>
        </w:rPr>
        <w:t>16</w:t>
      </w:r>
      <w:r w:rsidR="00E64C3D" w:rsidRPr="006A0823">
        <w:rPr>
          <w:color w:val="2B579A"/>
          <w:shd w:val="clear" w:color="auto" w:fill="E6E6E6"/>
          <w:lang w:val="en-GB"/>
        </w:rPr>
        <w:fldChar w:fldCharType="end"/>
      </w:r>
      <w:r w:rsidRPr="006A0823">
        <w:rPr>
          <w:lang w:val="en-GB"/>
        </w:rPr>
        <w:t xml:space="preserve"> The spline model was fitted to tabulated data on the proportion of people, by location-date, who said they would accept a vaccine against COVID-19 if it were offered to them today. These data are weighted to be representative of the general population using weights derived by the survey-developers (more below</w:t>
      </w:r>
      <w:r w:rsidR="187DAA96" w:rsidRPr="006A0823">
        <w:rPr>
          <w:lang w:val="en-GB"/>
        </w:rPr>
        <w:t>).</w:t>
      </w:r>
      <w:r w:rsidRPr="006A0823">
        <w:rPr>
          <w:lang w:val="en-GB"/>
        </w:rPr>
        <w:t xml:space="preserve"> In locations where CTIS data is not available we used a regional model where the same GAM was fitted to a composite dataset comprised of several neighbouring countries in the region. However, for China</w:t>
      </w:r>
      <w:r w:rsidR="0C7C4B81" w:rsidRPr="006A0823">
        <w:rPr>
          <w:lang w:val="en-GB"/>
        </w:rPr>
        <w:t xml:space="preserve"> we used a surrogate hesitancy model fitted to data from Singapore. When predicting future vaccination coverage, levels of vaccine hesitancy in the future were inferred by simply taking the average of the last three days of the smoothed time series to provide a single estimate of future vaccine acceptance by location. The value represents the fraction of adults on the model date that have would definitely receive the vaccine.</w:t>
      </w:r>
    </w:p>
    <w:p w14:paraId="3FF0BD4A" w14:textId="0E4BF2D4" w:rsidR="00DA3715" w:rsidRPr="006A0823" w:rsidRDefault="00DA3715" w:rsidP="00BC3AE0">
      <w:pPr>
        <w:pStyle w:val="Heading2"/>
        <w:rPr>
          <w:lang w:val="en-GB"/>
        </w:rPr>
      </w:pPr>
      <w:bookmarkStart w:id="103" w:name="_Toc104245023"/>
      <w:bookmarkStart w:id="104" w:name="_Toc104249338"/>
      <w:bookmarkStart w:id="105" w:name="_Toc104252066"/>
      <w:bookmarkStart w:id="106" w:name="_Toc124499475"/>
      <w:r w:rsidRPr="006A0823">
        <w:rPr>
          <w:lang w:val="en-GB"/>
        </w:rPr>
        <w:t xml:space="preserve">Vaccine Efficacy and </w:t>
      </w:r>
      <w:r w:rsidR="0006139E" w:rsidRPr="006A0823">
        <w:rPr>
          <w:lang w:val="en-GB"/>
        </w:rPr>
        <w:t>W</w:t>
      </w:r>
      <w:r w:rsidRPr="006A0823">
        <w:rPr>
          <w:lang w:val="en-GB"/>
        </w:rPr>
        <w:t xml:space="preserve">aning </w:t>
      </w:r>
      <w:r w:rsidR="0006139E" w:rsidRPr="006A0823">
        <w:rPr>
          <w:lang w:val="en-GB"/>
        </w:rPr>
        <w:t>I</w:t>
      </w:r>
      <w:r w:rsidRPr="006A0823">
        <w:rPr>
          <w:lang w:val="en-GB"/>
        </w:rPr>
        <w:t>mmunity</w:t>
      </w:r>
      <w:bookmarkEnd w:id="103"/>
      <w:bookmarkEnd w:id="104"/>
      <w:bookmarkEnd w:id="105"/>
      <w:bookmarkEnd w:id="106"/>
    </w:p>
    <w:p w14:paraId="438BABB6" w14:textId="129D97B4" w:rsidR="00C01F13" w:rsidRPr="006A0823" w:rsidRDefault="1318482B" w:rsidP="00BC3AE0">
      <w:pPr>
        <w:rPr>
          <w:lang w:val="en-GB"/>
        </w:rPr>
      </w:pPr>
      <w:r w:rsidRPr="006A0823">
        <w:rPr>
          <w:lang w:val="en-GB"/>
        </w:rPr>
        <w:t>Vaccine efficacy refers to two aspects of a vaccine’s perf</w:t>
      </w:r>
      <w:r w:rsidR="194072ED" w:rsidRPr="006A0823">
        <w:rPr>
          <w:lang w:val="en-GB"/>
        </w:rPr>
        <w:t>ormance</w:t>
      </w:r>
      <w:r w:rsidR="7CF7C989" w:rsidRPr="006A0823">
        <w:rPr>
          <w:lang w:val="en-GB"/>
        </w:rPr>
        <w:t xml:space="preserve"> – </w:t>
      </w:r>
      <w:r w:rsidR="2D0A43CD" w:rsidRPr="006A0823">
        <w:rPr>
          <w:lang w:val="en-GB"/>
        </w:rPr>
        <w:t>first, it</w:t>
      </w:r>
      <w:r w:rsidR="1F29E40C" w:rsidRPr="006A0823">
        <w:rPr>
          <w:lang w:val="en-GB"/>
        </w:rPr>
        <w:t>s</w:t>
      </w:r>
      <w:r w:rsidR="194072ED" w:rsidRPr="006A0823">
        <w:rPr>
          <w:lang w:val="en-GB"/>
        </w:rPr>
        <w:t xml:space="preserve"> ability to prevent </w:t>
      </w:r>
      <w:r w:rsidR="3E553E71" w:rsidRPr="006A0823">
        <w:rPr>
          <w:lang w:val="en-GB"/>
        </w:rPr>
        <w:t xml:space="preserve">the transmission of </w:t>
      </w:r>
      <w:r w:rsidR="720EBC1B" w:rsidRPr="006A0823">
        <w:rPr>
          <w:lang w:val="en-GB"/>
        </w:rPr>
        <w:t xml:space="preserve">COVID-19 from </w:t>
      </w:r>
      <w:r w:rsidR="47502819" w:rsidRPr="006A0823">
        <w:rPr>
          <w:lang w:val="en-GB"/>
        </w:rPr>
        <w:t>one person to another</w:t>
      </w:r>
      <w:r w:rsidR="18FEA1EA" w:rsidRPr="006A0823">
        <w:rPr>
          <w:lang w:val="en-GB"/>
        </w:rPr>
        <w:t>; and second, its ability to prevent an e</w:t>
      </w:r>
      <w:r w:rsidR="213454EA" w:rsidRPr="006A0823">
        <w:rPr>
          <w:lang w:val="en-GB"/>
        </w:rPr>
        <w:t xml:space="preserve">xposed person from developing </w:t>
      </w:r>
      <w:r w:rsidR="4CE8C34D" w:rsidRPr="006A0823">
        <w:rPr>
          <w:lang w:val="en-GB"/>
        </w:rPr>
        <w:t>severe symptoms leading to hospitalization and death</w:t>
      </w:r>
      <w:r w:rsidR="1F29E40C" w:rsidRPr="006A0823">
        <w:rPr>
          <w:lang w:val="en-GB"/>
        </w:rPr>
        <w:t>.</w:t>
      </w:r>
      <w:r w:rsidR="47502819" w:rsidRPr="006A0823">
        <w:rPr>
          <w:lang w:val="en-GB"/>
        </w:rPr>
        <w:t xml:space="preserve"> </w:t>
      </w:r>
      <w:r w:rsidR="1F29E40C" w:rsidRPr="006A0823">
        <w:rPr>
          <w:lang w:val="en-GB"/>
        </w:rPr>
        <w:t>In our analysis, these features of a vaccine vary by the brand of vaccine delivered, by the number of doses an individual has received, by the COVID-19 variant an individual is exposed to, and by the time since the individual received their last course of vaccination.  We assume booster doses of a particular brand of vaccine carry the same efficacy and waning pattern as the first full course of vaccination with the same brand, irrespective of time since the first course was completed or the brand used in the first course of vaccination.</w:t>
      </w:r>
    </w:p>
    <w:p w14:paraId="713D595D" w14:textId="1A02E913" w:rsidR="31D153D7" w:rsidRPr="006A0823" w:rsidRDefault="49F4D592" w:rsidP="00F97F3D">
      <w:pPr>
        <w:pStyle w:val="Heading3"/>
        <w:rPr>
          <w:lang w:val="en-GB"/>
        </w:rPr>
      </w:pPr>
      <w:bookmarkStart w:id="107" w:name="_Toc104245024"/>
      <w:bookmarkStart w:id="108" w:name="_Toc104249339"/>
      <w:bookmarkStart w:id="109" w:name="_Toc104252067"/>
      <w:bookmarkStart w:id="110" w:name="_Toc124499476"/>
      <w:r w:rsidRPr="006A0823">
        <w:rPr>
          <w:lang w:val="en-GB"/>
        </w:rPr>
        <w:t>Maximum effect sizes</w:t>
      </w:r>
      <w:bookmarkEnd w:id="107"/>
      <w:bookmarkEnd w:id="108"/>
      <w:bookmarkEnd w:id="109"/>
      <w:bookmarkEnd w:id="110"/>
    </w:p>
    <w:p w14:paraId="19534500" w14:textId="571C3C99" w:rsidR="00BB7FDB" w:rsidRPr="006A0823" w:rsidRDefault="15BB4E1D" w:rsidP="65640B3B">
      <w:pPr>
        <w:rPr>
          <w:lang w:val="en-GB"/>
        </w:rPr>
      </w:pPr>
      <w:r w:rsidRPr="006A0823">
        <w:rPr>
          <w:lang w:val="en-GB"/>
        </w:rPr>
        <w:t>We have conducted a systematic review of literature on the effectiveness of all vaccines against infection and severe disease</w:t>
      </w:r>
      <w:r w:rsidR="0441BB99" w:rsidRPr="006A0823">
        <w:rPr>
          <w:lang w:val="en-GB"/>
        </w:rPr>
        <w:t xml:space="preserve"> (interpreted as prevention of death and hospitalization)</w:t>
      </w:r>
      <w:r w:rsidRPr="006A0823">
        <w:rPr>
          <w:lang w:val="en-GB"/>
        </w:rPr>
        <w:t xml:space="preserve">.  Our data sources include peer-reviewed publications, reports, preprints, </w:t>
      </w:r>
      <w:proofErr w:type="spellStart"/>
      <w:r w:rsidRPr="006A0823">
        <w:rPr>
          <w:lang w:val="en-GB"/>
        </w:rPr>
        <w:t>medRxiv</w:t>
      </w:r>
      <w:proofErr w:type="spellEnd"/>
      <w:r w:rsidRPr="006A0823">
        <w:rPr>
          <w:lang w:val="en-GB"/>
        </w:rPr>
        <w:t>, and news reports, which are summarized in appendix 2</w:t>
      </w:r>
      <w:r w:rsidR="2D5BBDA6" w:rsidRPr="006A0823">
        <w:rPr>
          <w:lang w:val="en-GB"/>
        </w:rPr>
        <w:t xml:space="preserve">, section </w:t>
      </w:r>
      <w:r w:rsidR="01EA7396" w:rsidRPr="006A0823">
        <w:rPr>
          <w:lang w:val="en-GB"/>
        </w:rPr>
        <w:t>1</w:t>
      </w:r>
      <w:r w:rsidR="2D5BBDA6" w:rsidRPr="006A0823">
        <w:rPr>
          <w:lang w:val="en-GB"/>
        </w:rPr>
        <w:t>7</w:t>
      </w:r>
      <w:r w:rsidRPr="006A0823">
        <w:rPr>
          <w:lang w:val="en-GB"/>
        </w:rPr>
        <w:t xml:space="preserve">. </w:t>
      </w:r>
      <w:r w:rsidR="08D9DBF5" w:rsidRPr="006A0823">
        <w:rPr>
          <w:lang w:val="en-GB"/>
        </w:rPr>
        <w:t>We</w:t>
      </w:r>
      <w:r w:rsidR="0022CCEF" w:rsidRPr="006A0823">
        <w:rPr>
          <w:lang w:val="en-GB"/>
        </w:rPr>
        <w:t xml:space="preserve"> </w:t>
      </w:r>
      <w:r w:rsidR="0022CCEF" w:rsidRPr="006A0823">
        <w:rPr>
          <w:lang w:val="en-GB"/>
        </w:rPr>
        <w:lastRenderedPageBreak/>
        <w:t xml:space="preserve">track efficacy by the variants </w:t>
      </w:r>
      <w:r w:rsidR="08D9DBF5" w:rsidRPr="006A0823">
        <w:rPr>
          <w:lang w:val="en-GB"/>
        </w:rPr>
        <w:t>D614G</w:t>
      </w:r>
      <w:r w:rsidR="0022CCEF" w:rsidRPr="006A0823">
        <w:rPr>
          <w:lang w:val="en-GB"/>
        </w:rPr>
        <w:t xml:space="preserve"> (</w:t>
      </w:r>
      <w:r w:rsidR="09A871E8" w:rsidRPr="006A0823">
        <w:rPr>
          <w:lang w:val="en-GB"/>
        </w:rPr>
        <w:t>A</w:t>
      </w:r>
      <w:r w:rsidR="0022CCEF" w:rsidRPr="006A0823">
        <w:rPr>
          <w:lang w:val="en-GB"/>
        </w:rPr>
        <w:t>ncestral)</w:t>
      </w:r>
      <w:r w:rsidR="08D9DBF5" w:rsidRPr="006A0823">
        <w:rPr>
          <w:lang w:val="en-GB"/>
        </w:rPr>
        <w:t>, B.1.1.7</w:t>
      </w:r>
      <w:r w:rsidR="0022CCEF" w:rsidRPr="006A0823">
        <w:rPr>
          <w:lang w:val="en-GB"/>
        </w:rPr>
        <w:t xml:space="preserve"> (Alpha</w:t>
      </w:r>
      <w:r w:rsidR="09A871E8" w:rsidRPr="006A0823">
        <w:rPr>
          <w:lang w:val="en-GB"/>
        </w:rPr>
        <w:t>)</w:t>
      </w:r>
      <w:r w:rsidR="08D9DBF5" w:rsidRPr="006A0823">
        <w:rPr>
          <w:lang w:val="en-GB"/>
        </w:rPr>
        <w:t>, B.1.351</w:t>
      </w:r>
      <w:r w:rsidR="09A871E8" w:rsidRPr="006A0823">
        <w:rPr>
          <w:lang w:val="en-GB"/>
        </w:rPr>
        <w:t xml:space="preserve"> (Beta)</w:t>
      </w:r>
      <w:r w:rsidR="08D9DBF5" w:rsidRPr="006A0823">
        <w:rPr>
          <w:lang w:val="en-GB"/>
        </w:rPr>
        <w:t>, P.1</w:t>
      </w:r>
      <w:r w:rsidR="09A871E8" w:rsidRPr="006A0823">
        <w:rPr>
          <w:lang w:val="en-GB"/>
        </w:rPr>
        <w:t xml:space="preserve"> (Gamma)</w:t>
      </w:r>
      <w:r w:rsidR="08D9DBF5" w:rsidRPr="006A0823">
        <w:rPr>
          <w:lang w:val="en-GB"/>
        </w:rPr>
        <w:t>, B.1.617</w:t>
      </w:r>
      <w:r w:rsidR="09A871E8" w:rsidRPr="006A0823">
        <w:rPr>
          <w:lang w:val="en-GB"/>
        </w:rPr>
        <w:t xml:space="preserve"> (Delta), and </w:t>
      </w:r>
      <w:r w:rsidR="374A7E39" w:rsidRPr="006A0823">
        <w:rPr>
          <w:lang w:val="en-GB"/>
        </w:rPr>
        <w:t>BA.1 (Omicron)</w:t>
      </w:r>
      <w:r w:rsidR="08D9DBF5" w:rsidRPr="006A0823">
        <w:rPr>
          <w:lang w:val="en-GB"/>
        </w:rPr>
        <w:t xml:space="preserve">.  D614G is also referred to as “ancestral-type” COVID and was the dominant strain of SARS-CoV-2 infection before </w:t>
      </w:r>
      <w:r w:rsidR="374A7E39" w:rsidRPr="006A0823">
        <w:rPr>
          <w:lang w:val="en-GB"/>
        </w:rPr>
        <w:t xml:space="preserve">the Alpha variant </w:t>
      </w:r>
      <w:r w:rsidR="08D9DBF5" w:rsidRPr="006A0823">
        <w:rPr>
          <w:lang w:val="en-GB"/>
        </w:rPr>
        <w:t>spread widely.</w:t>
      </w:r>
      <w:r w:rsidR="350D94F7" w:rsidRPr="006A0823">
        <w:rPr>
          <w:lang w:val="en-GB"/>
        </w:rPr>
        <w:t xml:space="preserve"> Due to limitations in available data, we have pooled the effect sizes into three groups – first, ancestral COVID and the Alpha variant; second, the Beta, Gamma, and Delta variants; and third, the Omicron variant. Maximum</w:t>
      </w:r>
      <w:r w:rsidR="3AE92021" w:rsidRPr="006A0823">
        <w:rPr>
          <w:lang w:val="en-GB"/>
        </w:rPr>
        <w:t xml:space="preserve"> </w:t>
      </w:r>
      <w:r w:rsidR="350D94F7" w:rsidRPr="006A0823">
        <w:rPr>
          <w:lang w:val="en-GB"/>
        </w:rPr>
        <w:t>v</w:t>
      </w:r>
      <w:r w:rsidR="3AE92021" w:rsidRPr="006A0823">
        <w:rPr>
          <w:lang w:val="en-GB"/>
        </w:rPr>
        <w:t xml:space="preserve">accine efficacy is summarized in table S2 which was retrieved from the IHME special analysis on vaccine efficacy on </w:t>
      </w:r>
      <w:r w:rsidR="073F834C" w:rsidRPr="006A0823">
        <w:rPr>
          <w:lang w:val="en-GB"/>
        </w:rPr>
        <w:t>January 10, 2023,</w:t>
      </w:r>
      <w:r w:rsidR="24D87960" w:rsidRPr="006A0823">
        <w:rPr>
          <w:lang w:val="en-GB"/>
        </w:rPr>
        <w:t xml:space="preserve"> (</w:t>
      </w:r>
      <w:hyperlink r:id="rId16">
        <w:r w:rsidR="188798BA" w:rsidRPr="006A0823">
          <w:rPr>
            <w:rStyle w:val="Hyperlink"/>
            <w:rFonts w:eastAsia="Times New Roman"/>
            <w:lang w:val="en-GB"/>
          </w:rPr>
          <w:t>https://www.healthdata.org/covid/covid-19-vaccine-efficacy-summary)</w:t>
        </w:r>
      </w:hyperlink>
      <w:r w:rsidR="3AE92021" w:rsidRPr="006A0823">
        <w:rPr>
          <w:lang w:val="en-GB"/>
        </w:rPr>
        <w:t>.</w:t>
      </w:r>
    </w:p>
    <w:p w14:paraId="77799555" w14:textId="254B5F95" w:rsidR="754B5453" w:rsidRPr="006A0823" w:rsidRDefault="7D200074" w:rsidP="000A7EDF">
      <w:pPr>
        <w:pStyle w:val="Heading3"/>
        <w:rPr>
          <w:lang w:val="en-GB"/>
        </w:rPr>
      </w:pPr>
      <w:bookmarkStart w:id="111" w:name="_Toc104245025"/>
      <w:bookmarkStart w:id="112" w:name="_Toc104249340"/>
      <w:bookmarkStart w:id="113" w:name="_Toc104252068"/>
      <w:bookmarkStart w:id="114" w:name="_Toc124499477"/>
      <w:r w:rsidRPr="006A0823">
        <w:rPr>
          <w:lang w:val="en-GB"/>
        </w:rPr>
        <w:t>Waning immunity</w:t>
      </w:r>
      <w:bookmarkEnd w:id="111"/>
      <w:bookmarkEnd w:id="112"/>
      <w:bookmarkEnd w:id="113"/>
      <w:bookmarkEnd w:id="114"/>
    </w:p>
    <w:p w14:paraId="603877FE" w14:textId="0883DA28" w:rsidR="754B5453" w:rsidRPr="006A0823" w:rsidRDefault="1A96D1DA" w:rsidP="00BC3AE0">
      <w:pPr>
        <w:rPr>
          <w:lang w:val="en-GB"/>
        </w:rPr>
      </w:pPr>
      <w:r w:rsidRPr="006A0823">
        <w:rPr>
          <w:lang w:val="en-GB"/>
        </w:rPr>
        <w:t xml:space="preserve">To estimate waning protection from vaccination, </w:t>
      </w:r>
      <w:r w:rsidR="00F72E4B" w:rsidRPr="006A0823">
        <w:rPr>
          <w:lang w:val="en-GB"/>
        </w:rPr>
        <w:t>we performed a systematic review and meta-analysis of scientific literature studies that estimated vaccine effectiveness by outcome, vaccine brand, and variant</w:t>
      </w:r>
      <w:r w:rsidR="004876B1" w:rsidRPr="006A0823">
        <w:rPr>
          <w:lang w:val="en-GB"/>
        </w:rPr>
        <w:t>.</w:t>
      </w:r>
      <w:r w:rsidR="004876B1" w:rsidRPr="006A0823">
        <w:rPr>
          <w:lang w:val="en-GB"/>
        </w:rPr>
        <w:fldChar w:fldCharType="begin"/>
      </w:r>
      <w:r w:rsidR="004876B1" w:rsidRPr="006A0823">
        <w:rPr>
          <w:lang w:val="en-GB"/>
        </w:rPr>
        <w:instrText xml:space="preserve"> ADDIN ZOTERO_ITEM CSL_CITATION {"citationID":"ZUq4ZnKB","properties":{"formattedCitation":"\\super 17\\nosupersub{}","plainCitation":"17","noteIndex":0},"citationItems":[{"id":35736,"uris":["http://zotero.org/groups/2154524/items/SHSWA7ZS"],"itemData":{"id":35736,"type":"article-journal","title":"COVID-19 vaccine effectiveness after second dose by variants and main outcomes: a systematic review and meta-analysis.","author":[{"family":"Nassereldine","given":"H."},{"family":"Stein","given":"C"},{"family":"COVID-19 Forecasting Team","given":""},{"family":"Lim","given":"S.S."}],"issued":{"literal":"(To be submitted)"}}}],"schema":"https://github.com/citation-style-language/schema/raw/master/csl-citation.json"} </w:instrText>
      </w:r>
      <w:r w:rsidR="004876B1" w:rsidRPr="006A0823">
        <w:rPr>
          <w:lang w:val="en-GB"/>
        </w:rPr>
        <w:fldChar w:fldCharType="separate"/>
      </w:r>
      <w:r w:rsidR="004876B1" w:rsidRPr="006A0823">
        <w:rPr>
          <w:vertAlign w:val="superscript"/>
        </w:rPr>
        <w:t>17</w:t>
      </w:r>
      <w:r w:rsidR="004876B1" w:rsidRPr="006A0823">
        <w:rPr>
          <w:lang w:val="en-GB"/>
        </w:rPr>
        <w:fldChar w:fldCharType="end"/>
      </w:r>
    </w:p>
    <w:p w14:paraId="0C79DB7D" w14:textId="27646FA3" w:rsidR="754B5453" w:rsidRPr="006A0823" w:rsidRDefault="7D200074" w:rsidP="000A7EDF">
      <w:pPr>
        <w:pStyle w:val="Heading3"/>
        <w:rPr>
          <w:lang w:val="en-GB"/>
        </w:rPr>
      </w:pPr>
      <w:bookmarkStart w:id="115" w:name="_Toc104245026"/>
      <w:bookmarkStart w:id="116" w:name="_Toc104249341"/>
      <w:bookmarkStart w:id="117" w:name="_Toc104252069"/>
      <w:bookmarkStart w:id="118" w:name="_Toc124499478"/>
      <w:r w:rsidRPr="006A0823">
        <w:rPr>
          <w:lang w:val="en-GB"/>
        </w:rPr>
        <w:t>Reduction in transmission intensity</w:t>
      </w:r>
      <w:bookmarkEnd w:id="115"/>
      <w:bookmarkEnd w:id="116"/>
      <w:bookmarkEnd w:id="117"/>
      <w:bookmarkEnd w:id="118"/>
    </w:p>
    <w:p w14:paraId="06F5A2BA" w14:textId="7E228933" w:rsidR="005224EE" w:rsidRPr="006A0823" w:rsidRDefault="754B5453" w:rsidP="00BC3AE0">
      <w:pPr>
        <w:rPr>
          <w:lang w:val="en-GB"/>
        </w:rPr>
      </w:pPr>
      <w:r w:rsidRPr="006A0823">
        <w:rPr>
          <w:lang w:val="en-GB"/>
        </w:rPr>
        <w:t xml:space="preserve">To generate inputs for our model, we constructed curves representing the average risk reduction among all people who last received a particular vaccine round.  These risk reduction curves were constructed from the brand-specific vaccinations produced by the methods in Section </w:t>
      </w:r>
      <w:r w:rsidR="00636B39" w:rsidRPr="006A0823">
        <w:rPr>
          <w:lang w:val="en-GB"/>
        </w:rPr>
        <w:t>5</w:t>
      </w:r>
      <w:r w:rsidRPr="006A0823">
        <w:rPr>
          <w:lang w:val="en-GB"/>
        </w:rPr>
        <w:t>.2 combined with the efficacy and waning curves derived from our systematic review and analysis</w:t>
      </w:r>
      <w:r w:rsidR="005224EE" w:rsidRPr="006A0823">
        <w:rPr>
          <w:lang w:val="en-GB"/>
        </w:rPr>
        <w:t xml:space="preserve">.  We first define the time-dependent effectiveness </w:t>
      </w:r>
      <m:oMath>
        <m:sSubSup>
          <m:sSubSupPr>
            <m:ctrlPr>
              <w:rPr>
                <w:rFonts w:ascii="Cambria Math" w:hAnsi="Cambria Math"/>
                <w:i/>
                <w:lang w:val="en-GB"/>
              </w:rPr>
            </m:ctrlPr>
          </m:sSubSupPr>
          <m:e>
            <m:r>
              <w:rPr>
                <w:rFonts w:ascii="Cambria Math" w:hAnsi="Cambria Math"/>
                <w:lang w:val="en-GB"/>
              </w:rPr>
              <m:t>ε</m:t>
            </m:r>
          </m:e>
          <m:sub>
            <m:r>
              <w:rPr>
                <w:rFonts w:ascii="Cambria Math" w:hAnsi="Cambria Math"/>
                <w:lang w:val="en-GB"/>
              </w:rPr>
              <m:t>x,v</m:t>
            </m:r>
          </m:sub>
          <m:sup>
            <m:r>
              <w:rPr>
                <w:rFonts w:ascii="Cambria Math" w:hAnsi="Cambria Math"/>
                <w:lang w:val="en-GB"/>
              </w:rPr>
              <m:t>Z</m:t>
            </m:r>
          </m:sup>
        </m:sSubSup>
        <m:r>
          <w:rPr>
            <w:rFonts w:ascii="Cambria Math" w:hAnsi="Cambria Math"/>
            <w:lang w:val="en-GB"/>
          </w:rPr>
          <m:t>(t, b)</m:t>
        </m:r>
      </m:oMath>
      <w:r w:rsidR="005224EE" w:rsidRPr="006A0823">
        <w:rPr>
          <w:lang w:val="en-GB"/>
        </w:rPr>
        <w:t xml:space="preserve"> of vaccine course </w:t>
      </w:r>
      <m:oMath>
        <m:r>
          <w:rPr>
            <w:rFonts w:ascii="Cambria Math" w:hAnsi="Cambria Math"/>
            <w:lang w:val="en-GB"/>
          </w:rPr>
          <m:t>v</m:t>
        </m:r>
      </m:oMath>
      <w:r w:rsidR="005224EE" w:rsidRPr="006A0823">
        <w:rPr>
          <w:lang w:val="en-GB"/>
        </w:rPr>
        <w:t xml:space="preserve"> of vaccine branch </w:t>
      </w:r>
      <m:oMath>
        <m:r>
          <w:rPr>
            <w:rFonts w:ascii="Cambria Math" w:hAnsi="Cambria Math"/>
            <w:lang w:val="en-GB"/>
          </w:rPr>
          <m:t>b</m:t>
        </m:r>
      </m:oMath>
      <w:r w:rsidR="005224EE" w:rsidRPr="006A0823">
        <w:rPr>
          <w:lang w:val="en-GB"/>
        </w:rPr>
        <w:t xml:space="preserve"> at preventing outcome </w:t>
      </w:r>
      <w:r w:rsidR="006E7F50" w:rsidRPr="006A0823">
        <w:rPr>
          <w:lang w:val="en-GB"/>
        </w:rPr>
        <w:t>Z</w:t>
      </w:r>
      <w:r w:rsidR="005224EE" w:rsidRPr="006A0823">
        <w:rPr>
          <w:lang w:val="en-GB"/>
        </w:rPr>
        <w:t xml:space="preserve"> against variant </w:t>
      </w:r>
      <m:oMath>
        <m:r>
          <w:rPr>
            <w:rFonts w:ascii="Cambria Math" w:hAnsi="Cambria Math"/>
            <w:lang w:val="en-GB"/>
          </w:rPr>
          <m:t>x</m:t>
        </m:r>
      </m:oMath>
      <w:r w:rsidR="005224EE" w:rsidRPr="006A0823">
        <w:rPr>
          <w:lang w:val="en-GB"/>
        </w:rPr>
        <w:t xml:space="preserve"> as</w:t>
      </w:r>
    </w:p>
    <w:p w14:paraId="0751C65A" w14:textId="7DF07FF8" w:rsidR="005224EE" w:rsidRPr="006A0823" w:rsidRDefault="00000000" w:rsidP="65640B3B">
      <w:pPr>
        <w:jc w:val="center"/>
      </w:pPr>
      <m:oMathPara>
        <m:oMath>
          <m:sSubSup>
            <m:sSubSupPr>
              <m:ctrlPr>
                <w:rPr>
                  <w:rFonts w:ascii="Cambria Math" w:hAnsi="Cambria Math"/>
                  <w:i/>
                  <w:lang w:val="en-GB"/>
                </w:rPr>
              </m:ctrlPr>
            </m:sSubSupPr>
            <m:e>
              <m:r>
                <w:rPr>
                  <w:rFonts w:ascii="Cambria Math" w:hAnsi="Cambria Math"/>
                  <w:lang w:val="en-GB"/>
                </w:rPr>
                <m:t>ε</m:t>
              </m:r>
            </m:e>
            <m:sub>
              <m:r>
                <w:rPr>
                  <w:rFonts w:ascii="Cambria Math" w:hAnsi="Cambria Math"/>
                  <w:lang w:val="en-GB"/>
                </w:rPr>
                <m:t>x,v</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 b</m:t>
              </m:r>
            </m:e>
          </m:d>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ϵ</m:t>
              </m:r>
            </m:e>
            <m:sub>
              <m:r>
                <w:rPr>
                  <w:rFonts w:ascii="Cambria Math" w:hAnsi="Cambria Math"/>
                  <w:lang w:val="en-GB"/>
                </w:rPr>
                <m:t>x,v</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b</m:t>
              </m:r>
            </m:e>
          </m:d>
          <m:sSup>
            <m:sSupPr>
              <m:ctrlPr>
                <w:rPr>
                  <w:rFonts w:ascii="Cambria Math" w:hAnsi="Cambria Math"/>
                  <w:i/>
                  <w:lang w:val="en-GB"/>
                </w:rPr>
              </m:ctrlPr>
            </m:sSupPr>
            <m:e>
              <m:r>
                <w:rPr>
                  <w:rFonts w:ascii="Cambria Math" w:hAnsi="Cambria Math"/>
                  <w:lang w:val="en-GB"/>
                </w:rPr>
                <m:t>w</m:t>
              </m:r>
            </m:e>
            <m:sup>
              <m:r>
                <w:rPr>
                  <w:rFonts w:ascii="Cambria Math" w:hAnsi="Cambria Math"/>
                  <w:lang w:val="en-GB"/>
                </w:rPr>
                <m:t>Z</m:t>
              </m:r>
            </m:sup>
          </m:sSup>
          <m:r>
            <w:rPr>
              <w:rFonts w:ascii="Cambria Math" w:hAnsi="Cambria Math"/>
              <w:lang w:val="en-GB"/>
            </w:rPr>
            <m:t>(t, b)</m:t>
          </m:r>
        </m:oMath>
      </m:oMathPara>
    </w:p>
    <w:p w14:paraId="7BE155F9" w14:textId="2E24F6E0" w:rsidR="005224EE" w:rsidRPr="006A0823" w:rsidRDefault="005224EE" w:rsidP="00BC3AE0">
      <w:pPr>
        <w:rPr>
          <w:lang w:val="en-GB"/>
        </w:rPr>
      </w:pPr>
      <w:r w:rsidRPr="006A0823">
        <w:rPr>
          <w:lang w:val="en-GB"/>
        </w:rPr>
        <w:t xml:space="preserve">Where </w:t>
      </w:r>
      <m:oMath>
        <m:r>
          <w:rPr>
            <w:rFonts w:ascii="Cambria Math" w:hAnsi="Cambria Math"/>
            <w:lang w:val="en-GB"/>
          </w:rPr>
          <m:t>ϵ</m:t>
        </m:r>
      </m:oMath>
      <w:r w:rsidRPr="006A0823">
        <w:rPr>
          <w:lang w:val="en-GB"/>
        </w:rPr>
        <w:t xml:space="preserve"> is the maximum effect size described in Section </w:t>
      </w:r>
      <w:r w:rsidR="00636B39" w:rsidRPr="006A0823">
        <w:rPr>
          <w:lang w:val="en-GB"/>
        </w:rPr>
        <w:t>5</w:t>
      </w:r>
      <w:r w:rsidRPr="006A0823">
        <w:rPr>
          <w:lang w:val="en-GB"/>
        </w:rPr>
        <w:t>.3.1 and</w:t>
      </w:r>
      <w:r w:rsidR="001F2698" w:rsidRPr="006A0823">
        <w:rPr>
          <w:lang w:val="en-GB"/>
        </w:rPr>
        <w:t xml:space="preserve"> </w:t>
      </w:r>
      <m:oMath>
        <m:r>
          <w:rPr>
            <w:rFonts w:ascii="Cambria Math" w:hAnsi="Cambria Math"/>
            <w:lang w:val="en-GB"/>
          </w:rPr>
          <m:t xml:space="preserve">w </m:t>
        </m:r>
      </m:oMath>
      <w:r w:rsidR="001F2698" w:rsidRPr="006A0823">
        <w:rPr>
          <w:lang w:val="en-GB"/>
        </w:rPr>
        <w:t xml:space="preserve">is the relative waning curve described in </w:t>
      </w:r>
      <w:r w:rsidR="000A7EDF" w:rsidRPr="006A0823">
        <w:rPr>
          <w:lang w:val="en-GB"/>
        </w:rPr>
        <w:t xml:space="preserve">Section </w:t>
      </w:r>
      <w:r w:rsidR="00636B39" w:rsidRPr="006A0823">
        <w:rPr>
          <w:lang w:val="en-GB"/>
        </w:rPr>
        <w:t>5</w:t>
      </w:r>
      <w:r w:rsidR="001F2698" w:rsidRPr="006A0823">
        <w:rPr>
          <w:lang w:val="en-GB"/>
        </w:rPr>
        <w:t xml:space="preserve">.3.2. Then </w:t>
      </w:r>
    </w:p>
    <w:p w14:paraId="3BCE001A" w14:textId="1B9EC69A" w:rsidR="00905862" w:rsidRPr="006A0823" w:rsidRDefault="00000000" w:rsidP="00BC3AE0">
      <w:pPr>
        <w:rPr>
          <w:lang w:val="en-GB"/>
        </w:rPr>
      </w:pPr>
      <m:oMathPara>
        <m:oMath>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 xml:space="preserve">x, v </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nary>
                <m:naryPr>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nary>
                    <m:naryPr>
                      <m:chr m:val="∑"/>
                      <m:supHide m:val="1"/>
                      <m:ctrlPr>
                        <w:rPr>
                          <w:rFonts w:ascii="Cambria Math" w:hAnsi="Cambria Math"/>
                          <w:i/>
                          <w:lang w:val="en-GB"/>
                        </w:rPr>
                      </m:ctrlPr>
                    </m:naryPr>
                    <m:sub>
                      <m:r>
                        <w:rPr>
                          <w:rFonts w:ascii="Cambria Math" w:hAnsi="Cambria Math"/>
                          <w:lang w:val="en-GB"/>
                        </w:rPr>
                        <m:t>b</m:t>
                      </m:r>
                    </m:sub>
                    <m:sup/>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t-τ, b</m:t>
                          </m:r>
                        </m:e>
                      </m:d>
                      <m:sSubSup>
                        <m:sSubSupPr>
                          <m:ctrlPr>
                            <w:rPr>
                              <w:rFonts w:ascii="Cambria Math" w:hAnsi="Cambria Math"/>
                              <w:i/>
                              <w:lang w:val="en-GB"/>
                            </w:rPr>
                          </m:ctrlPr>
                        </m:sSubSupPr>
                        <m:e>
                          <m:r>
                            <w:rPr>
                              <w:rFonts w:ascii="Cambria Math" w:hAnsi="Cambria Math"/>
                              <w:lang w:val="en-GB"/>
                            </w:rPr>
                            <m:t>ε</m:t>
                          </m:r>
                        </m:e>
                        <m:sub>
                          <m:r>
                            <w:rPr>
                              <w:rFonts w:ascii="Cambria Math" w:hAnsi="Cambria Math"/>
                              <w:lang w:val="en-GB"/>
                            </w:rPr>
                            <m:t>x,v</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τ, b</m:t>
                          </m:r>
                        </m:e>
                      </m:d>
                    </m:e>
                  </m:nary>
                </m:e>
              </m:nary>
              <m:r>
                <w:rPr>
                  <w:rFonts w:ascii="Cambria Math" w:hAnsi="Cambria Math"/>
                  <w:lang w:val="en-GB"/>
                </w:rPr>
                <m:t>dτ</m:t>
              </m:r>
            </m:num>
            <m:den>
              <m:nary>
                <m:naryPr>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nary>
                    <m:naryPr>
                      <m:chr m:val="∑"/>
                      <m:supHide m:val="1"/>
                      <m:ctrlPr>
                        <w:rPr>
                          <w:rFonts w:ascii="Cambria Math" w:hAnsi="Cambria Math"/>
                          <w:i/>
                          <w:lang w:val="en-GB"/>
                        </w:rPr>
                      </m:ctrlPr>
                    </m:naryPr>
                    <m:sub>
                      <m:r>
                        <w:rPr>
                          <w:rFonts w:ascii="Cambria Math" w:hAnsi="Cambria Math"/>
                          <w:lang w:val="en-GB"/>
                        </w:rPr>
                        <m:t>b</m:t>
                      </m:r>
                    </m:sub>
                    <m:sup/>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t- τ</m:t>
                          </m:r>
                        </m:e>
                      </m:d>
                      <m:r>
                        <w:rPr>
                          <w:rFonts w:ascii="Cambria Math" w:hAnsi="Cambria Math"/>
                          <w:lang w:val="en-GB"/>
                        </w:rPr>
                        <m:t>dτ</m:t>
                      </m:r>
                    </m:e>
                  </m:nary>
                </m:e>
              </m:nary>
            </m:den>
          </m:f>
        </m:oMath>
      </m:oMathPara>
    </w:p>
    <w:p w14:paraId="1891556A" w14:textId="2E567DEA" w:rsidR="00905862" w:rsidRPr="006A0823" w:rsidRDefault="001F2698" w:rsidP="00BC3AE0">
      <w:pPr>
        <w:rPr>
          <w:lang w:val="en-GB"/>
        </w:rPr>
      </w:pPr>
      <w:r w:rsidRPr="006A0823">
        <w:rPr>
          <w:lang w:val="en-GB"/>
        </w:rPr>
        <w:t xml:space="preserve">is the average reduction in transmission intensity against variant </w:t>
      </w:r>
      <m:oMath>
        <m:r>
          <w:rPr>
            <w:rFonts w:ascii="Cambria Math" w:hAnsi="Cambria Math"/>
            <w:lang w:val="en-GB"/>
          </w:rPr>
          <m:t>x</m:t>
        </m:r>
      </m:oMath>
      <w:r w:rsidRPr="006A0823">
        <w:rPr>
          <w:lang w:val="en-GB"/>
        </w:rPr>
        <w:t xml:space="preserve"> among individuals whose last vaccine course (full first course, first booster, etc.) was </w:t>
      </w:r>
      <m:oMath>
        <m:r>
          <w:rPr>
            <w:rFonts w:ascii="Cambria Math" w:hAnsi="Cambria Math"/>
            <w:lang w:val="en-GB"/>
          </w:rPr>
          <m:t xml:space="preserve">v </m:t>
        </m:r>
      </m:oMath>
      <w:r w:rsidRPr="006A0823">
        <w:rPr>
          <w:lang w:val="en-GB"/>
        </w:rPr>
        <w:t xml:space="preserve">as a function of the current time </w:t>
      </w:r>
      <m:oMath>
        <m:r>
          <w:rPr>
            <w:rFonts w:ascii="Cambria Math" w:hAnsi="Cambria Math"/>
            <w:lang w:val="en-GB"/>
          </w:rPr>
          <m:t>t.</m:t>
        </m:r>
      </m:oMath>
      <w:r w:rsidRPr="006A0823">
        <w:rPr>
          <w:lang w:val="en-GB"/>
        </w:rPr>
        <w:t xml:space="preserve"> Similarly,</w:t>
      </w:r>
    </w:p>
    <w:p w14:paraId="6F0CB383" w14:textId="383CDB5A" w:rsidR="001F2698" w:rsidRPr="006A0823" w:rsidRDefault="00000000" w:rsidP="00BC3AE0">
      <w:pPr>
        <w:rPr>
          <w:lang w:val="en-GB"/>
        </w:rPr>
      </w:pPr>
      <m:oMathPara>
        <m:oMath>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 xml:space="preserve">x, v </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nary>
                <m:naryPr>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nary>
                    <m:naryPr>
                      <m:chr m:val="∑"/>
                      <m:supHide m:val="1"/>
                      <m:ctrlPr>
                        <w:rPr>
                          <w:rFonts w:ascii="Cambria Math" w:hAnsi="Cambria Math"/>
                          <w:i/>
                          <w:lang w:val="en-GB"/>
                        </w:rPr>
                      </m:ctrlPr>
                    </m:naryPr>
                    <m:sub>
                      <m:r>
                        <w:rPr>
                          <w:rFonts w:ascii="Cambria Math" w:hAnsi="Cambria Math"/>
                          <w:lang w:val="en-GB"/>
                        </w:rPr>
                        <m:t>b</m:t>
                      </m:r>
                    </m:sub>
                    <m:sup/>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t-τ, b</m:t>
                          </m:r>
                        </m:e>
                      </m:d>
                      <m:r>
                        <w:rPr>
                          <w:rFonts w:ascii="Cambria Math" w:hAnsi="Cambria Math"/>
                          <w:lang w:val="en-GB"/>
                        </w:rPr>
                        <m:t xml:space="preserve">(1- </m:t>
                      </m:r>
                      <m:f>
                        <m:fPr>
                          <m:ctrlPr>
                            <w:rPr>
                              <w:rFonts w:ascii="Cambria Math" w:hAnsi="Cambria Math"/>
                              <w:i/>
                              <w:lang w:val="en-GB"/>
                            </w:rPr>
                          </m:ctrlPr>
                        </m:fPr>
                        <m:num>
                          <m:r>
                            <w:rPr>
                              <w:rFonts w:ascii="Cambria Math" w:hAnsi="Cambria Math"/>
                              <w:lang w:val="en-GB"/>
                            </w:rPr>
                            <m:t xml:space="preserve">1- </m:t>
                          </m:r>
                          <m:sSubSup>
                            <m:sSubSupPr>
                              <m:ctrlPr>
                                <w:rPr>
                                  <w:rFonts w:ascii="Cambria Math" w:hAnsi="Cambria Math"/>
                                  <w:i/>
                                  <w:lang w:val="en-GB"/>
                                </w:rPr>
                              </m:ctrlPr>
                            </m:sSubSupPr>
                            <m:e>
                              <m:r>
                                <w:rPr>
                                  <w:rFonts w:ascii="Cambria Math" w:hAnsi="Cambria Math"/>
                                  <w:lang w:val="en-GB"/>
                                </w:rPr>
                                <m:t>ε</m:t>
                              </m:r>
                            </m:e>
                            <m:sub>
                              <m:r>
                                <w:rPr>
                                  <w:rFonts w:ascii="Cambria Math" w:hAnsi="Cambria Math"/>
                                  <w:lang w:val="en-GB"/>
                                </w:rPr>
                                <m:t>x,v</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τ, b</m:t>
                              </m:r>
                            </m:e>
                          </m:d>
                        </m:num>
                        <m:den>
                          <m:r>
                            <w:rPr>
                              <w:rFonts w:ascii="Cambria Math" w:hAnsi="Cambria Math"/>
                              <w:lang w:val="en-GB"/>
                            </w:rPr>
                            <m:t>1-</m:t>
                          </m:r>
                          <m:sSubSup>
                            <m:sSubSupPr>
                              <m:ctrlPr>
                                <w:rPr>
                                  <w:rFonts w:ascii="Cambria Math" w:hAnsi="Cambria Math"/>
                                  <w:i/>
                                  <w:lang w:val="en-GB"/>
                                </w:rPr>
                              </m:ctrlPr>
                            </m:sSubSupPr>
                            <m:e>
                              <m:r>
                                <w:rPr>
                                  <w:rFonts w:ascii="Cambria Math" w:hAnsi="Cambria Math"/>
                                  <w:lang w:val="en-GB"/>
                                </w:rPr>
                                <m:t>ε</m:t>
                              </m:r>
                            </m:e>
                            <m:sub>
                              <m:r>
                                <w:rPr>
                                  <w:rFonts w:ascii="Cambria Math" w:hAnsi="Cambria Math"/>
                                  <w:lang w:val="en-GB"/>
                                </w:rPr>
                                <m:t>x,v</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τ, b</m:t>
                              </m:r>
                            </m:e>
                          </m:d>
                        </m:den>
                      </m:f>
                      <m:r>
                        <w:rPr>
                          <w:rFonts w:ascii="Cambria Math" w:hAnsi="Cambria Math"/>
                          <w:lang w:val="en-GB"/>
                        </w:rPr>
                        <m:t>)</m:t>
                      </m:r>
                    </m:e>
                  </m:nary>
                </m:e>
              </m:nary>
              <m:r>
                <w:rPr>
                  <w:rFonts w:ascii="Cambria Math" w:hAnsi="Cambria Math"/>
                  <w:lang w:val="en-GB"/>
                </w:rPr>
                <m:t>dτ</m:t>
              </m:r>
            </m:num>
            <m:den>
              <m:nary>
                <m:naryPr>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nary>
                    <m:naryPr>
                      <m:chr m:val="∑"/>
                      <m:supHide m:val="1"/>
                      <m:ctrlPr>
                        <w:rPr>
                          <w:rFonts w:ascii="Cambria Math" w:hAnsi="Cambria Math"/>
                          <w:i/>
                          <w:lang w:val="en-GB"/>
                        </w:rPr>
                      </m:ctrlPr>
                    </m:naryPr>
                    <m:sub>
                      <m:r>
                        <w:rPr>
                          <w:rFonts w:ascii="Cambria Math" w:hAnsi="Cambria Math"/>
                          <w:lang w:val="en-GB"/>
                        </w:rPr>
                        <m:t>b</m:t>
                      </m:r>
                    </m:sub>
                    <m:sup/>
                    <m:e>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t- τ</m:t>
                          </m:r>
                        </m:e>
                      </m:d>
                      <m:r>
                        <w:rPr>
                          <w:rFonts w:ascii="Cambria Math" w:hAnsi="Cambria Math"/>
                          <w:lang w:val="en-GB"/>
                        </w:rPr>
                        <m:t>dτ</m:t>
                      </m:r>
                    </m:e>
                  </m:nary>
                </m:e>
              </m:nary>
            </m:den>
          </m:f>
        </m:oMath>
      </m:oMathPara>
    </w:p>
    <w:p w14:paraId="408BC65C" w14:textId="1E1F9933" w:rsidR="001F2698" w:rsidRPr="006A0823" w:rsidRDefault="001F2698" w:rsidP="00BC3AE0">
      <w:pPr>
        <w:rPr>
          <w:lang w:val="en-GB"/>
        </w:rPr>
      </w:pPr>
      <w:r w:rsidRPr="006A0823">
        <w:rPr>
          <w:lang w:val="en-GB"/>
        </w:rPr>
        <w:t xml:space="preserve">is the average reduction in the infection-fatality ratio (when </w:t>
      </w:r>
      <m:oMath>
        <m:r>
          <w:rPr>
            <w:rFonts w:ascii="Cambria Math" w:hAnsi="Cambria Math"/>
            <w:lang w:val="en-GB"/>
          </w:rPr>
          <m:t>Z=Death</m:t>
        </m:r>
      </m:oMath>
      <w:r w:rsidRPr="006A0823">
        <w:rPr>
          <w:lang w:val="en-GB"/>
        </w:rPr>
        <w:t>) or the average reduction in infect</w:t>
      </w:r>
      <w:r w:rsidR="006E7F50" w:rsidRPr="006A0823">
        <w:rPr>
          <w:lang w:val="en-GB"/>
        </w:rPr>
        <w:t>ion-hospitalization ratio (when Z</w:t>
      </w:r>
      <m:oMath>
        <m:r>
          <w:rPr>
            <w:rFonts w:ascii="Cambria Math" w:hAnsi="Cambria Math"/>
            <w:lang w:val="en-GB"/>
          </w:rPr>
          <m:t>=Hospitalization</m:t>
        </m:r>
      </m:oMath>
      <w:r w:rsidRPr="006A0823">
        <w:rPr>
          <w:lang w:val="en-GB"/>
        </w:rPr>
        <w:t xml:space="preserve">) among </w:t>
      </w:r>
      <w:r w:rsidR="00E841D5" w:rsidRPr="006A0823">
        <w:rPr>
          <w:lang w:val="en-GB"/>
        </w:rPr>
        <w:t xml:space="preserve">individuals infected with variant </w:t>
      </w:r>
      <m:oMath>
        <m:r>
          <w:rPr>
            <w:rFonts w:ascii="Cambria Math" w:hAnsi="Cambria Math"/>
            <w:lang w:val="en-GB"/>
          </w:rPr>
          <m:t>x</m:t>
        </m:r>
      </m:oMath>
      <w:r w:rsidR="00E841D5" w:rsidRPr="006A0823">
        <w:rPr>
          <w:lang w:val="en-GB"/>
        </w:rPr>
        <w:t xml:space="preserve"> whose last vaccine course was was </w:t>
      </w:r>
      <m:oMath>
        <m:r>
          <w:rPr>
            <w:rFonts w:ascii="Cambria Math" w:hAnsi="Cambria Math"/>
            <w:lang w:val="en-GB"/>
          </w:rPr>
          <m:t>v</m:t>
        </m:r>
      </m:oMath>
      <w:r w:rsidR="00E841D5" w:rsidRPr="006A0823">
        <w:rPr>
          <w:lang w:val="en-GB"/>
        </w:rPr>
        <w:t xml:space="preserve"> as a function of the current time </w:t>
      </w:r>
      <m:oMath>
        <m:r>
          <w:rPr>
            <w:rFonts w:ascii="Cambria Math" w:hAnsi="Cambria Math"/>
            <w:lang w:val="en-GB"/>
          </w:rPr>
          <m:t>t.</m:t>
        </m:r>
      </m:oMath>
    </w:p>
    <w:p w14:paraId="489CF966" w14:textId="43C439FD" w:rsidR="00D11FE2" w:rsidRPr="006A0823" w:rsidRDefault="6AEC2E4D" w:rsidP="00AE5A69">
      <w:pPr>
        <w:pStyle w:val="Heading3"/>
        <w:rPr>
          <w:lang w:val="en-GB"/>
        </w:rPr>
      </w:pPr>
      <w:bookmarkStart w:id="119" w:name="_Toc104245027"/>
      <w:bookmarkStart w:id="120" w:name="_Toc104249342"/>
      <w:bookmarkStart w:id="121" w:name="_Toc104252070"/>
      <w:bookmarkStart w:id="122" w:name="_Toc124499479"/>
      <w:r w:rsidRPr="006A0823">
        <w:rPr>
          <w:lang w:val="en-GB"/>
        </w:rPr>
        <w:t>Waning infection-derived immunity</w:t>
      </w:r>
      <w:bookmarkEnd w:id="119"/>
      <w:bookmarkEnd w:id="120"/>
      <w:bookmarkEnd w:id="121"/>
      <w:bookmarkEnd w:id="122"/>
    </w:p>
    <w:p w14:paraId="1E34FF9F" w14:textId="1FD26DAB" w:rsidR="00C01F13" w:rsidRPr="006A0823" w:rsidRDefault="000F7223" w:rsidP="00BC3AE0">
      <w:pPr>
        <w:rPr>
          <w:rFonts w:eastAsiaTheme="minorEastAsia"/>
          <w:lang w:val="en-GB"/>
        </w:rPr>
      </w:pPr>
      <w:r w:rsidRPr="006A0823">
        <w:t xml:space="preserve">For waning of infection-derived immunity, </w:t>
      </w:r>
      <w:r w:rsidR="001D2C55" w:rsidRPr="006A0823">
        <w:t>we performed a systematic review and meta-analysis</w:t>
      </w:r>
      <w:r w:rsidR="004876B1" w:rsidRPr="006A0823">
        <w:fldChar w:fldCharType="begin"/>
      </w:r>
      <w:r w:rsidR="004876B1" w:rsidRPr="006A0823">
        <w:instrText xml:space="preserve"> ADDIN ZOTERO_ITEM CSL_CITATION {"citationID":"1zY4HX8x","properties":{"formattedCitation":"\\super 18\\nosupersub{}","plainCitation":"18","noteIndex":0},"citationItems":[{"id":35735,"uris":["http://zotero.org/groups/2154524/items/ER2WTJPC"],"itemData":{"id":35735,"type":"article-journal","container-title":"The Lancet","title":"Past SARS-CoV-2 infection protection against reinfection: a systematic review and meta-analysis.","author":[{"family":"Stein","given":"C."},{"family":"Nassereldine","given":"H."},{"family":"Sorensen, R.J.D.","given":""},{"family":"et al.","given":""}],"issued":{"literal":"(In press)"}}}],"schema":"https://github.com/citation-style-language/schema/raw/master/csl-citation.json"} </w:instrText>
      </w:r>
      <w:r w:rsidR="004876B1" w:rsidRPr="006A0823">
        <w:fldChar w:fldCharType="separate"/>
      </w:r>
      <w:r w:rsidR="004876B1" w:rsidRPr="006A0823">
        <w:rPr>
          <w:vertAlign w:val="superscript"/>
        </w:rPr>
        <w:t>18</w:t>
      </w:r>
      <w:r w:rsidR="004876B1" w:rsidRPr="006A0823">
        <w:fldChar w:fldCharType="end"/>
      </w:r>
      <w:r w:rsidR="004876B1" w:rsidRPr="006A0823">
        <w:t xml:space="preserve"> </w:t>
      </w:r>
      <w:r w:rsidR="001D2C55" w:rsidRPr="006A0823">
        <w:t xml:space="preserve">to establish the time pattern of waning protection from infection and severe disease due to prior infection </w:t>
      </w:r>
      <m:oMath>
        <m:sSup>
          <m:sSupPr>
            <m:ctrlPr>
              <w:rPr>
                <w:rFonts w:ascii="Cambria Math" w:hAnsi="Cambria Math"/>
                <w:i/>
              </w:rPr>
            </m:ctrlPr>
          </m:sSupPr>
          <m:e>
            <m:r>
              <w:rPr>
                <w:rFonts w:ascii="Cambria Math" w:hAnsi="Cambria Math"/>
              </w:rPr>
              <m:t>w</m:t>
            </m:r>
          </m:e>
          <m:sup>
            <m:r>
              <w:rPr>
                <w:rFonts w:ascii="Cambria Math" w:hAnsi="Cambria Math"/>
              </w:rPr>
              <m:t>Z</m:t>
            </m:r>
          </m:sup>
        </m:sSup>
        <m:d>
          <m:dPr>
            <m:ctrlPr>
              <w:rPr>
                <w:rFonts w:ascii="Cambria Math" w:hAnsi="Cambria Math"/>
                <w:i/>
              </w:rPr>
            </m:ctrlPr>
          </m:dPr>
          <m:e>
            <m:r>
              <w:rPr>
                <w:rFonts w:ascii="Cambria Math" w:hAnsi="Cambria Math"/>
              </w:rPr>
              <m:t>t</m:t>
            </m:r>
          </m:e>
        </m:d>
      </m:oMath>
      <w:r w:rsidR="001D2C55" w:rsidRPr="006A0823">
        <w:rPr>
          <w:rFonts w:eastAsiaTheme="minorEastAsia"/>
        </w:rPr>
        <w:t xml:space="preserve"> w</w:t>
      </w:r>
      <w:r w:rsidR="001D2C55" w:rsidRPr="006A0823">
        <w:rPr>
          <w:lang w:val="en-GB"/>
        </w:rPr>
        <w:t xml:space="preserve">here </w:t>
      </w:r>
      <m:oMath>
        <m:r>
          <w:rPr>
            <w:rFonts w:ascii="Cambria Math" w:hAnsi="Cambria Math"/>
            <w:lang w:val="en-GB"/>
          </w:rPr>
          <m:t>Z</m:t>
        </m:r>
      </m:oMath>
      <w:r w:rsidR="001D2C55" w:rsidRPr="006A0823">
        <w:rPr>
          <w:rFonts w:eastAsiaTheme="minorEastAsia"/>
          <w:lang w:val="en-GB"/>
        </w:rPr>
        <w:t xml:space="preserve"> corresponds to the outcome (infection, death, hospital admission)</w:t>
      </w:r>
      <w:r w:rsidR="001D2C55" w:rsidRPr="006A0823">
        <w:t>.</w:t>
      </w:r>
      <w:r w:rsidR="00FC0447" w:rsidRPr="006A0823">
        <w:rPr>
          <w:rFonts w:eastAsiaTheme="minorEastAsia"/>
          <w:lang w:val="en-GB"/>
        </w:rPr>
        <w:t xml:space="preserve">This waning pattern is then paired with </w:t>
      </w:r>
      <w:r w:rsidR="005F5F61" w:rsidRPr="006A0823">
        <w:rPr>
          <w:rFonts w:eastAsiaTheme="minorEastAsia"/>
          <w:lang w:val="en-GB"/>
        </w:rPr>
        <w:t>the maximal cross-variant immunity</w:t>
      </w:r>
      <w:r w:rsidR="00686B03" w:rsidRPr="006A0823">
        <w:rPr>
          <w:rFonts w:eastAsiaTheme="minorEastAsia"/>
          <w:lang w:val="en-GB"/>
        </w:rPr>
        <w:t xml:space="preserve">, </w:t>
      </w:r>
      <m:oMath>
        <m:r>
          <w:rPr>
            <w:rFonts w:ascii="Cambria Math" w:eastAsiaTheme="minorEastAsia" w:hAnsi="Cambria Math"/>
            <w:lang w:val="en-GB"/>
          </w:rPr>
          <m:t>ϕ</m:t>
        </m:r>
      </m:oMath>
      <w:r w:rsidR="00686B03" w:rsidRPr="006A0823">
        <w:rPr>
          <w:rFonts w:eastAsiaTheme="minorEastAsia"/>
          <w:lang w:val="en-GB"/>
        </w:rPr>
        <w:t>, summarized in table</w:t>
      </w:r>
      <w:r w:rsidR="00442CB4" w:rsidRPr="006A0823">
        <w:rPr>
          <w:rFonts w:eastAsiaTheme="minorEastAsia"/>
          <w:lang w:val="en-GB"/>
        </w:rPr>
        <w:t xml:space="preserve"> S3</w:t>
      </w:r>
      <w:r w:rsidR="00A34A0B" w:rsidRPr="006A0823">
        <w:rPr>
          <w:rFonts w:eastAsiaTheme="minorEastAsia"/>
          <w:lang w:val="en-GB"/>
        </w:rPr>
        <w:t xml:space="preserve"> to form a pattern of waning protection specific to time since last exposure with variant </w:t>
      </w:r>
      <m:oMath>
        <m:r>
          <w:rPr>
            <w:rFonts w:ascii="Cambria Math" w:eastAsiaTheme="minorEastAsia" w:hAnsi="Cambria Math"/>
            <w:lang w:val="en-GB"/>
          </w:rPr>
          <m:t>x</m:t>
        </m:r>
      </m:oMath>
      <w:r w:rsidR="00A34A0B" w:rsidRPr="006A0823">
        <w:rPr>
          <w:rFonts w:eastAsiaTheme="minorEastAsia"/>
          <w:lang w:val="en-GB"/>
        </w:rPr>
        <w:t xml:space="preserve"> when being challenged with variant y:</w:t>
      </w:r>
    </w:p>
    <w:p w14:paraId="306564C6" w14:textId="4340551D" w:rsidR="00A34A0B" w:rsidRPr="006A0823" w:rsidRDefault="00A34A0B" w:rsidP="00BC3AE0">
      <w:pPr>
        <w:rPr>
          <w:rFonts w:eastAsiaTheme="minorEastAsia"/>
          <w:lang w:val="en-GB"/>
        </w:rPr>
      </w:pPr>
      <m:oMathPara>
        <m:oMath>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φ</m:t>
              </m:r>
            </m:e>
            <m:sub>
              <m:r>
                <w:rPr>
                  <w:rFonts w:ascii="Cambria Math" w:hAnsi="Cambria Math"/>
                  <w:lang w:val="en-GB"/>
                </w:rPr>
                <m:t>x,y</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m:t>
              </m:r>
            </m:e>
          </m:d>
          <m:r>
            <w:rPr>
              <w:rFonts w:ascii="Cambria Math" w:eastAsiaTheme="minorEastAsia" w:hAnsi="Cambria Math"/>
              <w:lang w:val="en-GB"/>
            </w:rPr>
            <m:t>=</m:t>
          </m:r>
          <m:sSubSup>
            <m:sSubSupPr>
              <m:ctrlPr>
                <w:rPr>
                  <w:rFonts w:ascii="Cambria Math" w:eastAsiaTheme="minorEastAsia" w:hAnsi="Cambria Math"/>
                  <w:i/>
                  <w:lang w:val="en-GB"/>
                </w:rPr>
              </m:ctrlPr>
            </m:sSubSupPr>
            <m:e>
              <m:r>
                <w:rPr>
                  <w:rFonts w:ascii="Cambria Math" w:eastAsiaTheme="minorEastAsia" w:hAnsi="Cambria Math"/>
                  <w:lang w:val="en-GB"/>
                </w:rPr>
                <m:t>ϕ</m:t>
              </m:r>
            </m:e>
            <m:sub>
              <m:r>
                <w:rPr>
                  <w:rFonts w:ascii="Cambria Math" w:eastAsiaTheme="minorEastAsia" w:hAnsi="Cambria Math"/>
                  <w:lang w:val="en-GB"/>
                </w:rPr>
                <m:t>x,y</m:t>
              </m:r>
            </m:sub>
            <m:sup>
              <m:r>
                <w:rPr>
                  <w:rFonts w:ascii="Cambria Math" w:eastAsiaTheme="minorEastAsia" w:hAnsi="Cambria Math"/>
                  <w:lang w:val="en-GB"/>
                </w:rPr>
                <m:t>Z</m:t>
              </m:r>
            </m:sup>
          </m:sSubSup>
          <m:sSup>
            <m:sSupPr>
              <m:ctrlPr>
                <w:rPr>
                  <w:rFonts w:ascii="Cambria Math" w:eastAsiaTheme="minorEastAsia" w:hAnsi="Cambria Math"/>
                  <w:i/>
                  <w:lang w:val="en-GB"/>
                </w:rPr>
              </m:ctrlPr>
            </m:sSupPr>
            <m:e>
              <m:r>
                <w:rPr>
                  <w:rFonts w:ascii="Cambria Math" w:eastAsiaTheme="minorEastAsia" w:hAnsi="Cambria Math"/>
                  <w:lang w:val="en-GB"/>
                </w:rPr>
                <m:t>w</m:t>
              </m:r>
            </m:e>
            <m:sup>
              <m:r>
                <w:rPr>
                  <w:rFonts w:ascii="Cambria Math" w:eastAsiaTheme="minorEastAsia" w:hAnsi="Cambria Math"/>
                  <w:lang w:val="en-GB"/>
                </w:rPr>
                <m:t>Z</m:t>
              </m:r>
            </m:sup>
          </m:sSup>
          <m:r>
            <w:rPr>
              <w:rFonts w:ascii="Cambria Math" w:eastAsiaTheme="minorEastAsia" w:hAnsi="Cambria Math"/>
              <w:lang w:val="en-GB"/>
            </w:rPr>
            <m:t>(t)</m:t>
          </m:r>
        </m:oMath>
      </m:oMathPara>
    </w:p>
    <w:p w14:paraId="1CA93463" w14:textId="20CA6143" w:rsidR="00981017" w:rsidRPr="006A0823" w:rsidRDefault="3DEBDE38" w:rsidP="00BC3AE0">
      <w:pPr>
        <w:pStyle w:val="Heading2"/>
        <w:rPr>
          <w:lang w:val="en-GB"/>
        </w:rPr>
      </w:pPr>
      <w:bookmarkStart w:id="123" w:name="_Toc76457835"/>
      <w:bookmarkStart w:id="124" w:name="_Toc76645552"/>
      <w:bookmarkStart w:id="125" w:name="_Toc76653794"/>
      <w:bookmarkStart w:id="126" w:name="_Toc76726263"/>
      <w:bookmarkStart w:id="127" w:name="_Toc76727571"/>
      <w:bookmarkStart w:id="128" w:name="_Toc76840492"/>
      <w:bookmarkStart w:id="129" w:name="_Toc104245028"/>
      <w:bookmarkStart w:id="130" w:name="_Toc104249343"/>
      <w:bookmarkStart w:id="131" w:name="_Toc104252071"/>
      <w:bookmarkStart w:id="132" w:name="_Toc124499480"/>
      <w:r w:rsidRPr="006A0823">
        <w:rPr>
          <w:lang w:val="en-GB"/>
        </w:rPr>
        <w:t>Pneumonia</w:t>
      </w:r>
      <w:r w:rsidR="68950EEF" w:rsidRPr="006A0823">
        <w:rPr>
          <w:lang w:val="en-GB"/>
        </w:rPr>
        <w:t xml:space="preserve"> </w:t>
      </w:r>
      <w:r w:rsidR="2167B56F" w:rsidRPr="006A0823">
        <w:rPr>
          <w:lang w:val="en-GB"/>
        </w:rPr>
        <w:t>s</w:t>
      </w:r>
      <w:r w:rsidR="68950EEF" w:rsidRPr="006A0823">
        <w:rPr>
          <w:lang w:val="en-GB"/>
        </w:rPr>
        <w:t>easonality</w:t>
      </w:r>
      <w:bookmarkEnd w:id="123"/>
      <w:bookmarkEnd w:id="124"/>
      <w:bookmarkEnd w:id="125"/>
      <w:bookmarkEnd w:id="126"/>
      <w:bookmarkEnd w:id="127"/>
      <w:bookmarkEnd w:id="128"/>
      <w:r w:rsidR="002D1BA9" w:rsidRPr="006A0823">
        <w:rPr>
          <w:color w:val="2B579A"/>
          <w:shd w:val="clear" w:color="auto" w:fill="E6E6E6"/>
          <w:lang w:val="en-GB"/>
        </w:rPr>
        <w:fldChar w:fldCharType="begin"/>
      </w:r>
      <w:r w:rsidR="004876B1" w:rsidRPr="006A0823">
        <w:rPr>
          <w:lang w:val="en-GB"/>
        </w:rPr>
        <w:instrText xml:space="preserve"> ADDIN ZOTERO_ITEM CSL_CITATION {"citationID":"aQsOKRxv","properties":{"formattedCitation":"\\super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002D1BA9" w:rsidRPr="006A0823">
        <w:rPr>
          <w:color w:val="2B579A"/>
          <w:shd w:val="clear" w:color="auto" w:fill="E6E6E6"/>
          <w:lang w:val="en-GB"/>
        </w:rPr>
        <w:fldChar w:fldCharType="separate"/>
      </w:r>
      <w:r w:rsidR="002D1BA9" w:rsidRPr="006A0823">
        <w:rPr>
          <w:szCs w:val="24"/>
          <w:vertAlign w:val="superscript"/>
        </w:rPr>
        <w:t>1</w:t>
      </w:r>
      <w:bookmarkEnd w:id="129"/>
      <w:bookmarkEnd w:id="130"/>
      <w:bookmarkEnd w:id="131"/>
      <w:bookmarkEnd w:id="132"/>
      <w:r w:rsidR="002D1BA9" w:rsidRPr="006A0823">
        <w:rPr>
          <w:color w:val="2B579A"/>
          <w:shd w:val="clear" w:color="auto" w:fill="E6E6E6"/>
          <w:lang w:val="en-GB"/>
        </w:rPr>
        <w:fldChar w:fldCharType="end"/>
      </w:r>
    </w:p>
    <w:p w14:paraId="436DAE6F" w14:textId="4FAE7242" w:rsidR="00570A1F" w:rsidRPr="006A0823" w:rsidRDefault="33343ED6" w:rsidP="00BC3AE0">
      <w:pPr>
        <w:rPr>
          <w:lang w:val="en-GB"/>
        </w:rPr>
      </w:pPr>
      <w:r w:rsidRPr="006A0823">
        <w:rPr>
          <w:lang w:val="en-GB"/>
        </w:rPr>
        <w:t xml:space="preserve">Pneumonia is one of the main clinical syndromes associated with respiratory SARS-CoV-2 infection and its seasonality is notable in many locations, particularly those far from the equator. This could be due to climatic variation (relative humidity, average air temperature) or due to human behaviour (greater time spent indoors). We modelled the ratio of pneumonia deaths in each week to the average weekly pneumonia deaths by location. As such, </w:t>
      </w:r>
      <w:r w:rsidRPr="006A0823">
        <w:rPr>
          <w:lang w:val="en-GB"/>
        </w:rPr>
        <w:lastRenderedPageBreak/>
        <w:t>ratios above 1 indicate that more pneumonia deaths than the yearly average occur in that week, and ratios below 1 indicate that fewer deaths than the yearly average occur. </w:t>
      </w:r>
    </w:p>
    <w:p w14:paraId="00A27965" w14:textId="688F71A8" w:rsidR="00CC4CEF" w:rsidRPr="006A0823" w:rsidRDefault="5F859308" w:rsidP="00AE5A69">
      <w:pPr>
        <w:pStyle w:val="Heading3"/>
        <w:rPr>
          <w:lang w:val="en-GB"/>
        </w:rPr>
      </w:pPr>
      <w:bookmarkStart w:id="133" w:name="_Toc76457836"/>
      <w:bookmarkStart w:id="134" w:name="_Toc76653795"/>
      <w:bookmarkStart w:id="135" w:name="_Toc76726264"/>
      <w:bookmarkStart w:id="136" w:name="_Toc76727572"/>
      <w:bookmarkStart w:id="137" w:name="_Toc76840493"/>
      <w:bookmarkStart w:id="138" w:name="_Toc104245029"/>
      <w:bookmarkStart w:id="139" w:name="_Toc104249344"/>
      <w:bookmarkStart w:id="140" w:name="_Toc104252072"/>
      <w:bookmarkStart w:id="141" w:name="_Toc124499481"/>
      <w:r w:rsidRPr="006A0823">
        <w:rPr>
          <w:lang w:val="en-GB"/>
        </w:rPr>
        <w:t xml:space="preserve">Data </w:t>
      </w:r>
      <w:bookmarkEnd w:id="133"/>
      <w:bookmarkEnd w:id="134"/>
      <w:bookmarkEnd w:id="135"/>
      <w:bookmarkEnd w:id="136"/>
      <w:r w:rsidR="4A356D39" w:rsidRPr="006A0823">
        <w:rPr>
          <w:lang w:val="en-GB"/>
        </w:rPr>
        <w:t>sources</w:t>
      </w:r>
      <w:bookmarkEnd w:id="137"/>
      <w:bookmarkEnd w:id="138"/>
      <w:bookmarkEnd w:id="139"/>
      <w:bookmarkEnd w:id="140"/>
      <w:bookmarkEnd w:id="141"/>
    </w:p>
    <w:p w14:paraId="7D68FE7D" w14:textId="1A9FD599" w:rsidR="004E3244" w:rsidRPr="006A0823" w:rsidRDefault="00CC4CEF" w:rsidP="00BC3AE0">
      <w:pPr>
        <w:rPr>
          <w:lang w:val="en-GB"/>
        </w:rPr>
      </w:pPr>
      <w:r w:rsidRPr="006A0823">
        <w:rPr>
          <w:lang w:val="en-GB"/>
        </w:rPr>
        <w:t>For locations where we have weekly vital registration data for pneumonia deaths, we used the data to directly model this ratio. Pneumonia deaths include all deaths classified by the full range of ICD codes in J12 - J18.9. </w:t>
      </w:r>
    </w:p>
    <w:p w14:paraId="7FB4B4B2" w14:textId="2E323D1C" w:rsidR="004E3244" w:rsidRPr="006A0823" w:rsidRDefault="7FE75DA9" w:rsidP="00AE5A69">
      <w:pPr>
        <w:pStyle w:val="Heading3"/>
        <w:rPr>
          <w:lang w:val="en-GB"/>
        </w:rPr>
      </w:pPr>
      <w:bookmarkStart w:id="142" w:name="_Toc76840494"/>
      <w:bookmarkStart w:id="143" w:name="_Toc104245030"/>
      <w:bookmarkStart w:id="144" w:name="_Toc104249345"/>
      <w:bookmarkStart w:id="145" w:name="_Toc104252073"/>
      <w:bookmarkStart w:id="146" w:name="_Toc124499482"/>
      <w:r w:rsidRPr="006A0823">
        <w:rPr>
          <w:lang w:val="en-GB"/>
        </w:rPr>
        <w:t>Estimation process</w:t>
      </w:r>
      <w:bookmarkEnd w:id="142"/>
      <w:bookmarkEnd w:id="143"/>
      <w:bookmarkEnd w:id="144"/>
      <w:bookmarkEnd w:id="145"/>
      <w:bookmarkEnd w:id="146"/>
    </w:p>
    <w:p w14:paraId="5CCCB000" w14:textId="706A68A8" w:rsidR="00E219AA" w:rsidRPr="006A0823" w:rsidRDefault="00CC4CEF" w:rsidP="00BC3AE0">
      <w:pPr>
        <w:rPr>
          <w:lang w:val="en-GB"/>
        </w:rPr>
      </w:pPr>
      <w:r w:rsidRPr="006A0823">
        <w:rPr>
          <w:lang w:val="en-GB"/>
        </w:rPr>
        <w:t xml:space="preserve">To account for uncertainty in vital registration data and model type, all ratios were estimated 1000 times in </w:t>
      </w:r>
      <w:r w:rsidR="006A7B7C" w:rsidRPr="006A0823">
        <w:rPr>
          <w:lang w:val="en-GB"/>
        </w:rPr>
        <w:t>a</w:t>
      </w:r>
      <w:r w:rsidRPr="006A0823">
        <w:rPr>
          <w:lang w:val="en-GB"/>
        </w:rPr>
        <w:t xml:space="preserve"> meta-regression model</w:t>
      </w:r>
      <w:r w:rsidR="006A7B7C" w:rsidRPr="006A0823">
        <w:rPr>
          <w:lang w:val="en-GB"/>
        </w:rPr>
        <w:t xml:space="preserve"> using MR-BRT</w:t>
      </w:r>
      <w:r w:rsidR="00AA56A6" w:rsidRPr="006A0823">
        <w:rPr>
          <w:lang w:val="en-GB"/>
        </w:rPr>
        <w:t>.</w:t>
      </w:r>
      <w:r w:rsidR="00E87F83" w:rsidRPr="006A0823">
        <w:rPr>
          <w:color w:val="2B579A"/>
          <w:shd w:val="clear" w:color="auto" w:fill="E6E6E6"/>
          <w:lang w:val="en-GB"/>
        </w:rPr>
        <w:fldChar w:fldCharType="begin"/>
      </w:r>
      <w:r w:rsidR="004876B1" w:rsidRPr="006A0823">
        <w:rPr>
          <w:lang w:val="en-GB"/>
        </w:rPr>
        <w:instrText xml:space="preserve"> ADDIN ZOTERO_ITEM CSL_CITATION {"citationID":"a5e95dfqt4","properties":{"formattedCitation":"\\super 9\\nosupersub{}","plainCitation":"9","noteIndex":0},"citationItems":[{"id":20777,"uris":["http://zotero.org/groups/2154524/items/2BT4KVYF"],"itemData":{"id":20777,"type":"article-journal","abstract":"Mixed effects (ME) models inform a vast array of problems in the physical and social sciences, and are pervasive in meta-analysis. We consider ME models where the random effects component is linear. We then develop an efficient approach for a broad problem class that allows nonlinear measurements, priors, and constraints, and finds robust estimates in all of these cases using trimming in the associated marginal likelihood. The software accompanying this article is disseminated as an open-source Python package called LimeTr. LimeTr is able to recover results more accurately in the presence of outliers compared to available packages for both standard longitudinal analysis and meta-analysis, and is also more computationally efficient than competing robust alternatives. Supplementary materials that reproduce the simulations, as well as run LimeTr and third party code are available online. We also present analyses of global health data, where we use advanced functionality of LimeTr, including constraints to impose monotonicity and concavity for dose–response relationships. Nonlinear observation models allow new analyses in place of classic approximations, such as log-linear models. Robust extensions in all analyses ensure that spurious data points do not drive our understanding of either mean relationships or between-study heterogeneity.","container-title":"Journal of Computational and Graphical Statistics","DOI":"10.1080/10618600.2020.1868303","ISSN":"1061-8600","issue":"0","note":"publisher: Taylor &amp; Francis\n_eprint: https://doi.org/10.1080/10618600.2020.1868303","page":"1-13","source":"Taylor and Francis+NEJM","title":"Trimmed constrained mixed effects models: formulations and algorithms","title-short":"Trimmed Constrained Mixed Effects Models","volume":"0","author":[{"family":"Zheng","given":"Peng"},{"family":"Barber","given":"Ryan"},{"family":"Sorensen","given":"Reed J. D."},{"family":"Murray","given":"Christopher J. L."},{"family":"Aravkin","given":"Aleksandr Y."}],"issued":{"date-parts":[["2021",1,4]]}}}],"schema":"https://github.com/citation-style-language/schema/raw/master/csl-citation.json"} </w:instrText>
      </w:r>
      <w:r w:rsidR="00E87F83" w:rsidRPr="006A0823">
        <w:rPr>
          <w:color w:val="2B579A"/>
          <w:shd w:val="clear" w:color="auto" w:fill="E6E6E6"/>
          <w:lang w:val="en-GB"/>
        </w:rPr>
        <w:fldChar w:fldCharType="separate"/>
      </w:r>
      <w:r w:rsidR="005F6E83" w:rsidRPr="006A0823">
        <w:rPr>
          <w:sz w:val="22"/>
          <w:szCs w:val="24"/>
          <w:vertAlign w:val="superscript"/>
        </w:rPr>
        <w:t>9</w:t>
      </w:r>
      <w:r w:rsidR="00E87F83" w:rsidRPr="006A0823">
        <w:rPr>
          <w:color w:val="2B579A"/>
          <w:shd w:val="clear" w:color="auto" w:fill="E6E6E6"/>
          <w:lang w:val="en-GB"/>
        </w:rPr>
        <w:fldChar w:fldCharType="end"/>
      </w:r>
      <w:r w:rsidRPr="006A0823">
        <w:rPr>
          <w:lang w:val="en-GB"/>
        </w:rPr>
        <w:t> </w:t>
      </w:r>
      <w:r w:rsidR="00F708A2" w:rsidRPr="006A0823">
        <w:rPr>
          <w:lang w:val="en-GB"/>
        </w:rPr>
        <w:t xml:space="preserve">The meta-regression used a cubic spline on week and 1% trimming of the data inputs. </w:t>
      </w:r>
      <w:r w:rsidRPr="006A0823">
        <w:rPr>
          <w:lang w:val="en-GB"/>
        </w:rPr>
        <w:t>The proportion of deaths in each week was calculated as the weekly number of deaths over the annual number of deaths in a location. The standard error was calculated using the formula for binomial variance: </w:t>
      </w:r>
    </w:p>
    <w:p w14:paraId="42F082FA" w14:textId="47E09AB5" w:rsidR="00E219AA" w:rsidRPr="006A0823" w:rsidRDefault="00E219AA" w:rsidP="00BC3AE0">
      <w:pPr>
        <w:rPr>
          <w:lang w:val="en-GB"/>
        </w:rPr>
      </w:pPr>
      <m:oMathPara>
        <m:oMath>
          <m:r>
            <w:rPr>
              <w:rFonts w:ascii="Cambria Math" w:hAnsi="Cambria Math"/>
              <w:lang w:val="en-GB"/>
            </w:rPr>
            <m:t>variance</m:t>
          </m:r>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f>
                    <m:fPr>
                      <m:ctrlPr>
                        <w:rPr>
                          <w:rFonts w:ascii="Cambria Math" w:hAnsi="Cambria Math"/>
                          <w:lang w:val="en-GB"/>
                        </w:rPr>
                      </m:ctrlPr>
                    </m:fPr>
                    <m:num>
                      <m:r>
                        <w:rPr>
                          <w:rFonts w:ascii="Cambria Math" w:hAnsi="Cambria Math"/>
                          <w:lang w:val="en-GB"/>
                        </w:rPr>
                        <m:t>weekly</m:t>
                      </m:r>
                      <m:r>
                        <m:rPr>
                          <m:sty m:val="p"/>
                        </m:rPr>
                        <w:rPr>
                          <w:rFonts w:ascii="Cambria Math" w:hAnsi="Cambria Math"/>
                          <w:lang w:val="en-GB"/>
                        </w:rPr>
                        <m:t xml:space="preserve"> </m:t>
                      </m:r>
                      <m:r>
                        <w:rPr>
                          <w:rFonts w:ascii="Cambria Math" w:hAnsi="Cambria Math"/>
                          <w:lang w:val="en-GB"/>
                        </w:rPr>
                        <m:t>death</m:t>
                      </m:r>
                      <m:r>
                        <m:rPr>
                          <m:sty m:val="p"/>
                        </m:rPr>
                        <w:rPr>
                          <w:rFonts w:ascii="Cambria Math" w:hAnsi="Cambria Math"/>
                          <w:lang w:val="en-GB"/>
                        </w:rPr>
                        <m:t xml:space="preserve"> </m:t>
                      </m:r>
                      <m:r>
                        <w:rPr>
                          <w:rFonts w:ascii="Cambria Math" w:hAnsi="Cambria Math"/>
                          <w:lang w:val="en-GB"/>
                        </w:rPr>
                        <m:t>count</m:t>
                      </m:r>
                    </m:num>
                    <m:den>
                      <m:r>
                        <w:rPr>
                          <w:rFonts w:ascii="Cambria Math" w:hAnsi="Cambria Math"/>
                          <w:lang w:val="en-GB"/>
                        </w:rPr>
                        <m:t>annual</m:t>
                      </m:r>
                      <m:r>
                        <m:rPr>
                          <m:sty m:val="p"/>
                        </m:rPr>
                        <w:rPr>
                          <w:rFonts w:ascii="Cambria Math" w:hAnsi="Cambria Math"/>
                          <w:lang w:val="en-GB"/>
                        </w:rPr>
                        <m:t xml:space="preserve"> </m:t>
                      </m:r>
                      <m:r>
                        <w:rPr>
                          <w:rFonts w:ascii="Cambria Math" w:hAnsi="Cambria Math"/>
                          <w:lang w:val="en-GB"/>
                        </w:rPr>
                        <m:t>death</m:t>
                      </m:r>
                      <m:r>
                        <m:rPr>
                          <m:sty m:val="p"/>
                        </m:rPr>
                        <w:rPr>
                          <w:rFonts w:ascii="Cambria Math" w:hAnsi="Cambria Math"/>
                          <w:lang w:val="en-GB"/>
                        </w:rPr>
                        <m:t xml:space="preserve"> </m:t>
                      </m:r>
                      <m:r>
                        <w:rPr>
                          <w:rFonts w:ascii="Cambria Math" w:hAnsi="Cambria Math"/>
                          <w:lang w:val="en-GB"/>
                        </w:rPr>
                        <m:t>count</m:t>
                      </m:r>
                      <m:r>
                        <m:rPr>
                          <m:sty m:val="p"/>
                        </m:rPr>
                        <w:rPr>
                          <w:rFonts w:ascii="Cambria Math" w:hAnsi="Cambria Math"/>
                          <w:lang w:val="en-GB"/>
                        </w:rPr>
                        <m:t xml:space="preserve"> </m:t>
                      </m:r>
                    </m:den>
                  </m:f>
                  <m:r>
                    <m:rPr>
                      <m:sty m:val="p"/>
                    </m:rPr>
                    <w:rPr>
                      <w:rFonts w:ascii="Cambria Math" w:hAnsi="Cambria Math"/>
                      <w:lang w:val="en-GB"/>
                    </w:rPr>
                    <m:t>*(1 -</m:t>
                  </m:r>
                  <m:f>
                    <m:fPr>
                      <m:ctrlPr>
                        <w:rPr>
                          <w:rFonts w:ascii="Cambria Math" w:hAnsi="Cambria Math"/>
                          <w:lang w:val="en-GB"/>
                        </w:rPr>
                      </m:ctrlPr>
                    </m:fPr>
                    <m:num>
                      <m:r>
                        <w:rPr>
                          <w:rFonts w:ascii="Cambria Math" w:hAnsi="Cambria Math"/>
                          <w:lang w:val="en-GB"/>
                        </w:rPr>
                        <m:t>weekly</m:t>
                      </m:r>
                      <m:r>
                        <m:rPr>
                          <m:sty m:val="p"/>
                        </m:rPr>
                        <w:rPr>
                          <w:rFonts w:ascii="Cambria Math" w:hAnsi="Cambria Math"/>
                          <w:lang w:val="en-GB"/>
                        </w:rPr>
                        <m:t xml:space="preserve"> </m:t>
                      </m:r>
                      <m:r>
                        <w:rPr>
                          <w:rFonts w:ascii="Cambria Math" w:hAnsi="Cambria Math"/>
                          <w:lang w:val="en-GB"/>
                        </w:rPr>
                        <m:t>death</m:t>
                      </m:r>
                      <m:r>
                        <m:rPr>
                          <m:sty m:val="p"/>
                        </m:rPr>
                        <w:rPr>
                          <w:rFonts w:ascii="Cambria Math" w:hAnsi="Cambria Math"/>
                          <w:lang w:val="en-GB"/>
                        </w:rPr>
                        <m:t xml:space="preserve"> </m:t>
                      </m:r>
                      <m:r>
                        <w:rPr>
                          <w:rFonts w:ascii="Cambria Math" w:hAnsi="Cambria Math"/>
                          <w:lang w:val="en-GB"/>
                        </w:rPr>
                        <m:t>count</m:t>
                      </m:r>
                    </m:num>
                    <m:den>
                      <m:r>
                        <w:rPr>
                          <w:rFonts w:ascii="Cambria Math" w:hAnsi="Cambria Math"/>
                          <w:lang w:val="en-GB"/>
                        </w:rPr>
                        <m:t>annual</m:t>
                      </m:r>
                      <m:r>
                        <m:rPr>
                          <m:sty m:val="p"/>
                        </m:rPr>
                        <w:rPr>
                          <w:rFonts w:ascii="Cambria Math" w:hAnsi="Cambria Math"/>
                          <w:lang w:val="en-GB"/>
                        </w:rPr>
                        <m:t xml:space="preserve"> </m:t>
                      </m:r>
                      <m:r>
                        <w:rPr>
                          <w:rFonts w:ascii="Cambria Math" w:hAnsi="Cambria Math"/>
                          <w:lang w:val="en-GB"/>
                        </w:rPr>
                        <m:t>death</m:t>
                      </m:r>
                      <m:r>
                        <m:rPr>
                          <m:sty m:val="p"/>
                        </m:rPr>
                        <w:rPr>
                          <w:rFonts w:ascii="Cambria Math" w:hAnsi="Cambria Math"/>
                          <w:lang w:val="en-GB"/>
                        </w:rPr>
                        <m:t xml:space="preserve"> </m:t>
                      </m:r>
                      <m:r>
                        <w:rPr>
                          <w:rFonts w:ascii="Cambria Math" w:hAnsi="Cambria Math"/>
                          <w:lang w:val="en-GB"/>
                        </w:rPr>
                        <m:t>count</m:t>
                      </m:r>
                      <m:r>
                        <m:rPr>
                          <m:sty m:val="p"/>
                        </m:rPr>
                        <w:rPr>
                          <w:rFonts w:ascii="Cambria Math" w:hAnsi="Cambria Math"/>
                          <w:lang w:val="en-GB"/>
                        </w:rPr>
                        <m:t xml:space="preserve"> </m:t>
                      </m:r>
                    </m:den>
                  </m:f>
                  <m:r>
                    <m:rPr>
                      <m:sty m:val="p"/>
                    </m:rPr>
                    <w:rPr>
                      <w:rFonts w:ascii="Cambria Math" w:hAnsi="Cambria Math"/>
                      <w:lang w:val="en-GB"/>
                    </w:rPr>
                    <m:t xml:space="preserve">) </m:t>
                  </m:r>
                </m:num>
                <m:den>
                  <m:r>
                    <w:rPr>
                      <w:rFonts w:ascii="Cambria Math" w:hAnsi="Cambria Math"/>
                      <w:lang w:val="en-GB"/>
                    </w:rPr>
                    <m:t>annual</m:t>
                  </m:r>
                  <m:r>
                    <m:rPr>
                      <m:sty m:val="p"/>
                    </m:rPr>
                    <w:rPr>
                      <w:rFonts w:ascii="Cambria Math" w:hAnsi="Cambria Math"/>
                      <w:lang w:val="en-GB"/>
                    </w:rPr>
                    <m:t xml:space="preserve"> </m:t>
                  </m:r>
                  <m:r>
                    <w:rPr>
                      <w:rFonts w:ascii="Cambria Math" w:hAnsi="Cambria Math"/>
                      <w:lang w:val="en-GB"/>
                    </w:rPr>
                    <m:t>death</m:t>
                  </m:r>
                  <m:r>
                    <m:rPr>
                      <m:sty m:val="p"/>
                    </m:rPr>
                    <w:rPr>
                      <w:rFonts w:ascii="Cambria Math" w:hAnsi="Cambria Math"/>
                      <w:lang w:val="en-GB"/>
                    </w:rPr>
                    <m:t xml:space="preserve"> </m:t>
                  </m:r>
                  <m:r>
                    <w:rPr>
                      <w:rFonts w:ascii="Cambria Math" w:hAnsi="Cambria Math"/>
                      <w:lang w:val="en-GB"/>
                    </w:rPr>
                    <m:t>count</m:t>
                  </m:r>
                </m:den>
              </m:f>
              <m:r>
                <m:rPr>
                  <m:sty m:val="p"/>
                </m:rPr>
                <w:rPr>
                  <w:rFonts w:ascii="Cambria Math" w:hAnsi="Cambria Math"/>
                  <w:lang w:val="en-GB"/>
                </w:rPr>
                <m:t xml:space="preserve"> </m:t>
              </m:r>
            </m:e>
          </m:rad>
        </m:oMath>
      </m:oMathPara>
    </w:p>
    <w:p w14:paraId="1A3157BA" w14:textId="1CAE7A43" w:rsidR="00CC4CEF" w:rsidRPr="006A0823" w:rsidRDefault="00CC4CEF" w:rsidP="00BC3AE0">
      <w:pPr>
        <w:rPr>
          <w:lang w:val="en-GB"/>
        </w:rPr>
      </w:pPr>
    </w:p>
    <w:p w14:paraId="0A3636C4" w14:textId="764DE9E2" w:rsidR="00CC4CEF" w:rsidRPr="006A0823" w:rsidRDefault="00CC4CEF" w:rsidP="00BC3AE0">
      <w:pPr>
        <w:rPr>
          <w:lang w:val="en-GB"/>
        </w:rPr>
      </w:pPr>
      <w:r w:rsidRPr="006A0823">
        <w:rPr>
          <w:lang w:val="en-GB"/>
        </w:rPr>
        <w:t xml:space="preserve">For locations without data on pneumonia deaths, the strategy included additional models and calculations to generate estimates for all locations. We modelled the global seasonality trend pooling all pneumonia deaths data, calculated the amplitude of the seasonality time series in specific locations to model and predict the relationship between amplitude and latitude, and then used the estimated amplitude values by latitude to manipulate the amplitude of the global pattern. As such all locations without data have the same general seasonality pattern (higher in October to April in Northern Hemisphere; higher in April to October in Southern Hemisphere), but the amplitude varies by location, depending on the latitude. In order to preserve the cyclical trend of the pneumonia deaths in the model, the same 52 weeks of data were triplicated, and added to the beginning and the end of the time series. </w:t>
      </w:r>
    </w:p>
    <w:p w14:paraId="575A402A" w14:textId="515BF3E1" w:rsidR="001F0F29" w:rsidRPr="006A0823" w:rsidRDefault="68950EEF" w:rsidP="00BC3AE0">
      <w:pPr>
        <w:pStyle w:val="Heading2"/>
        <w:rPr>
          <w:lang w:val="en-GB"/>
        </w:rPr>
      </w:pPr>
      <w:bookmarkStart w:id="147" w:name="_Toc76840495"/>
      <w:bookmarkStart w:id="148" w:name="_Toc104245031"/>
      <w:bookmarkStart w:id="149" w:name="_Toc104249346"/>
      <w:bookmarkStart w:id="150" w:name="_Toc104252074"/>
      <w:bookmarkStart w:id="151" w:name="_Toc124499483"/>
      <w:bookmarkStart w:id="152" w:name="_Toc76653798"/>
      <w:bookmarkStart w:id="153" w:name="_Toc76726267"/>
      <w:bookmarkStart w:id="154" w:name="_Toc76727575"/>
      <w:bookmarkStart w:id="155" w:name="_Toc76457839"/>
      <w:bookmarkStart w:id="156" w:name="_Toc76645556"/>
      <w:r w:rsidRPr="006A0823">
        <w:rPr>
          <w:lang w:val="en-GB"/>
        </w:rPr>
        <w:t>Testing</w:t>
      </w:r>
      <w:r w:rsidR="5F859308" w:rsidRPr="006A0823">
        <w:rPr>
          <w:lang w:val="en-GB"/>
        </w:rPr>
        <w:t xml:space="preserve"> per capita</w:t>
      </w:r>
      <w:r w:rsidR="59CECC93" w:rsidRPr="006A0823">
        <w:rPr>
          <w:color w:val="2B579A"/>
          <w:shd w:val="clear" w:color="auto" w:fill="E6E6E6"/>
          <w:lang w:val="en-GB"/>
        </w:rPr>
        <w:fldChar w:fldCharType="begin"/>
      </w:r>
      <w:r w:rsidR="004876B1" w:rsidRPr="006A0823">
        <w:rPr>
          <w:lang w:val="en-GB"/>
        </w:rPr>
        <w:instrText xml:space="preserve"> ADDIN ZOTERO_ITEM CSL_CITATION {"citationID":"qHAUjJpM","properties":{"formattedCitation":"\\super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59CECC93" w:rsidRPr="006A0823">
        <w:rPr>
          <w:color w:val="2B579A"/>
          <w:shd w:val="clear" w:color="auto" w:fill="E6E6E6"/>
          <w:lang w:val="en-GB"/>
        </w:rPr>
        <w:fldChar w:fldCharType="separate"/>
      </w:r>
      <w:bookmarkEnd w:id="152"/>
      <w:bookmarkEnd w:id="153"/>
      <w:bookmarkEnd w:id="154"/>
      <w:r w:rsidR="2A6041C7" w:rsidRPr="006A0823">
        <w:rPr>
          <w:color w:val="0000FF"/>
          <w:vertAlign w:val="superscript"/>
        </w:rPr>
        <w:t>1</w:t>
      </w:r>
      <w:bookmarkEnd w:id="147"/>
      <w:bookmarkEnd w:id="148"/>
      <w:bookmarkEnd w:id="149"/>
      <w:bookmarkEnd w:id="150"/>
      <w:bookmarkEnd w:id="151"/>
      <w:r w:rsidR="59CECC93" w:rsidRPr="006A0823">
        <w:rPr>
          <w:color w:val="2B579A"/>
          <w:shd w:val="clear" w:color="auto" w:fill="E6E6E6"/>
          <w:lang w:val="en-GB"/>
        </w:rPr>
        <w:fldChar w:fldCharType="end"/>
      </w:r>
      <w:bookmarkEnd w:id="155"/>
      <w:bookmarkEnd w:id="156"/>
    </w:p>
    <w:p w14:paraId="07102F9F" w14:textId="0DDC3AF0" w:rsidR="004E3244" w:rsidRPr="006A0823" w:rsidRDefault="004E3244" w:rsidP="00BC3AE0">
      <w:pPr>
        <w:rPr>
          <w:lang w:val="en-GB"/>
        </w:rPr>
      </w:pPr>
      <w:r w:rsidRPr="006A0823">
        <w:rPr>
          <w:lang w:val="en-GB"/>
        </w:rPr>
        <w:t>Testing for COVID-19 can impact the epidemic both directly and indirectly. Directly, a positive test result alerts an individual to their need to self-isolate and for their contacts to quarantine. Indirectly, higher levels of testing ensure that policy makers and healthcare professionals have accurate information when making decisions about social distancing mandates and resource allocation.</w:t>
      </w:r>
    </w:p>
    <w:p w14:paraId="59EDBF78" w14:textId="235C4612" w:rsidR="004E3244" w:rsidRPr="006A0823" w:rsidRDefault="5F859308" w:rsidP="00AE5A69">
      <w:pPr>
        <w:pStyle w:val="Heading3"/>
        <w:rPr>
          <w:lang w:val="en-GB"/>
        </w:rPr>
      </w:pPr>
      <w:bookmarkStart w:id="157" w:name="_Toc76457840"/>
      <w:bookmarkStart w:id="158" w:name="_Toc76653799"/>
      <w:bookmarkStart w:id="159" w:name="_Toc76726268"/>
      <w:bookmarkStart w:id="160" w:name="_Toc76727576"/>
      <w:bookmarkStart w:id="161" w:name="_Toc76840496"/>
      <w:bookmarkStart w:id="162" w:name="_Toc104245032"/>
      <w:bookmarkStart w:id="163" w:name="_Toc104249347"/>
      <w:bookmarkStart w:id="164" w:name="_Toc104252075"/>
      <w:bookmarkStart w:id="165" w:name="_Toc124499484"/>
      <w:r w:rsidRPr="006A0823">
        <w:rPr>
          <w:lang w:val="en-GB"/>
        </w:rPr>
        <w:t xml:space="preserve">Data </w:t>
      </w:r>
      <w:bookmarkEnd w:id="157"/>
      <w:bookmarkEnd w:id="158"/>
      <w:bookmarkEnd w:id="159"/>
      <w:bookmarkEnd w:id="160"/>
      <w:r w:rsidR="4A356D39" w:rsidRPr="006A0823">
        <w:rPr>
          <w:lang w:val="en-GB"/>
        </w:rPr>
        <w:t>sources</w:t>
      </w:r>
      <w:bookmarkEnd w:id="161"/>
      <w:bookmarkEnd w:id="162"/>
      <w:bookmarkEnd w:id="163"/>
      <w:bookmarkEnd w:id="164"/>
      <w:bookmarkEnd w:id="165"/>
    </w:p>
    <w:p w14:paraId="35CDEB3C" w14:textId="5FBC23B2" w:rsidR="00570A1F" w:rsidRPr="006A0823" w:rsidRDefault="66762E14" w:rsidP="00BC3AE0">
      <w:pPr>
        <w:rPr>
          <w:lang w:val="en-GB"/>
        </w:rPr>
      </w:pPr>
      <w:r w:rsidRPr="006A0823">
        <w:rPr>
          <w:lang w:val="en-GB"/>
        </w:rPr>
        <w:t>Data on the number of tests administered were sourced from a combination of direct reports from government health authorities</w:t>
      </w:r>
      <w:r w:rsidR="2E8703F3" w:rsidRPr="006A0823">
        <w:rPr>
          <w:lang w:val="en-GB"/>
        </w:rPr>
        <w:t xml:space="preserve"> including</w:t>
      </w:r>
      <w:r w:rsidRPr="006A0823">
        <w:rPr>
          <w:lang w:val="en-GB"/>
        </w:rPr>
        <w:t xml:space="preserve"> the United States</w:t>
      </w:r>
      <w:r w:rsidR="2E8703F3" w:rsidRPr="006A0823">
        <w:rPr>
          <w:lang w:val="en-GB"/>
        </w:rPr>
        <w:t xml:space="preserve"> Department of Human and Health Services,</w:t>
      </w:r>
      <w:r w:rsidRPr="006A0823">
        <w:rPr>
          <w:lang w:val="en-GB"/>
        </w:rPr>
        <w:t xml:space="preserve"> and Our World in Data for all locations that were present in their database that we had not sourced from direct reports, supplemented by additional country resources when missing. Sources for these data are detailed in </w:t>
      </w:r>
      <w:r w:rsidR="6BBC8184" w:rsidRPr="006A0823">
        <w:rPr>
          <w:lang w:val="en-GB"/>
        </w:rPr>
        <w:t>appendix 2</w:t>
      </w:r>
      <w:r w:rsidR="695AF658" w:rsidRPr="006A0823">
        <w:rPr>
          <w:lang w:val="en-GB"/>
        </w:rPr>
        <w:t xml:space="preserve">, section </w:t>
      </w:r>
      <w:r w:rsidR="4A04C44D" w:rsidRPr="006A0823">
        <w:rPr>
          <w:lang w:val="en-GB"/>
        </w:rPr>
        <w:t>15</w:t>
      </w:r>
      <w:r w:rsidRPr="006A0823">
        <w:rPr>
          <w:lang w:val="en-GB"/>
        </w:rPr>
        <w:t>.</w:t>
      </w:r>
    </w:p>
    <w:p w14:paraId="7CFBF9DE" w14:textId="53CD9620" w:rsidR="004E3244" w:rsidRPr="006A0823" w:rsidRDefault="5F859308" w:rsidP="00AE5A69">
      <w:pPr>
        <w:pStyle w:val="Heading3"/>
        <w:rPr>
          <w:lang w:val="en-GB"/>
        </w:rPr>
      </w:pPr>
      <w:bookmarkStart w:id="166" w:name="_Toc76457841"/>
      <w:bookmarkStart w:id="167" w:name="_Toc76653800"/>
      <w:bookmarkStart w:id="168" w:name="_Toc76726269"/>
      <w:bookmarkStart w:id="169" w:name="_Toc76727577"/>
      <w:bookmarkStart w:id="170" w:name="_Toc76840497"/>
      <w:bookmarkStart w:id="171" w:name="_Toc104245033"/>
      <w:bookmarkStart w:id="172" w:name="_Toc104249348"/>
      <w:bookmarkStart w:id="173" w:name="_Toc104252076"/>
      <w:bookmarkStart w:id="174" w:name="_Toc124499485"/>
      <w:r w:rsidRPr="006A0823">
        <w:rPr>
          <w:lang w:val="en-GB"/>
        </w:rPr>
        <w:t xml:space="preserve">Descriptive </w:t>
      </w:r>
      <w:r w:rsidR="2167B56F" w:rsidRPr="006A0823">
        <w:rPr>
          <w:lang w:val="en-GB"/>
        </w:rPr>
        <w:t>m</w:t>
      </w:r>
      <w:r w:rsidRPr="006A0823">
        <w:rPr>
          <w:lang w:val="en-GB"/>
        </w:rPr>
        <w:t>odel</w:t>
      </w:r>
      <w:bookmarkEnd w:id="166"/>
      <w:bookmarkEnd w:id="167"/>
      <w:bookmarkEnd w:id="168"/>
      <w:bookmarkEnd w:id="169"/>
      <w:bookmarkEnd w:id="170"/>
      <w:bookmarkEnd w:id="171"/>
      <w:bookmarkEnd w:id="172"/>
      <w:bookmarkEnd w:id="173"/>
      <w:bookmarkEnd w:id="174"/>
    </w:p>
    <w:p w14:paraId="2B5FF8EB" w14:textId="76BBB727" w:rsidR="00E13B08" w:rsidRPr="006A0823" w:rsidRDefault="004E3244" w:rsidP="00BC3AE0">
      <w:pPr>
        <w:rPr>
          <w:lang w:val="en-GB"/>
        </w:rPr>
      </w:pPr>
      <w:r w:rsidRPr="006A0823">
        <w:rPr>
          <w:lang w:val="en-GB"/>
        </w:rPr>
        <w:t xml:space="preserve">When both daily and cumulative data were present on the same date for a given location, we gave preference to the cumulative data. When there were daily data reported in between gaps in cumulative data reports, we added the daily data to the preceding cumulative value to fill in the missing cumulative data. Dates where only positive tests were reported were dropped. Cumulative data preceded by days of no reports was shifted to the midpoint of the missing interval and scaled to equal the average daily tests over the interval. In locations where the date of the first confirmed case preceded the date of the first reported tests, we </w:t>
      </w:r>
      <w:r w:rsidR="007A6F3B" w:rsidRPr="006A0823">
        <w:rPr>
          <w:lang w:val="en-GB"/>
        </w:rPr>
        <w:t>assumed that testing started two weeks before</w:t>
      </w:r>
      <w:r w:rsidRPr="006A0823">
        <w:rPr>
          <w:lang w:val="en-GB"/>
        </w:rPr>
        <w:t xml:space="preserve"> the </w:t>
      </w:r>
      <w:r w:rsidR="007A6F3B" w:rsidRPr="006A0823">
        <w:rPr>
          <w:lang w:val="en-GB"/>
        </w:rPr>
        <w:t xml:space="preserve">first confirmed case and linearly interpolated </w:t>
      </w:r>
      <w:r w:rsidRPr="006A0823">
        <w:rPr>
          <w:lang w:val="en-GB"/>
        </w:rPr>
        <w:t xml:space="preserve">to the </w:t>
      </w:r>
      <w:r w:rsidR="00C76C10" w:rsidRPr="006A0823">
        <w:rPr>
          <w:lang w:val="en-GB"/>
        </w:rPr>
        <w:t>first day of cumulative testing counts</w:t>
      </w:r>
      <w:r w:rsidRPr="006A0823">
        <w:rPr>
          <w:lang w:val="en-GB"/>
        </w:rPr>
        <w:t>. We then aggregated to weekly intervals and linearly interpolated the weekly data with knots placed at the middle of each week. Finally, we smoothed the weekly interpolated data using ten iterations of smoothing with a uniform kernel and a three-day bandwidth.</w:t>
      </w:r>
      <w:r w:rsidR="004A5961" w:rsidRPr="006A0823">
        <w:rPr>
          <w:lang w:val="en-GB"/>
        </w:rPr>
        <w:t xml:space="preserve"> </w:t>
      </w:r>
      <w:r w:rsidR="00C76C10" w:rsidRPr="006A0823">
        <w:rPr>
          <w:lang w:val="en-GB"/>
        </w:rPr>
        <w:t xml:space="preserve">Finally, </w:t>
      </w:r>
      <w:r w:rsidR="00A2200A" w:rsidRPr="006A0823">
        <w:rPr>
          <w:lang w:val="en-GB"/>
        </w:rPr>
        <w:t xml:space="preserve">we assumed that </w:t>
      </w:r>
      <w:r w:rsidR="001E50EB" w:rsidRPr="006A0823">
        <w:rPr>
          <w:lang w:val="en-GB"/>
        </w:rPr>
        <w:t xml:space="preserve">daily tests were at least </w:t>
      </w:r>
      <w:r w:rsidR="00E13B08" w:rsidRPr="006A0823">
        <w:rPr>
          <w:lang w:val="en-GB"/>
        </w:rPr>
        <w:t xml:space="preserve">two times greater than reported cases (50% positivity rate), increasing daily testing counts in some locations early in the pandemic. </w:t>
      </w:r>
    </w:p>
    <w:p w14:paraId="227FC088" w14:textId="4FAEAFD4" w:rsidR="004E3244" w:rsidRPr="006A0823" w:rsidRDefault="668A5CBB" w:rsidP="00AE5A69">
      <w:pPr>
        <w:pStyle w:val="Heading3"/>
        <w:rPr>
          <w:lang w:val="en-GB"/>
        </w:rPr>
      </w:pPr>
      <w:bookmarkStart w:id="175" w:name="_Toc76457842"/>
      <w:bookmarkStart w:id="176" w:name="_Toc76653801"/>
      <w:bookmarkStart w:id="177" w:name="_Toc76726270"/>
      <w:bookmarkStart w:id="178" w:name="_Toc76727578"/>
      <w:bookmarkStart w:id="179" w:name="_Toc76840498"/>
      <w:bookmarkStart w:id="180" w:name="_Toc104245034"/>
      <w:bookmarkStart w:id="181" w:name="_Toc104249349"/>
      <w:bookmarkStart w:id="182" w:name="_Toc104252077"/>
      <w:bookmarkStart w:id="183" w:name="_Toc124499486"/>
      <w:r w:rsidRPr="006A0823">
        <w:rPr>
          <w:lang w:val="en-GB"/>
        </w:rPr>
        <w:lastRenderedPageBreak/>
        <w:t>Testing f</w:t>
      </w:r>
      <w:r w:rsidR="5F859308" w:rsidRPr="006A0823">
        <w:rPr>
          <w:lang w:val="en-GB"/>
        </w:rPr>
        <w:t xml:space="preserve">orecasting </w:t>
      </w:r>
      <w:r w:rsidR="2167B56F" w:rsidRPr="006A0823">
        <w:rPr>
          <w:lang w:val="en-GB"/>
        </w:rPr>
        <w:t>m</w:t>
      </w:r>
      <w:r w:rsidR="5F859308" w:rsidRPr="006A0823">
        <w:rPr>
          <w:lang w:val="en-GB"/>
        </w:rPr>
        <w:t>odel</w:t>
      </w:r>
      <w:bookmarkEnd w:id="175"/>
      <w:bookmarkEnd w:id="176"/>
      <w:bookmarkEnd w:id="177"/>
      <w:bookmarkEnd w:id="178"/>
      <w:bookmarkEnd w:id="179"/>
      <w:bookmarkEnd w:id="180"/>
      <w:bookmarkEnd w:id="181"/>
      <w:bookmarkEnd w:id="182"/>
      <w:bookmarkEnd w:id="183"/>
    </w:p>
    <w:p w14:paraId="2FBDFD63" w14:textId="4550E3DB" w:rsidR="000D62D5" w:rsidRPr="006A0823" w:rsidRDefault="004E3244" w:rsidP="00BC3AE0">
      <w:pPr>
        <w:rPr>
          <w:lang w:val="en-GB"/>
        </w:rPr>
      </w:pPr>
      <w:r w:rsidRPr="006A0823">
        <w:rPr>
          <w:lang w:val="en-GB"/>
        </w:rPr>
        <w:t>We projected levels of daily testing per capita using the location-specific mean daily difference in testing per capita for locations with data; in effect assuming that future growth in daily testing per capita will match past increases in testing. For locations that were missing testing data, we used the regional average growth of daily testing per capita and the date of the location-specific first reported case to impute both the past and the future values of daily testing per capita.</w:t>
      </w:r>
      <w:r w:rsidR="00DD7D3E" w:rsidRPr="006A0823">
        <w:rPr>
          <w:lang w:val="en-GB"/>
        </w:rPr>
        <w:t xml:space="preserve"> Daily testing per capita increases</w:t>
      </w:r>
      <w:r w:rsidR="000F152A" w:rsidRPr="006A0823">
        <w:rPr>
          <w:lang w:val="en-GB"/>
        </w:rPr>
        <w:t xml:space="preserve"> in all locations until reaching a threshold value for the maximum daily tests per capita, a predicted level from a frontier analysis of testing rates by </w:t>
      </w:r>
      <w:r w:rsidR="00735417" w:rsidRPr="006A0823">
        <w:rPr>
          <w:lang w:val="en-GB"/>
        </w:rPr>
        <w:t xml:space="preserve">lag-distributed income per capita (LDI). </w:t>
      </w:r>
    </w:p>
    <w:p w14:paraId="07FADB66" w14:textId="6C6D4A2E" w:rsidR="00840468" w:rsidRPr="006A0823" w:rsidRDefault="54DA0AA3" w:rsidP="00BC3AE0">
      <w:pPr>
        <w:pStyle w:val="Heading2"/>
        <w:rPr>
          <w:lang w:val="en-GB"/>
        </w:rPr>
      </w:pPr>
      <w:bookmarkStart w:id="184" w:name="_Toc76840499"/>
      <w:bookmarkStart w:id="185" w:name="_Toc104245035"/>
      <w:bookmarkStart w:id="186" w:name="_Toc104249350"/>
      <w:bookmarkStart w:id="187" w:name="_Toc104252078"/>
      <w:bookmarkStart w:id="188" w:name="_Toc124499487"/>
      <w:bookmarkStart w:id="189" w:name="_Toc76457843"/>
      <w:bookmarkStart w:id="190" w:name="_Toc76653802"/>
      <w:bookmarkStart w:id="191" w:name="_Toc76726271"/>
      <w:bookmarkStart w:id="192" w:name="_Toc76727579"/>
      <w:r w:rsidRPr="006A0823">
        <w:rPr>
          <w:lang w:val="en-GB"/>
        </w:rPr>
        <w:t xml:space="preserve">Mask </w:t>
      </w:r>
      <w:r w:rsidR="2167B56F" w:rsidRPr="006A0823">
        <w:rPr>
          <w:lang w:val="en-GB"/>
        </w:rPr>
        <w:t>u</w:t>
      </w:r>
      <w:r w:rsidRPr="006A0823">
        <w:rPr>
          <w:lang w:val="en-GB"/>
        </w:rPr>
        <w:t>se</w:t>
      </w:r>
      <w:bookmarkEnd w:id="184"/>
      <w:bookmarkEnd w:id="185"/>
      <w:bookmarkEnd w:id="186"/>
      <w:bookmarkEnd w:id="187"/>
      <w:bookmarkEnd w:id="188"/>
    </w:p>
    <w:bookmarkEnd w:id="189"/>
    <w:bookmarkEnd w:id="190"/>
    <w:bookmarkEnd w:id="191"/>
    <w:bookmarkEnd w:id="192"/>
    <w:p w14:paraId="3410A8EC" w14:textId="35B6F68C" w:rsidR="00C23C3A" w:rsidRPr="006A0823" w:rsidRDefault="07594AED" w:rsidP="00BC3AE0">
      <w:pPr>
        <w:rPr>
          <w:lang w:val="en-GB"/>
        </w:rPr>
      </w:pPr>
      <w:r w:rsidRPr="006A0823">
        <w:rPr>
          <w:lang w:val="en-GB"/>
        </w:rPr>
        <w:t xml:space="preserve">Mask use has proven to be an incredibly </w:t>
      </w:r>
      <w:r w:rsidR="553717A5" w:rsidRPr="006A0823">
        <w:rPr>
          <w:lang w:val="en-GB"/>
        </w:rPr>
        <w:t>effective</w:t>
      </w:r>
      <w:r w:rsidRPr="006A0823">
        <w:rPr>
          <w:lang w:val="en-GB"/>
        </w:rPr>
        <w:t xml:space="preserve"> intervention strategy in reducing the transmission of COVID-19</w:t>
      </w:r>
      <w:r w:rsidR="2436902A" w:rsidRPr="006A0823">
        <w:rPr>
          <w:lang w:val="en-GB"/>
        </w:rPr>
        <w:t>.</w:t>
      </w:r>
      <w:r w:rsidR="7901D506" w:rsidRPr="006A0823">
        <w:rPr>
          <w:color w:val="2B579A"/>
          <w:shd w:val="clear" w:color="auto" w:fill="E6E6E6"/>
          <w:lang w:val="en-GB"/>
        </w:rPr>
        <w:fldChar w:fldCharType="begin"/>
      </w:r>
      <w:r w:rsidR="004876B1" w:rsidRPr="006A0823">
        <w:rPr>
          <w:lang w:val="en-GB"/>
        </w:rPr>
        <w:instrText xml:space="preserve"> ADDIN ZOTERO_ITEM CSL_CITATION {"citationID":"a2oa17b387t","properties":{"formattedCitation":"\\super 19,20\\nosupersub{}","plainCitation":"19,20","noteIndex":0},"citationItems":[{"id":937,"uris":["http://zotero.org/groups/2154524/items/WTPDXU5N"],"itemData":{"id":937,"type":"article-journal","container-title":"The Lancet Digital Health","issue":"3","note":"publisher: Elsevier","page":"e148–e157","source":"Google Scholar","title":"Mask-wearing and control of SARS-CoV-2 transmission in the USA: a cross-sectional study","title-short":"Mask-wearing and control of SARS-CoV-2 transmission in the USA","volume":"3","author":[{"family":"Rader","given":"Benjamin"},{"family":"White","given":"Laura F."},{"family":"Burns","given":"Michael R."},{"family":"Chen","given":"Jack"},{"family":"Brilliant","given":"Joseph"},{"family":"Cohen","given":"Jon"},{"family":"Shaman","given":"Jeffrey"},{"family":"Brilliant","given":"Larry"},{"family":"Kraemer","given":"Moritz UG"},{"family":"Hawkins","given":"Jared B."}],"issued":{"date-parts":[["2021"]]}}},{"id":936,"uris":["http://zotero.org/groups/2154524/items/NSJI7WLJ"],"itemData":{"id":936,"type":"article-journal","container-title":"Proceedings of the National Academy of Sciences","issue":"51","note":"publisher: National Acad Sciences","page":"32293–32301","source":"Google Scholar","title":"Face masks considerably reduce COVID-19 cases in Germany","volume":"117","author":[{"family":"Mitze","given":"Timo"},{"family":"Kosfeld","given":"Reinhold"},{"family":"Rode","given":"Johannes"},{"family":"Wälde","given":"Klaus"}],"issued":{"date-parts":[["2020"]]}}}],"schema":"https://github.com/citation-style-language/schema/raw/master/csl-citation.json"} </w:instrText>
      </w:r>
      <w:r w:rsidR="7901D506" w:rsidRPr="006A0823">
        <w:rPr>
          <w:color w:val="2B579A"/>
          <w:shd w:val="clear" w:color="auto" w:fill="E6E6E6"/>
          <w:lang w:val="en-GB"/>
        </w:rPr>
        <w:fldChar w:fldCharType="separate"/>
      </w:r>
      <w:r w:rsidR="004876B1" w:rsidRPr="006A0823">
        <w:rPr>
          <w:sz w:val="22"/>
          <w:vertAlign w:val="superscript"/>
        </w:rPr>
        <w:t>19,20</w:t>
      </w:r>
      <w:r w:rsidR="7901D506" w:rsidRPr="006A0823">
        <w:rPr>
          <w:color w:val="2B579A"/>
          <w:shd w:val="clear" w:color="auto" w:fill="E6E6E6"/>
          <w:lang w:val="en-GB"/>
        </w:rPr>
        <w:fldChar w:fldCharType="end"/>
      </w:r>
      <w:r w:rsidR="553717A5" w:rsidRPr="006A0823">
        <w:rPr>
          <w:lang w:val="en-GB"/>
        </w:rPr>
        <w:t xml:space="preserve"> While its importance appears to have waned in the presence of vaccines, the emergence of escape variants like B.1.617.2 which evade both natural and vaccine-based immune response indicates that mask use still has a vital role in the long</w:t>
      </w:r>
      <w:r w:rsidR="4C84CF10" w:rsidRPr="006A0823">
        <w:rPr>
          <w:lang w:val="en-GB"/>
        </w:rPr>
        <w:t>-</w:t>
      </w:r>
      <w:r w:rsidR="553717A5" w:rsidRPr="006A0823">
        <w:rPr>
          <w:lang w:val="en-GB"/>
        </w:rPr>
        <w:t xml:space="preserve">range trajectory of the pandemic. We analysed survey data on the levels and trends of mask use. This analysis of survey data sought to estimate the proportion of people who self-reported always wearing a facemask when outside their homes. </w:t>
      </w:r>
    </w:p>
    <w:p w14:paraId="7E6013F2" w14:textId="4735F965" w:rsidR="000D62D5" w:rsidRPr="006A0823" w:rsidRDefault="54DA0AA3" w:rsidP="00AE5A69">
      <w:pPr>
        <w:pStyle w:val="Heading3"/>
        <w:rPr>
          <w:lang w:val="en-GB"/>
        </w:rPr>
      </w:pPr>
      <w:bookmarkStart w:id="193" w:name="_Toc76457844"/>
      <w:bookmarkStart w:id="194" w:name="_Toc76653803"/>
      <w:bookmarkStart w:id="195" w:name="_Toc76726272"/>
      <w:bookmarkStart w:id="196" w:name="_Toc76727580"/>
      <w:bookmarkStart w:id="197" w:name="_Toc76840500"/>
      <w:bookmarkStart w:id="198" w:name="_Toc104245036"/>
      <w:bookmarkStart w:id="199" w:name="_Toc104249351"/>
      <w:bookmarkStart w:id="200" w:name="_Toc104252079"/>
      <w:bookmarkStart w:id="201" w:name="_Toc124499488"/>
      <w:r w:rsidRPr="006A0823">
        <w:rPr>
          <w:lang w:val="en-GB"/>
        </w:rPr>
        <w:t xml:space="preserve">Data </w:t>
      </w:r>
      <w:bookmarkEnd w:id="193"/>
      <w:bookmarkEnd w:id="194"/>
      <w:bookmarkEnd w:id="195"/>
      <w:bookmarkEnd w:id="196"/>
      <w:r w:rsidR="4A356D39" w:rsidRPr="006A0823">
        <w:rPr>
          <w:lang w:val="en-GB"/>
        </w:rPr>
        <w:t>sources</w:t>
      </w:r>
      <w:bookmarkEnd w:id="197"/>
      <w:bookmarkEnd w:id="198"/>
      <w:bookmarkEnd w:id="199"/>
      <w:bookmarkEnd w:id="200"/>
      <w:bookmarkEnd w:id="201"/>
    </w:p>
    <w:p w14:paraId="0354F9C4" w14:textId="59B93DED" w:rsidR="0B949941" w:rsidRPr="006A0823" w:rsidRDefault="14C93962" w:rsidP="00BC3AE0">
      <w:pPr>
        <w:rPr>
          <w:lang w:val="en-GB"/>
        </w:rPr>
      </w:pPr>
      <w:r w:rsidRPr="006A0823">
        <w:rPr>
          <w:lang w:val="en-GB"/>
        </w:rPr>
        <w:t xml:space="preserve">For mask use coverage levels, data was used from the </w:t>
      </w:r>
      <w:proofErr w:type="spellStart"/>
      <w:r w:rsidRPr="006A0823">
        <w:rPr>
          <w:lang w:val="en-GB"/>
        </w:rPr>
        <w:t>The</w:t>
      </w:r>
      <w:proofErr w:type="spellEnd"/>
      <w:r w:rsidRPr="006A0823">
        <w:rPr>
          <w:lang w:val="en-GB"/>
        </w:rPr>
        <w:t xml:space="preserve"> Delphi Group at Carnegie Mellon University and University of Maryland COVID-19 Trends and Impact Surveys (CTIS). The surveys are administered in collaboration with Facebook in more than 100 countries and in 56 languages globally. Mask use data are also from PREMISE </w:t>
      </w:r>
      <w:proofErr w:type="spellStart"/>
      <w:r w:rsidRPr="006A0823">
        <w:rPr>
          <w:lang w:val="en-GB"/>
        </w:rPr>
        <w:t>Behavior</w:t>
      </w:r>
      <w:proofErr w:type="spellEnd"/>
      <w:r w:rsidRPr="006A0823">
        <w:rPr>
          <w:lang w:val="en-GB"/>
        </w:rPr>
        <w:t xml:space="preserve"> survey, the Kaiser Family Foundation, and the YouGov COVID-19 Behaviour Tracker survey. The CTIS is comprised of two data sources: national level data for over 190 countries collated by the University of Maryland (</w:t>
      </w:r>
      <w:hyperlink r:id="rId17">
        <w:r w:rsidRPr="006A0823">
          <w:rPr>
            <w:rStyle w:val="Hyperlink"/>
            <w:rFonts w:ascii="Calibri" w:eastAsia="Calibri" w:hAnsi="Calibri" w:cs="Calibri"/>
            <w:lang w:val="en-GB"/>
          </w:rPr>
          <w:t>https://covidmap.umd.edu/</w:t>
        </w:r>
      </w:hyperlink>
      <w:r w:rsidRPr="006A0823">
        <w:rPr>
          <w:lang w:val="en-GB"/>
        </w:rPr>
        <w:t>) and state level data within the USA collated by the Delphi Group at Carnegie Mellon University (</w:t>
      </w:r>
      <w:hyperlink r:id="rId18">
        <w:r w:rsidRPr="006A0823">
          <w:rPr>
            <w:rStyle w:val="Hyperlink"/>
            <w:rFonts w:ascii="Calibri" w:eastAsia="Calibri" w:hAnsi="Calibri" w:cs="Calibri"/>
            <w:lang w:val="en-GB"/>
          </w:rPr>
          <w:t>https://delphi.cmu.edu/covidcast/survey-results/</w:t>
        </w:r>
      </w:hyperlink>
      <w:r w:rsidRPr="006A0823">
        <w:rPr>
          <w:lang w:val="en-GB"/>
        </w:rPr>
        <w:t>). There have been 13 waves of the CTIS and phrasing has changed slightly between waves, as of the current wave 13, the survey questions ask: “In the past 7 days, did you wear a mask most or all of the time in public?” (with the available answers being “Most of the time” and “All of the time”) and “In the past 7 days, when you were out in public, did most or all other people wear masks</w:t>
      </w:r>
      <w:proofErr w:type="gramStart"/>
      <w:r w:rsidRPr="006A0823">
        <w:rPr>
          <w:lang w:val="en-GB"/>
        </w:rPr>
        <w:t>?”(</w:t>
      </w:r>
      <w:proofErr w:type="gramEnd"/>
      <w:r w:rsidRPr="006A0823">
        <w:rPr>
          <w:lang w:val="en-GB"/>
        </w:rPr>
        <w:t>with the available answers being “Most of the people” and “All of the people”). Respondents for “All of the time” and “All of the people” were the numerator in our proportion. For the PREMISE surveys, the following question was asked: “When you leave your home do you typically wear a face mask (SELECT_ONE)” with responses “Yes, always; Yes, sometimes; No never”. Respondents for “Yes, always” were the numerator in our proportion. From YouGov, the following question was asked: “Thinking about the last 7 days, have you worn a face mask outside your home (e.g. when on public transport, going to a supermarket, going to a main road)” with responses “Always”, “Frequently”, ”Sometimes”, ”Rarely”, and “Not at all”. Respondents for “Always” were the numerator in our proportion.</w:t>
      </w:r>
      <w:r w:rsidR="5864ABB9" w:rsidRPr="006A0823">
        <w:rPr>
          <w:lang w:val="en-GB"/>
        </w:rPr>
        <w:t xml:space="preserve"> Data sources are listed in appendix 2, section 16.</w:t>
      </w:r>
    </w:p>
    <w:p w14:paraId="1EF226F8" w14:textId="75765C56" w:rsidR="00CD54A0" w:rsidRPr="006A0823" w:rsidRDefault="00CD54A0" w:rsidP="00BC3AE0">
      <w:pPr>
        <w:rPr>
          <w:rFonts w:eastAsia="Calibri"/>
          <w:lang w:val="en-GB"/>
        </w:rPr>
      </w:pPr>
      <w:r w:rsidRPr="006A0823">
        <w:rPr>
          <w:rFonts w:eastAsia="Calibri"/>
          <w:lang w:val="en-GB"/>
        </w:rPr>
        <w:t>All surveys we used to estimate historical levels of mask usage ended well before the end of our reported case, hospitalisation, and death data (PREMISE on March 9, 2021, YouGov on April 6, 2021, and CTIS/Facebook on June 6, 2022). We use all available evidence and begin our mask use forecasts at the latest available date in each country or subnational unit, depending on survey coverage.</w:t>
      </w:r>
    </w:p>
    <w:p w14:paraId="11A17A14" w14:textId="3F615F20" w:rsidR="000D62D5" w:rsidRPr="006A0823" w:rsidRDefault="0C48C002" w:rsidP="00AE5A69">
      <w:pPr>
        <w:pStyle w:val="Heading3"/>
        <w:rPr>
          <w:lang w:val="en-GB"/>
        </w:rPr>
      </w:pPr>
      <w:bookmarkStart w:id="202" w:name="_Toc76840501"/>
      <w:bookmarkStart w:id="203" w:name="_Toc104245037"/>
      <w:bookmarkStart w:id="204" w:name="_Toc104249352"/>
      <w:bookmarkStart w:id="205" w:name="_Toc104252080"/>
      <w:bookmarkStart w:id="206" w:name="_Toc124499489"/>
      <w:r w:rsidRPr="006A0823">
        <w:rPr>
          <w:lang w:val="en-GB"/>
        </w:rPr>
        <w:t>Mask use forecasting model</w:t>
      </w:r>
      <w:bookmarkEnd w:id="202"/>
      <w:bookmarkEnd w:id="203"/>
      <w:bookmarkEnd w:id="204"/>
      <w:bookmarkEnd w:id="205"/>
      <w:bookmarkEnd w:id="206"/>
    </w:p>
    <w:p w14:paraId="6EB1EEE5" w14:textId="3F59CFDE" w:rsidR="000D62D5" w:rsidRPr="006A0823" w:rsidRDefault="5ABC5D75" w:rsidP="00CD54A0">
      <w:pPr>
        <w:rPr>
          <w:lang w:val="en-GB"/>
        </w:rPr>
      </w:pPr>
      <w:r w:rsidRPr="006A0823">
        <w:rPr>
          <w:lang w:val="en-GB"/>
        </w:rPr>
        <w:t xml:space="preserve">We used a smoothing model to produce estimates of observed mask use. This smoothing process averages each data point with its neighbours. </w:t>
      </w:r>
      <w:r w:rsidR="566A4E66" w:rsidRPr="006A0823">
        <w:rPr>
          <w:lang w:val="en-GB"/>
        </w:rPr>
        <w:t xml:space="preserve">Locations with fewer than 30 daily respondents </w:t>
      </w:r>
      <w:r w:rsidR="5DF61E76" w:rsidRPr="006A0823">
        <w:rPr>
          <w:lang w:val="en-GB"/>
        </w:rPr>
        <w:t xml:space="preserve">on average </w:t>
      </w:r>
      <w:r w:rsidR="566A4E66" w:rsidRPr="006A0823">
        <w:rPr>
          <w:lang w:val="en-GB"/>
        </w:rPr>
        <w:t xml:space="preserve">were smoothed </w:t>
      </w:r>
      <w:r w:rsidR="5DF61E76" w:rsidRPr="006A0823">
        <w:rPr>
          <w:lang w:val="en-GB"/>
        </w:rPr>
        <w:t>to a greater degree than locations with more than 30 daily respondents.</w:t>
      </w:r>
      <w:r w:rsidR="00CD54A0" w:rsidRPr="006A0823">
        <w:rPr>
          <w:lang w:val="en-GB"/>
        </w:rPr>
        <w:t xml:space="preserve"> </w:t>
      </w:r>
    </w:p>
    <w:p w14:paraId="72B9E5E7" w14:textId="3FDC0928" w:rsidR="00BC1AF9" w:rsidRPr="006A0823" w:rsidRDefault="000037FB" w:rsidP="00BC3AE0">
      <w:pPr>
        <w:rPr>
          <w:lang w:val="en-GB"/>
        </w:rPr>
      </w:pPr>
      <w:r w:rsidRPr="006A0823">
        <w:rPr>
          <w:lang w:val="en-GB"/>
        </w:rPr>
        <w:t>We produced two scenarios of our forecasts. In</w:t>
      </w:r>
      <w:r w:rsidR="73FEF453" w:rsidRPr="006A0823">
        <w:rPr>
          <w:lang w:val="en-GB"/>
        </w:rPr>
        <w:t xml:space="preserve"> our reference </w:t>
      </w:r>
      <w:r w:rsidR="38ED9BA1" w:rsidRPr="006A0823">
        <w:rPr>
          <w:lang w:val="en-GB"/>
        </w:rPr>
        <w:t xml:space="preserve">scenario we assume mask use </w:t>
      </w:r>
      <w:r w:rsidR="005F426E" w:rsidRPr="006A0823">
        <w:rPr>
          <w:lang w:val="en-GB"/>
        </w:rPr>
        <w:t xml:space="preserve">remains constant </w:t>
      </w:r>
      <w:r w:rsidR="38ED9BA1" w:rsidRPr="006A0823">
        <w:rPr>
          <w:lang w:val="en-GB"/>
        </w:rPr>
        <w:t>in</w:t>
      </w:r>
      <w:r w:rsidR="005F426E" w:rsidRPr="006A0823">
        <w:rPr>
          <w:lang w:val="en-GB"/>
        </w:rPr>
        <w:t>to</w:t>
      </w:r>
      <w:r w:rsidR="38ED9BA1" w:rsidRPr="006A0823">
        <w:rPr>
          <w:lang w:val="en-GB"/>
        </w:rPr>
        <w:t xml:space="preserve"> the future.</w:t>
      </w:r>
      <w:r w:rsidR="00CD54A0" w:rsidRPr="006A0823">
        <w:rPr>
          <w:lang w:val="en-GB"/>
        </w:rPr>
        <w:t xml:space="preserve"> This assumes that the world will continue to face waves of new very infectious but mild variants (mild relative to the severity of the original SARS-Cov-2</w:t>
      </w:r>
      <w:r w:rsidR="38ED9BA1" w:rsidRPr="006A0823">
        <w:rPr>
          <w:lang w:val="en-GB"/>
        </w:rPr>
        <w:t xml:space="preserve"> </w:t>
      </w:r>
      <w:r w:rsidR="00CD54A0" w:rsidRPr="006A0823">
        <w:rPr>
          <w:lang w:val="en-GB"/>
        </w:rPr>
        <w:t xml:space="preserve">virus and early variants) and that </w:t>
      </w:r>
      <w:r w:rsidRPr="006A0823">
        <w:rPr>
          <w:lang w:val="en-GB"/>
        </w:rPr>
        <w:t>population behaviours are at a steady state with respect to that level of risk.</w:t>
      </w:r>
      <w:r w:rsidRPr="006A0823" w:rsidDel="00CD54A0">
        <w:rPr>
          <w:lang w:val="en-GB"/>
        </w:rPr>
        <w:t xml:space="preserve"> </w:t>
      </w:r>
      <w:r w:rsidR="38ED9BA1" w:rsidRPr="006A0823">
        <w:rPr>
          <w:lang w:val="en-GB"/>
        </w:rPr>
        <w:t>In our increased mask use scenario, we ramp up mask use to 80% linearly in the over the first week of the forecast. This scenario represents a policy response where masks are encouraged or mandated in order to prevent a large surge in COVID infections and related outcomes.</w:t>
      </w:r>
    </w:p>
    <w:p w14:paraId="5D3D0E26" w14:textId="4CADCD22" w:rsidR="00BC1AF9" w:rsidRPr="006A0823" w:rsidRDefault="00BC1AF9" w:rsidP="00BC3AE0">
      <w:pPr>
        <w:rPr>
          <w:lang w:val="en-GB"/>
        </w:rPr>
      </w:pPr>
    </w:p>
    <w:p w14:paraId="2E00B309" w14:textId="3A626689" w:rsidR="000D62D5" w:rsidRPr="006A0823" w:rsidRDefault="54DA0AA3" w:rsidP="00BC3AE0">
      <w:pPr>
        <w:pStyle w:val="Heading2"/>
        <w:rPr>
          <w:lang w:val="en-GB"/>
        </w:rPr>
      </w:pPr>
      <w:bookmarkStart w:id="207" w:name="_Toc76457848"/>
      <w:bookmarkStart w:id="208" w:name="_Toc76653807"/>
      <w:bookmarkStart w:id="209" w:name="_Toc76726276"/>
      <w:bookmarkStart w:id="210" w:name="_Toc76727584"/>
      <w:bookmarkStart w:id="211" w:name="_Toc76840503"/>
      <w:bookmarkStart w:id="212" w:name="_Toc104245039"/>
      <w:bookmarkStart w:id="213" w:name="_Toc104249354"/>
      <w:bookmarkStart w:id="214" w:name="_Toc104252082"/>
      <w:bookmarkStart w:id="215" w:name="_Toc124499490"/>
      <w:r w:rsidRPr="006A0823">
        <w:rPr>
          <w:lang w:val="en-GB"/>
        </w:rPr>
        <w:t>Social distancing mandates</w:t>
      </w:r>
      <w:bookmarkEnd w:id="207"/>
      <w:bookmarkEnd w:id="208"/>
      <w:bookmarkEnd w:id="209"/>
      <w:bookmarkEnd w:id="210"/>
      <w:bookmarkEnd w:id="211"/>
      <w:bookmarkEnd w:id="212"/>
      <w:bookmarkEnd w:id="213"/>
      <w:bookmarkEnd w:id="214"/>
      <w:bookmarkEnd w:id="215"/>
    </w:p>
    <w:p w14:paraId="0898AF39" w14:textId="53D4C4E7" w:rsidR="00015090" w:rsidRPr="006A0823" w:rsidRDefault="00A2548D" w:rsidP="00015090">
      <w:pPr>
        <w:rPr>
          <w:lang w:val="en-GB"/>
        </w:rPr>
      </w:pPr>
      <w:r w:rsidRPr="006A0823">
        <w:rPr>
          <w:lang w:val="en-GB"/>
        </w:rPr>
        <w:t xml:space="preserve">Some version of public health and social mandates have been implemented in nearly every country in the world. Some have presented as recommendations, others as requirements; some have presented as fragmented updates that escalate over a few days or weeks, others as discrete events where a nation transitions from no measures to full implementation of strict social distancing measures. </w:t>
      </w:r>
      <w:r w:rsidR="00F72E4B" w:rsidRPr="006A0823">
        <w:rPr>
          <w:lang w:val="en-GB"/>
        </w:rPr>
        <w:t>We collected a global database containing social distancing mandates (also known as non-</w:t>
      </w:r>
      <w:r w:rsidR="00A87B2F" w:rsidRPr="006A0823">
        <w:rPr>
          <w:lang w:val="en-GB"/>
        </w:rPr>
        <w:t>pharmaceutical</w:t>
      </w:r>
      <w:r w:rsidR="00F72E4B" w:rsidRPr="006A0823">
        <w:rPr>
          <w:lang w:val="en-GB"/>
        </w:rPr>
        <w:t xml:space="preserve"> interventions or NPIs)</w:t>
      </w:r>
      <w:r w:rsidR="007D7FFC" w:rsidRPr="006A0823">
        <w:rPr>
          <w:lang w:val="en-GB"/>
        </w:rPr>
        <w:t xml:space="preserve"> from January 1, 2022, to October 14, 2022, across 176 countries and 206 subnational units.</w:t>
      </w:r>
      <w:r w:rsidR="00AE5A69" w:rsidRPr="006A0823">
        <w:rPr>
          <w:lang w:val="en-GB"/>
        </w:rPr>
        <w:t xml:space="preserve"> We constructed 21 binary NPI variables which represent an individual government mandated intervention to reduce incidence of COVID-19, such as the closure of dining establishments or gathering </w:t>
      </w:r>
      <w:r w:rsidR="00A87B2F" w:rsidRPr="006A0823">
        <w:rPr>
          <w:lang w:val="en-GB"/>
        </w:rPr>
        <w:t>restrictions</w:t>
      </w:r>
      <w:r w:rsidR="00AE5A69" w:rsidRPr="006A0823">
        <w:rPr>
          <w:lang w:val="en-GB"/>
        </w:rPr>
        <w:t xml:space="preserve"> of a specific size. The dates of initiation and cessation for each NPI were manually collected from academic organizations</w:t>
      </w:r>
      <w:r w:rsidR="00851DCE" w:rsidRPr="006A0823">
        <w:rPr>
          <w:lang w:val="en-GB"/>
        </w:rPr>
        <w:t>,</w:t>
      </w:r>
      <w:r w:rsidR="0097798A" w:rsidRPr="006A0823">
        <w:rPr>
          <w:lang w:val="en-GB"/>
        </w:rPr>
        <w:fldChar w:fldCharType="begin"/>
      </w:r>
      <w:r w:rsidR="0097798A" w:rsidRPr="006A0823">
        <w:rPr>
          <w:lang w:val="en-GB"/>
        </w:rPr>
        <w:instrText xml:space="preserve"> ADDIN ZOTERO_ITEM CSL_CITATION {"citationID":"f85wPgMq","properties":{"formattedCitation":"\\super 21\\nosupersub{}","plainCitation":"21","noteIndex":0},"citationItems":[{"id":35714,"uris":["http://zotero.org/groups/2154524/items/E9GLGUYP"],"itemData":{"id":35714,"type":"article-journal","abstract":"We provide an assessment of the impact of government closure and containment measures on deaths from COVID-19 across sequential waves of the COVID-19 pandemic globally. Daily data was collected on a range of containment and closure policies for 186 countries from January 1, 2020 until March 11th, 2021. These data were combined into an aggregate stringency index (SI) score for each country on each day (range: 0–100). Countries were divided into successive waves via a mathematical algorithm to identify peaks and troughs of disease. Within our period of analysis, 63 countries experienced at least one wave, 40 countries experienced two waves, and 10 countries saw three waves, as defined by our approach. Within each wave, regression was used to assess the relationship between the strength of government stringency and subsequent deaths related to COVID-19 with a number of controls for time and country-specific demographic, health system, and economic characteristics. Across the full period of our analysis and 113 countries, an increase of 10 points on the SI was linked to 6 percentage points (P &lt; 0.001, 95% CI = [5%, 7%]) lower average daily deaths. In the first wave, in countries that ultimately experiences 3 waves of the pandemic to date, ten additional points on the SI resulted in lower average daily deaths by 21 percentage points (P &lt; .001, 95% CI = [8%, 16%]). This effect was sustained in the third wave with reductions in deaths of 28 percentage points (P &lt; .001, 95% CI = [13%, 21%]). Moreover, interaction effects show that government policies were effective in reducing deaths in all waves in all groups of countries. These findings highlight the enduring importance of non-pharmaceutical responses to COVID-19 over time.","container-title":"PLOS ONE","DOI":"10.1371/journal.pone.0253116","ISSN":"1932-6203","issue":"7","journalAbbreviation":"PLOS ONE","language":"en","note":"publisher: Public Library of Science","page":"e0253116","source":"PLoS Journals","title":"Government responses and COVID-19 deaths: Global evidence across multiple pandemic waves","title-short":"Government responses and COVID-19 deaths","volume":"16","author":[{"family":"Hale","given":"Thomas"},{"family":"Angrist","given":"Noam"},{"family":"Hale","given":"Andrew J."},{"family":"Kira","given":"Beatriz"},{"family":"Majumdar","given":"Saptarshi"},{"family":"Petherick","given":"Anna"},{"family":"Phillips","given":"Toby"},{"family":"Sridhar","given":"Devi"},{"family":"Thompson","given":"Robin N."},{"family":"Webster","given":"Samuel"},{"family":"Zhang","given":"Yuxi"}],"issued":{"date-parts":[["2021",7,9]]}}}],"schema":"https://github.com/citation-style-language/schema/raw/master/csl-citation.json"} </w:instrText>
      </w:r>
      <w:r w:rsidR="0097798A" w:rsidRPr="006A0823">
        <w:rPr>
          <w:lang w:val="en-GB"/>
        </w:rPr>
        <w:fldChar w:fldCharType="separate"/>
      </w:r>
      <w:r w:rsidR="0097798A" w:rsidRPr="006A0823">
        <w:rPr>
          <w:vertAlign w:val="superscript"/>
        </w:rPr>
        <w:t>21</w:t>
      </w:r>
      <w:r w:rsidR="0097798A" w:rsidRPr="006A0823">
        <w:rPr>
          <w:lang w:val="en-GB"/>
        </w:rPr>
        <w:fldChar w:fldCharType="end"/>
      </w:r>
      <w:r w:rsidR="0097798A" w:rsidRPr="006A0823">
        <w:rPr>
          <w:vertAlign w:val="superscript"/>
          <w:lang w:val="en-GB"/>
        </w:rPr>
        <w:t>,</w:t>
      </w:r>
      <w:r w:rsidR="0097798A" w:rsidRPr="006A0823">
        <w:rPr>
          <w:lang w:val="en-GB"/>
        </w:rPr>
        <w:fldChar w:fldCharType="begin"/>
      </w:r>
      <w:r w:rsidR="0097798A" w:rsidRPr="006A0823">
        <w:rPr>
          <w:lang w:val="en-GB"/>
        </w:rPr>
        <w:instrText xml:space="preserve"> ADDIN ZOTERO_ITEM CSL_CITATION {"citationID":"FqH79yE8","properties":{"formattedCitation":"\\super 22\\nosupersub{}","plainCitation":"22","noteIndex":0},"citationItems":[{"id":35716,"uris":["http://zotero.org/groups/2154524/items/A9W7W3PX"],"itemData":{"id":35716,"type":"article-journal","abstract":"In response to the COVID-19 pandemic, governments have implemented a wide range of non-pharmaceutical interventions (NPIs). Monitoring and documenting government strategies during the COVID-19 crisis is crucial to understand the progression of the epidemic. Following a content analysis strategy of existing public information sources, we developed a specific hierarchical coding scheme for NPIs. We generated a comprehensive structured dataset of government interventions and their respective timelines of implementation. To improve transparency and motivate collaborative validation process, information sources are shared via an open library. We also provide codes that enable users to visualise the dataset. Standardization and structure of the dataset facilitate inter-country comparison and the assessment of the impacts of different NPI categories on the epidemic parameters, population health indicators, the economy, and human rights, among others. This dataset provides an in-depth insight of the government strategies and can be a valuable tool for developing relevant preparedness plans for pandemic. We intend to further develop and update this dataset until the end of December 2020.","container-title":"Scientific Data","DOI":"10.1038/s41597-020-00609-9","ISSN":"2052-4463","issue":"1","journalAbbreviation":"Sci Data","language":"en","license":"2020 The Author(s)","note":"number: 1\npublisher: Nature Publishing Group","page":"285","source":"www.nature.com","title":"A structured open dataset of government interventions in response to COVID-19","volume":"7","author":[{"family":"Desvars-Larrive","given":"Amélie"},{"family":"Dervic","given":"Elma"},{"family":"Haug","given":"Nina"},{"family":"Niederkrotenthaler","given":"Thomas"},{"family":"Chen","given":"Jiaying"},{"family":"Di Natale","given":"Anna"},{"family":"Lasser","given":"Jana"},{"family":"Gliga","given":"Diana S."},{"family":"Roux","given":"Alexandra"},{"family":"Sorger","given":"Johannes"},{"family":"Chakraborty","given":"Abhijit"},{"family":"Ten","given":"Alexandr"},{"family":"Dervic","given":"Alija"},{"family":"Pacheco","given":"Andrea"},{"family":"Jurczak","given":"Ania"},{"family":"Cserjan","given":"David"},{"family":"Lederhilger","given":"Diana"},{"family":"Bulska","given":"Dominika"},{"family":"Berishaj","given":"Dorontinë"},{"family":"Tames","given":"Erwin Flores"},{"family":"Álvarez","given":"Francisco S."},{"family":"Takriti","given":"Huda"},{"family":"Korbel","given":"Jan"},{"family":"Reddish","given":"Jenny"},{"family":"Grzymała-Moszczyńska","given":"Joanna"},{"family":"Stangl","given":"Johannes"},{"family":"Hadziavdic","given":"Lamija"},{"family":"Stoeger","given":"Laura"},{"family":"Gooriah","given":"Leana"},{"family":"Geyrhofer","given":"Lukas"},{"family":"Ferreira","given":"Marcia R."},{"family":"Bartoszek","given":"Marta"},{"family":"Vierlinger","given":"Rainer"},{"family":"Holder","given":"Samantha"},{"family":"Haberfellner","given":"Simon"},{"family":"Ahne","given":"Verena"},{"family":"Reisch","given":"Viktoria"},{"family":"Servedio","given":"Vito D. P."},{"family":"Chen","given":"Xiao"},{"family":"Pocasangre-Orellana","given":"Xochilt María"},{"family":"Garncarek","given":"Zuzanna"},{"family":"Garcia","given":"David"},{"family":"Thurner","given":"Stefan"}],"issued":{"date-parts":[["2020",8,27]]}}}],"schema":"https://github.com/citation-style-language/schema/raw/master/csl-citation.json"} </w:instrText>
      </w:r>
      <w:r w:rsidR="0097798A" w:rsidRPr="006A0823">
        <w:rPr>
          <w:lang w:val="en-GB"/>
        </w:rPr>
        <w:fldChar w:fldCharType="separate"/>
      </w:r>
      <w:r w:rsidR="0097798A" w:rsidRPr="006A0823">
        <w:rPr>
          <w:vertAlign w:val="superscript"/>
        </w:rPr>
        <w:t>22</w:t>
      </w:r>
      <w:r w:rsidR="0097798A" w:rsidRPr="006A0823">
        <w:rPr>
          <w:lang w:val="en-GB"/>
        </w:rPr>
        <w:fldChar w:fldCharType="end"/>
      </w:r>
      <w:r w:rsidR="0097798A" w:rsidRPr="006A0823">
        <w:rPr>
          <w:vertAlign w:val="superscript"/>
          <w:lang w:val="en-GB"/>
        </w:rPr>
        <w:t>,</w:t>
      </w:r>
      <w:r w:rsidR="0097798A" w:rsidRPr="006A0823">
        <w:rPr>
          <w:lang w:val="en-GB"/>
        </w:rPr>
        <w:fldChar w:fldCharType="begin"/>
      </w:r>
      <w:r w:rsidR="0097798A" w:rsidRPr="006A0823">
        <w:rPr>
          <w:lang w:val="en-GB"/>
        </w:rPr>
        <w:instrText xml:space="preserve"> ADDIN ZOTERO_ITEM CSL_CITATION {"citationID":"K97qXKto","properties":{"formattedCitation":"\\super 23\\nosupersub{}","plainCitation":"23","noteIndex":0},"citationItems":[{"id":35718,"uris":["http://zotero.org/groups/2154524/items/6YJIV6P5"],"itemData":{"id":35718,"type":"article-journal","abstract":"CONTEXT: Social distancing is an essential but economically painful measure to flatten the curve of emergent infectious diseases. As the novel coronavirus that causes COVID-19 spread throughout the United States in early 2020, the federal government left to the states the difficult and consequential decisions about when to cancel events, close schools and businesses, and issue stay-at-home orders.\nMETHODS: The authors present an original, detailed dataset of state-level social distancing policy responses to the epidemic; they then apply event history analysis to study the timing of implementation of five social distancing policies across all 50 states.\nRESULTS: The most important predictor of when states adopted social distancing policies is political: all else equal, states led by Republican governors were slower to implement such policies during a critical window of early COVID-19 response.\nCONCLUSIONS: Continuing actions driven by partisanship rather than by public health expertise and scientific recommendations may exact greater tolls on health and broader society.","container-title":"Journal of Health Politics, Policy and Law","DOI":"10.1215/03616878-8802162","ISSN":"1527-1927","issue":"2","journalAbbreviation":"J Health Polit Policy Law","language":"eng","note":"PMID: 32955556","page":"211-233","source":"PubMed","title":"Pandemic Politics: Timing State-Level Social Distancing Responses to COVID-19","title-short":"Pandemic Politics","volume":"46","author":[{"family":"Adolph","given":"Christopher"},{"family":"Amano","given":"Kenya"},{"family":"Bang-Jensen","given":"Bree"},{"family":"Fullman","given":"Nancy"},{"family":"Wilkerson","given":"John"}],"issued":{"date-parts":[["2021",4,1]]}}}],"schema":"https://github.com/citation-style-language/schema/raw/master/csl-citation.json"} </w:instrText>
      </w:r>
      <w:r w:rsidR="0097798A" w:rsidRPr="006A0823">
        <w:rPr>
          <w:lang w:val="en-GB"/>
        </w:rPr>
        <w:fldChar w:fldCharType="separate"/>
      </w:r>
      <w:r w:rsidR="0097798A" w:rsidRPr="006A0823">
        <w:rPr>
          <w:vertAlign w:val="superscript"/>
        </w:rPr>
        <w:t>23</w:t>
      </w:r>
      <w:r w:rsidR="0097798A" w:rsidRPr="006A0823">
        <w:rPr>
          <w:lang w:val="en-GB"/>
        </w:rPr>
        <w:fldChar w:fldCharType="end"/>
      </w:r>
      <w:r w:rsidR="00AE5A69" w:rsidRPr="006A0823">
        <w:rPr>
          <w:lang w:val="en-GB"/>
        </w:rPr>
        <w:t xml:space="preserve"> business</w:t>
      </w:r>
      <w:r w:rsidR="00851DCE" w:rsidRPr="006A0823">
        <w:rPr>
          <w:lang w:val="en-GB"/>
        </w:rPr>
        <w:t>,</w:t>
      </w:r>
      <w:r w:rsidR="00851DCE" w:rsidRPr="006A0823">
        <w:rPr>
          <w:lang w:val="en-GB"/>
        </w:rPr>
        <w:fldChar w:fldCharType="begin"/>
      </w:r>
      <w:r w:rsidR="00851DCE" w:rsidRPr="006A0823">
        <w:rPr>
          <w:lang w:val="en-GB"/>
        </w:rPr>
        <w:instrText xml:space="preserve"> ADDIN ZOTERO_ITEM CSL_CITATION {"citationID":"EcF8Y8Do","properties":{"formattedCitation":"\\super 24\\nosupersub{}","plainCitation":"24","noteIndex":0},"citationItems":[{"id":35721,"uris":["http://zotero.org/groups/2154524/items/BDRBP85N"],"itemData":{"id":35721,"type":"webpage","title":"WNTRAC","URL":"https://ibm.github.io/wntrac/","accessed":{"date-parts":[["2022",6,6]]}}}],"schema":"https://github.com/citation-style-language/schema/raw/master/csl-citation.json"} </w:instrText>
      </w:r>
      <w:r w:rsidR="00851DCE" w:rsidRPr="006A0823">
        <w:rPr>
          <w:lang w:val="en-GB"/>
        </w:rPr>
        <w:fldChar w:fldCharType="separate"/>
      </w:r>
      <w:r w:rsidR="00851DCE" w:rsidRPr="006A0823">
        <w:rPr>
          <w:vertAlign w:val="superscript"/>
        </w:rPr>
        <w:t>24</w:t>
      </w:r>
      <w:r w:rsidR="00851DCE" w:rsidRPr="006A0823">
        <w:rPr>
          <w:lang w:val="en-GB"/>
        </w:rPr>
        <w:fldChar w:fldCharType="end"/>
      </w:r>
      <w:r w:rsidR="00AE5A69" w:rsidRPr="006A0823">
        <w:rPr>
          <w:lang w:val="en-GB"/>
        </w:rPr>
        <w:t xml:space="preserve"> non-governmental organizations</w:t>
      </w:r>
      <w:r w:rsidR="00851DCE" w:rsidRPr="006A0823">
        <w:rPr>
          <w:lang w:val="en-GB"/>
        </w:rPr>
        <w:t>,</w:t>
      </w:r>
      <w:r w:rsidR="00851DCE" w:rsidRPr="006A0823">
        <w:rPr>
          <w:lang w:val="en-GB"/>
        </w:rPr>
        <w:fldChar w:fldCharType="begin"/>
      </w:r>
      <w:r w:rsidR="00851DCE" w:rsidRPr="006A0823">
        <w:rPr>
          <w:lang w:val="en-GB"/>
        </w:rPr>
        <w:instrText xml:space="preserve"> ADDIN ZOTERO_ITEM CSL_CITATION {"citationID":"KI6Q5Dnj","properties":{"formattedCitation":"\\super 25\\nosupersub{}","plainCitation":"25","noteIndex":0},"citationItems":[{"id":35723,"uris":["http://zotero.org/groups/2154524/items/NP25YNVD"],"itemData":{"id":35723,"type":"post-weblog","abstract":"Explore state-level data on a variety of COVID-19 metrics, including the latest hotspots, cases and deaths by race and ethnicity and at long-term care facilities. Find up-to-date information on sta…","container-title":"KFF","language":"en-US","title":"State COVID-19 Data and Policy Actions","URL":"https://www.kff.org/coronavirus-covid-19/issue-brief/state-covid-19-data-and-policy-actions/","author":[{"family":"Feb 10","given":"Published:"},{"literal":"2022"}],"accessed":{"date-parts":[["2022",6,6]]},"issued":{"date-parts":[["2022",2,10]]}}}],"schema":"https://github.com/citation-style-language/schema/raw/master/csl-citation.json"} </w:instrText>
      </w:r>
      <w:r w:rsidR="00851DCE" w:rsidRPr="006A0823">
        <w:rPr>
          <w:lang w:val="en-GB"/>
        </w:rPr>
        <w:fldChar w:fldCharType="separate"/>
      </w:r>
      <w:r w:rsidR="00851DCE" w:rsidRPr="006A0823">
        <w:rPr>
          <w:vertAlign w:val="superscript"/>
        </w:rPr>
        <w:t>25</w:t>
      </w:r>
      <w:r w:rsidR="00851DCE" w:rsidRPr="006A0823">
        <w:rPr>
          <w:lang w:val="en-GB"/>
        </w:rPr>
        <w:fldChar w:fldCharType="end"/>
      </w:r>
      <w:r w:rsidR="00D35163" w:rsidRPr="006A0823">
        <w:rPr>
          <w:lang w:val="en-GB"/>
        </w:rPr>
        <w:t xml:space="preserve"> legal documentation hubs, and news outlets. Our mandate classification system emphasized two key aspects of social distancing mandates (</w:t>
      </w:r>
      <w:proofErr w:type="spellStart"/>
      <w:r w:rsidR="00D35163" w:rsidRPr="006A0823">
        <w:rPr>
          <w:lang w:val="en-GB"/>
        </w:rPr>
        <w:t>i</w:t>
      </w:r>
      <w:proofErr w:type="spellEnd"/>
      <w:r w:rsidR="00D35163" w:rsidRPr="006A0823">
        <w:rPr>
          <w:lang w:val="en-GB"/>
        </w:rPr>
        <w:t xml:space="preserve">) policies that map to specific venues or populations i.e., closures of establishments for </w:t>
      </w:r>
      <w:r w:rsidR="00851DCE" w:rsidRPr="006A0823">
        <w:rPr>
          <w:lang w:val="en-GB"/>
        </w:rPr>
        <w:t>indoor</w:t>
      </w:r>
      <w:r w:rsidR="00D35163" w:rsidRPr="006A0823">
        <w:rPr>
          <w:lang w:val="en-GB"/>
        </w:rPr>
        <w:t xml:space="preserve"> dining, as opposed to general mandates such as “business restrictions” and (ii) policies that are binary in their hypothesized impact on the potential for transmission rather than a lessened effect i.e., we emphasize complete closures of non-essential retail, rather than partial capacity limits</w:t>
      </w:r>
      <w:r w:rsidR="00015090" w:rsidRPr="006A0823">
        <w:rPr>
          <w:lang w:val="en-GB"/>
        </w:rPr>
        <w:t xml:space="preserve">. </w:t>
      </w:r>
    </w:p>
    <w:p w14:paraId="1C134876" w14:textId="7130EDB0" w:rsidR="00C47C4F" w:rsidRPr="006A0823" w:rsidRDefault="008909E7" w:rsidP="008909E7">
      <w:pPr>
        <w:pStyle w:val="Heading3"/>
        <w:rPr>
          <w:shd w:val="clear" w:color="auto" w:fill="FFFFFF"/>
        </w:rPr>
      </w:pPr>
      <w:bookmarkStart w:id="216" w:name="_Toc124499491"/>
      <w:r w:rsidRPr="006A0823">
        <w:rPr>
          <w:shd w:val="clear" w:color="auto" w:fill="FFFFFF"/>
        </w:rPr>
        <w:t>Detailed mandate descriptions</w:t>
      </w:r>
      <w:bookmarkEnd w:id="216"/>
    </w:p>
    <w:p w14:paraId="6F820A6F" w14:textId="68D30A4B" w:rsidR="00A2548D" w:rsidRPr="006A0823" w:rsidRDefault="1C7B4909" w:rsidP="00A2548D">
      <w:pPr>
        <w:spacing w:after="0" w:line="240" w:lineRule="auto"/>
        <w:textAlignment w:val="baseline"/>
        <w:rPr>
          <w:rFonts w:ascii="Segoe UI" w:eastAsia="Times New Roman" w:hAnsi="Segoe UI" w:cs="Segoe UI"/>
          <w:sz w:val="18"/>
          <w:szCs w:val="18"/>
        </w:rPr>
      </w:pPr>
      <w:r w:rsidRPr="006A0823">
        <w:rPr>
          <w:rFonts w:eastAsia="Times New Roman"/>
        </w:rPr>
        <w:t xml:space="preserve">In many circumstances, closures and </w:t>
      </w:r>
      <w:proofErr w:type="spellStart"/>
      <w:r w:rsidRPr="006A0823">
        <w:rPr>
          <w:rFonts w:eastAsia="Times New Roman"/>
        </w:rPr>
        <w:t>reopenings</w:t>
      </w:r>
      <w:proofErr w:type="spellEnd"/>
      <w:r w:rsidRPr="006A0823">
        <w:rPr>
          <w:rFonts w:eastAsia="Times New Roman"/>
        </w:rPr>
        <w:t xml:space="preserve"> were staggered, or partial for the entire sector we have outlined. This could be due to portions of the affected groups being included (</w:t>
      </w:r>
      <w:r w:rsidR="20D8B405" w:rsidRPr="006A0823">
        <w:rPr>
          <w:rFonts w:eastAsia="Times New Roman"/>
        </w:rPr>
        <w:t>e.g.</w:t>
      </w:r>
      <w:r w:rsidRPr="006A0823">
        <w:rPr>
          <w:rFonts w:eastAsia="Times New Roman"/>
        </w:rPr>
        <w:t xml:space="preserve">, </w:t>
      </w:r>
      <w:r w:rsidR="1EA0BA00" w:rsidRPr="006A0823">
        <w:rPr>
          <w:rFonts w:eastAsia="Times New Roman"/>
        </w:rPr>
        <w:t xml:space="preserve">school </w:t>
      </w:r>
      <w:r w:rsidRPr="006A0823">
        <w:rPr>
          <w:rFonts w:eastAsia="Times New Roman"/>
        </w:rPr>
        <w:t>Grades 1 and 2 remained remote, but grades 3-6 were in-person) or due to geographic variations within the countries considered (</w:t>
      </w:r>
      <w:r w:rsidR="38C72EA8" w:rsidRPr="006A0823">
        <w:rPr>
          <w:rFonts w:eastAsia="Times New Roman"/>
        </w:rPr>
        <w:t>e.g.,</w:t>
      </w:r>
      <w:r w:rsidRPr="006A0823">
        <w:rPr>
          <w:rFonts w:eastAsia="Times New Roman"/>
        </w:rPr>
        <w:t xml:space="preserve"> specific counties within a state having local closures in the absence of a state-wide requirement). Whenever this </w:t>
      </w:r>
      <w:r w:rsidR="27EBD0B8" w:rsidRPr="006A0823">
        <w:rPr>
          <w:rFonts w:eastAsia="Times New Roman"/>
        </w:rPr>
        <w:t>was</w:t>
      </w:r>
      <w:r w:rsidRPr="006A0823">
        <w:rPr>
          <w:rFonts w:eastAsia="Times New Roman"/>
        </w:rPr>
        <w:t xml:space="preserve"> the case, given our desire to characterize the intent of the mandate, we utilized a fuzzy majority rule in determining whether the mandate was, or was not, still in place. This either was </w:t>
      </w:r>
      <w:r w:rsidR="0C891DFA" w:rsidRPr="006A0823">
        <w:rPr>
          <w:rFonts w:eastAsia="Times New Roman"/>
        </w:rPr>
        <w:t>when most</w:t>
      </w:r>
      <w:r w:rsidRPr="006A0823">
        <w:rPr>
          <w:rFonts w:eastAsia="Times New Roman"/>
        </w:rPr>
        <w:t xml:space="preserve"> of </w:t>
      </w:r>
      <w:r w:rsidR="08619675" w:rsidRPr="006A0823">
        <w:rPr>
          <w:rFonts w:eastAsia="Times New Roman"/>
        </w:rPr>
        <w:t xml:space="preserve">the </w:t>
      </w:r>
      <w:r w:rsidRPr="006A0823">
        <w:rPr>
          <w:rFonts w:eastAsia="Times New Roman"/>
        </w:rPr>
        <w:t>subunits were affected (</w:t>
      </w:r>
      <w:r w:rsidR="05766311" w:rsidRPr="006A0823">
        <w:rPr>
          <w:rFonts w:eastAsia="Times New Roman"/>
        </w:rPr>
        <w:t>e.g.,</w:t>
      </w:r>
      <w:r w:rsidRPr="006A0823">
        <w:rPr>
          <w:rFonts w:eastAsia="Times New Roman"/>
        </w:rPr>
        <w:t xml:space="preserve"> four of six school grades </w:t>
      </w:r>
      <w:r w:rsidR="3900C3CE" w:rsidRPr="006A0823">
        <w:rPr>
          <w:rFonts w:eastAsia="Times New Roman"/>
        </w:rPr>
        <w:t>constitute</w:t>
      </w:r>
      <w:r w:rsidRPr="006A0823">
        <w:rPr>
          <w:rFonts w:eastAsia="Times New Roman"/>
        </w:rPr>
        <w:t xml:space="preserve"> a majority), where </w:t>
      </w:r>
      <w:r w:rsidR="428E38EE" w:rsidRPr="006A0823">
        <w:rPr>
          <w:rFonts w:eastAsia="Times New Roman"/>
        </w:rPr>
        <w:t>most</w:t>
      </w:r>
      <w:r w:rsidRPr="006A0823">
        <w:rPr>
          <w:rFonts w:eastAsia="Times New Roman"/>
        </w:rPr>
        <w:t xml:space="preserve"> of geographic units (</w:t>
      </w:r>
      <w:r w:rsidR="7AB34686" w:rsidRPr="006A0823">
        <w:rPr>
          <w:rFonts w:eastAsia="Times New Roman"/>
        </w:rPr>
        <w:t>e.g.,</w:t>
      </w:r>
      <w:r w:rsidRPr="006A0823">
        <w:rPr>
          <w:rFonts w:eastAsia="Times New Roman"/>
        </w:rPr>
        <w:t xml:space="preserve"> counties within a state) were affected, or it was clear that only a specific subset were outliers (</w:t>
      </w:r>
      <w:r w:rsidR="385A9B8C" w:rsidRPr="006A0823">
        <w:rPr>
          <w:rFonts w:eastAsia="Times New Roman"/>
        </w:rPr>
        <w:t>e.g.,</w:t>
      </w:r>
      <w:r w:rsidRPr="006A0823">
        <w:rPr>
          <w:rFonts w:eastAsia="Times New Roman"/>
        </w:rPr>
        <w:t xml:space="preserve"> bookstores were reopened, but all other retail remained closed). Where population tallies were made available, these were used to determine a majority. </w:t>
      </w:r>
    </w:p>
    <w:p w14:paraId="6AD735D7" w14:textId="77777777"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rPr>
        <w:t>The following mandates were tracked, with accompanying definitions below. They are collated by sector. </w:t>
      </w:r>
    </w:p>
    <w:p w14:paraId="0D0C9122" w14:textId="77777777" w:rsidR="00357954" w:rsidRPr="006A0823" w:rsidRDefault="00357954" w:rsidP="00146AC0"/>
    <w:p w14:paraId="5D395A23" w14:textId="2780A37C" w:rsidR="00A2548D" w:rsidRPr="006A0823" w:rsidRDefault="00A2548D" w:rsidP="00146AC0">
      <w:pPr>
        <w:rPr>
          <w:b/>
        </w:rPr>
      </w:pPr>
      <w:r w:rsidRPr="006A0823">
        <w:rPr>
          <w:b/>
        </w:rPr>
        <w:t>Education </w:t>
      </w:r>
    </w:p>
    <w:p w14:paraId="7C43D33E" w14:textId="77777777" w:rsidR="00A2548D" w:rsidRPr="006A0823" w:rsidRDefault="00A2548D" w:rsidP="00A2548D">
      <w:pPr>
        <w:spacing w:after="0" w:line="240" w:lineRule="auto"/>
        <w:textAlignment w:val="baseline"/>
        <w:rPr>
          <w:rFonts w:eastAsia="Times New Roman"/>
        </w:rPr>
      </w:pPr>
      <w:r w:rsidRPr="006A0823">
        <w:rPr>
          <w:rFonts w:eastAsia="Times New Roman"/>
        </w:rPr>
        <w:t>Educational institutions have been subject to various mandates during the pandemic. Circumstances where schools served as essential services, such as in providing childcare support for essential workers, or in continuing lunch service for local communities were excluded.  </w:t>
      </w:r>
    </w:p>
    <w:p w14:paraId="3D08DDE0" w14:textId="77777777" w:rsidR="00EE3098" w:rsidRPr="006A0823" w:rsidRDefault="00EE3098" w:rsidP="00A2548D">
      <w:pPr>
        <w:spacing w:after="0" w:line="240" w:lineRule="auto"/>
        <w:textAlignment w:val="baseline"/>
        <w:rPr>
          <w:rFonts w:ascii="Segoe UI" w:eastAsia="Times New Roman" w:hAnsi="Segoe UI" w:cs="Segoe UI"/>
          <w:sz w:val="18"/>
          <w:szCs w:val="18"/>
        </w:rPr>
      </w:pPr>
    </w:p>
    <w:p w14:paraId="510BEC41" w14:textId="09307676"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rPr>
        <w:t>Primary education</w:t>
      </w:r>
      <w:r w:rsidRPr="006A0823">
        <w:rPr>
          <w:rFonts w:eastAsia="Times New Roman"/>
        </w:rPr>
        <w:t xml:space="preserve"> – no in-person classroom activities </w:t>
      </w:r>
      <w:r w:rsidR="00B377A8" w:rsidRPr="006A0823">
        <w:rPr>
          <w:rFonts w:eastAsia="Times New Roman"/>
        </w:rPr>
        <w:t>for primary schools, grades 1-6.</w:t>
      </w:r>
    </w:p>
    <w:p w14:paraId="517367D5" w14:textId="5A4C556F"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rPr>
        <w:t xml:space="preserve">Secondary education </w:t>
      </w:r>
      <w:r w:rsidRPr="006A0823">
        <w:rPr>
          <w:rFonts w:eastAsia="Times New Roman"/>
        </w:rPr>
        <w:t xml:space="preserve">– no in-person classroom activities for secondary </w:t>
      </w:r>
      <w:r w:rsidR="00B377A8" w:rsidRPr="006A0823">
        <w:rPr>
          <w:rFonts w:eastAsia="Times New Roman"/>
        </w:rPr>
        <w:t>schools, grades 7-12.</w:t>
      </w:r>
    </w:p>
    <w:p w14:paraId="536337A3" w14:textId="67BDF864" w:rsidR="00A2548D" w:rsidRPr="006A0823" w:rsidRDefault="00A2548D" w:rsidP="00A2548D">
      <w:pPr>
        <w:spacing w:after="0" w:line="240" w:lineRule="auto"/>
        <w:textAlignment w:val="baseline"/>
        <w:rPr>
          <w:rFonts w:eastAsia="Times New Roman"/>
        </w:rPr>
      </w:pPr>
      <w:r w:rsidRPr="006A0823">
        <w:rPr>
          <w:rFonts w:eastAsia="Times New Roman"/>
          <w:i/>
          <w:iCs/>
        </w:rPr>
        <w:t>Higher education</w:t>
      </w:r>
      <w:r w:rsidRPr="006A0823">
        <w:rPr>
          <w:rFonts w:eastAsia="Times New Roman"/>
        </w:rPr>
        <w:t xml:space="preserve"> – no in-person classroom activities for </w:t>
      </w:r>
      <w:r w:rsidR="00B377A8" w:rsidRPr="006A0823">
        <w:rPr>
          <w:rFonts w:eastAsia="Times New Roman"/>
        </w:rPr>
        <w:t>higher education institutions.</w:t>
      </w:r>
    </w:p>
    <w:p w14:paraId="23DCC515" w14:textId="77777777" w:rsidR="00357954" w:rsidRPr="006A0823" w:rsidRDefault="00357954" w:rsidP="00A2548D">
      <w:pPr>
        <w:spacing w:after="0" w:line="240" w:lineRule="auto"/>
        <w:textAlignment w:val="baseline"/>
        <w:rPr>
          <w:rFonts w:ascii="Segoe UI" w:eastAsia="Times New Roman" w:hAnsi="Segoe UI" w:cs="Segoe UI"/>
          <w:sz w:val="18"/>
          <w:szCs w:val="18"/>
        </w:rPr>
      </w:pPr>
    </w:p>
    <w:p w14:paraId="205A3937" w14:textId="77777777" w:rsidR="00A2548D" w:rsidRPr="006A0823" w:rsidRDefault="00A2548D" w:rsidP="00357954">
      <w:pPr>
        <w:rPr>
          <w:b/>
        </w:rPr>
      </w:pPr>
      <w:r w:rsidRPr="006A0823">
        <w:rPr>
          <w:b/>
        </w:rPr>
        <w:t>Travel </w:t>
      </w:r>
    </w:p>
    <w:p w14:paraId="4051B405" w14:textId="77777777" w:rsidR="00A2548D" w:rsidRPr="006A0823" w:rsidRDefault="00A2548D" w:rsidP="00A2548D">
      <w:pPr>
        <w:spacing w:after="0" w:line="240" w:lineRule="auto"/>
        <w:textAlignment w:val="baseline"/>
        <w:rPr>
          <w:rFonts w:eastAsia="Times New Roman"/>
        </w:rPr>
      </w:pPr>
      <w:r w:rsidRPr="006A0823">
        <w:rPr>
          <w:rFonts w:eastAsia="Times New Roman"/>
        </w:rPr>
        <w:t>Entry restrictions included obligations to quarantine or abide by testing regulations prior to entry </w:t>
      </w:r>
    </w:p>
    <w:p w14:paraId="6FBC7555" w14:textId="77777777" w:rsidR="00EE3098" w:rsidRPr="006A0823" w:rsidRDefault="00EE3098" w:rsidP="00A2548D">
      <w:pPr>
        <w:spacing w:after="0" w:line="240" w:lineRule="auto"/>
        <w:textAlignment w:val="baseline"/>
        <w:rPr>
          <w:rFonts w:ascii="Segoe UI" w:eastAsia="Times New Roman" w:hAnsi="Segoe UI" w:cs="Segoe UI"/>
          <w:sz w:val="18"/>
          <w:szCs w:val="18"/>
        </w:rPr>
      </w:pPr>
    </w:p>
    <w:p w14:paraId="1973F0C5" w14:textId="67A8729B"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rPr>
        <w:t>Borders closed to any</w:t>
      </w:r>
      <w:r w:rsidRPr="006A0823">
        <w:rPr>
          <w:rFonts w:eastAsia="Times New Roman"/>
        </w:rPr>
        <w:t xml:space="preserve"> – entry restrictions imposed on any non-resident citizen group (mostly based upon nationality</w:t>
      </w:r>
      <w:r w:rsidR="00B377A8" w:rsidRPr="006A0823">
        <w:rPr>
          <w:rFonts w:eastAsia="Times New Roman"/>
        </w:rPr>
        <w:t>).</w:t>
      </w:r>
    </w:p>
    <w:p w14:paraId="0FE87DF3" w14:textId="2AA5B341"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rPr>
        <w:t>Borders closed to all</w:t>
      </w:r>
      <w:r w:rsidRPr="006A0823">
        <w:rPr>
          <w:rFonts w:eastAsia="Times New Roman"/>
        </w:rPr>
        <w:t xml:space="preserve"> – entry restrictions impos</w:t>
      </w:r>
      <w:r w:rsidR="00B377A8" w:rsidRPr="006A0823">
        <w:rPr>
          <w:rFonts w:eastAsia="Times New Roman"/>
        </w:rPr>
        <w:t>ed on all non-resident citizens.</w:t>
      </w:r>
    </w:p>
    <w:p w14:paraId="27274C8C" w14:textId="03088A0A" w:rsidR="00357954" w:rsidRPr="006A0823" w:rsidRDefault="00A2548D" w:rsidP="00A2548D">
      <w:pPr>
        <w:spacing w:after="0" w:line="240" w:lineRule="auto"/>
        <w:textAlignment w:val="baseline"/>
        <w:rPr>
          <w:rFonts w:eastAsia="Times New Roman"/>
        </w:rPr>
      </w:pPr>
      <w:r w:rsidRPr="006A0823">
        <w:rPr>
          <w:rFonts w:eastAsia="Times New Roman"/>
          <w:i/>
          <w:iCs/>
        </w:rPr>
        <w:t>Local travel restrictions</w:t>
      </w:r>
      <w:r w:rsidRPr="006A0823">
        <w:rPr>
          <w:rFonts w:eastAsia="Times New Roman"/>
        </w:rPr>
        <w:t xml:space="preserve"> – citizens require specific permissions to travel beyond approximately 5km of their place of residence</w:t>
      </w:r>
      <w:r w:rsidR="00B377A8" w:rsidRPr="006A0823">
        <w:rPr>
          <w:rFonts w:eastAsia="Times New Roman"/>
        </w:rPr>
        <w:t>.</w:t>
      </w:r>
    </w:p>
    <w:p w14:paraId="65349896" w14:textId="5C7F9FEE"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rPr>
        <w:t>   </w:t>
      </w:r>
    </w:p>
    <w:p w14:paraId="2DCE8D02" w14:textId="77777777" w:rsidR="00A2548D" w:rsidRPr="006A0823" w:rsidRDefault="00A2548D" w:rsidP="00357954">
      <w:pPr>
        <w:rPr>
          <w:b/>
        </w:rPr>
      </w:pPr>
      <w:r w:rsidRPr="006A0823">
        <w:rPr>
          <w:b/>
        </w:rPr>
        <w:t>Gathering Restrictions </w:t>
      </w:r>
    </w:p>
    <w:p w14:paraId="078035A2" w14:textId="21F7C784" w:rsidR="00A2548D" w:rsidRPr="006A0823" w:rsidRDefault="00A2548D" w:rsidP="00A2548D">
      <w:pPr>
        <w:spacing w:after="0" w:line="240" w:lineRule="auto"/>
        <w:textAlignment w:val="baseline"/>
        <w:rPr>
          <w:rFonts w:eastAsia="Times New Roman"/>
          <w:color w:val="000000"/>
        </w:rPr>
      </w:pPr>
      <w:r w:rsidRPr="006A0823">
        <w:rPr>
          <w:rFonts w:eastAsia="Times New Roman"/>
        </w:rPr>
        <w:t xml:space="preserve">All gathering restrictions reference a specific threshold for which indoor and outdoor gatherings must not be greater than. The emphasis in these mandates is with respect to private gatherings. To be within a given tier, both of the two </w:t>
      </w:r>
      <w:r w:rsidRPr="006A0823">
        <w:rPr>
          <w:rFonts w:eastAsia="Times New Roman"/>
        </w:rPr>
        <w:lastRenderedPageBreak/>
        <w:t>conditions must be satisfied. If a given tier of gathering restriction is in place, so too are all less stringent tiers. When a stay-at-home order is in place, so too are all tiers of gathering restriction. </w:t>
      </w:r>
      <w:r w:rsidRPr="006A0823">
        <w:rPr>
          <w:rFonts w:eastAsia="Times New Roman"/>
          <w:color w:val="000000"/>
          <w:lang w:val="en-GB"/>
        </w:rPr>
        <w:t>The following combinations were tracked, in order from most stringent, to least:</w:t>
      </w:r>
      <w:r w:rsidRPr="006A0823">
        <w:rPr>
          <w:rFonts w:eastAsia="Times New Roman"/>
          <w:color w:val="000000"/>
        </w:rPr>
        <w:t> </w:t>
      </w:r>
    </w:p>
    <w:p w14:paraId="59145866" w14:textId="77777777" w:rsidR="00E45236" w:rsidRPr="006A0823" w:rsidRDefault="00E45236" w:rsidP="00A2548D">
      <w:pPr>
        <w:spacing w:after="0" w:line="240" w:lineRule="auto"/>
        <w:textAlignment w:val="baseline"/>
        <w:rPr>
          <w:rFonts w:eastAsia="Times New Roman"/>
          <w:color w:val="000000"/>
        </w:rPr>
      </w:pPr>
    </w:p>
    <w:p w14:paraId="73DC940A" w14:textId="77777777" w:rsidR="00E45236" w:rsidRPr="006A0823" w:rsidRDefault="00263854" w:rsidP="00EE3098">
      <w:pPr>
        <w:rPr>
          <w:rFonts w:eastAsia="Times New Roman"/>
          <w:color w:val="000000"/>
        </w:rPr>
      </w:pPr>
      <w:r w:rsidRPr="006A0823">
        <w:rPr>
          <w:i/>
        </w:rPr>
        <w:t xml:space="preserve">Tier 1 gathering restrictions </w:t>
      </w:r>
      <w:r w:rsidRPr="006A0823">
        <w:t xml:space="preserve">– Indoor gathering limited </w:t>
      </w:r>
      <w:r w:rsidR="00B377A8" w:rsidRPr="006A0823">
        <w:t>to 6 persons, outdoor gatherings limited to 10 persons.</w:t>
      </w:r>
      <w:r w:rsidR="00EB6B9E" w:rsidRPr="006A0823">
        <w:br/>
      </w:r>
      <w:r w:rsidR="00EB6B9E" w:rsidRPr="006A0823">
        <w:rPr>
          <w:i/>
        </w:rPr>
        <w:t xml:space="preserve">Tier 2 gathering restrictions </w:t>
      </w:r>
      <w:r w:rsidR="00EB6B9E" w:rsidRPr="006A0823">
        <w:t>– Indoor gathering limited to 10 persons, outdoor gatherings limited to 25 persons.</w:t>
      </w:r>
      <w:r w:rsidR="00EB6B9E" w:rsidRPr="006A0823">
        <w:br/>
      </w:r>
      <w:r w:rsidR="00EB6B9E" w:rsidRPr="006A0823">
        <w:rPr>
          <w:i/>
        </w:rPr>
        <w:t xml:space="preserve">Tier 3 gathering restrictions </w:t>
      </w:r>
      <w:r w:rsidR="00EB6B9E" w:rsidRPr="006A0823">
        <w:t>– Indoor gathering limited to 25 persons, outdoor gatherings limited to 50 persons.</w:t>
      </w:r>
      <w:r w:rsidR="00EB6B9E" w:rsidRPr="006A0823">
        <w:br/>
      </w:r>
      <w:r w:rsidR="00EB6B9E" w:rsidRPr="006A0823">
        <w:rPr>
          <w:i/>
        </w:rPr>
        <w:t xml:space="preserve">Tier 4 gathering restrictions </w:t>
      </w:r>
      <w:r w:rsidR="00EB6B9E" w:rsidRPr="006A0823">
        <w:t>– Indoor gathering limited to 50 persons, outdoor gatherings limited to 100 persons.</w:t>
      </w:r>
      <w:r w:rsidR="00EB6B9E" w:rsidRPr="006A0823">
        <w:br/>
      </w:r>
      <w:r w:rsidR="00EB6B9E" w:rsidRPr="006A0823">
        <w:rPr>
          <w:i/>
        </w:rPr>
        <w:t xml:space="preserve">Tier 5 gathering restrictions </w:t>
      </w:r>
      <w:r w:rsidR="00EB6B9E" w:rsidRPr="006A0823">
        <w:t>– Indoor gathering limited to 100 persons, outdoor gatherings limited to 250 persons.</w:t>
      </w:r>
      <w:r w:rsidR="00EE3098" w:rsidRPr="006A0823">
        <w:br/>
      </w:r>
    </w:p>
    <w:p w14:paraId="29E076E2" w14:textId="568628EB" w:rsidR="00A2548D" w:rsidRPr="006A0823" w:rsidRDefault="00A2548D" w:rsidP="00EE3098">
      <w:pPr>
        <w:rPr>
          <w:rFonts w:ascii="Segoe UI" w:eastAsia="Times New Roman" w:hAnsi="Segoe UI" w:cs="Segoe UI"/>
          <w:sz w:val="18"/>
          <w:szCs w:val="18"/>
        </w:rPr>
      </w:pPr>
      <w:r w:rsidRPr="006A0823">
        <w:rPr>
          <w:rFonts w:eastAsia="Times New Roman"/>
          <w:color w:val="000000"/>
        </w:rPr>
        <w:t>In addition, a non-</w:t>
      </w:r>
      <w:proofErr w:type="spellStart"/>
      <w:r w:rsidRPr="006A0823">
        <w:rPr>
          <w:rFonts w:eastAsia="Times New Roman"/>
          <w:color w:val="000000"/>
        </w:rPr>
        <w:t>thresholded</w:t>
      </w:r>
      <w:proofErr w:type="spellEnd"/>
      <w:r w:rsidRPr="006A0823">
        <w:rPr>
          <w:rFonts w:eastAsia="Times New Roman"/>
          <w:color w:val="000000"/>
        </w:rPr>
        <w:t xml:space="preserve"> “Any Gathering Restriction” was tracked. </w:t>
      </w:r>
    </w:p>
    <w:p w14:paraId="233D8802" w14:textId="77777777" w:rsidR="00A2548D" w:rsidRPr="006A0823" w:rsidRDefault="00A2548D" w:rsidP="00EE3098">
      <w:pPr>
        <w:rPr>
          <w:b/>
        </w:rPr>
      </w:pPr>
      <w:r w:rsidRPr="006A0823">
        <w:rPr>
          <w:b/>
        </w:rPr>
        <w:t>Stay-at-home orders </w:t>
      </w:r>
    </w:p>
    <w:p w14:paraId="0A976848" w14:textId="4443E897" w:rsidR="00A2548D" w:rsidRPr="006A0823" w:rsidRDefault="1C7B4909" w:rsidP="00A2548D">
      <w:pPr>
        <w:spacing w:after="0" w:line="240" w:lineRule="auto"/>
        <w:textAlignment w:val="baseline"/>
        <w:rPr>
          <w:rFonts w:ascii="Segoe UI" w:eastAsia="Times New Roman" w:hAnsi="Segoe UI" w:cs="Segoe UI"/>
          <w:sz w:val="18"/>
          <w:szCs w:val="18"/>
        </w:rPr>
      </w:pPr>
      <w:r w:rsidRPr="006A0823">
        <w:rPr>
          <w:rFonts w:eastAsia="Times New Roman"/>
          <w:i/>
          <w:iCs/>
          <w:color w:val="000000" w:themeColor="text1"/>
        </w:rPr>
        <w:t>Stay</w:t>
      </w:r>
      <w:r w:rsidR="27C32E29" w:rsidRPr="006A0823">
        <w:rPr>
          <w:rFonts w:eastAsia="Times New Roman"/>
          <w:i/>
          <w:iCs/>
          <w:color w:val="000000" w:themeColor="text1"/>
        </w:rPr>
        <w:t>-</w:t>
      </w:r>
      <w:r w:rsidRPr="006A0823">
        <w:rPr>
          <w:rFonts w:eastAsia="Times New Roman"/>
          <w:i/>
          <w:iCs/>
          <w:color w:val="000000" w:themeColor="text1"/>
        </w:rPr>
        <w:t>at</w:t>
      </w:r>
      <w:r w:rsidR="7A35661B" w:rsidRPr="006A0823">
        <w:rPr>
          <w:rFonts w:eastAsia="Times New Roman"/>
          <w:i/>
          <w:iCs/>
          <w:color w:val="000000" w:themeColor="text1"/>
        </w:rPr>
        <w:t>-</w:t>
      </w:r>
      <w:r w:rsidRPr="006A0823">
        <w:rPr>
          <w:rFonts w:eastAsia="Times New Roman"/>
          <w:i/>
          <w:iCs/>
          <w:color w:val="000000" w:themeColor="text1"/>
        </w:rPr>
        <w:t>home order</w:t>
      </w:r>
      <w:r w:rsidRPr="006A0823">
        <w:rPr>
          <w:rFonts w:eastAsia="Times New Roman"/>
          <w:color w:val="000000" w:themeColor="text1"/>
        </w:rPr>
        <w:t xml:space="preserve"> – there is a mandate requiring all citizens to stay-at-home unless u</w:t>
      </w:r>
      <w:r w:rsidR="5C65BCDD" w:rsidRPr="006A0823">
        <w:rPr>
          <w:rFonts w:eastAsia="Times New Roman"/>
          <w:color w:val="000000" w:themeColor="text1"/>
        </w:rPr>
        <w:t>ndertaking essential activities.</w:t>
      </w:r>
    </w:p>
    <w:p w14:paraId="6D88446E" w14:textId="78A6E960" w:rsidR="00A2548D" w:rsidRPr="006A0823" w:rsidRDefault="1C7B4909" w:rsidP="00A2548D">
      <w:pPr>
        <w:spacing w:after="0" w:line="240" w:lineRule="auto"/>
        <w:textAlignment w:val="baseline"/>
        <w:rPr>
          <w:rFonts w:eastAsia="Times New Roman"/>
          <w:color w:val="000000"/>
        </w:rPr>
      </w:pPr>
      <w:r w:rsidRPr="006A0823">
        <w:rPr>
          <w:rFonts w:eastAsia="Times New Roman"/>
          <w:i/>
          <w:iCs/>
          <w:color w:val="000000" w:themeColor="text1"/>
        </w:rPr>
        <w:t>Stay</w:t>
      </w:r>
      <w:r w:rsidR="40A72D9B" w:rsidRPr="006A0823">
        <w:rPr>
          <w:rFonts w:eastAsia="Times New Roman"/>
          <w:i/>
          <w:iCs/>
          <w:color w:val="000000" w:themeColor="text1"/>
        </w:rPr>
        <w:t>-</w:t>
      </w:r>
      <w:r w:rsidRPr="006A0823">
        <w:rPr>
          <w:rFonts w:eastAsia="Times New Roman"/>
          <w:i/>
          <w:iCs/>
          <w:color w:val="000000" w:themeColor="text1"/>
        </w:rPr>
        <w:t>at</w:t>
      </w:r>
      <w:r w:rsidR="64DB3682" w:rsidRPr="006A0823">
        <w:rPr>
          <w:rFonts w:eastAsia="Times New Roman"/>
          <w:i/>
          <w:iCs/>
          <w:color w:val="000000" w:themeColor="text1"/>
        </w:rPr>
        <w:t>-</w:t>
      </w:r>
      <w:r w:rsidRPr="006A0823">
        <w:rPr>
          <w:rFonts w:eastAsia="Times New Roman"/>
          <w:i/>
          <w:iCs/>
          <w:color w:val="000000" w:themeColor="text1"/>
        </w:rPr>
        <w:t>home order with legal penalty</w:t>
      </w:r>
      <w:r w:rsidRPr="006A0823">
        <w:rPr>
          <w:rFonts w:eastAsia="Times New Roman"/>
          <w:color w:val="000000" w:themeColor="text1"/>
        </w:rPr>
        <w:t xml:space="preserve"> – there is an accompanying penalty (including financial penalties or imprisonment) for non-compliance with the </w:t>
      </w:r>
      <w:r w:rsidR="6DE019F0" w:rsidRPr="006A0823">
        <w:rPr>
          <w:rFonts w:eastAsia="Times New Roman"/>
          <w:color w:val="000000" w:themeColor="text1"/>
        </w:rPr>
        <w:t>stay-at-home</w:t>
      </w:r>
      <w:r w:rsidRPr="006A0823">
        <w:rPr>
          <w:rFonts w:eastAsia="Times New Roman"/>
          <w:color w:val="000000" w:themeColor="text1"/>
        </w:rPr>
        <w:t xml:space="preserve"> orde</w:t>
      </w:r>
      <w:r w:rsidR="5C65BCDD" w:rsidRPr="006A0823">
        <w:rPr>
          <w:rFonts w:eastAsia="Times New Roman"/>
          <w:color w:val="000000" w:themeColor="text1"/>
        </w:rPr>
        <w:t>r.</w:t>
      </w:r>
    </w:p>
    <w:p w14:paraId="527222D9" w14:textId="77777777" w:rsidR="00EE3098" w:rsidRPr="006A0823" w:rsidRDefault="00EE3098" w:rsidP="00A2548D">
      <w:pPr>
        <w:spacing w:after="0" w:line="240" w:lineRule="auto"/>
        <w:textAlignment w:val="baseline"/>
        <w:rPr>
          <w:rFonts w:ascii="Segoe UI" w:eastAsia="Times New Roman" w:hAnsi="Segoe UI" w:cs="Segoe UI"/>
          <w:sz w:val="18"/>
          <w:szCs w:val="18"/>
        </w:rPr>
      </w:pPr>
    </w:p>
    <w:p w14:paraId="1FB62B98" w14:textId="77777777" w:rsidR="00A2548D" w:rsidRPr="006A0823" w:rsidRDefault="00A2548D" w:rsidP="00EE3098">
      <w:pPr>
        <w:rPr>
          <w:b/>
        </w:rPr>
      </w:pPr>
      <w:r w:rsidRPr="006A0823">
        <w:rPr>
          <w:b/>
        </w:rPr>
        <w:t>Businesses </w:t>
      </w:r>
    </w:p>
    <w:p w14:paraId="3803E443" w14:textId="421C0A32" w:rsidR="00A2548D" w:rsidRPr="006A0823" w:rsidRDefault="1C7B4909" w:rsidP="00A2548D">
      <w:pPr>
        <w:spacing w:after="0" w:line="240" w:lineRule="auto"/>
        <w:textAlignment w:val="baseline"/>
        <w:rPr>
          <w:rFonts w:eastAsia="Times New Roman"/>
          <w:color w:val="000000"/>
        </w:rPr>
      </w:pPr>
      <w:r w:rsidRPr="006A0823">
        <w:rPr>
          <w:rFonts w:eastAsia="Times New Roman"/>
          <w:color w:val="000000" w:themeColor="text1"/>
          <w:lang w:val="en-GB"/>
        </w:rPr>
        <w:t xml:space="preserve">“Non-essential” references local definitions rather than a universal global standard, due to the difficulties in cataloguing exhaustive lists. </w:t>
      </w:r>
      <w:r w:rsidR="09EF3713" w:rsidRPr="006A0823">
        <w:rPr>
          <w:rFonts w:eastAsia="Times New Roman"/>
          <w:color w:val="000000" w:themeColor="text1"/>
          <w:lang w:val="en-GB"/>
        </w:rPr>
        <w:t>Most</w:t>
      </w:r>
      <w:r w:rsidRPr="006A0823">
        <w:rPr>
          <w:rFonts w:eastAsia="Times New Roman"/>
          <w:color w:val="000000" w:themeColor="text1"/>
          <w:lang w:val="en-GB"/>
        </w:rPr>
        <w:t xml:space="preserve"> countries and territories retained a consistent core of services that were deemed “non-essential”. Exemplars of services that transitioned from non-essential to essential as the pandemic wore on are hardware stores and construction sites. These businesses included the following: </w:t>
      </w:r>
      <w:r w:rsidRPr="006A0823">
        <w:rPr>
          <w:rFonts w:eastAsia="Times New Roman"/>
          <w:color w:val="000000" w:themeColor="text1"/>
        </w:rPr>
        <w:t> </w:t>
      </w:r>
    </w:p>
    <w:p w14:paraId="167B78C4" w14:textId="77777777" w:rsidR="00B54EBE" w:rsidRPr="006A0823" w:rsidRDefault="00B54EBE" w:rsidP="00A2548D">
      <w:pPr>
        <w:spacing w:after="0" w:line="240" w:lineRule="auto"/>
        <w:textAlignment w:val="baseline"/>
        <w:rPr>
          <w:rFonts w:ascii="Segoe UI" w:eastAsia="Times New Roman" w:hAnsi="Segoe UI" w:cs="Segoe UI"/>
          <w:sz w:val="18"/>
          <w:szCs w:val="18"/>
        </w:rPr>
      </w:pPr>
    </w:p>
    <w:p w14:paraId="0858B3D6" w14:textId="1E5885DB"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color w:val="000000"/>
          <w:lang w:val="en-GB"/>
        </w:rPr>
        <w:t xml:space="preserve">Indoor dining closed </w:t>
      </w:r>
      <w:r w:rsidRPr="006A0823">
        <w:rPr>
          <w:rFonts w:eastAsia="Times New Roman"/>
          <w:color w:val="000000"/>
          <w:lang w:val="en-GB"/>
        </w:rPr>
        <w:t>– catering establishments are closed to in-person indoor service</w:t>
      </w:r>
      <w:r w:rsidR="00B54EBE" w:rsidRPr="006A0823">
        <w:rPr>
          <w:rFonts w:eastAsia="Times New Roman"/>
          <w:color w:val="000000"/>
          <w:lang w:val="en-GB"/>
        </w:rPr>
        <w:t>.</w:t>
      </w:r>
      <w:r w:rsidRPr="006A0823">
        <w:rPr>
          <w:rFonts w:eastAsia="Times New Roman"/>
          <w:color w:val="000000"/>
        </w:rPr>
        <w:t> </w:t>
      </w:r>
    </w:p>
    <w:p w14:paraId="4DF7D5E2" w14:textId="1C0EF64F"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color w:val="000000"/>
          <w:lang w:val="en-GB"/>
        </w:rPr>
        <w:t xml:space="preserve">Indoor bars closed </w:t>
      </w:r>
      <w:r w:rsidRPr="006A0823">
        <w:rPr>
          <w:rFonts w:eastAsia="Times New Roman"/>
          <w:color w:val="000000"/>
          <w:lang w:val="en-GB"/>
        </w:rPr>
        <w:t>– bars and other drinking establishments are closed to in-person indoor service</w:t>
      </w:r>
      <w:r w:rsidR="00B54EBE" w:rsidRPr="006A0823">
        <w:rPr>
          <w:rFonts w:eastAsia="Times New Roman"/>
          <w:color w:val="000000"/>
        </w:rPr>
        <w:t>.</w:t>
      </w:r>
    </w:p>
    <w:p w14:paraId="37D52155" w14:textId="3F740A35"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color w:val="000000"/>
          <w:lang w:val="en-GB"/>
        </w:rPr>
        <w:t xml:space="preserve">Gyms closed </w:t>
      </w:r>
      <w:r w:rsidRPr="006A0823">
        <w:rPr>
          <w:rFonts w:eastAsia="Times New Roman"/>
          <w:color w:val="000000"/>
          <w:lang w:val="en-GB"/>
        </w:rPr>
        <w:t>– gyms and other personal fitness facilities are closed</w:t>
      </w:r>
      <w:r w:rsidR="00B54EBE" w:rsidRPr="006A0823">
        <w:rPr>
          <w:rFonts w:eastAsia="Times New Roman"/>
          <w:color w:val="000000"/>
        </w:rPr>
        <w:t>.</w:t>
      </w:r>
    </w:p>
    <w:p w14:paraId="066C98BE" w14:textId="197D3AD0"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color w:val="000000"/>
          <w:lang w:val="en-GB"/>
        </w:rPr>
        <w:t>Non-essential retail closed</w:t>
      </w:r>
      <w:r w:rsidRPr="006A0823">
        <w:rPr>
          <w:rFonts w:eastAsia="Times New Roman"/>
          <w:color w:val="000000"/>
          <w:lang w:val="en-GB"/>
        </w:rPr>
        <w:t xml:space="preserve"> – all non-essential retail is closed</w:t>
      </w:r>
      <w:r w:rsidR="00B54EBE" w:rsidRPr="006A0823">
        <w:rPr>
          <w:rFonts w:eastAsia="Times New Roman"/>
          <w:color w:val="000000"/>
        </w:rPr>
        <w:t>.</w:t>
      </w:r>
    </w:p>
    <w:p w14:paraId="0F2C62DB" w14:textId="737520D0"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color w:val="000000"/>
          <w:lang w:val="en-GB"/>
        </w:rPr>
        <w:t>Non-essential workplaces closed</w:t>
      </w:r>
      <w:r w:rsidRPr="006A0823">
        <w:rPr>
          <w:rFonts w:eastAsia="Times New Roman"/>
          <w:color w:val="000000"/>
          <w:lang w:val="en-GB"/>
        </w:rPr>
        <w:t xml:space="preserve"> – all non-essential workplaces (e</w:t>
      </w:r>
      <w:r w:rsidR="00B54EBE" w:rsidRPr="006A0823">
        <w:rPr>
          <w:rFonts w:eastAsia="Times New Roman"/>
          <w:color w:val="000000"/>
          <w:lang w:val="en-GB"/>
        </w:rPr>
        <w:t>.</w:t>
      </w:r>
      <w:r w:rsidRPr="006A0823">
        <w:rPr>
          <w:rFonts w:eastAsia="Times New Roman"/>
          <w:color w:val="000000"/>
          <w:lang w:val="en-GB"/>
        </w:rPr>
        <w:t>g</w:t>
      </w:r>
      <w:r w:rsidR="00B54EBE" w:rsidRPr="006A0823">
        <w:rPr>
          <w:rFonts w:eastAsia="Times New Roman"/>
          <w:color w:val="000000"/>
          <w:lang w:val="en-GB"/>
        </w:rPr>
        <w:t>.</w:t>
      </w:r>
      <w:r w:rsidRPr="006A0823">
        <w:rPr>
          <w:rFonts w:eastAsia="Times New Roman"/>
          <w:color w:val="000000"/>
          <w:lang w:val="en-GB"/>
        </w:rPr>
        <w:t>, offices) are closed</w:t>
      </w:r>
      <w:r w:rsidR="00B54EBE" w:rsidRPr="006A0823">
        <w:rPr>
          <w:rFonts w:eastAsia="Times New Roman"/>
          <w:color w:val="000000"/>
        </w:rPr>
        <w:t>.</w:t>
      </w:r>
      <w:r w:rsidRPr="006A0823">
        <w:rPr>
          <w:rFonts w:eastAsia="Times New Roman"/>
          <w:color w:val="000000"/>
        </w:rPr>
        <w:br/>
        <w:t> </w:t>
      </w:r>
    </w:p>
    <w:p w14:paraId="19793F91" w14:textId="77777777" w:rsidR="00A2548D" w:rsidRPr="006A0823" w:rsidRDefault="00A2548D" w:rsidP="00B54EBE">
      <w:pPr>
        <w:rPr>
          <w:b/>
        </w:rPr>
      </w:pPr>
      <w:r w:rsidRPr="006A0823">
        <w:rPr>
          <w:b/>
        </w:rPr>
        <w:t>Curfews </w:t>
      </w:r>
    </w:p>
    <w:p w14:paraId="5B885559" w14:textId="77777777" w:rsidR="00A2548D" w:rsidRPr="006A0823" w:rsidRDefault="00A2548D" w:rsidP="00A2548D">
      <w:pPr>
        <w:spacing w:after="0" w:line="240" w:lineRule="auto"/>
        <w:textAlignment w:val="baseline"/>
        <w:rPr>
          <w:rFonts w:eastAsia="Times New Roman"/>
        </w:rPr>
      </w:pPr>
      <w:r w:rsidRPr="006A0823">
        <w:rPr>
          <w:rFonts w:eastAsia="Times New Roman"/>
        </w:rPr>
        <w:t>Business curfews most often affected the restaurant and entertainment sectors as the emphasis was to minimize evening and night-time activities. </w:t>
      </w:r>
    </w:p>
    <w:p w14:paraId="38E70C3F" w14:textId="77777777" w:rsidR="00300D07" w:rsidRPr="006A0823" w:rsidRDefault="00300D07" w:rsidP="00A2548D">
      <w:pPr>
        <w:spacing w:after="0" w:line="240" w:lineRule="auto"/>
        <w:textAlignment w:val="baseline"/>
        <w:rPr>
          <w:rFonts w:ascii="Segoe UI" w:eastAsia="Times New Roman" w:hAnsi="Segoe UI" w:cs="Segoe UI"/>
          <w:sz w:val="18"/>
          <w:szCs w:val="18"/>
        </w:rPr>
      </w:pPr>
    </w:p>
    <w:p w14:paraId="183F0F9A" w14:textId="77777777"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rPr>
        <w:t>Business curfews</w:t>
      </w:r>
      <w:r w:rsidRPr="006A0823">
        <w:rPr>
          <w:rFonts w:eastAsia="Times New Roman"/>
        </w:rPr>
        <w:t xml:space="preserve"> – any business is prohibited from opening within their regular business hours </w:t>
      </w:r>
    </w:p>
    <w:p w14:paraId="4646395F" w14:textId="77777777" w:rsidR="00A2548D" w:rsidRPr="006A0823" w:rsidRDefault="00A2548D" w:rsidP="00A2548D">
      <w:pPr>
        <w:spacing w:after="0" w:line="240" w:lineRule="auto"/>
        <w:textAlignment w:val="baseline"/>
        <w:rPr>
          <w:rFonts w:ascii="Segoe UI" w:eastAsia="Times New Roman" w:hAnsi="Segoe UI" w:cs="Segoe UI"/>
          <w:sz w:val="18"/>
          <w:szCs w:val="18"/>
        </w:rPr>
      </w:pPr>
      <w:r w:rsidRPr="006A0823">
        <w:rPr>
          <w:rFonts w:eastAsia="Times New Roman"/>
          <w:i/>
          <w:iCs/>
        </w:rPr>
        <w:t>Home curfews</w:t>
      </w:r>
      <w:r w:rsidRPr="006A0823">
        <w:rPr>
          <w:rFonts w:eastAsia="Times New Roman"/>
        </w:rPr>
        <w:t xml:space="preserve"> – all citizens are unable to leave their homes unless for essential reasons within a certain time period. </w:t>
      </w:r>
    </w:p>
    <w:p w14:paraId="704C066C" w14:textId="77777777" w:rsidR="00A2548D" w:rsidRPr="006A0823" w:rsidRDefault="00A2548D" w:rsidP="00BC3AE0">
      <w:pPr>
        <w:rPr>
          <w:lang w:val="en-GB"/>
        </w:rPr>
      </w:pPr>
    </w:p>
    <w:p w14:paraId="358F07FC" w14:textId="7B7BBEFD" w:rsidR="000D62D5" w:rsidRPr="006A0823" w:rsidRDefault="0009280A" w:rsidP="00BC3AE0">
      <w:pPr>
        <w:pStyle w:val="Heading3"/>
        <w:rPr>
          <w:lang w:val="en-GB"/>
        </w:rPr>
      </w:pPr>
      <w:bookmarkStart w:id="217" w:name="_Toc76840505"/>
      <w:bookmarkStart w:id="218" w:name="_Toc104245041"/>
      <w:bookmarkStart w:id="219" w:name="_Toc104249356"/>
      <w:bookmarkStart w:id="220" w:name="_Toc104252084"/>
      <w:bookmarkStart w:id="221" w:name="_Toc124499492"/>
      <w:bookmarkEnd w:id="217"/>
      <w:bookmarkEnd w:id="218"/>
      <w:bookmarkEnd w:id="219"/>
      <w:bookmarkEnd w:id="220"/>
      <w:r w:rsidRPr="006A0823">
        <w:rPr>
          <w:lang w:val="en-GB"/>
        </w:rPr>
        <w:t>Mandate averaging and forecasting</w:t>
      </w:r>
      <w:bookmarkEnd w:id="221"/>
    </w:p>
    <w:p w14:paraId="5B9525BE" w14:textId="6E1FDA25" w:rsidR="0009280A" w:rsidRPr="006A0823" w:rsidRDefault="0D52D158" w:rsidP="0009280A">
      <w:pPr>
        <w:rPr>
          <w:lang w:val="en-GB"/>
        </w:rPr>
      </w:pPr>
      <w:r w:rsidRPr="006A0823">
        <w:rPr>
          <w:lang w:val="en-GB"/>
        </w:rPr>
        <w:t xml:space="preserve">To make the regression portion of our transmission model (Section </w:t>
      </w:r>
      <w:r w:rsidR="695AF658" w:rsidRPr="006A0823">
        <w:rPr>
          <w:lang w:val="en-GB"/>
        </w:rPr>
        <w:t>8.1</w:t>
      </w:r>
      <w:r w:rsidRPr="006A0823">
        <w:rPr>
          <w:lang w:val="en-GB"/>
        </w:rPr>
        <w:t>)</w:t>
      </w:r>
      <w:r w:rsidR="415DC64C" w:rsidRPr="006A0823">
        <w:rPr>
          <w:lang w:val="en-GB"/>
        </w:rPr>
        <w:t xml:space="preserve"> tractable, we </w:t>
      </w:r>
      <w:r w:rsidR="68A9A48F" w:rsidRPr="006A0823">
        <w:rPr>
          <w:lang w:val="en-GB"/>
        </w:rPr>
        <w:t>collapse the 21 NPI variables into a sing</w:t>
      </w:r>
      <w:r w:rsidR="526E7994" w:rsidRPr="006A0823">
        <w:rPr>
          <w:lang w:val="en-GB"/>
        </w:rPr>
        <w:t>le index of mandate intensity. We chose to do this with a simple averaging model</w:t>
      </w:r>
      <w:r w:rsidR="410B4F20" w:rsidRPr="006A0823">
        <w:rPr>
          <w:lang w:val="en-GB"/>
        </w:rPr>
        <w:t>.</w:t>
      </w:r>
      <w:r w:rsidR="526E7994" w:rsidRPr="006A0823">
        <w:rPr>
          <w:lang w:val="en-GB"/>
        </w:rPr>
        <w:t xml:space="preserve"> </w:t>
      </w:r>
      <w:r w:rsidR="748D12B3" w:rsidRPr="006A0823">
        <w:rPr>
          <w:lang w:val="en-GB"/>
        </w:rPr>
        <w:t>First,</w:t>
      </w:r>
      <w:r w:rsidR="526E7994" w:rsidRPr="006A0823">
        <w:rPr>
          <w:lang w:val="en-GB"/>
        </w:rPr>
        <w:t xml:space="preserve"> </w:t>
      </w:r>
      <w:r w:rsidR="410B4F20" w:rsidRPr="006A0823">
        <w:rPr>
          <w:lang w:val="en-GB"/>
        </w:rPr>
        <w:t xml:space="preserve">we </w:t>
      </w:r>
      <w:r w:rsidR="526E7994" w:rsidRPr="006A0823">
        <w:rPr>
          <w:lang w:val="en-GB"/>
        </w:rPr>
        <w:t>comput</w:t>
      </w:r>
      <w:r w:rsidR="410B4F20" w:rsidRPr="006A0823">
        <w:rPr>
          <w:lang w:val="en-GB"/>
        </w:rPr>
        <w:t>ed the average of the sector-specific mandates by location and day</w:t>
      </w:r>
      <w:r w:rsidR="72490C61" w:rsidRPr="006A0823">
        <w:rPr>
          <w:lang w:val="en-GB"/>
        </w:rPr>
        <w:t xml:space="preserve"> to build a sector-specific index. Then we computed our mandate index as the average </w:t>
      </w:r>
      <w:r w:rsidR="01292F57" w:rsidRPr="006A0823">
        <w:rPr>
          <w:lang w:val="en-GB"/>
        </w:rPr>
        <w:t>of the sector specific indices.</w:t>
      </w:r>
      <w:r w:rsidR="69F02F5B" w:rsidRPr="006A0823">
        <w:rPr>
          <w:lang w:val="en-GB"/>
        </w:rPr>
        <w:t xml:space="preserve"> This method of building a single mandate index is overly simplistic and is bound to over-estimate the effect sizes of </w:t>
      </w:r>
      <w:r w:rsidR="090EBBD8" w:rsidRPr="006A0823">
        <w:rPr>
          <w:lang w:val="en-GB"/>
        </w:rPr>
        <w:t xml:space="preserve">some </w:t>
      </w:r>
      <w:r w:rsidR="69F02F5B" w:rsidRPr="006A0823">
        <w:rPr>
          <w:lang w:val="en-GB"/>
        </w:rPr>
        <w:t>individual NPIs</w:t>
      </w:r>
      <w:r w:rsidR="090EBBD8" w:rsidRPr="006A0823">
        <w:rPr>
          <w:lang w:val="en-GB"/>
        </w:rPr>
        <w:t xml:space="preserve"> (such as gym closures) and under-estimate the effect sizes of others (such as stay at home orders)</w:t>
      </w:r>
      <w:r w:rsidR="19360FBD" w:rsidRPr="006A0823">
        <w:rPr>
          <w:lang w:val="en-GB"/>
        </w:rPr>
        <w:t xml:space="preserve">, however disentangling the effect sizes of these individual mandates </w:t>
      </w:r>
      <w:r w:rsidR="1BF6BE31" w:rsidRPr="006A0823">
        <w:rPr>
          <w:lang w:val="en-GB"/>
        </w:rPr>
        <w:t xml:space="preserve">on transmission </w:t>
      </w:r>
      <w:r w:rsidR="19360FBD" w:rsidRPr="006A0823">
        <w:rPr>
          <w:lang w:val="en-GB"/>
        </w:rPr>
        <w:t xml:space="preserve">is problem riddled with definitional differences between locations and </w:t>
      </w:r>
      <w:r w:rsidR="1BF6BE31" w:rsidRPr="006A0823">
        <w:rPr>
          <w:lang w:val="en-GB"/>
        </w:rPr>
        <w:t>collinearity and is bey</w:t>
      </w:r>
      <w:r w:rsidR="3ABA76A3" w:rsidRPr="006A0823">
        <w:rPr>
          <w:lang w:val="en-GB"/>
        </w:rPr>
        <w:t xml:space="preserve">ond the scope of our analysis. </w:t>
      </w:r>
    </w:p>
    <w:p w14:paraId="1A27CBA0" w14:textId="77777777" w:rsidR="00CB05A4" w:rsidRPr="006A0823" w:rsidRDefault="009600E7" w:rsidP="0009280A">
      <w:pPr>
        <w:rPr>
          <w:lang w:val="en-GB"/>
        </w:rPr>
      </w:pPr>
      <w:r w:rsidRPr="006A0823">
        <w:rPr>
          <w:lang w:val="en-GB"/>
        </w:rPr>
        <w:t>We offer two forecast scenarios for mandates. T</w:t>
      </w:r>
      <w:r w:rsidR="00535BCE" w:rsidRPr="006A0823">
        <w:rPr>
          <w:lang w:val="en-GB"/>
        </w:rPr>
        <w:t>he reference scenario, like</w:t>
      </w:r>
      <w:r w:rsidR="00992A1D" w:rsidRPr="006A0823">
        <w:rPr>
          <w:lang w:val="en-GB"/>
        </w:rPr>
        <w:t xml:space="preserve"> our</w:t>
      </w:r>
      <w:r w:rsidR="00535BCE" w:rsidRPr="006A0823">
        <w:rPr>
          <w:lang w:val="en-GB"/>
        </w:rPr>
        <w:t xml:space="preserve"> mask use</w:t>
      </w:r>
      <w:r w:rsidR="00992A1D" w:rsidRPr="006A0823">
        <w:rPr>
          <w:lang w:val="en-GB"/>
        </w:rPr>
        <w:t xml:space="preserve"> reference scenario</w:t>
      </w:r>
      <w:r w:rsidR="00535BCE" w:rsidRPr="006A0823">
        <w:rPr>
          <w:lang w:val="en-GB"/>
        </w:rPr>
        <w:t xml:space="preserve">, assumes that the </w:t>
      </w:r>
      <w:r w:rsidR="00992A1D" w:rsidRPr="006A0823">
        <w:rPr>
          <w:lang w:val="en-GB"/>
        </w:rPr>
        <w:t xml:space="preserve">governmental </w:t>
      </w:r>
      <w:r w:rsidR="00535BCE" w:rsidRPr="006A0823">
        <w:rPr>
          <w:lang w:val="en-GB"/>
        </w:rPr>
        <w:t xml:space="preserve">risk tolerance is in a steady state in all locations </w:t>
      </w:r>
      <w:r w:rsidR="00992A1D" w:rsidRPr="006A0823">
        <w:rPr>
          <w:lang w:val="en-GB"/>
        </w:rPr>
        <w:t xml:space="preserve">relative to an ongoing </w:t>
      </w:r>
      <w:r w:rsidR="004859E4" w:rsidRPr="006A0823">
        <w:rPr>
          <w:lang w:val="en-GB"/>
        </w:rPr>
        <w:t>level of infection consistent with highly transmissible and mildly severe (relative to Ancestral) COVID-19 variants</w:t>
      </w:r>
      <w:r w:rsidR="00BA1AE9" w:rsidRPr="006A0823">
        <w:rPr>
          <w:lang w:val="en-GB"/>
        </w:rPr>
        <w:t xml:space="preserve">, and thus is held </w:t>
      </w:r>
      <w:r w:rsidR="00BA1AE9" w:rsidRPr="006A0823">
        <w:rPr>
          <w:lang w:val="en-GB"/>
        </w:rPr>
        <w:lastRenderedPageBreak/>
        <w:t xml:space="preserve">constant into the future. </w:t>
      </w:r>
      <w:r w:rsidR="00F2222D" w:rsidRPr="006A0823">
        <w:rPr>
          <w:lang w:val="en-GB"/>
        </w:rPr>
        <w:t xml:space="preserve">In our mandate reimpositions scenario, </w:t>
      </w:r>
      <w:r w:rsidR="00787D96" w:rsidRPr="006A0823">
        <w:rPr>
          <w:lang w:val="en-GB"/>
        </w:rPr>
        <w:t xml:space="preserve">we picked a </w:t>
      </w:r>
      <w:r w:rsidR="00913D23" w:rsidRPr="006A0823">
        <w:rPr>
          <w:lang w:val="en-GB"/>
        </w:rPr>
        <w:t xml:space="preserve">location-specific daily death rate </w:t>
      </w:r>
      <w:r w:rsidR="00BE3AE1" w:rsidRPr="006A0823">
        <w:rPr>
          <w:lang w:val="en-GB"/>
        </w:rPr>
        <w:t xml:space="preserve">as a threshold for mandate reimpositions as well as a location-specific level at which to reimpose mandates. </w:t>
      </w:r>
    </w:p>
    <w:p w14:paraId="65EA4FAE" w14:textId="241BE89A" w:rsidR="007C5107" w:rsidRPr="006A0823" w:rsidRDefault="2A76537C" w:rsidP="00496A61">
      <w:pPr>
        <w:rPr>
          <w:lang w:val="en-GB"/>
        </w:rPr>
      </w:pPr>
      <w:r w:rsidRPr="006A0823">
        <w:rPr>
          <w:lang w:val="en-GB"/>
        </w:rPr>
        <w:t>For the threshold determination</w:t>
      </w:r>
      <w:r w:rsidR="3C1383E6" w:rsidRPr="006A0823">
        <w:rPr>
          <w:lang w:val="en-GB"/>
        </w:rPr>
        <w:t>, we</w:t>
      </w:r>
      <w:r w:rsidR="1AB1BF1F" w:rsidRPr="006A0823">
        <w:rPr>
          <w:lang w:val="en-GB"/>
        </w:rPr>
        <w:t xml:space="preserve"> chose a candidate threshold for each location as five times the maximum reported daily death rate in the Omicron-era of transmission (the period in which our variant model, described in Section </w:t>
      </w:r>
      <w:r w:rsidR="695AF658" w:rsidRPr="006A0823">
        <w:rPr>
          <w:lang w:val="en-GB"/>
        </w:rPr>
        <w:t>5.1</w:t>
      </w:r>
      <w:r w:rsidR="1AB1BF1F" w:rsidRPr="006A0823">
        <w:rPr>
          <w:lang w:val="en-GB"/>
        </w:rPr>
        <w:t xml:space="preserve">, </w:t>
      </w:r>
      <w:r w:rsidR="1975281A" w:rsidRPr="006A0823">
        <w:rPr>
          <w:lang w:val="en-GB"/>
        </w:rPr>
        <w:t>says Omicron or one of its sub-lineages is the dominant variant). T</w:t>
      </w:r>
      <w:r w:rsidR="3C1383E6" w:rsidRPr="006A0823">
        <w:rPr>
          <w:lang w:val="en-GB"/>
        </w:rPr>
        <w:t>he candidate threshold was used if it was between 10 deaths per million and 30 deaths per million, otherwise the respective boundary was used for the location’s threshold.</w:t>
      </w:r>
      <w:r w:rsidR="4849C0C3" w:rsidRPr="006A0823">
        <w:rPr>
          <w:lang w:val="en-GB"/>
        </w:rPr>
        <w:t xml:space="preserve"> Our only exceptions to this algorithm were the provinces of China, where we manually set the threshold to 1 death per million, well above their historical lockdown thresholds during the zero-COVID era.</w:t>
      </w:r>
      <w:r w:rsidR="09C44CF1" w:rsidRPr="006A0823">
        <w:rPr>
          <w:lang w:val="en-GB"/>
        </w:rPr>
        <w:t xml:space="preserve"> The level of mandates reimposed in each location is the maximum level of mandates a location imposed </w:t>
      </w:r>
      <w:r w:rsidR="76CA32C0" w:rsidRPr="006A0823">
        <w:rPr>
          <w:lang w:val="en-GB"/>
        </w:rPr>
        <w:t xml:space="preserve">in the post-Ancestral era in each location (the time span from </w:t>
      </w:r>
      <w:r w:rsidR="2FF558A6" w:rsidRPr="006A0823">
        <w:rPr>
          <w:lang w:val="en-GB"/>
        </w:rPr>
        <w:t>when the first variant invaded said location and the end of our historical model for that location).</w:t>
      </w:r>
      <w:r w:rsidR="5B8BFD1A" w:rsidRPr="006A0823">
        <w:rPr>
          <w:lang w:val="en-GB"/>
        </w:rPr>
        <w:t xml:space="preserve"> Here, for Chinese provinces, we again make an exception and set the reimpositions level at its maximum to reflect the magnitude of the historical policy response.</w:t>
      </w:r>
      <w:r w:rsidR="6D310F15" w:rsidRPr="006A0823">
        <w:rPr>
          <w:lang w:val="en-GB"/>
        </w:rPr>
        <w:t xml:space="preserve"> Diagnostics with location specific reimposition thresholds and reimposition levels can be found in Appendix 7.</w:t>
      </w:r>
    </w:p>
    <w:p w14:paraId="4BBE5CA1" w14:textId="405DFDD1" w:rsidR="007C5107" w:rsidRPr="006A0823" w:rsidRDefault="00496A61" w:rsidP="0009280A">
      <w:pPr>
        <w:rPr>
          <w:lang w:val="en-GB"/>
        </w:rPr>
      </w:pPr>
      <w:r w:rsidRPr="006A0823">
        <w:rPr>
          <w:lang w:val="en-GB"/>
        </w:rPr>
        <w:t xml:space="preserve">Mandate reimpositions is done by running </w:t>
      </w:r>
      <w:r w:rsidR="007244B0" w:rsidRPr="006A0823">
        <w:rPr>
          <w:lang w:val="en-GB"/>
        </w:rPr>
        <w:t xml:space="preserve">our transmission forecast model (Section </w:t>
      </w:r>
      <w:r w:rsidR="00636B39" w:rsidRPr="006A0823">
        <w:rPr>
          <w:lang w:val="en-GB"/>
        </w:rPr>
        <w:t>8</w:t>
      </w:r>
      <w:r w:rsidR="007244B0" w:rsidRPr="006A0823">
        <w:rPr>
          <w:lang w:val="en-GB"/>
        </w:rPr>
        <w:t>) with our reference forecast of mandates, and then evaluating total daily deaths in each location</w:t>
      </w:r>
      <w:r w:rsidR="008A443A" w:rsidRPr="006A0823">
        <w:rPr>
          <w:lang w:val="en-GB"/>
        </w:rPr>
        <w:t xml:space="preserve">. Any locations whose daily deaths exceed their threshold have mandates reimposed at their threshold level for 6 weeks and then turned off. </w:t>
      </w:r>
      <w:r w:rsidR="001525F0" w:rsidRPr="006A0823">
        <w:rPr>
          <w:lang w:val="en-GB"/>
        </w:rPr>
        <w:t>Our forecast model is then run again on the subset of locations who reimposed mandates, their daily death rates are evaluated again</w:t>
      </w:r>
      <w:r w:rsidR="00D825B7" w:rsidRPr="006A0823">
        <w:rPr>
          <w:lang w:val="en-GB"/>
        </w:rPr>
        <w:t>, and then mandate levels are further adjusted among those locations who still exceed their mandate reimpositions threshold. This loop of transmission forecast and mandate reimpositions is repeated until all locations have forecast below their daily death rate thresholds for the entire forecast period, or mandates have been reimposed for the entire forecast period.</w:t>
      </w:r>
    </w:p>
    <w:p w14:paraId="0FB4012C" w14:textId="22FDC62F" w:rsidR="000D62D5" w:rsidRPr="006A0823" w:rsidRDefault="54DA0AA3" w:rsidP="00BC3AE0">
      <w:pPr>
        <w:pStyle w:val="Heading2"/>
        <w:rPr>
          <w:lang w:val="en-GB"/>
        </w:rPr>
      </w:pPr>
      <w:bookmarkStart w:id="222" w:name="_Toc76457856"/>
      <w:bookmarkStart w:id="223" w:name="_Toc76653815"/>
      <w:bookmarkStart w:id="224" w:name="_Toc76726284"/>
      <w:bookmarkStart w:id="225" w:name="_Toc76727592"/>
      <w:bookmarkStart w:id="226" w:name="_Toc76840511"/>
      <w:bookmarkStart w:id="227" w:name="_Toc104249362"/>
      <w:bookmarkStart w:id="228" w:name="_Toc104252090"/>
      <w:bookmarkStart w:id="229" w:name="_Toc124499493"/>
      <w:r w:rsidRPr="006A0823">
        <w:rPr>
          <w:lang w:val="en-GB"/>
        </w:rPr>
        <w:t xml:space="preserve">Time-invariant </w:t>
      </w:r>
      <w:r w:rsidR="2167B56F" w:rsidRPr="006A0823">
        <w:rPr>
          <w:lang w:val="en-GB"/>
        </w:rPr>
        <w:t>d</w:t>
      </w:r>
      <w:r w:rsidRPr="006A0823">
        <w:rPr>
          <w:lang w:val="en-GB"/>
        </w:rPr>
        <w:t>rivers</w:t>
      </w:r>
      <w:bookmarkEnd w:id="222"/>
      <w:bookmarkEnd w:id="223"/>
      <w:bookmarkEnd w:id="224"/>
      <w:bookmarkEnd w:id="225"/>
      <w:r w:rsidR="6142FBDD" w:rsidRPr="006A0823">
        <w:rPr>
          <w:color w:val="2B579A"/>
          <w:shd w:val="clear" w:color="auto" w:fill="E6E6E6"/>
          <w:lang w:val="en-GB"/>
        </w:rPr>
        <w:fldChar w:fldCharType="begin"/>
      </w:r>
      <w:r w:rsidR="004876B1" w:rsidRPr="006A0823">
        <w:rPr>
          <w:lang w:val="en-GB"/>
        </w:rPr>
        <w:instrText xml:space="preserve"> ADDIN ZOTERO_ITEM CSL_CITATION {"citationID":"XwVutPHN","properties":{"formattedCitation":"\\super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6142FBDD" w:rsidRPr="006A0823">
        <w:rPr>
          <w:color w:val="2B579A"/>
          <w:shd w:val="clear" w:color="auto" w:fill="E6E6E6"/>
          <w:lang w:val="en-GB"/>
        </w:rPr>
        <w:fldChar w:fldCharType="separate"/>
      </w:r>
      <w:r w:rsidR="2A6041C7" w:rsidRPr="006A0823">
        <w:rPr>
          <w:color w:val="0000FF"/>
          <w:vertAlign w:val="superscript"/>
        </w:rPr>
        <w:t>1</w:t>
      </w:r>
      <w:bookmarkEnd w:id="226"/>
      <w:bookmarkEnd w:id="227"/>
      <w:bookmarkEnd w:id="228"/>
      <w:bookmarkEnd w:id="229"/>
      <w:r w:rsidR="6142FBDD" w:rsidRPr="006A0823">
        <w:rPr>
          <w:color w:val="2B579A"/>
          <w:shd w:val="clear" w:color="auto" w:fill="E6E6E6"/>
          <w:lang w:val="en-GB"/>
        </w:rPr>
        <w:fldChar w:fldCharType="end"/>
      </w:r>
    </w:p>
    <w:p w14:paraId="315586DB" w14:textId="15F1B6A7" w:rsidR="00981017" w:rsidRPr="006A0823" w:rsidRDefault="04B63ECB" w:rsidP="00BC3AE0">
      <w:pPr>
        <w:pStyle w:val="Heading3"/>
        <w:rPr>
          <w:lang w:val="en-GB"/>
        </w:rPr>
      </w:pPr>
      <w:bookmarkStart w:id="230" w:name="_Toc76457857"/>
      <w:bookmarkStart w:id="231" w:name="_Toc76653816"/>
      <w:bookmarkStart w:id="232" w:name="_Toc76726285"/>
      <w:bookmarkStart w:id="233" w:name="_Toc76727593"/>
      <w:bookmarkStart w:id="234" w:name="_Toc76840512"/>
      <w:bookmarkStart w:id="235" w:name="_Toc104249363"/>
      <w:bookmarkStart w:id="236" w:name="_Toc104252091"/>
      <w:bookmarkStart w:id="237" w:name="_Toc124499494"/>
      <w:r w:rsidRPr="006A0823">
        <w:rPr>
          <w:lang w:val="en-GB"/>
        </w:rPr>
        <w:t>Lower respiratory infection</w:t>
      </w:r>
      <w:r w:rsidR="3DEBDE38" w:rsidRPr="006A0823">
        <w:rPr>
          <w:lang w:val="en-GB"/>
        </w:rPr>
        <w:t xml:space="preserve"> </w:t>
      </w:r>
      <w:r w:rsidRPr="006A0823">
        <w:rPr>
          <w:lang w:val="en-GB"/>
        </w:rPr>
        <w:t>m</w:t>
      </w:r>
      <w:r w:rsidR="3DEBDE38" w:rsidRPr="006A0823">
        <w:rPr>
          <w:lang w:val="en-GB"/>
        </w:rPr>
        <w:t>ortality</w:t>
      </w:r>
      <w:bookmarkEnd w:id="230"/>
      <w:bookmarkEnd w:id="231"/>
      <w:bookmarkEnd w:id="232"/>
      <w:bookmarkEnd w:id="233"/>
      <w:bookmarkEnd w:id="234"/>
      <w:bookmarkEnd w:id="235"/>
      <w:bookmarkEnd w:id="236"/>
      <w:bookmarkEnd w:id="237"/>
    </w:p>
    <w:p w14:paraId="40CB0A40" w14:textId="17016B20" w:rsidR="00D0437E" w:rsidRPr="006A0823" w:rsidRDefault="00D0437E" w:rsidP="00BC3AE0">
      <w:pPr>
        <w:rPr>
          <w:lang w:val="en-GB"/>
        </w:rPr>
      </w:pPr>
      <w:r w:rsidRPr="006A0823">
        <w:rPr>
          <w:lang w:val="en-GB"/>
        </w:rPr>
        <w:t xml:space="preserve">In the transmission model, the mortality rate due to lower respiratory infections (LRI) is captured as the location-specific age-standardized mortality death rate in the population 15 years or older. The 15+ years </w:t>
      </w:r>
      <w:proofErr w:type="gramStart"/>
      <w:r w:rsidRPr="006A0823">
        <w:rPr>
          <w:lang w:val="en-GB"/>
        </w:rPr>
        <w:t>age-standardi</w:t>
      </w:r>
      <w:r w:rsidR="00D6465A" w:rsidRPr="006A0823">
        <w:rPr>
          <w:lang w:val="en-GB"/>
        </w:rPr>
        <w:t>s</w:t>
      </w:r>
      <w:r w:rsidRPr="006A0823">
        <w:rPr>
          <w:lang w:val="en-GB"/>
        </w:rPr>
        <w:t>ed</w:t>
      </w:r>
      <w:proofErr w:type="gramEnd"/>
      <w:r w:rsidRPr="006A0823">
        <w:rPr>
          <w:lang w:val="en-GB"/>
        </w:rPr>
        <w:t xml:space="preserve"> LRI death rate is assumed to represent transmission of respiratory communicable diseases amongst adults.</w:t>
      </w:r>
    </w:p>
    <w:p w14:paraId="48550BE5" w14:textId="5CD65EF6" w:rsidR="00D0437E" w:rsidRPr="006A0823" w:rsidRDefault="00D0437E" w:rsidP="00BC3AE0">
      <w:pPr>
        <w:rPr>
          <w:lang w:val="en-GB"/>
        </w:rPr>
      </w:pPr>
      <w:r w:rsidRPr="006A0823">
        <w:rPr>
          <w:lang w:val="en-GB"/>
        </w:rPr>
        <w:t>Estimates of the LRI mortality rate come from the Global Burden of Disease</w:t>
      </w:r>
      <w:r w:rsidR="00D6465A" w:rsidRPr="006A0823">
        <w:rPr>
          <w:lang w:val="en-GB"/>
        </w:rPr>
        <w:t>s, Injuries and Risk Factors Study (GBD)</w:t>
      </w:r>
      <w:r w:rsidRPr="006A0823">
        <w:rPr>
          <w:lang w:val="en-GB"/>
        </w:rPr>
        <w:t xml:space="preserve"> and the methods for estimation are described in detail elsewhere</w:t>
      </w:r>
      <w:r w:rsidRPr="006A0823">
        <w:rPr>
          <w:color w:val="2B579A"/>
          <w:shd w:val="clear" w:color="auto" w:fill="E6E6E6"/>
          <w:lang w:val="en-GB"/>
        </w:rPr>
        <w:fldChar w:fldCharType="begin"/>
      </w:r>
      <w:r w:rsidR="00851DCE" w:rsidRPr="006A0823">
        <w:rPr>
          <w:lang w:val="en-GB"/>
        </w:rPr>
        <w:instrText xml:space="preserve"> ADDIN ZOTERO_ITEM CSL_CITATION {"citationID":"bZczN6p5","properties":{"unsorted":true,"formattedCitation":"\\super 26\\uc0\\u8211{}28\\nosupersub{}","plainCitation":"26–28","noteIndex":0},"citationItems":[{"id":958,"uris":["http://zotero.org/groups/2154524/items/527SJF7W"],"itemData":{"id":958,"type":"article-journal","abstract":"&lt;h2&gt;Summary&lt;/h2&gt;&lt;h3&gt;Background&lt;/h3&gt;&lt;p&gt;In an era of shifting global agendas and expanded emphasis on non-communicable diseases and injuries along with communicable diseases, sound evidence on trends by cause at the national level is essential. The Global Burden of Diseases, Injuries, and Risk Factors Study (GBD) provides a systematic scientific assessment of published, publicly available, and contributed data on incidence, prevalence, and mortality for a mutually exclusive and collectively exhaustive list of diseases and injuries.&lt;/p&gt;&lt;h3&gt;Methods&lt;/h3&gt;&lt;p&gt;GBD estimates incidence, prevalence, mortality, years of life lost (YLLs), years lived with disability (YLDs), and disability-adjusted life-years (DALYs) due to 369 diseases and injuries, for two sexes, and for 204 countries and territories. Input data were extracted from censuses, household surveys, civil registration and vital statistics, disease registries, health service use, air pollution monitors, satellite imaging, disease notifications, and other sources. Cause-specific death rates and cause fractions were calculated using the Cause of Death Ensemble model and spatiotemporal Gaussian process regression. Cause-specific deaths were adjusted to match the total all-cause deaths calculated as part of the GBD population, fertility, and mortality estimates. Deaths were multiplied by standard life expectancy at each age to calculate YLLs. A Bayesian meta-regression modelling tool, DisMod-MR 2.1, was used to ensure consistency between incidence, prevalence, remission, excess mortality, and cause-specific mortality for most causes. Prevalence estimates were multiplied by disability weights for mutually exclusive sequelae of diseases and injuries to calculate YLDs. We considered results in the context of the Socio-demographic Index (SDI), a composite indicator of income per capita, years of schooling, and fertility rate in females younger than 25 years. Uncertainty intervals (UIs) were generated for every metric using the 25th and 975th ordered 1000 draw values of the posterior distribution.&lt;/p&gt;&lt;h3&gt;Findings&lt;/h3&gt;&lt;p&gt;Global health has steadily improved over the past 30 years as measured by age-standardised DALY rates. After taking into account population growth and ageing, the absolute number of DALYs has remained stable. Since 2010, the pace of decline in global age-standardised DALY rates has accelerated in age groups younger than 50 years compared with the 1990–2010 time period, with the greatest annualised rate of decline occurring in the 0–9-year age group. Six infectious diseases were among the top ten causes of DALYs in children younger than 10 years in 2019: lower respiratory infections (ranked second), diarrhoeal diseases (third), malaria (fifth), meningitis (sixth), whooping cough (ninth), and sexually transmitted infections (which, in this age group, is fully accounted for by congenital syphilis; ranked tenth). In adolescents aged 10–24 years, three injury causes were among the top causes of DALYs: road injuries (ranked first), self-harm (third), and interpersonal violence (fifth). Five of the causes that were in the top ten for ages 10–24 years were also in the top ten in the 25–49-year age group: road injuries (ranked first), HIV/AIDS (second), low back pain (fourth), headache disorders (fifth), and depressive disorders (sixth). In 2019, ischaemic heart disease and stroke were the top-ranked causes of DALYs in both the 50–74-year and 75-years-and-older age groups. Since 1990, there has been a marked shift towards a greater proportion of burden due to YLDs from non-communicable diseases and injuries. In 2019, there were 11 countries where non-communicable disease and injury YLDs constituted more than half of all disease burden. Decreases in age-standardised DALY rates have accelerated over the past decade in countries at the lower end of the SDI range, while improvements have started to stagnate or even reverse in countries with higher SDI.&lt;/p&gt;&lt;h3&gt;Interpretation&lt;/h3&gt;&lt;p&gt;As disability becomes an increasingly large component of disease burden and a larger component of health expenditure, greater research and development investment is needed to identify new, more effective intervention strategies. With a rapidly ageing global population, the demands on health services to deal with disabling outcomes, which increase with age, will require policy makers to anticipate these changes. The mix of universal and more geographically specific influences on health reinforces the need for regular reporting on population health in detail and by underlying cause to help decision makers to identify success stories of disease control to emulate, as well as opportunities to improve.&lt;/p&gt;&lt;h3&gt;Funding&lt;/h3&gt;&lt;p&gt;Bill &amp; Melinda Gates Foundation.&lt;/p&gt;","container-title":"The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1990–2019","volume":"396","author":[{"family":"Vos","given":"Theo"},{"family":"Lim","given":"Stephen S."},{"family":"Abbafati","given":"Cristiana"},{"family":"Abbas","given":"Kaja M."},{"family":"Abbasi","given":"Mohammad"},{"family":"Abbasifard","given":"Mitra"},{"family":"Abbasi-Kangevari","given":"Mohsen"},{"family":"Abbastabar","given":"Hedayat"},{"family":"Abd-Allah","given":"Foad"},{"family":"Abdelalim","given":"Ahmed"},{"family":"Abdollahi","given":"Mohammad"},{"family":"Abdollahpour","given":"Ibrahim"},{"family":"Abolhassani","given":"Hassan"},{"family":"Aboyans","given":"Victor"},{"family":"Abrams","given":"Elissa M."},{"family":"Abreu","given":"Lucas Guimarães"},{"family":"Abrigo","given":"Michael R. M."},{"family":"Abu-Raddad","given":"Laith Jamal"},{"family":"Abushouk","given":"Abdelrahman I."},{"family":"Acebedo","given":"Alyssa"},{"family":"Ackerman","given":"Ilana N."},{"family":"Adabi","given":"Maryam"},{"family":"Adamu","given":"Abdu A."},{"family":"Adebayo","given":"Oladimeji M."},{"family":"Adekanmbi","given":"Victor"},{"family":"Adelson","given":"Jaimie D."},{"family":"Adetokunboh","given":"Olatunji O."},{"family":"Adham","given":"Davoud"},{"family":"Afshari","given":"Mahdi"},{"family":"Afshin","given":"Ashkan"},{"family":"Agardh","given":"Emilie E."},{"family":"Agarwal","given":"Gina"},{"family":"Agesa","given":"Kareha M."},{"family":"Aghaali","given":"Mohammad"},{"family":"Aghamir","given":"Seyed Mohammad Kazem"},{"family":"Agrawal","given":"Anurag"},{"family":"Ahmad","given":"Tauseef"},{"family":"Ahmadi","given":"Alireza"},{"family":"Ahmadi","given":"Mehdi"},{"family":"Ahmadieh","given":"Hamid"},{"family":"Ahmadpour","given":"Ehsan"},{"family":"Akalu","given":"Temesgen Yihunie"},{"family":"Akinyemi","given":"Rufus Olusola"},{"family":"Akinyemiju","given":"Tomi"},{"family":"Akombi","given":"Blessing"},{"family":"Al-Aly","given":"Ziyad"},{"family":"Alam","given":"Khurshid"},{"family":"Alam","given":"Noore"},{"family":"Alam","given":"Samiah"},{"family":"Alam","given":"Tahiya"},{"family":"Alanzi","given":"Turki M."},{"family":"Albertson","given":"Samuel B."},{"family":"Alcalde-Rabanal","given":"Jacqueline Elizabeth"},{"family":"Alema","given":"Niguse Meles"},{"family":"Ali","given":"Muhammad"},{"family":"Ali","given":"Saqib"},{"family":"Alicandro","given":"Gianfranco"},{"family":"Alijanzadeh","given":"Mehran"},{"family":"Alinia","given":"Cyrus"},{"family":"Alipour","given":"Vahid"},{"family":"Aljunid","given":"Syed Mohamed"},{"family":"Alla","given":"François"},{"family":"Allebeck","given":"Peter"},{"family":"Almasi-Hashiani","given":"Amir"},{"family":"Alonso","given":"Jordi"},{"family":"Al-Raddadi","given":"Rajaa M."},{"family":"Altirkawi","given":"Khalid A."},{"family":"Alvis-Guzman","given":"Nelson"},{"family":"Alvis-Zakzuk","given":"Nelson J."},{"family":"Amini","given":"Saeed"},{"family":"Amini-Rarani","given":"Mostafa"},{"family":"Aminorroaya","given":"Arya"},{"family":"Amiri","given":"Fatemeh"},{"family":"Amit","given":"Arianna Maever L."},{"family":"Amugsi","given":"Dickson A."},{"family":"Amul","given":"Gianna Gayle Herrera"},{"family":"Anderlini","given":"Deanna"},{"family":"Andrei","given":"Catalina Liliana"},{"family":"Andrei","given":"Tudorel"},{"family":"Anjomshoa","given":"Mina"},{"family":"Ansari","given":"Fereshteh"},{"family":"Ansari","given":"Iman"},{"family":"Ansari-Moghaddam","given":"Alireza"},{"family":"Antonio","given":"Carl Abelardo T."},{"family":"Antony","given":"Catherine M."},{"family":"Antriyandarti","given":"Ernoiz"},{"family":"Anvari","given":"Davood"},{"family":"Anwer","given":"Razique"},{"family":"Arabloo","given":"Jalal"},{"family":"Arab-Zozani","given":"Morteza"},{"family":"Aravkin","given":"Aleksandr Y."},{"family":"Ariani","given":"Filippo"},{"family":"Ärnlöv","given":"Johan"},{"family":"Aryal","given":"Krishna K."},{"family":"Arzani","given":"Afsaneh"},{"family":"Asadi-Aliabadi","given":"Mehran"},{"family":"Asadi-Pooya","given":"Ali A."},{"family":"Asghari","given":"Babak"},{"family":"Ashbaugh","given":"Charlie"},{"family":"Atnafu","given":"Desta Debalkie"},{"family":"Atre","given":"Sachin R."},{"family":"Ausloos","given":"Floriane"},{"family":"Ausloos","given":"Marcel"},{"family":"Quintanilla","given":"Beatriz Paulina Ayala"},{"family":"Ayano","given":"Getinet"},{"family":"Ayanore","given":"Martin Amogre"},{"family":"Aynalem","given":"Yared Asmare"},{"family":"Azari","given":"Samad"},{"family":"Azarian","given":"Ghasem"},{"family":"Azene","given":"Zelalem Nigussie"},{"family":"Babaee","given":"Ebrahim"},{"family":"Badawi","given":"Alaa"},{"family":"Bagherzadeh","given":"Mojtaba"},{"family":"Bakhshaei","given":"Mohammad Hossein"},{"family":"Bakhtiari","given":"Ahad"},{"family":"Balakrishnan","given":"Senthilkumar"},{"family":"Balalla","given":"Shivanthi"},{"family":"Balassyano","given":"Shelly"},{"family":"Banach","given":"Maciej"},{"family":"Banik","given":"Palash Chandra"},{"family":"Bannick","given":"Marlena S."},{"family":"Bante","given":"Agegnehu Bante"},{"family":"Baraki","given":"Adhanom Gebreegziabher"},{"family":"Barboza","given":"Miguel A."},{"family":"Barker-Collo","given":"Suzanne Lyn"},{"family":"Barthelemy","given":"Celine M."},{"family":"Barua","given":"Lingkan"},{"family":"Barzegar","given":"Akbar"},{"family":"Basu","given":"Sanjay"},{"family":"Baune","given":"Bernhard T."},{"family":"Bayati","given":"Mohsen"},{"family":"Bazmandegan","given":"Gholamreza"},{"family":"Bedi","given":"Neeraj"},{"family":"Beghi","given":"Ettore"},{"family":"Béjot","given":"Yannick"},{"family":"Bello","given":"Aminu K."},{"family":"Bender","given":"Rose G."},{"family":"Bennett","given":"Derrick A."},{"family":"Bennitt","given":"Fiona B."},{"family":"Bensenor","given":"Isabela M."},{"family":"Benziger","given":"Catherine P."},{"family":"Berhe","given":"Kidanemaryam"},{"family":"Bernabe","given":"Eduardo"},{"family":"Bertolacci","given":"Gregory J."},{"family":"Bhageerathy","given":"Reshmi"},{"family":"Bhala","given":"Neeraj"},{"family":"Bhandari","given":"Dinesh"},{"family":"Bhardwaj","given":"Pankaj"},{"family":"Bhattacharyya","given":"Krittika"},{"family":"Bhutta","given":"Zulfiqar A."},{"family":"Bibi","given":"Sadia"},{"family":"Biehl","given":"Molly H."},{"family":"Bikbov","given":"Boris"},{"family":"Sayeed","given":"Muhammad Shahdaat Bin"},{"family":"Biondi","given":"Antonio"},{"family":"Birihane","given":"Binyam Minuye"},{"family":"Bisanzio","given":"Donal"},{"family":"Bisignano","given":"Catherine"},{"family":"Biswas","given":"Raaj Kishore"},{"family":"Bohlouli","given":"Somayeh"},{"family":"Bohluli","given":"Mehdi"},{"family":"Bolla","given":"Srinivasa Rao Rao"},{"family":"Boloor","given":"Archith"},{"family":"Boon-Dooley","given":"Alexandra S."},{"family":"Borges","given":"Guilherme"},{"family":"Borzì","given":"Antonio Maria"},{"family":"Bourne","given":"Rupert"},{"family":"Brady","given":"Oliver J."},{"family":"Brauer","given":"Michael"},{"family":"Brayne","given":"Carol"},{"family":"Breitborde","given":"Nicholas J. K."},{"family":"Brenner","given":"Hermann"},{"family":"Briant","given":"Paul Svitil"},{"family":"Briggs","given":"Andrew M."},{"family":"Briko","given":"Nikolay Ivanovich"},{"family":"Britton","given":"Gabrielle B."},{"family":"Bryazka","given":"Dana"},{"family":"Buchbinder","given":"Rachelle"},{"family":"Bumgarner","given":"Blair R."},{"family":"Busse","given":"Reinhard"},{"family":"Butt","given":"Zahid A."},{"family":"Santos","given":"Florentino Luciano Caetano","dropping-particle":"dos"},{"family":"Cámera","given":"Luis LA Alberto"},{"family":"Campos-Nonato","given":"Ismael R."},{"family":"Car","given":"Josip"},{"family":"Cárdenas","given":"Rosario"},{"family":"Carreras","given":"Giulia"},{"family":"Carrero","given":"Juan J."},{"family":"Carvalho","given":"Felix"},{"family":"Castaldelli-Maia","given":"Joao Mauricio"},{"family":"Castañeda-Orjuela","given":"Carlos A."},{"family":"Castelpietra","given":"Giulio"},{"family":"Castle","given":"Chris D."},{"family":"Castro","given":"Franz"},{"family":"Catalá-López","given":"Ferrán"},{"family":"Causey","given":"Kate"},{"family":"Cederroth","given":"Christopher R."},{"family":"Cercy","given":"Kelly M."},{"family":"Cerin","given":"Ester"},{"family":"Chandan","given":"Joht Singh"},{"family":"Chang","given":"Alex R."},{"family":"Charlson","given":"Fiona J."},{"family":"Chattu","given":"Vijay Kumar"},{"family":"Chaturvedi","given":"Sarika"},{"family":"Chimed-Ochir","given":"Odgerel"},{"family":"Chin","given":"Ken Lee"},{"family":"Cho","given":"Daniel Youngwhan"},{"family":"Christensen","given":"Hanne"},{"family":"Chu","given":"Dinh-Toi"},{"family":"Chung","given":"Michael T."},{"family":"Cicuttini","given":"Flavia M."},{"family":"Ciobanu","given":"Liliana G."},{"family":"Cirillo","given":"Massimo"},{"family":"Collins","given":"Emma L."},{"family":"Compton","given":"Kelly"},{"family":"Conti","given":"Sara"},{"family":"Cortesi","given":"Paolo Angelo"},{"family":"Costa","given":"Vera Marisa"},{"family":"Cousin","given":"Ewerton"},{"family":"Cowden","given":"Richard G."},{"family":"Cowie","given":"Benjamin C."},{"family":"Cromwell","given":"Elizabeth A."},{"family":"Cross","given":"Di H."},{"family":"Crowe","given":"Christopher Stephen"},{"family":"Cruz","given":"Jessica A."},{"family":"Cunningham","given":"Matthew"},{"family":"Dahlawi","given":"Saad M. A."},{"family":"Damiani","given":"Giovanni"},{"family":"Dandona","given":"Lalit"},{"family":"Dandona","given":"Rakhi"},{"family":"Darwesh","given":"Aso Mohammad"},{"family":"Daryani","given":"Ahmad"},{"family":"Das","given":"Jai K."},{"family":"Gupta","given":"Rajat Das"},{"family":"Neves","given":"José","dropping-particle":"das"},{"family":"Dávila-Cervantes","given":"Claudio Alberto"},{"family":"Davletov","given":"Kairat"},{"family":"Leo","given":"Diego De"},{"family":"Dean","given":"Frances E."},{"family":"DeCleene","given":"Nicole K."},{"family":"Deen","given":"Amanda"},{"family":"Degenhardt","given":"Louisa"},{"family":"Dellavalle","given":"Robert Paul"},{"family":"Demeke","given":"Feleke Mekonnen"},{"family":"Demsie","given":"Desalegn Getnet"},{"family":"Denova-Gutiérrez","given":"Edgar"},{"family":"Dereje","given":"Nebiyu Dereje"},{"family":"Dervenis","given":"Nikolaos"},{"family":"Desai","given":"Rupak"},{"family":"Desalew","given":"Assefa"},{"family":"Dessie","given":"Getenet Ayalew"},{"family":"Dharmaratne","given":"Samath Dhamminda"},{"family":"Dhungana","given":"Govinda Prasad"},{"family":"Dianatinasab","given":"Mostafa"},{"family":"Diaz","given":"Daniel"},{"family":"Forooshani","given":"Zahra Sadat Dibaji"},{"family":"Dingels","given":"Zachary V."},{"family":"Dirac","given":"M. Ashworth"},{"family":"Djalalinia","given":"Shirin"},{"family":"Do","given":"Hoa Thi"},{"family":"Dokova","given":"Klara"},{"family":"Dorostkar","given":"Fariba"},{"family":"Doshi","given":"Chirag P."},{"family":"Doshmangir","given":"Leila"},{"family":"Douiri","given":"Abdel"},{"family":"Doxey","given":"Matthew C."},{"family":"Driscoll","given":"Tim Robert"},{"family":"Dunachie","given":"Susanna J."},{"family":"Duncan","given":"Bruce B."},{"family":"Duraes","given":"Andre Rodrigues"},{"family":"Eagan","given":"Arielle Wilder"},{"family":"Kalan","given":"Mohammad Ebrahimi"},{"family":"Edvardsson","given":"David"},{"family":"Ehrlich","given":"Joshua R."},{"family":"Nahas","given":"Nevine El"},{"family":"Sayed","given":"Iman El"},{"family":"Tantawi","given":"Maha El"},{"family":"Elbarazi","given":"Iffat"},{"family":"Elgendy","given":"Islam Y."},{"family":"Elhabashy","given":"Hala Rashad"},{"family":"El-Jaafary","given":"Shaimaa I."},{"family":"Elyazar","given":"Iqbal RF"},{"family":"Emamian","given":"Mohammad Hassan"},{"family":"Emmons-Bell","given":"Sophia"},{"family":"Erskine","given":"Holly E."},{"family":"Eshrati","given":"Babak"},{"family":"Eskandarieh","given":"Sharareh"},{"family":"Esmaeilnejad","given":"Saman"},{"family":"Esmaeilzadeh","given":"Firooz"},{"family":"Esteghamati","given":"Alireza"},{"family":"Estep","given":"Kara"},{"family":"Etemadi","given":"Arash"},{"family":"Etisso","given":"Atkilt Esaiyas"},{"family":"Farahmand","given":"Mohammad"},{"family":"Faraj","given":"Anwar"},{"family":"Fareed","given":"Mohammad"},{"family":"Faridnia","given":"Roghiyeh"},{"family":"Farinha","given":"Carla Sofia e Sá"},{"family":"Farioli","given":"Andrea"},{"family":"Faro","given":"Andre"},{"family":"Faruque","given":"Mithila"},{"family":"Farzadfar","given":"Farshad"},{"family":"Fattahi","given":"Nazir"},{"family":"Fazlzadeh","given":"Mehdi"},{"family":"Feigin","given":"Valery L."},{"family":"Feldman","given":"Rachel"},{"family":"Fereshtehnejad","given":"Seyed-Mohammad"},{"family":"Fernandes","given":"Eduarda"},{"family":"Ferrari","given":"Alize J."},{"family":"Ferreira","given":"Manuela L."},{"family":"Filip","given":"Irina"},{"family":"Fischer","given":"Florian"},{"family":"Fisher","given":"James L."},{"family":"Fitzgerald","given":"Ryan"},{"family":"Flohr","given":"Carsten"},{"family":"Flor","given":"Luisa Sorio"},{"family":"Foigt","given":"Nataliya A."},{"family":"Folayan","given":"Morenike Oluwatoyin"},{"family":"Force","given":"Lisa M."},{"family":"Fornari","given":"Carla"},{"family":"Foroutan","given":"Masoud"},{"family":"Fox","given":"Jack T."},{"family":"Freitas","given":"Marisa"},{"family":"Fu","given":"Weijia"},{"family":"Fukumoto","given":"Takeshi"},{"family":"Furtado","given":"João M."},{"family":"Gad","given":"Mohamed M."},{"family":"Gakidou","given":"Emmanuela"},{"family":"Galles","given":"Natalie C."},{"family":"Gallus","given":"Silvano"},{"family":"Gamkrelidze","given":"Amiran"},{"family":"Garcia-Basteiro","given":"Alberto L."},{"family":"Gardner","given":"William M."},{"family":"Geberemariyam","given":"Biniyam Sahiledengle"},{"family":"Gebrehiwot","given":"Abiyu Mekonnen"},{"family":"Gebremedhin","given":"Ketema Bizuwork"},{"family":"Gebreslassie","given":"Assefa Ayalew Ayalew Ayalew"},{"family":"Hayoon","given":"Anna Gershberg"},{"family":"Gething","given":"Peter W."},{"family":"Ghadimi","given":"Maryam"},{"family":"Ghadiri","given":"Keyghobad"},{"family":"Ghafourifard","given":"Mansour"},{"family":"Ghajar","given":"Alireza"},{"family":"Ghamari","given":"Farhad"},{"family":"Ghashghaee","given":"Ahmad"},{"family":"Ghiasvand","given":"Hesam"},{"family":"Ghith","given":"Nermin"},{"family":"Gholamian","given":"Asadollah"},{"family":"Gilani","given":"Syed Amir"},{"family":"Gill","given":"Paramjit Singh"},{"family":"Gitimoghaddam","given":"Mojgan"},{"family":"Giussani","given":"Giorgia"},{"family":"Goli","given":"Srinivas"},{"family":"Gomez","given":"Ricardo Santiago"},{"family":"Gopalani","given":"Sameer Vali"},{"family":"Gorini","given":"Giuseppe"},{"family":"Gorman","given":"Taren M."},{"family":"Gottlich","given":"Harrison Chase"},{"family":"Goudarzi","given":"Houman"},{"family":"Goulart","given":"Alessandra C."},{"family":"Goulart","given":"Bárbara Niegia Garcia"},{"family":"Grada","given":"Ayman"},{"family":"Grivna","given":"Michal"},{"family":"Grosso","given":"Giuseppe"},{"family":"Gubari","given":"Mohammed Ibrahim Mohialdeen"},{"family":"Gugnani","given":"Harish Chander"},{"family":"Guimaraes","given":"Andre Luiz Sena"},{"family":"Guimarães","given":"Rafael Alves"},{"family":"Guled","given":"Rashid Abdi"},{"family":"Guo","given":"Gaorui"},{"family":"Guo","given":"Yuming"},{"family":"Gupta","given":"Rajeev"},{"family":"Haagsma","given":"Juanita A."},{"family":"Haddock","given":"Beatrix"},{"family":"Hafezi-Nejad","given":"Nima"},{"family":"Hafiz","given":"Abdul"},{"family":"Hagins","given":"Hailey"},{"family":"Haile","given":"Lydia M."},{"family":"Hall","given":"Brian J."},{"family":"Halvaei","given":"Iman"},{"family":"Hamadeh","given":"Randah R."},{"family":"Abdullah","given":"Kanaan Hamagharib"},{"family":"Hamilton","given":"Erin B."},{"family":"Han","given":"Chieh"},{"family":"Han","given":"Hannah"},{"family":"Hankey","given":"Graeme J."},{"family":"Haro","given":"Josep Maria"},{"family":"Harvey","given":"James D."},{"family":"Hasaballah","given":"Ahmed I."},{"family":"Hasanzadeh","given":"Amir"},{"family":"Hashemian","given":"Maryam"},{"family":"Hassanipour","given":"Soheil"},{"family":"Hassankhani","given":"Hadi"},{"family":"Havmoeller","given":"Rasmus J."},{"family":"Hay","given":"Roderick J."},{"family":"Hay","given":"Simon I."},{"family":"Hayat","given":"Khezar"},{"family":"Heidari","given":"Behnam"},{"family":"Heidari","given":"Golnaz"},{"family":"Heidari-Soureshjani","given":"Reza"},{"family":"Hendrie","given":"Delia"},{"family":"Henrikson","given":"Hannah J."},{"family":"Henry","given":"Nathaniel J."},{"family":"Herteliu","given":"Claudiu"},{"family":"Heydarpour","given":"Fatemeh"},{"family":"Hird","given":"Thomas R."},{"family":"Hoek","given":"Hans W."},{"family":"Hole","given":"Michael K."},{"family":"Holla","given":"Ramesh"},{"family":"Hoogar","given":"Praveen"},{"family":"Hosgood","given":"H. Dean"},{"family":"Hosseinzadeh","given":"Mehdi"},{"family":"Hostiuc","given":"Mihaela"},{"family":"Hostiuc","given":"Sorin"},{"family":"Househ","given":"Mowafa"},{"family":"Hoy","given":"Damian G."},{"family":"Hsairi","given":"Mohamed"},{"family":"Hsieh","given":"Vivian Chia-rong"},{"family":"Hu","given":"Guoqing"},{"family":"Huda","given":"Tanvir M."},{"family":"Hugo","given":"Fernando N."},{"family":"Huynh","given":"Chantal K."},{"family":"Hwang","given":"Bing-Fang"},{"family":"Iannucci","given":"Vincent C."},{"family":"Ibitoye","given":"Segun Emmanuel"},{"family":"Ikuta","given":"Kevin S."},{"family":"Ilesanmi","given":"Olayinka Stephen"},{"family":"Ilic","given":"Irena M."},{"family":"Ilic","given":"Milena D."},{"family":"Inbaraj","given":"Leeberk Raja"},{"family":"Ippolito","given":"Helen"},{"family":"Irvani","given":"Seyed Sina Naghibi"},{"family":"Islam","given":"M. Mofizul"},{"family":"Islam","given":"MdMohaimenul"},{"family":"Islam","given":"Sheikh Mohammed Shariful"},{"family":"Islami","given":"Farhad"},{"family":"Iso","given":"Hiroyasu"},{"family":"Ivers","given":"Rebecca Q."},{"family":"Iwu","given":"Chidozie C. D."},{"family":"Iyamu","given":"Ihoghosa Osamuyi"},{"family":"Jaafari","given":"Jalil"},{"family":"Jacobsen","given":"Kathryn H."},{"family":"Jadidi-Niaragh","given":"Farhad"},{"family":"Jafari","given":"Hussain"},{"family":"Jafarinia","given":"Morteza"},{"family":"Jahagirdar","given":"Deepa"},{"family":"Jahani","given":"Mohammad Ali"},{"family":"Jahanmehr","given":"Nader"},{"family":"Jakovljevic","given":"Mihajlo"},{"family":"Jalali","given":"Amir"},{"family":"Jalilian","given":"Farzad"},{"family":"James","given":"Spencer L."},{"family":"Janjani","given":"Hosna"},{"family":"Janodia","given":"Manthan Dilipkumar"},{"family":"Jayatilleke","given":"Achala Upendra"},{"family":"Jeemon","given":"Panniyammakal"},{"family":"Jenabi","given":"Ensiyeh"},{"family":"Jha","given":"Ravi Prakash"},{"family":"Jha","given":"Vivekanand"},{"family":"Ji","given":"John S."},{"family":"Jia","given":"Peng"},{"family":"John","given":"Oommen"},{"family":"John-Akinola","given":"Yetunde O."},{"family":"Johnson","given":"Catherine Owens"},{"family":"Johnson","given":"Sarah Charlotte"},{"family":"Jonas","given":"Jost B."},{"family":"Joo","given":"Tamas"},{"family":"Joshi","given":"Ankur"},{"family":"Jozwiak","given":"Jacek Jerzy"},{"family":"Jürisson","given":"Mikk"},{"family":"Kabir","given":"Ali"},{"family":"Kabir","given":"Zubair"},{"family":"Kalani","given":"Hamed"},{"family":"Kalani","given":"Rizwan"},{"family":"Kalankesh","given":"Leila R."},{"family":"Kalhor","given":"Rohollah"},{"family":"Kamiab","given":"Zahra"},{"family":"Kanchan","given":"Tanuj"},{"family":"Matin","given":"Behzad Karami"},{"family":"Karch","given":"André"},{"family":"Karim","given":"Mohd Anisul"},{"family":"Karimi","given":"Salah Eddin"},{"family":"Kassa","given":"Getachew Mullu"},{"family":"Kassebaum","given":"Nicholas J."},{"family":"Katikireddi","given":"Srinivasa Vittal"},{"family":"Kawakami","given":"Norito"},{"family":"Kayode","given":"Gbenga A."},{"family":"Keddie","given":"Suzanne H."},{"family":"Keller","given":"Cathleen"},{"family":"Kereselidze","given":"Maia"},{"family":"Khafaie","given":"Morteza Abdullatif"},{"family":"Khalid","given":"Nauman"},{"family":"Khan","given":"Maseer"},{"family":"Khatab","given":"Khaled"},{"family":"Khater","given":"Mona M."},{"family":"Khatib","given":"Mahalaqua Nazli"},{"family":"Khayamzadeh","given":"Maryam"},{"family":"Khodayari","given":"Mohammad Taghi"},{"family":"Khundkar","given":"Roba"},{"family":"Kianipour","given":"Neda"},{"family":"Kieling","given":"Christian"},{"family":"Kim","given":"Daniel"},{"family":"Kim","given":"Young-Eun"},{"family":"Kim","given":"Yun Jin"},{"family":"Kimokoti","given":"Ruth W."},{"family":"Kisa","given":"Adnan"},{"family":"Kisa","given":"Sezer"},{"family":"Kissimova-Skarbek","given":"Katarzyna"},{"family":"Kivimäki","given":"Mika"},{"family":"Kneib","given":"Cameron J."},{"family":"Knudsen","given":"Ann Kristin Skrindo"},{"family":"Kocarnik","given":"Jonathan M."},{"family":"Kolola","given":"Tufa"},{"family":"Kopec","given":"Jacek A."},{"family":"Kosen","given":"Soewarta"},{"family":"Koul","given":"Parvaiz A."},{"family":"Koyanagi","given":"Ai"},{"family":"Kravchenko","given":"Michael A."},{"family":"Krishan","given":"Kewal"},{"family":"Krohn","given":"Kris J."},{"family":"Defo","given":"Barthelemy Kuate"},{"family":"Bicer","given":"Burcu Kucuk"},{"family":"Kumar","given":"G. Anil"},{"family":"Kumar","given":"Manasi"},{"family":"Kumar","given":"Pushpendra"},{"family":"Kumar","given":"Vivek"},{"family":"Kumaresh","given":"Girikumar"},{"family":"Kurmi","given":"Om P."},{"family":"Kusuma","given":"Dian"},{"family":"Kyu","given":"Hmwe Hmwe"},{"family":"Vecchia","given":"Carlo La"},{"family":"Lacey","given":"Ben"},{"family":"Lal","given":"Dharmesh Kumar"},{"family":"Lalloo","given":"Ratilal"},{"family":"Lam","given":"Jennifer O."},{"family":"Lami","given":"Faris Hasan"},{"family":"Landires","given":"Iván"},{"family":"Lang","given":"Justin J."},{"family":"Lansingh","given":"Van Charles"},{"family":"Larson","given":"Samantha Leigh"},{"family":"Larsson","given":"Anders O."},{"family":"Lasrado","given":"Savita"},{"family":"Lassi","given":"Zohra S."},{"family":"Lau","given":"Kathryn Mei-Ming"},{"family":"Lavados","given":"Pablo M."},{"family":"Lazarus","given":"Jeffrey V."},{"family":"Ledesma","given":"Jorge R."},{"family":"Lee","given":"Paul H."},{"family":"Lee","given":"Shaun Wen Huey"},{"family":"LeGrand","given":"Kate E."},{"family":"Leigh","given":"James"},{"family":"Leonardi","given":"Matilde"},{"family":"Lescinsky","given":"Haley"},{"family":"Leung","given":"Janni"},{"family":"Levi","given":"Miriam"},{"family":"Lewington","given":"Sarah"},{"family":"Li","given":"Shanshan"},{"family":"Lim","given":"Lee-Ling"},{"family":"Lin","given":"Christine"},{"family":"Lin","given":"Ro-Ting"},{"family":"Linehan","given":"Christine"},{"family":"Linn","given":"Shai"},{"family":"Liu","given":"Hung-Chun"},{"family":"Liu","given":"Shiwei"},{"family":"Liu","given":"Zichen"},{"family":"Looker","given":"Katharine J."},{"family":"Lopez","given":"Alan D."},{"family":"Lopukhov","given":"Platon D."},{"family":"Lorkowski","given":"Stefan"},{"family":"Lotufo","given":"Paulo A."},{"family":"Lucas","given":"Tim C. D."},{"family":"Lugo","given":"Alessandra"},{"family":"Lunevicius","given":"Raimundas"},{"family":"Lyons","given":"Ronan A."},{"family":"Ma","given":"Jianing"},{"family":"MacLachlan","given":"Jennifer H."},{"family":"Maddison","given":"Emilie R."},{"family":"Maddison","given":"Ralph"},{"family":"Madotto","given":"Fabiana"},{"family":"Mahasha","given":"Phetole Walter"},{"family":"Mai","given":"Hue Thi"},{"family":"Majeed","given":"Azeem"},{"family":"Maled","given":"Venkatesh"},{"family":"Maleki","given":"Shokofeh"},{"family":"Malekzadeh","given":"Reza"},{"family":"Malta","given":"Deborah Carvalho"},{"family":"Mamun","given":"Abdullah A."},{"family":"Manafi","given":"Amir"},{"family":"Manafi","given":"Navid"},{"family":"Manguerra","given":"Helena"},{"family":"Mansouri","given":"Borhan"},{"family":"Mansournia","given":"Mohammad Ali"},{"family":"Herrera","given":"Ana M. Mantilla"},{"family":"Maravilla","given":"Joemer C."},{"family":"Marks","given":"Ashley"},{"family":"Martins-Melo","given":"Francisco Rogerlândio"},{"family":"Martopullo","given":"Ira"},{"family":"Masoumi","given":"Seyedeh Zahra"},{"family":"Massano","given":"João"},{"family":"Massenburg","given":"Benjamin Ballard"},{"family":"Mathur","given":"Manu Raj"},{"family":"Maulik","given":"Pallab K."},{"family":"McAlinden","given":"Colm"},{"family":"McGrath","given":"John J."},{"family":"McKee","given":"Martin"},{"family":"Mehndiratta","given":"Man Mohan"},{"family":"Mehri","given":"Fereshteh"},{"family":"Mehta","given":"Kala M."},{"family":"Meitei","given":"Wahengbam Bigyananda"},{"family":"Memiah","given":"Peter T. N."},{"family":"Mendoza","given":"Walter"},{"family":"Menezes","given":"Ritesh G."},{"family":"Mengesha","given":"Endalkachew Worku"},{"family":"Mengesha","given":"Meresa Berwo"},{"family":"Mereke","given":"Alibek"},{"family":"Meretoja","given":"Atte"},{"family":"Meretoja","given":"Tuomo J."},{"family":"Mestrovic","given":"Tomislav"},{"family":"Miazgowski","given":"Bartosz"},{"family":"Miazgowski","given":"Tomasz"},{"family":"Michalek","given":"Irmina Maria"},{"family":"Mihretie","given":"Kebadnew Mulatu"},{"family":"Miller","given":"Ted R."},{"family":"Mills","given":"Edward J."},{"family":"Mirica","given":"Andreea"},{"family":"Mirrakhimov","given":"Erkin M."},{"family":"Mirzaei","given":"Hamed"},{"family":"Mirzaei","given":"Maryam"},{"family":"Mirzaei-Alavijeh","given":"Mehdi"},{"family":"Misganaw","given":"Awoke Temesgen"},{"family":"Mithra","given":"Prasanna"},{"family":"Moazen","given":"Babak"},{"family":"Moghadaszadeh","given":"Masoud"},{"family":"Mohamadi","given":"Efat"},{"family":"Mohammad","given":"Dara K."},{"family":"Mohammad","given":"Yousef"},{"family":"Mezerji","given":"Naser Mohammad Gholi"},{"family":"Mohammadian-Hafshejani","given":"Abdollah"},{"family":"Mohammadifard","given":"Noushin"},{"family":"Mohammadpourhodki","given":"Reza"},{"family":"Mohammed","given":"Shafiu"},{"family":"Mokdad","given":"Ali H."},{"family":"Molokhia","given":"Mariam"},{"family":"Momen","given":"Natalie C."},{"family":"Monasta","given":"Lorenzo"},{"family":"Mondello","given":"Stefania"},{"family":"Mooney","given":"Meghan D."},{"family":"Moosazadeh","given":"Mahmood"},{"family":"Moradi","given":"Ghobad"},{"family":"Moradi","given":"Masoud"},{"family":"Moradi-Lakeh","given":"Maziar"},{"family":"Moradzadeh","given":"Rahmatollah"},{"family":"Moraga","given":"Paula"},{"family":"Morales","given":"Linda"},{"family":"Morawska","given":"Lidia"},{"family":"Velásquez","given":"Ilais Moreno"},{"family":"Morgado-da-Costa","given":"Joana"},{"family":"Morrison","given":"Shane Douglas"},{"family":"Mosser","given":"Jonathan F."},{"family":"Mouodi","given":"Simin"},{"family":"Mousavi","given":"Seyyed Meysam"},{"family":"Khaneghah","given":"Amin Mousavi"},{"family":"Mueller","given":"Ulrich Otto"},{"family":"Munro","given":"Sandra B."},{"family":"Muriithi","given":"Moses K."},{"family":"Musa","given":"Kamarul Imran"},{"family":"Muthupandian","given":"Saravanan"},{"family":"Naderi","given":"Mehdi"},{"family":"Nagarajan","given":"Ahamarshan Jayaraman"},{"family":"Nagel","given":"Gabriele"},{"family":"Naghshtabrizi","given":"Behshad"},{"family":"Nair","given":"Sanjeev"},{"family":"Nandi","given":"Anita K."},{"family":"Nangia","given":"Vinay"},{"family":"Nansseu","given":"Jobert Richie"},{"family":"Nayak","given":"Vinod C."},{"family":"Nazari","given":"Javad"},{"family":"Negoi","given":"Ionut"},{"family":"Negoi","given":"Ruxandra Irina"},{"family":"Netsere","given":"Henok Biresaw Netsere"},{"family":"Ngunjiri","given":"Josephine W."},{"family":"Nguyen","given":"Cuong Tat"},{"family":"Nguyen","given":"Jason"},{"family":"Nguyen","given":"Michele"},{"family":"Nguyen","given":"Minh"},{"family":"Nichols","given":"Emma"},{"family":"Nigatu","given":"Dabere"},{"family":"Nigatu","given":"Yeshambel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Olusegun"},{"family":"Oluwasanu","given":"Mojisola Morenike"},{"family":"Bali","given":"Ahmed Omar"},{"family":"Omer","given":"Muktar Omer"},{"family":"Ong","given":"Kanyin L."},{"family":"Onwujekwe","given":"Obinna E."},{"family":"Orji","given":"Aislyn U."},{"family":"Orpana","given":"Heather M."},{"family":"Ortiz","given":"Alberto"},{"family":"Ostroff","given":"Samuel M."},{"family":"Otstavnov","given":"Nikita"},{"family":"Otstavnov","given":"Stanislav S."},{"family":"Øverland","given":"Simon"},{"family":"Owolabi","given":"Mayowa O."},{"family":"A","given":"Mahesh P."},{"family":"Padubidri","given":"Jagadish Rao"},{"family":"Pakhare","given":"Abhijit P."},{"family":"Palladino","given":"Raffaele"},{"family":"Pana","given":"Adrian"},{"family":"Panda-Jonas","given":"Songhomitra"},{"family":"Pandey","given":"Anamika"},{"family":"Park","given":"Eun-Kee"},{"family":"Parmar","given":"Priya G. Kumari"},{"family":"Pasupula","given":"Deepak Kumar"},{"family":"Patel","given":"Sangram Kishor"},{"family":"Paternina-Caicedo","given":"Angel J."},{"family":"Pathak","given":"Ashish"},{"family":"Pathak","given":"Mona"},{"family":"Patten","given":"Scott B."},{"family":"Patton","given":"George C."},{"family":"Paudel","given":"Deepak"},{"family":"Toroudi","given":"Hamidreza Pazoki"},{"family":"Peden","given":"Amy E."},{"family":"Pennini","given":"Alyssa"},{"family":"Pepito","given":"Veincent Christian Filipino"},{"family":"Peprah","given":"Emmanuel K."},{"family":"Pereira","given":"Alexandre"},{"family":"Pereira","given":"David M."},{"family":"Perico","given":"Norberto"},{"family":"Pham","given":"Hai Quang"},{"family":"Phillips","given":"Michael R."},{"family":"Pigott","given":"David M."},{"family":"Pilgrim","given":"Thomas"},{"family":"Pilz","given":"Tessa M."},{"family":"Pirsaheb","given":"Meghdad"},{"family":"Plana-Ripoll","given":"Oleguer"},{"family":"Plass","given":"Dietrich"},{"family":"Pokhrel","given":"Khem Narayan"},{"family":"Polibin","given":"Roman V."},{"family":"Polinder","given":"Suzanne"},{"family":"Polkinghorne","given":"Kevan R."},{"family":"Postma","given":"Maarten J."},{"family":"Pourjafar","given":"Hadi"},{"family":"Pourmalek","given":"Farshad"},{"family":"Kalhori","given":"Reza Pourmirza"},{"family":"Pourshams","given":"Akram"},{"family":"Poznańska","given":"Anna"},{"family":"Prada","given":"Sergio I."},{"family":"Prakash","given":"V."},{"family":"Pribadi","given":"Dimas Ria Angga"},{"family":"Pupillo","given":"Elisabetta"},{"family":"Syed","given":"Zahiruddin Quazi"},{"family":"Rabiee","given":"Mohammad"},{"family":"Rabiee","given":"Navid"},{"family":"Radfar","given":"Amir"},{"family":"Rafiee","given":"Ata"},{"family":"Rafiei","given":"Alireza"},{"family":"Raggi","given":"Alberto"},{"family":"Rahimi-Movaghar","given":"Afarin"},{"family":"Rahman","given":"Muhammad Aziz"},{"family":"Rajabpour-Sanati","given":"Ali"},{"family":"Rajati","given":"Fatemeh"},{"family":"Ramezanzadeh","given":"Kiana"},{"family":"Ranabhat","given":"Chhabi Lal"},{"family":"Rao","given":"Puja C."},{"family":"Rao","given":"Sowmya J."},{"family":"Rasella","given":"Davide"},{"family":"Rastogi","given":"Prateek"},{"family":"Rathi","given":"Priya"},{"family":"Rawaf","given":"David Laith"},{"family":"Rawaf","given":"Salman"},{"family":"Rawal","given":"Lal"},{"family":"Razo","given":"Christian"},{"family":"Redford","given":"Sofia Boston"},{"family":"Reiner","given":"Robert C."},{"family":"Reinig","given":"Nickolas"},{"family":"Reitsma","given":"Marissa Bettay"},{"family":"Remuzzi","given":"Giuseppe"},{"family":"Renjith","given":"Vishnu"},{"family":"Renzaho","given":"Andre M. N."},{"family":"Resnikoff","given":"Serge"},{"family":"Rezaei","given":"Nima"},{"family":"Rezai","given":"Mohammad","dropping-particle":"sadegh"},{"family":"Rezapour","given":"Aziz"},{"family":"Rhinehart","given":"Phoebe-Anne"},{"family":"Riahi","given":"Seyed Mohammad"},{"family":"Ribeiro","given":"Antonio Luiz P."},{"family":"Ribeiro","given":"Daniel Cury"},{"family":"Ribeiro","given":"Daniela"},{"family":"Rickard","given":"Jennifer"},{"family":"Roberts","given":"Nicholas L. S."},{"family":"Roberts","given":"Shaun"},{"family":"Robinson","given":"Stephen R."},{"family":"Roever","given":"Leonardo"},{"family":"Rolfe","given":"Sam"},{"family":"Ronfani","given":"Luca"},{"family":"Roshandel","given":"Gholamreza"},{"family":"Roth","given":"Gregory A."},{"family":"Rubagotti","given":"Enrico"},{"family":"Rumisha","given":"Susan Fred"},{"family":"Sabour","given":"Siamak"},{"family":"Sachdev","given":"Perminder S."},{"family":"Saddik","given":"Basema"},{"family":"Sadeghi","given":"Ehsan"},{"family":"Sadeghi","given":"Masoumeh"},{"family":"Saeidi","given":"Shahram"},{"family":"Safi","given":"Sare"},{"family":"Safiri","given":"Saeid"},{"family":"Sagar","given":"Rajesh"},{"family":"Sahebkar","given":"Amirhossein"},{"family":"Sahraian","given":"Mohammad Ali"},{"family":"Sajadi","given":"S. Mohammad"},{"family":"Salahshoor","given":"Mohammad Reza"},{"family":"Salamati","given":"Payman"},{"family":"Zahabi","given":"Saleh Salehi"},{"family":"Salem","given":"Hosni"},{"family":"Salem","given":"Marwa R. Rashad"},{"family":"Salimzadeh","given":"Hamideh"},{"family":"Salomon","given":"Joshua A."},{"family":"Salz","given":"Inbal"},{"family":"Samad","given":"Zainab"},{"family":"Samy","given":"Abdallah M."},{"family":"Sanabria","given":"Juan"},{"family":"Santomauro","given":"Damian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barra","given":"Alyssa N."},{"family":"Schaeffer","given":"Lauren E."},{"family":"Schiavolin","given":"Silvia"},{"family":"Schmidt","given":"Maria Inês"},{"family":"Schutte","given":"Aletta Elisabeth"},{"family":"Schwebel","given":"David C."},{"family":"Schwendicke","given":"Falk"},{"family":"Senbeta","given":"Anbissa Muleta"},{"family":"Senthilkumaran","given":"Subramanian"},{"family":"Sepanlou","given":"Sadaf G."},{"family":"Shackelford","given":"Katya Anne"},{"family":"Shadid","given":"Jamileh"},{"family":"Shahabi","given":"Saeed"},{"family":"Shaheen","given":"Amira A."},{"family":"Shaikh","given":"Masood Ali"},{"family":"Shalash","given":"Ali S."},{"family":"Shams-Beyranvand","given":"Mehran"},{"family":"Shamsizadeh","given":"Morteza"},{"family":"Shannawaz","given":"Mohammed"},{"family":"Sharafi","given":"Kiomars"},{"family":"Sharara","given":"Fablina"},{"family":"Sheena","given":"Brittney S."},{"family":"Sheikhtaheri","given":"Abbas"},{"family":"Shetty","given":"Ranjitha S."},{"family":"Shibuya","given":"Kenji"},{"family":"Shiferaw","given":"Wondimeneh Shibabaw"},{"family":"Shigematsu","given":"Mika"},{"family":"Shin","given":"Jae Il"},{"family":"Shiri","given":"Rahman"},{"family":"Shirkoohi","given":"Reza"},{"family":"Shrime","given":"Mark G."},{"family":"Shuval","given":"Kerem"},{"family":"Siabani","given":"Soraya"},{"family":"Sigfusdottir","given":"Inga Dora"},{"family":"Sigurvinsdottir","given":"Rannveig"},{"family":"Silva","given":"João Pedro"},{"family":"Simpson","given":"Kyle E."},{"family":"Singh","given":"Ambrish"},{"family":"Singh","given":"Jasvinder A."},{"family":"Skiadaresi","given":"Eirini"},{"family":"Skou","given":"Søren T. Skou"},{"family":"Skryabin","given":"Valentin Yurievich"},{"family":"Sobngwi","given":"Eugene"},{"family":"Sokhan","given":"Anton"},{"family":"Soltani","given":"Shahin"},{"family":"Sorensen","given":"Reed J. D."},{"family":"Soriano","given":"Joan B."},{"family":"Sorrie","given":"Muluken Bekele"},{"family":"Soyiri","given":"Ireneous N."},{"family":"Sreeramareddy","given":"Chandrashekhar T."},{"family":"Stanaway","given":"Jeffrey D."},{"family":"Stark","given":"Benjamin A."},{"family":"Ştefan","given":"Simona Cătălina"},{"family":"Stein","given":"Caroline"},{"family":"Steiner","given":"Caitlyn"},{"family":"Steiner","given":"Timothy J."},{"family":"Stokes","given":"Mark A."},{"family":"Stovner","given":"Lars Jacob"},{"family":"Stubbs","given":"Jacob L."},{"family":"Sudaryanto","given":"Agus"},{"family":"Sufiyan","given":"Mu'awiyyah Babale"},{"family":"Sulo","given":"Gerhard"},{"family":"Sultan","given":"Iyad"},{"family":"Sykes","given":"Bryan L."},{"family":"Sylte","given":"Dillon O."},{"family":"Szócska","given":"Miklós"},{"family":"Tabarés-Seisdedos","given":"Rafael"},{"family":"Tabb","given":"Karen M."},{"family":"Tadakamadla","given":"Santosh Kumar"},{"family":"Taherkhani","given":"Amir"},{"family":"Tajdini","given":"Masih"},{"family":"Takahashi","given":"Ken"},{"family":"Taveira","given":"Nuno"},{"family":"Teagle","given":"Whitney L."},{"family":"Teame","given":"Hirut"},{"family":"Tehrani-Banihashemi","given":"Arash"},{"family":"Teklehaimanot","given":"Berhane Fseha"},{"family":"Terrason","given":"Sonyah"},{"family":"Tessema","given":"Zemenu Tadesse"},{"family":"Thankappan","given":"Kavumpurathu Raman"},{"family":"Thomson","given":"Azalea M."},{"family":"Tohidinik","given":"Hamid Reza"},{"family":"Tonelli","given":"Marcello"},{"family":"Topor-Madry","given":"Roman"},{"family":"Torre","given":"Anna E."},{"family":"Touvier","given":"Mathilde"},{"family":"Tovani-Palone","given":"Marcos Roberto Roberto"},{"family":"Tran","given":"Bach Xuan"},{"family":"Travillian","given":"Ravensara"},{"family":"Troeger","given":"Christopher E."},{"family":"Truelsen","given":"Thomas Clement"},{"family":"Tsai","given":"Alexander C."},{"family":"Tsatsakis","given":"Aristidis"},{"family":"Car","given":"Lorainne Tudor"},{"family":"Tyrovolas","given":"Stefanos"},{"family":"Uddin","given":"Riaz"},{"family":"Ullah","given":"Saif"},{"family":"Undurraga","given":"Eduardo A."},{"family":"Unnikrishnan","given":"Bhaskaran"},{"family":"Vacante","given":"Marco"},{"family":"Vakilian","given":"Alireza"},{"family":"Valdez","given":"Pascual R."},{"family":"Varughese","given":"Santosh"},{"family":"Vasankari","given":"Tommi Juhani"},{"family":"Vasseghian","given":"Yasser"},{"family":"Venketasubramanian","given":"Narayanaswamy"},{"family":"Violante","given":"Francesco S."},{"family":"Vlassov","given":"Vasily"},{"family":"Vollset","given":"Stein Emil"},{"family":"Vongpradith","given":"Avina"},{"family":"Vukovic","given":"Ana"},{"family":"Vukovic","given":"Rade"},{"family":"Waheed","given":"Yasir"},{"family":"Walters","given":"Madgalene K."},{"family":"Wang","given":"Jiayu"},{"family":"Wang","given":"Yafeng"},{"family":"Wang","given":"Yuan-Pang"},{"family":"Ward","given":"Joseph L."},{"family":"Watson","given":"Alexandrea"},{"family":"Wei","given":"Jingkai"},{"family":"Weintraub","given":"Robert G."},{"family":"Weiss","given":"Daniel J."},{"family":"Weiss","given":"Jordan"},{"family":"Westerman","given":"Ronny"},{"family":"Whisnant","given":"Joanna L."},{"family":"Whiteford","given":"Harvey A."},{"family":"Wiangkham","given":"Taweewat"},{"family":"Wiens","given":"Kirsten E."},{"family":"Wijeratne","given":"Tissa"},{"family":"Wilner","given":"Lauren B."},{"family":"Wilson","given":"Shadrach"},{"family":"Wojtyniak","given":"Bogdan"},{"family":"Wolfe","given":"Charles D. A."},{"family":"Wool","given":"Eve E."},{"family":"Wu","given":"Ai-Min"},{"family":"Hanson","given":"Sarah Wulf"},{"family":"Wunrow","given":"Han Yong"},{"family":"Xu","given":"Gelin"},{"family":"Xu","given":"Rixing"},{"family":"Yadgir","given":"Simon"},{"family":"Jabbari","given":"Seyed Hossein Yahyazadeh"},{"family":"Yamagishi","given":"Kazumasa"},{"family":"Yaminfirooz","given":"Mousa"},{"family":"Yano","given":"Yuichiro"},{"family":"Yaya","given":"Sanni"},{"family":"Yazdi-Feyzabadi","given":"Vahid"},{"family":"Yearwood","given":"Jamal A."},{"family":"Yeheyis","given":"Tomas Y."},{"family":"Yeshitila","given":"Yordanos Gizachew"},{"family":"Yip","given":"Paul"},{"family":"Yonemoto","given":"Naohiro"},{"family":"Yoon","given":"Seok-Jun"},{"family":"Lebni","given":"Javad Yoosefi"},{"family":"Younis","given":"Mustafa Z."},{"family":"Younker","given":"Theodore Patrick"},{"family":"Yousefi","given":"Zabihollah"},{"family":"Yousefifard","given":"Mahmoud"},{"family":"Yousefinezhadi","given":"Taraneh"},{"family":"Yousuf","given":"Abdilahi Yousuf"},{"family":"Yu","given":"Chuanhua"},{"family":"Yusefzadeh","given":"Hasan"},{"family":"Moghadam","given":"Telma Zahirian"},{"family":"Zaki","given":"Leila"},{"family":"Zaman","given":"Sojib Bin"},{"family":"Zamani","given":"Mohammad"},{"family":"Zamanian","given":"Maryam"},{"family":"Zandian","given":"Hamed"},{"family":"Zangeneh","given":"Alireza"},{"family":"Zastrozhin","given":"Mikhail Sergeevich"},{"family":"Zewdie","given":"Kaleab Alemayehu"},{"family":"Zhang","given":"Yunquan"},{"family":"Zhang","given":"Zhi-Jiang"},{"family":"Zhao","given":"Jeff T."},{"family":"Zhao","given":"Yingxi"},{"family":"Zheng","given":"Peng"},{"family":"Zhou","given":"Maigeng"},{"family":"Ziapour","given":"Arash"},{"family":"Zimsen","given":"Stephanie R. M."},{"family":"Naghavi","given":"Mohsen"},{"family":"Murray","given":"Christopher J. L."}],"issued":{"date-parts":[["2020",10,17]]}},"label":"page"},{"id":962,"uris":["http://zotero.org/groups/2154524/items/4E3GGANW"],"itemData":{"id":962,"type":"article-journal","abstract":"BACKGROUND: Despite large reductions in under-5 lower respiratory infection (LRI) mortality in many locations, the pace of progress for LRIs has generally lagged behind that of other childhood infectious diseases. To better inform programmes and policies focused on preventing and treating LRIs, we assessed the contributions and patterns of risk factor attribution, intervention coverage, and sociodemographic development in 195 countries and territories by drawing from the Global Burden of Diseases, Injuries, and Risk Factors Study 2017 (GBD 2017) LRI estimates.\nMETHODS: We used four strategies to model LRI burden: the mortality due to LRIs was modelled using vital registration data, demographic surveillance data, and verbal autopsy data in a predictive ensemble modelling tool; the incidence of LRIs was modelled using population representative surveys, health-care utilisation data, and scientific literature in a compartmental meta-regression tool; the attribution of risk factors for LRI mortality was modelled in a counterfactual framework; and trends in LRI mortality were analysed applying changes in exposure to risk factors over time. In GBD, infectious disease mortality, including that due to LRI, is among HIV-negative individuals. We categorised locations based on their burden in 1990 to make comparisons in the changing burden between 1990 and 2017 and evaluate the relative percent change in mortality rate, incidence, and risk factor exposure to explain differences in the health loss associated with LRIs among children younger than 5 years.\nFINDINGS: In 2017, LRIs caused 808 920 deaths (95% uncertainty interval 747 286-873 591) in children younger than 5 years. Since 1990, there has been a substantial decrease in the number of deaths (from 2 337 538 to 808 920 deaths; 65·4% decrease, 61·5-68·5) and in mortality rate (from 362·7 deaths [330·1-392·0] per 100 000 children to 118·9 deaths [109·8-128·3] per 100 000 children; 67·2% decrease, 63·5-70·1). LRI incidence declined globally (32·4% decrease, 27·2-37·5). The percent change in under-5 mortality rate and incidence has varied across locations. Among the risk factors assessed in this study, those responsible for the greatest decrease in under-5 LRI mortality between 1990 and 2017 were increased coverage of vaccination against Haemophilus influenza type b (11·4% decrease, 0·0-24·5), increased pneumococcal vaccine coverage (6·3% decrease, 6·1-6·3), and reductions in household air pollution (8·4%, 6·8-9·2).\nINTERPRETATION: Our findings show that there have been substantial but uneven declines in LRI mortality among countries between 1990 and 2017. Although improvements in indicators of sociodemographic development could explain some of these trends, changes in exposure to modifiable risk factors are related to the rates of decline in LRI mortality. No single intervention would universally accelerate reductions in health loss associated with LRIs in all settings, but emphasising the most dominant risk factors, particularly in countries with high case fatality, can contribute to the reduction of preventable deaths.\nFUNDING: Bill &amp; Melinda Gates Foundation.","container-title":"The Lancet. Infectious Diseases","DOI":"10.1016/S1473-3099(19)30410-4","ISSN":"1474-4457","issue":"1","journalAbbreviation":"Lancet Infect Dis","language":"eng","note":"PMID: 31678026\nPMCID: PMC7185492","page":"60-79","source":"PubMed","title":"Quantifying risks and interventions that have affected the burden of lower respiratory infections among children younger than 5 years: an analysis for the Global Burden of Disease Study 2017","title-short":"Quantifying risks and interventions that have affected the burden of lower respiratory infections among children younger than 5 years","volume":"20","author":[{"family":"Troeger","given":"CE"},{"family":"Khalil","given":"IA"},{"family":"Blacker","given":"BF"},{"literal":"et al"}],"issued":{"date-parts":[["2020"]]}},"label":"page"},{"id":961,"uris":["http://zotero.org/groups/2154524/items/4WVCRRJ5"],"itemData":{"id":961,"type":"article-journal","abstract":"BACKGROUND: Lower respiratory infections are a leading cause of morbidity and mortality around the world. The Global Burden of Diseases, Injuries, and Risk Factors (GBD) Study 2016, provides an up-to-date analysis of the burden of lower respiratory infections in 195 countries. This study assesses cases, deaths, and aetiologies spanning the past 26 years and shows how the burden of lower respiratory infection has changed in people of all ages.\nMETHODS: We used three separate modelling strategies for lower respiratory infections in GBD 2016: a Bayesian hierarchical ensemble modelling platform (Cause of Death Ensemble model), which uses vital registration, verbal autopsy data, and surveillance system data to predict mortality due to lower respiratory infections; a compartmental meta-regression tool (DisMod-MR), which uses scientific literature, population representative surveys, and health-care data to predict incidence, prevalence, and mortality; and modelling of counterfactual estimates of the population attributable fraction of lower respiratory infection episodes due to Streptococcus pneumoniae, Haemophilus influenzae type b, influenza, and respiratory syncytial virus. We calculated each modelled estimate for each age, sex, year, and location. We modelled the exposure level in a population for a given risk factor using DisMod-MR and a spatio-temporal Gaussian process regression, and assessed the effectiveness of targeted interventions for each risk factor in children younger than 5 years. We also did a decomposition analysis of the change in LRI deaths from 2000-16 using the risk factors associated with LRI in GBD 2016.\nFINDINGS: In 2016, lower respiratory infections caused 652 572 deaths (95% uncertainty interval [UI] 586 475-720 612) in children younger than 5 years (under-5s), 1 080 958 deaths (943 749-1 170 638) in adults older than 70 years, and 2 377 697 deaths (2 145 584-2 512 809) in people of all ages, worldwide. Streptococcus pneumoniae was the leading cause of lower respiratory infection morbidity and mortality globally, contributing to more deaths than all other aetiologies combined in 2016 (1 189 937 deaths, 95% UI 690 445-1 770 660). Childhood wasting remains the leading risk factor for lower respiratory infection mortality among children younger than 5 years, responsible for 61·4% of lower respiratory infection deaths in 2016 (95% UI 45·7-69·6). Interventions to improve wasting, household air pollution, ambient particulate matter pollution, and expanded antibiotic use could avert one under-5 death due to lower respiratory infection for every 4000 children treated in the countries with the highest lower respiratory infection burden.\nINTERPRETATION: Our findings show substantial progress in the reduction of lower respiratory infection burden, but this progress has not been equal across locations, has been driven by decreases in several primary risk factors, and might require more effort among elderly adults. By highlighting regions and populations with the highest burden, and the risk factors that could have the greatest effect, funders, policy makers, and programme implementers can more effectively reduce lower respiratory infections among the world's most susceptible populations.\nFUNDING: Bill &amp; Melinda Gates Foundation.","container-title":"The Lancet. Infectious Diseases","DOI":"10.1016/S1473-3099(18)30310-4","ISSN":"1474-4457","issue":"11","journalAbbreviation":"Lancet Infect Dis","language":"eng","note":"PMID: 30243584\nPMCID: PMC6202443","page":"1191-1210","source":"PubMed","title":"Estimates of the global, regional, and national morbidity, mortality, and aetiologies of lower respiratory infections in 195 countries, 1990-2016: a systematic analysis for the Global Burden of Disease Study 2016","title-short":"Estimates of the global, regional, and national morbidity, mortality, and aetiologies of lower respiratory infections in 195 countries, 1990-2016","volume":"18","author":[{"family":"Troeger","given":"C"},{"family":"Blacker","given":"B"},{"family":"Khalil","given":"IA"},{"literal":"et al"}],"issued":{"date-parts":[["2018",11]]}},"label":"page"}],"schema":"https://github.com/citation-style-language/schema/raw/master/csl-citation.json"} </w:instrText>
      </w:r>
      <w:r w:rsidRPr="006A0823">
        <w:rPr>
          <w:color w:val="2B579A"/>
          <w:shd w:val="clear" w:color="auto" w:fill="E6E6E6"/>
          <w:lang w:val="en-GB"/>
        </w:rPr>
        <w:fldChar w:fldCharType="separate"/>
      </w:r>
      <w:r w:rsidR="00851DCE" w:rsidRPr="006A0823">
        <w:rPr>
          <w:sz w:val="22"/>
          <w:vertAlign w:val="superscript"/>
        </w:rPr>
        <w:t>26–28</w:t>
      </w:r>
      <w:r w:rsidRPr="006A0823">
        <w:rPr>
          <w:color w:val="2B579A"/>
          <w:shd w:val="clear" w:color="auto" w:fill="E6E6E6"/>
          <w:lang w:val="en-GB"/>
        </w:rPr>
        <w:fldChar w:fldCharType="end"/>
      </w:r>
      <w:r w:rsidRPr="006A0823">
        <w:rPr>
          <w:lang w:val="en-GB"/>
        </w:rPr>
        <w:t>. Briefly, we used vital registration and verbal autopsy data in a Bayesian ensemble model which uses out of sample validity to produce a variety of plausible models which are weighted based on their performance in the final ensemble. Estimates are produced for each age, sex, year, and location. For this analysis, we used the age-standardized rate for both sexes by location in the year 2019 (most recent complete year of estimates).</w:t>
      </w:r>
    </w:p>
    <w:p w14:paraId="2EAF7F23" w14:textId="7C1D89EA" w:rsidR="000D62D5" w:rsidRPr="006A0823" w:rsidRDefault="54DA0AA3" w:rsidP="00BC3AE0">
      <w:pPr>
        <w:pStyle w:val="Heading3"/>
        <w:rPr>
          <w:lang w:val="en-GB"/>
        </w:rPr>
      </w:pPr>
      <w:bookmarkStart w:id="238" w:name="_Toc76457858"/>
      <w:bookmarkStart w:id="239" w:name="_Toc76653817"/>
      <w:bookmarkStart w:id="240" w:name="_Toc76726286"/>
      <w:bookmarkStart w:id="241" w:name="_Toc76727594"/>
      <w:bookmarkStart w:id="242" w:name="_Toc76840513"/>
      <w:bookmarkStart w:id="243" w:name="_Toc104249364"/>
      <w:bookmarkStart w:id="244" w:name="_Toc104252092"/>
      <w:bookmarkStart w:id="245" w:name="_Toc124499495"/>
      <w:r w:rsidRPr="006A0823">
        <w:rPr>
          <w:lang w:val="en-GB"/>
        </w:rPr>
        <w:t>Altitude</w:t>
      </w:r>
      <w:bookmarkEnd w:id="238"/>
      <w:bookmarkEnd w:id="239"/>
      <w:bookmarkEnd w:id="240"/>
      <w:bookmarkEnd w:id="241"/>
      <w:bookmarkEnd w:id="242"/>
      <w:bookmarkEnd w:id="243"/>
      <w:bookmarkEnd w:id="244"/>
      <w:bookmarkEnd w:id="245"/>
    </w:p>
    <w:p w14:paraId="23CE1E36" w14:textId="79DE6AF6" w:rsidR="000D62D5" w:rsidRPr="006A0823" w:rsidRDefault="000D62D5" w:rsidP="00BC3AE0">
      <w:pPr>
        <w:rPr>
          <w:lang w:val="en-GB"/>
        </w:rPr>
      </w:pPr>
      <w:r w:rsidRPr="006A0823">
        <w:rPr>
          <w:lang w:val="en-GB"/>
        </w:rPr>
        <w:t>The incidence and severity of lower respiratory infections, including pneumonia, is greater at higher elevation</w:t>
      </w:r>
      <w:r w:rsidRPr="006A0823">
        <w:rPr>
          <w:color w:val="2B579A"/>
          <w:shd w:val="clear" w:color="auto" w:fill="E6E6E6"/>
          <w:lang w:val="en-GB"/>
        </w:rPr>
        <w:fldChar w:fldCharType="begin"/>
      </w:r>
      <w:r w:rsidR="00851DCE" w:rsidRPr="006A0823">
        <w:rPr>
          <w:lang w:val="en-GB"/>
        </w:rPr>
        <w:instrText xml:space="preserve"> ADDIN ZOTERO_ITEM CSL_CITATION {"citationID":"5JalDYH4","properties":{"formattedCitation":"\\super 29\\uc0\\u8211{}31\\nosupersub{}","plainCitation":"29–31","noteIndex":0},"citationItems":[{"id":2834,"uris":["http://zotero.org/groups/2154524/items/QHBZYT3H"],"itemData":{"id":2834,"type":"article-journal","abstract":"OBJECTIVE: To determine the incidence of pneumonia and severe pneumonia among children living at high altitudes in Pakistan.\nMETHODS: A longitudinal cohort study was conducted in which 99 female government health workers in Punial and Ishkoman valleys (Ghizer district, Northern Areas of Pakistan) enrolled children at home, conducted home visits every 2 weeks and actively referred sick children to 15 health centres. Health centre staff used Integrated Management of Childhood Illness criteria to screen all sick children aged 2-35 months and identify those with pneumonia or severe pneumonia.\nFINDINGS: Community health workers enrolled 5204 eligible children at home and followed them over a 14-month period, ending on 31 December 2002. Health centre staff identified 1397 cases of pneumonia and 377 of severe pneumonia in enrolled children aged 2-35 months. Among children reported with pneumonia, 28% had multiple episodes. Incidence rates per 100 child-years of observation were 29.9 for pneumonia and 8.1 for severe pneumonia. Factors associated with a high incidence of pneumonia were younger age, male gender and living at high altitude.\nCONCLUSION: Pneumonia incidence rates in the Northern Areas of Pakistan are much higher than rates reported at lower altitudes in the country and are similar to those in high-altitude settings in other developing countries. More studies are needed to determine the causes of pneumonia in these high-mountain communities. However, early introduction of the vaccines that are known to prevent pneumonia should be considered.","container-title":"Bulletin of the World Health Organization","DOI":"10.2471/blt.07.048264","ISSN":"1564-0604","issue":"3","journalAbbreviation":"Bull. World Health Organ.","language":"eng","note":"PMID: 19377715\nPMCID: PMC2654635","page":"193-199","source":"PubMed","title":"High incidence of childhood pneumonia at high altitudes in Pakistan: a longitudinal cohort study","title-short":"High incidence of childhood pneumonia at high altitudes in Pakistan","volume":"87","author":[{"family":"Khan","given":"Aamir J."},{"family":"Hussain","given":"Hamidah"},{"family":"Omer","given":"Saad B."},{"family":"Chaudry","given":"Sajida"},{"family":"Ali","given":"Sajid"},{"family":"Khan","given":"Adil"},{"family":"Yasin","given":"Zayed"},{"family":"Imran","given":"J. Khan"},{"family":"Mistry","given":"Rozina"},{"family":"Baig","given":"Imam Yar"},{"family":"White","given":"Franklin"},{"family":"Moulton","given":"Lawrence H."},{"family":"Halsey","given":"Neal A."}],"issued":{"date-parts":[["2009",3]]}},"label":"page"},{"id":2833,"uris":["http://zotero.org/groups/2154524/items/FLF4FVSP"],"itemData":{"id":2833,"type":"article-journal","abstract":"OBJECTIVE: To determine the effect of altitude of residence on influenza A (H1N1).\nMATERIALS AND METHODS: We analyzed 207 135 officially notified of influenza-like illness (ILI) cases, 23 048 hospitalizations and 573 deaths during the first months of the novel pandemic influenza A H1N1 virus, to examine if residents of high altitude had more frequently these adverse outcomes.\nRESULTS: Adjusted rates for hospitalization and hospital mortality rates increased with altitude, probably due to hypoxemia.","container-title":"Salud Publica De Mexico","DOI":"10.1590/s0036-36342013000100013","ISSN":"1606-7916","issue":"1","journalAbbreviation":"Salud Publica Mex","language":"eng","note":"PMID: 23370263","page":"92-95","source":"PubMed","title":"The impact of altitude on hospitalization and hospital mortality from pandemic 2009 influenza A (H1N1) virus pneumonia in Mexico","volume":"55","author":[{"family":"Pérez-Padilla","given":"Rogelio"},{"family":"García-Sancho","given":"Cecilia"},{"family":"Fernández","given":"Rosario"},{"family":"Franco-Marina","given":"Francisco"},{"family":"López-Gatell","given":"Hugo"},{"family":"Bojórquez","given":"Ietza"}],"issued":{"date-parts":[["2013",2]]}},"label":"page"},{"id":2832,"uris":["http://zotero.org/groups/2154524/items/ESK8CNFI"],"itemData":{"id":2832,"type":"article-journal","abstract":"OBJECTIVE: To examine the association between altitude and mortality from tuberculosis (TB) and pneumonia-influenza in Mexico.\nDESIGN: We analysed specific causes of death in Mexico according to death certificates for the period 1993-1997, totalling over 2,700,000 deaths and including nearly 23,000 attributed to TB and 115,000 to pneumonia and influenza. Thirty population subgroups were formed based on altitude of residence (six categories) and level of poverty (five categories). The effect of altitude on mortality was estimated through Poisson regression models, with adjustment for age, gender and socioeconomic status.\nRESULTS: Adjusted death rates for TB decreased with altitude and increased for pneumonia-influenza. Compared to people living below 500 m above sea level, those living between 2000 and 2499 m had a 58% mortality rate for TB and a three-fold increase in mortality due to pneumonia-influenza, despite adjustment for poverty, age and gender.\nCONCLUSION: The mortality rate for TB based on death certificates decreases with altitude of residence, whereas the opposite is observed for pneumonia and influenza.","container-title":"The International Journal of Tuberculosis and Lung Disease: The Official Journal of the International Union Against Tuberculosis and Lung Disease","ISSN":"1027-3719","issue":"11","journalAbbreviation":"Int. J. Tuberc. Lung Dis.","language":"eng","note":"PMID: 15581198","page":"1315-1320","source":"PubMed","title":"The impact of altitude on mortality from tuberculosis and pneumonia","volume":"8","author":[{"family":"Pérez-Padilla","given":"R."},{"family":"Franco-Marina","given":"F."}],"issued":{"date-parts":[["2004",11]]}},"label":"page"}],"schema":"https://github.com/citation-style-language/schema/raw/master/csl-citation.json"} </w:instrText>
      </w:r>
      <w:r w:rsidRPr="006A0823">
        <w:rPr>
          <w:color w:val="2B579A"/>
          <w:shd w:val="clear" w:color="auto" w:fill="E6E6E6"/>
          <w:lang w:val="en-GB"/>
        </w:rPr>
        <w:fldChar w:fldCharType="separate"/>
      </w:r>
      <w:r w:rsidR="00851DCE" w:rsidRPr="006A0823">
        <w:rPr>
          <w:sz w:val="22"/>
          <w:vertAlign w:val="superscript"/>
        </w:rPr>
        <w:t>29–31</w:t>
      </w:r>
      <w:r w:rsidRPr="006A0823">
        <w:rPr>
          <w:color w:val="2B579A"/>
          <w:shd w:val="clear" w:color="auto" w:fill="E6E6E6"/>
          <w:lang w:val="en-GB"/>
        </w:rPr>
        <w:fldChar w:fldCharType="end"/>
      </w:r>
      <w:r w:rsidRPr="006A0823">
        <w:rPr>
          <w:lang w:val="en-GB"/>
        </w:rPr>
        <w:t xml:space="preserve">. Altitude and humidity are believed to be a predictor of transmission and several studies have found greater mortality due to pneumonia at higher elevations, possibly due to decreased oxygen concentration at higher altitudes. The proportion of the population living below 100 meters above sea-level by location was obtained from </w:t>
      </w:r>
      <w:r w:rsidR="00D6465A" w:rsidRPr="006A0823">
        <w:rPr>
          <w:lang w:val="en-GB"/>
        </w:rPr>
        <w:t>GBD.</w:t>
      </w:r>
      <w:r w:rsidRPr="006A0823">
        <w:rPr>
          <w:color w:val="2B579A"/>
          <w:shd w:val="clear" w:color="auto" w:fill="E6E6E6"/>
          <w:lang w:val="en-GB"/>
        </w:rPr>
        <w:fldChar w:fldCharType="begin"/>
      </w:r>
      <w:r w:rsidR="00851DCE" w:rsidRPr="006A0823">
        <w:rPr>
          <w:lang w:val="en-GB"/>
        </w:rPr>
        <w:instrText xml:space="preserve"> ADDIN ZOTERO_ITEM CSL_CITATION {"citationID":"CaWhTlz0","properties":{"formattedCitation":"\\super 32\\nosupersub{}","plainCitation":"32","noteIndex":0},"citationItems":[{"id":2836,"uris":["http://zotero.org/groups/2154524/items/DBRJL6JD"],"itemData":{"id":2836,"type":"report","event-place":"Seattle, WA","publisher":"Institute for Health Metrics and Evaluation","publisher-place":"Seattle, WA","title":"Global Burden of Disease Study 2015 (GBD 2015) Covariates 1980-2015","URL":"http://ghdx.healthdata.org/record/ihme-data/gbd-2015-covariates-1980-2015","author":[{"family":"Global Burden of Disease Collaborative Network","given":""}],"accessed":{"date-parts":[["2020",7,8]]},"issued":{"date-parts":[["2016"]]}}}],"schema":"https://github.com/citation-style-language/schema/raw/master/csl-citation.json"} </w:instrText>
      </w:r>
      <w:r w:rsidRPr="006A0823">
        <w:rPr>
          <w:color w:val="2B579A"/>
          <w:shd w:val="clear" w:color="auto" w:fill="E6E6E6"/>
          <w:lang w:val="en-GB"/>
        </w:rPr>
        <w:fldChar w:fldCharType="separate"/>
      </w:r>
      <w:r w:rsidR="00851DCE" w:rsidRPr="006A0823">
        <w:rPr>
          <w:sz w:val="22"/>
          <w:vertAlign w:val="superscript"/>
        </w:rPr>
        <w:t>32</w:t>
      </w:r>
      <w:r w:rsidRPr="006A0823">
        <w:rPr>
          <w:color w:val="2B579A"/>
          <w:shd w:val="clear" w:color="auto" w:fill="E6E6E6"/>
          <w:lang w:val="en-GB"/>
        </w:rPr>
        <w:fldChar w:fldCharType="end"/>
      </w:r>
    </w:p>
    <w:p w14:paraId="57B16F09" w14:textId="57929A08" w:rsidR="000D62D5" w:rsidRPr="006A0823" w:rsidRDefault="54DA0AA3" w:rsidP="00BC3AE0">
      <w:pPr>
        <w:pStyle w:val="Heading3"/>
        <w:rPr>
          <w:lang w:val="en-GB"/>
        </w:rPr>
      </w:pPr>
      <w:bookmarkStart w:id="246" w:name="_Toc76457859"/>
      <w:bookmarkStart w:id="247" w:name="_Toc76653818"/>
      <w:bookmarkStart w:id="248" w:name="_Toc76726287"/>
      <w:bookmarkStart w:id="249" w:name="_Toc76727595"/>
      <w:bookmarkStart w:id="250" w:name="_Toc76840514"/>
      <w:bookmarkStart w:id="251" w:name="_Toc104249365"/>
      <w:bookmarkStart w:id="252" w:name="_Toc104252093"/>
      <w:bookmarkStart w:id="253" w:name="_Toc124499496"/>
      <w:r w:rsidRPr="006A0823">
        <w:rPr>
          <w:lang w:val="en-GB"/>
        </w:rPr>
        <w:t>Smoking</w:t>
      </w:r>
      <w:bookmarkEnd w:id="246"/>
      <w:bookmarkEnd w:id="247"/>
      <w:bookmarkEnd w:id="248"/>
      <w:bookmarkEnd w:id="249"/>
      <w:bookmarkEnd w:id="250"/>
      <w:bookmarkEnd w:id="251"/>
      <w:bookmarkEnd w:id="252"/>
      <w:bookmarkEnd w:id="253"/>
    </w:p>
    <w:p w14:paraId="0262E524" w14:textId="56EB6D15" w:rsidR="000D62D5" w:rsidRPr="006A0823" w:rsidRDefault="000D62D5" w:rsidP="00BC3AE0">
      <w:pPr>
        <w:rPr>
          <w:lang w:val="en-GB"/>
        </w:rPr>
      </w:pPr>
      <w:r w:rsidRPr="006A0823">
        <w:rPr>
          <w:lang w:val="en-GB"/>
        </w:rPr>
        <w:t xml:space="preserve">The adult (15+ years) age-standardized tobacco smoking prevalence in 2019 was used as a covariate. This covariate is from </w:t>
      </w:r>
      <w:r w:rsidR="00D6465A" w:rsidRPr="006A0823">
        <w:rPr>
          <w:lang w:val="en-GB"/>
        </w:rPr>
        <w:t>GBD</w:t>
      </w:r>
      <w:r w:rsidRPr="006A0823">
        <w:rPr>
          <w:lang w:val="en-GB"/>
        </w:rPr>
        <w:t xml:space="preserve"> 2019</w:t>
      </w:r>
      <w:r w:rsidR="001B4D9E" w:rsidRPr="006A0823">
        <w:rPr>
          <w:lang w:val="en-GB"/>
        </w:rPr>
        <w:t xml:space="preserve"> </w:t>
      </w:r>
      <w:r w:rsidRPr="006A0823">
        <w:rPr>
          <w:lang w:val="en-GB"/>
        </w:rPr>
        <w:t>and estimation methods are described in detail elsewhere.</w:t>
      </w:r>
      <w:r w:rsidR="007D5321" w:rsidRPr="006A0823">
        <w:rPr>
          <w:color w:val="2B579A"/>
          <w:shd w:val="clear" w:color="auto" w:fill="E6E6E6"/>
          <w:lang w:val="en-GB"/>
        </w:rPr>
        <w:fldChar w:fldCharType="begin"/>
      </w:r>
      <w:r w:rsidR="00851DCE" w:rsidRPr="006A0823">
        <w:rPr>
          <w:lang w:val="en-GB"/>
        </w:rPr>
        <w:instrText xml:space="preserve"> ADDIN ZOTERO_ITEM CSL_CITATION {"citationID":"a2b6rve21ua","properties":{"formattedCitation":"\\super 33\\nosupersub{}","plainCitation":"33","noteIndex":0},"citationItems":[{"id":933,"uris":["http://zotero.org/groups/2154524/items/4SX72QGS"],"itemData":{"id":933,"type":"article-journal","container-title":"The Lancet","note":"publisher: Elsevier","source":"Google Scholar","title":"Spatial, temporal, and demographic patterns in prevalence of smoking tobacco use and attributable disease burden in 204 countries and territories, 1990–2019: a systematic analysis from the Global Burden of Disease Study 2019","title-short":"Spatial, temporal, and demographic patterns in prevalence of smoking tobacco use and attributable disease burden in 204 countries and territories, 1990–2019","author":[{"family":"Reitsma","given":"Marissa B."},{"family":"Kendrick","given":"Parkes J."},{"family":"Ababneh","given":"Emad"},{"family":"Abbafati","given":"Cristiana"},{"family":"Abbasi-Kangevari","given":"Mohsen"},{"family":"Abdoli","given":"Amir"},{"family":"Abedi","given":"Aidin"},{"family":"Abhilash","given":"E. S."},{"family":"Abila","given":"Derrick Bary"},{"family":"Aboyans","given":"Victor"}],"issued":{"date-parts":[["2021"]]}}}],"schema":"https://github.com/citation-style-language/schema/raw/master/csl-citation.json"} </w:instrText>
      </w:r>
      <w:r w:rsidR="007D5321" w:rsidRPr="006A0823">
        <w:rPr>
          <w:color w:val="2B579A"/>
          <w:shd w:val="clear" w:color="auto" w:fill="E6E6E6"/>
          <w:lang w:val="en-GB"/>
        </w:rPr>
        <w:fldChar w:fldCharType="separate"/>
      </w:r>
      <w:r w:rsidR="00851DCE" w:rsidRPr="006A0823">
        <w:rPr>
          <w:sz w:val="22"/>
          <w:vertAlign w:val="superscript"/>
        </w:rPr>
        <w:t>33</w:t>
      </w:r>
      <w:r w:rsidR="007D5321" w:rsidRPr="006A0823">
        <w:rPr>
          <w:color w:val="2B579A"/>
          <w:shd w:val="clear" w:color="auto" w:fill="E6E6E6"/>
          <w:lang w:val="en-GB"/>
        </w:rPr>
        <w:fldChar w:fldCharType="end"/>
      </w:r>
      <w:r w:rsidRPr="006A0823">
        <w:rPr>
          <w:lang w:val="en-GB"/>
        </w:rPr>
        <w:t xml:space="preserve"> Briefly, we estimated the prevalence of current smokers (daily or occasional) using individual-level and aggregated available survey data. The prevalence was modelled using space-time Gaussian Process Regression to produce smoothed estimates by space, time, age, and sex. For this analysis, we used age-standardized prevalence among both sexes. Smoking prevalence is location-specific.</w:t>
      </w:r>
    </w:p>
    <w:p w14:paraId="23D9006C" w14:textId="5E47419A" w:rsidR="00981017" w:rsidRPr="006A0823" w:rsidRDefault="7054A835" w:rsidP="00BC3AE0">
      <w:pPr>
        <w:pStyle w:val="Heading3"/>
        <w:rPr>
          <w:lang w:val="en-GB"/>
        </w:rPr>
      </w:pPr>
      <w:bookmarkStart w:id="254" w:name="_Toc76457860"/>
      <w:bookmarkStart w:id="255" w:name="_Toc76653819"/>
      <w:bookmarkStart w:id="256" w:name="_Toc76726288"/>
      <w:bookmarkStart w:id="257" w:name="_Toc76727596"/>
      <w:bookmarkStart w:id="258" w:name="_Toc76840515"/>
      <w:bookmarkStart w:id="259" w:name="_Toc104249366"/>
      <w:bookmarkStart w:id="260" w:name="_Toc104252094"/>
      <w:bookmarkStart w:id="261" w:name="_Toc124499497"/>
      <w:r w:rsidRPr="006A0823">
        <w:rPr>
          <w:lang w:val="en-GB"/>
        </w:rPr>
        <w:lastRenderedPageBreak/>
        <w:t>Ambient particulate matter pollution</w:t>
      </w:r>
      <w:bookmarkEnd w:id="254"/>
      <w:bookmarkEnd w:id="255"/>
      <w:bookmarkEnd w:id="256"/>
      <w:bookmarkEnd w:id="257"/>
      <w:bookmarkEnd w:id="258"/>
      <w:bookmarkEnd w:id="259"/>
      <w:bookmarkEnd w:id="260"/>
      <w:bookmarkEnd w:id="261"/>
    </w:p>
    <w:p w14:paraId="5F3A4FF2" w14:textId="55FFDA1E" w:rsidR="00981017" w:rsidRPr="006A0823" w:rsidRDefault="00570A1F" w:rsidP="00BC3AE0">
      <w:pPr>
        <w:rPr>
          <w:lang w:val="en-GB"/>
        </w:rPr>
      </w:pPr>
      <w:r w:rsidRPr="006A0823">
        <w:rPr>
          <w:lang w:val="en-GB"/>
        </w:rPr>
        <w:t xml:space="preserve">Ambient particulate matter pollution is a covariate from </w:t>
      </w:r>
      <w:r w:rsidR="00D6465A" w:rsidRPr="006A0823">
        <w:rPr>
          <w:lang w:val="en-GB"/>
        </w:rPr>
        <w:t>GBD</w:t>
      </w:r>
      <w:r w:rsidRPr="006A0823">
        <w:rPr>
          <w:lang w:val="en-GB"/>
        </w:rPr>
        <w:t xml:space="preserve"> 2019</w:t>
      </w:r>
      <w:r w:rsidR="00F7557E" w:rsidRPr="006A0823">
        <w:rPr>
          <w:color w:val="2B579A"/>
          <w:shd w:val="clear" w:color="auto" w:fill="E6E6E6"/>
          <w:lang w:val="en-GB"/>
        </w:rPr>
        <w:fldChar w:fldCharType="begin"/>
      </w:r>
      <w:r w:rsidR="00851DCE" w:rsidRPr="006A0823">
        <w:rPr>
          <w:lang w:val="en-GB"/>
        </w:rPr>
        <w:instrText xml:space="preserve"> ADDIN ZOTERO_ITEM CSL_CITATION {"citationID":"puJVvyEz","properties":{"formattedCitation":"\\super 34\\nosupersub{}","plainCitation":"34","noteIndex":0},"citationItems":[{"id":957,"uris":["http://zotero.org/groups/2154524/items/SLRDN2NB"],"itemData":{"id":957,"type":"article-journal","abstract":"&lt;h2&gt;Summary&lt;/h2&gt;&lt;h3&gt;Background&lt;/h3&gt;&lt;p&gt;Rigorous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00F7557E" w:rsidRPr="006A0823">
        <w:rPr>
          <w:color w:val="2B579A"/>
          <w:shd w:val="clear" w:color="auto" w:fill="E6E6E6"/>
          <w:lang w:val="en-GB"/>
        </w:rPr>
        <w:fldChar w:fldCharType="separate"/>
      </w:r>
      <w:r w:rsidR="00851DCE" w:rsidRPr="006A0823">
        <w:rPr>
          <w:sz w:val="22"/>
          <w:vertAlign w:val="superscript"/>
        </w:rPr>
        <w:t>34</w:t>
      </w:r>
      <w:r w:rsidR="00F7557E" w:rsidRPr="006A0823">
        <w:rPr>
          <w:color w:val="2B579A"/>
          <w:shd w:val="clear" w:color="auto" w:fill="E6E6E6"/>
          <w:lang w:val="en-GB"/>
        </w:rPr>
        <w:fldChar w:fldCharType="end"/>
      </w:r>
      <w:r w:rsidRPr="006A0823">
        <w:rPr>
          <w:lang w:val="en-GB"/>
        </w:rPr>
        <w:t xml:space="preserve"> and is defined as the population-weighted mean exposure to air particles with an aerodynamic diameter less than 2.5 micrometres per cubic meter of air. Input data for this model come from satellite observations, ground measurements, land use data, and chemical transport model simulations. Estimates are produced on a geospatial resolution and aggregated to the national level by population-weighting. This covariate is location-specific.</w:t>
      </w:r>
    </w:p>
    <w:p w14:paraId="56231B80" w14:textId="0BF0E069" w:rsidR="00981017" w:rsidRPr="006A0823" w:rsidRDefault="3DEBDE38" w:rsidP="00BC3AE0">
      <w:pPr>
        <w:pStyle w:val="Heading3"/>
        <w:rPr>
          <w:lang w:val="en-GB"/>
        </w:rPr>
      </w:pPr>
      <w:bookmarkStart w:id="262" w:name="_Toc76457861"/>
      <w:bookmarkStart w:id="263" w:name="_Toc76653820"/>
      <w:bookmarkStart w:id="264" w:name="_Toc76726289"/>
      <w:bookmarkStart w:id="265" w:name="_Toc76727597"/>
      <w:bookmarkStart w:id="266" w:name="_Toc76840516"/>
      <w:bookmarkStart w:id="267" w:name="_Toc104249367"/>
      <w:bookmarkStart w:id="268" w:name="_Toc104252095"/>
      <w:bookmarkStart w:id="269" w:name="_Toc124499498"/>
      <w:r w:rsidRPr="006A0823">
        <w:rPr>
          <w:lang w:val="en-GB"/>
        </w:rPr>
        <w:t xml:space="preserve">Population </w:t>
      </w:r>
      <w:r w:rsidR="04B63ECB" w:rsidRPr="006A0823">
        <w:rPr>
          <w:lang w:val="en-GB"/>
        </w:rPr>
        <w:t>d</w:t>
      </w:r>
      <w:r w:rsidRPr="006A0823">
        <w:rPr>
          <w:lang w:val="en-GB"/>
        </w:rPr>
        <w:t>ensity</w:t>
      </w:r>
      <w:bookmarkEnd w:id="262"/>
      <w:bookmarkEnd w:id="263"/>
      <w:bookmarkEnd w:id="264"/>
      <w:bookmarkEnd w:id="265"/>
      <w:bookmarkEnd w:id="266"/>
      <w:bookmarkEnd w:id="267"/>
      <w:bookmarkEnd w:id="268"/>
      <w:bookmarkEnd w:id="269"/>
    </w:p>
    <w:p w14:paraId="6B08ECD0" w14:textId="288FBCB8" w:rsidR="00570A1F" w:rsidRPr="006A0823" w:rsidRDefault="00570A1F" w:rsidP="00BC3AE0">
      <w:pPr>
        <w:rPr>
          <w:lang w:val="en-GB"/>
        </w:rPr>
      </w:pPr>
      <w:r w:rsidRPr="006A0823">
        <w:rPr>
          <w:lang w:val="en-GB"/>
        </w:rPr>
        <w:t>Population density per pixel was calculated using Worldpop total population rasters and an area raster,</w:t>
      </w:r>
      <w:r w:rsidRPr="006A0823">
        <w:rPr>
          <w:color w:val="2B579A"/>
          <w:shd w:val="clear" w:color="auto" w:fill="E6E6E6"/>
          <w:lang w:val="en-GB"/>
        </w:rPr>
        <w:fldChar w:fldCharType="begin"/>
      </w:r>
      <w:r w:rsidR="00851DCE" w:rsidRPr="006A0823">
        <w:rPr>
          <w:lang w:val="en-GB"/>
        </w:rPr>
        <w:instrText xml:space="preserve"> ADDIN ZOTERO_ITEM CSL_CITATION {"citationID":"W54ap7jq","properties":{"formattedCitation":"\\super 35\\nosupersub{}","plainCitation":"35","noteIndex":0},"citationItems":[{"id":4502,"uris":["http://zotero.org/groups/2154524/items/M4CBLC7Z"],"itemData":{"id":4502,"type":"webpage","title":"WorldPop Population Dataset","URL":"https://www.worldpop.org/project/categories?id=3","author":[{"literal":"WorldPop"}],"accessed":{"date-parts":[["2019",10,4]]},"issued":{"date-parts":[["2019",10,4]]}}}],"schema":"https://github.com/citation-style-language/schema/raw/master/csl-citation.json"} </w:instrText>
      </w:r>
      <w:r w:rsidRPr="006A0823">
        <w:rPr>
          <w:color w:val="2B579A"/>
          <w:shd w:val="clear" w:color="auto" w:fill="E6E6E6"/>
          <w:lang w:val="en-GB"/>
        </w:rPr>
        <w:fldChar w:fldCharType="separate"/>
      </w:r>
      <w:r w:rsidR="00851DCE" w:rsidRPr="006A0823">
        <w:rPr>
          <w:sz w:val="22"/>
          <w:vertAlign w:val="superscript"/>
        </w:rPr>
        <w:t>35</w:t>
      </w:r>
      <w:r w:rsidRPr="006A0823">
        <w:rPr>
          <w:color w:val="2B579A"/>
          <w:shd w:val="clear" w:color="auto" w:fill="E6E6E6"/>
          <w:lang w:val="en-GB"/>
        </w:rPr>
        <w:fldChar w:fldCharType="end"/>
      </w:r>
      <w:r w:rsidRPr="006A0823">
        <w:rPr>
          <w:lang w:val="en-GB"/>
        </w:rPr>
        <w:t xml:space="preserve"> and is represented as the percentage of the population living in areas denser than </w:t>
      </w:r>
      <w:r w:rsidR="00841457" w:rsidRPr="006A0823">
        <w:rPr>
          <w:lang w:val="en-GB"/>
        </w:rPr>
        <w:t>2,500</w:t>
      </w:r>
      <w:r w:rsidRPr="006A0823">
        <w:rPr>
          <w:lang w:val="en-GB"/>
        </w:rPr>
        <w:t xml:space="preserve"> people per square kilometre (km</w:t>
      </w:r>
      <w:r w:rsidRPr="006A0823">
        <w:rPr>
          <w:vertAlign w:val="superscript"/>
          <w:lang w:val="en-GB"/>
        </w:rPr>
        <w:t>2</w:t>
      </w:r>
      <w:r w:rsidRPr="006A0823">
        <w:rPr>
          <w:lang w:val="en-GB"/>
        </w:rPr>
        <w:t xml:space="preserve">) for a given country. By location, we determined the proportion of the population living in discrete categories of density and aggregated categories less than </w:t>
      </w:r>
      <w:r w:rsidR="00841457" w:rsidRPr="006A0823">
        <w:rPr>
          <w:lang w:val="en-GB"/>
        </w:rPr>
        <w:t>2,500</w:t>
      </w:r>
      <w:r w:rsidRPr="006A0823">
        <w:rPr>
          <w:lang w:val="en-GB"/>
        </w:rPr>
        <w:t xml:space="preserve"> per km</w:t>
      </w:r>
      <w:r w:rsidRPr="006A0823">
        <w:rPr>
          <w:vertAlign w:val="superscript"/>
          <w:lang w:val="en-GB"/>
        </w:rPr>
        <w:t>2</w:t>
      </w:r>
      <w:r w:rsidRPr="006A0823">
        <w:rPr>
          <w:lang w:val="en-GB"/>
        </w:rPr>
        <w:t xml:space="preserve"> for this analysis, using 2020 estimates to approximate population. The raster based Worldpop estimates were adjusted to match the country-totals from </w:t>
      </w:r>
      <w:r w:rsidR="00D6465A" w:rsidRPr="006A0823">
        <w:rPr>
          <w:lang w:val="en-GB"/>
        </w:rPr>
        <w:t>GBD</w:t>
      </w:r>
      <w:r w:rsidR="00A767EA" w:rsidRPr="006A0823">
        <w:rPr>
          <w:lang w:val="en-GB"/>
        </w:rPr>
        <w:t>.</w:t>
      </w:r>
      <w:r w:rsidR="00A767EA" w:rsidRPr="006A0823">
        <w:rPr>
          <w:color w:val="2B579A"/>
          <w:shd w:val="clear" w:color="auto" w:fill="E6E6E6"/>
          <w:lang w:val="en-GB"/>
        </w:rPr>
        <w:fldChar w:fldCharType="begin"/>
      </w:r>
      <w:r w:rsidR="00851DCE" w:rsidRPr="006A0823">
        <w:rPr>
          <w:lang w:val="en-GB"/>
        </w:rPr>
        <w:instrText xml:space="preserve"> ADDIN ZOTERO_ITEM CSL_CITATION {"citationID":"gE4Zhw51","properties":{"formattedCitation":"\\super 36,37\\nosupersub{}","plainCitation":"36,37","noteIndex":0},"citationItems":[{"id":951,"uris":["http://zotero.org/groups/2154524/items/6GM58PCD"],"itemData":{"id":951,"type":"webpage","title":"Population counts","URL":"https://www.worldpop.org/project/categories?id=3","author":[{"literal":"World Pop"}],"accessed":{"date-parts":[["2021",7,4]]},"issued":{"date-parts":[["2021"]]}},"label":"page"},{"id":1094,"uris":["http://zotero.org/groups/2154524/items/QIY46N7G"],"itemData":{"id":1094,"type":"article-journal","abstract":"&lt;h2&gt;Summary&lt;/h2&gt;&lt;h3&gt;Background&lt;/h3&gt;&lt;p&gt;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2019.&lt;/p&gt;&lt;h3&gt;Methods&lt;/h3&gt;&lt;p&gt;8078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standard demographic methods. Uncertainty was propagated throughout the demographic estimation process, including fertility, mortality, and population, with 1000 draw-level estimates produced for each metric.&lt;/p&gt;&lt;h3&gt;Findings&lt;/h3&gt;&lt;p&gt;The global TFR decreased from 2·72 (95% uncertainty interval [UI] 2·66–2·79) in 2000 to 2·31 (2·17–2·46) in 2019. Global annual livebirths increased from 134·5 million (131·5–137·8) in 2000 to a peak of 139·6 million (133·0–146·9) in 2016. Global livebirths then declined to 135·3 million (127·2–144·1) in 2019. Of the 204 countries and territories included in this study, in 2019, 102 had a TFR lower than 2·1, which is considered a good approximation of replacement-level fertility. All countries in sub-Saharan Africa had TFRs above replacement level in 2019 and accounted for 27·1% (95% UI 26·4–27·8) of global livebirths. Global life expectancy at birth increased from 67·2 years (95% UI 66·8–67·6) in 2000 to 73·5 years (72·8–74·3) in 2019. The total number of deaths increased from 50·7 million (49·5–51·9) in 2000 to 56·5 million (53·7–59·2) in 2019. Under-5 deaths declined from 9·6 million (9·1–10·3) in 2000 to 5·0 million (4·3–6·0) in 2019. Global population increased by 25·7%, from 6·2 billion (6·0–6·3) in 2000 to 7·7 billion (7·5–8·0) in 2019. In 2019, 34 countries had negative natural rates of increase; in 17 of these, the population declined because immigration was not sufficient to counteract the negative rate of decline. Globally, HALE increased from 58·6 years (56·1–60·8) in 2000 to 63·5 years (60·8–66·1) in 2019. HALE increased in 202 of 204 countries and territories between 2000 and 2019.&lt;/p&gt;&lt;h3&gt;Interpretation&lt;/h3&gt;&lt;p&gt;Over the past 20 years, fertility rates have been dropping steadily and life expectancy has been increasing, with few exceptions. Much of this change follows historical patterns linking social and economic determinants, such as those captured by the GBD Socio-demographic Index, with demographic outcomes. More recently, several countries have experienced a combination of low fertility and stagnating improvement in mortality rates, pushing more populations into the late stages of the demographic transition. Tracking demographic change and the emergence of new patterns will be essential for global health monitoring.&lt;/p&gt;&lt;h3&gt;Funding&lt;/h3&gt;&lt;p&gt;Bill &amp; Melinda Gates Foundation.&lt;/p&gt;","container-title":"Lancet","DOI":"10.1016/S0140-6736(20)30977-6","ISSN":"0140-6736, 1474-547X","issue":"10258","journalAbbreviation":"Lancet","language":"English","note":"publisher: Elsevier\nPMID: 33069325","page":"1160-1203","source":"www.thelancet.com","title":"Global age-sex-specific fertility, mortality, healthy life expectancy (HALE), and population estimates in 204 countries and territories, 1950–2019: a comprehensive demographic analysis for the Global Burden of Disease Study 2019","title-short":"Global age-sex-specific fertility, mortality, healthy life expectancy (HALE), and population estimates in 204 countries and territories, 1950–2019","volume":"396","author":[{"family":"Wang","given":"Haidong"},{"family":"Abbas","given":"Kaja M."},{"family":"Abbasifard","given":"Mitra"},{"family":"Abbasi-Kangevari","given":"Mohsen"},{"family":"Abbastabar","given":"Hedayat"},{"family":"Abd-Allah","given":"Foad"},{"family":"Abdelalim","given":"Ahmed"},{"family":"Abolhassani","given":"Hassan"},{"family":"Abreu","given":"Lucas Guimarães"},{"family":"Abrigo","given":"Michael R. M."},{"family":"Abushouk","given":"Abdelrahman I."},{"family":"Adabi","given":"Maryam"},{"family":"Adair","given":"Tim"},{"family":"Adebayo","given":"Oladimeji M."},{"family":"Adedeji","given":"Isaac Akinkunmi"},{"family":"Adekanmbi","given":"Victor"},{"family":"Adeoye","given":"Abiodun Moshood"},{"family":"Adetokunboh","given":"Olatunji O."},{"family":"Advani","given":"Shailesh M."},{"family":"Afshin","given":"Ashkan"},{"family":"Aghaali","given":"Mohammad"},{"family":"Agrawal","given":"Anurag"},{"family":"Ahmadi","given":"Keivan"},{"family":"Ahmadieh","given":"Hamid"},{"family":"Ahmed","given":"Muktar Beshir"},{"family":"Al-Aly","given":"Ziyad"},{"family":"Alam","given":"Khurshid"},{"family":"Alam","given":"Tahiya"},{"family":"Alanezi","given":"Fahad Mashhour"},{"family":"Alanzi","given":"Turki M."},{"family":"Alcalde-Rabanal","given":"Jacqueline Elizabeth"},{"family":"Ali","given":"Muhammad"},{"family":"Alicandro","given":"Gianfranco"},{"family":"Alijanzadeh","given":"Mehran"},{"family":"Alinia","given":"Cyrus"},{"family":"Alipour","given":"Vahid"},{"family":"Alizade","given":"Hesam"},{"family":"Aljunid","given":"Syed Mohamed"},{"family":"Allebeck","given":"Peter"},{"family":"Almadi","given":"Majid Abdulrahman Hamad"},{"family":"Almasi-Hashiani","given":"Amir"},{"family":"Al-Mekhlafi","given":"Hesham M."},{"family":"Altirkawi","given":"Khalid A."},{"family":"Alumran","given":"Arwa Khalid"},{"family":"Alvis-Guzman","given":"Nelson"},{"family":"Amini-Rarani","given":"Mostafa"},{"family":"Aminorroaya","given":"Arya"},{"family":"Amit","given":"Arianna Maever L."},{"family":"Ancuceanu","given":"Robert"},{"family":"Andrei","given":"Catalina Liliana"},{"family":"Androudi","given":"Sofia"},{"family":"Angus","given":"Colin"},{"family":"Anjomshoa","given":"Mina"},{"family":"Ansari","given":"Fereshteh"},{"family":"Ansari","given":"Iman"},{"family":"Ansari-Moghaddam","given":"Alireza"},{"family":"Antonio","given":"Carl Abelardo T."},{"family":"Antony","given":"Catherine M."},{"family":"Anvari","given":"Davood"},{"family":"Appiah","given":"Seth Christopher Yaw"},{"family":"Arabloo","given":"Jalal"},{"family":"Arab-Zozani","given":"Morteza"},{"family":"Aravkin","given":"Aleksandr Y."},{"family":"Aremu","given":"Olatunde"},{"family":"Ärnlöv","given":"Johan"},{"family":"Aryal","given":"Krishna K."},{"family":"Asadi-Pooya","given":"Ali A."},{"family":"Asgari","given":"Samaneh"},{"family":"Jafarabadi","given":"Mohammad Asghari"},{"family":"Atteraya","given":"Madhu Sudhan"},{"family":"Ausloos","given":"Marcel"},{"family":"Avila-Burgos","given":"Leticia"},{"family":"Avokpaho","given":"Euripide Frinel Gbenato Arthur"},{"family":"Quintanilla","given":"Beatriz Paulina Ayala"},{"family":"Ayano","given":"Getinet"},{"family":"Ayanore","given":"Martin Amogre"},{"family":"Azarian","given":"Ghasem"},{"family":"Babaee","given":"Ebrahim"},{"family":"Badiye","given":"Ashish D."},{"family":"Bagli","given":"Eleni"},{"family":"Bahrami","given":"Mohammad Amin"},{"family":"Bakhtiari","given":"Ahad"},{"family":"Balassyano","given":"Shelly"},{"family":"Banach","given":"Maciej"},{"family":"Banik","given":"Palash Chandra"},{"family":"Barker-Collo","given":"Suzanne Lyn"},{"family":"Bärnighausen","given":"Till Winfried"},{"family":"Barzegar","given":"Akbar"},{"family":"Basu","given":"Sanjay"},{"family":"Baune","given":"Bernhard T."},{"family":"Bayati","given":"Mohsen"},{"family":"Bazmandegan","given":"Gholamreza"},{"family":"Bedi","given":"Neeraj"},{"family":"Bell","given":"Michellr L."},{"family":"Bennett","given":"Derrick A."},{"family":"Bensenor","given":"Isabela M."},{"family":"Berhe","given":"Kidanemaryam"},{"family":"Berman","given":"Adam E."},{"family":"Bertolacci","given":"Gregory J."},{"family":"Bhageerathy","given":"Reshmi"},{"family":"Bhala","given":"Neeraj"},{"family":"Bhattacharyya","given":"Krittika"},{"family":"Bhutta","given":"Zulfiqar A."},{"family":"Bijani","given":"Ali"},{"family":"Biondi","given":"Antonio"},{"family":"Bisanzio","given":"Donal"},{"family":"Bisignano","given":"Catherine"},{"family":"Biswas","given":"Raaj Kishore"},{"family":"Bjørge","given":"Tone"},{"family":"Bohlouli","given":"Somayeh"},{"family":"Bohluli","given":"Mehdi"},{"family":"Bolla","given":"Srinivasa Rao Rao"},{"family":"Borzì","given":"Antonio Maria"},{"family":"Borzouei","given":"Shiva"},{"family":"Brady","given":"Oliver J."},{"family":"Braithwaite","given":"Dejana"},{"family":"Brauer","given":"Michael"},{"family":"Briko","given":"Andrey Nikolaevich"},{"family":"Briko","given":"Nikolay Ivanovich"},{"family":"Bumgarner","given":"Blair R."},{"family":"Nagaraja","given":"Sharath Burugina"},{"family":"Butt","given":"Zahid A."},{"family":"Santos","given":"Florentino Luciano Caetano","dropping-particle":"dos"},{"family":"Cai","given":"Tianji"},{"family":"Callender","given":"Charlton SKH"},{"family":"Cámera","given":"Luis LA Alberto"},{"family":"Campos-Nonato","given":"Ismael R."},{"family":"Cárdenas","given":"Rosario"},{"family":"Carreras","given":"Giulia"},{"family":"Carrero","given":"Juan J."},{"family":"Carvalho","given":"Felix"},{"family":"Castaldelli-Maia","given":"Joao Mauricio"},{"family":"Castelpietra","given":"Giulio"},{"family":"Castro","given":"Franz"},{"family":"Catalá-López","given":"Ferrán"},{"family":"Cederroth","given":"Christopher R."},{"family":"Cerin","given":"Ester"},{"family":"Chattu","given":"Vijay Kumar"},{"family":"Chin","given":"Ken Lee"},{"family":"Chu","given":"Dinh-Toi"},{"family":"Ciobanu","given":"Liliana G."},{"family":"Cirillo","given":"Massimo"},{"family":"Comfort","given":"Haley"},{"family":"Costa","given":"Vera Marisa"},{"family":"Cowden","given":"Richard G."},{"family":"Cromwell","given":"Elizabeth A."},{"family":"Croneberger","given":"Andrew J."},{"family":"Cunningham","given":"Matthew"},{"family":"Dahlawi","given":"Saad M. A."},{"family":"Damiani","given":"Giovanni"},{"family":"D'Amico","given":"Emanuele"},{"family":"Dandona","given":"Lalit"},{"family":"Dandona","given":"Rakhi"},{"family":"Dargan","given":"Paul I."},{"family":"Darwesh","given":"Aso Mohammad"},{"family":"Daryani","given":"Ahmad"},{"family":"Gupta","given":"Rajat Das"},{"family":"Neves","given":"José","dropping-particle":"das"},{"family":"Davletov","given":"Kairat"},{"family":"Leo","given":"Diego De"},{"family":"Denova-Gutiérrez","given":"Edgar"},{"family":"Deribe","given":"Kebede"},{"family":"Dervenis","given":"Nikolaos"},{"family":"Desai","given":"Rupak"},{"family":"Dhungana","given":"Govinda Prasad"},{"family":"Silva","given":"Diana Dias","dropping-particle":"da"},{"family":"Diaz","given":"Daniel"},{"family":"Dippenaar","given":"Ilse N."},{"family":"Djalalinia","given":"Shirin"},{"family":"Do","given":"Hoa Thi"},{"family":"Dokova","given":"Klara"},{"family":"Doku","given":"David Teye"},{"family":"Dorostkar","given":"Fariba"},{"family":"Doshi","given":"Chirag P."},{"family":"Doshmangir","given":"Leila"},{"family":"Doyle","given":"Kerrie E."},{"family":"Dubljanin","given":"Eleonora"},{"family":"Duraes","given":"Andre Rodrigues"},{"family":"Edvardsson","given":"David"},{"family":"Effiong","given":"Andem"},{"family":"Sayed","given":"Iman El"},{"family":"Tantawi","given":"Maha El"},{"family":"Elbarazi","given":"Iffat"},{"family":"El-Jaafary","given":"Shaimaa I."},{"family":"Emamian","given":"Mohammad Hassan"},{"family":"Eskandarieh","given":"Sharareh"},{"family":"Esmaeilzadeh","given":"Firooz"},{"family":"Estep","given":"Kara"},{"family":"Farahmand","given":"Mohammad"},{"family":"Faraj","given":"Anwar"},{"family":"Fareed","given":"Mohammad"},{"family":"Faridnia","given":"Roghiyeh"},{"family":"Faro","given":"Andre"},{"family":"Farzadfar","given":"Farshad"},{"family":"Fattahi","given":"Nazir"},{"family":"Fazaeli","given":"Ali Akbar"},{"family":"Fazlzadeh","given":"Mehdi"},{"family":"Feigin","given":"Valery L."},{"family":"Fereshtehnejad","given":"Seyed-Mohammad"},{"family":"Fernandes","given":"Eduarda"},{"family":"Ferreira","given":"Manuela L."},{"family":"Filip","given":"Irina"},{"family":"Fischer","given":"Florian"},{"family":"Flohr","given":"Carsten"},{"family":"Foigt","given":"Nataliya A."},{"family":"Folayan","given":"Morenike Oluwatoyin"},{"family":"Fomenkov","given":"Artem Alekseevich"},{"family":"Freitas","given":"Marisa"},{"family":"Fukumoto","given":"Takeshi"},{"family":"Fuller","given":"John E."},{"family":"Furtado","given":"João M."},{"family":"Gad","given":"Mohamed M."},{"family":"Gakidou","given":"Emmanuela"},{"family":"Gallus","given":"Silvano"},{"family":"Gebrehiwot","given":"Abiyu Mekonnen"},{"family":"Gebremedhin","given":"Ketema Bizuwork"},{"family":"Gething","given":"Peter W."},{"family":"Ghamari","given":"Farhad"},{"family":"Ghashghaee","given":"Ahmad"},{"family":"Gholamian","given":"Asadollah"},{"family":"Gilani","given":"Syed Amir"},{"family":"Gitimoghaddam","given":"Mojgan"},{"family":"Glushkova","given":"Ekaterina Vladimirovna"},{"family":"Gnedovskaya","given":"Elena V."},{"family":"Gopalani","given":"Sameer Vali"},{"family":"Goulart","given":"Alessandra C."},{"family":"Gugnani","given":"Harish Chander"},{"family":"Guo","given":"Yuming"},{"family":"Gupta","given":"Rajeev"},{"family":"Gupta","given":"Subodh Sharan"},{"family":"Haagsma","given":"Juanita A."},{"family":"Haj-Mirzaian","given":"Arvin"},{"family":"Haj-Mirzaian","given":"Arya"},{"family":"Halvaei","given":"Iman"},{"family":"Hamadeh","given":"Randah R."},{"family":"Abdullah","given":"Kanaan Hamagharib"},{"family":"Han","given":"Chieh"},{"family":"Handiso","given":"Demelash Woldeyohannes"},{"family":"Hankey","given":"Graeme J."},{"family":"Haririan","given":"Hamidreza"},{"family":"Haro","given":"Josep Maria"},{"family":"Hasaballah","given":"Ahmed I."},{"family":"Hassanipour","given":"Soheil"},{"family":"Hassankhani","given":"Hadi"},{"family":"Hay","given":"Simon I."},{"family":"Heibati","given":"Behzad"},{"family":"Heidari-Soureshjani","given":"Reza"},{"family":"Henny","given":"Kiana"},{"family":"Henry","given":"Nathaniel J."},{"family":"Herteliu","given":"Claudiu"},{"family":"Heydarpour","given":"Fatemeh"},{"family":"Hole","given":"Michael K."},{"family":"Hoogar","given":"Praveen"},{"family":"Hosgood","given":"H. Dean"},{"family":"Hossain","given":"Naznin"},{"family":"Hosseinzadeh","given":"Mehdi"},{"family":"Hostiuc","given":"Mihaela"},{"family":"Hostiuc","given":"Sorin"},{"family":"Househ","given":"Mowafa"},{"family":"Hoy","given":"Damian G."},{"family":"Hu","given":"Guoqing"},{"family":"Huda","given":"Tanvir M."},{"family":"Ibitoye","given":"Segun Emmanuel"},{"family":"Ikuta","given":"Kevin S."},{"family":"Ilesanmi","given":"Olayinka Stephen"},{"family":"Ilic","given":"Irena M."},{"family":"Ilic","given":"Milena D."},{"family":"Imani-Nasab","given":"Mohammad Hasan"},{"family":"Islam","given":"MdMohaimenul"},{"family":"Iso","given":"Hiroyasu"},{"family":"Iwu","given":"Chinwe Juliana"},{"family":"Jaafari","given":"Jalil"},{"family":"Jacobsen","given":"Kathryn H."},{"family":"Jahagirdar","given":"Deepa"},{"family":"Jahanmehr","given":"Nader"},{"family":"Jalali","given":"Amir"},{"family":"Jalilian","given":"Farzad"},{"family":"James","given":"Spencer L."},{"family":"Janjani","given":"Hosna"},{"family":"Jenabi","given":"Ensiyeh"},{"family":"Jha","given":"Ravi Prakash"},{"family":"Jha","given":"Vivekanand"},{"family":"Ji","given":"John S."},{"family":"Jonas","given":"Jost B."},{"family":"Joukar","given":"Farahnaz"},{"family":"Jozwiak","given":"Jacek Jerzy"},{"family":"Jürisson","given":"Mikk"},{"family":"Kabir","given":"Zubair"},{"family":"Kalani","given":"Hamed"},{"family":"Kalankesh","given":"Leila R."},{"family":"Kamiab","given":"Zahra"},{"family":"Kanchan","given":"Tanuj"},{"family":"Kapoor","given":"Neeti"},{"family":"Karch","given":"André"},{"family":"Karimi","given":"Salah Eddin"},{"family":"Karimi","given":"Seyed Asaad"},{"family":"Kassebaum","given":"Nicholas J."},{"family":"Katikireddi","given":"Srinivasa Vittal"},{"family":"Kawakami","given":"Norito"},{"family":"Kayode","given":"Gbenga A."},{"family":"Keiyoro","given":"Peter Njenga"},{"family":"Keller","given":"Cathleen"},{"family":"Khader","given":"Yousef Saleh"},{"family":"Khalid","given":"Nauman"},{"family":"Khan","given":"Ejaz Ahmad"},{"family":"Khan","given":"Maseer"},{"family":"Khang","given":"Young-Ho"},{"family":"Khater","given":"Amir M."},{"family":"Khater","given":"Mona M."},{"family":"Khazaei","given":"Salman"},{"family":"Khazaie","given":"Habibolah"},{"family":"Khodayari","given":"Mohammad Taghi"},{"family":"Khubchandani","given":"Jagdish"},{"family":"Kianipour","given":"Neda"},{"family":"Kim","given":"Cho-il"},{"family":"Kim","given":"Young-Eun"},{"family":"Kim","given":"Yun Jin"},{"family":"Kinfu","given":"Yohannes"},{"family":"Kisa","given":"Adnan"},{"family":"Kisa","given":"Sezer"},{"family":"Kissimova-Skarbek","given":"Katarzyna"},{"family":"Kivimäki","given":"Mika"},{"family":"Komaki","given":"Hamidreza"},{"family":"Kopec","given":"Jacek A."},{"family":"Kosen","given":"Soewarta"},{"family":"Koul","given":"Parvaiz A."},{"family":"Koyanagi","given":"Ai"},{"family":"Kravchenko","given":"Michael A."},{"family":"Krishan","given":"Kewal"},{"family":"Krohn","given":"Kris J."},{"family":"Defo","given":"Barthelemy Kuate"},{"family":"Kumar","given":"G. Anil"},{"family":"Kumar","given":"Manasi"},{"family":"Kumar","given":"Pushpendra"},{"family":"Kumar","given":"Vivek"},{"family":"Kusuma","given":"Dian"},{"family":"Kyu","given":"Hmwe Hmwe"},{"family":"Vecchia","given":"Carlo La"},{"family":"Lacey","given":"Ben"},{"family":"Lal","given":"Dharmesh Kumar"},{"family":"Lalloo","given":"Ratilal"},{"family":"Lami","given":"Faris Hasan"},{"family":"Lansky","given":"Sonia"},{"family":"Larson","given":"Samantha Leigh"},{"family":"Larsson","given":"Anders O."},{"family":"Lasrado","given":"Savita"},{"family":"Lassi","given":"Zohra S."},{"family":"Lazarus","given":"Jeffrey V."},{"family":"Lee","given":"Paul H."},{"family":"Lee","given":"Shaun Wen Huey"},{"family":"Leever","given":"Andrew T."},{"family":"LeGrand","given":"Kate E."},{"family":"Leonardi","given":"Matilde"},{"family":"Li","given":"Shanshan"},{"family":"Lim","given":"Lee-Ling"},{"family":"Lim","given":"Stephen S."},{"family":"Linn","given":"Shai"},{"family":"Lodha","given":"Rakesh"},{"family":"Logroscino","given":"Giancarlo"},{"family":"Lopez","given":"Alan D."},{"family":"Lopukhov","given":"Platon D."},{"family":"Lotufo","given":"Paulo A."},{"family":"Lozano","given":"Rafael"},{"family":"Lu","given":"Alton"},{"family":"Lunevicius","given":"Raimundas"},{"family":"Madadin","given":"Mohammed"},{"family":"Maddison","given":"Emilie R."},{"family":"Razek","given":"Hassan Magdy Abd El"},{"family":"Razek","given":"Muhammed Magdy Abd El"},{"family":"Mahasha","given":"Phetole Walter"},{"family":"Mahdavi","given":"Mokhtar Mahdavi"},{"family":"Malekzadeh","given":"Reza"},{"family":"Mamun","given":"Abdullah A."},{"family":"Manafi","given":"Navid"},{"family":"Mansour-Ghanaei","given":"Fariborz"},{"family":"Mansouri","given":"Borhan"},{"family":"Mansournia","given":"Mohammad Ali"},{"family":"Mapoma","given":"Chabila Christopher"},{"family":"Martini","given":"Santi"},{"family":"Martins-Melo","given":"Francisco Rogerlândio"},{"family":"Masaka","given":"Anthony"},{"family":"Mastrogiacomo","given":"Claudia I."},{"family":"Mathur","given":"Manu Raj"},{"family":"May","given":"Erin A."},{"family":"McAlinden","given":"Colm"},{"family":"McGrath","given":"John J."},{"family":"McKee","given":"Martin"},{"family":"Mehndiratta","given":"Man Mohan"},{"family":"Mehri","given":"Fereshteh"},{"family":"Mehta","given":"Kala M."},{"family":"Meitei","given":"Wahengbam Bigyananda"},{"family":"Memiah","given":"Peter T. N."},{"family":"Mendoza","given":"Walter"},{"family":"Menezes","given":"Ritesh G."},{"family":"Mengesha","given":"Endalkachew Worku"},{"family":"Mensah","given":"George A."},{"family":"Meretoja","given":"Atte"},{"family":"Meretoja","given":"Tuomo J."},{"family":"Mestrovic","given":"Tomislav"},{"family":"Michalek","given":"Irmina Maria"},{"family":"Mihretie","given":"Kebadnew Mulatu"},{"family":"Miller","given":"Ted R."},{"family":"Mills","given":"Edward J."},{"family":"Milne","given":"George J."},{"family":"Mirrakhimov","given":"Erkin M."},{"family":"Mirzaei","given":"Hamed"},{"family":"Mirzaei","given":"Maryam"},{"family":"Mirzaei-Alavijeh","given":"Mehdi"},{"family":"Misganaw","given":"Awoke Temesgen"},{"family":"Moazen","given":"Babak"},{"family":"Moghadaszadeh","given":"Masoud"},{"family":"Mohamadi","given":"Efat"},{"family":"Mohammad","given":"Dara K."},{"family":"Mohammad","given":"Yousef"},{"family":"Mezerji","given":"Naser Mohammad Gholi"},{"family":"Mohammadbeigi","given":"Abolfazl"},{"family":"Mohammadian-Hafshejani","given":"Abdollah"},{"family":"Mohammadpourhodki","given":"Reza"},{"family":"Mohammed","given":"Hussen"},{"family":"Mohammed","given":"Shafiu"},{"family":"Mohebi","given":"Farnam"},{"family":"Bandpei","given":"Mohammad A. Mohseni"},{"family":"Mokari","given":"Amin"},{"family":"Mokdad","given":"Ali H."},{"family":"Momen","given":"Natalie C."},{"family":"Monasta","given":"Lorenzo"},{"family":"Mooney","given":"Meghan D."},{"family":"Moradi","given":"Ghobad"},{"family":"Moradi","given":"Masoud"},{"family":"Moradi-Joo","given":"Mohammad"},{"family":"Moradi-Lakeh","given":"Maziar"},{"family":"Moradzadeh","given":"Rahmatollah"},{"family":"Moraga","given":"Paula"},{"family":"Velásquez","given":"Ilais Moreno"},{"family":"Morgado-da-Costa","given":"Joana"},{"family":"Morrison","given":"Shane Douglas"},{"family":"Mosser","given":"Jonathan F."},{"family":"Mouodi","given":"Simin"},{"family":"Mousavi","given":"Seyyed Meysam"},{"family":"Khaneghah","given":"Amin Mousavi"},{"family":"Mueller","given":"Ulrich Otto"},{"family":"Musa","given":"Kamarul Imran"},{"family":"Muthupandian","given":"Saravanan"},{"family":"Nabavizadeh","given":"Behnam"},{"family":"Naderi","given":"Mehdi"},{"family":"Nagarajan","given":"Ahamarshan Jayaraman"},{"family":"Naghavi","given":"Mohsen"},{"family":"Naghshtabrizi","given":"Behshad"},{"family":"Naik","given":"Gurudatta"},{"family":"Najafi","given":"Farid"},{"family":"Nangia","given":"Vinay"},{"family":"Nansseu","given":"Jobert Richie"},{"family":"Ndwandwe","given":"Duduzile Edith"},{"family":"Negoi","given":"Ionut"},{"family":"Negoi","given":"Ruxandra Irina"},{"family":"Ngunjiri","given":"Josephine W."},{"family":"Nguyen","given":"Huong Lan Thi"},{"family":"Nguyen","given":"Trang Huyen"},{"family":"Nigatu","given":"Yeshambel T."},{"family":"Nikbakhsh","given":"Rajan"},{"family":"Nikpoor","given":"Amin Reza"},{"family":"Nixon","given":"Molly R."},{"family":"Nnaji","given":"Chukwudi A."},{"family":"Nomura","given":"Shuhei"},{"family":"Noubiap","given":"Jean Jacques"},{"family":"Motlagh","given":"Soraya Nouraei"},{"family":"Nowak","given":"Christoph"},{"family":"Oţoiu","given":"Adrian"},{"family":"Odell","given":"Christopher M."},{"family":"Oh","given":"In-Hwan"},{"family":"Oladnabi","given":"Morteza"},{"family":"Olagunju","given":"Andrew T."},{"family":"Olusanya","given":"Bolajoko Olubukunola"},{"family":"Olusanya","given":"Jacob Olusegun"},{"family":"Bali","given":"Ahmed Omar"},{"family":"Ong","given":"Kanyin L."},{"family":"Onwujekwe","given":"Obinna E."},{"family":"Ortiz","given":"Alberto"},{"family":"Otstavnov","given":"Nikita"},{"family":"Otstavnov","given":"Stanislav S."},{"family":"Øverland","given":"Simon"},{"family":"Owolabi","given":"Mayowa O."},{"family":"A","given":"Mahesh P."},{"family":"Padubidri","given":"Jagadish Rao"},{"family":"Pakshir","given":"Keyvan"},{"family":"Palladino","given":"Raffaele"},{"family":"Pana","given":"Adrian"},{"family":"Panda-Jonas","given":"Songhomitra"},{"family":"Park","given":"James"},{"family":"Pasupula","given":"Deepak Kumar"},{"family":"Patel","given":"Jenil R."},{"family":"Patel","given":"Sangram Kishor"},{"family":"Patton","given":"George C."},{"family":"Paulson","given":"Katherine R."},{"family":"Toroudi","given":"Hamidreza Pazoki"},{"family":"Pease","given":"Spencer A."},{"family":"Peden","given":"Amy E."},{"family":"Pepito","given":"Veincent Christian Filipino"},{"family":"Peprah","given":"Emmanuel K."},{"family":"Pereira","given":"Alexandre"},{"family":"Pereira","given":"David M."},{"family":"Perico","given":"Norberto"},{"family":"Pigott","given":"David M."},{"family":"Pilgrim","given":"Thomas"},{"family":"Pilz","given":"Tessa M."},{"family":"Piradov","given":"Michael A."},{"family":"Pirsaheb","given":"Meghdad"},{"family":"Pokhrel","given":"Khem Narayan"},{"family":"Postma","given":"Maarten J."},{"family":"Pourjafar","given":"Hadi"},{"family":"Pourmalek","given":"Farshad"},{"family":"Pourshams","given":"Akram"},{"family":"Poznańska","given":"Anna"},{"family":"Prada","given":"Sergio I."},{"family":"Prakash","given":"Sanjay"},{"family":"Preotescu","given":"Liliana"},{"family":"Syed","given":"Zahiruddin Quazi"},{"family":"Rabiee","given":"Mohammad"},{"family":"Rabiee","given":"Navid"},{"family":"Radfar","given":"Amir"},{"family":"Rafiei","given":"Alireza"},{"family":"Raggi","given":"Alberto"},{"family":"Rahman","given":"Muhammad Aziz"},{"family":"Rajabpour-Sanati","given":"Ali"},{"family":"Ram","given":"Pradhum"},{"family":"Ranabhat","given":"Chhabi Lal"},{"family":"Rao","given":"Sowmya J."},{"family":"Rasella","given":"Davide"},{"family":"Rashedi","given":"Vahid"},{"family":"Rastogi","given":"Prateek"},{"family":"Rathi","given":"Priya"},{"family":"Rawal","given":"Lal"},{"family":"Remuzzi","given":"Giuseppe"},{"family":"Renjith","given":"Vishnu"},{"family":"Renzaho","given":"Andre M. N."},{"family":"Resnikoff","given":"Serge"},{"family":"Rezaei","given":"Nima"},{"family":"Rezai","given":"Mohammad","dropping-particle":"sadegh"},{"family":"Rezapour","given":"Aziz"},{"family":"Rickard","given":"Jennifer"},{"family":"Roever","given":"Leonardo"},{"family":"Ronfani","given":"Luca"},{"family":"Roshandel","given":"Gholamreza"},{"family":"Rostamian","given":"Morteza"},{"family":"Rubagotti","given":"Enrico"},{"family":"Rwegerera","given":"Godfrey M."},{"family":"Sabour","given":"Siamak"},{"family":"Saddik","given":"Basema"},{"family":"Sadeghi","given":"Ehsan"},{"family":"Sadeghi","given":"Masoumeh"},{"family":"Moghaddam","given":"Sahar Saeedi"},{"family":"Safari","given":"Yahya"},{"family":"Safi","given":"Sare"},{"family":"Safiri","given":"Saeid"},{"family":"Sagar","given":"Rajesh"},{"family":"Sahebkar","given":"Amirhossein"},{"family":"Sahraian","given":"Mohammad Ali"},{"family":"Sajadi","given":"S. Mohammad"},{"family":"Salahshoor","given":"Mohammad Reza"},{"family":"Salama","given":"Joseph S."},{"family":"Salamati","given":"Payman"},{"family":"Salem","given":"Marwa R. Rashad"},{"family":"Salimi","given":"Yahya"},{"family":"Salomon","given":"Joshua A."},{"family":"Salz","given":"Inbal"},{"family":"Samad","given":"Zainab"},{"family":"Samy","given":"Abdallah M."},{"family":"Sanabria","given":"Juan"},{"family":"Santric-Milicevic","given":"Milena M."},{"family":"Saraswathy","given":"Sivan Yegnanarayana Iyer"},{"family":"Sartorius","given":"Benn"},{"family":"Sarveazad","given":"Arash"},{"family":"Sathian","given":"Brijesh"},{"family":"Sathish","given":"Thirunavukkarasu"},{"family":"Sattin","given":"Davide"},{"family":"Saylan","given":"Mete"},{"family":"Schaeffer","given":"Lauren E."},{"family":"Schiavolin","given":"Silvia"},{"family":"Schwebel","given":"David C."},{"family":"Schwendicke","given":"Falk"},{"family":"Sekerija","given":"Mario"},{"family":"Senbeta","given":"Anbissa Muleta"},{"family":"Senthilkumaran","given":"Subramanian"},{"family":"Sepanlou","given":"Sadaf G."},{"family":"Serván-Mori","given":"Edson"},{"family":"Shabani","given":"Mahsima"},{"family":"Shahabi","given":"Saeed"},{"family":"Shahbaz","given":"Mohammad"},{"family":"Shaheen","given":"Amira A."},{"family":"Shaikh","given":"Masood Ali"},{"family":"Shalash","given":"Ali S."},{"family":"Shams-Beyranvand","given":"Mehran"},{"family":"Shamsi","given":"MohammadBagher"},{"family":"Shamsizadeh","given":"Morteza"},{"family":"Shannawaz","given":"Mohammed"},{"family":"Sharafi","given":"Kiomars"},{"family":"Sharafi","given":"Zeinab"},{"family":"Sharara","given":"Fablina"},{"family":"Sharma","given":"Rajesh"},{"family":"Shaw","given":"David H."},{"family":"Sheikh","given":"Aziz"},{"family":"Shin","given":"Jae Il"},{"family":"Shiri","given":"Rahman"},{"family":"Shrime","given":"Mark G."},{"family":"Shuval","given":"Kerem"},{"family":"Siabani","given":"Soraya"},{"family":"Sigfusdottir","given":"Inga Dora"},{"family":"Sigurvinsdottir","given":"Rannveig"},{"family":"Silva","given":"Diego Augusto Santos"},{"family":"Simonetti","given":"Biagio"},{"family":"Simpson","given":"Kyle E."},{"family":"Singh","given":"Jasvinder A."},{"family":"Skiadaresi","given":"Eirini"},{"family":"Skryabin","given":"Valentin Yurievich"},{"family":"Soheili","given":"Amin"},{"family":"Sokhan","given":"Anton"},{"family":"Sorensen","given":"Reed J. D."},{"family":"Soriano","given":"Joan B."},{"family":"Sorrie","given":"Muluken Bekele"},{"family":"Soyiri","given":"Ireneous N."},{"family":"Spurlock","given":"Emma Elizabeth"},{"family":"Sreeramareddy","given":"Chandrashekhar T."},{"family":"Stockfelt","given":"Leo"},{"family":"Stokes","given":"Mark A."},{"family":"Stubbs","given":"Jacob L."},{"family":"Sudaryanto","given":"Agus"},{"family":"Sufiyan","given":"Mu'awiyyah Babale"},{"family":"Abdulkader","given":"Rizwan Suliankatchi"},{"family":"Sykes","given":"Bryan L."},{"family":"Tabarés-Seisdedos","given":"Rafael"},{"family":"Tabb","given":"Karen M."},{"family":"Tadakamadla","given":"Santosh Kumar"},{"family":"Taherkhani","given":"Amir"},{"family":"Tang","given":"Muming"},{"family":"Taveira","given":"Nuno"},{"family":"Taylor","given":"Heather Jean"},{"family":"Teagle","given":"Whitney L."},{"family":"Tehrani-Banihashemi","given":"Arash"},{"family":"Teklehaimanot","given":"Berhane Fseha"},{"family":"Tessema","given":"Zemenu Tadesse"},{"family":"Thankappan","given":"Kavumpurathu Raman"},{"family":"Thomas","given":"Nihal"},{"family":"Thrift","given":"Amanda G."},{"family":"Titova","given":"Mariya Vladimirovna"},{"family":"Tohidinik","given":"Hamid Reza"},{"family":"Tonelli","given":"Marcello"},{"family":"Topor-Madry","given":"Roman"},{"family":"Topouzis","given":"Fotis"},{"family":"Tovani-Palone","given":"Marcos Roberto Roberto"},{"family":"Traini","given":"Eugenio"},{"family":"Tran","given":"Bach Xuan"},{"family":"Travillian","given":"Ravensara"},{"family":"Trias-Llimós","given":"Sergi"},{"family":"Truelsen","given":"Thomas Clement"},{"family":"Car","given":"Lorainne Tudor"},{"family":"Unnikrishnan","given":"Bhaskaran"},{"family":"Upadhyay","given":"Era"},{"family":"Vacante","given":"Marco"},{"family":"Vakilian","given":"Alireza"},{"family":"Valdez","given":"Pascual R."},{"family":"Valli","given":"Alessandro"},{"family":"Vardavas","given":"Constantine"},{"family":"Vasankari","given":"Tommi Juhani"},{"family":"Vasconcelos","given":"Ana Maria Nogales"},{"family":"Vasseghian","given":"Yasser"},{"family":"Veisani","given":"Yousef"},{"family":"Venketasubramanian","given":"Narayanaswamy"},{"family":"Vidale","given":"Simone"},{"family":"Violante","given":"Francesco S."},{"family":"Vlassov","given":"Vasily"},{"family":"Vollset","given":"Stein Emil"},{"family":"Vos","given":"Theo"},{"family":"Vujcic","given":"Isidora S."},{"family":"Vukovic","given":"Ana"},{"family":"Vukovic","given":"Rade"},{"family":"Waheed","given":"Yasir"},{"family":"Wallin","given":"Mitchell Taylor"},{"family":"Walters","given":"Magdalene K."},{"family":"Wang","given":"Hongbo"},{"family":"Wang","given":"Yuan-Pang"},{"family":"Watson","given":"Stefanie"},{"family":"Wei","given":"Jingkai"},{"family":"Weiss","given":"Jordan"},{"family":"Weldesamuel","given":"Girmay Teklay"},{"family":"Werdecker","given":"Andrea"},{"family":"Westerman","given":"Ronny"},{"family":"Whiteford","given":"Harvey A."},{"family":"Wiangkham","given":"Taweewat"},{"family":"Wiens","given":"Kirsten E."},{"family":"Wijeratne","given":"Tissa"},{"family":"Wiysonge","given":"Charles Shey"},{"family":"Wojtyniak","given":"Bogdan"},{"family":"Wolfe","given":"Charles D. A."},{"family":"Wondmieneh","given":"Adam Belay"},{"family":"Wool","given":"Eve E."},{"family":"Wu","given":"Ai-Min"},{"family":"Wu","given":"Junjie"},{"family":"Xu","given":"Gelin"},{"family":"Yamada","given":"Tomohide"},{"family":"Yamagishi","given":"Kazumasa"},{"family":"Yano","given":"Yuichiro"},{"family":"Yaya","given":"Sanni"},{"family":"Yazdi-Feyzabadi","given":"Vahid"},{"family":"Yearwood","given":"Jamal A."},{"family":"Yeheyis","given":"Tomas Y."},{"family":"Yilgwan","given":"Christopher Sabo"},{"family":"Yip","given":"Paul"},{"family":"Yonemoto","given":"Naohiro"},{"family":"Yoon","given":"Seok-Jun"},{"family":"Lebni","given":"Javad Yoosefi"},{"family":"York","given":"Hunter W."},{"family":"Younis","given":"Mustafa Z."},{"family":"Younker","given":"Theodore Patrick"},{"family":"Yousefi","given":"Zabihollah"},{"family":"Yousefinezhadi","given":"Taraneh"},{"family":"Yousuf","given":"Abdilahi Yousuf"},{"family":"Yusefzadeh","given":"Hasan"},{"family":"Moghadam","given":"Telma Zahirian"},{"family":"Zakzuk","given":"Josefina"},{"family":"Zaman","given":"Sojib Bin"},{"family":"Zamani","given":"Mohammad"},{"family":"Zamanian","given":"Maryam"},{"family":"Zandian","given":"Hamed"},{"family":"Zhang","given":"Zhi-Jiang"},{"family":"Zheng","given":"Peng"},{"family":"Zhou","given":"Maigeng"},{"family":"Ziapour","given":"Arash"},{"family":"Murray","given":"Christopher J. L."}],"issued":{"date-parts":[["2020",10,17]]}},"label":"page"}],"schema":"https://github.com/citation-style-language/schema/raw/master/csl-citation.json"} </w:instrText>
      </w:r>
      <w:r w:rsidR="00A767EA" w:rsidRPr="006A0823">
        <w:rPr>
          <w:color w:val="2B579A"/>
          <w:shd w:val="clear" w:color="auto" w:fill="E6E6E6"/>
          <w:lang w:val="en-GB"/>
        </w:rPr>
        <w:fldChar w:fldCharType="separate"/>
      </w:r>
      <w:r w:rsidR="00851DCE" w:rsidRPr="006A0823">
        <w:rPr>
          <w:sz w:val="22"/>
          <w:vertAlign w:val="superscript"/>
        </w:rPr>
        <w:t>36,37</w:t>
      </w:r>
      <w:r w:rsidR="00A767EA" w:rsidRPr="006A0823">
        <w:rPr>
          <w:color w:val="2B579A"/>
          <w:shd w:val="clear" w:color="auto" w:fill="E6E6E6"/>
          <w:lang w:val="en-GB"/>
        </w:rPr>
        <w:fldChar w:fldCharType="end"/>
      </w:r>
    </w:p>
    <w:p w14:paraId="3C5248D6" w14:textId="1D6A67FE" w:rsidR="00BE4BAA" w:rsidRPr="006A0823" w:rsidRDefault="02540366" w:rsidP="00BC3AE0">
      <w:pPr>
        <w:pStyle w:val="Heading3"/>
        <w:rPr>
          <w:lang w:val="en-GB"/>
        </w:rPr>
      </w:pPr>
      <w:bookmarkStart w:id="270" w:name="_Toc76457862"/>
      <w:bookmarkStart w:id="271" w:name="_Toc76653821"/>
      <w:bookmarkStart w:id="272" w:name="_Toc76726290"/>
      <w:bookmarkStart w:id="273" w:name="_Toc76727598"/>
      <w:bookmarkStart w:id="274" w:name="_Toc76840517"/>
      <w:bookmarkStart w:id="275" w:name="_Toc104249368"/>
      <w:bookmarkStart w:id="276" w:name="_Toc104252096"/>
      <w:bookmarkStart w:id="277" w:name="_Toc124499499"/>
      <w:r w:rsidRPr="006A0823">
        <w:rPr>
          <w:lang w:val="en-GB"/>
        </w:rPr>
        <w:t>Demography</w:t>
      </w:r>
      <w:bookmarkEnd w:id="270"/>
      <w:bookmarkEnd w:id="271"/>
      <w:bookmarkEnd w:id="272"/>
      <w:bookmarkEnd w:id="273"/>
      <w:bookmarkEnd w:id="274"/>
      <w:bookmarkEnd w:id="275"/>
      <w:bookmarkEnd w:id="276"/>
      <w:bookmarkEnd w:id="277"/>
    </w:p>
    <w:p w14:paraId="3C48A9F6" w14:textId="7208256D" w:rsidR="00EA266C" w:rsidRPr="006A0823" w:rsidRDefault="00EA266C" w:rsidP="00BC3AE0">
      <w:pPr>
        <w:rPr>
          <w:lang w:val="en-GB"/>
        </w:rPr>
      </w:pPr>
      <w:r w:rsidRPr="006A0823">
        <w:rPr>
          <w:lang w:val="en-GB"/>
        </w:rPr>
        <w:t>Demographic data</w:t>
      </w:r>
      <w:r w:rsidR="00AB4530" w:rsidRPr="006A0823">
        <w:rPr>
          <w:lang w:val="en-GB"/>
        </w:rPr>
        <w:t xml:space="preserve"> on national and subnational populations</w:t>
      </w:r>
      <w:r w:rsidRPr="006A0823">
        <w:rPr>
          <w:lang w:val="en-GB"/>
        </w:rPr>
        <w:t xml:space="preserve">, namely the age structure of the population, is used </w:t>
      </w:r>
      <w:r w:rsidR="00B10E4C" w:rsidRPr="006A0823">
        <w:rPr>
          <w:lang w:val="en-GB"/>
        </w:rPr>
        <w:t xml:space="preserve">to </w:t>
      </w:r>
      <w:r w:rsidR="002338AF" w:rsidRPr="006A0823">
        <w:rPr>
          <w:lang w:val="en-GB"/>
        </w:rPr>
        <w:t xml:space="preserve">age-standardize </w:t>
      </w:r>
      <w:r w:rsidR="004B2F14" w:rsidRPr="006A0823">
        <w:rPr>
          <w:lang w:val="en-GB"/>
        </w:rPr>
        <w:t>several drivers and to split populations into high- and low-risk groups in the transmission model</w:t>
      </w:r>
      <w:r w:rsidRPr="006A0823">
        <w:rPr>
          <w:lang w:val="en-GB"/>
        </w:rPr>
        <w:t xml:space="preserve">. Age distributions were obtained from </w:t>
      </w:r>
      <w:r w:rsidR="00A767EA" w:rsidRPr="006A0823">
        <w:rPr>
          <w:lang w:val="en-GB"/>
        </w:rPr>
        <w:t>GBD.</w:t>
      </w:r>
      <w:r w:rsidR="00A767EA" w:rsidRPr="006A0823">
        <w:rPr>
          <w:color w:val="2B579A"/>
          <w:shd w:val="clear" w:color="auto" w:fill="E6E6E6"/>
          <w:lang w:val="en-GB"/>
        </w:rPr>
        <w:fldChar w:fldCharType="begin"/>
      </w:r>
      <w:r w:rsidR="00851DCE" w:rsidRPr="006A0823">
        <w:rPr>
          <w:lang w:val="en-GB"/>
        </w:rPr>
        <w:instrText xml:space="preserve"> ADDIN ZOTERO_ITEM CSL_CITATION {"citationID":"3jngH2QR","properties":{"formattedCitation":"\\super 26\\nosupersub{}","plainCitation":"26","noteIndex":0},"citationItems":[{"id":958,"uris":["http://zotero.org/groups/2154524/items/527SJF7W"],"itemData":{"id":958,"type":"article-journal","abstract":"&lt;h2&gt;Summary&lt;/h2&gt;&lt;h3&gt;Background&lt;/h3&gt;&lt;p&gt;In an era of shifting global agendas and expanded emphasis on non-communicable diseases and injuries along with communicable diseases, sound evidence on trends by cause at the national level is essential. The Global Burden of Diseases, Injuries, and Risk Factors Study (GBD) provides a systematic scientific assessment of published, publicly available, and contributed data on incidence, prevalence, and mortality for a mutually exclusive and collectively exhaustive list of diseases and injuries.&lt;/p&gt;&lt;h3&gt;Methods&lt;/h3&gt;&lt;p&gt;GBD estimates incidence, prevalence, mortality, years of life lost (YLLs), years lived with disability (YLDs), and disability-adjusted life-years (DALYs) due to 369 diseases and injuries, for two sexes, and for 204 countries and territories. Input data were extracted from censuses, household surveys, civil registration and vital statistics, disease registries, health service use, air pollution monitors, satellite imaging, disease notifications, and other sources. Cause-specific death rates and cause fractions were calculated using the Cause of Death Ensemble model and spatiotemporal Gaussian process regression. Cause-specific deaths were adjusted to match the total all-cause deaths calculated as part of the GBD population, fertility, and mortality estimates. Deaths were multiplied by standard life expectancy at each age to calculate YLLs. A Bayesian meta-regression modelling tool, DisMod-MR 2.1, was used to ensure consistency between incidence, prevalence, remission, excess mortality, and cause-specific mortality for most causes. Prevalence estimates were multiplied by disability weights for mutually exclusive sequelae of diseases and injuries to calculate YLDs. We considered results in the context of the Socio-demographic Index (SDI), a composite indicator of income per capita, years of schooling, and fertility rate in females younger than 25 years. Uncertainty intervals (UIs) were generated for every metric using the 25th and 975th ordered 1000 draw values of the posterior distribution.&lt;/p&gt;&lt;h3&gt;Findings&lt;/h3&gt;&lt;p&gt;Global health has steadily improved over the past 30 years as measured by age-standardised DALY rates. After taking into account population growth and ageing, the absolute number of DALYs has remained stable. Since 2010, the pace of decline in global age-standardised DALY rates has accelerated in age groups younger than 50 years compared with the 1990–2010 time period, with the greatest annualised rate of decline occurring in the 0–9-year age group. Six infectious diseases were among the top ten causes of DALYs in children younger than 10 years in 2019: lower respiratory infections (ranked second), diarrhoeal diseases (third), malaria (fifth), meningitis (sixth), whooping cough (ninth), and sexually transmitted infections (which, in this age group, is fully accounted for by congenital syphilis; ranked tenth). In adolescents aged 10–24 years, three injury causes were among the top causes of DALYs: road injuries (ranked first), self-harm (third), and interpersonal violence (fifth). Five of the causes that were in the top ten for ages 10–24 years were also in the top ten in the 25–49-year age group: road injuries (ranked first), HIV/AIDS (second), low back pain (fourth), headache disorders (fifth), and depressive disorders (sixth). In 2019, ischaemic heart disease and stroke were the top-ranked causes of DALYs in both the 50–74-year and 75-years-and-older age groups. Since 1990, there has been a marked shift towards a greater proportion of burden due to YLDs from non-communicable diseases and injuries. In 2019, there were 11 countries where non-communicable disease and injury YLDs constituted more than half of all disease burden. Decreases in age-standardised DALY rates have accelerated over the past decade in countries at the lower end of the SDI range, while improvements have started to stagnate or even reverse in countries with higher SDI.&lt;/p&gt;&lt;h3&gt;Interpretation&lt;/h3&gt;&lt;p&gt;As disability becomes an increasingly large component of disease burden and a larger component of health expenditure, greater research and development investment is needed to identify new, more effective intervention strategies. With a rapidly ageing global population, the demands on health services to deal with disabling outcomes, which increase with age, will require policy makers to anticipate these changes. The mix of universal and more geographically specific influences on health reinforces the need for regular reporting on population health in detail and by underlying cause to help decision makers to identify success stories of disease control to emulate, as well as opportunities to improve.&lt;/p&gt;&lt;h3&gt;Funding&lt;/h3&gt;&lt;p&gt;Bill &amp; Melinda Gates Foundation.&lt;/p&gt;","container-title":"The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1990–2019","volume":"396","author":[{"family":"Vos","given":"Theo"},{"family":"Lim","given":"Stephen S."},{"family":"Abbafati","given":"Cristiana"},{"family":"Abbas","given":"Kaja M."},{"family":"Abbasi","given":"Mohammad"},{"family":"Abbasifard","given":"Mitra"},{"family":"Abbasi-Kangevari","given":"Mohsen"},{"family":"Abbastabar","given":"Hedayat"},{"family":"Abd-Allah","given":"Foad"},{"family":"Abdelalim","given":"Ahmed"},{"family":"Abdollahi","given":"Mohammad"},{"family":"Abdollahpour","given":"Ibrahim"},{"family":"Abolhassani","given":"Hassan"},{"family":"Aboyans","given":"Victor"},{"family":"Abrams","given":"Elissa M."},{"family":"Abreu","given":"Lucas Guimarães"},{"family":"Abrigo","given":"Michael R. M."},{"family":"Abu-Raddad","given":"Laith Jamal"},{"family":"Abushouk","given":"Abdelrahman I."},{"family":"Acebedo","given":"Alyssa"},{"family":"Ackerman","given":"Ilana N."},{"family":"Adabi","given":"Maryam"},{"family":"Adamu","given":"Abdu A."},{"family":"Adebayo","given":"Oladimeji M."},{"family":"Adekanmbi","given":"Victor"},{"family":"Adelson","given":"Jaimie D."},{"family":"Adetokunboh","given":"Olatunji O."},{"family":"Adham","given":"Davoud"},{"family":"Afshari","given":"Mahdi"},{"family":"Afshin","given":"Ashkan"},{"family":"Agardh","given":"Emilie E."},{"family":"Agarwal","given":"Gina"},{"family":"Agesa","given":"Kareha M."},{"family":"Aghaali","given":"Mohammad"},{"family":"Aghamir","given":"Seyed Mohammad Kazem"},{"family":"Agrawal","given":"Anurag"},{"family":"Ahmad","given":"Tauseef"},{"family":"Ahmadi","given":"Alireza"},{"family":"Ahmadi","given":"Mehdi"},{"family":"Ahmadieh","given":"Hamid"},{"family":"Ahmadpour","given":"Ehsan"},{"family":"Akalu","given":"Temesgen Yihunie"},{"family":"Akinyemi","given":"Rufus Olusola"},{"family":"Akinyemiju","given":"Tomi"},{"family":"Akombi","given":"Blessing"},{"family":"Al-Aly","given":"Ziyad"},{"family":"Alam","given":"Khurshid"},{"family":"Alam","given":"Noore"},{"family":"Alam","given":"Samiah"},{"family":"Alam","given":"Tahiya"},{"family":"Alanzi","given":"Turki M."},{"family":"Albertson","given":"Samuel B."},{"family":"Alcalde-Rabanal","given":"Jacqueline Elizabeth"},{"family":"Alema","given":"Niguse Meles"},{"family":"Ali","given":"Muhammad"},{"family":"Ali","given":"Saqib"},{"family":"Alicandro","given":"Gianfranco"},{"family":"Alijanzadeh","given":"Mehran"},{"family":"Alinia","given":"Cyrus"},{"family":"Alipour","given":"Vahid"},{"family":"Aljunid","given":"Syed Mohamed"},{"family":"Alla","given":"François"},{"family":"Allebeck","given":"Peter"},{"family":"Almasi-Hashiani","given":"Amir"},{"family":"Alonso","given":"Jordi"},{"family":"Al-Raddadi","given":"Rajaa M."},{"family":"Altirkawi","given":"Khalid A."},{"family":"Alvis-Guzman","given":"Nelson"},{"family":"Alvis-Zakzuk","given":"Nelson J."},{"family":"Amini","given":"Saeed"},{"family":"Amini-Rarani","given":"Mostafa"},{"family":"Aminorroaya","given":"Arya"},{"family":"Amiri","given":"Fatemeh"},{"family":"Amit","given":"Arianna Maever L."},{"family":"Amugsi","given":"Dickson A."},{"family":"Amul","given":"Gianna Gayle Herrera"},{"family":"Anderlini","given":"Deanna"},{"family":"Andrei","given":"Catalina Liliana"},{"family":"Andrei","given":"Tudorel"},{"family":"Anjomshoa","given":"Mina"},{"family":"Ansari","given":"Fereshteh"},{"family":"Ansari","given":"Iman"},{"family":"Ansari-Moghaddam","given":"Alireza"},{"family":"Antonio","given":"Carl Abelardo T."},{"family":"Antony","given":"Catherine M."},{"family":"Antriyandarti","given":"Ernoiz"},{"family":"Anvari","given":"Davood"},{"family":"Anwer","given":"Razique"},{"family":"Arabloo","given":"Jalal"},{"family":"Arab-Zozani","given":"Morteza"},{"family":"Aravkin","given":"Aleksandr Y."},{"family":"Ariani","given":"Filippo"},{"family":"Ärnlöv","given":"Johan"},{"family":"Aryal","given":"Krishna K."},{"family":"Arzani","given":"Afsaneh"},{"family":"Asadi-Aliabadi","given":"Mehran"},{"family":"Asadi-Pooya","given":"Ali A."},{"family":"Asghari","given":"Babak"},{"family":"Ashbaugh","given":"Charlie"},{"family":"Atnafu","given":"Desta Debalkie"},{"family":"Atre","given":"Sachin R."},{"family":"Ausloos","given":"Floriane"},{"family":"Ausloos","given":"Marcel"},{"family":"Quintanilla","given":"Beatriz Paulina Ayala"},{"family":"Ayano","given":"Getinet"},{"family":"Ayanore","given":"Martin Amogre"},{"family":"Aynalem","given":"Yared Asmare"},{"family":"Azari","given":"Samad"},{"family":"Azarian","given":"Ghasem"},{"family":"Azene","given":"Zelalem Nigussie"},{"family":"Babaee","given":"Ebrahim"},{"family":"Badawi","given":"Alaa"},{"family":"Bagherzadeh","given":"Mojtaba"},{"family":"Bakhshaei","given":"Mohammad Hossein"},{"family":"Bakhtiari","given":"Ahad"},{"family":"Balakrishnan","given":"Senthilkumar"},{"family":"Balalla","given":"Shivanthi"},{"family":"Balassyano","given":"Shelly"},{"family":"Banach","given":"Maciej"},{"family":"Banik","given":"Palash Chandra"},{"family":"Bannick","given":"Marlena S."},{"family":"Bante","given":"Agegnehu Bante"},{"family":"Baraki","given":"Adhanom Gebreegziabher"},{"family":"Barboza","given":"Miguel A."},{"family":"Barker-Collo","given":"Suzanne Lyn"},{"family":"Barthelemy","given":"Celine M."},{"family":"Barua","given":"Lingkan"},{"family":"Barzegar","given":"Akbar"},{"family":"Basu","given":"Sanjay"},{"family":"Baune","given":"Bernhard T."},{"family":"Bayati","given":"Mohsen"},{"family":"Bazmandegan","given":"Gholamreza"},{"family":"Bedi","given":"Neeraj"},{"family":"Beghi","given":"Ettore"},{"family":"Béjot","given":"Yannick"},{"family":"Bello","given":"Aminu K."},{"family":"Bender","given":"Rose G."},{"family":"Bennett","given":"Derrick A."},{"family":"Bennitt","given":"Fiona B."},{"family":"Bensenor","given":"Isabela M."},{"family":"Benziger","given":"Catherine P."},{"family":"Berhe","given":"Kidanemaryam"},{"family":"Bernabe","given":"Eduardo"},{"family":"Bertolacci","given":"Gregory J."},{"family":"Bhageerathy","given":"Reshmi"},{"family":"Bhala","given":"Neeraj"},{"family":"Bhandari","given":"Dinesh"},{"family":"Bhardwaj","given":"Pankaj"},{"family":"Bhattacharyya","given":"Krittika"},{"family":"Bhutta","given":"Zulfiqar A."},{"family":"Bibi","given":"Sadia"},{"family":"Biehl","given":"Molly H."},{"family":"Bikbov","given":"Boris"},{"family":"Sayeed","given":"Muhammad Shahdaat Bin"},{"family":"Biondi","given":"Antonio"},{"family":"Birihane","given":"Binyam Minuye"},{"family":"Bisanzio","given":"Donal"},{"family":"Bisignano","given":"Catherine"},{"family":"Biswas","given":"Raaj Kishore"},{"family":"Bohlouli","given":"Somayeh"},{"family":"Bohluli","given":"Mehdi"},{"family":"Bolla","given":"Srinivasa Rao Rao"},{"family":"Boloor","given":"Archith"},{"family":"Boon-Dooley","given":"Alexandra S."},{"family":"Borges","given":"Guilherme"},{"family":"Borzì","given":"Antonio Maria"},{"family":"Bourne","given":"Rupert"},{"family":"Brady","given":"Oliver J."},{"family":"Brauer","given":"Michael"},{"family":"Brayne","given":"Carol"},{"family":"Breitborde","given":"Nicholas J. K."},{"family":"Brenner","given":"Hermann"},{"family":"Briant","given":"Paul Svitil"},{"family":"Briggs","given":"Andrew M."},{"family":"Briko","given":"Nikolay Ivanovich"},{"family":"Britton","given":"Gabrielle B."},{"family":"Bryazka","given":"Dana"},{"family":"Buchbinder","given":"Rachelle"},{"family":"Bumgarner","given":"Blair R."},{"family":"Busse","given":"Reinhard"},{"family":"Butt","given":"Zahid A."},{"family":"Santos","given":"Florentino Luciano Caetano","dropping-particle":"dos"},{"family":"Cámera","given":"Luis LA Alberto"},{"family":"Campos-Nonato","given":"Ismael R."},{"family":"Car","given":"Josip"},{"family":"Cárdenas","given":"Rosario"},{"family":"Carreras","given":"Giulia"},{"family":"Carrero","given":"Juan J."},{"family":"Carvalho","given":"Felix"},{"family":"Castaldelli-Maia","given":"Joao Mauricio"},{"family":"Castañeda-Orjuela","given":"Carlos A."},{"family":"Castelpietra","given":"Giulio"},{"family":"Castle","given":"Chris D."},{"family":"Castro","given":"Franz"},{"family":"Catalá-López","given":"Ferrán"},{"family":"Causey","given":"Kate"},{"family":"Cederroth","given":"Christopher R."},{"family":"Cercy","given":"Kelly M."},{"family":"Cerin","given":"Ester"},{"family":"Chandan","given":"Joht Singh"},{"family":"Chang","given":"Alex R."},{"family":"Charlson","given":"Fiona J."},{"family":"Chattu","given":"Vijay Kumar"},{"family":"Chaturvedi","given":"Sarika"},{"family":"Chimed-Ochir","given":"Odgerel"},{"family":"Chin","given":"Ken Lee"},{"family":"Cho","given":"Daniel Youngwhan"},{"family":"Christensen","given":"Hanne"},{"family":"Chu","given":"Dinh-Toi"},{"family":"Chung","given":"Michael T."},{"family":"Cicuttini","given":"Flavia M."},{"family":"Ciobanu","given":"Liliana G."},{"family":"Cirillo","given":"Massimo"},{"family":"Collins","given":"Emma L."},{"family":"Compton","given":"Kelly"},{"family":"Conti","given":"Sara"},{"family":"Cortesi","given":"Paolo Angelo"},{"family":"Costa","given":"Vera Marisa"},{"family":"Cousin","given":"Ewerton"},{"family":"Cowden","given":"Richard G."},{"family":"Cowie","given":"Benjamin C."},{"family":"Cromwell","given":"Elizabeth A."},{"family":"Cross","given":"Di H."},{"family":"Crowe","given":"Christopher Stephen"},{"family":"Cruz","given":"Jessica A."},{"family":"Cunningham","given":"Matthew"},{"family":"Dahlawi","given":"Saad M. A."},{"family":"Damiani","given":"Giovanni"},{"family":"Dandona","given":"Lalit"},{"family":"Dandona","given":"Rakhi"},{"family":"Darwesh","given":"Aso Mohammad"},{"family":"Daryani","given":"Ahmad"},{"family":"Das","given":"Jai K."},{"family":"Gupta","given":"Rajat Das"},{"family":"Neves","given":"José","dropping-particle":"das"},{"family":"Dávila-Cervantes","given":"Claudio Alberto"},{"family":"Davletov","given":"Kairat"},{"family":"Leo","given":"Diego De"},{"family":"Dean","given":"Frances E."},{"family":"DeCleene","given":"Nicole K."},{"family":"Deen","given":"Amanda"},{"family":"Degenhardt","given":"Louisa"},{"family":"Dellavalle","given":"Robert Paul"},{"family":"Demeke","given":"Feleke Mekonnen"},{"family":"Demsie","given":"Desalegn Getnet"},{"family":"Denova-Gutiérrez","given":"Edgar"},{"family":"Dereje","given":"Nebiyu Dereje"},{"family":"Dervenis","given":"Nikolaos"},{"family":"Desai","given":"Rupak"},{"family":"Desalew","given":"Assefa"},{"family":"Dessie","given":"Getenet Ayalew"},{"family":"Dharmaratne","given":"Samath Dhamminda"},{"family":"Dhungana","given":"Govinda Prasad"},{"family":"Dianatinasab","given":"Mostafa"},{"family":"Diaz","given":"Daniel"},{"family":"Forooshani","given":"Zahra Sadat Dibaji"},{"family":"Dingels","given":"Zachary V."},{"family":"Dirac","given":"M. Ashworth"},{"family":"Djalalinia","given":"Shirin"},{"family":"Do","given":"Hoa Thi"},{"family":"Dokova","given":"Klara"},{"family":"Dorostkar","given":"Fariba"},{"family":"Doshi","given":"Chirag P."},{"family":"Doshmangir","given":"Leila"},{"family":"Douiri","given":"Abdel"},{"family":"Doxey","given":"Matthew C."},{"family":"Driscoll","given":"Tim Robert"},{"family":"Dunachie","given":"Susanna J."},{"family":"Duncan","given":"Bruce B."},{"family":"Duraes","given":"Andre Rodrigues"},{"family":"Eagan","given":"Arielle Wilder"},{"family":"Kalan","given":"Mohammad Ebrahimi"},{"family":"Edvardsson","given":"David"},{"family":"Ehrlich","given":"Joshua R."},{"family":"Nahas","given":"Nevine El"},{"family":"Sayed","given":"Iman El"},{"family":"Tantawi","given":"Maha El"},{"family":"Elbarazi","given":"Iffat"},{"family":"Elgendy","given":"Islam Y."},{"family":"Elhabashy","given":"Hala Rashad"},{"family":"El-Jaafary","given":"Shaimaa I."},{"family":"Elyazar","given":"Iqbal RF"},{"family":"Emamian","given":"Mohammad Hassan"},{"family":"Emmons-Bell","given":"Sophia"},{"family":"Erskine","given":"Holly E."},{"family":"Eshrati","given":"Babak"},{"family":"Eskandarieh","given":"Sharareh"},{"family":"Esmaeilnejad","given":"Saman"},{"family":"Esmaeilzadeh","given":"Firooz"},{"family":"Esteghamati","given":"Alireza"},{"family":"Estep","given":"Kara"},{"family":"Etemadi","given":"Arash"},{"family":"Etisso","given":"Atkilt Esaiyas"},{"family":"Farahmand","given":"Mohammad"},{"family":"Faraj","given":"Anwar"},{"family":"Fareed","given":"Mohammad"},{"family":"Faridnia","given":"Roghiyeh"},{"family":"Farinha","given":"Carla Sofia e Sá"},{"family":"Farioli","given":"Andrea"},{"family":"Faro","given":"Andre"},{"family":"Faruque","given":"Mithila"},{"family":"Farzadfar","given":"Farshad"},{"family":"Fattahi","given":"Nazir"},{"family":"Fazlzadeh","given":"Mehdi"},{"family":"Feigin","given":"Valery L."},{"family":"Feldman","given":"Rachel"},{"family":"Fereshtehnejad","given":"Seyed-Mohammad"},{"family":"Fernandes","given":"Eduarda"},{"family":"Ferrari","given":"Alize J."},{"family":"Ferreira","given":"Manuela L."},{"family":"Filip","given":"Irina"},{"family":"Fischer","given":"Florian"},{"family":"Fisher","given":"James L."},{"family":"Fitzgerald","given":"Ryan"},{"family":"Flohr","given":"Carsten"},{"family":"Flor","given":"Luisa Sorio"},{"family":"Foigt","given":"Nataliya A."},{"family":"Folayan","given":"Morenike Oluwatoyin"},{"family":"Force","given":"Lisa M."},{"family":"Fornari","given":"Carla"},{"family":"Foroutan","given":"Masoud"},{"family":"Fox","given":"Jack T."},{"family":"Freitas","given":"Marisa"},{"family":"Fu","given":"Weijia"},{"family":"Fukumoto","given":"Takeshi"},{"family":"Furtado","given":"João M."},{"family":"Gad","given":"Mohamed M."},{"family":"Gakidou","given":"Emmanuela"},{"family":"Galles","given":"Natalie C."},{"family":"Gallus","given":"Silvano"},{"family":"Gamkrelidze","given":"Amiran"},{"family":"Garcia-Basteiro","given":"Alberto L."},{"family":"Gardner","given":"William M."},{"family":"Geberemariyam","given":"Biniyam Sahiledengle"},{"family":"Gebrehiwot","given":"Abiyu Mekonnen"},{"family":"Gebremedhin","given":"Ketema Bizuwork"},{"family":"Gebreslassie","given":"Assefa Ayalew Ayalew Ayalew"},{"family":"Hayoon","given":"Anna Gershberg"},{"family":"Gething","given":"Peter W."},{"family":"Ghadimi","given":"Maryam"},{"family":"Ghadiri","given":"Keyghobad"},{"family":"Ghafourifard","given":"Mansour"},{"family":"Ghajar","given":"Alireza"},{"family":"Ghamari","given":"Farhad"},{"family":"Ghashghaee","given":"Ahmad"},{"family":"Ghiasvand","given":"Hesam"},{"family":"Ghith","given":"Nermin"},{"family":"Gholamian","given":"Asadollah"},{"family":"Gilani","given":"Syed Amir"},{"family":"Gill","given":"Paramjit Singh"},{"family":"Gitimoghaddam","given":"Mojgan"},{"family":"Giussani","given":"Giorgia"},{"family":"Goli","given":"Srinivas"},{"family":"Gomez","given":"Ricardo Santiago"},{"family":"Gopalani","given":"Sameer Vali"},{"family":"Gorini","given":"Giuseppe"},{"family":"Gorman","given":"Taren M."},{"family":"Gottlich","given":"Harrison Chase"},{"family":"Goudarzi","given":"Houman"},{"family":"Goulart","given":"Alessandra C."},{"family":"Goulart","given":"Bárbara Niegia Garcia"},{"family":"Grada","given":"Ayman"},{"family":"Grivna","given":"Michal"},{"family":"Grosso","given":"Giuseppe"},{"family":"Gubari","given":"Mohammed Ibrahim Mohialdeen"},{"family":"Gugnani","given":"Harish Chander"},{"family":"Guimaraes","given":"Andre Luiz Sena"},{"family":"Guimarães","given":"Rafael Alves"},{"family":"Guled","given":"Rashid Abdi"},{"family":"Guo","given":"Gaorui"},{"family":"Guo","given":"Yuming"},{"family":"Gupta","given":"Rajeev"},{"family":"Haagsma","given":"Juanita A."},{"family":"Haddock","given":"Beatrix"},{"family":"Hafezi-Nejad","given":"Nima"},{"family":"Hafiz","given":"Abdul"},{"family":"Hagins","given":"Hailey"},{"family":"Haile","given":"Lydia M."},{"family":"Hall","given":"Brian J."},{"family":"Halvaei","given":"Iman"},{"family":"Hamadeh","given":"Randah R."},{"family":"Abdullah","given":"Kanaan Hamagharib"},{"family":"Hamilton","given":"Erin B."},{"family":"Han","given":"Chieh"},{"family":"Han","given":"Hannah"},{"family":"Hankey","given":"Graeme J."},{"family":"Haro","given":"Josep Maria"},{"family":"Harvey","given":"James D."},{"family":"Hasaballah","given":"Ahmed I."},{"family":"Hasanzadeh","given":"Amir"},{"family":"Hashemian","given":"Maryam"},{"family":"Hassanipour","given":"Soheil"},{"family":"Hassankhani","given":"Hadi"},{"family":"Havmoeller","given":"Rasmus J."},{"family":"Hay","given":"Roderick J."},{"family":"Hay","given":"Simon I."},{"family":"Hayat","given":"Khezar"},{"family":"Heidari","given":"Behnam"},{"family":"Heidari","given":"Golnaz"},{"family":"Heidari-Soureshjani","given":"Reza"},{"family":"Hendrie","given":"Delia"},{"family":"Henrikson","given":"Hannah J."},{"family":"Henry","given":"Nathaniel J."},{"family":"Herteliu","given":"Claudiu"},{"family":"Heydarpour","given":"Fatemeh"},{"family":"Hird","given":"Thomas R."},{"family":"Hoek","given":"Hans W."},{"family":"Hole","given":"Michael K."},{"family":"Holla","given":"Ramesh"},{"family":"Hoogar","given":"Praveen"},{"family":"Hosgood","given":"H. Dean"},{"family":"Hosseinzadeh","given":"Mehdi"},{"family":"Hostiuc","given":"Mihaela"},{"family":"Hostiuc","given":"Sorin"},{"family":"Househ","given":"Mowafa"},{"family":"Hoy","given":"Damian G."},{"family":"Hsairi","given":"Mohamed"},{"family":"Hsieh","given":"Vivian Chia-rong"},{"family":"Hu","given":"Guoqing"},{"family":"Huda","given":"Tanvir M."},{"family":"Hugo","given":"Fernando N."},{"family":"Huynh","given":"Chantal K."},{"family":"Hwang","given":"Bing-Fang"},{"family":"Iannucci","given":"Vincent C."},{"family":"Ibitoye","given":"Segun Emmanuel"},{"family":"Ikuta","given":"Kevin S."},{"family":"Ilesanmi","given":"Olayinka Stephen"},{"family":"Ilic","given":"Irena M."},{"family":"Ilic","given":"Milena D."},{"family":"Inbaraj","given":"Leeberk Raja"},{"family":"Ippolito","given":"Helen"},{"family":"Irvani","given":"Seyed Sina Naghibi"},{"family":"Islam","given":"M. Mofizul"},{"family":"Islam","given":"MdMohaimenul"},{"family":"Islam","given":"Sheikh Mohammed Shariful"},{"family":"Islami","given":"Farhad"},{"family":"Iso","given":"Hiroyasu"},{"family":"Ivers","given":"Rebecca Q."},{"family":"Iwu","given":"Chidozie C. D."},{"family":"Iyamu","given":"Ihoghosa Osamuyi"},{"family":"Jaafari","given":"Jalil"},{"family":"Jacobsen","given":"Kathryn H."},{"family":"Jadidi-Niaragh","given":"Farhad"},{"family":"Jafari","given":"Hussain"},{"family":"Jafarinia","given":"Morteza"},{"family":"Jahagirdar","given":"Deepa"},{"family":"Jahani","given":"Mohammad Ali"},{"family":"Jahanmehr","given":"Nader"},{"family":"Jakovljevic","given":"Mihajlo"},{"family":"Jalali","given":"Amir"},{"family":"Jalilian","given":"Farzad"},{"family":"James","given":"Spencer L."},{"family":"Janjani","given":"Hosna"},{"family":"Janodia","given":"Manthan Dilipkumar"},{"family":"Jayatilleke","given":"Achala Upendra"},{"family":"Jeemon","given":"Panniyammakal"},{"family":"Jenabi","given":"Ensiyeh"},{"family":"Jha","given":"Ravi Prakash"},{"family":"Jha","given":"Vivekanand"},{"family":"Ji","given":"John S."},{"family":"Jia","given":"Peng"},{"family":"John","given":"Oommen"},{"family":"John-Akinola","given":"Yetunde O."},{"family":"Johnson","given":"Catherine Owens"},{"family":"Johnson","given":"Sarah Charlotte"},{"family":"Jonas","given":"Jost B."},{"family":"Joo","given":"Tamas"},{"family":"Joshi","given":"Ankur"},{"family":"Jozwiak","given":"Jacek Jerzy"},{"family":"Jürisson","given":"Mikk"},{"family":"Kabir","given":"Ali"},{"family":"Kabir","given":"Zubair"},{"family":"Kalani","given":"Hamed"},{"family":"Kalani","given":"Rizwan"},{"family":"Kalankesh","given":"Leila R."},{"family":"Kalhor","given":"Rohollah"},{"family":"Kamiab","given":"Zahra"},{"family":"Kanchan","given":"Tanuj"},{"family":"Matin","given":"Behzad Karami"},{"family":"Karch","given":"André"},{"family":"Karim","given":"Mohd Anisul"},{"family":"Karimi","given":"Salah Eddin"},{"family":"Kassa","given":"Getachew Mullu"},{"family":"Kassebaum","given":"Nicholas J."},{"family":"Katikireddi","given":"Srinivasa Vittal"},{"family":"Kawakami","given":"Norito"},{"family":"Kayode","given":"Gbenga A."},{"family":"Keddie","given":"Suzanne H."},{"family":"Keller","given":"Cathleen"},{"family":"Kereselidze","given":"Maia"},{"family":"Khafaie","given":"Morteza Abdullatif"},{"family":"Khalid","given":"Nauman"},{"family":"Khan","given":"Maseer"},{"family":"Khatab","given":"Khaled"},{"family":"Khater","given":"Mona M."},{"family":"Khatib","given":"Mahalaqua Nazli"},{"family":"Khayamzadeh","given":"Maryam"},{"family":"Khodayari","given":"Mohammad Taghi"},{"family":"Khundkar","given":"Roba"},{"family":"Kianipour","given":"Neda"},{"family":"Kieling","given":"Christian"},{"family":"Kim","given":"Daniel"},{"family":"Kim","given":"Young-Eun"},{"family":"Kim","given":"Yun Jin"},{"family":"Kimokoti","given":"Ruth W."},{"family":"Kisa","given":"Adnan"},{"family":"Kisa","given":"Sezer"},{"family":"Kissimova-Skarbek","given":"Katarzyna"},{"family":"Kivimäki","given":"Mika"},{"family":"Kneib","given":"Cameron J."},{"family":"Knudsen","given":"Ann Kristin Skrindo"},{"family":"Kocarnik","given":"Jonathan M."},{"family":"Kolola","given":"Tufa"},{"family":"Kopec","given":"Jacek A."},{"family":"Kosen","given":"Soewarta"},{"family":"Koul","given":"Parvaiz A."},{"family":"Koyanagi","given":"Ai"},{"family":"Kravchenko","given":"Michael A."},{"family":"Krishan","given":"Kewal"},{"family":"Krohn","given":"Kris J."},{"family":"Defo","given":"Barthelemy Kuate"},{"family":"Bicer","given":"Burcu Kucuk"},{"family":"Kumar","given":"G. Anil"},{"family":"Kumar","given":"Manasi"},{"family":"Kumar","given":"Pushpendra"},{"family":"Kumar","given":"Vivek"},{"family":"Kumaresh","given":"Girikumar"},{"family":"Kurmi","given":"Om P."},{"family":"Kusuma","given":"Dian"},{"family":"Kyu","given":"Hmwe Hmwe"},{"family":"Vecchia","given":"Carlo La"},{"family":"Lacey","given":"Ben"},{"family":"Lal","given":"Dharmesh Kumar"},{"family":"Lalloo","given":"Ratilal"},{"family":"Lam","given":"Jennifer O."},{"family":"Lami","given":"Faris Hasan"},{"family":"Landires","given":"Iván"},{"family":"Lang","given":"Justin J."},{"family":"Lansingh","given":"Van Charles"},{"family":"Larson","given":"Samantha Leigh"},{"family":"Larsson","given":"Anders O."},{"family":"Lasrado","given":"Savita"},{"family":"Lassi","given":"Zohra S."},{"family":"Lau","given":"Kathryn Mei-Ming"},{"family":"Lavados","given":"Pablo M."},{"family":"Lazarus","given":"Jeffrey V."},{"family":"Ledesma","given":"Jorge R."},{"family":"Lee","given":"Paul H."},{"family":"Lee","given":"Shaun Wen Huey"},{"family":"LeGrand","given":"Kate E."},{"family":"Leigh","given":"James"},{"family":"Leonardi","given":"Matilde"},{"family":"Lescinsky","given":"Haley"},{"family":"Leung","given":"Janni"},{"family":"Levi","given":"Miriam"},{"family":"Lewington","given":"Sarah"},{"family":"Li","given":"Shanshan"},{"family":"Lim","given":"Lee-Ling"},{"family":"Lin","given":"Christine"},{"family":"Lin","given":"Ro-Ting"},{"family":"Linehan","given":"Christine"},{"family":"Linn","given":"Shai"},{"family":"Liu","given":"Hung-Chun"},{"family":"Liu","given":"Shiwei"},{"family":"Liu","given":"Zichen"},{"family":"Looker","given":"Katharine J."},{"family":"Lopez","given":"Alan D."},{"family":"Lopukhov","given":"Platon D."},{"family":"Lorkowski","given":"Stefan"},{"family":"Lotufo","given":"Paulo A."},{"family":"Lucas","given":"Tim C. D."},{"family":"Lugo","given":"Alessandra"},{"family":"Lunevicius","given":"Raimundas"},{"family":"Lyons","given":"Ronan A."},{"family":"Ma","given":"Jianing"},{"family":"MacLachlan","given":"Jennifer H."},{"family":"Maddison","given":"Emilie R."},{"family":"Maddison","given":"Ralph"},{"family":"Madotto","given":"Fabiana"},{"family":"Mahasha","given":"Phetole Walter"},{"family":"Mai","given":"Hue Thi"},{"family":"Majeed","given":"Azeem"},{"family":"Maled","given":"Venkatesh"},{"family":"Maleki","given":"Shokofeh"},{"family":"Malekzadeh","given":"Reza"},{"family":"Malta","given":"Deborah Carvalho"},{"family":"Mamun","given":"Abdullah A."},{"family":"Manafi","given":"Amir"},{"family":"Manafi","given":"Navid"},{"family":"Manguerra","given":"Helena"},{"family":"Mansouri","given":"Borhan"},{"family":"Mansournia","given":"Mohammad Ali"},{"family":"Herrera","given":"Ana M. Mantilla"},{"family":"Maravilla","given":"Joemer C."},{"family":"Marks","given":"Ashley"},{"family":"Martins-Melo","given":"Francisco Rogerlândio"},{"family":"Martopullo","given":"Ira"},{"family":"Masoumi","given":"Seyedeh Zahra"},{"family":"Massano","given":"João"},{"family":"Massenburg","given":"Benjamin Ballard"},{"family":"Mathur","given":"Manu Raj"},{"family":"Maulik","given":"Pallab K."},{"family":"McAlinden","given":"Colm"},{"family":"McGrath","given":"John J."},{"family":"McKee","given":"Martin"},{"family":"Mehndiratta","given":"Man Mohan"},{"family":"Mehri","given":"Fereshteh"},{"family":"Mehta","given":"Kala M."},{"family":"Meitei","given":"Wahengbam Bigyananda"},{"family":"Memiah","given":"Peter T. N."},{"family":"Mendoza","given":"Walter"},{"family":"Menezes","given":"Ritesh G."},{"family":"Mengesha","given":"Endalkachew Worku"},{"family":"Mengesha","given":"Meresa Berwo"},{"family":"Mereke","given":"Alibek"},{"family":"Meretoja","given":"Atte"},{"family":"Meretoja","given":"Tuomo J."},{"family":"Mestrovic","given":"Tomislav"},{"family":"Miazgowski","given":"Bartosz"},{"family":"Miazgowski","given":"Tomasz"},{"family":"Michalek","given":"Irmina Maria"},{"family":"Mihretie","given":"Kebadnew Mulatu"},{"family":"Miller","given":"Ted R."},{"family":"Mills","given":"Edward J."},{"family":"Mirica","given":"Andreea"},{"family":"Mirrakhimov","given":"Erkin M."},{"family":"Mirzaei","given":"Hamed"},{"family":"Mirzaei","given":"Maryam"},{"family":"Mirzaei-Alavijeh","given":"Mehdi"},{"family":"Misganaw","given":"Awoke Temesgen"},{"family":"Mithra","given":"Prasanna"},{"family":"Moazen","given":"Babak"},{"family":"Moghadaszadeh","given":"Masoud"},{"family":"Mohamadi","given":"Efat"},{"family":"Mohammad","given":"Dara K."},{"family":"Mohammad","given":"Yousef"},{"family":"Mezerji","given":"Naser Mohammad Gholi"},{"family":"Mohammadian-Hafshejani","given":"Abdollah"},{"family":"Mohammadifard","given":"Noushin"},{"family":"Mohammadpourhodki","given":"Reza"},{"family":"Mohammed","given":"Shafiu"},{"family":"Mokdad","given":"Ali H."},{"family":"Molokhia","given":"Mariam"},{"family":"Momen","given":"Natalie C."},{"family":"Monasta","given":"Lorenzo"},{"family":"Mondello","given":"Stefania"},{"family":"Mooney","given":"Meghan D."},{"family":"Moosazadeh","given":"Mahmood"},{"family":"Moradi","given":"Ghobad"},{"family":"Moradi","given":"Masoud"},{"family":"Moradi-Lakeh","given":"Maziar"},{"family":"Moradzadeh","given":"Rahmatollah"},{"family":"Moraga","given":"Paula"},{"family":"Morales","given":"Linda"},{"family":"Morawska","given":"Lidia"},{"family":"Velásquez","given":"Ilais Moreno"},{"family":"Morgado-da-Costa","given":"Joana"},{"family":"Morrison","given":"Shane Douglas"},{"family":"Mosser","given":"Jonathan F."},{"family":"Mouodi","given":"Simin"},{"family":"Mousavi","given":"Seyyed Meysam"},{"family":"Khaneghah","given":"Amin Mousavi"},{"family":"Mueller","given":"Ulrich Otto"},{"family":"Munro","given":"Sandra B."},{"family":"Muriithi","given":"Moses K."},{"family":"Musa","given":"Kamarul Imran"},{"family":"Muthupandian","given":"Saravanan"},{"family":"Naderi","given":"Mehdi"},{"family":"Nagarajan","given":"Ahamarshan Jayaraman"},{"family":"Nagel","given":"Gabriele"},{"family":"Naghshtabrizi","given":"Behshad"},{"family":"Nair","given":"Sanjeev"},{"family":"Nandi","given":"Anita K."},{"family":"Nangia","given":"Vinay"},{"family":"Nansseu","given":"Jobert Richie"},{"family":"Nayak","given":"Vinod C."},{"family":"Nazari","given":"Javad"},{"family":"Negoi","given":"Ionut"},{"family":"Negoi","given":"Ruxandra Irina"},{"family":"Netsere","given":"Henok Biresaw Netsere"},{"family":"Ngunjiri","given":"Josephine W."},{"family":"Nguyen","given":"Cuong Tat"},{"family":"Nguyen","given":"Jason"},{"family":"Nguyen","given":"Michele"},{"family":"Nguyen","given":"Minh"},{"family":"Nichols","given":"Emma"},{"family":"Nigatu","given":"Dabere"},{"family":"Nigatu","given":"Yeshambel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Olusegun"},{"family":"Oluwasanu","given":"Mojisola Morenike"},{"family":"Bali","given":"Ahmed Omar"},{"family":"Omer","given":"Muktar Omer"},{"family":"Ong","given":"Kanyin L."},{"family":"Onwujekwe","given":"Obinna E."},{"family":"Orji","given":"Aislyn U."},{"family":"Orpana","given":"Heather M."},{"family":"Ortiz","given":"Alberto"},{"family":"Ostroff","given":"Samuel M."},{"family":"Otstavnov","given":"Nikita"},{"family":"Otstavnov","given":"Stanislav S."},{"family":"Øverland","given":"Simon"},{"family":"Owolabi","given":"Mayowa O."},{"family":"A","given":"Mahesh P."},{"family":"Padubidri","given":"Jagadish Rao"},{"family":"Pakhare","given":"Abhijit P."},{"family":"Palladino","given":"Raffaele"},{"family":"Pana","given":"Adrian"},{"family":"Panda-Jonas","given":"Songhomitra"},{"family":"Pandey","given":"Anamika"},{"family":"Park","given":"Eun-Kee"},{"family":"Parmar","given":"Priya G. Kumari"},{"family":"Pasupula","given":"Deepak Kumar"},{"family":"Patel","given":"Sangram Kishor"},{"family":"Paternina-Caicedo","given":"Angel J."},{"family":"Pathak","given":"Ashish"},{"family":"Pathak","given":"Mona"},{"family":"Patten","given":"Scott B."},{"family":"Patton","given":"George C."},{"family":"Paudel","given":"Deepak"},{"family":"Toroudi","given":"Hamidreza Pazoki"},{"family":"Peden","given":"Amy E."},{"family":"Pennini","given":"Alyssa"},{"family":"Pepito","given":"Veincent Christian Filipino"},{"family":"Peprah","given":"Emmanuel K."},{"family":"Pereira","given":"Alexandre"},{"family":"Pereira","given":"David M."},{"family":"Perico","given":"Norberto"},{"family":"Pham","given":"Hai Quang"},{"family":"Phillips","given":"Michael R."},{"family":"Pigott","given":"David M."},{"family":"Pilgrim","given":"Thomas"},{"family":"Pilz","given":"Tessa M."},{"family":"Pirsaheb","given":"Meghdad"},{"family":"Plana-Ripoll","given":"Oleguer"},{"family":"Plass","given":"Dietrich"},{"family":"Pokhrel","given":"Khem Narayan"},{"family":"Polibin","given":"Roman V."},{"family":"Polinder","given":"Suzanne"},{"family":"Polkinghorne","given":"Kevan R."},{"family":"Postma","given":"Maarten J."},{"family":"Pourjafar","given":"Hadi"},{"family":"Pourmalek","given":"Farshad"},{"family":"Kalhori","given":"Reza Pourmirza"},{"family":"Pourshams","given":"Akram"},{"family":"Poznańska","given":"Anna"},{"family":"Prada","given":"Sergio I."},{"family":"Prakash","given":"V."},{"family":"Pribadi","given":"Dimas Ria Angga"},{"family":"Pupillo","given":"Elisabetta"},{"family":"Syed","given":"Zahiruddin Quazi"},{"family":"Rabiee","given":"Mohammad"},{"family":"Rabiee","given":"Navid"},{"family":"Radfar","given":"Amir"},{"family":"Rafiee","given":"Ata"},{"family":"Rafiei","given":"Alireza"},{"family":"Raggi","given":"Alberto"},{"family":"Rahimi-Movaghar","given":"Afarin"},{"family":"Rahman","given":"Muhammad Aziz"},{"family":"Rajabpour-Sanati","given":"Ali"},{"family":"Rajati","given":"Fatemeh"},{"family":"Ramezanzadeh","given":"Kiana"},{"family":"Ranabhat","given":"Chhabi Lal"},{"family":"Rao","given":"Puja C."},{"family":"Rao","given":"Sowmya J."},{"family":"Rasella","given":"Davide"},{"family":"Rastogi","given":"Prateek"},{"family":"Rathi","given":"Priya"},{"family":"Rawaf","given":"David Laith"},{"family":"Rawaf","given":"Salman"},{"family":"Rawal","given":"Lal"},{"family":"Razo","given":"Christian"},{"family":"Redford","given":"Sofia Boston"},{"family":"Reiner","given":"Robert C."},{"family":"Reinig","given":"Nickolas"},{"family":"Reitsma","given":"Marissa Bettay"},{"family":"Remuzzi","given":"Giuseppe"},{"family":"Renjith","given":"Vishnu"},{"family":"Renzaho","given":"Andre M. N."},{"family":"Resnikoff","given":"Serge"},{"family":"Rezaei","given":"Nima"},{"family":"Rezai","given":"Mohammad","dropping-particle":"sadegh"},{"family":"Rezapour","given":"Aziz"},{"family":"Rhinehart","given":"Phoebe-Anne"},{"family":"Riahi","given":"Seyed Mohammad"},{"family":"Ribeiro","given":"Antonio Luiz P."},{"family":"Ribeiro","given":"Daniel Cury"},{"family":"Ribeiro","given":"Daniela"},{"family":"Rickard","given":"Jennifer"},{"family":"Roberts","given":"Nicholas L. S."},{"family":"Roberts","given":"Shaun"},{"family":"Robinson","given":"Stephen R."},{"family":"Roever","given":"Leonardo"},{"family":"Rolfe","given":"Sam"},{"family":"Ronfani","given":"Luca"},{"family":"Roshandel","given":"Gholamreza"},{"family":"Roth","given":"Gregory A."},{"family":"Rubagotti","given":"Enrico"},{"family":"Rumisha","given":"Susan Fred"},{"family":"Sabour","given":"Siamak"},{"family":"Sachdev","given":"Perminder S."},{"family":"Saddik","given":"Basema"},{"family":"Sadeghi","given":"Ehsan"},{"family":"Sadeghi","given":"Masoumeh"},{"family":"Saeidi","given":"Shahram"},{"family":"Safi","given":"Sare"},{"family":"Safiri","given":"Saeid"},{"family":"Sagar","given":"Rajesh"},{"family":"Sahebkar","given":"Amirhossein"},{"family":"Sahraian","given":"Mohammad Ali"},{"family":"Sajadi","given":"S. Mohammad"},{"family":"Salahshoor","given":"Mohammad Reza"},{"family":"Salamati","given":"Payman"},{"family":"Zahabi","given":"Saleh Salehi"},{"family":"Salem","given":"Hosni"},{"family":"Salem","given":"Marwa R. Rashad"},{"family":"Salimzadeh","given":"Hamideh"},{"family":"Salomon","given":"Joshua A."},{"family":"Salz","given":"Inbal"},{"family":"Samad","given":"Zainab"},{"family":"Samy","given":"Abdallah M."},{"family":"Sanabria","given":"Juan"},{"family":"Santomauro","given":"Damian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barra","given":"Alyssa N."},{"family":"Schaeffer","given":"Lauren E."},{"family":"Schiavolin","given":"Silvia"},{"family":"Schmidt","given":"Maria Inês"},{"family":"Schutte","given":"Aletta Elisabeth"},{"family":"Schwebel","given":"David C."},{"family":"Schwendicke","given":"Falk"},{"family":"Senbeta","given":"Anbissa Muleta"},{"family":"Senthilkumaran","given":"Subramanian"},{"family":"Sepanlou","given":"Sadaf G."},{"family":"Shackelford","given":"Katya Anne"},{"family":"Shadid","given":"Jamileh"},{"family":"Shahabi","given":"Saeed"},{"family":"Shaheen","given":"Amira A."},{"family":"Shaikh","given":"Masood Ali"},{"family":"Shalash","given":"Ali S."},{"family":"Shams-Beyranvand","given":"Mehran"},{"family":"Shamsizadeh","given":"Morteza"},{"family":"Shannawaz","given":"Mohammed"},{"family":"Sharafi","given":"Kiomars"},{"family":"Sharara","given":"Fablina"},{"family":"Sheena","given":"Brittney S."},{"family":"Sheikhtaheri","given":"Abbas"},{"family":"Shetty","given":"Ranjitha S."},{"family":"Shibuya","given":"Kenji"},{"family":"Shiferaw","given":"Wondimeneh Shibabaw"},{"family":"Shigematsu","given":"Mika"},{"family":"Shin","given":"Jae Il"},{"family":"Shiri","given":"Rahman"},{"family":"Shirkoohi","given":"Reza"},{"family":"Shrime","given":"Mark G."},{"family":"Shuval","given":"Kerem"},{"family":"Siabani","given":"Soraya"},{"family":"Sigfusdottir","given":"Inga Dora"},{"family":"Sigurvinsdottir","given":"Rannveig"},{"family":"Silva","given":"João Pedro"},{"family":"Simpson","given":"Kyle E."},{"family":"Singh","given":"Ambrish"},{"family":"Singh","given":"Jasvinder A."},{"family":"Skiadaresi","given":"Eirini"},{"family":"Skou","given":"Søren T. Skou"},{"family":"Skryabin","given":"Valentin Yurievich"},{"family":"Sobngwi","given":"Eugene"},{"family":"Sokhan","given":"Anton"},{"family":"Soltani","given":"Shahin"},{"family":"Sorensen","given":"Reed J. D."},{"family":"Soriano","given":"Joan B."},{"family":"Sorrie","given":"Muluken Bekele"},{"family":"Soyiri","given":"Ireneous N."},{"family":"Sreeramareddy","given":"Chandrashekhar T."},{"family":"Stanaway","given":"Jeffrey D."},{"family":"Stark","given":"Benjamin A."},{"family":"Ştefan","given":"Simona Cătălina"},{"family":"Stein","given":"Caroline"},{"family":"Steiner","given":"Caitlyn"},{"family":"Steiner","given":"Timothy J."},{"family":"Stokes","given":"Mark A."},{"family":"Stovner","given":"Lars Jacob"},{"family":"Stubbs","given":"Jacob L."},{"family":"Sudaryanto","given":"Agus"},{"family":"Sufiyan","given":"Mu'awiyyah Babale"},{"family":"Sulo","given":"Gerhard"},{"family":"Sultan","given":"Iyad"},{"family":"Sykes","given":"Bryan L."},{"family":"Sylte","given":"Dillon O."},{"family":"Szócska","given":"Miklós"},{"family":"Tabarés-Seisdedos","given":"Rafael"},{"family":"Tabb","given":"Karen M."},{"family":"Tadakamadla","given":"Santosh Kumar"},{"family":"Taherkhani","given":"Amir"},{"family":"Tajdini","given":"Masih"},{"family":"Takahashi","given":"Ken"},{"family":"Taveira","given":"Nuno"},{"family":"Teagle","given":"Whitney L."},{"family":"Teame","given":"Hirut"},{"family":"Tehrani-Banihashemi","given":"Arash"},{"family":"Teklehaimanot","given":"Berhane Fseha"},{"family":"Terrason","given":"Sonyah"},{"family":"Tessema","given":"Zemenu Tadesse"},{"family":"Thankappan","given":"Kavumpurathu Raman"},{"family":"Thomson","given":"Azalea M."},{"family":"Tohidinik","given":"Hamid Reza"},{"family":"Tonelli","given":"Marcello"},{"family":"Topor-Madry","given":"Roman"},{"family":"Torre","given":"Anna E."},{"family":"Touvier","given":"Mathilde"},{"family":"Tovani-Palone","given":"Marcos Roberto Roberto"},{"family":"Tran","given":"Bach Xuan"},{"family":"Travillian","given":"Ravensara"},{"family":"Troeger","given":"Christopher E."},{"family":"Truelsen","given":"Thomas Clement"},{"family":"Tsai","given":"Alexander C."},{"family":"Tsatsakis","given":"Aristidis"},{"family":"Car","given":"Lorainne Tudor"},{"family":"Tyrovolas","given":"Stefanos"},{"family":"Uddin","given":"Riaz"},{"family":"Ullah","given":"Saif"},{"family":"Undurraga","given":"Eduardo A."},{"family":"Unnikrishnan","given":"Bhaskaran"},{"family":"Vacante","given":"Marco"},{"family":"Vakilian","given":"Alireza"},{"family":"Valdez","given":"Pascual R."},{"family":"Varughese","given":"Santosh"},{"family":"Vasankari","given":"Tommi Juhani"},{"family":"Vasseghian","given":"Yasser"},{"family":"Venketasubramanian","given":"Narayanaswamy"},{"family":"Violante","given":"Francesco S."},{"family":"Vlassov","given":"Vasily"},{"family":"Vollset","given":"Stein Emil"},{"family":"Vongpradith","given":"Avina"},{"family":"Vukovic","given":"Ana"},{"family":"Vukovic","given":"Rade"},{"family":"Waheed","given":"Yasir"},{"family":"Walters","given":"Madgalene K."},{"family":"Wang","given":"Jiayu"},{"family":"Wang","given":"Yafeng"},{"family":"Wang","given":"Yuan-Pang"},{"family":"Ward","given":"Joseph L."},{"family":"Watson","given":"Alexandrea"},{"family":"Wei","given":"Jingkai"},{"family":"Weintraub","given":"Robert G."},{"family":"Weiss","given":"Daniel J."},{"family":"Weiss","given":"Jordan"},{"family":"Westerman","given":"Ronny"},{"family":"Whisnant","given":"Joanna L."},{"family":"Whiteford","given":"Harvey A."},{"family":"Wiangkham","given":"Taweewat"},{"family":"Wiens","given":"Kirsten E."},{"family":"Wijeratne","given":"Tissa"},{"family":"Wilner","given":"Lauren B."},{"family":"Wilson","given":"Shadrach"},{"family":"Wojtyniak","given":"Bogdan"},{"family":"Wolfe","given":"Charles D. A."},{"family":"Wool","given":"Eve E."},{"family":"Wu","given":"Ai-Min"},{"family":"Hanson","given":"Sarah Wulf"},{"family":"Wunrow","given":"Han Yong"},{"family":"Xu","given":"Gelin"},{"family":"Xu","given":"Rixing"},{"family":"Yadgir","given":"Simon"},{"family":"Jabbari","given":"Seyed Hossein Yahyazadeh"},{"family":"Yamagishi","given":"Kazumasa"},{"family":"Yaminfirooz","given":"Mousa"},{"family":"Yano","given":"Yuichiro"},{"family":"Yaya","given":"Sanni"},{"family":"Yazdi-Feyzabadi","given":"Vahid"},{"family":"Yearwood","given":"Jamal A."},{"family":"Yeheyis","given":"Tomas Y."},{"family":"Yeshitila","given":"Yordanos Gizachew"},{"family":"Yip","given":"Paul"},{"family":"Yonemoto","given":"Naohiro"},{"family":"Yoon","given":"Seok-Jun"},{"family":"Lebni","given":"Javad Yoosefi"},{"family":"Younis","given":"Mustafa Z."},{"family":"Younker","given":"Theodore Patrick"},{"family":"Yousefi","given":"Zabihollah"},{"family":"Yousefifard","given":"Mahmoud"},{"family":"Yousefinezhadi","given":"Taraneh"},{"family":"Yousuf","given":"Abdilahi Yousuf"},{"family":"Yu","given":"Chuanhua"},{"family":"Yusefzadeh","given":"Hasan"},{"family":"Moghadam","given":"Telma Zahirian"},{"family":"Zaki","given":"Leila"},{"family":"Zaman","given":"Sojib Bin"},{"family":"Zamani","given":"Mohammad"},{"family":"Zamanian","given":"Maryam"},{"family":"Zandian","given":"Hamed"},{"family":"Zangeneh","given":"Alireza"},{"family":"Zastrozhin","given":"Mikhail Sergeevich"},{"family":"Zewdie","given":"Kaleab Alemayehu"},{"family":"Zhang","given":"Yunquan"},{"family":"Zhang","given":"Zhi-Jiang"},{"family":"Zhao","given":"Jeff T."},{"family":"Zhao","given":"Yingxi"},{"family":"Zheng","given":"Peng"},{"family":"Zhou","given":"Maigeng"},{"family":"Ziapour","given":"Arash"},{"family":"Zimsen","given":"Stephanie R. M."},{"family":"Naghavi","given":"Mohsen"},{"family":"Murray","given":"Christopher J. L."}],"issued":{"date-parts":[["2020",10,17]]}}}],"schema":"https://github.com/citation-style-language/schema/raw/master/csl-citation.json"} </w:instrText>
      </w:r>
      <w:r w:rsidR="00A767EA" w:rsidRPr="006A0823">
        <w:rPr>
          <w:color w:val="2B579A"/>
          <w:shd w:val="clear" w:color="auto" w:fill="E6E6E6"/>
          <w:lang w:val="en-GB"/>
        </w:rPr>
        <w:fldChar w:fldCharType="separate"/>
      </w:r>
      <w:r w:rsidR="00851DCE" w:rsidRPr="006A0823">
        <w:rPr>
          <w:sz w:val="22"/>
          <w:vertAlign w:val="superscript"/>
        </w:rPr>
        <w:t>26</w:t>
      </w:r>
      <w:r w:rsidR="00A767EA" w:rsidRPr="006A0823">
        <w:rPr>
          <w:color w:val="2B579A"/>
          <w:shd w:val="clear" w:color="auto" w:fill="E6E6E6"/>
          <w:lang w:val="en-GB"/>
        </w:rPr>
        <w:fldChar w:fldCharType="end"/>
      </w:r>
      <w:r w:rsidRPr="006A0823">
        <w:rPr>
          <w:lang w:val="en-GB"/>
        </w:rPr>
        <w:t> </w:t>
      </w:r>
    </w:p>
    <w:p w14:paraId="2C899FCB" w14:textId="77777777" w:rsidR="00D9785C" w:rsidRPr="006A0823" w:rsidRDefault="02540366" w:rsidP="00BC3AE0">
      <w:pPr>
        <w:pStyle w:val="Heading3"/>
        <w:rPr>
          <w:lang w:val="en-GB"/>
        </w:rPr>
      </w:pPr>
      <w:bookmarkStart w:id="278" w:name="_Toc76457863"/>
      <w:bookmarkStart w:id="279" w:name="_Toc76645580"/>
      <w:bookmarkStart w:id="280" w:name="_Toc76653822"/>
      <w:bookmarkStart w:id="281" w:name="_Toc76726291"/>
      <w:bookmarkStart w:id="282" w:name="_Toc76727599"/>
      <w:bookmarkStart w:id="283" w:name="_Toc76840518"/>
      <w:bookmarkStart w:id="284" w:name="_Toc104249369"/>
      <w:bookmarkStart w:id="285" w:name="_Toc104252097"/>
      <w:bookmarkStart w:id="286" w:name="_Toc124499500"/>
      <w:r w:rsidRPr="006A0823">
        <w:rPr>
          <w:lang w:val="en-GB"/>
        </w:rPr>
        <w:t>Lag-</w:t>
      </w:r>
      <w:r w:rsidR="641EF712" w:rsidRPr="006A0823">
        <w:rPr>
          <w:lang w:val="en-GB"/>
        </w:rPr>
        <w:t>distributed i</w:t>
      </w:r>
      <w:r w:rsidRPr="006A0823">
        <w:rPr>
          <w:lang w:val="en-GB"/>
        </w:rPr>
        <w:t>ncome</w:t>
      </w:r>
      <w:bookmarkEnd w:id="278"/>
      <w:bookmarkEnd w:id="279"/>
      <w:bookmarkEnd w:id="280"/>
      <w:bookmarkEnd w:id="281"/>
      <w:bookmarkEnd w:id="282"/>
      <w:bookmarkEnd w:id="283"/>
      <w:bookmarkEnd w:id="284"/>
      <w:bookmarkEnd w:id="285"/>
      <w:bookmarkEnd w:id="286"/>
    </w:p>
    <w:p w14:paraId="30F8D08C" w14:textId="214192AB" w:rsidR="00880C74" w:rsidRPr="006A0823" w:rsidRDefault="00880C74" w:rsidP="00BC3AE0">
      <w:pPr>
        <w:rPr>
          <w:rFonts w:eastAsia="Times New Roman"/>
          <w:color w:val="454545"/>
        </w:rPr>
      </w:pPr>
      <w:r w:rsidRPr="006A0823">
        <w:rPr>
          <w:lang w:val="en-GB"/>
        </w:rPr>
        <w:t>Lag-distributed income is a moving average tr</w:t>
      </w:r>
      <w:r w:rsidR="004570F1" w:rsidRPr="006A0823">
        <w:rPr>
          <w:lang w:val="en-GB"/>
        </w:rPr>
        <w:t>ansformation of Gross Domestic Product per capita that uses a normalized ten-year lagged average. It was produced as a covariate for GBD 2019</w:t>
      </w:r>
      <w:r w:rsidR="00A767EA" w:rsidRPr="006A0823">
        <w:rPr>
          <w:color w:val="2B579A"/>
          <w:shd w:val="clear" w:color="auto" w:fill="E6E6E6"/>
          <w:lang w:val="en-GB"/>
        </w:rPr>
        <w:fldChar w:fldCharType="begin"/>
      </w:r>
      <w:r w:rsidR="00851DCE" w:rsidRPr="006A0823">
        <w:rPr>
          <w:lang w:val="en-GB"/>
        </w:rPr>
        <w:instrText xml:space="preserve"> ADDIN ZOTERO_ITEM CSL_CITATION {"citationID":"etjkZbIl","properties":{"formattedCitation":"\\super 37\\nosupersub{}","plainCitation":"37","noteIndex":0},"citationItems":[{"id":1094,"uris":["http://zotero.org/groups/2154524/items/QIY46N7G"],"itemData":{"id":1094,"type":"article-journal","abstract":"&lt;h2&gt;Summary&lt;/h2&gt;&lt;h3&gt;Background&lt;/h3&gt;&lt;p&gt;Accurate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2019.&lt;/p&gt;&lt;h3&gt;Methods&lt;/h3&gt;&lt;p&gt;8078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standard demographic methods. Uncertainty was propagated throughout the demographic estimation process, including fertility, mortality, and population, with 1000 draw-level estimates produced for each metric.&lt;/p&gt;&lt;h3&gt;Findings&lt;/h3&gt;&lt;p&gt;The global TFR decreased from 2·72 (95% uncertainty interval [UI] 2·66–2·79) in 2000 to 2·31 (2·17–2·46) in 2019. Global annual livebirths increased from 134·5 million (131·5–137·8) in 2000 to a peak of 139·6 million (133·0–146·9) in 2016. Global livebirths then declined to 135·3 million (127·2–144·1) in 2019. Of the 204 countries and territories included in this study, in 2019, 102 had a TFR lower than 2·1, which is considered a good approximation of replacement-level fertility. All countries in sub-Saharan Africa had TFRs above replacement level in 2019 and accounted for 27·1% (95% UI 26·4–27·8) of global livebirths. Global life expectancy at birth increased from 67·2 years (95% UI 66·8–67·6) in 2000 to 73·5 years (72·8–74·3) in 2019. The total number of deaths increased from 50·7 million (49·5–51·9) in 2000 to 56·5 million (53·7–59·2) in 2019. Under-5 deaths declined from 9·6 million (9·1–10·3) in 2000 to 5·0 million (4·3–6·0) in 2019. Global population increased by 25·7%, from 6·2 billion (6·0–6·3) in 2000 to 7·7 billion (7·5–8·0) in 2019. In 2019, 34 countries had negative natural rates of increase; in 17 of these, the population declined because immigration was not sufficient to counteract the negative rate of decline. Globally, HALE increased from 58·6 years (56·1–60·8) in 2000 to 63·5 years (60·8–66·1) in 2019. HALE increased in 202 of 204 countries and territories between 2000 and 2019.&lt;/p&gt;&lt;h3&gt;Interpretation&lt;/h3&gt;&lt;p&gt;Over the past 20 years, fertility rates have been dropping steadily and life expectancy has been increasing, with few exceptions. Much of this change follows historical patterns linking social and economic determinants, such as those captured by the GBD Socio-demographic Index, with demographic outcomes. More recently, several countries have experienced a combination of low fertility and stagnating improvement in mortality rates, pushing more populations into the late stages of the demographic transition. Tracking demographic change and the emergence of new patterns will be essential for global health monitoring.&lt;/p&gt;&lt;h3&gt;Funding&lt;/h3&gt;&lt;p&gt;Bill &amp; Melinda Gates Foundation.&lt;/p&gt;","container-title":"Lancet","DOI":"10.1016/S0140-6736(20)30977-6","ISSN":"0140-6736, 1474-547X","issue":"10258","journalAbbreviation":"Lancet","language":"English","note":"publisher: Elsevier\nPMID: 33069325","page":"1160-1203","source":"www.thelancet.com","title":"Global age-sex-specific fertility, mortality, healthy life expectancy (HALE), and population estimates in 204 countries and territories, 1950–2019: a comprehensive demographic analysis for the Global Burden of Disease Study 2019","title-short":"Global age-sex-specific fertility, mortality, healthy life expectancy (HALE), and population estimates in 204 countries and territories, 1950–2019","volume":"396","author":[{"family":"Wang","given":"Haidong"},{"family":"Abbas","given":"Kaja M."},{"family":"Abbasifard","given":"Mitra"},{"family":"Abbasi-Kangevari","given":"Mohsen"},{"family":"Abbastabar","given":"Hedayat"},{"family":"Abd-Allah","given":"Foad"},{"family":"Abdelalim","given":"Ahmed"},{"family":"Abolhassani","given":"Hassan"},{"family":"Abreu","given":"Lucas Guimarães"},{"family":"Abrigo","given":"Michael R. M."},{"family":"Abushouk","given":"Abdelrahman I."},{"family":"Adabi","given":"Maryam"},{"family":"Adair","given":"Tim"},{"family":"Adebayo","given":"Oladimeji M."},{"family":"Adedeji","given":"Isaac Akinkunmi"},{"family":"Adekanmbi","given":"Victor"},{"family":"Adeoye","given":"Abiodun Moshood"},{"family":"Adetokunboh","given":"Olatunji O."},{"family":"Advani","given":"Shailesh M."},{"family":"Afshin","given":"Ashkan"},{"family":"Aghaali","given":"Mohammad"},{"family":"Agrawal","given":"Anurag"},{"family":"Ahmadi","given":"Keivan"},{"family":"Ahmadieh","given":"Hamid"},{"family":"Ahmed","given":"Muktar Beshir"},{"family":"Al-Aly","given":"Ziyad"},{"family":"Alam","given":"Khurshid"},{"family":"Alam","given":"Tahiya"},{"family":"Alanezi","given":"Fahad Mashhour"},{"family":"Alanzi","given":"Turki M."},{"family":"Alcalde-Rabanal","given":"Jacqueline Elizabeth"},{"family":"Ali","given":"Muhammad"},{"family":"Alicandro","given":"Gianfranco"},{"family":"Alijanzadeh","given":"Mehran"},{"family":"Alinia","given":"Cyrus"},{"family":"Alipour","given":"Vahid"},{"family":"Alizade","given":"Hesam"},{"family":"Aljunid","given":"Syed Mohamed"},{"family":"Allebeck","given":"Peter"},{"family":"Almadi","given":"Majid Abdulrahman Hamad"},{"family":"Almasi-Hashiani","given":"Amir"},{"family":"Al-Mekhlafi","given":"Hesham M."},{"family":"Altirkawi","given":"Khalid A."},{"family":"Alumran","given":"Arwa Khalid"},{"family":"Alvis-Guzman","given":"Nelson"},{"family":"Amini-Rarani","given":"Mostafa"},{"family":"Aminorroaya","given":"Arya"},{"family":"Amit","given":"Arianna Maever L."},{"family":"Ancuceanu","given":"Robert"},{"family":"Andrei","given":"Catalina Liliana"},{"family":"Androudi","given":"Sofia"},{"family":"Angus","given":"Colin"},{"family":"Anjomshoa","given":"Mina"},{"family":"Ansari","given":"Fereshteh"},{"family":"Ansari","given":"Iman"},{"family":"Ansari-Moghaddam","given":"Alireza"},{"family":"Antonio","given":"Carl Abelardo T."},{"family":"Antony","given":"Catherine M."},{"family":"Anvari","given":"Davood"},{"family":"Appiah","given":"Seth Christopher Yaw"},{"family":"Arabloo","given":"Jalal"},{"family":"Arab-Zozani","given":"Morteza"},{"family":"Aravkin","given":"Aleksandr Y."},{"family":"Aremu","given":"Olatunde"},{"family":"Ärnlöv","given":"Johan"},{"family":"Aryal","given":"Krishna K."},{"family":"Asadi-Pooya","given":"Ali A."},{"family":"Asgari","given":"Samaneh"},{"family":"Jafarabadi","given":"Mohammad Asghari"},{"family":"Atteraya","given":"Madhu Sudhan"},{"family":"Ausloos","given":"Marcel"},{"family":"Avila-Burgos","given":"Leticia"},{"family":"Avokpaho","given":"Euripide Frinel Gbenato Arthur"},{"family":"Quintanilla","given":"Beatriz Paulina Ayala"},{"family":"Ayano","given":"Getinet"},{"family":"Ayanore","given":"Martin Amogre"},{"family":"Azarian","given":"Ghasem"},{"family":"Babaee","given":"Ebrahim"},{"family":"Badiye","given":"Ashish D."},{"family":"Bagli","given":"Eleni"},{"family":"Bahrami","given":"Mohammad Amin"},{"family":"Bakhtiari","given":"Ahad"},{"family":"Balassyano","given":"Shelly"},{"family":"Banach","given":"Maciej"},{"family":"Banik","given":"Palash Chandra"},{"family":"Barker-Collo","given":"Suzanne Lyn"},{"family":"Bärnighausen","given":"Till Winfried"},{"family":"Barzegar","given":"Akbar"},{"family":"Basu","given":"Sanjay"},{"family":"Baune","given":"Bernhard T."},{"family":"Bayati","given":"Mohsen"},{"family":"Bazmandegan","given":"Gholamreza"},{"family":"Bedi","given":"Neeraj"},{"family":"Bell","given":"Michellr L."},{"family":"Bennett","given":"Derrick A."},{"family":"Bensenor","given":"Isabela M."},{"family":"Berhe","given":"Kidanemaryam"},{"family":"Berman","given":"Adam E."},{"family":"Bertolacci","given":"Gregory J."},{"family":"Bhageerathy","given":"Reshmi"},{"family":"Bhala","given":"Neeraj"},{"family":"Bhattacharyya","given":"Krittika"},{"family":"Bhutta","given":"Zulfiqar A."},{"family":"Bijani","given":"Ali"},{"family":"Biondi","given":"Antonio"},{"family":"Bisanzio","given":"Donal"},{"family":"Bisignano","given":"Catherine"},{"family":"Biswas","given":"Raaj Kishore"},{"family":"Bjørge","given":"Tone"},{"family":"Bohlouli","given":"Somayeh"},{"family":"Bohluli","given":"Mehdi"},{"family":"Bolla","given":"Srinivasa Rao Rao"},{"family":"Borzì","given":"Antonio Maria"},{"family":"Borzouei","given":"Shiva"},{"family":"Brady","given":"Oliver J."},{"family":"Braithwaite","given":"Dejana"},{"family":"Brauer","given":"Michael"},{"family":"Briko","given":"Andrey Nikolaevich"},{"family":"Briko","given":"Nikolay Ivanovich"},{"family":"Bumgarner","given":"Blair R."},{"family":"Nagaraja","given":"Sharath Burugina"},{"family":"Butt","given":"Zahid A."},{"family":"Santos","given":"Florentino Luciano Caetano","dropping-particle":"dos"},{"family":"Cai","given":"Tianji"},{"family":"Callender","given":"Charlton SKH"},{"family":"Cámera","given":"Luis LA Alberto"},{"family":"Campos-Nonato","given":"Ismael R."},{"family":"Cárdenas","given":"Rosario"},{"family":"Carreras","given":"Giulia"},{"family":"Carrero","given":"Juan J."},{"family":"Carvalho","given":"Felix"},{"family":"Castaldelli-Maia","given":"Joao Mauricio"},{"family":"Castelpietra","given":"Giulio"},{"family":"Castro","given":"Franz"},{"family":"Catalá-López","given":"Ferrán"},{"family":"Cederroth","given":"Christopher R."},{"family":"Cerin","given":"Ester"},{"family":"Chattu","given":"Vijay Kumar"},{"family":"Chin","given":"Ken Lee"},{"family":"Chu","given":"Dinh-Toi"},{"family":"Ciobanu","given":"Liliana G."},{"family":"Cirillo","given":"Massimo"},{"family":"Comfort","given":"Haley"},{"family":"Costa","given":"Vera Marisa"},{"family":"Cowden","given":"Richard G."},{"family":"Cromwell","given":"Elizabeth A."},{"family":"Croneberger","given":"Andrew J."},{"family":"Cunningham","given":"Matthew"},{"family":"Dahlawi","given":"Saad M. A."},{"family":"Damiani","given":"Giovanni"},{"family":"D'Amico","given":"Emanuele"},{"family":"Dandona","given":"Lalit"},{"family":"Dandona","given":"Rakhi"},{"family":"Dargan","given":"Paul I."},{"family":"Darwesh","given":"Aso Mohammad"},{"family":"Daryani","given":"Ahmad"},{"family":"Gupta","given":"Rajat Das"},{"family":"Neves","given":"José","dropping-particle":"das"},{"family":"Davletov","given":"Kairat"},{"family":"Leo","given":"Diego De"},{"family":"Denova-Gutiérrez","given":"Edgar"},{"family":"Deribe","given":"Kebede"},{"family":"Dervenis","given":"Nikolaos"},{"family":"Desai","given":"Rupak"},{"family":"Dhungana","given":"Govinda Prasad"},{"family":"Silva","given":"Diana Dias","dropping-particle":"da"},{"family":"Diaz","given":"Daniel"},{"family":"Dippenaar","given":"Ilse N."},{"family":"Djalalinia","given":"Shirin"},{"family":"Do","given":"Hoa Thi"},{"family":"Dokova","given":"Klara"},{"family":"Doku","given":"David Teye"},{"family":"Dorostkar","given":"Fariba"},{"family":"Doshi","given":"Chirag P."},{"family":"Doshmangir","given":"Leila"},{"family":"Doyle","given":"Kerrie E."},{"family":"Dubljanin","given":"Eleonora"},{"family":"Duraes","given":"Andre Rodrigues"},{"family":"Edvardsson","given":"David"},{"family":"Effiong","given":"Andem"},{"family":"Sayed","given":"Iman El"},{"family":"Tantawi","given":"Maha El"},{"family":"Elbarazi","given":"Iffat"},{"family":"El-Jaafary","given":"Shaimaa I."},{"family":"Emamian","given":"Mohammad Hassan"},{"family":"Eskandarieh","given":"Sharareh"},{"family":"Esmaeilzadeh","given":"Firooz"},{"family":"Estep","given":"Kara"},{"family":"Farahmand","given":"Mohammad"},{"family":"Faraj","given":"Anwar"},{"family":"Fareed","given":"Mohammad"},{"family":"Faridnia","given":"Roghiyeh"},{"family":"Faro","given":"Andre"},{"family":"Farzadfar","given":"Farshad"},{"family":"Fattahi","given":"Nazir"},{"family":"Fazaeli","given":"Ali Akbar"},{"family":"Fazlzadeh","given":"Mehdi"},{"family":"Feigin","given":"Valery L."},{"family":"Fereshtehnejad","given":"Seyed-Mohammad"},{"family":"Fernandes","given":"Eduarda"},{"family":"Ferreira","given":"Manuela L."},{"family":"Filip","given":"Irina"},{"family":"Fischer","given":"Florian"},{"family":"Flohr","given":"Carsten"},{"family":"Foigt","given":"Nataliya A."},{"family":"Folayan","given":"Morenike Oluwatoyin"},{"family":"Fomenkov","given":"Artem Alekseevich"},{"family":"Freitas","given":"Marisa"},{"family":"Fukumoto","given":"Takeshi"},{"family":"Fuller","given":"John E."},{"family":"Furtado","given":"João M."},{"family":"Gad","given":"Mohamed M."},{"family":"Gakidou","given":"Emmanuela"},{"family":"Gallus","given":"Silvano"},{"family":"Gebrehiwot","given":"Abiyu Mekonnen"},{"family":"Gebremedhin","given":"Ketema Bizuwork"},{"family":"Gething","given":"Peter W."},{"family":"Ghamari","given":"Farhad"},{"family":"Ghashghaee","given":"Ahmad"},{"family":"Gholamian","given":"Asadollah"},{"family":"Gilani","given":"Syed Amir"},{"family":"Gitimoghaddam","given":"Mojgan"},{"family":"Glushkova","given":"Ekaterina Vladimirovna"},{"family":"Gnedovskaya","given":"Elena V."},{"family":"Gopalani","given":"Sameer Vali"},{"family":"Goulart","given":"Alessandra C."},{"family":"Gugnani","given":"Harish Chander"},{"family":"Guo","given":"Yuming"},{"family":"Gupta","given":"Rajeev"},{"family":"Gupta","given":"Subodh Sharan"},{"family":"Haagsma","given":"Juanita A."},{"family":"Haj-Mirzaian","given":"Arvin"},{"family":"Haj-Mirzaian","given":"Arya"},{"family":"Halvaei","given":"Iman"},{"family":"Hamadeh","given":"Randah R."},{"family":"Abdullah","given":"Kanaan Hamagharib"},{"family":"Han","given":"Chieh"},{"family":"Handiso","given":"Demelash Woldeyohannes"},{"family":"Hankey","given":"Graeme J."},{"family":"Haririan","given":"Hamidreza"},{"family":"Haro","given":"Josep Maria"},{"family":"Hasaballah","given":"Ahmed I."},{"family":"Hassanipour","given":"Soheil"},{"family":"Hassankhani","given":"Hadi"},{"family":"Hay","given":"Simon I."},{"family":"Heibati","given":"Behzad"},{"family":"Heidari-Soureshjani","given":"Reza"},{"family":"Henny","given":"Kiana"},{"family":"Henry","given":"Nathaniel J."},{"family":"Herteliu","given":"Claudiu"},{"family":"Heydarpour","given":"Fatemeh"},{"family":"Hole","given":"Michael K."},{"family":"Hoogar","given":"Praveen"},{"family":"Hosgood","given":"H. Dean"},{"family":"Hossain","given":"Naznin"},{"family":"Hosseinzadeh","given":"Mehdi"},{"family":"Hostiuc","given":"Mihaela"},{"family":"Hostiuc","given":"Sorin"},{"family":"Househ","given":"Mowafa"},{"family":"Hoy","given":"Damian G."},{"family":"Hu","given":"Guoqing"},{"family":"Huda","given":"Tanvir M."},{"family":"Ibitoye","given":"Segun Emmanuel"},{"family":"Ikuta","given":"Kevin S."},{"family":"Ilesanmi","given":"Olayinka Stephen"},{"family":"Ilic","given":"Irena M."},{"family":"Ilic","given":"Milena D."},{"family":"Imani-Nasab","given":"Mohammad Hasan"},{"family":"Islam","given":"MdMohaimenul"},{"family":"Iso","given":"Hiroyasu"},{"family":"Iwu","given":"Chinwe Juliana"},{"family":"Jaafari","given":"Jalil"},{"family":"Jacobsen","given":"Kathryn H."},{"family":"Jahagirdar","given":"Deepa"},{"family":"Jahanmehr","given":"Nader"},{"family":"Jalali","given":"Amir"},{"family":"Jalilian","given":"Farzad"},{"family":"James","given":"Spencer L."},{"family":"Janjani","given":"Hosna"},{"family":"Jenabi","given":"Ensiyeh"},{"family":"Jha","given":"Ravi Prakash"},{"family":"Jha","given":"Vivekanand"},{"family":"Ji","given":"John S."},{"family":"Jonas","given":"Jost B."},{"family":"Joukar","given":"Farahnaz"},{"family":"Jozwiak","given":"Jacek Jerzy"},{"family":"Jürisson","given":"Mikk"},{"family":"Kabir","given":"Zubair"},{"family":"Kalani","given":"Hamed"},{"family":"Kalankesh","given":"Leila R."},{"family":"Kamiab","given":"Zahra"},{"family":"Kanchan","given":"Tanuj"},{"family":"Kapoor","given":"Neeti"},{"family":"Karch","given":"André"},{"family":"Karimi","given":"Salah Eddin"},{"family":"Karimi","given":"Seyed Asaad"},{"family":"Kassebaum","given":"Nicholas J."},{"family":"Katikireddi","given":"Srinivasa Vittal"},{"family":"Kawakami","given":"Norito"},{"family":"Kayode","given":"Gbenga A."},{"family":"Keiyoro","given":"Peter Njenga"},{"family":"Keller","given":"Cathleen"},{"family":"Khader","given":"Yousef Saleh"},{"family":"Khalid","given":"Nauman"},{"family":"Khan","given":"Ejaz Ahmad"},{"family":"Khan","given":"Maseer"},{"family":"Khang","given":"Young-Ho"},{"family":"Khater","given":"Amir M."},{"family":"Khater","given":"Mona M."},{"family":"Khazaei","given":"Salman"},{"family":"Khazaie","given":"Habibolah"},{"family":"Khodayari","given":"Mohammad Taghi"},{"family":"Khubchandani","given":"Jagdish"},{"family":"Kianipour","given":"Neda"},{"family":"Kim","given":"Cho-il"},{"family":"Kim","given":"Young-Eun"},{"family":"Kim","given":"Yun Jin"},{"family":"Kinfu","given":"Yohannes"},{"family":"Kisa","given":"Adnan"},{"family":"Kisa","given":"Sezer"},{"family":"Kissimova-Skarbek","given":"Katarzyna"},{"family":"Kivimäki","given":"Mika"},{"family":"Komaki","given":"Hamidreza"},{"family":"Kopec","given":"Jacek A."},{"family":"Kosen","given":"Soewarta"},{"family":"Koul","given":"Parvaiz A."},{"family":"Koyanagi","given":"Ai"},{"family":"Kravchenko","given":"Michael A."},{"family":"Krishan","given":"Kewal"},{"family":"Krohn","given":"Kris J."},{"family":"Defo","given":"Barthelemy Kuate"},{"family":"Kumar","given":"G. Anil"},{"family":"Kumar","given":"Manasi"},{"family":"Kumar","given":"Pushpendra"},{"family":"Kumar","given":"Vivek"},{"family":"Kusuma","given":"Dian"},{"family":"Kyu","given":"Hmwe Hmwe"},{"family":"Vecchia","given":"Carlo La"},{"family":"Lacey","given":"Ben"},{"family":"Lal","given":"Dharmesh Kumar"},{"family":"Lalloo","given":"Ratilal"},{"family":"Lami","given":"Faris Hasan"},{"family":"Lansky","given":"Sonia"},{"family":"Larson","given":"Samantha Leigh"},{"family":"Larsson","given":"Anders O."},{"family":"Lasrado","given":"Savita"},{"family":"Lassi","given":"Zohra S."},{"family":"Lazarus","given":"Jeffrey V."},{"family":"Lee","given":"Paul H."},{"family":"Lee","given":"Shaun Wen Huey"},{"family":"Leever","given":"Andrew T."},{"family":"LeGrand","given":"Kate E."},{"family":"Leonardi","given":"Matilde"},{"family":"Li","given":"Shanshan"},{"family":"Lim","given":"Lee-Ling"},{"family":"Lim","given":"Stephen S."},{"family":"Linn","given":"Shai"},{"family":"Lodha","given":"Rakesh"},{"family":"Logroscino","given":"Giancarlo"},{"family":"Lopez","given":"Alan D."},{"family":"Lopukhov","given":"Platon D."},{"family":"Lotufo","given":"Paulo A."},{"family":"Lozano","given":"Rafael"},{"family":"Lu","given":"Alton"},{"family":"Lunevicius","given":"Raimundas"},{"family":"Madadin","given":"Mohammed"},{"family":"Maddison","given":"Emilie R."},{"family":"Razek","given":"Hassan Magdy Abd El"},{"family":"Razek","given":"Muhammed Magdy Abd El"},{"family":"Mahasha","given":"Phetole Walter"},{"family":"Mahdavi","given":"Mokhtar Mahdavi"},{"family":"Malekzadeh","given":"Reza"},{"family":"Mamun","given":"Abdullah A."},{"family":"Manafi","given":"Navid"},{"family":"Mansour-Ghanaei","given":"Fariborz"},{"family":"Mansouri","given":"Borhan"},{"family":"Mansournia","given":"Mohammad Ali"},{"family":"Mapoma","given":"Chabila Christopher"},{"family":"Martini","given":"Santi"},{"family":"Martins-Melo","given":"Francisco Rogerlândio"},{"family":"Masaka","given":"Anthony"},{"family":"Mastrogiacomo","given":"Claudia I."},{"family":"Mathur","given":"Manu Raj"},{"family":"May","given":"Erin A."},{"family":"McAlinden","given":"Colm"},{"family":"McGrath","given":"John J."},{"family":"McKee","given":"Martin"},{"family":"Mehndiratta","given":"Man Mohan"},{"family":"Mehri","given":"Fereshteh"},{"family":"Mehta","given":"Kala M."},{"family":"Meitei","given":"Wahengbam Bigyananda"},{"family":"Memiah","given":"Peter T. N."},{"family":"Mendoza","given":"Walter"},{"family":"Menezes","given":"Ritesh G."},{"family":"Mengesha","given":"Endalkachew Worku"},{"family":"Mensah","given":"George A."},{"family":"Meretoja","given":"Atte"},{"family":"Meretoja","given":"Tuomo J."},{"family":"Mestrovic","given":"Tomislav"},{"family":"Michalek","given":"Irmina Maria"},{"family":"Mihretie","given":"Kebadnew Mulatu"},{"family":"Miller","given":"Ted R."},{"family":"Mills","given":"Edward J."},{"family":"Milne","given":"George J."},{"family":"Mirrakhimov","given":"Erkin M."},{"family":"Mirzaei","given":"Hamed"},{"family":"Mirzaei","given":"Maryam"},{"family":"Mirzaei-Alavijeh","given":"Mehdi"},{"family":"Misganaw","given":"Awoke Temesgen"},{"family":"Moazen","given":"Babak"},{"family":"Moghadaszadeh","given":"Masoud"},{"family":"Mohamadi","given":"Efat"},{"family":"Mohammad","given":"Dara K."},{"family":"Mohammad","given":"Yousef"},{"family":"Mezerji","given":"Naser Mohammad Gholi"},{"family":"Mohammadbeigi","given":"Abolfazl"},{"family":"Mohammadian-Hafshejani","given":"Abdollah"},{"family":"Mohammadpourhodki","given":"Reza"},{"family":"Mohammed","given":"Hussen"},{"family":"Mohammed","given":"Shafiu"},{"family":"Mohebi","given":"Farnam"},{"family":"Bandpei","given":"Mohammad A. Mohseni"},{"family":"Mokari","given":"Amin"},{"family":"Mokdad","given":"Ali H."},{"family":"Momen","given":"Natalie C."},{"family":"Monasta","given":"Lorenzo"},{"family":"Mooney","given":"Meghan D."},{"family":"Moradi","given":"Ghobad"},{"family":"Moradi","given":"Masoud"},{"family":"Moradi-Joo","given":"Mohammad"},{"family":"Moradi-Lakeh","given":"Maziar"},{"family":"Moradzadeh","given":"Rahmatollah"},{"family":"Moraga","given":"Paula"},{"family":"Velásquez","given":"Ilais Moreno"},{"family":"Morgado-da-Costa","given":"Joana"},{"family":"Morrison","given":"Shane Douglas"},{"family":"Mosser","given":"Jonathan F."},{"family":"Mouodi","given":"Simin"},{"family":"Mousavi","given":"Seyyed Meysam"},{"family":"Khaneghah","given":"Amin Mousavi"},{"family":"Mueller","given":"Ulrich Otto"},{"family":"Musa","given":"Kamarul Imran"},{"family":"Muthupandian","given":"Saravanan"},{"family":"Nabavizadeh","given":"Behnam"},{"family":"Naderi","given":"Mehdi"},{"family":"Nagarajan","given":"Ahamarshan Jayaraman"},{"family":"Naghavi","given":"Mohsen"},{"family":"Naghshtabrizi","given":"Behshad"},{"family":"Naik","given":"Gurudatta"},{"family":"Najafi","given":"Farid"},{"family":"Nangia","given":"Vinay"},{"family":"Nansseu","given":"Jobert Richie"},{"family":"Ndwandwe","given":"Duduzile Edith"},{"family":"Negoi","given":"Ionut"},{"family":"Negoi","given":"Ruxandra Irina"},{"family":"Ngunjiri","given":"Josephine W."},{"family":"Nguyen","given":"Huong Lan Thi"},{"family":"Nguyen","given":"Trang Huyen"},{"family":"Nigatu","given":"Yeshambel T."},{"family":"Nikbakhsh","given":"Rajan"},{"family":"Nikpoor","given":"Amin Reza"},{"family":"Nixon","given":"Molly R."},{"family":"Nnaji","given":"Chukwudi A."},{"family":"Nomura","given":"Shuhei"},{"family":"Noubiap","given":"Jean Jacques"},{"family":"Motlagh","given":"Soraya Nouraei"},{"family":"Nowak","given":"Christoph"},{"family":"Oţoiu","given":"Adrian"},{"family":"Odell","given":"Christopher M."},{"family":"Oh","given":"In-Hwan"},{"family":"Oladnabi","given":"Morteza"},{"family":"Olagunju","given":"Andrew T."},{"family":"Olusanya","given":"Bolajoko Olubukunola"},{"family":"Olusanya","given":"Jacob Olusegun"},{"family":"Bali","given":"Ahmed Omar"},{"family":"Ong","given":"Kanyin L."},{"family":"Onwujekwe","given":"Obinna E."},{"family":"Ortiz","given":"Alberto"},{"family":"Otstavnov","given":"Nikita"},{"family":"Otstavnov","given":"Stanislav S."},{"family":"Øverland","given":"Simon"},{"family":"Owolabi","given":"Mayowa O."},{"family":"A","given":"Mahesh P."},{"family":"Padubidri","given":"Jagadish Rao"},{"family":"Pakshir","given":"Keyvan"},{"family":"Palladino","given":"Raffaele"},{"family":"Pana","given":"Adrian"},{"family":"Panda-Jonas","given":"Songhomitra"},{"family":"Park","given":"James"},{"family":"Pasupula","given":"Deepak Kumar"},{"family":"Patel","given":"Jenil R."},{"family":"Patel","given":"Sangram Kishor"},{"family":"Patton","given":"George C."},{"family":"Paulson","given":"Katherine R."},{"family":"Toroudi","given":"Hamidreza Pazoki"},{"family":"Pease","given":"Spencer A."},{"family":"Peden","given":"Amy E."},{"family":"Pepito","given":"Veincent Christian Filipino"},{"family":"Peprah","given":"Emmanuel K."},{"family":"Pereira","given":"Alexandre"},{"family":"Pereira","given":"David M."},{"family":"Perico","given":"Norberto"},{"family":"Pigott","given":"David M."},{"family":"Pilgrim","given":"Thomas"},{"family":"Pilz","given":"Tessa M."},{"family":"Piradov","given":"Michael A."},{"family":"Pirsaheb","given":"Meghdad"},{"family":"Pokhrel","given":"Khem Narayan"},{"family":"Postma","given":"Maarten J."},{"family":"Pourjafar","given":"Hadi"},{"family":"Pourmalek","given":"Farshad"},{"family":"Pourshams","given":"Akram"},{"family":"Poznańska","given":"Anna"},{"family":"Prada","given":"Sergio I."},{"family":"Prakash","given":"Sanjay"},{"family":"Preotescu","given":"Liliana"},{"family":"Syed","given":"Zahiruddin Quazi"},{"family":"Rabiee","given":"Mohammad"},{"family":"Rabiee","given":"Navid"},{"family":"Radfar","given":"Amir"},{"family":"Rafiei","given":"Alireza"},{"family":"Raggi","given":"Alberto"},{"family":"Rahman","given":"Muhammad Aziz"},{"family":"Rajabpour-Sanati","given":"Ali"},{"family":"Ram","given":"Pradhum"},{"family":"Ranabhat","given":"Chhabi Lal"},{"family":"Rao","given":"Sowmya J."},{"family":"Rasella","given":"Davide"},{"family":"Rashedi","given":"Vahid"},{"family":"Rastogi","given":"Prateek"},{"family":"Rathi","given":"Priya"},{"family":"Rawal","given":"Lal"},{"family":"Remuzzi","given":"Giuseppe"},{"family":"Renjith","given":"Vishnu"},{"family":"Renzaho","given":"Andre M. N."},{"family":"Resnikoff","given":"Serge"},{"family":"Rezaei","given":"Nima"},{"family":"Rezai","given":"Mohammad","dropping-particle":"sadegh"},{"family":"Rezapour","given":"Aziz"},{"family":"Rickard","given":"Jennifer"},{"family":"Roever","given":"Leonardo"},{"family":"Ronfani","given":"Luca"},{"family":"Roshandel","given":"Gholamreza"},{"family":"Rostamian","given":"Morteza"},{"family":"Rubagotti","given":"Enrico"},{"family":"Rwegerera","given":"Godfrey M."},{"family":"Sabour","given":"Siamak"},{"family":"Saddik","given":"Basema"},{"family":"Sadeghi","given":"Ehsan"},{"family":"Sadeghi","given":"Masoumeh"},{"family":"Moghaddam","given":"Sahar Saeedi"},{"family":"Safari","given":"Yahya"},{"family":"Safi","given":"Sare"},{"family":"Safiri","given":"Saeid"},{"family":"Sagar","given":"Rajesh"},{"family":"Sahebkar","given":"Amirhossein"},{"family":"Sahraian","given":"Mohammad Ali"},{"family":"Sajadi","given":"S. Mohammad"},{"family":"Salahshoor","given":"Mohammad Reza"},{"family":"Salama","given":"Joseph S."},{"family":"Salamati","given":"Payman"},{"family":"Salem","given":"Marwa R. Rashad"},{"family":"Salimi","given":"Yahya"},{"family":"Salomon","given":"Joshua A."},{"family":"Salz","given":"Inbal"},{"family":"Samad","given":"Zainab"},{"family":"Samy","given":"Abdallah M."},{"family":"Sanabria","given":"Juan"},{"family":"Santric-Milicevic","given":"Milena M."},{"family":"Saraswathy","given":"Sivan Yegnanarayana Iyer"},{"family":"Sartorius","given":"Benn"},{"family":"Sarveazad","given":"Arash"},{"family":"Sathian","given":"Brijesh"},{"family":"Sathish","given":"Thirunavukkarasu"},{"family":"Sattin","given":"Davide"},{"family":"Saylan","given":"Mete"},{"family":"Schaeffer","given":"Lauren E."},{"family":"Schiavolin","given":"Silvia"},{"family":"Schwebel","given":"David C."},{"family":"Schwendicke","given":"Falk"},{"family":"Sekerija","given":"Mario"},{"family":"Senbeta","given":"Anbissa Muleta"},{"family":"Senthilkumaran","given":"Subramanian"},{"family":"Sepanlou","given":"Sadaf G."},{"family":"Serván-Mori","given":"Edson"},{"family":"Shabani","given":"Mahsima"},{"family":"Shahabi","given":"Saeed"},{"family":"Shahbaz","given":"Mohammad"},{"family":"Shaheen","given":"Amira A."},{"family":"Shaikh","given":"Masood Ali"},{"family":"Shalash","given":"Ali S."},{"family":"Shams-Beyranvand","given":"Mehran"},{"family":"Shamsi","given":"MohammadBagher"},{"family":"Shamsizadeh","given":"Morteza"},{"family":"Shannawaz","given":"Mohammed"},{"family":"Sharafi","given":"Kiomars"},{"family":"Sharafi","given":"Zeinab"},{"family":"Sharara","given":"Fablina"},{"family":"Sharma","given":"Rajesh"},{"family":"Shaw","given":"David H."},{"family":"Sheikh","given":"Aziz"},{"family":"Shin","given":"Jae Il"},{"family":"Shiri","given":"Rahman"},{"family":"Shrime","given":"Mark G."},{"family":"Shuval","given":"Kerem"},{"family":"Siabani","given":"Soraya"},{"family":"Sigfusdottir","given":"Inga Dora"},{"family":"Sigurvinsdottir","given":"Rannveig"},{"family":"Silva","given":"Diego Augusto Santos"},{"family":"Simonetti","given":"Biagio"},{"family":"Simpson","given":"Kyle E."},{"family":"Singh","given":"Jasvinder A."},{"family":"Skiadaresi","given":"Eirini"},{"family":"Skryabin","given":"Valentin Yurievich"},{"family":"Soheili","given":"Amin"},{"family":"Sokhan","given":"Anton"},{"family":"Sorensen","given":"Reed J. D."},{"family":"Soriano","given":"Joan B."},{"family":"Sorrie","given":"Muluken Bekele"},{"family":"Soyiri","given":"Ireneous N."},{"family":"Spurlock","given":"Emma Elizabeth"},{"family":"Sreeramareddy","given":"Chandrashekhar T."},{"family":"Stockfelt","given":"Leo"},{"family":"Stokes","given":"Mark A."},{"family":"Stubbs","given":"Jacob L."},{"family":"Sudaryanto","given":"Agus"},{"family":"Sufiyan","given":"Mu'awiyyah Babale"},{"family":"Abdulkader","given":"Rizwan Suliankatchi"},{"family":"Sykes","given":"Bryan L."},{"family":"Tabarés-Seisdedos","given":"Rafael"},{"family":"Tabb","given":"Karen M."},{"family":"Tadakamadla","given":"Santosh Kumar"},{"family":"Taherkhani","given":"Amir"},{"family":"Tang","given":"Muming"},{"family":"Taveira","given":"Nuno"},{"family":"Taylor","given":"Heather Jean"},{"family":"Teagle","given":"Whitney L."},{"family":"Tehrani-Banihashemi","given":"Arash"},{"family":"Teklehaimanot","given":"Berhane Fseha"},{"family":"Tessema","given":"Zemenu Tadesse"},{"family":"Thankappan","given":"Kavumpurathu Raman"},{"family":"Thomas","given":"Nihal"},{"family":"Thrift","given":"Amanda G."},{"family":"Titova","given":"Mariya Vladimirovna"},{"family":"Tohidinik","given":"Hamid Reza"},{"family":"Tonelli","given":"Marcello"},{"family":"Topor-Madry","given":"Roman"},{"family":"Topouzis","given":"Fotis"},{"family":"Tovani-Palone","given":"Marcos Roberto Roberto"},{"family":"Traini","given":"Eugenio"},{"family":"Tran","given":"Bach Xuan"},{"family":"Travillian","given":"Ravensara"},{"family":"Trias-Llimós","given":"Sergi"},{"family":"Truelsen","given":"Thomas Clement"},{"family":"Car","given":"Lorainne Tudor"},{"family":"Unnikrishnan","given":"Bhaskaran"},{"family":"Upadhyay","given":"Era"},{"family":"Vacante","given":"Marco"},{"family":"Vakilian","given":"Alireza"},{"family":"Valdez","given":"Pascual R."},{"family":"Valli","given":"Alessandro"},{"family":"Vardavas","given":"Constantine"},{"family":"Vasankari","given":"Tommi Juhani"},{"family":"Vasconcelos","given":"Ana Maria Nogales"},{"family":"Vasseghian","given":"Yasser"},{"family":"Veisani","given":"Yousef"},{"family":"Venketasubramanian","given":"Narayanaswamy"},{"family":"Vidale","given":"Simone"},{"family":"Violante","given":"Francesco S."},{"family":"Vlassov","given":"Vasily"},{"family":"Vollset","given":"Stein Emil"},{"family":"Vos","given":"Theo"},{"family":"Vujcic","given":"Isidora S."},{"family":"Vukovic","given":"Ana"},{"family":"Vukovic","given":"Rade"},{"family":"Waheed","given":"Yasir"},{"family":"Wallin","given":"Mitchell Taylor"},{"family":"Walters","given":"Magdalene K."},{"family":"Wang","given":"Hongbo"},{"family":"Wang","given":"Yuan-Pang"},{"family":"Watson","given":"Stefanie"},{"family":"Wei","given":"Jingkai"},{"family":"Weiss","given":"Jordan"},{"family":"Weldesamuel","given":"Girmay Teklay"},{"family":"Werdecker","given":"Andrea"},{"family":"Westerman","given":"Ronny"},{"family":"Whiteford","given":"Harvey A."},{"family":"Wiangkham","given":"Taweewat"},{"family":"Wiens","given":"Kirsten E."},{"family":"Wijeratne","given":"Tissa"},{"family":"Wiysonge","given":"Charles Shey"},{"family":"Wojtyniak","given":"Bogdan"},{"family":"Wolfe","given":"Charles D. A."},{"family":"Wondmieneh","given":"Adam Belay"},{"family":"Wool","given":"Eve E."},{"family":"Wu","given":"Ai-Min"},{"family":"Wu","given":"Junjie"},{"family":"Xu","given":"Gelin"},{"family":"Yamada","given":"Tomohide"},{"family":"Yamagishi","given":"Kazumasa"},{"family":"Yano","given":"Yuichiro"},{"family":"Yaya","given":"Sanni"},{"family":"Yazdi-Feyzabadi","given":"Vahid"},{"family":"Yearwood","given":"Jamal A."},{"family":"Yeheyis","given":"Tomas Y."},{"family":"Yilgwan","given":"Christopher Sabo"},{"family":"Yip","given":"Paul"},{"family":"Yonemoto","given":"Naohiro"},{"family":"Yoon","given":"Seok-Jun"},{"family":"Lebni","given":"Javad Yoosefi"},{"family":"York","given":"Hunter W."},{"family":"Younis","given":"Mustafa Z."},{"family":"Younker","given":"Theodore Patrick"},{"family":"Yousefi","given":"Zabihollah"},{"family":"Yousefinezhadi","given":"Taraneh"},{"family":"Yousuf","given":"Abdilahi Yousuf"},{"family":"Yusefzadeh","given":"Hasan"},{"family":"Moghadam","given":"Telma Zahirian"},{"family":"Zakzuk","given":"Josefina"},{"family":"Zaman","given":"Sojib Bin"},{"family":"Zamani","given":"Mohammad"},{"family":"Zamanian","given":"Maryam"},{"family":"Zandian","given":"Hamed"},{"family":"Zhang","given":"Zhi-Jiang"},{"family":"Zheng","given":"Peng"},{"family":"Zhou","given":"Maigeng"},{"family":"Ziapour","given":"Arash"},{"family":"Murray","given":"Christopher J. L."}],"issued":{"date-parts":[["2020",10,17]]}}}],"schema":"https://github.com/citation-style-language/schema/raw/master/csl-citation.json"} </w:instrText>
      </w:r>
      <w:r w:rsidR="00A767EA" w:rsidRPr="006A0823">
        <w:rPr>
          <w:color w:val="2B579A"/>
          <w:shd w:val="clear" w:color="auto" w:fill="E6E6E6"/>
          <w:lang w:val="en-GB"/>
        </w:rPr>
        <w:fldChar w:fldCharType="separate"/>
      </w:r>
      <w:r w:rsidR="00851DCE" w:rsidRPr="006A0823">
        <w:rPr>
          <w:sz w:val="22"/>
          <w:vertAlign w:val="superscript"/>
        </w:rPr>
        <w:t>37</w:t>
      </w:r>
      <w:r w:rsidR="00A767EA" w:rsidRPr="006A0823">
        <w:rPr>
          <w:color w:val="2B579A"/>
          <w:shd w:val="clear" w:color="auto" w:fill="E6E6E6"/>
          <w:lang w:val="en-GB"/>
        </w:rPr>
        <w:fldChar w:fldCharType="end"/>
      </w:r>
      <w:r w:rsidR="004570F1" w:rsidRPr="006A0823">
        <w:rPr>
          <w:lang w:val="en-GB"/>
        </w:rPr>
        <w:t xml:space="preserve"> and used here to predict maximum testing per capita.</w:t>
      </w:r>
      <w:r w:rsidR="006F0DEB" w:rsidRPr="006A0823">
        <w:rPr>
          <w:rFonts w:eastAsia="Times New Roman"/>
          <w:color w:val="454545"/>
        </w:rPr>
        <w:t xml:space="preserve"> </w:t>
      </w:r>
    </w:p>
    <w:p w14:paraId="166CD315" w14:textId="09F6832F" w:rsidR="000C2E73" w:rsidRPr="006A0823" w:rsidRDefault="2166A0BE" w:rsidP="00BC3AE0">
      <w:pPr>
        <w:pStyle w:val="Heading3"/>
        <w:rPr>
          <w:lang w:val="en-GB"/>
        </w:rPr>
      </w:pPr>
      <w:bookmarkStart w:id="287" w:name="_Toc104249370"/>
      <w:bookmarkStart w:id="288" w:name="_Toc104252098"/>
      <w:bookmarkStart w:id="289" w:name="_Toc124499501"/>
      <w:r w:rsidRPr="006A0823">
        <w:rPr>
          <w:lang w:val="en-GB"/>
        </w:rPr>
        <w:t>UHC effective coverage</w:t>
      </w:r>
      <w:bookmarkEnd w:id="287"/>
      <w:bookmarkEnd w:id="288"/>
      <w:bookmarkEnd w:id="289"/>
    </w:p>
    <w:p w14:paraId="2B0910DA" w14:textId="5243BABC" w:rsidR="006F0DEB" w:rsidRPr="006A0823" w:rsidRDefault="006F0DEB" w:rsidP="00BC3AE0">
      <w:r w:rsidRPr="006A0823">
        <w:t>Estimates from the</w:t>
      </w:r>
      <w:r w:rsidR="001B3808" w:rsidRPr="006A0823">
        <w:t xml:space="preserve"> </w:t>
      </w:r>
      <w:r w:rsidRPr="006A0823">
        <w:t xml:space="preserve">GBD 2019 were used to create an index which </w:t>
      </w:r>
      <w:r w:rsidR="00715421" w:rsidRPr="006A0823">
        <w:t>represents</w:t>
      </w:r>
      <w:r w:rsidRPr="006A0823">
        <w:t xml:space="preserve"> global progress towards universal health coverage (UHC) and specifically UHC effective</w:t>
      </w:r>
      <w:r w:rsidR="000F1FB7" w:rsidRPr="006A0823">
        <w:t xml:space="preserve"> coverage</w:t>
      </w:r>
      <w:r w:rsidRPr="006A0823">
        <w:t>. The UHC effective coverage index is comprised of 23 indicators drawn across a range of health service areas and is meant to represent healthcare needs over the life course.</w:t>
      </w:r>
      <w:r w:rsidR="00752AA8" w:rsidRPr="006A0823">
        <w:t xml:space="preserve"> </w:t>
      </w:r>
      <w:r w:rsidR="00752AA8" w:rsidRPr="006A0823">
        <w:rPr>
          <w:lang w:val="en-GB"/>
        </w:rPr>
        <w:t>It is one of the covariates in the production of location-specific infection fatality ratios for COVID-19.</w:t>
      </w:r>
    </w:p>
    <w:p w14:paraId="63B52EA4" w14:textId="77777777" w:rsidR="006F0DEB" w:rsidRPr="006A0823" w:rsidRDefault="006F0DEB" w:rsidP="00BC3AE0"/>
    <w:p w14:paraId="343FBE69" w14:textId="66BECC8C" w:rsidR="0033413F" w:rsidRPr="006A0823" w:rsidRDefault="6E3E6671" w:rsidP="00BC3AE0">
      <w:pPr>
        <w:pStyle w:val="Heading3"/>
        <w:rPr>
          <w:lang w:val="en-GB"/>
        </w:rPr>
      </w:pPr>
      <w:bookmarkStart w:id="290" w:name="_Toc104249371"/>
      <w:bookmarkStart w:id="291" w:name="_Toc104252099"/>
      <w:bookmarkStart w:id="292" w:name="_Toc124499502"/>
      <w:r w:rsidRPr="006A0823">
        <w:rPr>
          <w:lang w:val="en-GB"/>
        </w:rPr>
        <w:t xml:space="preserve">Healthcare Access and Quality </w:t>
      </w:r>
      <w:r w:rsidR="78332CA5" w:rsidRPr="006A0823">
        <w:rPr>
          <w:lang w:val="en-GB"/>
        </w:rPr>
        <w:t>i</w:t>
      </w:r>
      <w:r w:rsidRPr="006A0823">
        <w:rPr>
          <w:lang w:val="en-GB"/>
        </w:rPr>
        <w:t>ndex</w:t>
      </w:r>
      <w:bookmarkEnd w:id="290"/>
      <w:bookmarkEnd w:id="291"/>
      <w:bookmarkEnd w:id="292"/>
    </w:p>
    <w:p w14:paraId="79C9228F" w14:textId="0696E141" w:rsidR="0033413F" w:rsidRPr="006A0823" w:rsidRDefault="00190063" w:rsidP="00BC3AE0">
      <w:pPr>
        <w:rPr>
          <w:lang w:val="en-GB"/>
        </w:rPr>
      </w:pPr>
      <w:r w:rsidRPr="006A0823">
        <w:rPr>
          <w:lang w:val="en-GB"/>
        </w:rPr>
        <w:t xml:space="preserve">Estimates of 32 causes of death that are amenable to healthcare from the </w:t>
      </w:r>
      <w:r w:rsidRPr="006A0823">
        <w:rPr>
          <w:rStyle w:val="normaltextrun"/>
          <w:color w:val="000000"/>
          <w:shd w:val="clear" w:color="auto" w:fill="FFFFFF"/>
          <w:lang w:val="en-GB"/>
        </w:rPr>
        <w:t>GBD 2019</w:t>
      </w:r>
      <w:r w:rsidR="00CA1B0B"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{"citationID":"3bmvAIYn","properties":{"formattedCitation":"\\super 35\\nosupersub{}","plainCitation":"35","dontUpdate":true,"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00CA1B0B" w:rsidRPr="006A0823">
        <w:rPr>
          <w:rStyle w:val="normaltextrun"/>
          <w:color w:val="000000"/>
          <w:shd w:val="clear" w:color="auto" w:fill="FFFFFF"/>
          <w:lang w:val="en-GB"/>
        </w:rPr>
        <w:fldChar w:fldCharType="separate"/>
      </w:r>
      <w:r w:rsidR="00CA1B0B" w:rsidRPr="006A0823">
        <w:rPr>
          <w:vertAlign w:val="superscript"/>
        </w:rPr>
        <w:t>27</w:t>
      </w:r>
      <w:r w:rsidR="00CA1B0B" w:rsidRPr="006A0823">
        <w:rPr>
          <w:rStyle w:val="normaltextrun"/>
          <w:color w:val="000000"/>
          <w:shd w:val="clear" w:color="auto" w:fill="FFFFFF"/>
          <w:lang w:val="en-GB"/>
        </w:rPr>
        <w:fldChar w:fldCharType="end"/>
      </w:r>
      <w:r w:rsidRPr="006A0823">
        <w:rPr>
          <w:rStyle w:val="normaltextrun"/>
          <w:color w:val="000000"/>
          <w:shd w:val="clear" w:color="auto" w:fill="FFFFFF"/>
          <w:lang w:val="en-GB"/>
        </w:rPr>
        <w:t xml:space="preserve"> were used to </w:t>
      </w:r>
      <w:r w:rsidR="005F6ED5" w:rsidRPr="006A0823">
        <w:rPr>
          <w:rStyle w:val="normaltextrun"/>
          <w:color w:val="000000"/>
          <w:shd w:val="clear" w:color="auto" w:fill="FFFFFF"/>
          <w:lang w:val="en-GB"/>
        </w:rPr>
        <w:t>derive t</w:t>
      </w:r>
      <w:r w:rsidR="00955BD1" w:rsidRPr="006A0823">
        <w:rPr>
          <w:lang w:val="en-GB"/>
        </w:rPr>
        <w:t xml:space="preserve">he Healthcare Access and Quality (HAQ) </w:t>
      </w:r>
      <w:r w:rsidR="00923E52" w:rsidRPr="006A0823">
        <w:rPr>
          <w:lang w:val="en-GB"/>
        </w:rPr>
        <w:t>i</w:t>
      </w:r>
      <w:r w:rsidR="00955BD1" w:rsidRPr="006A0823">
        <w:rPr>
          <w:lang w:val="en-GB"/>
        </w:rPr>
        <w:t>ndex</w:t>
      </w:r>
      <w:r w:rsidR="005F6ED5" w:rsidRPr="006A0823">
        <w:rPr>
          <w:lang w:val="en-GB"/>
        </w:rPr>
        <w:t>, a summ</w:t>
      </w:r>
      <w:r w:rsidR="00BC702D" w:rsidRPr="006A0823">
        <w:rPr>
          <w:lang w:val="en-GB"/>
        </w:rPr>
        <w:t>ary measure of personal healthcare</w:t>
      </w:r>
      <w:r w:rsidR="0035564F" w:rsidRPr="006A0823">
        <w:rPr>
          <w:lang w:val="en-GB"/>
        </w:rPr>
        <w:t xml:space="preserve"> </w:t>
      </w:r>
      <w:r w:rsidR="00865F5B" w:rsidRPr="006A0823">
        <w:rPr>
          <w:lang w:val="en-GB"/>
        </w:rPr>
        <w:t>in</w:t>
      </w:r>
      <w:r w:rsidR="0035564F" w:rsidRPr="006A0823">
        <w:rPr>
          <w:lang w:val="en-GB"/>
        </w:rPr>
        <w:t xml:space="preserve"> each location. </w:t>
      </w:r>
      <w:r w:rsidR="00132285" w:rsidRPr="006A0823">
        <w:rPr>
          <w:lang w:val="en-GB"/>
        </w:rPr>
        <w:t>It is one of the covariates in the production of location-specific infection fatality ratios for COVID-19.</w:t>
      </w:r>
    </w:p>
    <w:p w14:paraId="069EC5F2" w14:textId="42154D74" w:rsidR="00310136" w:rsidRPr="006A0823" w:rsidRDefault="364DDF37" w:rsidP="00BC3AE0">
      <w:pPr>
        <w:pStyle w:val="Heading3"/>
        <w:rPr>
          <w:lang w:val="en-GB"/>
        </w:rPr>
      </w:pPr>
      <w:bookmarkStart w:id="293" w:name="_Toc76457864"/>
      <w:bookmarkStart w:id="294" w:name="_Toc76653823"/>
      <w:bookmarkStart w:id="295" w:name="_Toc76726292"/>
      <w:bookmarkStart w:id="296" w:name="_Toc76727600"/>
      <w:bookmarkStart w:id="297" w:name="_Toc76840519"/>
      <w:bookmarkStart w:id="298" w:name="_Toc104249372"/>
      <w:bookmarkStart w:id="299" w:name="_Toc104252100"/>
      <w:bookmarkStart w:id="300" w:name="_Toc124499503"/>
      <w:r w:rsidRPr="006A0823">
        <w:rPr>
          <w:lang w:val="en-GB"/>
        </w:rPr>
        <w:t>Obesity</w:t>
      </w:r>
      <w:bookmarkEnd w:id="293"/>
      <w:bookmarkEnd w:id="294"/>
      <w:bookmarkEnd w:id="295"/>
      <w:bookmarkEnd w:id="296"/>
      <w:bookmarkEnd w:id="297"/>
      <w:bookmarkEnd w:id="298"/>
      <w:bookmarkEnd w:id="299"/>
      <w:bookmarkEnd w:id="300"/>
    </w:p>
    <w:p w14:paraId="3EDB564B" w14:textId="45532880" w:rsidR="004570F1" w:rsidRPr="006A0823" w:rsidRDefault="6D85F399" w:rsidP="00BC3AE0">
      <w:pPr>
        <w:rPr>
          <w:lang w:val="en-GB"/>
        </w:rPr>
      </w:pPr>
      <w:r w:rsidRPr="006A0823">
        <w:rPr>
          <w:rStyle w:val="normaltextrun"/>
          <w:color w:val="000000"/>
          <w:shd w:val="clear" w:color="auto" w:fill="FFFFFF"/>
          <w:lang w:val="en-GB"/>
        </w:rPr>
        <w:t>The age-standardised </w:t>
      </w:r>
      <w:r w:rsidRPr="006A0823">
        <w:rPr>
          <w:rStyle w:val="findhit"/>
          <w:color w:val="000000"/>
          <w:shd w:val="clear" w:color="auto" w:fill="FFFFFF"/>
          <w:lang w:val="en-GB"/>
        </w:rPr>
        <w:t>obesity</w:t>
      </w:r>
      <w:r w:rsidRPr="006A0823">
        <w:rPr>
          <w:rStyle w:val="normaltextrun"/>
          <w:color w:val="000000"/>
          <w:shd w:val="clear" w:color="auto" w:fill="FFFFFF"/>
          <w:lang w:val="en-GB"/>
        </w:rPr>
        <w:t> prevalence covariate was estimated for each l</w:t>
      </w:r>
      <w:r w:rsidR="6DD6ADC4" w:rsidRPr="006A0823">
        <w:rPr>
          <w:rStyle w:val="normaltextrun"/>
          <w:color w:val="000000"/>
          <w:shd w:val="clear" w:color="auto" w:fill="FFFFFF"/>
          <w:lang w:val="en-GB"/>
        </w:rPr>
        <w:t>ocation as part of GBD 2019.</w:t>
      </w:r>
      <w:r w:rsidR="00A767EA" w:rsidRPr="006A0823">
        <w:rPr>
          <w:rStyle w:val="normaltextrun"/>
          <w:color w:val="000000"/>
          <w:shd w:val="clear" w:color="auto" w:fill="FFFFFF"/>
          <w:lang w:val="en-GB"/>
        </w:rPr>
        <w:fldChar w:fldCharType="begin"/>
      </w:r>
      <w:r w:rsidR="00851DCE" w:rsidRPr="006A0823">
        <w:rPr>
          <w:rStyle w:val="normaltextrun"/>
          <w:color w:val="000000"/>
          <w:shd w:val="clear" w:color="auto" w:fill="FFFFFF"/>
          <w:lang w:val="en-GB"/>
        </w:rPr>
        <w:instrText xml:space="preserve"> ADDIN ZOTERO_ITEM CSL_CITATION {"citationID":"qCrBfe3K","properties":{"formattedCitation":"\\super 34\\nosupersub{}","plainCitation":"34","noteIndex":0},"citationItems":[{"id":957,"uris":["http://zotero.org/groups/2154524/items/SLRDN2NB"],"itemData":{"id":957,"type":"article-journal","abstract":"&lt;h2&gt;Summary&lt;/h2&gt;&lt;h3&gt;Background&lt;/h3&gt;&lt;p&gt;Rigorous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00A767EA" w:rsidRPr="006A0823">
        <w:rPr>
          <w:rStyle w:val="normaltextrun"/>
          <w:color w:val="000000"/>
          <w:shd w:val="clear" w:color="auto" w:fill="FFFFFF"/>
          <w:lang w:val="en-GB"/>
        </w:rPr>
        <w:fldChar w:fldCharType="separate"/>
      </w:r>
      <w:r w:rsidR="00851DCE" w:rsidRPr="006A0823">
        <w:rPr>
          <w:sz w:val="22"/>
          <w:vertAlign w:val="superscript"/>
        </w:rPr>
        <w:t>34</w:t>
      </w:r>
      <w:r w:rsidR="00A767EA" w:rsidRPr="006A0823">
        <w:rPr>
          <w:rStyle w:val="normaltextrun"/>
          <w:color w:val="000000"/>
          <w:shd w:val="clear" w:color="auto" w:fill="FFFFFF"/>
          <w:lang w:val="en-GB"/>
        </w:rPr>
        <w:fldChar w:fldCharType="end"/>
      </w:r>
      <w:r w:rsidR="6DD6ADC4" w:rsidRPr="006A0823">
        <w:rPr>
          <w:rStyle w:val="normaltextrun"/>
          <w:color w:val="000000"/>
          <w:shd w:val="clear" w:color="auto" w:fill="FFFFFF"/>
          <w:lang w:val="en-GB"/>
        </w:rPr>
        <w:t xml:space="preserve"> </w:t>
      </w:r>
      <w:r w:rsidRPr="006A0823">
        <w:rPr>
          <w:lang w:val="en-GB"/>
        </w:rPr>
        <w:t>It</w:t>
      </w:r>
      <w:r w:rsidR="3A78DD99" w:rsidRPr="006A0823">
        <w:rPr>
          <w:lang w:val="en-GB"/>
        </w:rPr>
        <w:t xml:space="preserve"> is one of the covariates in the production of location-specific infection fatality ratios for COVID-19</w:t>
      </w:r>
      <w:r w:rsidR="686BA197" w:rsidRPr="006A0823">
        <w:rPr>
          <w:lang w:val="en-GB"/>
        </w:rPr>
        <w:t>.</w:t>
      </w:r>
    </w:p>
    <w:p w14:paraId="1B506299" w14:textId="2A9A81CE" w:rsidR="001962DC" w:rsidRPr="006A0823" w:rsidRDefault="04E68F1B" w:rsidP="00BC3AE0">
      <w:pPr>
        <w:pStyle w:val="Heading3"/>
        <w:rPr>
          <w:lang w:val="en-GB"/>
        </w:rPr>
      </w:pPr>
      <w:bookmarkStart w:id="301" w:name="_Toc104249373"/>
      <w:bookmarkStart w:id="302" w:name="_Toc104252101"/>
      <w:bookmarkStart w:id="303" w:name="_Toc124499504"/>
      <w:r w:rsidRPr="006A0823">
        <w:rPr>
          <w:lang w:val="en-GB"/>
        </w:rPr>
        <w:t>Diabetes</w:t>
      </w:r>
      <w:bookmarkEnd w:id="301"/>
      <w:bookmarkEnd w:id="302"/>
      <w:bookmarkEnd w:id="303"/>
    </w:p>
    <w:p w14:paraId="75E34685" w14:textId="27EE1CA1" w:rsidR="001962DC" w:rsidRPr="006A0823" w:rsidRDefault="001962DC" w:rsidP="00BC3AE0">
      <w:pPr>
        <w:rPr>
          <w:lang w:val="en-GB"/>
        </w:rPr>
      </w:pPr>
      <w:r w:rsidRPr="006A0823">
        <w:rPr>
          <w:rStyle w:val="normaltextrun"/>
          <w:color w:val="000000"/>
          <w:shd w:val="clear" w:color="auto" w:fill="FFFFFF"/>
          <w:lang w:val="en-GB"/>
        </w:rPr>
        <w:t>The age-standardised </w:t>
      </w:r>
      <w:r w:rsidR="00024F29" w:rsidRPr="006A0823">
        <w:rPr>
          <w:rStyle w:val="findhit"/>
          <w:color w:val="000000"/>
          <w:shd w:val="clear" w:color="auto" w:fill="FFFFFF"/>
          <w:lang w:val="en-GB"/>
        </w:rPr>
        <w:t>diabetes</w:t>
      </w:r>
      <w:r w:rsidRPr="006A0823">
        <w:rPr>
          <w:rStyle w:val="normaltextrun"/>
          <w:color w:val="000000"/>
          <w:shd w:val="clear" w:color="auto" w:fill="FFFFFF"/>
          <w:lang w:val="en-GB"/>
        </w:rPr>
        <w:t> prevalence covariate was estimated for each location as part of GBD 2019.</w:t>
      </w:r>
      <w:r w:rsidR="00B369E9"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{"citationID":"BGx4hZjH","properties":{"formattedCitation":"\\super 35\\nosupersub{}","plainCitation":"35","dontUpdate":true,"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00B369E9" w:rsidRPr="006A0823">
        <w:rPr>
          <w:rStyle w:val="normaltextrun"/>
          <w:color w:val="000000"/>
          <w:shd w:val="clear" w:color="auto" w:fill="FFFFFF"/>
          <w:lang w:val="en-GB"/>
        </w:rPr>
        <w:fldChar w:fldCharType="separate"/>
      </w:r>
      <w:r w:rsidR="00B369E9" w:rsidRPr="006A0823">
        <w:rPr>
          <w:vertAlign w:val="superscript"/>
        </w:rPr>
        <w:t>27</w:t>
      </w:r>
      <w:r w:rsidR="00B369E9" w:rsidRPr="006A0823">
        <w:rPr>
          <w:rStyle w:val="normaltextrun"/>
          <w:color w:val="000000"/>
          <w:shd w:val="clear" w:color="auto" w:fill="FFFFFF"/>
          <w:lang w:val="en-GB"/>
        </w:rPr>
        <w:fldChar w:fldCharType="end"/>
      </w:r>
      <w:r w:rsidRPr="006A0823">
        <w:rPr>
          <w:rStyle w:val="normaltextrun"/>
          <w:color w:val="000000"/>
          <w:shd w:val="clear" w:color="auto" w:fill="FFFFFF"/>
          <w:lang w:val="en-GB"/>
        </w:rPr>
        <w:t xml:space="preserve"> </w:t>
      </w:r>
      <w:r w:rsidRPr="006A0823">
        <w:rPr>
          <w:lang w:val="en-GB"/>
        </w:rPr>
        <w:t>It is one of the covariates in the production of location-specific infection fatality ratios for COVID-19.</w:t>
      </w:r>
    </w:p>
    <w:p w14:paraId="003E0A76" w14:textId="0A9180F1" w:rsidR="00FA59A6" w:rsidRPr="006A0823" w:rsidRDefault="3F19138C" w:rsidP="00BC3AE0">
      <w:pPr>
        <w:pStyle w:val="Heading3"/>
        <w:rPr>
          <w:lang w:val="en-GB"/>
        </w:rPr>
      </w:pPr>
      <w:bookmarkStart w:id="304" w:name="_Toc104249374"/>
      <w:bookmarkStart w:id="305" w:name="_Toc104252102"/>
      <w:bookmarkStart w:id="306" w:name="_Toc124499505"/>
      <w:r w:rsidRPr="006A0823">
        <w:rPr>
          <w:lang w:val="en-GB"/>
        </w:rPr>
        <w:t>Cancer</w:t>
      </w:r>
      <w:bookmarkEnd w:id="304"/>
      <w:bookmarkEnd w:id="305"/>
      <w:bookmarkEnd w:id="306"/>
    </w:p>
    <w:p w14:paraId="67240670" w14:textId="6F4892F7" w:rsidR="00FA59A6" w:rsidRPr="006A0823" w:rsidRDefault="00FA59A6" w:rsidP="00BC3AE0">
      <w:pPr>
        <w:rPr>
          <w:lang w:val="en-GB"/>
        </w:rPr>
      </w:pPr>
      <w:r w:rsidRPr="006A0823">
        <w:rPr>
          <w:rStyle w:val="normaltextrun"/>
          <w:color w:val="000000"/>
          <w:shd w:val="clear" w:color="auto" w:fill="FFFFFF"/>
          <w:lang w:val="en-GB"/>
        </w:rPr>
        <w:t>The age-standardised </w:t>
      </w:r>
      <w:r w:rsidR="005B0E26" w:rsidRPr="006A0823">
        <w:rPr>
          <w:rStyle w:val="findhit"/>
          <w:color w:val="000000"/>
          <w:shd w:val="clear" w:color="auto" w:fill="FFFFFF"/>
          <w:lang w:val="en-GB"/>
        </w:rPr>
        <w:t>cancer</w:t>
      </w:r>
      <w:r w:rsidRPr="006A0823">
        <w:rPr>
          <w:rStyle w:val="normaltextrun"/>
          <w:color w:val="000000"/>
          <w:shd w:val="clear" w:color="auto" w:fill="FFFFFF"/>
          <w:lang w:val="en-GB"/>
        </w:rPr>
        <w:t> prevalence covariate was estimated for each location as part of GBD 2019.</w:t>
      </w:r>
      <w:r w:rsidR="00B369E9"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{"citationID":"FSUEUTkE","properties":{"formattedCitation":"\\super 35\\nosupersub{}","plainCitation":"35","dontUpdate":true,"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00B369E9" w:rsidRPr="006A0823">
        <w:rPr>
          <w:rStyle w:val="normaltextrun"/>
          <w:color w:val="000000"/>
          <w:shd w:val="clear" w:color="auto" w:fill="FFFFFF"/>
          <w:lang w:val="en-GB"/>
        </w:rPr>
        <w:fldChar w:fldCharType="separate"/>
      </w:r>
      <w:r w:rsidR="00B369E9" w:rsidRPr="006A0823">
        <w:rPr>
          <w:vertAlign w:val="superscript"/>
        </w:rPr>
        <w:t>27</w:t>
      </w:r>
      <w:r w:rsidR="00B369E9" w:rsidRPr="006A0823">
        <w:rPr>
          <w:rStyle w:val="normaltextrun"/>
          <w:color w:val="000000"/>
          <w:shd w:val="clear" w:color="auto" w:fill="FFFFFF"/>
          <w:lang w:val="en-GB"/>
        </w:rPr>
        <w:fldChar w:fldCharType="end"/>
      </w:r>
      <w:r w:rsidRPr="006A0823">
        <w:rPr>
          <w:rStyle w:val="normaltextrun"/>
          <w:color w:val="000000"/>
          <w:shd w:val="clear" w:color="auto" w:fill="FFFFFF"/>
          <w:lang w:val="en-GB"/>
        </w:rPr>
        <w:t xml:space="preserve"> </w:t>
      </w:r>
      <w:r w:rsidRPr="006A0823">
        <w:rPr>
          <w:lang w:val="en-GB"/>
        </w:rPr>
        <w:t>It is one of the covariates in the production of location-specific infection fatality ratios for COVID-19.</w:t>
      </w:r>
    </w:p>
    <w:p w14:paraId="2138CEFF" w14:textId="30F295D5" w:rsidR="005B0E26" w:rsidRPr="006A0823" w:rsidRDefault="3F19138C" w:rsidP="00BC3AE0">
      <w:pPr>
        <w:pStyle w:val="Heading3"/>
        <w:rPr>
          <w:lang w:val="en-GB"/>
        </w:rPr>
      </w:pPr>
      <w:bookmarkStart w:id="307" w:name="_Toc104249375"/>
      <w:bookmarkStart w:id="308" w:name="_Toc104252103"/>
      <w:bookmarkStart w:id="309" w:name="_Toc124499506"/>
      <w:r w:rsidRPr="006A0823">
        <w:rPr>
          <w:lang w:val="en-GB"/>
        </w:rPr>
        <w:t>Ca</w:t>
      </w:r>
      <w:r w:rsidR="63C21BEA" w:rsidRPr="006A0823">
        <w:rPr>
          <w:lang w:val="en-GB"/>
        </w:rPr>
        <w:t>rdiovascular disease</w:t>
      </w:r>
      <w:bookmarkEnd w:id="307"/>
      <w:bookmarkEnd w:id="308"/>
      <w:bookmarkEnd w:id="309"/>
    </w:p>
    <w:p w14:paraId="1B69D6E5" w14:textId="7A789B5B" w:rsidR="005B0E26" w:rsidRPr="006A0823" w:rsidRDefault="005B0E26" w:rsidP="00BC3AE0">
      <w:pPr>
        <w:rPr>
          <w:lang w:val="en-GB"/>
        </w:rPr>
      </w:pPr>
      <w:r w:rsidRPr="006A0823">
        <w:rPr>
          <w:rStyle w:val="normaltextrun"/>
          <w:color w:val="000000"/>
          <w:shd w:val="clear" w:color="auto" w:fill="FFFFFF"/>
          <w:lang w:val="en-GB"/>
        </w:rPr>
        <w:t>The age-standardised </w:t>
      </w:r>
      <w:r w:rsidR="0006498A" w:rsidRPr="006A0823">
        <w:rPr>
          <w:rStyle w:val="findhit"/>
          <w:color w:val="000000"/>
          <w:shd w:val="clear" w:color="auto" w:fill="FFFFFF"/>
          <w:lang w:val="en-GB"/>
        </w:rPr>
        <w:t>cardiovascular disease</w:t>
      </w:r>
      <w:r w:rsidRPr="006A0823">
        <w:rPr>
          <w:rStyle w:val="normaltextrun"/>
          <w:color w:val="000000"/>
          <w:shd w:val="clear" w:color="auto" w:fill="FFFFFF"/>
          <w:lang w:val="en-GB"/>
        </w:rPr>
        <w:t> prevalence covariate was estimated for each location as part of GBD 2019.</w:t>
      </w:r>
      <w:r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{"citationID":"qOWLCudT","properties":{"formattedCitation":"\\super 35\\nosupersub{}","plainCitation":"35","dontUpdate":true,"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Pr="006A0823">
        <w:rPr>
          <w:rStyle w:val="normaltextrun"/>
          <w:color w:val="000000"/>
          <w:shd w:val="clear" w:color="auto" w:fill="FFFFFF"/>
          <w:lang w:val="en-GB"/>
        </w:rPr>
        <w:fldChar w:fldCharType="separate"/>
      </w:r>
      <w:r w:rsidR="00B369E9" w:rsidRPr="006A0823">
        <w:rPr>
          <w:vertAlign w:val="superscript"/>
        </w:rPr>
        <w:t>27</w:t>
      </w:r>
      <w:r w:rsidRPr="006A0823">
        <w:rPr>
          <w:rStyle w:val="normaltextrun"/>
          <w:color w:val="000000"/>
          <w:shd w:val="clear" w:color="auto" w:fill="FFFFFF"/>
          <w:lang w:val="en-GB"/>
        </w:rPr>
        <w:fldChar w:fldCharType="end"/>
      </w:r>
      <w:r w:rsidRPr="006A0823">
        <w:rPr>
          <w:rStyle w:val="normaltextrun"/>
          <w:color w:val="000000"/>
          <w:shd w:val="clear" w:color="auto" w:fill="FFFFFF"/>
          <w:lang w:val="en-GB"/>
        </w:rPr>
        <w:t xml:space="preserve"> </w:t>
      </w:r>
      <w:r w:rsidRPr="006A0823">
        <w:rPr>
          <w:lang w:val="en-GB"/>
        </w:rPr>
        <w:t>It is one of the covariates in the production of location-specific infection fatality ratios for COVID-19.</w:t>
      </w:r>
    </w:p>
    <w:p w14:paraId="4FD7F154" w14:textId="0E86021C" w:rsidR="0006498A" w:rsidRPr="006A0823" w:rsidRDefault="63C21BEA" w:rsidP="00BC3AE0">
      <w:pPr>
        <w:pStyle w:val="Heading3"/>
        <w:rPr>
          <w:lang w:val="en-GB"/>
        </w:rPr>
      </w:pPr>
      <w:bookmarkStart w:id="310" w:name="_Toc104249376"/>
      <w:bookmarkStart w:id="311" w:name="_Toc104252104"/>
      <w:bookmarkStart w:id="312" w:name="_Toc124499507"/>
      <w:r w:rsidRPr="006A0823">
        <w:rPr>
          <w:lang w:val="en-GB"/>
        </w:rPr>
        <w:lastRenderedPageBreak/>
        <w:t>C</w:t>
      </w:r>
      <w:r w:rsidR="2DBB6BE5" w:rsidRPr="006A0823">
        <w:rPr>
          <w:lang w:val="en-GB"/>
        </w:rPr>
        <w:t>hronic obstruc</w:t>
      </w:r>
      <w:r w:rsidR="24505DB0" w:rsidRPr="006A0823">
        <w:rPr>
          <w:lang w:val="en-GB"/>
        </w:rPr>
        <w:t>tive pulmonary disease</w:t>
      </w:r>
      <w:bookmarkEnd w:id="310"/>
      <w:bookmarkEnd w:id="311"/>
      <w:bookmarkEnd w:id="312"/>
    </w:p>
    <w:p w14:paraId="2A520E97" w14:textId="4B3CEBCD" w:rsidR="0006498A" w:rsidRPr="006A0823" w:rsidRDefault="0006498A" w:rsidP="00BC3AE0">
      <w:pPr>
        <w:rPr>
          <w:lang w:val="en-GB"/>
        </w:rPr>
      </w:pPr>
      <w:r w:rsidRPr="006A0823">
        <w:rPr>
          <w:rStyle w:val="normaltextrun"/>
          <w:color w:val="000000"/>
          <w:shd w:val="clear" w:color="auto" w:fill="FFFFFF"/>
          <w:lang w:val="en-GB"/>
        </w:rPr>
        <w:t>The age-standardised </w:t>
      </w:r>
      <w:r w:rsidR="00703B6B" w:rsidRPr="006A0823">
        <w:rPr>
          <w:rStyle w:val="findhit"/>
          <w:color w:val="000000"/>
          <w:shd w:val="clear" w:color="auto" w:fill="FFFFFF"/>
          <w:lang w:val="en-GB"/>
        </w:rPr>
        <w:t>chronic obstructive pulmonary</w:t>
      </w:r>
      <w:r w:rsidRPr="006A0823">
        <w:rPr>
          <w:rStyle w:val="findhit"/>
          <w:color w:val="000000"/>
          <w:shd w:val="clear" w:color="auto" w:fill="FFFFFF"/>
          <w:lang w:val="en-GB"/>
        </w:rPr>
        <w:t xml:space="preserve"> disease</w:t>
      </w:r>
      <w:r w:rsidRPr="006A0823">
        <w:rPr>
          <w:rStyle w:val="normaltextrun"/>
          <w:color w:val="000000"/>
          <w:shd w:val="clear" w:color="auto" w:fill="FFFFFF"/>
          <w:lang w:val="en-GB"/>
        </w:rPr>
        <w:t> prevalence covariate was estimated for each location as part of GBD 2019.</w:t>
      </w:r>
      <w:r w:rsidR="00B369E9"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{"citationID":"iRe9ILtW","properties":{"formattedCitation":"\\super 35\\nosupersub{}","plainCitation":"35","dontUpdate":true,"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00B369E9" w:rsidRPr="006A0823">
        <w:rPr>
          <w:rStyle w:val="normaltextrun"/>
          <w:color w:val="000000"/>
          <w:shd w:val="clear" w:color="auto" w:fill="FFFFFF"/>
          <w:lang w:val="en-GB"/>
        </w:rPr>
        <w:fldChar w:fldCharType="separate"/>
      </w:r>
      <w:r w:rsidR="00B369E9" w:rsidRPr="006A0823">
        <w:rPr>
          <w:vertAlign w:val="superscript"/>
        </w:rPr>
        <w:t>27</w:t>
      </w:r>
      <w:r w:rsidR="00B369E9" w:rsidRPr="006A0823">
        <w:rPr>
          <w:rStyle w:val="normaltextrun"/>
          <w:color w:val="000000"/>
          <w:shd w:val="clear" w:color="auto" w:fill="FFFFFF"/>
          <w:lang w:val="en-GB"/>
        </w:rPr>
        <w:fldChar w:fldCharType="end"/>
      </w:r>
      <w:r w:rsidRPr="006A0823">
        <w:rPr>
          <w:rStyle w:val="normaltextrun"/>
          <w:color w:val="000000"/>
          <w:shd w:val="clear" w:color="auto" w:fill="FFFFFF"/>
          <w:lang w:val="en-GB"/>
        </w:rPr>
        <w:t xml:space="preserve"> </w:t>
      </w:r>
      <w:r w:rsidRPr="006A0823">
        <w:rPr>
          <w:lang w:val="en-GB"/>
        </w:rPr>
        <w:t>It is one of the covariates in the production of location-specific infection fatality ratios for COVID-19.</w:t>
      </w:r>
    </w:p>
    <w:p w14:paraId="2CC0D017" w14:textId="1A9DBAF7" w:rsidR="00703B6B" w:rsidRPr="006A0823" w:rsidRDefault="24505DB0" w:rsidP="00BC3AE0">
      <w:pPr>
        <w:pStyle w:val="Heading3"/>
        <w:rPr>
          <w:lang w:val="en-GB"/>
        </w:rPr>
      </w:pPr>
      <w:bookmarkStart w:id="313" w:name="_Toc104249377"/>
      <w:bookmarkStart w:id="314" w:name="_Toc104252105"/>
      <w:bookmarkStart w:id="315" w:name="_Toc124499508"/>
      <w:r w:rsidRPr="006A0823">
        <w:rPr>
          <w:lang w:val="en-GB"/>
        </w:rPr>
        <w:t xml:space="preserve">Chronic </w:t>
      </w:r>
      <w:r w:rsidR="7AB2A77C" w:rsidRPr="006A0823">
        <w:rPr>
          <w:lang w:val="en-GB"/>
        </w:rPr>
        <w:t>kidney</w:t>
      </w:r>
      <w:r w:rsidRPr="006A0823">
        <w:rPr>
          <w:lang w:val="en-GB"/>
        </w:rPr>
        <w:t xml:space="preserve"> disease</w:t>
      </w:r>
      <w:bookmarkEnd w:id="313"/>
      <w:bookmarkEnd w:id="314"/>
      <w:bookmarkEnd w:id="315"/>
    </w:p>
    <w:p w14:paraId="69035487" w14:textId="1FF5A0E9" w:rsidR="001962DC" w:rsidRPr="006A0823" w:rsidRDefault="00703B6B" w:rsidP="00BC3AE0">
      <w:pPr>
        <w:rPr>
          <w:lang w:val="en-GB"/>
        </w:rPr>
      </w:pPr>
      <w:r w:rsidRPr="006A0823">
        <w:rPr>
          <w:rStyle w:val="normaltextrun"/>
          <w:color w:val="000000"/>
          <w:shd w:val="clear" w:color="auto" w:fill="FFFFFF"/>
          <w:lang w:val="en-GB"/>
        </w:rPr>
        <w:t>The age-standardised </w:t>
      </w:r>
      <w:r w:rsidRPr="006A0823">
        <w:rPr>
          <w:rStyle w:val="findhit"/>
          <w:color w:val="000000"/>
          <w:shd w:val="clear" w:color="auto" w:fill="FFFFFF"/>
          <w:lang w:val="en-GB"/>
        </w:rPr>
        <w:t xml:space="preserve">chronic </w:t>
      </w:r>
      <w:r w:rsidR="00EF75A7" w:rsidRPr="006A0823">
        <w:rPr>
          <w:rStyle w:val="findhit"/>
          <w:color w:val="000000"/>
          <w:shd w:val="clear" w:color="auto" w:fill="FFFFFF"/>
          <w:lang w:val="en-GB"/>
        </w:rPr>
        <w:t>kidney</w:t>
      </w:r>
      <w:r w:rsidRPr="006A0823">
        <w:rPr>
          <w:rStyle w:val="findhit"/>
          <w:color w:val="000000"/>
          <w:shd w:val="clear" w:color="auto" w:fill="FFFFFF"/>
          <w:lang w:val="en-GB"/>
        </w:rPr>
        <w:t xml:space="preserve"> disease</w:t>
      </w:r>
      <w:r w:rsidRPr="006A0823">
        <w:rPr>
          <w:rStyle w:val="normaltextrun"/>
          <w:color w:val="000000"/>
          <w:shd w:val="clear" w:color="auto" w:fill="FFFFFF"/>
          <w:lang w:val="en-GB"/>
        </w:rPr>
        <w:t> prevalence covariate was estimated for each location as part of GBD 2019.</w:t>
      </w:r>
      <w:r w:rsidR="00B369E9" w:rsidRPr="006A0823">
        <w:rPr>
          <w:rStyle w:val="normaltextrun"/>
          <w:color w:val="000000"/>
          <w:shd w:val="clear" w:color="auto" w:fill="FFFFFF"/>
          <w:lang w:val="en-GB"/>
        </w:rPr>
        <w:fldChar w:fldCharType="begin"/>
      </w:r>
      <w:r w:rsidR="004876B1" w:rsidRPr="006A0823">
        <w:rPr>
          <w:rStyle w:val="normaltextrun"/>
          <w:color w:val="000000"/>
          <w:shd w:val="clear" w:color="auto" w:fill="FFFFFF"/>
          <w:lang w:val="en-GB"/>
        </w:rPr>
        <w:instrText xml:space="preserve"> ADDIN ZOTERO_ITEM CSL_CITATION {"citationID":"qIsowLjs","properties":{"formattedCitation":"\\super 35\\nosupersub{}","plainCitation":"35","dontUpdate":true,"noteIndex":0},"citationItems":[{"id":957,"uris":["http://zotero.org/groups/2154524/items/SLRDN2NB"],"itemData":{"id":957,"type":"article-journal","abstract":"&lt;h2&gt;Summary&lt;/h2&gt;&lt;h3&gt;Background&lt;/h3&gt;&lt;p&gt;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disease.&lt;/p&gt;&lt;h3&gt;Methods&lt;/h3&gt;&lt;p&gt;GBD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exposure value to facilitate comparisons over time, across location, and across risks. Because the entire time series from 1990 to 2019 has been re-estimated with use of consistent data and methods, these results supersede previously published GBD estimates of attributable burden.&lt;/p&gt;&lt;h3&gt;Findings&lt;/h3&gt;&lt;p&gt;The largest declines in risk exposure from 2010 to 2019 were among a set of risks that are strongly linked to social and economic development, including household air pollution; unsafe water, sanitation, and handwashing; and child growth failure. Global declines also occurred for tobacco smoking and lead exposure. The largest increases in risk exposure were for ambient particulate matter pollution, drug use, high fasting plasma glucose, and high body-mass index. In 2019, the leading Level 2 risk factor globally for attributable deaths was high systolic blood pressure, which accounted for 10·8 million (95% uncertainty interval [UI] 9·51–12·1) deaths (19·2% [16·9–21·3] of all deaths in 2019), followed by tobacco (smoked, second-hand, and chewing), which accounted for 8·71 million (8·12–9·31) deaths (15·4% [14·6–16·2] of all deaths in 2019). The leading Level 2 risk factor for attributable DALYs globally in 2019 was child and maternal malnutrition, which largely affects health in the youngest age groups and accounted for 295 million (253–350) DALYs (11·6% [10·3–13·1] of all global DALYs that year). The risk factor burden varied considerably in 2019 between age groups and locations. Among children aged 0–9 years, the three leading detailed risk factors for attributable DALYs were all related to malnutrition. Iron deficiency was the leading risk factor for those aged 10–24 years, alcohol use for those aged 25–49 years, and high systolic blood pressure for those aged 50–74 years and 75 years and older.&lt;/p&gt;&lt;h3&gt;Interpretation&lt;/h3&gt;&lt;p&gt;Overall, the record for reducing exposure to harmful risks over the past three decades is poor. Success with reducing smoking and lead exposure through regulatory policy might point the way for a stronger role for public policy on other risks in addition to continued efforts to provide information on risk factor harm to the general public.&lt;/p&gt;&lt;h3&gt;Funding&lt;/h3&gt;&lt;p&gt;Bill &amp; Melinda Gates Foundation.&lt;/p&gt;","container-title":"The Lancet","DOI":"10.1016/S0140-6736(20)30752-2","ISSN":"0140-6736, 1474-547X","issue":"10258","journalAbbreviation":"The Lancet","language":"English","note":"publisher: Elsevier\nPMID: 33069327","page":"1223-1249","source":"www.thelancet.com","title":"Global burden of 87 risk factors in 204 countries and territories, 1990–2019: a systematic analysis for the Global Burden of Disease Study 2019","title-short":"Global burden of 87 risk factors in 204 countries and territories, 1990–2019","volume":"396","author":[{"family":"Murray","given":"Christopher J. L."},{"family":"Aravkin","given":"Aleksandr Y."},{"family":"Zheng","given":"Peng"},{"family":"Abbafati","given":"Cristiana"},{"family":"Abbas","given":"Kaja M."},{"family":"Abbasi-Kangevari","given":"Mohsen"},{"family":"Abd-Allah","given":"Foad"},{"family":"Abdelalim","given":"Ahmed"},{"family":"Abdollahi","given":"Mohammad"},{"family":"Abdollahpour","given":"Ibrahim"},{"family":"Abegaz","given":"Kedir Hussein"},{"family":"Abolhassani","given":"Hassan"},{"family":"Aboyans","given":"Victor"},{"family":"Abreu","given":"Lucas Guimarães"},{"family":"Abrigo","given":"Michael R. M."},{"family":"Abualhasan","given":"Ahmed"},{"family":"Abu-Raddad","given":"Laith Jamal"},{"family":"Abushouk","given":"Abdelrahman I."},{"family":"Adabi","given":"Maryam"},{"family":"Adekanmbi","given":"Victor"},{"family":"Adeoye","given":"Abiodun Moshood"},{"family":"Adetokunboh","given":"Olatunji O."},{"family":"Adham","given":"Davoud"},{"family":"Advani","given":"Shailesh M."},{"family":"Agarwal","given":"Gina"},{"family":"Aghamir","given":"Seyed Mohammad Kazem"},{"family":"Agrawal","given":"Anurag"},{"family":"Ahmad","given":"Tauseef"},{"family":"Ahmadi","given":"Keivan"},{"family":"Ahmadi","given":"Mehdi"},{"family":"Ahmadieh","given":"Hamid"},{"family":"Ahmed","given":"Muktar Beshir"},{"family":"Akalu","given":"Temesgen Yihunie"},{"family":"Akinyemi","given":"Rufus Olusola"},{"family":"Akinyemiju","given":"Tomi"},{"family":"Akombi","given":"Blessing"},{"family":"Akunna","given":"Chisom Joyqueenet"},{"family":"Alahdab","given":"Fares"},{"family":"Al-Aly","given":"Ziyad"},{"family":"Alam","given":"Khurshid"},{"family":"Alam","given":"Samiah"},{"family":"Alam","given":"Tahiya"},{"family":"Alanezi","given":"Fahad Mashhour"},{"family":"Alanzi","given":"Turki M."},{"family":"Alemu","given":"Biresaw","dropping-particle":"wassihun"},{"family":"Alhabib","given":"Khalid F."},{"family":"Ali","given":"Muhammad"},{"family":"Ali","given":"Saqib"},{"family":"Alicandro","given":"Gianfranco"},{"family":"Alinia","given":"Cyrus"},{"family":"Alipour","given":"Vahid"},{"family":"Alizade","given":"Hesam"},{"family":"Aljunid","given":"Syed Mohamed"},{"family":"Alla","given":"François"},{"family":"Allebeck","given":"Peter"},{"family":"Almasi-Hashiani","given":"Amir"},{"family":"Al-Mekhlafi","given":"Hesham M."},{"family":"Alonso","given":"Jordi"},{"family":"Altirkawi","given":"Khalid A."},{"family":"Amini-Rarani","given":"Mostafa"},{"family":"Amiri","given":"Fatemeh"},{"family":"Amugsi","given":"Dickson A."},{"family":"Ancuceanu","given":"Robert"},{"family":"Anderlini","given":"Deanna"},{"family":"Anderson","given":"Jason A."},{"family":"Andrei","given":"Catalina Liliana"},{"family":"Andrei","given":"Tudorel"},{"family":"Angus","given":"Colin"},{"family":"Anjomshoa","given":"Mina"},{"family":"Ansari","given":"Fereshteh"},{"family":"Ansari-Moghaddam","given":"Alireza"},{"family":"Antonazzo","given":"Ippazio Cosimo"},{"family":"Antonio","given":"Carl Abelardo T."},{"family":"Antony","given":"Catherine M."},{"family":"Antriyandarti","given":"Ernoiz"},{"family":"Anvari","given":"Davood"},{"family":"Anwer","given":"Razique"},{"family":"Appiah","given":"Seth Christopher Yaw"},{"family":"Arabloo","given":"Jalal"},{"family":"Arab-Zozani","given":"Morteza"},{"family":"Ariani","given":"Filippo"},{"family":"Armoon","given":"Bahram"},{"family":"Ärnlöv","given":"Johan"},{"family":"Arzani","given":"Afsaneh"},{"family":"Asadi-Aliabadi","given":"Mehran"},{"family":"Asadi-Pooya","given":"Ali A."},{"family":"Ashbaugh","given":"Charlie"},{"family":"Assmus","given":"Michael"},{"family":"Atafar","given":"Zahra"},{"family":"Atnafu","given":"Desta Debalkie"},{"family":"Atout","given":"Maha Moh'd Wahbi"},{"family":"Ausloos","given":"Floriane"},{"family":"Ausloos","given":"Marcel"},{"family":"Quintanilla","given":"Beatriz Paulina Ayala"},{"family":"Ayano","given":"Getinet"},{"family":"Ayanore","given":"Martin Amogre"},{"family":"Azari","given":"Samad"},{"family":"Azarian","given":"Ghasem"},{"family":"Azene","given":"Zelalem Nigussie"},{"family":"Badawi","given":"Alaa"},{"family":"Badiye","given":"Ashish D."},{"family":"Bahrami","given":"Mohammad Amin"},{"family":"Bakhshaei","given":"Mohammad Hossein"},{"family":"Bakhtiari","given":"Ahad"},{"family":"Bakkannavar","given":"Shankar M."},{"family":"Baldasseroni","given":"Alberto"},{"family":"Ball","given":"Kylie"},{"family":"Ballew","given":"Shoshana H."},{"family":"Balzi","given":"Daniela"},{"family":"Banach","given":"Maciej"},{"family":"Banerjee","given":"Srikanta K."},{"family":"Bante","given":"Agegnehu Bante"},{"family":"Baraki","given":"Adhanom Gebreegziabher"},{"family":"Barker-Collo","given":"Suzanne Lyn"},{"family":"Bärnighausen","given":"Till Winfried"},{"family":"Barrero","given":"Lope H."},{"family":"Barthelemy","given":"Celine M."},{"family":"Barua","given":"Lingkan"},{"family":"Basu","given":"Sanjay"},{"family":"Baune","given":"Bernhard T."},{"family":"Bayati","given":"Mohsen"},{"family":"Becker","given":"Jacob S."},{"family":"Bedi","given":"Neeraj"},{"family":"Beghi","given":"Ettore"},{"family":"Béjot","given":"Yannick"},{"family":"Bell","given":"Michellr L."},{"family":"Bennitt","given":"Fiona B."},{"family":"Bensenor","given":"Isabela M."},{"family":"Berhe","given":"Kidanemaryam"},{"family":"Berman","given":"Adam E."},{"family":"Bhagavathula","given":"Akshaya Srikanth"},{"family":"Bhageerathy","given":"Reshmi"},{"family":"Bhala","given":"Neeraj"},{"family":"Bhandari","given":"Dinesh"},{"family":"Bhattacharyya","given":"Krittika"},{"family":"Bhutta","given":"Zulfiqar A."},{"family":"Bijani","given":"Ali"},{"family":"Bikbov","given":"Boris"},{"family":"Sayeed","given":"Muhammad Shahdaat Bin"},{"family":"Biondi","given":"Antonio"},{"family":"Birihane","given":"Binyam Minuye"},{"family":"Bisignano","given":"Catherine"},{"family":"Biswas","given":"Raaj Kishore"},{"family":"Bitew","given":"Helen"},{"family":"Bohlouli","given":"Somayeh"},{"family":"Bohluli","given":"Mehdi"},{"family":"Boon-Dooley","given":"Alexandra S."},{"family":"Borges","given":"Guilherme"},{"family":"Borzì","given":"Antonio Maria"},{"family":"Borzouei","given":"Shiva"},{"family":"Bosetti","given":"Cristina"},{"family":"Boufous","given":"Soufiane"},{"family":"Braithwaite","given":"Dejana"},{"family":"Breitborde","given":"Nicholas J. K."},{"family":"Breitner","given":"Susanne"},{"family":"Brenner","given":"Hermann"},{"family":"Briant","given":"Paul Svitil"},{"family":"Briko","given":"Andrey Nikolaevich"},{"family":"Briko","given":"Nikolay Ivanovich"},{"family":"Britton","given":"Gabrielle B."},{"family":"Bryazka","given":"Dana"},{"family":"Bumgarner","given":"Blair R."},{"family":"Burkart","given":"Katrin"},{"family":"Burnett","given":"Richard Thomas"},{"family":"Nagaraja","given":"Sharath Burugina"},{"family":"Butt","given":"Zahid A."},{"family":"Santos","given":"Florentino Luciano Caetano","dropping-particle":"dos"},{"family":"Cahill","given":"Leah E."},{"family":"Cámera","given":"Luis LA Alberto"},{"family":"Campos-Nonato","given":"Ismael R."},{"family":"Cárdenas","given":"Rosario"},{"family":"Carreras","given":"Giulia"},{"family":"Carrero","given":"Juan J."},{"family":"Carvalho","given":"Felix"},{"family":"Castaldelli-Maia","given":"Joao Mauricio"},{"family":"Castañeda-Orjuela","given":"Carlos A."},{"family":"Castelpietra","given":"Giulio"},{"family":"Castro","given":"Franz"},{"family":"Causey","given":"Kate"},{"family":"Cederroth","given":"Christopher R."},{"family":"Cercy","given":"Kelly M."},{"family":"Cerin","given":"Ester"},{"family":"Chandan","given":"Joht Singh"},{"family":"Chang","given":"Kai-Lan"},{"family":"Charlson","given":"Fiona J."},{"family":"Chattu","given":"Vijay Kumar"},{"family":"Chaturvedi","given":"Sarika"},{"family":"Cherbuin","given":"Nicolas"},{"family":"Chimed-Ochir","given":"Odgerel"},{"family":"Cho","given":"Daniel Youngwhan"},{"family":"Choi","given":"Jee-Young Jasmine"},{"family":"Christensen","given":"Hanne"},{"family":"Chu","given":"Dinh-Toi"},{"family":"Chung","given":"Michael T."},{"family":"Chung","given":"Sheng-Chia"},{"family":"Cicuttini","given":"Flavia M."},{"family":"Ciobanu","given":"Liliana G."},{"family":"Cirillo","given":"Massimo"},{"family":"Classen","given":"Thomas Khaled Dwayne"},{"family":"Cohen","given":"Aaron J."},{"family":"Compton","given":"Kelly"},{"family":"Cooper","given":"Owen R."},{"family":"Costa","given":"Vera Marisa"},{"family":"Cousin","given":"Ewerton"},{"family":"Cowden","given":"Richard G."},{"family":"Cross","given":"Di H."},{"family":"Cruz","given":"Jessica A."},{"family":"Dahlawi","given":"Saad M. A."},{"family":"Damasceno","given":"Albertino Antonio Moura"},{"family":"Damiani","given":"Giovanni"},{"family":"Dandona","given":"Lalit"},{"family":"Dandona","given":"Rakhi"},{"family":"Dangel","given":"William James"},{"family":"Danielsson","given":"Anna-Karin"},{"family":"Dargan","given":"Paul I."},{"family":"Darwesh","given":"Aso Mohammad"},{"family":"Daryani","given":"Ahmad"},{"family":"Das","given":"Jai K."},{"family":"Gupta","given":"Rajat Das"},{"family":"Neves","given":"José","dropping-particle":"das"},{"family":"Dávila-Cervantes","given":"Claudio Alberto"},{"family":"Davitoiu","given":"Dragos Virgil"},{"family":"Leo","given":"Diego De"},{"family":"Degenhardt","given":"Louisa"},{"family":"DeLang","given":"Marissa"},{"family":"Dellavalle","given":"Robert Paul"},{"family":"Demeke","given":"Feleke Mekonnen"},{"family":"Demoz","given":"Gebre Teklemariam"},{"family":"Demsie","given":"Desalegn Getnet"},{"family":"Denova-Gutiérrez","given":"Edgar"},{"family":"Dervenis","given":"Nikolaos"},{"family":"Dhungana","given":"Govinda Prasad"},{"family":"Dianatinasab","given":"Mostafa"},{"family":"Silva","given":"Diana Dias","dropping-particle":"da"},{"family":"Diaz","given":"Daniel"},{"family":"Forooshani","given":"Zahra Sadat Dibaji"},{"family":"Djalalinia","given":"Shirin"},{"family":"Do","given":"Hoa Thi"},{"family":"Dokova","given":"Klara"},{"family":"Dorostkar","given":"Fariba"},{"family":"Doshmangir","given":"Leila"},{"family":"Driscoll","given":"Tim Robert"},{"family":"Duncan","given":"Bruce B."},{"family":"Duraes","given":"Andre Rodrigues"},{"family":"Eagan","given":"Arielle Wilder"},{"family":"Edvardsson","given":"David"},{"family":"Nahas","given":"Nevine El"},{"family":"Sayed","given":"Iman El"},{"family":"Tantawi","given":"Maha El"},{"family":"Elbarazi","given":"Iffat"},{"family":"Elgendy","given":"Islam Y."},{"family":"El-Jaafary","given":"Shaimaa I."},{"family":"Elyazar","given":"Iqbal RF"},{"family":"Emmons-Bell","given":"Sophia"},{"family":"Erskine","given":"Holly E."},{"family":"Eskandarieh","given":"Sharareh"},{"family":"Esmaeilnejad","given":"Saman"},{"family":"Esteghamati","given":"Alireza"},{"family":"Estep","given":"Kara"},{"family":"Etemadi","given":"Arash"},{"family":"Etisso","given":"Atkilt Esaiyas"},{"family":"Fanzo","given":"Jessica"},{"family":"Farahmand","given":"Mohammad"},{"family":"Fareed","given":"Mohammad"},{"family":"Faridnia","given":"Roghiyeh"},{"family":"Farioli","given":"Andrea"},{"family":"Faro","given":"Andre"},{"family":"Faruque","given":"Mithila"},{"family":"Farzadfar","given":"Farshad"},{"family":"Fattahi","given":"Nazir"},{"family":"Fazlzadeh","given":"Mehdi"},{"family":"Feigin","given":"Valery L."},{"family":"Feldman","given":"Rachel"},{"family":"Fereshtehnejad","given":"Seyed-Mohammad"},{"family":"Fernandes","given":"Eduarda"},{"family":"Ferrara","given":"Giannina"},{"family":"Ferrari","given":"Alize J."},{"family":"Ferreira","given":"Manuela L."},{"family":"Filip","given":"Irina"},{"family":"Fischer","given":"Florian"},{"family":"Fisher","given":"James L."},{"family":"Flor","given":"Luisa Sorio"},{"family":"Foigt","given":"Nataliya A."},{"family":"Folayan","given":"Morenike Oluwatoyin"},{"family":"Fomenkov","given":"Artem Alekseevich"},{"family":"Force","given":"Lisa M."},{"family":"Foroutan","given":"Masoud"},{"family":"Franklin","given":"Richard Charles"},{"family":"Freitas","given":"Marisa"},{"family":"Fu","given":"Weijia"},{"family":"Fukumoto","given":"Takeshi"},{"family":"Furtado","given":"João M."},{"family":"Gad","given":"Mohamed M."},{"family":"Gakidou","given":"Emmanuela"},{"family":"Gallus","given":"Silvano"},{"family":"Garcia-Basteiro","given":"Alberto L."},{"family":"Gardner","given":"William M."},{"family":"Geberemariyam","given":"Biniyam Sahiledengle"},{"family":"Gebreslassie","given":"Assefa Ayalew Ayalew Ayalew"},{"family":"Geremew","given":"Abraham"},{"family":"Hayoon","given":"Anna Gershberg"},{"family":"Gething","given":"Peter W."},{"family":"Ghadimi","given":"Maryam"},{"family":"Ghadiri","given":"Keyghobad"},{"family":"Ghaffarifar","given":"Fatemeh"},{"family":"Ghafourifard","given":"Mansour"},{"family":"Ghamari","given":"Farhad"},{"family":"Ghashghaee","given":"Ahmad"},{"family":"Ghiasvand","given":"Hesam"},{"family":"Ghith","given":"Nermin"},{"family":"Gholamian","given":"Asadollah"},{"family":"Ghosh","given":"Rakesh"},{"family":"Gill","given":"Paramjit Singh"},{"family":"Ginindza","given":"Themba G. G."},{"family":"Giussani","given":"Giorgia"},{"family":"Gnedovskaya","given":"Elena V."},{"family":"Goharinezhad","given":"Salime"},{"family":"Gopalani","given":"Sameer Vali"},{"family":"Gorini","given":"Giuseppe"},{"family":"Goudarzi","given":"Houman"},{"family":"Goulart","given":"Alessandra C."},{"family":"Greaves","given":"Felix"},{"family":"Grivna","given":"Michal"},{"family":"Grosso","given":"Giuseppe"},{"family":"Gubari","given":"Mohammed Ibrahim Mohialdeen"},{"family":"Gugnani","given":"Harish Chander"},{"family":"Guimarães","given":"Rafael Alves"},{"family":"Guled","given":"Rashid Abdi"},{"family":"Guo","given":"Gaorui"},{"family":"Guo","given":"Yuming"},{"family":"Gupta","given":"Rajeev"},{"family":"Gupta","given":"Tarun"},{"family":"Haddock","given":"Beatrix"},{"family":"Hafezi-Nejad","given":"Nima"},{"family":"Hafiz","given":"Abdul"},{"family":"Haj-Mirzaian","given":"Arvin"},{"family":"Haj-Mirzaian","given":"Arya"},{"family":"Hall","given":"Brian J."},{"family":"Halvaei","given":"Iman"},{"family":"Hamadeh","given":"Randah R."},{"family":"Hamidi","given":"Samer"},{"family":"Hammer","given":"Melanie S."},{"family":"Hankey","given":"Graeme J."},{"family":"Haririan","given":"Hamidreza"},{"family":"Haro","given":"Josep Maria"},{"family":"Hasaballah","given":"Ahmed I."},{"family":"Hasan","given":"Md Mehedi"},{"family":"Hasanpoor","given":"Edris"},{"family":"Hashi","given":"Abdiwahab"},{"family":"Hassanipour","given":"Soheil"},{"family":"Hassankhani","given":"Hadi"},{"family":"Havmoeller","given":"Rasmus J."},{"family":"Hay","given":"Simon I."},{"family":"Hayat","given":"Khezar"},{"family":"Heidari","given":"Golnaz"},{"family":"Heidari-Soureshjani","given":"Reza"},{"family":"Henrikson","given":"Hannah J."},{"family":"Herbert","given":"Molly E."},{"family":"Herteliu","given":"Claudiu"},{"family":"Heydarpour","given":"Fatemeh"},{"family":"Hird","given":"Thomas R."},{"family":"Hoek","given":"Hans W."},{"family":"Holla","given":"Ramesh"},{"family":"Hoogar","given":"Praveen"},{"family":"Hosgood","given":"H. Dean"},{"family":"Hossain","given":"Naznin"},{"family":"Hosseini","given":"Mostafa"},{"family":"Hosseinzadeh","given":"Mehdi"},{"family":"Hostiuc","given":"Mihaela"},{"family":"Hostiuc","given":"Sorin"},{"family":"Househ","given":"Mowafa"},{"family":"Hsairi","given":"Mohamed"},{"family":"Hsieh","given":"Vivian Chia-rong"},{"family":"Hu","given":"Guoqing"},{"family":"Hu","given":"Kejia"},{"family":"Huda","given":"Tanvir M."},{"family":"Humayun","given":"Ayesha"},{"family":"Huynh","given":"Chantal K."},{"family":"Hwang","given":"Bing-Fang"},{"family":"Iannucci","given":"Vincent C."},{"family":"Ibitoye","given":"Segun Emmanuel"},{"family":"Ikeda","given":"Nayu"},{"family":"Ikuta","given":"Kevin S."},{"family":"Ilesanmi","given":"Olayinka Stephen"},{"family":"Ilic","given":"Irena M."},{"family":"Ilic","given":"Milena D."},{"family":"Inbaraj","given":"Leeberk Raja"},{"family":"Ippolito","given":"Helen"},{"family":"Iqbal","given":"Usman"},{"family":"Irvani","given":"Seyed Sina Naghibi"},{"family":"Irvine","given":"Caleb Mackay Salpeter"},{"family":"Islam","given":"M. Mofizul"},{"family":"Islam","given":"Sheikh Mohammed Shariful"},{"family":"Iso","given":"Hiroyasu"},{"family":"Ivers","given":"Rebecca Q."},{"family":"Iwu","given":"Chidozie C. D."},{"family":"Iwu","given":"Chinwe Juliana"},{"family":"Iyamu","given":"Ihoghosa Osamuyi"},{"family":"Jaafari","given":"Jalil"},{"family":"Jacobsen","given":"Kathryn H."},{"family":"Jafari","given":"Hussain"},{"family":"Jafarinia","given":"Morteza"},{"family":"Jahani","given":"Mohammad Ali"},{"family":"Jakovljevic","given":"Mihajlo"},{"family":"Jalilian","given":"Farzad"},{"family":"James","given":"Spencer L."},{"family":"Janjani","given":"Hosna"},{"family":"Javaheri","given":"Tahereh"},{"family":"Javidnia","given":"Javad"},{"family":"Jeemon","given":"Panniyammakal"},{"family":"Jenabi","given":"Ensiyeh"},{"family":"Jha","given":"Ravi Prakash"},{"family":"Jha","given":"Vivekanand"},{"family":"Ji","given":"John S."},{"family":"Johansson","given":"Lars"},{"family":"John","given":"Oommen"},{"family":"John-Akinola","given":"Yetunde O."},{"family":"Johnson","given":"Catherine Owens"},{"family":"Jonas","given":"Jost B."},{"family":"Joukar","given":"Farahnaz"},{"family":"Jozwiak","given":"Jacek Jerzy"},{"family":"Jürisson","given":"Mikk"},{"family":"Kabir","given":"Ali"},{"family":"Kabir","given":"Zubair"},{"family":"Kalani","given":"Hamed"},{"family":"Kalani","given":"Rizwan"},{"family":"Kalankesh","given":"Leila R."},{"family":"Kalhor","given":"Rohollah"},{"family":"Kanchan","given":"Tanuj"},{"family":"Kapoor","given":"Neeti"},{"family":"Matin","given":"Behzad Karami"},{"family":"Karch","given":"André"},{"family":"Karim","given":"Mohd Anisul"},{"family":"Kassa","given":"Getachew Mullu"},{"family":"Katikireddi","given":"Srinivasa Vittal"},{"family":"Kayode","given":"Gbenga A."},{"family":"Karyani","given":"Ali Kazemi"},{"family":"Keiyoro","given":"Peter Njenga"},{"family":"Keller","given":"Cathleen"},{"family":"Kemmer","given":"Laura"},{"family":"Kendrick","given":"Parkes J."},{"family":"Khalid","given":"Nauman"},{"family":"Khammarnia","given":"Mohammad"},{"family":"Khan","given":"Ejaz Ahmad"},{"family":"Khan","given":"Maseer"},{"family":"Khatab","given":"Khaled"},{"family":"Khater","given":"Mona M."},{"family":"Khatib","given":"Mahalaqua Nazli"},{"family":"Khayamzadeh","given":"Maryam"},{"family":"Khazaei","given":"Salman"},{"family":"Kieling","given":"Christian"},{"family":"Kim","given":"Yun Jin"},{"family":"Kimokoti","given":"Ruth W."},{"family":"Kisa","given":"Adnan"},{"family":"Kisa","given":"Sezer"},{"family":"Kivimäki","given":"Mika"},{"family":"Knibbs","given":"Luke D."},{"family":"Knudsen","given":"Ann Kristin Skrindo"},{"family":"Kocarnik","given":"Jonathan M."},{"family":"Kochhar","given":"Sonali"},{"family":"Kopec","given":"Jacek A."},{"family":"Korshunov","given":"Vladimir Andreevich"},{"family":"Koul","given":"Parvaiz A."},{"family":"Koyanagi","given":"Ai"},{"family":"Kraemer","given":"Moritz U. G."},{"family":"Krishan","given":"Kewal"},{"family":"Krohn","given":"Kris J."},{"family":"Kromhout","given":"Hans"},{"family":"Defo","given":"Barthelemy Kuate"},{"family":"Kumar","given":"G. Anil"},{"family":"Kumar","given":"Vivek"},{"family":"Kurmi","given":"Om P."},{"family":"Kusuma","given":"Dian"},{"family":"Vecchia","given":"Carlo La"},{"family":"Lacey","given":"Ben"},{"family":"Lal","given":"Dharmesh Kumar"},{"family":"Lalloo","given":"Ratilal"},{"family":"Lallukka","given":"Tea"},{"family":"Lami","given":"Faris Hasan"},{"family":"Landires","given":"Iván"},{"family":"Lang","given":"Justin J."},{"family":"Langan","given":"Sinéad M."},{"family":"Larsson","given":"Anders O."},{"family":"Lasrado","given":"Savita"},{"family":"Lauriola","given":"Paolo"},{"family":"Lazarus","given":"Jeffrey V."},{"family":"Lee","given":"Paul H."},{"family":"Lee","given":"Shaun Wen Huey"},{"family":"LeGrand","given":"Kate E."},{"family":"Leigh","given":"James"},{"family":"Leonardi","given":"Matilde"},{"family":"Lescinsky","given":"Haley"},{"family":"Leung","given":"Janni"},{"family":"Levi","given":"Miriam"},{"family":"Li","given":"Shanshan"},{"family":"Lim","given":"Lee-Ling"},{"family":"Linn","given":"Shai"},{"family":"Liu","given":"Shiwei"},{"family":"Liu","given":"Simin"},{"family":"Liu","given":"Yang"},{"family":"Lo","given":"Justin"},{"family":"Lopez","given":"Alan D."},{"family":"Lopez","given":"Jaifred Christian F."},{"family":"Lopukhov","given":"Platon D."},{"family":"Lorkowski","given":"Stefan"},{"family":"Lotufo","given":"Paulo A."},{"family":"Lu","given":"Alton"},{"family":"Lugo","given":"Alessandra"},{"family":"Maddison","given":"Emilie R."},{"family":"Mahasha","given":"Phetole Walter"},{"family":"Mahdavi","given":"Mokhtar Mahdavi"},{"family":"Mahmoudi","given":"Morteza"},{"family":"Majeed","given":"Azeem"},{"family":"Maleki","given":"Afshin"},{"family":"Maleki","given":"Shokofeh"},{"family":"Malekzadeh","given":"Reza"},{"family":"Malta","given":"Deborah Carvalho"},{"family":"Mamun","given":"Abdullah A."},{"family":"Manda","given":"Ana Laura"},{"family":"Manguerra","given":"Helena"},{"family":"Mansour-Ghanaei","given":"Fariborz"},{"family":"Mansouri","given":"Borhan"},{"family":"Mansournia","given":"Mohammad Ali"},{"family":"Herrera","given":"Ana M. Mantilla"},{"family":"Maravilla","given":"Joemer C."},{"family":"Marks","given":"Ashley"},{"family":"Martin","given":"Randall V."},{"family":"Martini","given":"Santi"},{"family":"Martins-Melo","given":"Francisco Rogerlândio"},{"family":"Masaka","given":"Anthony"},{"family":"Masoumi","given":"Seyedeh Zahra"},{"family":"Mathur","given":"Manu Raj"},{"family":"Matsushita","given":"Kunihiro"},{"family":"Maulik","given":"Pallab K."},{"family":"McAlinden","given":"Colm"},{"family":"McGrath","given":"John J."},{"family":"McKee","given":"Martin"},{"family":"Mehndiratta","given":"Man Mohan"},{"family":"Mehri","given":"Fereshteh"},{"family":"Mehta","given":"Kala M."},{"family":"Memish","given":"Ziad A."},{"family":"Mendoza","given":"Walter"},{"family":"Menezes","given":"Ritesh G."},{"family":"Mengesha","given":"Endalkachew Worku"},{"family":"Mereke","given":"Alibek"},{"family":"Mereta","given":"Seid Tiku"},{"family":"Meretoja","given":"Atte"},{"family":"Meretoja","given":"Tuomo J."},{"family":"Mestrovic","given":"Tomislav"},{"family":"Miazgowski","given":"Bartosz"},{"family":"Miazgowski","given":"Tomasz"},{"family":"Michalek","given":"Irmina Maria"},{"family":"Miller","given":"Ted R."},{"family":"Mills","given":"Edward J."},{"family":"Mini","given":"G. K."},{"family":"Miri","given":"Mohammad"},{"family":"Mirica","given":"Andreea"},{"family":"Mirrakhimov","given":"Erkin M."},{"family":"Mirzaei","given":"Hamed"},{"family":"Mirzaei","given":"Maryam"},{"family":"Mirzaei","given":"Roya"},{"family":"Mirzaei-Alavijeh","given":"Mehdi"},{"family":"Misganaw","given":"Awoke Temesgen"},{"family":"Mithra","given":"Prasanna"},{"family":"Moazen","given":"Babak"},{"family":"Mohammad","given":"Dara K."},{"family":"Mohammad","given":"Yousef"},{"family":"Mezerji","given":"Naser Mohammad Gholi"},{"family":"Mohammadian-Hafshejani","given":"Abdollah"},{"family":"Mohammadifard","given":"Noushin"},{"family":"Mohammadpourhodki","given":"Reza"},{"family":"Mohammed","given":"Ammas Siraj"},{"family":"Mohammed","given":"Hussen"},{"family":"Mohammed","given":"Jemal Abdu"},{"family":"Mohammed","given":"Shafiu"},{"family":"Mokdad","given":"Ali H."},{"family":"Molokhia","given":"Mariam"},{"family":"Monasta","given":"Lorenzo"},{"family":"Mooney","given":"Meghan D."},{"family":"Moradi","given":"Ghobad"},{"family":"Moradi","given":"Masoud"},{"family":"Moradi-Lakeh","given":"Maziar"},{"family":"Moradzadeh","given":"Rahmatollah"},{"family":"Moraga","given":"Paula"},{"family":"Morawska","given":"Lidia"},{"family":"Morgado-da-Costa","given":"Joana"},{"family":"Morrison","given":"Shane Douglas"},{"family":"Mosapour","given":"Abbas"},{"family":"Mosser","given":"Jonathan F."},{"family":"Mouodi","given":"Simin"},{"family":"Mousavi","given":"Seyyed Meysam"},{"family":"Khaneghah","given":"Amin Mousavi"},{"family":"Mueller","given":"Ulrich Otto"},{"family":"Mukhopadhyay","given":"Satinath"},{"family":"Mullany","given":"Erin C."},{"family":"Musa","given":"Kamarul Imran"},{"family":"Muthupandian","given":"Saravanan"},{"family":"Nabhan","given":"Ashraf F."},{"family":"Naderi","given":"Mehdi"},{"family":"Nagarajan","given":"Ahamarshan Jayaraman"},{"family":"Nagel","given":"Gabriele"},{"family":"Naghavi","given":"Mohsen"},{"family":"Naghshtabrizi","given":"Behshad"},{"family":"Naimzada","given":"Mukhammad David"},{"family":"Najafi","given":"Farid"},{"family":"Nangia","given":"Vinay"},{"family":"Nansseu","given":"Jobert Richie"},{"family":"Naserbakht","given":"Morteza"},{"family":"Nayak","given":"Vinod C."},{"family":"Negoi","given":"Ionut"},{"family":"Ngunjiri","given":"Josephine W."},{"family":"Nguyen","given":"Cuong Tat"},{"family":"Nguyen","given":"Huong Lan Thi"},{"family":"Nguyen","given":"Minh"},{"family":"Nigatu","given":"Yeshambel T."},{"family":"Nikbakhsh","given":"Rajan"},{"family":"Nixon","given":"Molly R."},{"family":"Nnaji","given":"Chukwudi A."},{"family":"Nomura","given":"Shuhei"},{"family":"Norrving","given":"Bo"},{"family":"Noubiap","given":"Jean Jacques"},{"family":"Nowak","given":"Christoph"},{"family":"Nunez-Samudio","given":"Virginia"},{"family":"Oţoiu","given":"Adrian"},{"family":"Oancea","given":"Bogdan"},{"family":"Odell","given":"Christopher M."},{"family":"Ogbo","given":"Felix Akpojene"},{"family":"Oh","given":"In-Hwan"},{"family":"Okunga","given":"Emmanuel Wandera"},{"family":"Oladnabi","given":"Morteza"},{"family":"Olagunju","given":"Andrew T."},{"family":"Olusanya","given":"Bolajoko Olubukunola"},{"family":"Olusanya","given":"Jacob Olusegun"},{"family":"Omer","given":"Muktar Omer"},{"family":"Ong","given":"Kanyin L."},{"family":"Onwujekwe","given":"Obinna E."},{"family":"Orpana","given":"Heather M."},{"family":"Ortiz","given":"Alberto"},{"family":"Osarenotor","given":"Osayomwanbo"},{"family":"Osei","given":"Frank B."},{"family":"Ostroff","given":"Samuel M."},{"family":"Otstavnov","given":"Nikita"},{"family":"Otstavnov","given":"Stanislav S."},{"family":"Øverland","given":"Simon"},{"family":"Owolabi","given":"Mayowa O."},{"family":"A","given":"Mahesh P."},{"family":"Padubidri","given":"Jagadish Rao"},{"family":"Palladino","given":"Raffaele"},{"family":"Panda-Jonas","given":"Songhomitra"},{"family":"Pandey","given":"Anamika"},{"family":"Parry","given":"Charles D. H."},{"family":"Pasovic","given":"Maja"},{"family":"Pasupula","given":"Deepak Kumar"},{"family":"Patel","given":"Sangram Kishor"},{"family":"Pathak","given":"Mona"},{"family":"Patten","given":"Scott B."},{"family":"Patton","given":"George C."},{"family":"Toroudi","given":"Hamidreza Pazoki"},{"family":"Peden","given":"Amy E."},{"family":"Pennini","given":"Alyssa"},{"family":"Pepito","given":"Veincent Christian Filipino"},{"family":"Peprah","given":"Emmanuel K."},{"family":"Pereira","given":"David M."},{"family":"Pesudovs","given":"Konrad"},{"family":"Pham","given":"Hai Quang"},{"family":"Phillips","given":"Michael R."},{"family":"Piccinelli","given":"Cristiano"},{"family":"Pilz","given":"Tessa M."},{"family":"Piradov","given":"Michael A."},{"family":"Pirsaheb","given":"Meghdad"},{"family":"Plass","given":"Dietrich"},{"family":"Polinder","given":"Suzanne"},{"family":"Polkinghorne","given":"Kevan R."},{"family":"Pond","given":"Constance Dimity"},{"family":"Postma","given":"Maarten J."},{"family":"Pourjafar","given":"Hadi"},{"family":"Pourmalek","given":"Farshad"},{"family":"Poznańska","given":"Anna"},{"family":"Prada","given":"Sergio I."},{"family":"Prakash","given":"V."},{"family":"Pribadi","given":"Dimas Ria Angga"},{"family":"Pupillo","given":"Elisabetta"},{"family":"Syed","given":"Zahiruddin Quazi"},{"family":"Rabiee","given":"Mohammad"},{"family":"Rabiee","given":"Navid"},{"family":"Radfar","given":"Amir"},{"family":"Rafiee","given":"Ata"},{"family":"Raggi","given":"Alberto"},{"family":"Rahman","given":"Muhammad Aziz"},{"family":"Rajabpour-Sanati","given":"Ali"},{"family":"Rajati","given":"Fatemeh"},{"family":"Rakovac","given":"Ivo"},{"family":"Ram","given":"Pradhum"},{"family":"Ramezanzadeh","given":"Kiana"},{"family":"Ranabhat","given":"Chhabi Lal"},{"family":"Rao","given":"Puja C."},{"family":"Rao","given":"Sowmya J."},{"family":"Rashedi","given":"Vahid"},{"family":"Rathi","given":"Priya"},{"family":"Rawaf","given":"David Laith"},{"family":"Rawaf","given":"Salman"},{"family":"Rawal","given":"Lal"},{"family":"Rawassizadeh","given":"Reza"},{"family":"Rawat","given":"Ramu"},{"family":"Razo","given":"Christian"},{"family":"Redford","given":"Sofia Boston"},{"family":"Reiner","given":"Robert C."},{"family":"Reitsma","given":"Marissa Bettay"},{"family":"Remuzzi","given":"Giuseppe"},{"family":"Renjith","given":"Vishnu"},{"family":"Renzaho","given":"Andre M. N."},{"family":"Resnikoff","given":"Serge"},{"family":"Rezaei","given":"Negar"},{"family":"Rezaei","given":"Nima"},{"family":"Rezapour","given":"Aziz"},{"family":"Rhinehart","given":"Phoebe-Anne"},{"family":"Riahi","given":"Seyed Mohammad"},{"family":"Ribeiro","given":"Daniel Cury"},{"family":"Ribeiro","given":"Daniela"},{"family":"Rickard","given":"Jennifer"},{"family":"Rivera","given":"Juan A."},{"family":"Roberts","given":"Nicholas L. S."},{"family":"Rodríguez-Ramírez","given":"Sonia"},{"family":"Roever","given":"Leonardo"},{"family":"Ronfani","given":"Luca"},{"family":"Room","given":"Robin"},{"family":"Roshandel","given":"Gholamreza"},{"family":"Roth","given":"Gregory A."},{"family":"Rothenbacher","given":"Dietrich"},{"family":"Rubagotti","given":"Enrico"},{"family":"Rwegerera","given":"Godfrey M."},{"family":"Sabour","given":"Siamak"},{"family":"Sachdev","given":"Perminder S."},{"family":"Saddik","given":"Basema"},{"family":"Sadeghi","given":"Ehsan"},{"family":"Sadeghi","given":"Masoumeh"},{"family":"Saeedi","given":"Reza"},{"family":"Moghaddam","given":"Sahar Saeedi"},{"family":"Safari","given":"Yahya"},{"family":"Safi","given":"Sare"},{"family":"Safiri","given":"Saeid"},{"family":"Sagar","given":"Rajesh"},{"family":"Sahebkar","given":"Amirhossein"},{"family":"Sajadi","given":"S. Mohammad"},{"family":"Salam","given":"Nasir"},{"family":"Salamati","given":"Payman"},{"family":"Salem","given":"Hosni"},{"family":"Salem","given":"Marwa R. Rashad"},{"family":"Salimzadeh","given":"Hamideh"},{"family":"Salman","given":"Omar Mukhtar"},{"family":"Salomon","given":"Joshua A."},{"family":"Samad","given":"Zainab"},{"family":"Kafil","given":"Hossein Samadi"},{"family":"Sambala","given":"Evanson Zondani"},{"family":"Samy","given":"Abdallah M."},{"family":"Sanabria","given":"Juan"},{"family":"Sánchez-Pimienta","given":"Tania G."},{"family":"Santomauro","given":"Damian Francesco"},{"family":"Santos","given":"Itamar S."},{"family":"Santos","given":"João Vasco"},{"family":"Santric-Milicevic","given":"Milena M."},{"family":"Saraswathy","given":"Sivan Yegnanarayana Iyer"},{"family":"Sarmiento-Suárez","given":"Rodrigo"},{"family":"Sarrafzadegan","given":"Nizal"},{"family":"Sartorius","given":"Benn"},{"family":"Sarveazad","given":"Arash"},{"family":"Sathian","given":"Brijesh"},{"family":"Sathish","given":"Thirunavukkarasu"},{"family":"Sattin","given":"Davide"},{"family":"Saxena","given":"Sonia"},{"family":"Schaeffer","given":"Lauren E."},{"family":"Schiavolin","given":"Silvia"},{"family":"Schlaich","given":"Markus P."},{"family":"Schmidt","given":"Maria Inês"},{"family":"Schutte","given":"Aletta Elisabeth"},{"family":"Schwebel","given":"David C."},{"family":"Schwendicke","given":"Falk"},{"family":"Senbeta","given":"Anbissa Muleta"},{"family":"Senthilkumaran","given":"Subramanian"},{"family":"Sepanlou","given":"Sadaf G."},{"family":"Serdar","given":"Berrin"},{"family":"Serre","given":"Marc L."},{"family":"Shadid","given":"Jamileh"},{"family":"Shafaat","given":"Omid"},{"family":"Shahabi","given":"Saeed"},{"family":"Shaheen","given":"Amira A."},{"family":"Shaikh","given":"Masood Ali"},{"family":"Shalash","given":"Ali S."},{"family":"Shams-Beyranvand","given":"Mehran"},{"family":"Shamsizadeh","given":"Morteza"},{"family":"Sharafi","given":"Kiomars"},{"family":"Sheikh","given":"Aziz"},{"family":"Sheikhtaheri","given":"Abbas"},{"family":"Shibuya","given":"Kenji"},{"family":"Shield","given":"Kevin David"},{"family":"Shigematsu","given":"Mika"},{"family":"Shin","given":"Jae Il"},{"family":"Shin","given":"Min-Jeong"},{"family":"Shiri","given":"Rahman"},{"family":"Shirkoohi","given":"Reza"},{"family":"Shuval","given":"Kerem"},{"family":"Siabani","given":"Soraya"},{"family":"Sierpinski","given":"Radoslaw"},{"family":"Sigfusdottir","given":"Inga Dora"},{"family":"Sigurvinsdottir","given":"Rannveig"},{"family":"Silva","given":"João Pedro"},{"family":"Simpson","given":"Kyle E."},{"family":"Singh","given":"Jasvinder A."},{"family":"Singh","given":"Pushpendra"},{"family":"Skiadaresi","given":"Eirini"},{"family":"Skou","given":"Søren T. Skou"},{"family":"Skryabin","given":"Valentin Yurievich"},{"family":"Smith","given":"Emma U. R."},{"family":"Soheili","given":"Amin"},{"family":"Soltani","given":"Shahin"},{"family":"Soofi","given":"Moslem"},{"family":"Sorensen","given":"Reed J. D."},{"family":"Soriano","given":"Joan B."},{"family":"Sorrie","given":"Muluken Bekele"},{"family":"Soshnikov","given":"Sergey"},{"family":"Soyiri","given":"Ireneous N."},{"family":"Spencer","given":"Cory N."},{"family":"Spotin","given":"Adel"},{"family":"Sreeramareddy","given":"Chandrashekhar T."},{"family":"Srinivasan","given":"Vinay"},{"family":"Stanaway","given":"Jeffrey D."},{"family":"Stein","given":"Caroline"},{"family":"Stein","given":"Dan J."},{"family":"Steiner","given":"Caitlyn"},{"family":"Stockfelt","given":"Leo"},{"family":"Stokes","given":"Mark A."},{"family":"Straif","given":"Kurt"},{"family":"Stubbs","given":"Jacob L."},{"family":"Sufiyan","given":"Mu'awiyyah Babale"},{"family":"Suleria","given":"Hafiz Ansar Rasul"},{"family":"Abdulkader","given":"Rizwan Suliankatchi"},{"family":"Sulo","given":"Gerhard"},{"family":"Sultan","given":"Iyad"},{"family":"Szumowski","given":"Łukasz"},{"family":"Tabarés-Seisdedos","given":"Rafael"},{"family":"Tabb","given":"Karen M."},{"family":"Tabuchi","given":"Takahiro"},{"family":"Taherkhani","given":"Amir"},{"family":"Tajdini","given":"Masih"},{"family":"Takahashi","given":"Ken"},{"family":"Takala","given":"Jukka S."},{"family":"Tamiru","given":"Animut Tagele"},{"family":"Taveira","given":"Nuno"},{"family":"Tehrani-Banihashemi","given":"Arash"},{"family":"Temsah","given":"Mohamad-Hani"},{"family":"Tesema","given":"Getayeneh Antehunegn"},{"family":"Tessema","given":"Zemenu Tadesse"},{"family":"Thurston","given":"George D."},{"family":"Titova","given":"Mariya Vladimirovna"},{"family":"Tohidinik","given":"Hamid Reza"},{"family":"Tonelli","given":"Marcello"},{"family":"Topor-Madry","given":"Roman"},{"family":"Topouzis","given":"Fotis"},{"family":"Torre","given":"Anna E."},{"family":"Touvier","given":"Mathilde"},{"family":"Tovani-Palone","given":"Marcos Roberto Roberto"},{"family":"Tran","given":"Bach Xuan"},{"family":"Travillian","given":"Ravensara"},{"family":"Tsatsakis","given":"Aristidis"},{"family":"Car","given":"Lorainne Tudor"},{"family":"Tyrovolas","given":"Stefanos"},{"family":"Uddin","given":"Riaz"},{"family":"Umeokonkwo","given":"Chukwuma David"},{"family":"Unnikrishnan","given":"Bhaskaran"},{"family":"Upadhyay","given":"Era"},{"family":"Vacante","given":"Marco"},{"family":"Valdez","given":"Pascual R."},{"family":"Donkelaar","given":"Aaron","dropping-particle":"van"},{"family":"Vasankari","given":"Tommi Juhani"},{"family":"Vasseghian","given":"Yasser"},{"family":"Veisani","given":"Yousef"},{"family":"Venketasubramanian","given":"Narayanaswamy"},{"family":"Violante","given":"Francesco S."},{"family":"Vlassov","given":"Vasily"},{"family":"Vollset","given":"Stein Emil"},{"family":"Vos","given":"Theo"},{"family":"Vukovic","given":"Rade"},{"family":"Waheed","given":"Yasir"},{"family":"Wallin","given":"Mitchell Taylor"},{"family":"Wang","given":"Yafeng"},{"family":"Wang","given":"Yuan-Pang"},{"family":"Watson","given":"Alexandrea"},{"family":"Wei","given":"Jingkai"},{"family":"Wei","given":"Melissa Y. Wei"},{"family":"Weintraub","given":"Robert G."},{"family":"Weiss","given":"Jordan"},{"family":"Werdecker","given":"Andrea"},{"family":"West","given":"J. Jason"},{"family":"Westerman","given":"Ronny"},{"family":"Whisnant","given":"Joanna L."},{"family":"Whiteford","given":"Harvey A."},{"family":"Wiens","given":"Kirsten E."},{"family":"Wolfe","given":"Charles D. A."},{"family":"Wozniak","given":"Sarah S."},{"family":"Wu","given":"Ai-Min"},{"family":"Wu","given":"Junjie"},{"family":"Hanson","given":"Sarah Wulf"},{"family":"Xu","given":"Gelin"},{"family":"Xu","given":"Rixing"},{"family":"Yadgir","given":"Simon"},{"family":"Jabbari","given":"Seyed Hossein Yahyazadeh"},{"family":"Yamagishi","given":"Kazumasa"},{"family":"Yaminfirooz","given":"Mousa"},{"family":"Yano","given":"Yuichiro"},{"family":"Yaya","given":"Sanni"},{"family":"Yazdi-Feyzabadi","given":"Vahid"},{"family":"Yeheyis","given":"Tomas Y."},{"family":"Yilgwan","given":"Christopher Sabo"},{"family":"Yilma","given":"Mekdes Tigistu"},{"family":"Yip","given":"Paul"},{"family":"Yonemoto","given":"Naohiro"},{"family":"Younis","given":"Mustafa Z."},{"family":"Younker","given":"Theodore Patrick"},{"family":"Yousefi","given":"Bahman"},{"family":"Yousefi","given":"Zabihollah"},{"family":"Yousefinezhadi","given":"Taraneh"},{"family":"Yousuf","given":"Abdilahi Yousuf"},{"family":"Yu","given":"Chuanhua"},{"family":"Yusefzadeh","given":"Hasan"},{"family":"Moghadam","given":"Telma Zahirian"},{"family":"Zamani","given":"Mohammad"},{"family":"Zamanian","given":"Maryam"},{"family":"Zandian","given":"Hamed"},{"family":"Zastrozhin","given":"Mikhail Sergeevich"},{"family":"Zhang","given":"Yunquan"},{"family":"Zhang","given":"Zhi-Jiang"},{"family":"Zhao","given":"Jeff T."},{"family":"Zhao","given":"Xiu-Ju George"},{"family":"Zhao","given":"Yingxi"},{"family":"Zhou","given":"Maigeng"},{"family":"Ziapour","given":"Arash"},{"family":"Zimsen","given":"Stephanie R. M."},{"family":"Brauer","given":"Michael"},{"family":"Afshin","given":"Ashkan"},{"family":"Lim","given":"Stephen S."}],"issued":{"date-parts":[["2020",10,17]]}}}],"schema":"https://github.com/citation-style-language/schema/raw/master/csl-citation.json"} </w:instrText>
      </w:r>
      <w:r w:rsidR="00B369E9" w:rsidRPr="006A0823">
        <w:rPr>
          <w:rStyle w:val="normaltextrun"/>
          <w:color w:val="000000"/>
          <w:shd w:val="clear" w:color="auto" w:fill="FFFFFF"/>
          <w:lang w:val="en-GB"/>
        </w:rPr>
        <w:fldChar w:fldCharType="separate"/>
      </w:r>
      <w:r w:rsidR="00B369E9" w:rsidRPr="006A0823">
        <w:rPr>
          <w:vertAlign w:val="superscript"/>
        </w:rPr>
        <w:t>27</w:t>
      </w:r>
      <w:r w:rsidR="00B369E9" w:rsidRPr="006A0823">
        <w:rPr>
          <w:rStyle w:val="normaltextrun"/>
          <w:color w:val="000000"/>
          <w:shd w:val="clear" w:color="auto" w:fill="FFFFFF"/>
          <w:lang w:val="en-GB"/>
        </w:rPr>
        <w:fldChar w:fldCharType="end"/>
      </w:r>
      <w:r w:rsidRPr="006A0823">
        <w:rPr>
          <w:rStyle w:val="normaltextrun"/>
          <w:color w:val="000000"/>
          <w:shd w:val="clear" w:color="auto" w:fill="FFFFFF"/>
          <w:lang w:val="en-GB"/>
        </w:rPr>
        <w:t xml:space="preserve"> </w:t>
      </w:r>
      <w:r w:rsidRPr="006A0823">
        <w:rPr>
          <w:lang w:val="en-GB"/>
        </w:rPr>
        <w:t>It is one of the covariates in the production of location-specific infection fatality ratios for COVID-19.</w:t>
      </w:r>
    </w:p>
    <w:p w14:paraId="2CA1399C" w14:textId="5AC8B3A7" w:rsidR="006A01BA" w:rsidRPr="006A0823" w:rsidRDefault="7ED259A5" w:rsidP="537E76A8">
      <w:pPr>
        <w:pStyle w:val="Heading1"/>
        <w:rPr>
          <w:lang w:val="en-GB"/>
        </w:rPr>
      </w:pPr>
      <w:bookmarkStart w:id="316" w:name="_Toc104249378"/>
      <w:bookmarkStart w:id="317" w:name="_Toc104252106"/>
      <w:bookmarkStart w:id="318" w:name="_Toc124499509"/>
      <w:r w:rsidRPr="006A0823">
        <w:rPr>
          <w:lang w:val="en-GB"/>
        </w:rPr>
        <w:t xml:space="preserve">The </w:t>
      </w:r>
      <w:r w:rsidR="72845D0A" w:rsidRPr="006A0823">
        <w:rPr>
          <w:lang w:val="en-GB"/>
        </w:rPr>
        <w:t>SEI</w:t>
      </w:r>
      <w:r w:rsidRPr="006A0823">
        <w:rPr>
          <w:lang w:val="en-GB"/>
        </w:rPr>
        <w:t xml:space="preserve"> transmission model</w:t>
      </w:r>
      <w:bookmarkEnd w:id="316"/>
      <w:bookmarkEnd w:id="317"/>
      <w:bookmarkEnd w:id="318"/>
    </w:p>
    <w:p w14:paraId="43813F79" w14:textId="46ECF4F5" w:rsidR="00C405E2" w:rsidRPr="006A0823" w:rsidRDefault="00BE5F8E" w:rsidP="00BC3AE0">
      <w:pPr>
        <w:rPr>
          <w:lang w:val="en-GB"/>
        </w:rPr>
      </w:pPr>
      <w:r w:rsidRPr="006A0823">
        <w:rPr>
          <w:lang w:val="en-GB"/>
        </w:rPr>
        <w:t>The core component of both our past infections model and our forecasting model is a system of integro-differential equations. This system tracks groups of individuals by what variant (if any) of COVID-19 they were most recently exposed to, what round of vaccination (if any) they most recently completed, and whether they belong to a high risk (defined as over the age of 65) or low risk (all others) demographic group. The system also captures the waning of vaccine-derived and infection-derived protection from infection and severe disease</w:t>
      </w:r>
      <w:r w:rsidR="47D4C575" w:rsidRPr="006A0823">
        <w:rPr>
          <w:lang w:val="en-GB"/>
        </w:rPr>
        <w:t>.</w:t>
      </w:r>
      <w:r w:rsidRPr="006A0823">
        <w:rPr>
          <w:lang w:val="en-GB"/>
        </w:rPr>
        <w:t xml:space="preserve"> Figure </w:t>
      </w:r>
      <w:r w:rsidR="00114959" w:rsidRPr="006A0823">
        <w:rPr>
          <w:lang w:val="en-GB"/>
        </w:rPr>
        <w:t>S1</w:t>
      </w:r>
      <w:r w:rsidRPr="006A0823">
        <w:rPr>
          <w:lang w:val="en-GB"/>
        </w:rPr>
        <w:t xml:space="preserve"> contains a compartment and transition d</w:t>
      </w:r>
      <w:r w:rsidR="00C405E2" w:rsidRPr="006A0823">
        <w:rPr>
          <w:lang w:val="en-GB"/>
        </w:rPr>
        <w:t xml:space="preserve">iagram of the model structure. </w:t>
      </w:r>
    </w:p>
    <w:p w14:paraId="04254CC6" w14:textId="519C84F4" w:rsidR="00BE5F8E" w:rsidRPr="006A0823" w:rsidRDefault="1B3EEDD8" w:rsidP="00BC3AE0">
      <w:pPr>
        <w:rPr>
          <w:lang w:val="en-GB"/>
        </w:rPr>
      </w:pPr>
      <w:r w:rsidRPr="006A0823">
        <w:rPr>
          <w:lang w:val="en-GB"/>
        </w:rPr>
        <w:t xml:space="preserve">The model uses three kinds of compartments to track individuals. </w:t>
      </w:r>
      <m:oMath>
        <m:r>
          <w:rPr>
            <w:rFonts w:ascii="Cambria Math" w:hAnsi="Cambria Math"/>
            <w:lang w:val="en-GB"/>
          </w:rPr>
          <m:t>S</m:t>
        </m:r>
      </m:oMath>
      <w:r w:rsidRPr="006A0823">
        <w:rPr>
          <w:lang w:val="en-GB"/>
        </w:rPr>
        <w:t xml:space="preserve"> compartments represent individuals with full or partial susceptibility to a COVID infection. Individuals in an </w:t>
      </w:r>
      <m:oMath>
        <m:r>
          <w:rPr>
            <w:rFonts w:ascii="Cambria Math" w:hAnsi="Cambria Math"/>
            <w:lang w:val="en-GB"/>
          </w:rPr>
          <m:t>E</m:t>
        </m:r>
      </m:oMath>
      <w:r w:rsidRPr="006A0823">
        <w:rPr>
          <w:lang w:val="en-GB"/>
        </w:rPr>
        <w:t xml:space="preserve"> compartment have been exposed to the virus but are currently asymptomatic and non-infectious. </w:t>
      </w:r>
      <w:r w:rsidR="159D76A2" w:rsidRPr="006A0823">
        <w:rPr>
          <w:lang w:val="en-GB"/>
        </w:rPr>
        <w:t xml:space="preserve">Finally, </w:t>
      </w:r>
      <m:oMath>
        <m:r>
          <w:rPr>
            <w:rFonts w:ascii="Cambria Math" w:hAnsi="Cambria Math"/>
            <w:lang w:val="en-GB"/>
          </w:rPr>
          <m:t>I</m:t>
        </m:r>
      </m:oMath>
      <w:r w:rsidR="159D76A2" w:rsidRPr="006A0823">
        <w:rPr>
          <w:lang w:val="en-GB"/>
        </w:rPr>
        <w:t xml:space="preserve"> compartments contain those individuals with a current active case of COVID who are transmitting the virus to other people. </w:t>
      </w:r>
      <w:r w:rsidRPr="006A0823">
        <w:rPr>
          <w:lang w:val="en-GB"/>
        </w:rPr>
        <w:t xml:space="preserve">Compartments are indexed by variant, vaccine status, and age group (e.g.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x,v,a</m:t>
            </m:r>
          </m:sub>
        </m:sSub>
      </m:oMath>
      <w:proofErr w:type="gramStart"/>
      <w:r w:rsidRPr="006A0823">
        <w:rPr>
          <w:lang w:val="en-GB"/>
        </w:rPr>
        <w:t>) .</w:t>
      </w:r>
      <w:proofErr w:type="gramEnd"/>
      <w:r w:rsidRPr="006A0823">
        <w:rPr>
          <w:lang w:val="en-GB"/>
        </w:rPr>
        <w:t xml:space="preserve">  </w:t>
      </w:r>
      <w:r w:rsidR="07D5F781" w:rsidRPr="006A0823">
        <w:rPr>
          <w:lang w:val="en-GB"/>
        </w:rPr>
        <w:t>Suppressed indices imply summation (</w:t>
      </w:r>
      <w:proofErr w:type="gramStart"/>
      <w:r w:rsidR="07D5F781" w:rsidRPr="006A0823">
        <w:rPr>
          <w:lang w:val="en-GB"/>
        </w:rPr>
        <w:t>e.g.</w:t>
      </w:r>
      <w:proofErr w:type="gramEnd"/>
      <w:r w:rsidR="07D5F781" w:rsidRPr="006A0823">
        <w:rPr>
          <w:lang w:val="en-GB"/>
        </w:rPr>
        <w:t xml:space="preserve">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x,a</m:t>
            </m:r>
          </m:sub>
        </m:sSub>
        <m:r>
          <w:rPr>
            <w:rFonts w:ascii="Cambria Math" w:hAnsi="Cambria Math"/>
            <w:lang w:val="en-GB"/>
          </w:rPr>
          <m:t xml:space="preserve">= </m:t>
        </m:r>
        <m:nary>
          <m:naryPr>
            <m:chr m:val="∑"/>
            <m:supHide m:val="1"/>
            <m:ctrlPr>
              <w:rPr>
                <w:rFonts w:ascii="Cambria Math" w:hAnsi="Cambria Math"/>
                <w:i/>
                <w:lang w:val="en-GB"/>
              </w:rPr>
            </m:ctrlPr>
          </m:naryPr>
          <m:sub>
            <m:r>
              <w:rPr>
                <w:rFonts w:ascii="Cambria Math" w:hAnsi="Cambria Math"/>
                <w:lang w:val="en-GB"/>
              </w:rPr>
              <m:t>v</m:t>
            </m:r>
          </m:sub>
          <m:sup/>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x,v,a</m:t>
                </m:r>
              </m:sub>
            </m:sSub>
          </m:e>
        </m:nary>
      </m:oMath>
      <w:r w:rsidR="07D5F781" w:rsidRPr="006A0823">
        <w:rPr>
          <w:lang w:val="en-GB"/>
        </w:rPr>
        <w:t>).</w:t>
      </w:r>
    </w:p>
    <w:p w14:paraId="25FEE8D3" w14:textId="6E5DF4A5" w:rsidR="00BE5F8E" w:rsidRPr="006A0823" w:rsidRDefault="00BE5F8E" w:rsidP="00BC3AE0">
      <w:pPr>
        <w:rPr>
          <w:lang w:val="en-GB"/>
        </w:rPr>
      </w:pPr>
      <w:r w:rsidRPr="006A0823">
        <w:rPr>
          <w:lang w:val="en-GB"/>
        </w:rPr>
        <w:t xml:space="preserve">Variants are members of the set </w:t>
      </w:r>
      <m:oMath>
        <m:r>
          <w:rPr>
            <w:rFonts w:ascii="Cambria Math" w:hAnsi="Cambria Math"/>
            <w:lang w:val="en-GB"/>
          </w:rPr>
          <m:t xml:space="preserve">X={∅, A, α, β, γ, δ, o, ba5, ω}, </m:t>
        </m:r>
      </m:oMath>
      <w:r w:rsidRPr="006A0823">
        <w:rPr>
          <w:lang w:val="en-GB"/>
        </w:rPr>
        <w:t xml:space="preserve"> where </w:t>
      </w:r>
      <m:oMath>
        <m:r>
          <w:rPr>
            <w:rFonts w:ascii="Cambria Math" w:hAnsi="Cambria Math"/>
            <w:lang w:val="en-GB"/>
          </w:rPr>
          <m:t>∅</m:t>
        </m:r>
      </m:oMath>
      <w:r w:rsidRPr="006A0823">
        <w:rPr>
          <w:lang w:val="en-GB"/>
        </w:rPr>
        <w:t xml:space="preserve"> is no variant, </w:t>
      </w:r>
      <m:oMath>
        <m:r>
          <w:rPr>
            <w:rFonts w:ascii="Cambria Math" w:hAnsi="Cambria Math"/>
            <w:lang w:val="en-GB"/>
          </w:rPr>
          <m:t>A</m:t>
        </m:r>
      </m:oMath>
      <w:r w:rsidRPr="006A0823">
        <w:rPr>
          <w:lang w:val="en-GB"/>
        </w:rPr>
        <w:t xml:space="preserve"> is the original ancestral COVID, Greek letters represent the WHO variants of concern, and </w:t>
      </w:r>
      <m:oMath>
        <m:r>
          <w:rPr>
            <w:rFonts w:ascii="Cambria Math" w:hAnsi="Cambria Math"/>
            <w:lang w:val="en-GB"/>
          </w:rPr>
          <m:t>ba5</m:t>
        </m:r>
      </m:oMath>
      <w:r w:rsidRPr="006A0823">
        <w:rPr>
          <w:lang w:val="en-GB"/>
        </w:rPr>
        <w:t xml:space="preserve"> </w:t>
      </w:r>
      <w:r w:rsidR="00D07C2E" w:rsidRPr="006A0823">
        <w:rPr>
          <w:lang w:val="en-GB"/>
        </w:rPr>
        <w:t xml:space="preserve">is the Omicron subvariant we associate with the second large global wave in Omicron transmission. </w:t>
      </w:r>
      <w:r w:rsidRPr="006A0823">
        <w:rPr>
          <w:lang w:val="en-GB"/>
        </w:rPr>
        <w:t xml:space="preserve">In the following description, we use </w:t>
      </w:r>
      <m:oMath>
        <m:r>
          <w:rPr>
            <w:rFonts w:ascii="Cambria Math" w:hAnsi="Cambria Math"/>
            <w:lang w:val="en-GB"/>
          </w:rPr>
          <m:t>x</m:t>
        </m:r>
      </m:oMath>
      <w:r w:rsidRPr="006A0823">
        <w:rPr>
          <w:lang w:val="en-GB"/>
        </w:rPr>
        <w:t xml:space="preserve"> </w:t>
      </w:r>
      <w:r w:rsidR="00932A30" w:rsidRPr="006A0823">
        <w:rPr>
          <w:lang w:val="en-GB"/>
        </w:rPr>
        <w:t xml:space="preserve">and y as indices representing a variant. </w:t>
      </w:r>
      <w:r w:rsidRPr="006A0823">
        <w:rPr>
          <w:lang w:val="en-GB"/>
        </w:rPr>
        <w:t xml:space="preserve">The variant index is contextual to the compartment.  For susceptible compartments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x,v,a</m:t>
            </m:r>
          </m:sub>
        </m:sSub>
      </m:oMath>
      <w:r w:rsidRPr="006A0823">
        <w:rPr>
          <w:lang w:val="en-GB"/>
        </w:rPr>
        <w:t xml:space="preserve"> the variant </w:t>
      </w:r>
      <m:oMath>
        <m:r>
          <w:rPr>
            <w:rFonts w:ascii="Cambria Math" w:hAnsi="Cambria Math"/>
            <w:lang w:val="en-GB"/>
          </w:rPr>
          <m:t>x</m:t>
        </m:r>
      </m:oMath>
      <w:r w:rsidRPr="006A0823">
        <w:rPr>
          <w:lang w:val="en-GB"/>
        </w:rPr>
        <w:t xml:space="preserve"> represents the last variant an individual in the compartment was exposed to.  In an exposed or infectious compartment, it instead represents the variant they are currently exposed to.</w:t>
      </w:r>
    </w:p>
    <w:p w14:paraId="3F36B687" w14:textId="2A162230" w:rsidR="00BE5F8E" w:rsidRPr="006A0823" w:rsidRDefault="00BE5F8E" w:rsidP="00BC3AE0">
      <w:pPr>
        <w:rPr>
          <w:lang w:val="en-GB"/>
        </w:rPr>
      </w:pPr>
      <w:r w:rsidRPr="006A0823">
        <w:rPr>
          <w:lang w:val="en-GB"/>
        </w:rPr>
        <w:t xml:space="preserve">Vaccine statuses are members of the set </w:t>
      </w:r>
      <m:oMath>
        <m:r>
          <w:rPr>
            <w:rFonts w:ascii="Cambria Math" w:hAnsi="Cambria Math"/>
            <w:lang w:val="en-GB"/>
          </w:rPr>
          <m:t>V={0, 1, 2, 3, 4}</m:t>
        </m:r>
      </m:oMath>
      <w:r w:rsidRPr="006A0823">
        <w:rPr>
          <w:lang w:val="en-GB"/>
        </w:rPr>
        <w:t xml:space="preserve"> and represent the </w:t>
      </w:r>
      <w:r w:rsidR="00D07C2E" w:rsidRPr="006A0823">
        <w:rPr>
          <w:lang w:val="en-GB"/>
        </w:rPr>
        <w:t xml:space="preserve">number of courses of vaccination a person has completed, with </w:t>
      </w:r>
      <m:oMath>
        <m:r>
          <w:rPr>
            <w:rFonts w:ascii="Cambria Math" w:hAnsi="Cambria Math"/>
            <w:lang w:val="en-GB"/>
          </w:rPr>
          <m:t>0</m:t>
        </m:r>
      </m:oMath>
      <w:r w:rsidR="00D07C2E" w:rsidRPr="006A0823">
        <w:rPr>
          <w:rFonts w:eastAsiaTheme="minorEastAsia"/>
          <w:lang w:val="en-GB"/>
        </w:rPr>
        <w:t xml:space="preserve"> representing no vaccination, </w:t>
      </w:r>
      <m:oMath>
        <m:r>
          <w:rPr>
            <w:rFonts w:ascii="Cambria Math" w:eastAsiaTheme="minorEastAsia" w:hAnsi="Cambria Math"/>
            <w:lang w:val="en-GB"/>
          </w:rPr>
          <m:t>1</m:t>
        </m:r>
      </m:oMath>
      <w:r w:rsidR="00D07C2E" w:rsidRPr="006A0823">
        <w:rPr>
          <w:rFonts w:eastAsiaTheme="minorEastAsia"/>
          <w:lang w:val="en-GB"/>
        </w:rPr>
        <w:t xml:space="preserve"> representing a first full course of vaccination (with one or two doses depending on the vaccine), and </w:t>
      </w:r>
      <m:oMath>
        <m:r>
          <w:rPr>
            <w:rFonts w:ascii="Cambria Math" w:eastAsiaTheme="minorEastAsia" w:hAnsi="Cambria Math"/>
            <w:lang w:val="en-GB"/>
          </w:rPr>
          <m:t>2, 3,</m:t>
        </m:r>
      </m:oMath>
      <w:r w:rsidR="00D07C2E" w:rsidRPr="006A0823">
        <w:rPr>
          <w:rFonts w:eastAsiaTheme="minorEastAsia"/>
          <w:lang w:val="en-GB"/>
        </w:rPr>
        <w:t xml:space="preserve"> and </w:t>
      </w:r>
      <m:oMath>
        <m:r>
          <w:rPr>
            <w:rFonts w:ascii="Cambria Math" w:eastAsiaTheme="minorEastAsia" w:hAnsi="Cambria Math"/>
            <w:lang w:val="en-GB"/>
          </w:rPr>
          <m:t>4</m:t>
        </m:r>
      </m:oMath>
      <w:r w:rsidR="00D07C2E" w:rsidRPr="006A0823">
        <w:rPr>
          <w:rFonts w:eastAsiaTheme="minorEastAsia"/>
          <w:lang w:val="en-GB"/>
        </w:rPr>
        <w:t xml:space="preserve"> representing additional booster doses.</w:t>
      </w:r>
      <w:r w:rsidRPr="006A0823">
        <w:rPr>
          <w:lang w:val="en-GB"/>
        </w:rPr>
        <w:t xml:space="preserve">.  In the general model description, we use </w:t>
      </w:r>
      <m:oMath>
        <m:r>
          <w:rPr>
            <w:rFonts w:ascii="Cambria Math" w:hAnsi="Cambria Math"/>
            <w:lang w:val="en-GB"/>
          </w:rPr>
          <m:t>v</m:t>
        </m:r>
      </m:oMath>
      <w:r w:rsidR="00932A30" w:rsidRPr="006A0823">
        <w:rPr>
          <w:lang w:val="en-GB"/>
        </w:rPr>
        <w:t xml:space="preserve"> and </w:t>
      </w:r>
      <m:oMath>
        <m:r>
          <w:rPr>
            <w:rFonts w:ascii="Cambria Math" w:hAnsi="Cambria Math"/>
            <w:lang w:val="en-GB"/>
          </w:rPr>
          <m:t>w</m:t>
        </m:r>
      </m:oMath>
      <w:r w:rsidRPr="006A0823">
        <w:rPr>
          <w:lang w:val="en-GB"/>
        </w:rPr>
        <w:t xml:space="preserve"> as</w:t>
      </w:r>
      <w:r w:rsidR="00932A30" w:rsidRPr="006A0823">
        <w:rPr>
          <w:lang w:val="en-GB"/>
        </w:rPr>
        <w:t xml:space="preserve"> indices representing vaccine status</w:t>
      </w:r>
      <w:r w:rsidRPr="006A0823">
        <w:rPr>
          <w:lang w:val="en-GB"/>
        </w:rPr>
        <w:t xml:space="preserve">. Finally, age groups are members of the set </w:t>
      </w:r>
      <m:oMath>
        <m:r>
          <w:rPr>
            <w:rFonts w:ascii="Cambria Math" w:hAnsi="Cambria Math"/>
            <w:lang w:val="en-GB"/>
          </w:rPr>
          <m:t>A={under 65, over 65}</m:t>
        </m:r>
      </m:oMath>
      <w:r w:rsidRPr="006A0823">
        <w:rPr>
          <w:lang w:val="en-GB"/>
        </w:rPr>
        <w:t xml:space="preserve"> and are represented by an </w:t>
      </w:r>
      <m:oMath>
        <m:r>
          <w:rPr>
            <w:rFonts w:ascii="Cambria Math" w:hAnsi="Cambria Math"/>
            <w:lang w:val="en-GB"/>
          </w:rPr>
          <m:t>a</m:t>
        </m:r>
      </m:oMath>
      <w:r w:rsidRPr="006A0823">
        <w:rPr>
          <w:lang w:val="en-GB"/>
        </w:rPr>
        <w:t xml:space="preserve"> index.  The age group index is suppressed in Figure </w:t>
      </w:r>
      <w:r w:rsidR="00D07C2E" w:rsidRPr="006A0823">
        <w:rPr>
          <w:lang w:val="en-GB"/>
        </w:rPr>
        <w:t>S1</w:t>
      </w:r>
      <w:r w:rsidRPr="006A0823">
        <w:rPr>
          <w:lang w:val="en-GB"/>
        </w:rPr>
        <w:t>, but there is a parallel group of compartments for each age group and no assumption of differential mixing between the groups.</w:t>
      </w:r>
    </w:p>
    <w:p w14:paraId="310524A6" w14:textId="29A4874C" w:rsidR="00BE5F8E" w:rsidRPr="006A0823" w:rsidRDefault="00BE5F8E" w:rsidP="00BC3AE0">
      <w:pPr>
        <w:rPr>
          <w:lang w:val="en-GB"/>
        </w:rPr>
      </w:pPr>
      <w:r w:rsidRPr="006A0823">
        <w:rPr>
          <w:lang w:val="en-GB"/>
        </w:rPr>
        <w:t>We can the</w:t>
      </w:r>
      <w:r w:rsidR="00936EAA" w:rsidRPr="006A0823">
        <w:rPr>
          <w:lang w:val="en-GB"/>
        </w:rPr>
        <w:t>n</w:t>
      </w:r>
      <w:r w:rsidRPr="006A0823">
        <w:rPr>
          <w:lang w:val="en-GB"/>
        </w:rPr>
        <w:t xml:space="preserve"> write the </w:t>
      </w:r>
      <w:r w:rsidR="00DD4964" w:rsidRPr="006A0823">
        <w:rPr>
          <w:lang w:val="en-GB"/>
        </w:rPr>
        <w:t xml:space="preserve">transmission </w:t>
      </w:r>
      <w:r w:rsidRPr="006A0823">
        <w:rPr>
          <w:lang w:val="en-GB"/>
        </w:rPr>
        <w:t xml:space="preserve">model as </w:t>
      </w:r>
    </w:p>
    <w:p w14:paraId="4099F677" w14:textId="0492A7F3" w:rsidR="00FA6EB2" w:rsidRPr="006A0823" w:rsidRDefault="00000000" w:rsidP="00BC3AE0">
      <w:pPr>
        <w:rPr>
          <w:lang w:val="en-GB"/>
        </w:rPr>
      </w:pPr>
      <m:oMathPara>
        <m:oMath>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x,v,a</m:t>
                  </m:r>
                </m:sub>
              </m:sSub>
            </m:num>
            <m:den>
              <m:r>
                <w:rPr>
                  <w:rFonts w:ascii="Cambria Math" w:hAnsi="Cambria Math"/>
                  <w:lang w:val="en-GB"/>
                </w:rPr>
                <m:t>dt</m:t>
              </m:r>
            </m:den>
          </m:f>
          <m:r>
            <w:rPr>
              <w:rFonts w:ascii="Cambria Math" w:hAnsi="Cambria Math"/>
              <w:lang w:val="en-GB"/>
            </w:rPr>
            <m:t xml:space="preserve">= </m:t>
          </m:r>
          <m:r>
            <m:rPr>
              <m:aln/>
            </m:rPr>
            <w:rPr>
              <w:rFonts w:ascii="Cambria Math" w:hAnsi="Cambria Math"/>
              <w:lang w:val="en-GB"/>
            </w:rPr>
            <m:t>-</m:t>
          </m:r>
          <m:nary>
            <m:naryPr>
              <m:chr m:val="∑"/>
              <m:supHide m:val="1"/>
              <m:ctrlPr>
                <w:rPr>
                  <w:rFonts w:ascii="Cambria Math" w:hAnsi="Cambria Math"/>
                  <w:i/>
                  <w:lang w:val="en-GB"/>
                </w:rPr>
              </m:ctrlPr>
            </m:naryPr>
            <m:sub>
              <m:r>
                <w:rPr>
                  <w:rFonts w:ascii="Cambria Math" w:hAnsi="Cambria Math"/>
                  <w:lang w:val="en-GB"/>
                </w:rPr>
                <m:t>y</m:t>
              </m:r>
            </m:sub>
            <m:sup/>
            <m:e>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y</m:t>
                  </m:r>
                </m:sub>
              </m:sSub>
            </m:e>
          </m:nary>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S</m:t>
                  </m:r>
                </m:e>
              </m:acc>
            </m:e>
            <m:sub>
              <m:r>
                <w:rPr>
                  <w:rFonts w:ascii="Cambria Math" w:hAnsi="Cambria Math"/>
                  <w:lang w:val="en-GB"/>
                </w:rPr>
                <m:t>x,y,v,a</m:t>
              </m:r>
            </m:sub>
          </m:sSub>
          <m:r>
            <m:rPr>
              <m:sty m:val="p"/>
            </m:rPr>
            <w:rPr>
              <w:rFonts w:ascii="Cambria Math" w:hAnsi="Cambria Math"/>
              <w:lang w:val="en-GB"/>
            </w:rPr>
            <w:br/>
          </m:r>
        </m:oMath>
        <m:oMath>
          <m:r>
            <m:rPr>
              <m:aln/>
            </m:rP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x,v-1,a</m:t>
                  </m:r>
                </m:sub>
              </m:sSub>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v,a</m:t>
                  </m:r>
                </m:sub>
              </m:sSub>
            </m:num>
            <m:den>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v-1,a</m:t>
                  </m:r>
                </m:sub>
              </m:sSub>
            </m:den>
          </m:f>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x,v,a</m:t>
                  </m:r>
                </m:sub>
              </m:sSub>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v+1,a</m:t>
                  </m:r>
                </m:sub>
              </m:sSub>
            </m:num>
            <m:den>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v,a</m:t>
                  </m:r>
                </m:sub>
              </m:sSub>
            </m:den>
          </m:f>
          <m:r>
            <m:rPr>
              <m:sty m:val="p"/>
            </m:rPr>
            <w:rPr>
              <w:rFonts w:ascii="Cambria Math" w:hAnsi="Cambria Math"/>
              <w:lang w:val="en-GB"/>
            </w:rPr>
            <w:br/>
          </m:r>
        </m:oMath>
        <m:oMath>
          <m:r>
            <m:rPr>
              <m:aln/>
            </m:rPr>
            <w:rPr>
              <w:rFonts w:ascii="Cambria Math" w:hAnsi="Cambria Math"/>
              <w:lang w:val="en-GB"/>
            </w:rPr>
            <m:t>+γ</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x,v</m:t>
              </m:r>
            </m:sub>
          </m:sSub>
          <m:r>
            <m:rPr>
              <m:sty m:val="p"/>
            </m:rPr>
            <w:rPr>
              <w:rFonts w:ascii="Cambria Math" w:hAnsi="Cambria Math"/>
              <w:lang w:val="en-GB"/>
            </w:rPr>
            <w:br/>
          </m:r>
        </m:oMath>
        <m:oMath>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x,v,a</m:t>
                  </m:r>
                </m:sub>
              </m:sSub>
            </m:num>
            <m:den>
              <m:r>
                <w:rPr>
                  <w:rFonts w:ascii="Cambria Math" w:hAnsi="Cambria Math"/>
                  <w:lang w:val="en-GB"/>
                </w:rPr>
                <m:t>dt</m:t>
              </m:r>
            </m:den>
          </m:f>
          <m:r>
            <w:rPr>
              <w:rFonts w:ascii="Cambria Math" w:hAnsi="Cambria Math"/>
              <w:lang w:val="en-GB"/>
            </w:rPr>
            <m:t>= -</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x</m:t>
              </m:r>
            </m:sub>
          </m:s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x,v,a</m:t>
              </m:r>
            </m:sub>
          </m:sSub>
          <m:r>
            <m:rPr>
              <m:sty m:val="p"/>
            </m:rPr>
            <w:rPr>
              <w:rFonts w:ascii="Cambria Math" w:hAnsi="Cambria Math"/>
              <w:lang w:val="en-GB"/>
            </w:rPr>
            <w:br/>
          </m:r>
        </m:oMath>
        <m:oMath>
          <m:r>
            <m:rPr>
              <m:aln/>
            </m:rP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x</m:t>
              </m:r>
            </m:sub>
          </m:sSub>
          <m:r>
            <w:rPr>
              <w:rFonts w:ascii="Cambria Math" w:hAnsi="Cambria Math"/>
              <w:lang w:val="en-GB"/>
            </w:rPr>
            <m:t xml:space="preserve"> </m:t>
          </m:r>
          <m:nary>
            <m:naryPr>
              <m:chr m:val="∑"/>
              <m:supHide m:val="1"/>
              <m:ctrlPr>
                <w:rPr>
                  <w:rFonts w:ascii="Cambria Math" w:hAnsi="Cambria Math"/>
                  <w:i/>
                  <w:lang w:val="en-GB"/>
                </w:rPr>
              </m:ctrlPr>
            </m:naryPr>
            <m:sub>
              <m:r>
                <w:rPr>
                  <w:rFonts w:ascii="Cambria Math" w:hAnsi="Cambria Math"/>
                  <w:lang w:val="en-GB"/>
                </w:rPr>
                <m:t>y</m:t>
              </m:r>
            </m:sub>
            <m:sup/>
            <m:e>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S</m:t>
                      </m:r>
                    </m:e>
                  </m:acc>
                </m:e>
                <m:sub>
                  <m:r>
                    <w:rPr>
                      <w:rFonts w:ascii="Cambria Math" w:hAnsi="Cambria Math"/>
                      <w:lang w:val="en-GB"/>
                    </w:rPr>
                    <m:t>x,y,v,a</m:t>
                  </m:r>
                </m:sub>
              </m:sSub>
            </m:e>
          </m:nary>
          <m:r>
            <m:rPr>
              <m:sty m:val="p"/>
            </m:rPr>
            <w:rPr>
              <w:rFonts w:ascii="Cambria Math" w:hAnsi="Cambria Math"/>
              <w:lang w:val="en-GB"/>
            </w:rPr>
            <w:br/>
          </m:r>
        </m:oMath>
        <m:oMath>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x,v,a</m:t>
                  </m:r>
                </m:sub>
              </m:sSub>
            </m:num>
            <m:den>
              <m:r>
                <w:rPr>
                  <w:rFonts w:ascii="Cambria Math" w:hAnsi="Cambria Math"/>
                  <w:lang w:val="en-GB"/>
                </w:rPr>
                <m:t>dt</m:t>
              </m:r>
            </m:den>
          </m:f>
          <m:r>
            <w:rPr>
              <w:rFonts w:ascii="Cambria Math" w:hAnsi="Cambria Math"/>
              <w:lang w:val="en-GB"/>
            </w:rPr>
            <m:t xml:space="preserve">= </m:t>
          </m:r>
          <m:r>
            <m:rPr>
              <m:aln/>
            </m:rPr>
            <w:rPr>
              <w:rFonts w:ascii="Cambria Math" w:hAnsi="Cambria Math"/>
              <w:lang w:val="en-GB"/>
            </w:rPr>
            <m:t>-γ</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x,v,a</m:t>
              </m:r>
            </m:sub>
          </m:sSub>
          <m:r>
            <m:rPr>
              <m:sty m:val="p"/>
            </m:rPr>
            <w:rPr>
              <w:rFonts w:ascii="Cambria Math" w:hAnsi="Cambria Math"/>
              <w:lang w:val="en-GB"/>
            </w:rPr>
            <w:br/>
          </m:r>
        </m:oMath>
        <m:oMath>
          <m:r>
            <m:rPr>
              <m:aln/>
            </m:rPr>
            <w:rPr>
              <w:rFonts w:ascii="Cambria Math" w:hAnsi="Cambria Math"/>
              <w:lang w:val="en-GB"/>
            </w:rPr>
            <m:t>+</m:t>
          </m:r>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x</m:t>
              </m:r>
            </m:sub>
          </m:s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x,v,a</m:t>
              </m:r>
            </m:sub>
          </m:sSub>
        </m:oMath>
      </m:oMathPara>
    </w:p>
    <w:p w14:paraId="76D6AB7D" w14:textId="6AF3EDB6" w:rsidR="009C017F" w:rsidRPr="006A0823" w:rsidRDefault="742445BB" w:rsidP="00BC3AE0">
      <w:pPr>
        <w:rPr>
          <w:lang w:val="en-GB"/>
        </w:rPr>
      </w:pPr>
      <w:r w:rsidRPr="006A0823">
        <w:rPr>
          <w:lang w:val="en-GB"/>
        </w:rPr>
        <w:t>All variables in the</w:t>
      </w:r>
      <w:r w:rsidR="70060076" w:rsidRPr="006A0823">
        <w:rPr>
          <w:lang w:val="en-GB"/>
        </w:rPr>
        <w:t>se</w:t>
      </w:r>
      <w:r w:rsidRPr="006A0823">
        <w:rPr>
          <w:lang w:val="en-GB"/>
        </w:rPr>
        <w:t xml:space="preserve"> equations except </w:t>
      </w:r>
      <m:oMath>
        <m:r>
          <w:rPr>
            <w:rFonts w:ascii="Cambria Math" w:hAnsi="Cambria Math"/>
            <w:lang w:val="en-GB"/>
          </w:rPr>
          <m:t>N</m:t>
        </m:r>
      </m:oMath>
      <w:r w:rsidRPr="006A0823">
        <w:rPr>
          <w:lang w:val="en-GB"/>
        </w:rPr>
        <w:t xml:space="preserv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x</m:t>
            </m:r>
          </m:sub>
        </m:sSub>
      </m:oMath>
      <w:r w:rsidRPr="006A0823">
        <w:rPr>
          <w:lang w:val="en-GB"/>
        </w:rPr>
        <w:t xml:space="preserve">, </w:t>
      </w:r>
      <m:oMath>
        <m:r>
          <w:rPr>
            <w:rFonts w:ascii="Cambria Math" w:hAnsi="Cambria Math"/>
            <w:lang w:val="en-GB"/>
          </w:rPr>
          <m:t>γ</m:t>
        </m:r>
      </m:oMath>
      <w:r w:rsidRPr="006A0823">
        <w:rPr>
          <w:lang w:val="en-GB"/>
        </w:rPr>
        <w:t xml:space="preserve">, and </w:t>
      </w:r>
      <m:oMath>
        <m:r>
          <w:rPr>
            <w:rFonts w:ascii="Cambria Math" w:hAnsi="Cambria Math"/>
            <w:lang w:val="en-GB"/>
          </w:rPr>
          <m:t>α</m:t>
        </m:r>
      </m:oMath>
      <w:r w:rsidRPr="006A0823">
        <w:rPr>
          <w:lang w:val="en-GB"/>
        </w:rPr>
        <w:t xml:space="preserve"> depend on time, though we have suppressed t</w:t>
      </w:r>
      <w:r w:rsidR="1A99CCA7" w:rsidRPr="006A0823">
        <w:rPr>
          <w:lang w:val="en-GB"/>
        </w:rPr>
        <w:t xml:space="preserve">hat dependence in the notation. </w:t>
      </w:r>
      <m:oMath>
        <m:r>
          <w:rPr>
            <w:rFonts w:ascii="Cambria Math" w:hAnsi="Cambria Math"/>
            <w:lang w:val="en-GB"/>
          </w:rPr>
          <m:t>N</m:t>
        </m:r>
      </m:oMath>
      <w:r w:rsidR="1A99CCA7" w:rsidRPr="006A0823">
        <w:rPr>
          <w:lang w:val="en-GB"/>
        </w:rPr>
        <w:t xml:space="preserve"> is the total population size of a location and is assumed to be invariant over the duration of the model. The other parameters are defined below, and their distributions are documented in </w:t>
      </w:r>
      <w:r w:rsidR="0034311B" w:rsidRPr="006A0823">
        <w:rPr>
          <w:lang w:val="en-GB"/>
        </w:rPr>
        <w:t>t</w:t>
      </w:r>
      <w:r w:rsidR="1A99CCA7" w:rsidRPr="006A0823">
        <w:rPr>
          <w:lang w:val="en-GB"/>
        </w:rPr>
        <w:t>able</w:t>
      </w:r>
      <w:r w:rsidR="0034311B" w:rsidRPr="006A0823">
        <w:rPr>
          <w:lang w:val="en-GB"/>
        </w:rPr>
        <w:t xml:space="preserve"> S3</w:t>
      </w:r>
      <w:r w:rsidR="1A99CCA7" w:rsidRPr="006A0823">
        <w:rPr>
          <w:lang w:val="en-GB"/>
        </w:rPr>
        <w:t>.</w:t>
      </w:r>
    </w:p>
    <w:p w14:paraId="2CE27567" w14:textId="1AF32B9B" w:rsidR="0056317E" w:rsidRPr="006A0823" w:rsidRDefault="24C21D07" w:rsidP="00BC3AE0">
      <w:pPr>
        <w:rPr>
          <w:lang w:val="en-GB"/>
        </w:rPr>
      </w:pPr>
      <w:r w:rsidRPr="006A0823">
        <w:rPr>
          <w:lang w:val="en-GB"/>
        </w:rPr>
        <w:t>The first equation describes the change in the number of people susceptible based on their prior variant and vaccine exposure and can be broken down into three terms</w:t>
      </w:r>
      <w:r w:rsidR="742445BB" w:rsidRPr="006A0823">
        <w:rPr>
          <w:lang w:val="en-GB"/>
        </w:rPr>
        <w:t xml:space="preserve">. The first term is </w:t>
      </w:r>
      <w:r w:rsidR="62E2C1E0" w:rsidRPr="006A0823">
        <w:rPr>
          <w:lang w:val="en-GB"/>
        </w:rPr>
        <w:t xml:space="preserve">new infections from the particular susceptible compartment due to each variant </w:t>
      </w:r>
      <m:oMath>
        <m:r>
          <w:rPr>
            <w:rFonts w:ascii="Cambria Math" w:hAnsi="Cambria Math"/>
            <w:lang w:val="en-GB"/>
          </w:rPr>
          <m:t>y</m:t>
        </m:r>
      </m:oMath>
      <w:r w:rsidR="742445BB" w:rsidRPr="006A0823">
        <w:rPr>
          <w:lang w:val="en-GB"/>
        </w:rPr>
        <w:t xml:space="preserve"> and has several key factors.</w:t>
      </w:r>
      <w:r w:rsidR="34A605C3" w:rsidRPr="006A0823">
        <w:rPr>
          <w:lang w:val="en-GB"/>
        </w:rPr>
        <w:t xml:space="preserve"> We define</w:t>
      </w:r>
    </w:p>
    <w:p w14:paraId="51FE918B" w14:textId="3BFB916C" w:rsidR="0056317E" w:rsidRPr="006A0823" w:rsidRDefault="00000000" w:rsidP="00BC3AE0">
      <w:pPr>
        <w:rPr>
          <w:lang w:val="en-GB"/>
        </w:rPr>
      </w:pPr>
      <m:oMathPara>
        <m:oMath>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S</m:t>
                  </m:r>
                </m:e>
              </m:acc>
            </m:e>
            <m:sub>
              <m:r>
                <w:rPr>
                  <w:rFonts w:ascii="Cambria Math" w:hAnsi="Cambria Math"/>
                  <w:lang w:val="en-GB"/>
                </w:rPr>
                <m:t>x,y,v,a</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 xml:space="preserve">1- </m:t>
              </m:r>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y,v,a</m:t>
                  </m:r>
                </m:sub>
                <m:sup>
                  <m:r>
                    <w:rPr>
                      <w:rFonts w:ascii="Cambria Math" w:hAnsi="Cambria Math"/>
                      <w:lang w:val="en-GB"/>
                    </w:rPr>
                    <m:t>I</m:t>
                  </m:r>
                </m:sup>
              </m:sSubSup>
            </m:e>
          </m:d>
          <m:d>
            <m:dPr>
              <m:ctrlPr>
                <w:rPr>
                  <w:rFonts w:ascii="Cambria Math" w:hAnsi="Cambria Math"/>
                  <w:i/>
                  <w:lang w:val="en-GB"/>
                </w:rPr>
              </m:ctrlPr>
            </m:dPr>
            <m:e>
              <m:r>
                <w:rPr>
                  <w:rFonts w:ascii="Cambria Math" w:hAnsi="Cambria Math"/>
                  <w:lang w:val="en-GB"/>
                </w:rPr>
                <m:t>1-</m:t>
              </m:r>
              <m:sSubSup>
                <m:sSubSupPr>
                  <m:ctrlPr>
                    <w:rPr>
                      <w:rFonts w:ascii="Cambria Math" w:hAnsi="Cambria Math"/>
                      <w:i/>
                      <w:lang w:val="en-GB"/>
                    </w:rPr>
                  </m:ctrlPr>
                </m:sSubSupPr>
                <m:e>
                  <m:r>
                    <w:rPr>
                      <w:rFonts w:ascii="Cambria Math" w:hAnsi="Cambria Math"/>
                      <w:lang w:val="en-GB"/>
                    </w:rPr>
                    <m:t>χ</m:t>
                  </m:r>
                </m:e>
                <m:sub>
                  <m:r>
                    <w:rPr>
                      <w:rFonts w:ascii="Cambria Math" w:hAnsi="Cambria Math"/>
                      <w:lang w:val="en-GB"/>
                    </w:rPr>
                    <m:t>x,y,a</m:t>
                  </m:r>
                </m:sub>
                <m:sup>
                  <m:r>
                    <w:rPr>
                      <w:rFonts w:ascii="Cambria Math" w:hAnsi="Cambria Math"/>
                      <w:lang w:val="en-GB"/>
                    </w:rPr>
                    <m:t>I</m:t>
                  </m:r>
                </m:sup>
              </m:sSubSup>
            </m:e>
          </m:d>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x,v,a</m:t>
              </m:r>
            </m:sub>
          </m:sSub>
        </m:oMath>
      </m:oMathPara>
    </w:p>
    <w:p w14:paraId="101C0873" w14:textId="0B0D06B0" w:rsidR="0088452D" w:rsidRPr="006A0823" w:rsidRDefault="0056317E" w:rsidP="00BC3AE0">
      <w:pPr>
        <w:rPr>
          <w:lang w:val="en-GB"/>
        </w:rPr>
      </w:pPr>
      <w:r w:rsidRPr="006A0823">
        <w:rPr>
          <w:lang w:val="en-GB"/>
        </w:rPr>
        <w:t xml:space="preserve">as the count of people </w:t>
      </w:r>
      <w:r w:rsidRPr="006A0823">
        <w:rPr>
          <w:lang w:val="en-GB"/>
        </w:rPr>
        <w:softHyphen/>
      </w:r>
      <w:r w:rsidRPr="006A0823">
        <w:rPr>
          <w:i/>
          <w:lang w:val="en-GB"/>
        </w:rPr>
        <w:t>effectively susceptible</w:t>
      </w:r>
      <w:r w:rsidRPr="006A0823">
        <w:rPr>
          <w:lang w:val="en-GB"/>
        </w:rPr>
        <w:t xml:space="preserve"> to variant </w:t>
      </w:r>
      <m:oMath>
        <m:r>
          <w:rPr>
            <w:rFonts w:ascii="Cambria Math" w:hAnsi="Cambria Math"/>
            <w:lang w:val="en-GB"/>
          </w:rPr>
          <m:t>y</m:t>
        </m:r>
      </m:oMath>
      <w:r w:rsidRPr="006A0823">
        <w:rPr>
          <w:lang w:val="en-GB"/>
        </w:rPr>
        <w:t xml:space="preserve"> accounting for prior infection exposure to variant </w:t>
      </w:r>
      <m:oMath>
        <m:r>
          <w:rPr>
            <w:rFonts w:ascii="Cambria Math" w:hAnsi="Cambria Math"/>
            <w:lang w:val="en-GB"/>
          </w:rPr>
          <m:t>x</m:t>
        </m:r>
      </m:oMath>
      <w:r w:rsidRPr="006A0823">
        <w:rPr>
          <w:lang w:val="en-GB"/>
        </w:rPr>
        <w:t xml:space="preserve"> and vaccine exposure </w:t>
      </w:r>
      <m:oMath>
        <m:r>
          <w:rPr>
            <w:rFonts w:ascii="Cambria Math" w:hAnsi="Cambria Math"/>
            <w:lang w:val="en-GB"/>
          </w:rPr>
          <m:t>v</m:t>
        </m:r>
      </m:oMath>
      <w:r w:rsidRPr="006A0823">
        <w:rPr>
          <w:lang w:val="en-GB"/>
        </w:rPr>
        <w:t xml:space="preserve"> in age group </w:t>
      </w:r>
      <m:oMath>
        <m:r>
          <w:rPr>
            <w:rFonts w:ascii="Cambria Math" w:hAnsi="Cambria Math"/>
            <w:lang w:val="en-GB"/>
          </w:rPr>
          <m:t>a</m:t>
        </m:r>
      </m:oMath>
      <w:r w:rsidRPr="006A0823">
        <w:rPr>
          <w:lang w:val="en-GB"/>
        </w:rPr>
        <w:t xml:space="preserve">. </w:t>
      </w:r>
      <w:r w:rsidR="005E4244" w:rsidRPr="006A0823">
        <w:rPr>
          <w:lang w:val="en-GB"/>
        </w:rPr>
        <w:t xml:space="preserve">As described in Section </w:t>
      </w:r>
      <w:r w:rsidR="00636B39" w:rsidRPr="006A0823">
        <w:rPr>
          <w:lang w:val="en-GB"/>
        </w:rPr>
        <w:t>5</w:t>
      </w:r>
      <w:r w:rsidR="1CA699B2" w:rsidRPr="006A0823">
        <w:rPr>
          <w:lang w:val="en-GB"/>
        </w:rPr>
        <w:t>.3.3</w:t>
      </w:r>
      <w:r w:rsidR="005E4244" w:rsidRPr="006A0823">
        <w:rPr>
          <w:lang w:val="en-GB"/>
        </w:rPr>
        <w:t xml:space="preserve">, the factor </w:t>
      </w:r>
      <m:oMath>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x,v,a</m:t>
            </m:r>
          </m:sub>
          <m:sup>
            <m:r>
              <w:rPr>
                <w:rFonts w:ascii="Cambria Math" w:hAnsi="Cambria Math"/>
                <w:lang w:val="en-GB"/>
              </w:rPr>
              <m:t>I</m:t>
            </m:r>
          </m:sup>
        </m:sSubSup>
      </m:oMath>
      <w:r w:rsidR="005E4244" w:rsidRPr="006A0823">
        <w:rPr>
          <w:lang w:val="en-GB"/>
        </w:rPr>
        <w:t xml:space="preserve"> describes the </w:t>
      </w:r>
      <w:r w:rsidR="005B3698" w:rsidRPr="006A0823">
        <w:rPr>
          <w:lang w:val="en-GB"/>
        </w:rPr>
        <w:t xml:space="preserve">average </w:t>
      </w:r>
      <w:r w:rsidR="005E4244" w:rsidRPr="006A0823">
        <w:rPr>
          <w:lang w:val="en-GB"/>
        </w:rPr>
        <w:t xml:space="preserve">proportion reduction in transmission intensity against variant </w:t>
      </w:r>
      <m:oMath>
        <m:r>
          <w:rPr>
            <w:rFonts w:ascii="Cambria Math" w:hAnsi="Cambria Math"/>
            <w:lang w:val="en-GB"/>
          </w:rPr>
          <m:t>x</m:t>
        </m:r>
      </m:oMath>
      <w:r w:rsidR="005E4244" w:rsidRPr="006A0823">
        <w:rPr>
          <w:lang w:val="en-GB"/>
        </w:rPr>
        <w:t xml:space="preserve"> for people who have completed vaccine course </w:t>
      </w:r>
      <m:oMath>
        <m:r>
          <w:rPr>
            <w:rFonts w:ascii="Cambria Math" w:hAnsi="Cambria Math"/>
            <w:lang w:val="en-GB"/>
          </w:rPr>
          <m:t>v</m:t>
        </m:r>
      </m:oMath>
      <w:r w:rsidR="005E4244" w:rsidRPr="006A0823">
        <w:rPr>
          <w:lang w:val="en-GB"/>
        </w:rPr>
        <w:t xml:space="preserve">, accounting for time since vaccination and waning efficacy.  The parallel factor for </w:t>
      </w:r>
      <w:r w:rsidR="005B3698" w:rsidRPr="006A0823">
        <w:rPr>
          <w:lang w:val="en-GB"/>
        </w:rPr>
        <w:t xml:space="preserve">average </w:t>
      </w:r>
      <w:r w:rsidR="005E4244" w:rsidRPr="006A0823">
        <w:rPr>
          <w:lang w:val="en-GB"/>
        </w:rPr>
        <w:t xml:space="preserve">infection-derived protection is </w:t>
      </w:r>
      <m:oMath>
        <m:sSubSup>
          <m:sSubSupPr>
            <m:ctrlPr>
              <w:rPr>
                <w:rFonts w:ascii="Cambria Math" w:hAnsi="Cambria Math"/>
                <w:i/>
                <w:lang w:val="en-GB"/>
              </w:rPr>
            </m:ctrlPr>
          </m:sSubSupPr>
          <m:e>
            <m:r>
              <w:rPr>
                <w:rFonts w:ascii="Cambria Math" w:hAnsi="Cambria Math"/>
                <w:lang w:val="en-GB"/>
              </w:rPr>
              <m:t>χ</m:t>
            </m:r>
          </m:e>
          <m:sub>
            <m:r>
              <w:rPr>
                <w:rFonts w:ascii="Cambria Math" w:hAnsi="Cambria Math"/>
                <w:lang w:val="en-GB"/>
              </w:rPr>
              <m:t>x,y,a</m:t>
            </m:r>
          </m:sub>
          <m:sup>
            <m:r>
              <w:rPr>
                <w:rFonts w:ascii="Cambria Math" w:hAnsi="Cambria Math"/>
                <w:lang w:val="en-GB"/>
              </w:rPr>
              <m:t>I</m:t>
            </m:r>
          </m:sup>
        </m:sSubSup>
      </m:oMath>
      <w:r w:rsidR="005E4244" w:rsidRPr="006A0823">
        <w:rPr>
          <w:lang w:val="en-GB"/>
        </w:rPr>
        <w:t xml:space="preserve"> which represents the proportion reduction in transmission intensity against variant </w:t>
      </w:r>
      <m:oMath>
        <m:r>
          <w:rPr>
            <w:rFonts w:ascii="Cambria Math" w:hAnsi="Cambria Math"/>
            <w:lang w:val="en-GB"/>
          </w:rPr>
          <m:t>y</m:t>
        </m:r>
      </m:oMath>
      <w:r w:rsidR="005E4244" w:rsidRPr="006A0823">
        <w:rPr>
          <w:lang w:val="en-GB"/>
        </w:rPr>
        <w:t xml:space="preserve"> due to prior exposure with variant </w:t>
      </w:r>
      <m:oMath>
        <m:r>
          <w:rPr>
            <w:rFonts w:ascii="Cambria Math" w:hAnsi="Cambria Math"/>
            <w:lang w:val="en-GB"/>
          </w:rPr>
          <m:t>x</m:t>
        </m:r>
      </m:oMath>
      <w:r w:rsidR="005E4244" w:rsidRPr="006A0823">
        <w:rPr>
          <w:lang w:val="en-GB"/>
        </w:rPr>
        <w:t xml:space="preserve">, accounting the time since last exposure. This term is calculated as </w:t>
      </w:r>
    </w:p>
    <w:p w14:paraId="54F65D51" w14:textId="14EAE186" w:rsidR="005E4244" w:rsidRPr="006A0823" w:rsidRDefault="00000000" w:rsidP="00BC3AE0">
      <w:pPr>
        <w:rPr>
          <w:lang w:val="en-GB"/>
        </w:rPr>
      </w:pPr>
      <m:oMathPara>
        <m:oMath>
          <m:sSubSup>
            <m:sSubSupPr>
              <m:ctrlPr>
                <w:rPr>
                  <w:rFonts w:ascii="Cambria Math" w:hAnsi="Cambria Math"/>
                  <w:i/>
                  <w:lang w:val="en-GB"/>
                </w:rPr>
              </m:ctrlPr>
            </m:sSubSupPr>
            <m:e>
              <m:r>
                <w:rPr>
                  <w:rFonts w:ascii="Cambria Math" w:hAnsi="Cambria Math"/>
                  <w:lang w:val="en-GB"/>
                </w:rPr>
                <m:t>χ</m:t>
              </m:r>
            </m:e>
            <m:sub>
              <m:r>
                <w:rPr>
                  <w:rFonts w:ascii="Cambria Math" w:hAnsi="Cambria Math"/>
                  <w:lang w:val="en-GB"/>
                </w:rPr>
                <m:t>x,y,a</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nary>
                <m:naryPr>
                  <m:ctrlPr>
                    <w:rPr>
                      <w:rFonts w:ascii="Cambria Math" w:hAnsi="Cambria Math"/>
                      <w:i/>
                      <w:lang w:val="en-GB"/>
                    </w:rPr>
                  </m:ctrlPr>
                </m:naryPr>
                <m:sub>
                  <m:r>
                    <w:rPr>
                      <w:rFonts w:ascii="Cambria Math" w:hAnsi="Cambria Math"/>
                      <w:lang w:val="en-GB"/>
                    </w:rPr>
                    <m:t>0</m:t>
                  </m:r>
                </m:sub>
                <m:sup>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up>
                <m:e>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x,a</m:t>
                      </m:r>
                    </m:sub>
                    <m:sup>
                      <m:r>
                        <w:rPr>
                          <w:rFonts w:ascii="Cambria Math" w:hAnsi="Cambria Math"/>
                          <w:lang w:val="en-GB"/>
                        </w:rPr>
                        <m:t>+</m:t>
                      </m:r>
                    </m:sup>
                  </m:sSubSup>
                  <m:d>
                    <m:dPr>
                      <m:ctrlPr>
                        <w:rPr>
                          <w:rFonts w:ascii="Cambria Math" w:hAnsi="Cambria Math"/>
                          <w:i/>
                          <w:lang w:val="en-GB"/>
                        </w:rPr>
                      </m:ctrlPr>
                    </m:dPr>
                    <m:e>
                      <m:r>
                        <w:rPr>
                          <w:rFonts w:ascii="Cambria Math" w:hAnsi="Cambria Math"/>
                          <w:lang w:val="en-GB"/>
                        </w:rPr>
                        <m:t>t- τ</m:t>
                      </m:r>
                    </m:e>
                  </m:d>
                  <m:sSubSup>
                    <m:sSubSupPr>
                      <m:ctrlPr>
                        <w:rPr>
                          <w:rFonts w:ascii="Cambria Math" w:hAnsi="Cambria Math"/>
                          <w:i/>
                          <w:lang w:val="en-GB"/>
                        </w:rPr>
                      </m:ctrlPr>
                    </m:sSubSupPr>
                    <m:e>
                      <m:r>
                        <w:rPr>
                          <w:rFonts w:ascii="Cambria Math" w:hAnsi="Cambria Math"/>
                          <w:lang w:val="en-GB"/>
                        </w:rPr>
                        <m:t>φ</m:t>
                      </m:r>
                    </m:e>
                    <m:sub>
                      <m:r>
                        <w:rPr>
                          <w:rFonts w:ascii="Cambria Math" w:hAnsi="Cambria Math"/>
                          <w:lang w:val="en-GB"/>
                        </w:rPr>
                        <m:t>x,y</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τ</m:t>
                      </m:r>
                    </m:e>
                  </m:d>
                  <m:r>
                    <w:rPr>
                      <w:rFonts w:ascii="Cambria Math" w:hAnsi="Cambria Math"/>
                      <w:lang w:val="en-GB"/>
                    </w:rPr>
                    <m:t>dτ</m:t>
                  </m:r>
                </m:e>
              </m:nary>
            </m:num>
            <m:den>
              <m:nary>
                <m:naryPr>
                  <m:ctrlPr>
                    <w:rPr>
                      <w:rFonts w:ascii="Cambria Math" w:hAnsi="Cambria Math"/>
                      <w:i/>
                      <w:lang w:val="en-GB"/>
                    </w:rPr>
                  </m:ctrlPr>
                </m:naryPr>
                <m:sub>
                  <m:r>
                    <w:rPr>
                      <w:rFonts w:ascii="Cambria Math" w:hAnsi="Cambria Math"/>
                      <w:lang w:val="en-GB"/>
                    </w:rPr>
                    <m:t>0</m:t>
                  </m:r>
                </m:sub>
                <m:sup>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up>
                <m:e>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x, a</m:t>
                      </m:r>
                    </m:sub>
                    <m:sup>
                      <m:r>
                        <w:rPr>
                          <w:rFonts w:ascii="Cambria Math" w:hAnsi="Cambria Math"/>
                          <w:lang w:val="en-GB"/>
                        </w:rPr>
                        <m:t>+</m:t>
                      </m:r>
                    </m:sup>
                  </m:sSubSup>
                  <m:d>
                    <m:dPr>
                      <m:ctrlPr>
                        <w:rPr>
                          <w:rFonts w:ascii="Cambria Math" w:hAnsi="Cambria Math"/>
                          <w:i/>
                          <w:lang w:val="en-GB"/>
                        </w:rPr>
                      </m:ctrlPr>
                    </m:dPr>
                    <m:e>
                      <m:r>
                        <w:rPr>
                          <w:rFonts w:ascii="Cambria Math" w:hAnsi="Cambria Math"/>
                          <w:lang w:val="en-GB"/>
                        </w:rPr>
                        <m:t>t- τ</m:t>
                      </m:r>
                    </m:e>
                  </m:d>
                  <m:r>
                    <w:rPr>
                      <w:rFonts w:ascii="Cambria Math" w:hAnsi="Cambria Math"/>
                      <w:lang w:val="en-GB"/>
                    </w:rPr>
                    <m:t>dτ</m:t>
                  </m:r>
                </m:e>
              </m:nary>
            </m:den>
          </m:f>
        </m:oMath>
      </m:oMathPara>
    </w:p>
    <w:p w14:paraId="70DCA0FE" w14:textId="07BC544F" w:rsidR="00B673C4" w:rsidRPr="006A0823" w:rsidRDefault="00B673C4" w:rsidP="00BC3AE0">
      <w:pPr>
        <w:rPr>
          <w:lang w:val="en-GB"/>
        </w:rPr>
      </w:pPr>
      <w:r w:rsidRPr="006A0823">
        <w:rPr>
          <w:lang w:val="en-GB"/>
        </w:rPr>
        <w:t xml:space="preserve">where </w:t>
      </w:r>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x,a</m:t>
            </m:r>
          </m:sub>
          <m:sup>
            <m:r>
              <w:rPr>
                <w:rFonts w:ascii="Cambria Math" w:hAnsi="Cambria Math"/>
                <w:lang w:val="en-GB"/>
              </w:rPr>
              <m:t>+</m:t>
            </m:r>
          </m:sup>
        </m:sSubSup>
        <m:r>
          <w:rPr>
            <w:rFonts w:ascii="Cambria Math" w:hAnsi="Cambria Math"/>
            <w:lang w:val="en-GB"/>
          </w:rPr>
          <m:t>(t)</m:t>
        </m:r>
      </m:oMath>
      <w:r w:rsidRPr="006A0823">
        <w:rPr>
          <w:lang w:val="en-GB"/>
        </w:rPr>
        <w:t xml:space="preserve"> are new infections of variant </w:t>
      </w:r>
      <m:oMath>
        <m:r>
          <w:rPr>
            <w:rFonts w:ascii="Cambria Math" w:hAnsi="Cambria Math"/>
            <w:lang w:val="en-GB"/>
          </w:rPr>
          <m:t>x</m:t>
        </m:r>
      </m:oMath>
      <w:r w:rsidRPr="006A0823">
        <w:rPr>
          <w:lang w:val="en-GB"/>
        </w:rPr>
        <w:t xml:space="preserve"> </w:t>
      </w:r>
      <w:r w:rsidR="007A3C41" w:rsidRPr="006A0823">
        <w:rPr>
          <w:lang w:val="en-GB"/>
        </w:rPr>
        <w:t xml:space="preserve">in age group </w:t>
      </w:r>
      <m:oMath>
        <m:r>
          <w:rPr>
            <w:rFonts w:ascii="Cambria Math" w:hAnsi="Cambria Math"/>
            <w:lang w:val="en-GB"/>
          </w:rPr>
          <m:t>a</m:t>
        </m:r>
      </m:oMath>
      <w:r w:rsidR="005B3698" w:rsidRPr="006A0823">
        <w:rPr>
          <w:lang w:val="en-GB"/>
        </w:rPr>
        <w:t xml:space="preserve">, </w:t>
      </w:r>
      <m:oMath>
        <m:sSubSup>
          <m:sSubSupPr>
            <m:ctrlPr>
              <w:rPr>
                <w:rFonts w:ascii="Cambria Math" w:hAnsi="Cambria Math"/>
                <w:i/>
                <w:lang w:val="en-GB"/>
              </w:rPr>
            </m:ctrlPr>
          </m:sSubSupPr>
          <m:e>
            <m:r>
              <w:rPr>
                <w:rFonts w:ascii="Cambria Math" w:hAnsi="Cambria Math"/>
                <w:lang w:val="en-GB"/>
              </w:rPr>
              <m:t>φ</m:t>
            </m:r>
          </m:e>
          <m:sub>
            <m:r>
              <w:rPr>
                <w:rFonts w:ascii="Cambria Math" w:hAnsi="Cambria Math"/>
                <w:lang w:val="en-GB"/>
              </w:rPr>
              <m:t>x,y</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t</m:t>
            </m:r>
          </m:e>
        </m:d>
      </m:oMath>
      <w:r w:rsidR="005B3698" w:rsidRPr="006A0823">
        <w:rPr>
          <w:lang w:val="en-GB"/>
        </w:rPr>
        <w:t xml:space="preserve"> is the waning infection-derived protection of an individual with prior exposure to variant </w:t>
      </w:r>
      <m:oMath>
        <m:r>
          <w:rPr>
            <w:rFonts w:ascii="Cambria Math" w:hAnsi="Cambria Math"/>
            <w:lang w:val="en-GB"/>
          </w:rPr>
          <m:t>x</m:t>
        </m:r>
      </m:oMath>
      <w:r w:rsidR="005B3698" w:rsidRPr="006A0823">
        <w:rPr>
          <w:lang w:val="en-GB"/>
        </w:rPr>
        <w:t xml:space="preserve"> being challenged with variant </w:t>
      </w:r>
      <m:oMath>
        <m:r>
          <w:rPr>
            <w:rFonts w:ascii="Cambria Math" w:hAnsi="Cambria Math"/>
            <w:lang w:val="en-GB"/>
          </w:rPr>
          <m:t>y</m:t>
        </m:r>
      </m:oMath>
      <w:r w:rsidR="005B3698" w:rsidRPr="006A0823">
        <w:rPr>
          <w:lang w:val="en-GB"/>
        </w:rPr>
        <w:t xml:space="preserve"> as a function of time since last exposure,</w:t>
      </w:r>
      <w:r w:rsidRPr="006A0823">
        <w:rPr>
          <w:lang w:val="en-GB"/>
        </w:rPr>
        <w:t xml:space="preserve"> and </w:t>
      </w:r>
    </w:p>
    <w:p w14:paraId="1CFC332E" w14:textId="719B6060" w:rsidR="00B673C4" w:rsidRPr="006A0823" w:rsidRDefault="00000000" w:rsidP="00BC3AE0">
      <w:pPr>
        <w:rPr>
          <w:lang w:val="en-GB"/>
        </w:rPr>
      </w:pPr>
      <m:oMathPara>
        <m:oMath>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r>
            <w:rPr>
              <w:rFonts w:ascii="Cambria Math" w:hAnsi="Cambria Math"/>
              <w:lang w:val="en-GB"/>
            </w:rPr>
            <m:t>=</m:t>
          </m:r>
          <m:func>
            <m:funcPr>
              <m:ctrlPr>
                <w:rPr>
                  <w:rFonts w:ascii="Cambria Math" w:hAnsi="Cambria Math"/>
                  <w:i/>
                  <w:lang w:val="en-GB"/>
                </w:rPr>
              </m:ctrlPr>
            </m:funcPr>
            <m:fName>
              <m:r>
                <w:rPr>
                  <w:rFonts w:ascii="Cambria Math" w:hAnsi="Cambria Math"/>
                  <w:lang w:val="en-GB"/>
                </w:rPr>
                <m:t>ma</m:t>
              </m:r>
              <m:sSub>
                <m:sSubPr>
                  <m:ctrlPr>
                    <w:rPr>
                      <w:rFonts w:ascii="Cambria Math" w:hAnsi="Cambria Math"/>
                      <w:i/>
                      <w:lang w:val="en-GB"/>
                    </w:rPr>
                  </m:ctrlPr>
                </m:sSubPr>
                <m:e>
                  <m:r>
                    <w:rPr>
                      <w:rFonts w:ascii="Cambria Math" w:hAnsi="Cambria Math"/>
                      <w:lang w:val="en-GB"/>
                    </w:rPr>
                    <m:t>x</m:t>
                  </m:r>
                </m:e>
                <m: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ub>
              </m:sSub>
            </m:fName>
            <m:e>
              <m:d>
                <m:dPr>
                  <m:begChr m:val="{"/>
                  <m:endChr m:val="}"/>
                  <m:ctrlPr>
                    <w:rPr>
                      <w:rFonts w:ascii="Cambria Math" w:hAnsi="Cambria Math"/>
                      <w:i/>
                      <w:lang w:val="en-GB"/>
                    </w:rPr>
                  </m:ctrlPr>
                </m:dPr>
                <m:e>
                  <m:nary>
                    <m:naryPr>
                      <m:ctrlPr>
                        <w:rPr>
                          <w:rFonts w:ascii="Cambria Math" w:hAnsi="Cambria Math"/>
                          <w:i/>
                          <w:lang w:val="en-GB"/>
                        </w:rPr>
                      </m:ctrlPr>
                    </m:naryPr>
                    <m:sub>
                      <m:r>
                        <w:rPr>
                          <w:rFonts w:ascii="Cambria Math" w:hAnsi="Cambria Math"/>
                          <w:lang w:val="en-GB"/>
                        </w:rPr>
                        <m:t>0</m:t>
                      </m:r>
                    </m:sub>
                    <m:sup>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up>
                    <m:e>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x,a</m:t>
                          </m:r>
                        </m:sub>
                        <m:sup>
                          <m:r>
                            <w:rPr>
                              <w:rFonts w:ascii="Cambria Math" w:hAnsi="Cambria Math"/>
                              <w:lang w:val="en-GB"/>
                            </w:rPr>
                            <m:t>+</m:t>
                          </m:r>
                        </m:sup>
                      </m:sSubSup>
                      <m:d>
                        <m:dPr>
                          <m:ctrlPr>
                            <w:rPr>
                              <w:rFonts w:ascii="Cambria Math" w:hAnsi="Cambria Math"/>
                              <w:i/>
                              <w:lang w:val="en-GB"/>
                            </w:rPr>
                          </m:ctrlPr>
                        </m:dPr>
                        <m:e>
                          <m:r>
                            <w:rPr>
                              <w:rFonts w:ascii="Cambria Math" w:hAnsi="Cambria Math"/>
                              <w:lang w:val="en-GB"/>
                            </w:rPr>
                            <m:t>t- τ</m:t>
                          </m:r>
                        </m:e>
                      </m:d>
                      <m:r>
                        <w:rPr>
                          <w:rFonts w:ascii="Cambria Math" w:hAnsi="Cambria Math"/>
                          <w:lang w:val="en-GB"/>
                        </w:rPr>
                        <m:t xml:space="preserve">dτ </m:t>
                      </m:r>
                    </m:e>
                  </m:nary>
                  <m:r>
                    <w:rPr>
                      <w:rFonts w:ascii="Cambria Math" w:hAnsi="Cambria Math"/>
                      <w:lang w:val="en-GB"/>
                    </w:rPr>
                    <m:t>&lt;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 a</m:t>
                      </m:r>
                    </m:sub>
                  </m:sSub>
                  <m:r>
                    <w:rPr>
                      <w:rFonts w:ascii="Cambria Math" w:hAnsi="Cambria Math"/>
                      <w:lang w:val="en-GB"/>
                    </w:rPr>
                    <m:t>(t)</m:t>
                  </m:r>
                </m:e>
              </m:d>
            </m:e>
          </m:func>
          <m:r>
            <m:rPr>
              <m:sty m:val="p"/>
            </m:rPr>
            <w:rPr>
              <w:rFonts w:ascii="Cambria Math" w:hAnsi="Cambria Math"/>
              <w:lang w:val="en-GB"/>
            </w:rPr>
            <w:softHyphen/>
          </m:r>
        </m:oMath>
      </m:oMathPara>
    </w:p>
    <w:p w14:paraId="25F2200F" w14:textId="1E66B018" w:rsidR="00BF7268" w:rsidRPr="006A0823" w:rsidRDefault="00D07C2E" w:rsidP="00BC3AE0">
      <w:pPr>
        <w:rPr>
          <w:lang w:val="en-GB"/>
        </w:rPr>
      </w:pPr>
      <w:r w:rsidRPr="006A0823">
        <w:rPr>
          <w:lang w:val="en-GB"/>
        </w:rPr>
        <w:t>a</w:t>
      </w:r>
      <w:r w:rsidR="000834BB" w:rsidRPr="006A0823">
        <w:rPr>
          <w:lang w:val="en-GB"/>
        </w:rPr>
        <w:t>nd represents an assumption that individuals who were infected the furthest in the past are the ones who will be next infected within each susceptible compartment. Th</w:t>
      </w:r>
      <w:r w:rsidR="005B3698" w:rsidRPr="006A0823">
        <w:rPr>
          <w:lang w:val="en-GB"/>
        </w:rPr>
        <w:t xml:space="preserve">is assumption and the assumption that </w:t>
      </w:r>
      <m:oMath>
        <m:r>
          <w:rPr>
            <w:rFonts w:ascii="Cambria Math" w:hAnsi="Cambria Math"/>
            <w:lang w:val="en-GB"/>
          </w:rPr>
          <m:t>χ</m:t>
        </m:r>
      </m:oMath>
      <w:r w:rsidR="005B3698" w:rsidRPr="006A0823">
        <w:rPr>
          <w:lang w:val="en-GB"/>
        </w:rPr>
        <w:t xml:space="preserve"> is independent of vaccine round </w:t>
      </w:r>
      <w:r w:rsidR="000834BB" w:rsidRPr="006A0823">
        <w:rPr>
          <w:lang w:val="en-GB"/>
        </w:rPr>
        <w:t>w</w:t>
      </w:r>
      <w:r w:rsidR="005B3698" w:rsidRPr="006A0823">
        <w:rPr>
          <w:lang w:val="en-GB"/>
        </w:rPr>
        <w:t>ere</w:t>
      </w:r>
      <w:r w:rsidR="000834BB" w:rsidRPr="006A0823">
        <w:rPr>
          <w:lang w:val="en-GB"/>
        </w:rPr>
        <w:t xml:space="preserve"> made to </w:t>
      </w:r>
      <w:r w:rsidR="005B3698" w:rsidRPr="006A0823">
        <w:rPr>
          <w:lang w:val="en-GB"/>
        </w:rPr>
        <w:t xml:space="preserve">make the model computationally tractable. </w:t>
      </w:r>
      <w:r w:rsidR="00BF7268" w:rsidRPr="006A0823">
        <w:rPr>
          <w:lang w:val="en-GB"/>
        </w:rPr>
        <w:t xml:space="preserve">We also define </w:t>
      </w:r>
    </w:p>
    <w:p w14:paraId="20911DFF" w14:textId="1A8FDFAE" w:rsidR="00BF7268" w:rsidRPr="006A0823" w:rsidRDefault="00000000" w:rsidP="00BC3AE0">
      <w:pPr>
        <w:rPr>
          <w:lang w:val="en-GB"/>
        </w:rPr>
      </w:pPr>
      <m:oMathPara>
        <m:oMath>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y</m:t>
              </m:r>
            </m:sub>
          </m:sSub>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y</m:t>
                  </m:r>
                </m:sub>
                <m:sup>
                  <m:r>
                    <w:rPr>
                      <w:rFonts w:ascii="Cambria Math" w:hAnsi="Cambria Math"/>
                      <w:lang w:val="en-GB"/>
                    </w:rPr>
                    <m:t>I</m:t>
                  </m:r>
                </m:sup>
              </m:sSubSup>
              <m:r>
                <w:rPr>
                  <w:rFonts w:ascii="Cambria Math" w:hAnsi="Cambria Math"/>
                  <w:lang w:val="en-GB"/>
                </w:rPr>
                <m:t>β</m:t>
              </m:r>
            </m:num>
            <m:den>
              <m:r>
                <w:rPr>
                  <w:rFonts w:ascii="Cambria Math" w:hAnsi="Cambria Math"/>
                  <w:lang w:val="en-GB"/>
                </w:rPr>
                <m:t>N</m:t>
              </m:r>
            </m:den>
          </m:f>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y</m:t>
              </m:r>
            </m:sub>
            <m:sup>
              <m:r>
                <w:rPr>
                  <w:rFonts w:ascii="Cambria Math" w:hAnsi="Cambria Math"/>
                  <w:lang w:val="en-GB"/>
                </w:rPr>
                <m:t>α</m:t>
              </m:r>
            </m:sup>
          </m:sSubSup>
        </m:oMath>
      </m:oMathPara>
    </w:p>
    <w:p w14:paraId="72104308" w14:textId="6F9D631B" w:rsidR="007A3C41" w:rsidRPr="006A0823" w:rsidRDefault="00D07C2E" w:rsidP="00BC3AE0">
      <w:pPr>
        <w:rPr>
          <w:lang w:val="en-GB"/>
        </w:rPr>
      </w:pPr>
      <w:r w:rsidRPr="006A0823">
        <w:rPr>
          <w:lang w:val="en-GB"/>
        </w:rPr>
        <w:t xml:space="preserve">which </w:t>
      </w:r>
      <w:r w:rsidR="00BF7268" w:rsidRPr="006A0823">
        <w:rPr>
          <w:lang w:val="en-GB"/>
        </w:rPr>
        <w:t xml:space="preserve">can then be interpreted as the force of infection due to variant </w:t>
      </w:r>
      <m:oMath>
        <m:r>
          <w:rPr>
            <w:rFonts w:ascii="Cambria Math" w:hAnsi="Cambria Math"/>
            <w:lang w:val="en-GB"/>
          </w:rPr>
          <m:t>x</m:t>
        </m:r>
      </m:oMath>
      <w:r w:rsidR="00BF7268" w:rsidRPr="006A0823">
        <w:rPr>
          <w:lang w:val="en-GB"/>
        </w:rPr>
        <w:t xml:space="preserve"> among the effectively susceptible. The most important term in this equation for our model is the time-varying transmission intensity </w:t>
      </w:r>
      <m:oMath>
        <m:r>
          <w:rPr>
            <w:rFonts w:ascii="Cambria Math" w:hAnsi="Cambria Math"/>
            <w:lang w:val="en-GB"/>
          </w:rPr>
          <m:t>β</m:t>
        </m:r>
      </m:oMath>
      <w:r w:rsidR="00BF7268" w:rsidRPr="006A0823">
        <w:rPr>
          <w:lang w:val="en-GB"/>
        </w:rPr>
        <w:t xml:space="preserve">. It is constructed to be independent of prior COVID exposure, vaccine status, age, and the variant an individual is being challenged with so that we can link it to other model drivers like </w:t>
      </w:r>
      <w:r w:rsidR="00877004" w:rsidRPr="006A0823">
        <w:rPr>
          <w:lang w:val="en-GB"/>
        </w:rPr>
        <w:t>mandate levels</w:t>
      </w:r>
      <w:r w:rsidR="00BF7268" w:rsidRPr="006A0823">
        <w:rPr>
          <w:lang w:val="en-GB"/>
        </w:rPr>
        <w:t xml:space="preserve">, mask usage, and seasonality. </w:t>
      </w:r>
      <w:r w:rsidR="00C405E2" w:rsidRPr="006A0823">
        <w:rPr>
          <w:lang w:val="en-GB"/>
        </w:rPr>
        <w:t>The</w:t>
      </w:r>
      <w:r w:rsidR="00BF7268" w:rsidRPr="006A0823">
        <w:rPr>
          <w:lang w:val="en-GB"/>
        </w:rPr>
        <w:t xml:space="preserve"> relationships </w:t>
      </w:r>
      <w:r w:rsidR="00C405E2" w:rsidRPr="006A0823">
        <w:rPr>
          <w:lang w:val="en-GB"/>
        </w:rPr>
        <w:t xml:space="preserve">with vaccination and prior COVID exposure are </w:t>
      </w:r>
      <w:r w:rsidR="00BF7268" w:rsidRPr="006A0823">
        <w:rPr>
          <w:lang w:val="en-GB"/>
        </w:rPr>
        <w:t xml:space="preserve">captured in the </w:t>
      </w:r>
      <w:r w:rsidR="00C405E2" w:rsidRPr="006A0823">
        <w:rPr>
          <w:lang w:val="en-GB"/>
        </w:rPr>
        <w:t xml:space="preserve">definition of effectively susceptible. Then, </w:t>
      </w:r>
      <m:oMath>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y</m:t>
            </m:r>
          </m:sub>
          <m:sup>
            <m:r>
              <w:rPr>
                <w:rFonts w:ascii="Cambria Math" w:hAnsi="Cambria Math"/>
                <w:lang w:val="en-GB"/>
              </w:rPr>
              <m:t>I</m:t>
            </m:r>
          </m:sup>
        </m:sSubSup>
      </m:oMath>
      <w:r w:rsidR="00BF7268" w:rsidRPr="006A0823">
        <w:rPr>
          <w:lang w:val="en-GB"/>
        </w:rPr>
        <w:t xml:space="preserve"> represents the increase in transmission </w:t>
      </w:r>
      <w:r w:rsidR="00C405E2" w:rsidRPr="006A0823">
        <w:rPr>
          <w:lang w:val="en-GB"/>
        </w:rPr>
        <w:t xml:space="preserve">intensity of variant </w:t>
      </w:r>
      <m:oMath>
        <m:r>
          <w:rPr>
            <w:rFonts w:ascii="Cambria Math" w:hAnsi="Cambria Math"/>
            <w:lang w:val="en-GB"/>
          </w:rPr>
          <m:t xml:space="preserve">y </m:t>
        </m:r>
      </m:oMath>
      <w:r w:rsidR="00BF7268" w:rsidRPr="006A0823">
        <w:rPr>
          <w:lang w:val="en-GB"/>
        </w:rPr>
        <w:t>relative to Ancestral COVID</w:t>
      </w:r>
      <w:r w:rsidR="00C405E2" w:rsidRPr="006A0823">
        <w:rPr>
          <w:lang w:val="en-GB"/>
        </w:rPr>
        <w:t xml:space="preserve"> </w:t>
      </w:r>
      <w:r w:rsidR="006E7F50" w:rsidRPr="006A0823">
        <w:rPr>
          <w:lang w:val="en-GB"/>
        </w:rPr>
        <w:t xml:space="preserve">and is time-invariant, </w:t>
      </w:r>
      <w:r w:rsidR="00C405E2" w:rsidRPr="006A0823">
        <w:rPr>
          <w:lang w:val="en-GB"/>
        </w:rPr>
        <w:t>and</w:t>
      </w:r>
      <w:r w:rsidR="0022011A" w:rsidRPr="006A0823">
        <w:rPr>
          <w:lang w:val="en-GB"/>
        </w:rPr>
        <w:t xml:space="preserve"> </w:t>
      </w:r>
      <m:oMath>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y</m:t>
            </m:r>
          </m:sub>
          <m:sup>
            <m:r>
              <w:rPr>
                <w:rFonts w:ascii="Cambria Math" w:hAnsi="Cambria Math"/>
                <w:lang w:val="en-GB"/>
              </w:rPr>
              <m:t>α</m:t>
            </m:r>
          </m:sup>
        </m:sSubSup>
      </m:oMath>
      <w:r w:rsidR="0022011A" w:rsidRPr="006A0823">
        <w:rPr>
          <w:lang w:val="en-GB"/>
        </w:rPr>
        <w:t xml:space="preserve"> </w:t>
      </w:r>
      <w:r w:rsidR="00C405E2" w:rsidRPr="006A0823">
        <w:rPr>
          <w:lang w:val="en-GB"/>
        </w:rPr>
        <w:t>describes</w:t>
      </w:r>
      <w:r w:rsidR="0022011A" w:rsidRPr="006A0823">
        <w:rPr>
          <w:lang w:val="en-GB"/>
        </w:rPr>
        <w:t xml:space="preserve"> count of people currently infectious and spreading variant </w:t>
      </w:r>
      <m:oMath>
        <m:r>
          <w:rPr>
            <w:rFonts w:ascii="Cambria Math" w:hAnsi="Cambria Math"/>
            <w:lang w:val="en-GB"/>
          </w:rPr>
          <m:t>y</m:t>
        </m:r>
      </m:oMath>
      <w:r w:rsidR="00C405E2" w:rsidRPr="006A0823">
        <w:rPr>
          <w:lang w:val="en-GB"/>
        </w:rPr>
        <w:t>. This last term</w:t>
      </w:r>
      <w:r w:rsidR="0022011A" w:rsidRPr="006A0823">
        <w:rPr>
          <w:lang w:val="en-GB"/>
        </w:rPr>
        <w:t xml:space="preserve"> scaled down by a factor </w:t>
      </w:r>
      <m:oMath>
        <m:r>
          <w:rPr>
            <w:rFonts w:ascii="Cambria Math" w:hAnsi="Cambria Math"/>
            <w:lang w:val="en-GB"/>
          </w:rPr>
          <m:t>α</m:t>
        </m:r>
      </m:oMath>
      <w:r w:rsidR="0022011A" w:rsidRPr="006A0823">
        <w:rPr>
          <w:lang w:val="en-GB"/>
        </w:rPr>
        <w:t xml:space="preserve"> which is used to account for imperfect mixing of population groups. </w:t>
      </w:r>
    </w:p>
    <w:p w14:paraId="24F2A47B" w14:textId="3B73F41D" w:rsidR="002B30BF" w:rsidRPr="006A0823" w:rsidRDefault="004009A3" w:rsidP="00BC3AE0">
      <w:pPr>
        <w:rPr>
          <w:lang w:val="en-GB"/>
        </w:rPr>
      </w:pPr>
      <w:r w:rsidRPr="006A0823">
        <w:rPr>
          <w:lang w:val="en-GB"/>
        </w:rPr>
        <w:t xml:space="preserve">The second term in the first equation </w:t>
      </w:r>
      <w:r w:rsidR="00D07C2E" w:rsidRPr="006A0823">
        <w:rPr>
          <w:lang w:val="en-GB"/>
        </w:rPr>
        <w:t xml:space="preserve">for </w:t>
      </w:r>
      <m:oMath>
        <m:f>
          <m:fPr>
            <m:ctrlPr>
              <w:rPr>
                <w:rFonts w:ascii="Cambria Math" w:hAnsi="Cambria Math"/>
                <w:i/>
                <w:lang w:val="en-GB"/>
              </w:rPr>
            </m:ctrlPr>
          </m:fPr>
          <m:num>
            <m:r>
              <w:rPr>
                <w:rFonts w:ascii="Cambria Math" w:hAnsi="Cambria Math"/>
                <w:lang w:val="en-GB"/>
              </w:rPr>
              <m:t>dS</m:t>
            </m:r>
          </m:num>
          <m:den>
            <m:r>
              <w:rPr>
                <w:rFonts w:ascii="Cambria Math" w:hAnsi="Cambria Math"/>
                <w:lang w:val="en-GB"/>
              </w:rPr>
              <m:t>dt</m:t>
            </m:r>
          </m:den>
        </m:f>
      </m:oMath>
      <w:r w:rsidR="00D07C2E" w:rsidRPr="006A0823">
        <w:rPr>
          <w:lang w:val="en-GB"/>
        </w:rPr>
        <w:t xml:space="preserve"> </w:t>
      </w:r>
      <w:r w:rsidRPr="006A0823">
        <w:rPr>
          <w:lang w:val="en-GB"/>
        </w:rPr>
        <w:t>represents entrances and exits from the susceptible compartment due to changes in vaccine status.  Vaccine delivery is age specific</w:t>
      </w:r>
      <w:r w:rsidR="00824479" w:rsidRPr="006A0823">
        <w:rPr>
          <w:lang w:val="en-GB"/>
        </w:rPr>
        <w:t xml:space="preserve"> b</w:t>
      </w:r>
      <w:r w:rsidRPr="006A0823">
        <w:rPr>
          <w:lang w:val="en-GB"/>
        </w:rPr>
        <w:t>ut assumed to be independent of prior COVID</w:t>
      </w:r>
      <w:r w:rsidR="00824479" w:rsidRPr="006A0823">
        <w:rPr>
          <w:lang w:val="en-GB"/>
        </w:rPr>
        <w:t xml:space="preserve"> exposure. This means that the count of new entrances into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x,v,a</m:t>
            </m:r>
          </m:sub>
        </m:sSub>
      </m:oMath>
      <w:r w:rsidR="00824479" w:rsidRPr="006A0823">
        <w:rPr>
          <w:lang w:val="en-GB"/>
        </w:rPr>
        <w:t xml:space="preserve">  due to vaccination the total number of vaccines of round </w:t>
      </w:r>
      <m:oMath>
        <m:r>
          <w:rPr>
            <w:rFonts w:ascii="Cambria Math" w:hAnsi="Cambria Math"/>
            <w:lang w:val="en-GB"/>
          </w:rPr>
          <m:t>v</m:t>
        </m:r>
      </m:oMath>
      <w:r w:rsidR="00824479" w:rsidRPr="006A0823">
        <w:rPr>
          <w:lang w:val="en-GB"/>
        </w:rPr>
        <w:t xml:space="preserve"> delivered to age group </w:t>
      </w:r>
      <m:oMath>
        <m:r>
          <w:rPr>
            <w:rFonts w:ascii="Cambria Math" w:hAnsi="Cambria Math"/>
            <w:lang w:val="en-GB"/>
          </w:rPr>
          <m:t xml:space="preserve">a </m:t>
        </m:r>
      </m:oMath>
      <w:r w:rsidR="00865CA3" w:rsidRPr="006A0823">
        <w:rPr>
          <w:lang w:val="en-GB"/>
        </w:rPr>
        <w:t xml:space="preserve">, </w:t>
      </w:r>
      <m:oMath>
        <m:sSub>
          <m:sSubPr>
            <m:ctrlPr>
              <w:rPr>
                <w:rFonts w:ascii="Cambria Math" w:hAnsi="Cambria Math"/>
                <w:i/>
                <w:lang w:val="en-GB"/>
              </w:rPr>
            </m:ctrlPr>
          </m:sSubPr>
          <m:e>
            <m:r>
              <w:rPr>
                <w:rFonts w:ascii="Cambria Math" w:hAnsi="Cambria Math"/>
                <w:lang w:val="en-GB"/>
              </w:rPr>
              <m:t>ψ</m:t>
            </m:r>
          </m:e>
          <m:sub>
            <m:r>
              <w:rPr>
                <w:rFonts w:ascii="Cambria Math" w:hAnsi="Cambria Math"/>
                <w:lang w:val="en-GB"/>
              </w:rPr>
              <m:t>v,a</m:t>
            </m:r>
          </m:sub>
        </m:sSub>
        <m:r>
          <w:rPr>
            <w:rFonts w:ascii="Cambria Math" w:hAnsi="Cambria Math"/>
            <w:lang w:val="en-GB"/>
          </w:rPr>
          <m:t xml:space="preserve"> </m:t>
        </m:r>
      </m:oMath>
      <w:r w:rsidR="00865CA3" w:rsidRPr="006A0823">
        <w:rPr>
          <w:lang w:val="en-GB"/>
        </w:rPr>
        <w:t xml:space="preserve">, </w:t>
      </w:r>
      <w:r w:rsidR="00824479" w:rsidRPr="006A0823">
        <w:rPr>
          <w:lang w:val="en-GB"/>
        </w:rPr>
        <w:t xml:space="preserve">multiplied with the proportion of the vaccine eligible in with matching COVID exposure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x,v-1,a</m:t>
                </m:r>
              </m:sub>
            </m:sSub>
          </m:num>
          <m:den>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v-1, a</m:t>
                </m:r>
              </m:sub>
            </m:sSub>
          </m:den>
        </m:f>
      </m:oMath>
      <w:r w:rsidR="00824479" w:rsidRPr="006A0823">
        <w:rPr>
          <w:lang w:val="en-GB"/>
        </w:rPr>
        <w:t xml:space="preserve">. New exits due to vaccination with the next vaccine course </w:t>
      </w:r>
      <m:oMath>
        <m:r>
          <w:rPr>
            <w:rFonts w:ascii="Cambria Math" w:hAnsi="Cambria Math"/>
            <w:lang w:val="en-GB"/>
          </w:rPr>
          <m:t>v+1</m:t>
        </m:r>
      </m:oMath>
      <w:r w:rsidR="00824479" w:rsidRPr="006A0823">
        <w:rPr>
          <w:lang w:val="en-GB"/>
        </w:rPr>
        <w:t xml:space="preserve"> follow the same logic.  </w:t>
      </w:r>
      <w:r w:rsidR="00CE22C4" w:rsidRPr="006A0823">
        <w:rPr>
          <w:lang w:val="en-GB"/>
        </w:rPr>
        <w:t xml:space="preserve">Here we use the arithmetic on the vaccine index to move positions within our ordered set of vaccinations </w:t>
      </w:r>
      <m:oMath>
        <m:r>
          <w:rPr>
            <w:rFonts w:ascii="Cambria Math" w:hAnsi="Cambria Math"/>
            <w:lang w:val="en-GB"/>
          </w:rPr>
          <m:t>V</m:t>
        </m:r>
      </m:oMath>
      <w:r w:rsidR="00CE22C4" w:rsidRPr="006A0823">
        <w:rPr>
          <w:lang w:val="en-GB"/>
        </w:rPr>
        <w:t xml:space="preserve"> and </w:t>
      </w:r>
      <w:r w:rsidR="00CE22C4" w:rsidRPr="006A0823">
        <w:rPr>
          <w:lang w:val="en-GB"/>
        </w:rPr>
        <w:lastRenderedPageBreak/>
        <w:t>define any quantity with an index outside the set as 0. Our model assumes that vaccination and infection do not co-occur on a time step</w:t>
      </w:r>
      <w:r w:rsidR="002B30BF" w:rsidRPr="006A0823">
        <w:rPr>
          <w:lang w:val="en-GB"/>
        </w:rPr>
        <w:t xml:space="preserve"> and that no one with an active infection (people in </w:t>
      </w:r>
      <m:oMath>
        <m:r>
          <w:rPr>
            <w:rFonts w:ascii="Cambria Math" w:hAnsi="Cambria Math"/>
            <w:lang w:val="en-GB"/>
          </w:rPr>
          <m:t>E</m:t>
        </m:r>
      </m:oMath>
      <w:r w:rsidR="002B30BF" w:rsidRPr="006A0823">
        <w:rPr>
          <w:lang w:val="en-GB"/>
        </w:rPr>
        <w:t xml:space="preserve"> or </w:t>
      </w:r>
      <m:oMath>
        <m:r>
          <w:rPr>
            <w:rFonts w:ascii="Cambria Math" w:hAnsi="Cambria Math"/>
            <w:lang w:val="en-GB"/>
          </w:rPr>
          <m:t>I</m:t>
        </m:r>
      </m:oMath>
      <w:r w:rsidR="002B30BF" w:rsidRPr="006A0823">
        <w:rPr>
          <w:lang w:val="en-GB"/>
        </w:rPr>
        <w:t xml:space="preserve"> compartments)</w:t>
      </w:r>
      <w:r w:rsidR="00CE22C4" w:rsidRPr="006A0823">
        <w:rPr>
          <w:lang w:val="en-GB"/>
        </w:rPr>
        <w:t>.</w:t>
      </w:r>
      <w:r w:rsidR="002B30BF" w:rsidRPr="006A0823">
        <w:rPr>
          <w:lang w:val="en-GB"/>
        </w:rPr>
        <w:t xml:space="preserve"> The final term is the re-entry of infected people into the susceptible population </w:t>
      </w:r>
      <m:oMath>
        <m:sSub>
          <m:sSubPr>
            <m:ctrlPr>
              <w:rPr>
                <w:rFonts w:ascii="Cambria Math" w:hAnsi="Cambria Math"/>
                <w:i/>
                <w:lang w:val="en-GB"/>
              </w:rPr>
            </m:ctrlPr>
          </m:sSubPr>
          <m:e>
            <m:r>
              <w:rPr>
                <w:rFonts w:ascii="Cambria Math" w:hAnsi="Cambria Math"/>
                <w:lang w:val="en-GB"/>
              </w:rPr>
              <m:t>γI</m:t>
            </m:r>
          </m:e>
          <m:sub>
            <m:r>
              <w:rPr>
                <w:rFonts w:ascii="Cambria Math" w:hAnsi="Cambria Math"/>
                <w:lang w:val="en-GB"/>
              </w:rPr>
              <m:t>x,a</m:t>
            </m:r>
          </m:sub>
        </m:sSub>
      </m:oMath>
      <w:r w:rsidR="002B30BF" w:rsidRPr="006A0823">
        <w:rPr>
          <w:lang w:val="en-GB"/>
        </w:rPr>
        <w:t xml:space="preserve"> where </w:t>
      </w:r>
      <m:oMath>
        <m:r>
          <w:rPr>
            <w:rFonts w:ascii="Cambria Math" w:hAnsi="Cambria Math"/>
            <w:lang w:val="en-GB"/>
          </w:rPr>
          <m:t>γ</m:t>
        </m:r>
      </m:oMath>
      <w:r w:rsidR="002B30BF" w:rsidRPr="006A0823">
        <w:rPr>
          <w:lang w:val="en-GB"/>
        </w:rPr>
        <w:t xml:space="preserve"> is the reciprocal of the average duration of infectiousness. </w:t>
      </w:r>
    </w:p>
    <w:p w14:paraId="00AACC43" w14:textId="05A6EB61" w:rsidR="00824479" w:rsidRPr="006A0823" w:rsidRDefault="002B30BF" w:rsidP="00BC3AE0">
      <w:pPr>
        <w:rPr>
          <w:lang w:val="en-GB"/>
        </w:rPr>
      </w:pPr>
      <w:r w:rsidRPr="006A0823">
        <w:rPr>
          <w:lang w:val="en-GB"/>
        </w:rPr>
        <w:t xml:space="preserve">The </w:t>
      </w:r>
      <w:r w:rsidR="007A3C41" w:rsidRPr="006A0823">
        <w:rPr>
          <w:lang w:val="en-GB"/>
        </w:rPr>
        <w:t>equation</w:t>
      </w:r>
      <w:r w:rsidRPr="006A0823">
        <w:rPr>
          <w:lang w:val="en-GB"/>
        </w:rPr>
        <w:t xml:space="preserve"> </w:t>
      </w:r>
      <w:r w:rsidR="00AD7D9F" w:rsidRPr="006A0823">
        <w:rPr>
          <w:lang w:val="en-GB"/>
        </w:rPr>
        <w:t xml:space="preserve">for </w:t>
      </w:r>
      <m:oMath>
        <m:f>
          <m:fPr>
            <m:ctrlPr>
              <w:rPr>
                <w:rFonts w:ascii="Cambria Math" w:hAnsi="Cambria Math"/>
                <w:i/>
                <w:lang w:val="en-GB"/>
              </w:rPr>
            </m:ctrlPr>
          </m:fPr>
          <m:num>
            <m:r>
              <w:rPr>
                <w:rFonts w:ascii="Cambria Math" w:hAnsi="Cambria Math"/>
                <w:lang w:val="en-GB"/>
              </w:rPr>
              <m:t>dE</m:t>
            </m:r>
          </m:num>
          <m:den>
            <m:r>
              <w:rPr>
                <w:rFonts w:ascii="Cambria Math" w:hAnsi="Cambria Math"/>
                <w:lang w:val="en-GB"/>
              </w:rPr>
              <m:t>dt</m:t>
            </m:r>
          </m:den>
        </m:f>
      </m:oMath>
      <w:r w:rsidR="00AD7D9F" w:rsidRPr="006A0823">
        <w:rPr>
          <w:lang w:val="en-GB"/>
        </w:rPr>
        <w:t xml:space="preserve"> </w:t>
      </w:r>
      <w:r w:rsidRPr="006A0823">
        <w:rPr>
          <w:lang w:val="en-GB"/>
        </w:rPr>
        <w:t xml:space="preserve">describes the change in the count of people exposed to (but not spreading) variant </w:t>
      </w:r>
      <m:oMath>
        <m:r>
          <w:rPr>
            <w:rFonts w:ascii="Cambria Math" w:hAnsi="Cambria Math"/>
            <w:lang w:val="en-GB"/>
          </w:rPr>
          <m:t>x</m:t>
        </m:r>
      </m:oMath>
      <w:r w:rsidRPr="006A0823">
        <w:rPr>
          <w:lang w:val="en-GB"/>
        </w:rPr>
        <w:t xml:space="preserve"> with prior vaccination status </w:t>
      </w:r>
      <m:oMath>
        <m:r>
          <w:rPr>
            <w:rFonts w:ascii="Cambria Math" w:hAnsi="Cambria Math"/>
            <w:lang w:val="en-GB"/>
          </w:rPr>
          <m:t>v</m:t>
        </m:r>
      </m:oMath>
      <w:r w:rsidRPr="006A0823">
        <w:rPr>
          <w:lang w:val="en-GB"/>
        </w:rPr>
        <w:t xml:space="preserve"> in age group </w:t>
      </w:r>
      <m:oMath>
        <m:r>
          <w:rPr>
            <w:rFonts w:ascii="Cambria Math" w:hAnsi="Cambria Math"/>
            <w:lang w:val="en-GB"/>
          </w:rPr>
          <m:t>a</m:t>
        </m:r>
      </m:oMath>
      <w:r w:rsidRPr="006A0823">
        <w:rPr>
          <w:lang w:val="en-GB"/>
        </w:rPr>
        <w:t xml:space="preserve">. People exit the compartment at a rate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x</m:t>
            </m:r>
          </m:sub>
        </m:sSub>
      </m:oMath>
      <w:r w:rsidRPr="006A0823">
        <w:rPr>
          <w:lang w:val="en-GB"/>
        </w:rPr>
        <w:t xml:space="preserve"> which is higher for the Omicron variant than other varian</w:t>
      </w:r>
      <w:r w:rsidR="007A3C41" w:rsidRPr="006A0823">
        <w:rPr>
          <w:lang w:val="en-GB"/>
        </w:rPr>
        <w:t xml:space="preserve">ts.  The second term </w:t>
      </w:r>
      <w:r w:rsidR="00AD7D9F" w:rsidRPr="006A0823">
        <w:rPr>
          <w:lang w:val="en-GB"/>
        </w:rPr>
        <w:t xml:space="preserve">of this equation </w:t>
      </w:r>
      <w:r w:rsidR="007A3C41" w:rsidRPr="006A0823">
        <w:rPr>
          <w:lang w:val="en-GB"/>
        </w:rPr>
        <w:t xml:space="preserve">is parallel to the transmission term in the </w:t>
      </w:r>
      <w:r w:rsidR="00AD7D9F" w:rsidRPr="006A0823">
        <w:rPr>
          <w:lang w:val="en-GB"/>
        </w:rPr>
        <w:t>equation for the change in the susceptible population</w:t>
      </w:r>
      <w:r w:rsidR="007A3C41" w:rsidRPr="006A0823">
        <w:rPr>
          <w:lang w:val="en-GB"/>
        </w:rPr>
        <w:t>, except summed over all pools of effectively susceptible to the exposure variant.</w:t>
      </w:r>
    </w:p>
    <w:p w14:paraId="41639546" w14:textId="5BFF2676" w:rsidR="00C405E2" w:rsidRPr="006A0823" w:rsidRDefault="00C405E2" w:rsidP="00BC3AE0">
      <w:pPr>
        <w:rPr>
          <w:lang w:val="en-GB"/>
        </w:rPr>
      </w:pPr>
      <w:r w:rsidRPr="006A0823">
        <w:rPr>
          <w:lang w:val="en-GB"/>
        </w:rPr>
        <w:t xml:space="preserve">The last equation in transmission model describes the change in the count of people infectious and spreading variant </w:t>
      </w:r>
      <m:oMath>
        <m:r>
          <w:rPr>
            <w:rFonts w:ascii="Cambria Math" w:hAnsi="Cambria Math"/>
            <w:lang w:val="en-GB"/>
          </w:rPr>
          <m:t>x</m:t>
        </m:r>
      </m:oMath>
      <w:r w:rsidRPr="006A0823">
        <w:rPr>
          <w:lang w:val="en-GB"/>
        </w:rPr>
        <w:t xml:space="preserve"> with prior vaccination status </w:t>
      </w:r>
      <m:oMath>
        <m:r>
          <w:rPr>
            <w:rFonts w:ascii="Cambria Math" w:hAnsi="Cambria Math"/>
            <w:lang w:val="en-GB"/>
          </w:rPr>
          <m:t>v</m:t>
        </m:r>
      </m:oMath>
      <w:r w:rsidRPr="006A0823">
        <w:rPr>
          <w:lang w:val="en-GB"/>
        </w:rPr>
        <w:t xml:space="preserve"> in age group </w:t>
      </w:r>
      <m:oMath>
        <m:r>
          <w:rPr>
            <w:rFonts w:ascii="Cambria Math" w:hAnsi="Cambria Math"/>
            <w:lang w:val="en-GB"/>
          </w:rPr>
          <m:t>a</m:t>
        </m:r>
      </m:oMath>
      <w:r w:rsidRPr="006A0823">
        <w:rPr>
          <w:lang w:val="en-GB"/>
        </w:rPr>
        <w:t xml:space="preserve">. People enter from the corresponding exposed compartment and exit at a rate </w:t>
      </w:r>
      <m:oMath>
        <m:r>
          <w:rPr>
            <w:rFonts w:ascii="Cambria Math" w:hAnsi="Cambria Math"/>
            <w:lang w:val="en-GB"/>
          </w:rPr>
          <m:t>γ</m:t>
        </m:r>
      </m:oMath>
      <w:r w:rsidRPr="006A0823">
        <w:rPr>
          <w:lang w:val="en-GB"/>
        </w:rPr>
        <w:t xml:space="preserve"> to the appropriate susceptible compartment when their infectiousness period ends. </w:t>
      </w:r>
    </w:p>
    <w:p w14:paraId="66736D68" w14:textId="27CFB049" w:rsidR="003C001A" w:rsidRPr="006A0823" w:rsidRDefault="003C001A" w:rsidP="00BC3AE0">
      <w:pPr>
        <w:rPr>
          <w:lang w:val="en-GB"/>
        </w:rPr>
      </w:pPr>
      <w:r w:rsidRPr="006A0823">
        <w:rPr>
          <w:lang w:val="en-GB"/>
        </w:rPr>
        <w:t>The transmission dynamic equations are coupled with a set of lagged equations for</w:t>
      </w:r>
      <w:r w:rsidR="008D3CA2" w:rsidRPr="006A0823">
        <w:rPr>
          <w:lang w:val="en-GB"/>
        </w:rPr>
        <w:t xml:space="preserve"> the cases, deaths, and hospital admissions. Formally, we define the set of outcomes </w:t>
      </w:r>
      <m:oMath>
        <m:r>
          <w:rPr>
            <w:rFonts w:ascii="Cambria Math" w:hAnsi="Cambria Math"/>
            <w:lang w:val="en-GB"/>
          </w:rPr>
          <m:t>O={D, C, H}</m:t>
        </m:r>
      </m:oMath>
      <w:r w:rsidR="008D3CA2" w:rsidRPr="006A0823">
        <w:rPr>
          <w:lang w:val="en-GB"/>
        </w:rPr>
        <w:t xml:space="preserve"> where </w:t>
      </w:r>
      <m:oMath>
        <m:r>
          <w:rPr>
            <w:rFonts w:ascii="Cambria Math" w:hAnsi="Cambria Math"/>
            <w:lang w:val="en-GB"/>
          </w:rPr>
          <m:t>D</m:t>
        </m:r>
      </m:oMath>
      <w:r w:rsidR="008D3CA2" w:rsidRPr="006A0823">
        <w:rPr>
          <w:lang w:val="en-GB"/>
        </w:rPr>
        <w:t xml:space="preserve"> is deaths, </w:t>
      </w:r>
      <m:oMath>
        <m:r>
          <w:rPr>
            <w:rFonts w:ascii="Cambria Math" w:hAnsi="Cambria Math"/>
            <w:lang w:val="en-GB"/>
          </w:rPr>
          <m:t>C</m:t>
        </m:r>
      </m:oMath>
      <w:r w:rsidR="008D3CA2" w:rsidRPr="006A0823">
        <w:rPr>
          <w:lang w:val="en-GB"/>
        </w:rPr>
        <w:t xml:space="preserve"> is cases, and </w:t>
      </w:r>
      <m:oMath>
        <m:r>
          <w:rPr>
            <w:rFonts w:ascii="Cambria Math" w:hAnsi="Cambria Math"/>
            <w:lang w:val="en-GB"/>
          </w:rPr>
          <m:t>H</m:t>
        </m:r>
      </m:oMath>
      <w:r w:rsidR="008D3CA2" w:rsidRPr="006A0823">
        <w:rPr>
          <w:lang w:val="en-GB"/>
        </w:rPr>
        <w:t xml:space="preserve"> is hospital admissions.  For </w:t>
      </w:r>
      <m:oMath>
        <m:r>
          <w:rPr>
            <w:rFonts w:ascii="Cambria Math" w:hAnsi="Cambria Math"/>
            <w:lang w:val="en-GB"/>
          </w:rPr>
          <m:t>Z∈O</m:t>
        </m:r>
      </m:oMath>
      <w:r w:rsidR="008D3CA2" w:rsidRPr="006A0823">
        <w:rPr>
          <w:lang w:val="en-GB"/>
        </w:rPr>
        <w:t>, we can then say</w:t>
      </w:r>
    </w:p>
    <w:p w14:paraId="60246F86" w14:textId="21511AC0" w:rsidR="003C001A" w:rsidRPr="006A0823" w:rsidRDefault="00000000" w:rsidP="00BC3AE0">
      <w:pPr>
        <w:rPr>
          <w:lang w:val="en-GB"/>
        </w:rPr>
      </w:pPr>
      <m:oMathPara>
        <m:oMath>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x,v,a</m:t>
                  </m:r>
                </m:sub>
              </m:sSub>
            </m:num>
            <m:den>
              <m:r>
                <w:rPr>
                  <w:rFonts w:ascii="Cambria Math" w:hAnsi="Cambria Math"/>
                  <w:lang w:val="en-GB"/>
                </w:rPr>
                <m:t>dt</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x</m:t>
              </m:r>
            </m:sub>
          </m:sSub>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S</m:t>
                  </m:r>
                </m:e>
              </m:acc>
            </m:e>
            <m:sub>
              <m:r>
                <w:rPr>
                  <w:rFonts w:ascii="Cambria Math" w:hAnsi="Cambria Math"/>
                  <w:lang w:val="en-GB"/>
                </w:rPr>
                <m:t>x,y,v,a</m:t>
              </m:r>
            </m:sub>
          </m:sSub>
          <m:sSubSup>
            <m:sSubSupPr>
              <m:ctrlPr>
                <w:rPr>
                  <w:rFonts w:ascii="Cambria Math" w:hAnsi="Cambria Math"/>
                  <w:i/>
                  <w:lang w:val="en-GB"/>
                </w:rPr>
              </m:ctrlPr>
            </m:sSubSupPr>
            <m:e>
              <m:r>
                <w:rPr>
                  <w:rFonts w:ascii="Cambria Math" w:hAnsi="Cambria Math"/>
                  <w:lang w:val="en-GB"/>
                </w:rPr>
                <m:t>θ</m:t>
              </m:r>
            </m:e>
            <m:sub>
              <m:r>
                <w:rPr>
                  <w:rFonts w:ascii="Cambria Math" w:hAnsi="Cambria Math"/>
                  <w:lang w:val="en-GB"/>
                </w:rPr>
                <m:t>x,y,v,a</m:t>
              </m:r>
            </m:sub>
            <m:sup>
              <m:r>
                <w:rPr>
                  <w:rFonts w:ascii="Cambria Math" w:hAnsi="Cambria Math"/>
                  <w:lang w:val="en-GB"/>
                </w:rPr>
                <m:t>Z</m:t>
              </m:r>
            </m:sup>
          </m:sSubSup>
        </m:oMath>
      </m:oMathPara>
    </w:p>
    <w:p w14:paraId="49A8CD77" w14:textId="0199F61B" w:rsidR="003C001A" w:rsidRPr="006A0823" w:rsidRDefault="008D3CA2" w:rsidP="00BC3AE0">
      <w:pPr>
        <w:rPr>
          <w:lang w:val="en-GB"/>
        </w:rPr>
      </w:pPr>
      <w:r w:rsidRPr="006A0823">
        <w:rPr>
          <w:lang w:val="en-GB"/>
        </w:rPr>
        <w:t xml:space="preserve">where </w:t>
      </w:r>
      <m:oMath>
        <m:sSup>
          <m:sSupPr>
            <m:ctrlPr>
              <w:rPr>
                <w:rFonts w:ascii="Cambria Math" w:hAnsi="Cambria Math"/>
                <w:i/>
                <w:lang w:val="en-GB"/>
              </w:rPr>
            </m:ctrlPr>
          </m:sSupPr>
          <m:e>
            <m:r>
              <w:rPr>
                <w:rFonts w:ascii="Cambria Math" w:hAnsi="Cambria Math"/>
                <w:lang w:val="en-GB"/>
              </w:rPr>
              <m:t>θ</m:t>
            </m:r>
          </m:e>
          <m:sup>
            <m:r>
              <w:rPr>
                <w:rFonts w:ascii="Cambria Math" w:hAnsi="Cambria Math"/>
                <w:lang w:val="en-GB"/>
              </w:rPr>
              <m:t>Z</m:t>
            </m:r>
          </m:sup>
        </m:sSup>
      </m:oMath>
      <w:r w:rsidRPr="006A0823">
        <w:rPr>
          <w:lang w:val="en-GB"/>
        </w:rPr>
        <w:t xml:space="preserve"> is either the infection-</w:t>
      </w:r>
      <w:r w:rsidR="00AB0472" w:rsidRPr="006A0823">
        <w:rPr>
          <w:lang w:val="en-GB"/>
        </w:rPr>
        <w:t xml:space="preserve">fatality ratio, </w:t>
      </w:r>
      <w:r w:rsidRPr="006A0823">
        <w:rPr>
          <w:lang w:val="en-GB"/>
        </w:rPr>
        <w:t>the infection-</w:t>
      </w:r>
      <w:r w:rsidR="00AB0472" w:rsidRPr="006A0823">
        <w:rPr>
          <w:lang w:val="en-GB"/>
        </w:rPr>
        <w:t xml:space="preserve">detection ratio, </w:t>
      </w:r>
      <w:r w:rsidRPr="006A0823">
        <w:rPr>
          <w:lang w:val="en-GB"/>
        </w:rPr>
        <w:t xml:space="preserve">or the </w:t>
      </w:r>
      <w:r w:rsidR="00AB0472" w:rsidRPr="006A0823">
        <w:rPr>
          <w:lang w:val="en-GB"/>
        </w:rPr>
        <w:t>infection</w:t>
      </w:r>
      <w:r w:rsidRPr="006A0823">
        <w:rPr>
          <w:lang w:val="en-GB"/>
        </w:rPr>
        <w:t>-</w:t>
      </w:r>
      <w:r w:rsidR="00AB0472" w:rsidRPr="006A0823">
        <w:rPr>
          <w:lang w:val="en-GB"/>
        </w:rPr>
        <w:t>hospitalization</w:t>
      </w:r>
      <w:r w:rsidRPr="006A0823">
        <w:rPr>
          <w:lang w:val="en-GB"/>
        </w:rPr>
        <w:t xml:space="preserve"> ratio for </w:t>
      </w:r>
      <m:oMath>
        <m:r>
          <w:rPr>
            <w:rFonts w:ascii="Cambria Math" w:hAnsi="Cambria Math"/>
            <w:lang w:val="en-GB"/>
          </w:rPr>
          <m:t>Z</m:t>
        </m:r>
      </m:oMath>
      <w:r w:rsidRPr="006A0823">
        <w:rPr>
          <w:lang w:val="en-GB"/>
        </w:rPr>
        <w:t xml:space="preserve"> equal to </w:t>
      </w:r>
      <m:oMath>
        <m:r>
          <w:rPr>
            <w:rFonts w:ascii="Cambria Math" w:hAnsi="Cambria Math"/>
            <w:lang w:val="en-GB"/>
          </w:rPr>
          <m:t>D</m:t>
        </m:r>
      </m:oMath>
      <w:r w:rsidRPr="006A0823">
        <w:rPr>
          <w:lang w:val="en-GB"/>
        </w:rPr>
        <w:t xml:space="preserve">, </w:t>
      </w:r>
      <m:oMath>
        <m:r>
          <w:rPr>
            <w:rFonts w:ascii="Cambria Math" w:hAnsi="Cambria Math"/>
            <w:lang w:val="en-GB"/>
          </w:rPr>
          <m:t>C</m:t>
        </m:r>
      </m:oMath>
      <w:r w:rsidRPr="006A0823">
        <w:rPr>
          <w:lang w:val="en-GB"/>
        </w:rPr>
        <w:t xml:space="preserve">, or </w:t>
      </w:r>
      <m:oMath>
        <m:r>
          <w:rPr>
            <w:rFonts w:ascii="Cambria Math" w:hAnsi="Cambria Math"/>
            <w:lang w:val="en-GB"/>
          </w:rPr>
          <m:t>H</m:t>
        </m:r>
      </m:oMath>
      <w:r w:rsidRPr="006A0823">
        <w:rPr>
          <w:lang w:val="en-GB"/>
        </w:rPr>
        <w:t xml:space="preserve">, </w:t>
      </w:r>
      <w:r w:rsidR="00AB0472" w:rsidRPr="006A0823">
        <w:rPr>
          <w:lang w:val="en-GB"/>
        </w:rPr>
        <w:t xml:space="preserve">respectively. The ratios and outcomes are indexed to the date of infection with outcome-specific lags drawn from uncertainty distributions. The force of infection and effectively susceptible have been defined above. </w:t>
      </w:r>
      <w:r w:rsidRPr="006A0823">
        <w:rPr>
          <w:lang w:val="en-GB"/>
        </w:rPr>
        <w:t xml:space="preserve">The ratios are defined as </w:t>
      </w:r>
    </w:p>
    <w:p w14:paraId="3CBD8109" w14:textId="4F5A8D1A" w:rsidR="00AB0472" w:rsidRPr="006A0823" w:rsidRDefault="00000000" w:rsidP="00BC3AE0">
      <w:pPr>
        <w:rPr>
          <w:lang w:val="en-GB"/>
        </w:rPr>
      </w:pPr>
      <m:oMathPara>
        <m:oMath>
          <m:sSubSup>
            <m:sSubSupPr>
              <m:ctrlPr>
                <w:rPr>
                  <w:rFonts w:ascii="Cambria Math" w:hAnsi="Cambria Math"/>
                  <w:i/>
                  <w:lang w:val="en-GB"/>
                </w:rPr>
              </m:ctrlPr>
            </m:sSubSupPr>
            <m:e>
              <m:r>
                <w:rPr>
                  <w:rFonts w:ascii="Cambria Math" w:hAnsi="Cambria Math"/>
                  <w:lang w:val="en-GB"/>
                </w:rPr>
                <m:t>θ</m:t>
              </m:r>
            </m:e>
            <m:sub>
              <m:r>
                <w:rPr>
                  <w:rFonts w:ascii="Cambria Math" w:hAnsi="Cambria Math"/>
                  <w:lang w:val="en-GB"/>
                </w:rPr>
                <m:t>x,y,v,a</m:t>
              </m:r>
            </m:sub>
            <m:sup>
              <m:r>
                <w:rPr>
                  <w:rFonts w:ascii="Cambria Math" w:hAnsi="Cambria Math"/>
                  <w:lang w:val="en-GB"/>
                </w:rPr>
                <m:t>Z</m:t>
              </m:r>
            </m:sup>
          </m:sSubSup>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y</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 xml:space="preserve">1- </m:t>
              </m:r>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y,v,a</m:t>
                  </m:r>
                </m:sub>
                <m:sup>
                  <m:r>
                    <w:rPr>
                      <w:rFonts w:ascii="Cambria Math" w:hAnsi="Cambria Math"/>
                      <w:lang w:val="en-GB"/>
                    </w:rPr>
                    <m:t>Z</m:t>
                  </m:r>
                </m:sup>
              </m:sSubSup>
            </m:e>
          </m:d>
          <m:d>
            <m:dPr>
              <m:ctrlPr>
                <w:rPr>
                  <w:rFonts w:ascii="Cambria Math" w:hAnsi="Cambria Math"/>
                  <w:i/>
                  <w:lang w:val="en-GB"/>
                </w:rPr>
              </m:ctrlPr>
            </m:dPr>
            <m:e>
              <m:r>
                <w:rPr>
                  <w:rFonts w:ascii="Cambria Math" w:hAnsi="Cambria Math"/>
                  <w:lang w:val="en-GB"/>
                </w:rPr>
                <m:t xml:space="preserve">1- </m:t>
              </m:r>
              <m:sSubSup>
                <m:sSubSupPr>
                  <m:ctrlPr>
                    <w:rPr>
                      <w:rFonts w:ascii="Cambria Math" w:hAnsi="Cambria Math"/>
                      <w:i/>
                      <w:lang w:val="en-GB"/>
                    </w:rPr>
                  </m:ctrlPr>
                </m:sSubSupPr>
                <m:e>
                  <m:r>
                    <w:rPr>
                      <w:rFonts w:ascii="Cambria Math" w:hAnsi="Cambria Math"/>
                      <w:lang w:val="en-GB"/>
                    </w:rPr>
                    <m:t>χ</m:t>
                  </m:r>
                </m:e>
                <m:sub>
                  <m:r>
                    <w:rPr>
                      <w:rFonts w:ascii="Cambria Math" w:hAnsi="Cambria Math"/>
                      <w:lang w:val="en-GB"/>
                    </w:rPr>
                    <m:t>x,y,a</m:t>
                  </m:r>
                </m:sub>
                <m:sup>
                  <m:r>
                    <w:rPr>
                      <w:rFonts w:ascii="Cambria Math" w:hAnsi="Cambria Math"/>
                      <w:lang w:val="en-GB"/>
                    </w:rPr>
                    <m:t>Z</m:t>
                  </m:r>
                </m:sup>
              </m:sSubSup>
            </m:e>
          </m:d>
          <m:sSubSup>
            <m:sSubSupPr>
              <m:ctrlPr>
                <w:rPr>
                  <w:rFonts w:ascii="Cambria Math" w:hAnsi="Cambria Math"/>
                  <w:i/>
                  <w:lang w:val="en-GB"/>
                </w:rPr>
              </m:ctrlPr>
            </m:sSubSupPr>
            <m:e>
              <m:r>
                <w:rPr>
                  <w:rFonts w:ascii="Cambria Math" w:hAnsi="Cambria Math"/>
                  <w:lang w:val="en-GB"/>
                </w:rPr>
                <m:t>ζ</m:t>
              </m:r>
            </m:e>
            <m:sub>
              <m:r>
                <w:rPr>
                  <w:rFonts w:ascii="Cambria Math" w:hAnsi="Cambria Math"/>
                  <w:lang w:val="en-GB"/>
                </w:rPr>
                <m:t>a</m:t>
              </m:r>
            </m:sub>
            <m:sup>
              <m:r>
                <w:rPr>
                  <w:rFonts w:ascii="Cambria Math" w:hAnsi="Cambria Math"/>
                  <w:lang w:val="en-GB"/>
                </w:rPr>
                <m:t>Z</m:t>
              </m:r>
            </m:sup>
          </m:sSubSup>
          <m:sSubSup>
            <m:sSubSupPr>
              <m:ctrlPr>
                <w:rPr>
                  <w:rFonts w:ascii="Cambria Math" w:hAnsi="Cambria Math"/>
                  <w:i/>
                  <w:lang w:val="en-GB"/>
                </w:rPr>
              </m:ctrlPr>
            </m:sSubSupPr>
            <m:e>
              <m:r>
                <w:rPr>
                  <w:rFonts w:ascii="Cambria Math" w:hAnsi="Cambria Math"/>
                  <w:lang w:val="en-GB"/>
                </w:rPr>
                <m:t>θ</m:t>
              </m:r>
            </m:e>
            <m:sub>
              <m:r>
                <w:rPr>
                  <w:rFonts w:ascii="Cambria Math" w:hAnsi="Cambria Math"/>
                  <w:lang w:val="en-GB"/>
                </w:rPr>
                <m:t>∅,A,u</m:t>
              </m:r>
            </m:sub>
            <m:sup>
              <m:r>
                <w:rPr>
                  <w:rFonts w:ascii="Cambria Math" w:hAnsi="Cambria Math"/>
                  <w:lang w:val="en-GB"/>
                </w:rPr>
                <m:t>Z</m:t>
              </m:r>
            </m:sup>
          </m:sSubSup>
        </m:oMath>
      </m:oMathPara>
    </w:p>
    <w:p w14:paraId="3BF254BA" w14:textId="46CBFCE2" w:rsidR="008D3CA2" w:rsidRPr="006A0823" w:rsidRDefault="00B031F2" w:rsidP="00BC3AE0">
      <w:pPr>
        <w:rPr>
          <w:lang w:val="en-GB"/>
        </w:rPr>
      </w:pPr>
      <w:r w:rsidRPr="006A0823">
        <w:rPr>
          <w:lang w:val="en-GB"/>
        </w:rPr>
        <w:t xml:space="preserve">In this definition </w:t>
      </w:r>
      <m:oMath>
        <m:sSubSup>
          <m:sSubSupPr>
            <m:ctrlPr>
              <w:rPr>
                <w:rFonts w:ascii="Cambria Math" w:hAnsi="Cambria Math"/>
                <w:i/>
                <w:lang w:val="en-GB"/>
              </w:rPr>
            </m:ctrlPr>
          </m:sSubSupPr>
          <m:e>
            <m:r>
              <w:rPr>
                <w:rFonts w:ascii="Cambria Math" w:hAnsi="Cambria Math"/>
                <w:lang w:val="en-GB"/>
              </w:rPr>
              <m:t>θ</m:t>
            </m:r>
          </m:e>
          <m:sub>
            <m:r>
              <w:rPr>
                <w:rFonts w:ascii="Cambria Math" w:hAnsi="Cambria Math"/>
                <w:lang w:val="en-GB"/>
              </w:rPr>
              <m:t>∅,A, u</m:t>
            </m:r>
          </m:sub>
          <m:sup>
            <m:r>
              <w:rPr>
                <w:rFonts w:ascii="Cambria Math" w:hAnsi="Cambria Math"/>
                <w:lang w:val="en-GB"/>
              </w:rPr>
              <m:t>Z</m:t>
            </m:r>
          </m:sup>
        </m:sSubSup>
      </m:oMath>
      <w:r w:rsidRPr="006A0823">
        <w:rPr>
          <w:lang w:val="en-GB"/>
        </w:rPr>
        <w:t xml:space="preserve"> is the </w:t>
      </w:r>
      <w:r w:rsidR="006E7F50" w:rsidRPr="006A0823">
        <w:rPr>
          <w:lang w:val="en-GB"/>
        </w:rPr>
        <w:t xml:space="preserve">all-age infection-outcome </w:t>
      </w:r>
      <w:r w:rsidRPr="006A0823">
        <w:rPr>
          <w:lang w:val="en-GB"/>
        </w:rPr>
        <w:t xml:space="preserve">ratio among individuals with no infection- or vaccine-derived immunity experiencing an Ancestral-type infection. This ratio is initially estimated with the statistical model described in </w:t>
      </w:r>
      <w:r w:rsidR="00AF7AD3" w:rsidRPr="006A0823">
        <w:rPr>
          <w:lang w:val="en-GB"/>
        </w:rPr>
        <w:t>s</w:t>
      </w:r>
      <w:r w:rsidRPr="006A0823">
        <w:rPr>
          <w:lang w:val="en-GB"/>
        </w:rPr>
        <w:t xml:space="preserve">ection </w:t>
      </w:r>
      <w:r w:rsidR="00636B39" w:rsidRPr="006A0823">
        <w:rPr>
          <w:lang w:val="en-GB"/>
        </w:rPr>
        <w:t>4</w:t>
      </w:r>
      <w:r w:rsidRPr="006A0823">
        <w:rPr>
          <w:lang w:val="en-GB"/>
        </w:rPr>
        <w:t xml:space="preserve">, and has final estimates produced using the second parametrization of this transmission model. </w:t>
      </w:r>
      <m:oMath>
        <m:sSubSup>
          <m:sSubSupPr>
            <m:ctrlPr>
              <w:rPr>
                <w:rFonts w:ascii="Cambria Math" w:hAnsi="Cambria Math"/>
                <w:i/>
                <w:lang w:val="en-GB"/>
              </w:rPr>
            </m:ctrlPr>
          </m:sSubSupPr>
          <m:e>
            <m:r>
              <w:rPr>
                <w:rFonts w:ascii="Cambria Math" w:hAnsi="Cambria Math"/>
                <w:lang w:val="en-GB"/>
              </w:rPr>
              <m:t>ζ</m:t>
            </m:r>
          </m:e>
          <m:sub>
            <m:r>
              <w:rPr>
                <w:rFonts w:ascii="Cambria Math" w:hAnsi="Cambria Math"/>
                <w:lang w:val="en-GB"/>
              </w:rPr>
              <m:t>a</m:t>
            </m:r>
          </m:sub>
          <m:sup>
            <m:r>
              <w:rPr>
                <w:rFonts w:ascii="Cambria Math" w:hAnsi="Cambria Math"/>
                <w:lang w:val="en-GB"/>
              </w:rPr>
              <m:t>Z</m:t>
            </m:r>
          </m:sup>
        </m:sSubSup>
      </m:oMath>
      <w:r w:rsidRPr="006A0823">
        <w:rPr>
          <w:lang w:val="en-GB"/>
        </w:rPr>
        <w:t xml:space="preserve"> </w:t>
      </w:r>
      <w:r w:rsidR="006E7F50" w:rsidRPr="006A0823">
        <w:rPr>
          <w:lang w:val="en-GB"/>
        </w:rPr>
        <w:t xml:space="preserve">is an age-adjustment factor for the infection-outcome ratio that is produced as a part of the statistical model and is time-invariant. The </w:t>
      </w:r>
      <m:oMath>
        <m:sSup>
          <m:sSupPr>
            <m:ctrlPr>
              <w:rPr>
                <w:rFonts w:ascii="Cambria Math" w:hAnsi="Cambria Math"/>
                <w:i/>
                <w:lang w:val="en-GB"/>
              </w:rPr>
            </m:ctrlPr>
          </m:sSupPr>
          <m:e>
            <m:r>
              <w:rPr>
                <w:rFonts w:ascii="Cambria Math" w:hAnsi="Cambria Math"/>
                <w:lang w:val="en-GB"/>
              </w:rPr>
              <m:t>η</m:t>
            </m:r>
          </m:e>
          <m:sup>
            <m:r>
              <w:rPr>
                <w:rFonts w:ascii="Cambria Math" w:hAnsi="Cambria Math"/>
                <w:lang w:val="en-GB"/>
              </w:rPr>
              <m:t>Z</m:t>
            </m:r>
          </m:sup>
        </m:sSup>
      </m:oMath>
      <w:r w:rsidR="006E7F50" w:rsidRPr="006A0823">
        <w:rPr>
          <w:lang w:val="en-GB"/>
        </w:rPr>
        <w:t xml:space="preserve"> and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Z</m:t>
            </m:r>
          </m:sup>
        </m:sSup>
      </m:oMath>
      <w:r w:rsidR="006E7F50" w:rsidRPr="006A0823">
        <w:rPr>
          <w:lang w:val="en-GB"/>
        </w:rPr>
        <w:t xml:space="preserve"> terms mirror their transmission reduction counterparts. </w:t>
      </w:r>
      <m:oMath>
        <m:sSup>
          <m:sSupPr>
            <m:ctrlPr>
              <w:rPr>
                <w:rFonts w:ascii="Cambria Math" w:hAnsi="Cambria Math"/>
                <w:i/>
                <w:lang w:val="en-GB"/>
              </w:rPr>
            </m:ctrlPr>
          </m:sSupPr>
          <m:e>
            <m:r>
              <w:rPr>
                <w:rFonts w:ascii="Cambria Math" w:hAnsi="Cambria Math"/>
                <w:lang w:val="en-GB"/>
              </w:rPr>
              <m:t>η</m:t>
            </m:r>
          </m:e>
          <m:sup>
            <m:r>
              <w:rPr>
                <w:rFonts w:ascii="Cambria Math" w:hAnsi="Cambria Math"/>
                <w:lang w:val="en-GB"/>
              </w:rPr>
              <m:t>Z</m:t>
            </m:r>
          </m:sup>
        </m:sSup>
      </m:oMath>
      <w:r w:rsidR="006E7F50" w:rsidRPr="006A0823">
        <w:rPr>
          <w:lang w:val="en-GB"/>
        </w:rPr>
        <w:t xml:space="preserve"> is defined in </w:t>
      </w:r>
      <w:r w:rsidR="00636B39" w:rsidRPr="006A0823">
        <w:rPr>
          <w:lang w:val="en-GB"/>
        </w:rPr>
        <w:t>section 5</w:t>
      </w:r>
      <w:r w:rsidR="00AF7AD3" w:rsidRPr="006A0823">
        <w:rPr>
          <w:lang w:val="en-GB"/>
        </w:rPr>
        <w:t>.3.3</w:t>
      </w:r>
      <w:r w:rsidR="006E7F50" w:rsidRPr="006A0823">
        <w:rPr>
          <w:lang w:val="en-GB"/>
        </w:rPr>
        <w:t xml:space="preserve"> an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Z</m:t>
            </m:r>
          </m:sup>
        </m:sSup>
      </m:oMath>
      <w:r w:rsidR="006E7F50" w:rsidRPr="006A0823">
        <w:rPr>
          <w:lang w:val="en-GB"/>
        </w:rPr>
        <w:t xml:space="preserve"> is defined as </w:t>
      </w:r>
    </w:p>
    <w:p w14:paraId="5D48CEBA" w14:textId="37FBFDF5" w:rsidR="006E7F50" w:rsidRPr="006A0823" w:rsidRDefault="00000000" w:rsidP="00BC3AE0">
      <w:pPr>
        <w:rPr>
          <w:lang w:val="en-GB"/>
        </w:rPr>
      </w:pPr>
      <m:oMathPara>
        <m:oMath>
          <m:sSubSup>
            <m:sSubSupPr>
              <m:ctrlPr>
                <w:rPr>
                  <w:rFonts w:ascii="Cambria Math" w:hAnsi="Cambria Math"/>
                  <w:i/>
                  <w:lang w:val="en-GB"/>
                </w:rPr>
              </m:ctrlPr>
            </m:sSubSupPr>
            <m:e>
              <m:r>
                <w:rPr>
                  <w:rFonts w:ascii="Cambria Math" w:hAnsi="Cambria Math"/>
                  <w:lang w:val="en-GB"/>
                </w:rPr>
                <m:t>χ</m:t>
              </m:r>
            </m:e>
            <m:sub>
              <m:r>
                <w:rPr>
                  <w:rFonts w:ascii="Cambria Math" w:hAnsi="Cambria Math"/>
                  <w:lang w:val="en-GB"/>
                </w:rPr>
                <m:t>x,y,a</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f>
            <m:fPr>
              <m:ctrlPr>
                <w:rPr>
                  <w:rFonts w:ascii="Cambria Math" w:hAnsi="Cambria Math"/>
                  <w:i/>
                  <w:lang w:val="en-GB"/>
                </w:rPr>
              </m:ctrlPr>
            </m:fPr>
            <m:num>
              <m:nary>
                <m:naryPr>
                  <m:ctrlPr>
                    <w:rPr>
                      <w:rFonts w:ascii="Cambria Math" w:hAnsi="Cambria Math"/>
                      <w:i/>
                      <w:lang w:val="en-GB"/>
                    </w:rPr>
                  </m:ctrlPr>
                </m:naryPr>
                <m:sub>
                  <m:r>
                    <w:rPr>
                      <w:rFonts w:ascii="Cambria Math" w:hAnsi="Cambria Math"/>
                      <w:lang w:val="en-GB"/>
                    </w:rPr>
                    <m:t>0</m:t>
                  </m:r>
                </m:sub>
                <m:sup>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up>
                <m:e>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x,a</m:t>
                      </m:r>
                    </m:sub>
                    <m:sup>
                      <m:r>
                        <w:rPr>
                          <w:rFonts w:ascii="Cambria Math" w:hAnsi="Cambria Math"/>
                          <w:lang w:val="en-GB"/>
                        </w:rPr>
                        <m:t>+</m:t>
                      </m:r>
                    </m:sup>
                  </m:sSubSup>
                  <m:d>
                    <m:dPr>
                      <m:ctrlPr>
                        <w:rPr>
                          <w:rFonts w:ascii="Cambria Math" w:hAnsi="Cambria Math"/>
                          <w:i/>
                          <w:lang w:val="en-GB"/>
                        </w:rPr>
                      </m:ctrlPr>
                    </m:dPr>
                    <m:e>
                      <m:r>
                        <w:rPr>
                          <w:rFonts w:ascii="Cambria Math" w:hAnsi="Cambria Math"/>
                          <w:lang w:val="en-GB"/>
                        </w:rPr>
                        <m:t>t- τ</m:t>
                      </m:r>
                    </m:e>
                  </m:d>
                  <m:f>
                    <m:fPr>
                      <m:ctrlPr>
                        <w:rPr>
                          <w:rFonts w:ascii="Cambria Math" w:hAnsi="Cambria Math"/>
                          <w:i/>
                          <w:lang w:val="en-GB"/>
                        </w:rPr>
                      </m:ctrlPr>
                    </m:fPr>
                    <m:num>
                      <m:r>
                        <w:rPr>
                          <w:rFonts w:ascii="Cambria Math" w:hAnsi="Cambria Math"/>
                          <w:lang w:val="en-GB"/>
                        </w:rPr>
                        <m:t>(1-</m:t>
                      </m:r>
                      <m:sSubSup>
                        <m:sSubSupPr>
                          <m:ctrlPr>
                            <w:rPr>
                              <w:rFonts w:ascii="Cambria Math" w:hAnsi="Cambria Math"/>
                              <w:i/>
                              <w:lang w:val="en-GB"/>
                            </w:rPr>
                          </m:ctrlPr>
                        </m:sSubSupPr>
                        <m:e>
                          <m:r>
                            <w:rPr>
                              <w:rFonts w:ascii="Cambria Math" w:hAnsi="Cambria Math"/>
                              <w:lang w:val="en-GB"/>
                            </w:rPr>
                            <m:t>φ</m:t>
                          </m:r>
                        </m:e>
                        <m:sub>
                          <m:r>
                            <w:rPr>
                              <w:rFonts w:ascii="Cambria Math" w:hAnsi="Cambria Math"/>
                              <w:lang w:val="en-GB"/>
                            </w:rPr>
                            <m:t>x,y</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τ</m:t>
                          </m:r>
                        </m:e>
                      </m:d>
                      <m:r>
                        <w:rPr>
                          <w:rFonts w:ascii="Cambria Math" w:hAnsi="Cambria Math"/>
                          <w:lang w:val="en-GB"/>
                        </w:rPr>
                        <m:t>)</m:t>
                      </m:r>
                    </m:num>
                    <m:den>
                      <m:r>
                        <w:rPr>
                          <w:rFonts w:ascii="Cambria Math" w:hAnsi="Cambria Math"/>
                          <w:lang w:val="en-GB"/>
                        </w:rPr>
                        <m:t>(1-</m:t>
                      </m:r>
                      <m:sSubSup>
                        <m:sSubSupPr>
                          <m:ctrlPr>
                            <w:rPr>
                              <w:rFonts w:ascii="Cambria Math" w:hAnsi="Cambria Math"/>
                              <w:i/>
                              <w:lang w:val="en-GB"/>
                            </w:rPr>
                          </m:ctrlPr>
                        </m:sSubSupPr>
                        <m:e>
                          <m:r>
                            <w:rPr>
                              <w:rFonts w:ascii="Cambria Math" w:hAnsi="Cambria Math"/>
                              <w:lang w:val="en-GB"/>
                            </w:rPr>
                            <m:t>φ</m:t>
                          </m:r>
                        </m:e>
                        <m:sub>
                          <m:r>
                            <w:rPr>
                              <w:rFonts w:ascii="Cambria Math" w:hAnsi="Cambria Math"/>
                              <w:lang w:val="en-GB"/>
                            </w:rPr>
                            <m:t>x,y</m:t>
                          </m:r>
                        </m:sub>
                        <m:sup>
                          <m:r>
                            <w:rPr>
                              <w:rFonts w:ascii="Cambria Math" w:hAnsi="Cambria Math"/>
                              <w:lang w:val="en-GB"/>
                            </w:rPr>
                            <m:t>I</m:t>
                          </m:r>
                        </m:sup>
                      </m:sSubSup>
                      <m:d>
                        <m:dPr>
                          <m:ctrlPr>
                            <w:rPr>
                              <w:rFonts w:ascii="Cambria Math" w:hAnsi="Cambria Math"/>
                              <w:i/>
                              <w:lang w:val="en-GB"/>
                            </w:rPr>
                          </m:ctrlPr>
                        </m:dPr>
                        <m:e>
                          <m:r>
                            <w:rPr>
                              <w:rFonts w:ascii="Cambria Math" w:hAnsi="Cambria Math"/>
                              <w:lang w:val="en-GB"/>
                            </w:rPr>
                            <m:t>τ</m:t>
                          </m:r>
                        </m:e>
                      </m:d>
                      <m:r>
                        <w:rPr>
                          <w:rFonts w:ascii="Cambria Math" w:hAnsi="Cambria Math"/>
                          <w:lang w:val="en-GB"/>
                        </w:rPr>
                        <m:t>)</m:t>
                      </m:r>
                    </m:den>
                  </m:f>
                  <m:r>
                    <w:rPr>
                      <w:rFonts w:ascii="Cambria Math" w:hAnsi="Cambria Math"/>
                      <w:lang w:val="en-GB"/>
                    </w:rPr>
                    <m:t xml:space="preserve"> dτ</m:t>
                  </m:r>
                </m:e>
              </m:nary>
            </m:num>
            <m:den>
              <m:nary>
                <m:naryPr>
                  <m:ctrlPr>
                    <w:rPr>
                      <w:rFonts w:ascii="Cambria Math" w:hAnsi="Cambria Math"/>
                      <w:i/>
                      <w:lang w:val="en-GB"/>
                    </w:rPr>
                  </m:ctrlPr>
                </m:naryPr>
                <m:sub>
                  <m:r>
                    <w:rPr>
                      <w:rFonts w:ascii="Cambria Math" w:hAnsi="Cambria Math"/>
                      <w:lang w:val="en-GB"/>
                    </w:rPr>
                    <m:t>0</m:t>
                  </m:r>
                </m:sub>
                <m:sup>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up>
                <m:e>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x, a</m:t>
                      </m:r>
                    </m:sub>
                    <m:sup>
                      <m:r>
                        <w:rPr>
                          <w:rFonts w:ascii="Cambria Math" w:hAnsi="Cambria Math"/>
                          <w:lang w:val="en-GB"/>
                        </w:rPr>
                        <m:t>+</m:t>
                      </m:r>
                    </m:sup>
                  </m:sSubSup>
                  <m:d>
                    <m:dPr>
                      <m:ctrlPr>
                        <w:rPr>
                          <w:rFonts w:ascii="Cambria Math" w:hAnsi="Cambria Math"/>
                          <w:i/>
                          <w:lang w:val="en-GB"/>
                        </w:rPr>
                      </m:ctrlPr>
                    </m:dPr>
                    <m:e>
                      <m:r>
                        <w:rPr>
                          <w:rFonts w:ascii="Cambria Math" w:hAnsi="Cambria Math"/>
                          <w:lang w:val="en-GB"/>
                        </w:rPr>
                        <m:t>t- τ</m:t>
                      </m:r>
                    </m:e>
                  </m:d>
                  <m:r>
                    <w:rPr>
                      <w:rFonts w:ascii="Cambria Math" w:hAnsi="Cambria Math"/>
                      <w:lang w:val="en-GB"/>
                    </w:rPr>
                    <m:t>dτ</m:t>
                  </m:r>
                </m:e>
              </m:nary>
            </m:den>
          </m:f>
        </m:oMath>
      </m:oMathPara>
    </w:p>
    <w:p w14:paraId="7979251C" w14:textId="4DB7CBED" w:rsidR="0098349D" w:rsidRPr="006A0823" w:rsidRDefault="006129B9" w:rsidP="00BC3AE0">
      <w:pPr>
        <w:rPr>
          <w:lang w:val="en-GB"/>
        </w:rPr>
      </w:pPr>
      <w:r w:rsidRPr="006A0823">
        <w:rPr>
          <w:lang w:val="en-GB"/>
        </w:rPr>
        <w:t xml:space="preserve">where </w:t>
      </w:r>
      <m:oMath>
        <m:sSubSup>
          <m:sSubSupPr>
            <m:ctrlPr>
              <w:rPr>
                <w:rFonts w:ascii="Cambria Math" w:hAnsi="Cambria Math"/>
                <w:i/>
                <w:lang w:val="en-GB"/>
              </w:rPr>
            </m:ctrlPr>
          </m:sSubSupPr>
          <m:e>
            <m:r>
              <w:rPr>
                <w:rFonts w:ascii="Cambria Math" w:hAnsi="Cambria Math"/>
                <w:lang w:val="en-GB"/>
              </w:rPr>
              <m:t>φ</m:t>
            </m:r>
          </m:e>
          <m:sub>
            <m:r>
              <w:rPr>
                <w:rFonts w:ascii="Cambria Math" w:hAnsi="Cambria Math"/>
                <w:lang w:val="en-GB"/>
              </w:rPr>
              <m:t>x,y</m:t>
            </m:r>
          </m:sub>
          <m:sup>
            <m:r>
              <w:rPr>
                <w:rFonts w:ascii="Cambria Math" w:hAnsi="Cambria Math"/>
                <w:lang w:val="en-GB"/>
              </w:rPr>
              <m:t>Z</m:t>
            </m:r>
          </m:sup>
        </m:sSubSup>
        <m:r>
          <w:rPr>
            <w:rFonts w:ascii="Cambria Math" w:hAnsi="Cambria Math"/>
            <w:lang w:val="en-GB"/>
          </w:rPr>
          <m:t>(t)</m:t>
        </m:r>
      </m:oMath>
      <w:r w:rsidRPr="006A0823">
        <w:rPr>
          <w:lang w:val="en-GB"/>
        </w:rPr>
        <w:t xml:space="preserve"> is the waning protection offered against outcome </w:t>
      </w:r>
      <m:oMath>
        <m:r>
          <w:rPr>
            <w:rFonts w:ascii="Cambria Math" w:hAnsi="Cambria Math"/>
            <w:lang w:val="en-GB"/>
          </w:rPr>
          <m:t>Z</m:t>
        </m:r>
      </m:oMath>
      <w:r w:rsidRPr="006A0823">
        <w:rPr>
          <w:lang w:val="en-GB"/>
        </w:rPr>
        <w:t xml:space="preserve"> by variant </w:t>
      </w:r>
      <m:oMath>
        <m:r>
          <w:rPr>
            <w:rFonts w:ascii="Cambria Math" w:hAnsi="Cambria Math"/>
            <w:lang w:val="en-GB"/>
          </w:rPr>
          <m:t>x</m:t>
        </m:r>
      </m:oMath>
      <w:r w:rsidRPr="006A0823">
        <w:rPr>
          <w:lang w:val="en-GB"/>
        </w:rPr>
        <w:t xml:space="preserve"> among individuals with a variant </w:t>
      </w:r>
      <m:oMath>
        <m:r>
          <w:rPr>
            <w:rFonts w:ascii="Cambria Math" w:hAnsi="Cambria Math"/>
            <w:lang w:val="en-GB"/>
          </w:rPr>
          <m:t>y</m:t>
        </m:r>
      </m:oMath>
      <w:r w:rsidRPr="006A0823">
        <w:rPr>
          <w:lang w:val="en-GB"/>
        </w:rPr>
        <w:t xml:space="preserve"> infection at some time </w:t>
      </w:r>
      <m:oMath>
        <m:r>
          <w:rPr>
            <w:rFonts w:ascii="Cambria Math" w:hAnsi="Cambria Math"/>
            <w:lang w:val="en-GB"/>
          </w:rPr>
          <m:t>t</m:t>
        </m:r>
      </m:oMath>
      <w:r w:rsidRPr="006A0823">
        <w:rPr>
          <w:lang w:val="en-GB"/>
        </w:rPr>
        <w:t xml:space="preserve"> after the original infection with variant </w:t>
      </w:r>
      <m:oMath>
        <m:r>
          <w:rPr>
            <w:rFonts w:ascii="Cambria Math" w:hAnsi="Cambria Math"/>
            <w:lang w:val="en-GB"/>
          </w:rPr>
          <m:t>x</m:t>
        </m:r>
      </m:oMath>
      <w:r w:rsidR="00AF7AD3" w:rsidRPr="006A0823">
        <w:rPr>
          <w:rFonts w:eastAsiaTheme="minorEastAsia"/>
          <w:lang w:val="en-GB"/>
        </w:rPr>
        <w:t xml:space="preserve">, defined in </w:t>
      </w:r>
      <w:r w:rsidR="00636B39" w:rsidRPr="006A0823">
        <w:rPr>
          <w:rFonts w:eastAsiaTheme="minorEastAsia"/>
          <w:lang w:val="en-GB"/>
        </w:rPr>
        <w:t>section 5</w:t>
      </w:r>
      <w:r w:rsidR="00AF7AD3" w:rsidRPr="006A0823">
        <w:rPr>
          <w:rFonts w:eastAsiaTheme="minorEastAsia"/>
          <w:lang w:val="en-GB"/>
        </w:rPr>
        <w:t>.3.4</w:t>
      </w:r>
      <w:r w:rsidRPr="006A0823">
        <w:rPr>
          <w:lang w:val="en-GB"/>
        </w:rPr>
        <w:t xml:space="preserve">. Note that when </w:t>
      </w:r>
      <m:oMath>
        <m:r>
          <w:rPr>
            <w:rFonts w:ascii="Cambria Math" w:hAnsi="Cambria Math"/>
            <w:lang w:val="en-GB"/>
          </w:rPr>
          <m:t>Z</m:t>
        </m:r>
      </m:oMath>
      <w:r w:rsidRPr="006A0823">
        <w:rPr>
          <w:lang w:val="en-GB"/>
        </w:rPr>
        <w:t xml:space="preserve"> represents cases, both </w:t>
      </w:r>
      <m:oMath>
        <m:r>
          <w:rPr>
            <w:rFonts w:ascii="Cambria Math" w:hAnsi="Cambria Math"/>
            <w:lang w:val="en-GB"/>
          </w:rPr>
          <m:t>η</m:t>
        </m:r>
      </m:oMath>
      <w:r w:rsidRPr="006A0823">
        <w:rPr>
          <w:lang w:val="en-GB"/>
        </w:rPr>
        <w:t xml:space="preserve"> and </w:t>
      </w:r>
      <m:oMath>
        <m:r>
          <w:rPr>
            <w:rFonts w:ascii="Cambria Math" w:hAnsi="Cambria Math"/>
            <w:lang w:val="en-GB"/>
          </w:rPr>
          <m:t>χ</m:t>
        </m:r>
      </m:oMath>
      <w:r w:rsidRPr="006A0823">
        <w:rPr>
          <w:lang w:val="en-GB"/>
        </w:rPr>
        <w:t xml:space="preserve"> are zero, meaning we assume prior infection or vaccination offers no differential reduction in cases beyond the reduction in transmission.  </w:t>
      </w:r>
    </w:p>
    <w:p w14:paraId="47D274D2" w14:textId="65F27C0E" w:rsidR="00865CA3" w:rsidRPr="006A0823" w:rsidRDefault="00865CA3" w:rsidP="00BC3AE0">
      <w:pPr>
        <w:rPr>
          <w:lang w:val="en-GB"/>
        </w:rPr>
      </w:pPr>
      <w:r w:rsidRPr="006A0823">
        <w:rPr>
          <w:lang w:val="en-GB"/>
        </w:rPr>
        <w:t>We use three parameterizations of the model in our estimation process. The first parameterization uses a paired input measure and epidemiological rate (deaths and the infection-fatality ratio, for instance) to estimate infections and transmission intensity. The second uses all input measures (cases, deaths, and admissions) available in a location and an estimate of transmission intensity to produce internally consistent final estimates of the epidemiological ratios. The final parameterization takes transmission intensity and the ratios as inputs and produces estimates of infections, deaths, admissions, and cases.  The three parameterizations will be explained in detail in the context of their usage in following sections.</w:t>
      </w:r>
    </w:p>
    <w:p w14:paraId="3715AEC2" w14:textId="24BED9F3" w:rsidR="0025376D" w:rsidRPr="006A0823" w:rsidRDefault="0025376D" w:rsidP="0025376D">
      <w:pPr>
        <w:rPr>
          <w:lang w:val="en-GB"/>
        </w:rPr>
      </w:pPr>
      <w:r w:rsidRPr="006A0823">
        <w:rPr>
          <w:lang w:val="en-GB"/>
        </w:rPr>
        <w:lastRenderedPageBreak/>
        <w:t>F</w:t>
      </w:r>
      <w:r w:rsidR="00277BC0" w:rsidRPr="006A0823">
        <w:rPr>
          <w:lang w:val="en-GB"/>
        </w:rPr>
        <w:t xml:space="preserve">or our initial condition, we find the </w:t>
      </w:r>
      <w:r w:rsidRPr="006A0823">
        <w:rPr>
          <w:lang w:val="en-GB"/>
        </w:rPr>
        <w:t xml:space="preserve">first day </w:t>
      </w:r>
      <w:r w:rsidR="00277BC0" w:rsidRPr="006A0823">
        <w:rPr>
          <w:lang w:val="en-GB"/>
        </w:rPr>
        <w:t xml:space="preserve">in each location </w:t>
      </w:r>
      <w:r w:rsidRPr="006A0823">
        <w:rPr>
          <w:lang w:val="en-GB"/>
        </w:rPr>
        <w:t xml:space="preserve">with more than 50 infections </w:t>
      </w:r>
      <w:r w:rsidR="005300EA" w:rsidRPr="006A0823">
        <w:rPr>
          <w:lang w:val="en-GB"/>
        </w:rPr>
        <w:t>(</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w:r w:rsidR="005300EA" w:rsidRPr="006A0823">
        <w:rPr>
          <w:rFonts w:eastAsiaTheme="minorEastAsia"/>
          <w:lang w:val="en-GB"/>
        </w:rPr>
        <w:t xml:space="preserve">) using the naïve </w:t>
      </w:r>
      <w:r w:rsidR="00984437" w:rsidRPr="006A0823">
        <w:rPr>
          <w:rFonts w:eastAsiaTheme="minorEastAsia"/>
          <w:lang w:val="en-GB"/>
        </w:rPr>
        <w:t>ratio estimate from the statistical model and the corresponding measure data.  Then we set</w:t>
      </w:r>
    </w:p>
    <w:p w14:paraId="55DE1521" w14:textId="3C0A23F4" w:rsidR="00034C53" w:rsidRPr="006A0823" w:rsidRDefault="00000000" w:rsidP="0025376D">
      <w:pPr>
        <w:rPr>
          <w:rFonts w:ascii="Cambria Math" w:hAnsi="Cambria Math"/>
          <w:lang w:val="en-GB"/>
          <w:oMath/>
        </w:rPr>
      </w:pPr>
      <m:oMathPara>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∅,u,a</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0</m:t>
                  </m:r>
                </m:sub>
              </m:sSub>
            </m:e>
          </m:d>
          <m:r>
            <m:rPr>
              <m:sty m:val="p"/>
              <m:aln/>
            </m:rP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r>
            <m:rPr>
              <m:sty m:val="p"/>
            </m:rPr>
            <w:rPr>
              <w:rFonts w:ascii="Cambria Math" w:hAnsi="Cambria Math"/>
              <w:lang w:val="en-GB"/>
            </w:rPr>
            <m:t xml:space="preserve">- </m:t>
          </m:r>
          <m:sSubSup>
            <m:sSubSupPr>
              <m:ctrlPr>
                <w:rPr>
                  <w:rFonts w:ascii="Cambria Math" w:hAnsi="Cambria Math"/>
                  <w:lang w:val="en-GB"/>
                </w:rPr>
              </m:ctrlPr>
            </m:sSubSupPr>
            <m:e>
              <m:r>
                <m:rPr>
                  <m:sty m:val="p"/>
                </m:rPr>
                <w:rPr>
                  <w:rFonts w:ascii="Cambria Math" w:hAnsi="Cambria Math"/>
                  <w:lang w:val="en-GB"/>
                </w:rPr>
                <m:t>E</m:t>
              </m:r>
            </m:e>
            <m:sub>
              <m:r>
                <m:rPr>
                  <m:sty m:val="p"/>
                </m:rPr>
                <w:rPr>
                  <w:rFonts w:ascii="Cambria Math" w:hAnsi="Cambria Math"/>
                  <w:lang w:val="en-GB"/>
                </w:rPr>
                <m:t>a</m:t>
              </m:r>
            </m:sub>
            <m:sup>
              <m:r>
                <m:rPr>
                  <m:sty m:val="p"/>
                </m:rPr>
                <w:rPr>
                  <w:rFonts w:ascii="Cambria Math" w:hAnsi="Cambria Math"/>
                  <w:lang w:val="en-GB"/>
                </w:rPr>
                <m:t>+</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0</m:t>
                  </m:r>
                </m:sub>
              </m:sSub>
            </m:e>
          </m:d>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a</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m:t>
                      </m:r>
                    </m:num>
                    <m:den>
                      <m:sSub>
                        <m:sSubPr>
                          <m:ctrlPr>
                            <w:rPr>
                              <w:rFonts w:ascii="Cambria Math" w:hAnsi="Cambria Math"/>
                              <w:lang w:val="en-GB"/>
                            </w:rPr>
                          </m:ctrlPr>
                        </m:sSubPr>
                        <m:e>
                          <m:r>
                            <m:rPr>
                              <m:sty m:val="p"/>
                            </m:rPr>
                            <w:rPr>
                              <w:rFonts w:ascii="Cambria Math" w:hAnsi="Cambria Math"/>
                              <w:lang w:val="en-GB"/>
                            </w:rPr>
                            <m:t>β</m:t>
                          </m:r>
                        </m:e>
                        <m:sub>
                          <m:r>
                            <m:rPr>
                              <m:sty m:val="p"/>
                            </m:rPr>
                            <w:rPr>
                              <w:rFonts w:ascii="Cambria Math" w:hAnsi="Cambria Math"/>
                              <w:lang w:val="en-GB"/>
                            </w:rPr>
                            <m:t>0</m:t>
                          </m:r>
                        </m:sub>
                      </m:sSub>
                    </m:den>
                  </m:f>
                </m:e>
              </m:d>
            </m:e>
            <m:sup>
              <m:r>
                <m:rPr>
                  <m:sty m:val="p"/>
                </m:rPr>
                <w:rPr>
                  <w:rFonts w:ascii="Cambria Math" w:hAnsi="Cambria Math"/>
                  <w:lang w:val="en-GB"/>
                </w:rPr>
                <m:t xml:space="preserve">1/α </m:t>
              </m:r>
            </m:sup>
          </m:sSup>
          <m:r>
            <m:rPr>
              <m:sty m:val="p"/>
            </m:rPr>
            <w:rPr>
              <w:rFonts w:ascii="Cambria Math" w:hAnsi="Cambria Math"/>
              <w:lang w:val="en-GB"/>
            </w:rPr>
            <w:br/>
          </m:r>
        </m:oMath>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A,u,a</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0</m:t>
                  </m:r>
                </m:sub>
              </m:sSub>
            </m:e>
          </m:d>
          <m:r>
            <m:rPr>
              <m:sty m:val="p"/>
              <m:aln/>
            </m:rP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a</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m:t>
          </m:r>
          <m:r>
            <m:rPr>
              <m:sty m:val="p"/>
            </m:rPr>
            <w:rPr>
              <w:rFonts w:ascii="Cambria Math" w:hAnsi="Cambria Math"/>
              <w:lang w:val="en-GB"/>
            </w:rPr>
            <w:br/>
          </m:r>
        </m:oMath>
        <m:oMath>
          <m:sSub>
            <m:sSubPr>
              <m:ctrlPr>
                <w:rPr>
                  <w:rFonts w:ascii="Cambria Math" w:hAnsi="Cambria Math"/>
                  <w:lang w:val="en-GB"/>
                </w:rPr>
              </m:ctrlPr>
            </m:sSubPr>
            <m:e>
              <m:r>
                <m:rPr>
                  <m:sty m:val="p"/>
                </m:rPr>
                <w:rPr>
                  <w:rFonts w:ascii="Cambria Math" w:hAnsi="Cambria Math"/>
                  <w:lang w:val="en-GB"/>
                </w:rPr>
                <m:t>I</m:t>
              </m:r>
            </m:e>
            <m:sub>
              <m:r>
                <m:rPr>
                  <m:sty m:val="p"/>
                </m:rPr>
                <w:rPr>
                  <w:rFonts w:ascii="Cambria Math" w:hAnsi="Cambria Math"/>
                  <w:lang w:val="en-GB"/>
                </w:rPr>
                <m:t>A,u,a</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0</m:t>
                  </m:r>
                </m:sub>
              </m:sSub>
            </m:e>
          </m:d>
          <m:r>
            <m:rPr>
              <m:sty m:val="p"/>
              <m:aln/>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m:rPr>
                              <m:sty m:val="p"/>
                            </m:rPr>
                            <w:rPr>
                              <w:rFonts w:ascii="Cambria Math" w:hAnsi="Cambria Math"/>
                              <w:lang w:val="en-GB"/>
                            </w:rPr>
                            <m:t>E</m:t>
                          </m:r>
                        </m:e>
                        <m:sub>
                          <m:r>
                            <m:rPr>
                              <m:sty m:val="p"/>
                            </m:rPr>
                            <w:rPr>
                              <w:rFonts w:ascii="Cambria Math" w:hAnsi="Cambria Math"/>
                              <w:lang w:val="en-GB"/>
                            </w:rPr>
                            <m:t>a</m:t>
                          </m:r>
                        </m:sub>
                        <m:sup>
                          <m:r>
                            <m:rPr>
                              <m:sty m:val="p"/>
                            </m:rPr>
                            <w:rPr>
                              <w:rFonts w:ascii="Cambria Math" w:hAnsi="Cambria Math"/>
                              <w:lang w:val="en-GB"/>
                            </w:rPr>
                            <m:t>+</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0</m:t>
                              </m:r>
                            </m:sub>
                          </m:sSub>
                        </m:e>
                      </m:d>
                    </m:num>
                    <m:den>
                      <m:sSub>
                        <m:sSubPr>
                          <m:ctrlPr>
                            <w:rPr>
                              <w:rFonts w:ascii="Cambria Math" w:hAnsi="Cambria Math"/>
                              <w:lang w:val="en-GB"/>
                            </w:rPr>
                          </m:ctrlPr>
                        </m:sSubPr>
                        <m:e>
                          <m:r>
                            <m:rPr>
                              <m:sty m:val="p"/>
                            </m:rPr>
                            <w:rPr>
                              <w:rFonts w:ascii="Cambria Math" w:hAnsi="Cambria Math"/>
                              <w:lang w:val="en-GB"/>
                            </w:rPr>
                            <m:t>β</m:t>
                          </m:r>
                        </m:e>
                        <m:sub>
                          <m:r>
                            <m:rPr>
                              <m:sty m:val="p"/>
                            </m:rPr>
                            <w:rPr>
                              <w:rFonts w:ascii="Cambria Math" w:hAnsi="Cambria Math"/>
                              <w:lang w:val="en-GB"/>
                            </w:rPr>
                            <m:t>0</m:t>
                          </m:r>
                        </m:sub>
                      </m:sSub>
                    </m:den>
                  </m:f>
                </m:e>
              </m:d>
            </m:e>
            <m:sup>
              <m:r>
                <m:rPr>
                  <m:sty m:val="p"/>
                </m:rPr>
                <w:rPr>
                  <w:rFonts w:ascii="Cambria Math" w:hAnsi="Cambria Math"/>
                  <w:lang w:val="en-GB"/>
                </w:rPr>
                <m:t>1/α</m:t>
              </m:r>
            </m:sup>
          </m:sSup>
        </m:oMath>
      </m:oMathPara>
    </w:p>
    <w:p w14:paraId="78338CA7" w14:textId="498883F0" w:rsidR="00A03749" w:rsidRPr="006A0823" w:rsidRDefault="001021C9" w:rsidP="00BC3AE0">
      <w:r w:rsidRPr="006A0823">
        <w:rPr>
          <w:lang w:val="en-GB"/>
        </w:rPr>
        <w:t xml:space="preserve">where </w:t>
      </w:r>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a</m:t>
            </m:r>
          </m:sub>
          <m:sup>
            <m:r>
              <w:rPr>
                <w:rFonts w:ascii="Cambria Math" w:hAnsi="Cambria Math"/>
                <w:lang w:val="en-GB"/>
              </w:rPr>
              <m:t>+</m:t>
            </m:r>
          </m:sup>
        </m:sSubSup>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0</m:t>
                </m:r>
              </m:sub>
            </m:sSub>
          </m:e>
        </m:d>
        <m:r>
          <w:rPr>
            <w:rFonts w:ascii="Cambria Math" w:eastAsiaTheme="minorEastAsia" w:hAnsi="Cambria Math"/>
            <w:lang w:val="en-GB"/>
          </w:rPr>
          <m:t>=</m:t>
        </m:r>
        <m:f>
          <m:fPr>
            <m:ctrlPr>
              <w:rPr>
                <w:rFonts w:ascii="Cambria Math" w:eastAsiaTheme="minorEastAsia" w:hAnsi="Cambria Math"/>
                <w:i/>
                <w:lang w:val="en-GB"/>
              </w:rPr>
            </m:ctrlPr>
          </m:fPr>
          <m:num>
            <m:sSub>
              <m:sSubPr>
                <m:ctrlPr>
                  <w:rPr>
                    <w:rFonts w:ascii="Cambria Math" w:eastAsiaTheme="minorEastAsia" w:hAnsi="Cambria Math"/>
                    <w:i/>
                    <w:lang w:val="en-GB"/>
                  </w:rPr>
                </m:ctrlPr>
              </m:sSubPr>
              <m:e>
                <m:r>
                  <w:rPr>
                    <w:rFonts w:ascii="Cambria Math" w:eastAsiaTheme="minorEastAsia" w:hAnsi="Cambria Math"/>
                    <w:lang w:val="en-GB"/>
                  </w:rPr>
                  <m:t>N</m:t>
                </m:r>
              </m:e>
              <m:sub>
                <m:r>
                  <w:rPr>
                    <w:rFonts w:ascii="Cambria Math" w:eastAsiaTheme="minorEastAsia" w:hAnsi="Cambria Math"/>
                    <w:lang w:val="en-GB"/>
                  </w:rPr>
                  <m:t>a</m:t>
                </m:r>
              </m:sub>
            </m:sSub>
          </m:num>
          <m:den>
            <m:r>
              <w:rPr>
                <w:rFonts w:ascii="Cambria Math" w:eastAsiaTheme="minorEastAsia" w:hAnsi="Cambria Math"/>
                <w:lang w:val="en-GB"/>
              </w:rPr>
              <m:t>N</m:t>
            </m:r>
          </m:den>
        </m:f>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m:t>
            </m:r>
          </m:sup>
        </m:sSup>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0</m:t>
                </m:r>
              </m:sub>
            </m:sSub>
          </m:e>
        </m:d>
      </m:oMath>
      <w:r w:rsidRPr="006A0823">
        <w:rPr>
          <w:rFonts w:eastAsiaTheme="minorEastAsia"/>
          <w:lang w:val="en-GB"/>
        </w:rPr>
        <w:t xml:space="preserve"> is the total number of infections on the first day of the pandemic </w:t>
      </w:r>
      <w:r w:rsidR="00D33606" w:rsidRPr="006A0823">
        <w:rPr>
          <w:rFonts w:eastAsiaTheme="minorEastAsia"/>
          <w:lang w:val="en-GB"/>
        </w:rPr>
        <w:t xml:space="preserve">in age group </w:t>
      </w:r>
      <m:oMath>
        <m:r>
          <w:rPr>
            <w:rFonts w:ascii="Cambria Math" w:eastAsiaTheme="minorEastAsia" w:hAnsi="Cambria Math"/>
            <w:lang w:val="en-GB"/>
          </w:rPr>
          <m:t>a</m:t>
        </m:r>
      </m:oMath>
      <w:r w:rsidR="00241425" w:rsidRPr="006A0823">
        <w:rPr>
          <w:rFonts w:eastAsiaTheme="minorEastAsia"/>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0</m:t>
            </m:r>
          </m:sub>
        </m:sSub>
      </m:oMath>
      <w:r w:rsidR="00241425" w:rsidRPr="006A0823">
        <w:rPr>
          <w:rFonts w:eastAsiaTheme="minorEastAsia"/>
          <w:lang w:val="en-GB"/>
        </w:rPr>
        <w:t xml:space="preserve"> is an initial estimate of transmission intensity (assumed to be 2.0 in the first model parameterization and taken from prior model results in the second)</w:t>
      </w:r>
      <w:r w:rsidR="00D33606" w:rsidRPr="006A0823">
        <w:rPr>
          <w:rFonts w:eastAsiaTheme="minorEastAsia"/>
          <w:lang w:val="en-GB"/>
        </w:rPr>
        <w:t>. All other SEI compartments are set to 0</w:t>
      </w:r>
      <w:r w:rsidR="009B1EFD" w:rsidRPr="006A0823">
        <w:rPr>
          <w:rFonts w:eastAsiaTheme="minorEastAsia"/>
          <w:lang w:val="en-GB"/>
        </w:rPr>
        <w:t xml:space="preserve">.  </w:t>
      </w:r>
      <w:r w:rsidR="00870ECD" w:rsidRPr="006A0823">
        <w:rPr>
          <w:rFonts w:eastAsiaTheme="minorEastAsia"/>
          <w:lang w:val="en-GB"/>
        </w:rPr>
        <w:t>The model</w:t>
      </w:r>
      <w:r w:rsidR="0025376D" w:rsidRPr="006A0823">
        <w:rPr>
          <w:lang w:val="en-GB"/>
        </w:rPr>
        <w:t xml:space="preserve"> also has a boundary condition that requires intervention when </w:t>
      </w:r>
      <w:r w:rsidR="00870ECD" w:rsidRPr="006A0823">
        <w:rPr>
          <w:lang w:val="en-GB"/>
        </w:rPr>
        <w:t>new</w:t>
      </w:r>
      <w:r w:rsidR="0025376D" w:rsidRPr="006A0823">
        <w:rPr>
          <w:lang w:val="en-GB"/>
        </w:rPr>
        <w:t xml:space="preserve"> variants </w:t>
      </w:r>
      <w:r w:rsidR="00870ECD" w:rsidRPr="006A0823">
        <w:rPr>
          <w:lang w:val="en-GB"/>
        </w:rPr>
        <w:t>invade a particular lo</w:t>
      </w:r>
      <w:r w:rsidR="004E50CA" w:rsidRPr="006A0823">
        <w:rPr>
          <w:lang w:val="en-GB"/>
        </w:rPr>
        <w:t>c</w:t>
      </w:r>
      <w:r w:rsidR="00870ECD" w:rsidRPr="006A0823">
        <w:rPr>
          <w:lang w:val="en-GB"/>
        </w:rPr>
        <w:t>ation</w:t>
      </w:r>
      <w:r w:rsidR="0025376D" w:rsidRPr="006A0823">
        <w:rPr>
          <w:lang w:val="en-GB"/>
        </w:rPr>
        <w:t xml:space="preserve">. The invasion date </w:t>
      </w:r>
      <m:oMath>
        <m:r>
          <w:rPr>
            <w:rFonts w:ascii="Cambria Math" w:hAnsi="Cambria Math"/>
            <w:lang w:val="en-GB"/>
          </w:rPr>
          <m:t>τ</m:t>
        </m:r>
      </m:oMath>
      <w:r w:rsidR="0025376D" w:rsidRPr="006A0823">
        <w:rPr>
          <w:lang w:val="en-GB"/>
        </w:rPr>
        <w:t xml:space="preserve"> for </w:t>
      </w:r>
      <w:r w:rsidR="00870ECD" w:rsidRPr="006A0823">
        <w:rPr>
          <w:lang w:val="en-GB"/>
        </w:rPr>
        <w:t>a variant</w:t>
      </w:r>
      <w:r w:rsidR="0025376D" w:rsidRPr="006A0823">
        <w:rPr>
          <w:lang w:val="en-GB"/>
        </w:rPr>
        <w:t xml:space="preserve"> is determined </w:t>
      </w:r>
      <w:r w:rsidR="00EB3B7B" w:rsidRPr="006A0823">
        <w:rPr>
          <w:lang w:val="en-GB"/>
        </w:rPr>
        <w:t>by</w:t>
      </w:r>
      <w:r w:rsidR="00870ECD" w:rsidRPr="006A0823">
        <w:rPr>
          <w:lang w:val="en-GB"/>
        </w:rPr>
        <w:t xml:space="preserve"> our model described in </w:t>
      </w:r>
      <w:r w:rsidR="00831918" w:rsidRPr="006A0823">
        <w:rPr>
          <w:lang w:val="en-GB"/>
        </w:rPr>
        <w:t>section 5</w:t>
      </w:r>
      <w:r w:rsidR="00C82B66" w:rsidRPr="006A0823">
        <w:rPr>
          <w:lang w:val="en-GB"/>
        </w:rPr>
        <w:t>.1</w:t>
      </w:r>
      <w:r w:rsidR="0025376D" w:rsidRPr="006A0823">
        <w:rPr>
          <w:lang w:val="en-GB"/>
        </w:rPr>
        <w:t xml:space="preserve">. At this point we adjust the system state so that </w:t>
      </w:r>
      <m:oMath>
        <m:r>
          <w:rPr>
            <w:rFonts w:ascii="Cambria Math" w:hAnsi="Cambria Math"/>
            <w:lang w:val="en-GB"/>
          </w:rPr>
          <m:t>δ=</m:t>
        </m:r>
        <m:func>
          <m:funcPr>
            <m:ctrlPr>
              <w:rPr>
                <w:rFonts w:ascii="Cambria Math" w:hAnsi="Cambria Math"/>
                <w:i/>
                <w:lang w:val="en-GB"/>
              </w:rPr>
            </m:ctrlPr>
          </m:funcPr>
          <m:fName>
            <m:r>
              <m:rPr>
                <m:sty m:val="p"/>
              </m:rPr>
              <w:rPr>
                <w:rFonts w:ascii="Cambria Math" w:hAnsi="Cambria Math"/>
                <w:lang w:val="en-GB"/>
              </w:rPr>
              <m:t>min(max</m:t>
            </m:r>
          </m:fName>
          <m:e>
            <m:d>
              <m:dPr>
                <m:ctrlPr>
                  <w:rPr>
                    <w:rFonts w:ascii="Cambria Math" w:hAnsi="Cambria Math"/>
                    <w:i/>
                    <w:lang w:val="en-GB"/>
                  </w:rPr>
                </m:ctrlPr>
              </m:dPr>
              <m:e>
                <m:r>
                  <w:rPr>
                    <w:rFonts w:ascii="Cambria Math" w:hAnsi="Cambria Math"/>
                    <w:lang w:val="en-GB"/>
                  </w:rPr>
                  <m:t>πE, 1</m:t>
                </m:r>
              </m:e>
            </m:d>
            <m:r>
              <w:rPr>
                <w:rFonts w:ascii="Cambria Math" w:hAnsi="Cambria Math"/>
                <w:lang w:val="en-GB"/>
              </w:rPr>
              <m:t>, 0.005*S)</m:t>
            </m:r>
          </m:e>
        </m:func>
      </m:oMath>
      <w:r w:rsidR="0025376D" w:rsidRPr="006A0823">
        <w:rPr>
          <w:lang w:val="en-GB"/>
        </w:rPr>
        <w:t xml:space="preserve"> people move from the susceptible compartment to </w:t>
      </w:r>
      <w:r w:rsidR="00241425" w:rsidRPr="006A0823">
        <w:rPr>
          <w:lang w:val="en-GB"/>
        </w:rPr>
        <w:t>exposed with the new</w:t>
      </w:r>
      <w:r w:rsidR="0025376D" w:rsidRPr="006A0823">
        <w:rPr>
          <w:lang w:val="en-GB"/>
        </w:rPr>
        <w:t xml:space="preserve"> variant. Additionally, we send </w:t>
      </w:r>
      <m:oMath>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δ</m:t>
                    </m:r>
                  </m:num>
                  <m:den>
                    <m:r>
                      <w:rPr>
                        <w:rFonts w:ascii="Cambria Math" w:hAnsi="Cambria Math"/>
                        <w:lang w:val="en-GB"/>
                      </w:rPr>
                      <m:t>2</m:t>
                    </m:r>
                  </m:den>
                </m:f>
              </m:e>
            </m:d>
          </m:e>
          <m:sup>
            <m:r>
              <w:rPr>
                <w:rFonts w:ascii="Cambria Math" w:hAnsi="Cambria Math"/>
                <w:lang w:val="en-GB"/>
              </w:rPr>
              <m:t>1/α</m:t>
            </m:r>
          </m:sup>
        </m:sSup>
      </m:oMath>
      <w:r w:rsidR="0025376D" w:rsidRPr="006A0823">
        <w:rPr>
          <w:lang w:val="en-GB"/>
        </w:rPr>
        <w:t xml:space="preserve"> people from the appropriate </w:t>
      </w:r>
      <w:r w:rsidR="00241425" w:rsidRPr="006A0823">
        <w:rPr>
          <w:lang w:val="en-GB"/>
        </w:rPr>
        <w:t>susceptible</w:t>
      </w:r>
      <w:r w:rsidR="0025376D" w:rsidRPr="006A0823">
        <w:rPr>
          <w:lang w:val="en-GB"/>
        </w:rPr>
        <w:t xml:space="preserve"> to </w:t>
      </w:r>
      <w:r w:rsidR="00241425" w:rsidRPr="006A0823">
        <w:rPr>
          <w:lang w:val="en-GB"/>
        </w:rPr>
        <w:t xml:space="preserve">infectious with </w:t>
      </w:r>
      <w:r w:rsidR="0025376D" w:rsidRPr="006A0823">
        <w:rPr>
          <w:lang w:val="en-GB"/>
        </w:rPr>
        <w:t xml:space="preserve">the </w:t>
      </w:r>
      <w:r w:rsidR="00241425" w:rsidRPr="006A0823">
        <w:rPr>
          <w:lang w:val="en-GB"/>
        </w:rPr>
        <w:t>new variant</w:t>
      </w:r>
      <w:r w:rsidR="0025376D" w:rsidRPr="006A0823">
        <w:rPr>
          <w:lang w:val="en-GB"/>
        </w:rPr>
        <w:t xml:space="preserve">. This mirrors the way we initialize the system. Here </w:t>
      </w:r>
      <m:oMath>
        <m:r>
          <w:rPr>
            <w:rFonts w:ascii="Cambria Math" w:hAnsi="Cambria Math"/>
            <w:lang w:val="en-GB"/>
          </w:rPr>
          <m:t>π</m:t>
        </m:r>
      </m:oMath>
      <w:r w:rsidR="0025376D" w:rsidRPr="006A0823">
        <w:rPr>
          <w:lang w:val="en-GB"/>
        </w:rPr>
        <w:t xml:space="preserve"> is a proportion sampled from </w:t>
      </w:r>
      <m:oMath>
        <m:r>
          <w:rPr>
            <w:rFonts w:ascii="Cambria Math" w:hAnsi="Cambria Math"/>
            <w:lang w:val="en-GB"/>
          </w:rPr>
          <m:t>U[0.01, 0.10]</m:t>
        </m:r>
      </m:oMath>
      <w:r w:rsidR="0025376D" w:rsidRPr="006A0823">
        <w:rPr>
          <w:lang w:val="en-GB"/>
        </w:rPr>
        <w:t xml:space="preserve"> and used to encode our observation that the speed of escape variant invasion is positively correlated with the size of the outbreak in a location where it invades.</w:t>
      </w:r>
    </w:p>
    <w:p w14:paraId="733B2529" w14:textId="4FE75D92" w:rsidR="0098349D" w:rsidRPr="006A0823" w:rsidRDefault="3CAEF03E" w:rsidP="00BC3AE0">
      <w:pPr>
        <w:rPr>
          <w:lang w:val="en-GB"/>
        </w:rPr>
      </w:pPr>
      <w:r w:rsidRPr="006A0823">
        <w:rPr>
          <w:lang w:val="en-GB"/>
        </w:rPr>
        <w:t xml:space="preserve">To solve our system of integro-differential equations, we used a custom implementation of </w:t>
      </w:r>
      <w:r w:rsidR="789BDABF" w:rsidRPr="006A0823">
        <w:rPr>
          <w:lang w:val="en-GB"/>
        </w:rPr>
        <w:t>the classic 4</w:t>
      </w:r>
      <w:r w:rsidR="789BDABF" w:rsidRPr="006A0823">
        <w:rPr>
          <w:vertAlign w:val="superscript"/>
          <w:lang w:val="en-GB"/>
        </w:rPr>
        <w:t>th</w:t>
      </w:r>
      <w:r w:rsidR="789BDABF" w:rsidRPr="006A0823">
        <w:rPr>
          <w:lang w:val="en-GB"/>
        </w:rPr>
        <w:t xml:space="preserve"> order Runge-</w:t>
      </w:r>
      <w:proofErr w:type="spellStart"/>
      <w:r w:rsidR="789BDABF" w:rsidRPr="006A0823">
        <w:rPr>
          <w:lang w:val="en-GB"/>
        </w:rPr>
        <w:t>Kutta</w:t>
      </w:r>
      <w:proofErr w:type="spellEnd"/>
      <w:r w:rsidR="789BDABF" w:rsidRPr="006A0823">
        <w:rPr>
          <w:lang w:val="en-GB"/>
        </w:rPr>
        <w:t xml:space="preserve"> solver.</w:t>
      </w:r>
      <w:r w:rsidR="00EE52BA" w:rsidRPr="006A0823">
        <w:rPr>
          <w:color w:val="2B579A"/>
          <w:shd w:val="clear" w:color="auto" w:fill="E6E6E6"/>
          <w:lang w:val="en-GB"/>
        </w:rPr>
        <w:fldChar w:fldCharType="begin"/>
      </w:r>
      <w:r w:rsidR="00851DCE" w:rsidRPr="006A0823">
        <w:rPr>
          <w:lang w:val="en-GB"/>
        </w:rPr>
        <w:instrText xml:space="preserve"> ADDIN ZOTERO_ITEM CSL_CITATION {"citationID":"A6PNUgEv","properties":{"formattedCitation":"\\super 38\\nosupersub{}","plainCitation":"38","noteIndex":0},"citationItems":[{"id":21728,"uris":["http://zotero.org/groups/2154524/items/9YLIR6Z3"],"itemData":{"id":21728,"type":"chapter","container-title":"Numerical Recipes: The Art of Scientific Computing","edition":"3rd edition","event-place":"Cambridge, UK ; New York","ISBN":"978-0-521-88068-8","language":"English","publisher":"Cambridge University Press","publisher-place":"Cambridge, UK ; New York","source":"Amazon","title":"Section 17.1 Runge-Kutta Method","author":[{"family":"Press","given":"William H."},{"literal":"Teukolsky, Saul A"},{"literal":"Vetterling, William T"},{"literal":"Flannery, Brian P"}],"issued":{"date-parts":[["2007",9,1]]}}}],"schema":"https://github.com/citation-style-language/schema/raw/master/csl-citation.json"} </w:instrText>
      </w:r>
      <w:r w:rsidR="00EE52BA" w:rsidRPr="006A0823">
        <w:rPr>
          <w:color w:val="2B579A"/>
          <w:shd w:val="clear" w:color="auto" w:fill="E6E6E6"/>
          <w:lang w:val="en-GB"/>
        </w:rPr>
        <w:fldChar w:fldCharType="separate"/>
      </w:r>
      <w:r w:rsidR="00851DCE" w:rsidRPr="006A0823">
        <w:rPr>
          <w:vertAlign w:val="superscript"/>
        </w:rPr>
        <w:t>38</w:t>
      </w:r>
      <w:r w:rsidR="00EE52BA" w:rsidRPr="006A0823">
        <w:rPr>
          <w:color w:val="2B579A"/>
          <w:shd w:val="clear" w:color="auto" w:fill="E6E6E6"/>
          <w:lang w:val="en-GB"/>
        </w:rPr>
        <w:fldChar w:fldCharType="end"/>
      </w:r>
      <w:r w:rsidR="789BDABF" w:rsidRPr="006A0823">
        <w:rPr>
          <w:lang w:val="en-GB"/>
        </w:rPr>
        <w:t xml:space="preserve"> The standard implementation is expanded both to allow boundary conditions beyond the initial condition to handle the emergence of new variants and to allow the periodic computation of the integral terms on a coarser step size than the non-integral terms. We used a step size of 0.1 days and recomputed the infection-derived immunity integrals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I</m:t>
            </m:r>
          </m:sup>
        </m:sSup>
      </m:oMath>
      <w:r w:rsidR="789BDABF" w:rsidRPr="006A0823">
        <w:rPr>
          <w:rFonts w:eastAsiaTheme="minorEastAsia"/>
          <w:lang w:val="en-GB"/>
        </w:rPr>
        <w:t xml:space="preserve"> and </w:t>
      </w:r>
      <m:oMath>
        <m:sSup>
          <m:sSupPr>
            <m:ctrlPr>
              <w:rPr>
                <w:rFonts w:ascii="Cambria Math" w:eastAsiaTheme="minorEastAsia" w:hAnsi="Cambria Math"/>
                <w:i/>
                <w:lang w:val="en-GB"/>
              </w:rPr>
            </m:ctrlPr>
          </m:sSupPr>
          <m:e>
            <m:r>
              <w:rPr>
                <w:rFonts w:ascii="Cambria Math" w:eastAsiaTheme="minorEastAsia" w:hAnsi="Cambria Math"/>
                <w:lang w:val="en-GB"/>
              </w:rPr>
              <m:t>χ</m:t>
            </m:r>
          </m:e>
          <m:sup>
            <m:r>
              <w:rPr>
                <w:rFonts w:ascii="Cambria Math" w:eastAsiaTheme="minorEastAsia" w:hAnsi="Cambria Math"/>
                <w:lang w:val="en-GB"/>
              </w:rPr>
              <m:t>Z</m:t>
            </m:r>
          </m:sup>
        </m:sSup>
      </m:oMath>
      <w:r w:rsidR="789BDABF" w:rsidRPr="006A0823">
        <w:rPr>
          <w:rFonts w:eastAsiaTheme="minorEastAsia"/>
          <w:lang w:val="en-GB"/>
        </w:rPr>
        <w:t xml:space="preserve"> every tenth time step.</w:t>
      </w:r>
      <w:r w:rsidR="4AE25C47" w:rsidRPr="006A0823">
        <w:rPr>
          <w:rFonts w:eastAsiaTheme="minorEastAsia"/>
          <w:lang w:val="en-GB"/>
        </w:rPr>
        <w:t xml:space="preserve"> The model was </w:t>
      </w:r>
      <w:r w:rsidR="789BDABF" w:rsidRPr="006A0823">
        <w:rPr>
          <w:lang w:val="en-GB"/>
        </w:rPr>
        <w:t>written using Python 3.7 and optimized with NumPy</w:t>
      </w:r>
      <w:r w:rsidR="00DD237D" w:rsidRPr="006A0823">
        <w:rPr>
          <w:color w:val="2B579A"/>
          <w:shd w:val="clear" w:color="auto" w:fill="E6E6E6"/>
          <w:lang w:val="en-GB"/>
        </w:rPr>
        <w:fldChar w:fldCharType="begin"/>
      </w:r>
      <w:r w:rsidR="00851DCE" w:rsidRPr="006A0823">
        <w:rPr>
          <w:lang w:val="en-GB"/>
        </w:rPr>
        <w:instrText xml:space="preserve"> ADDIN ZOTERO_ITEM CSL_CITATION {"citationID":"a1mi3b6q27n","properties":{"formattedCitation":"\\super 39\\nosupersub{}","plainCitation":"39","noteIndex":0},"citationItems":[{"id":932,"uris":["http://zotero.org/groups/2154524/items/IBGIAM8F"],"itemData":{"id":932,"type":"article-journal","container-title":"Nature","issue":"7825","note":"publisher: Nature Publishing Group","page":"357–362","source":"Google Scholar","title":"Array programming with NumPy","volume":"585","author":[{"family":"Harris","given":"Charles R."},{"family":"Millman","given":"K. Jarrod"},{"family":"Walt","given":"Stéfan J.","non-dropping-particle":"van der"},{"family":"Gommers","given":"Ralf"},{"family":"Virtanen","given":"Pauli"},{"family":"Cournapeau","given":"David"},{"family":"Wieser","given":"Eric"},{"family":"Taylor","given":"Julian"},{"family":"Berg","given":"Sebastian"},{"family":"Smith","given":"Nathaniel J."}],"issued":{"date-parts":[["2020"]]}}}],"schema":"https://github.com/citation-style-language/schema/raw/master/csl-citation.json"} </w:instrText>
      </w:r>
      <w:r w:rsidR="00DD237D" w:rsidRPr="006A0823">
        <w:rPr>
          <w:color w:val="2B579A"/>
          <w:shd w:val="clear" w:color="auto" w:fill="E6E6E6"/>
          <w:lang w:val="en-GB"/>
        </w:rPr>
        <w:fldChar w:fldCharType="separate"/>
      </w:r>
      <w:r w:rsidR="00851DCE" w:rsidRPr="006A0823">
        <w:rPr>
          <w:sz w:val="22"/>
          <w:vertAlign w:val="superscript"/>
        </w:rPr>
        <w:t>39</w:t>
      </w:r>
      <w:r w:rsidR="00DD237D" w:rsidRPr="006A0823">
        <w:rPr>
          <w:color w:val="2B579A"/>
          <w:shd w:val="clear" w:color="auto" w:fill="E6E6E6"/>
          <w:lang w:val="en-GB"/>
        </w:rPr>
        <w:fldChar w:fldCharType="end"/>
      </w:r>
      <w:r w:rsidR="789BDABF" w:rsidRPr="006A0823">
        <w:rPr>
          <w:lang w:val="en-GB"/>
        </w:rPr>
        <w:t xml:space="preserve"> and Numba.</w:t>
      </w:r>
      <w:r w:rsidR="00DD237D" w:rsidRPr="006A0823">
        <w:rPr>
          <w:color w:val="2B579A"/>
          <w:shd w:val="clear" w:color="auto" w:fill="E6E6E6"/>
          <w:lang w:val="en-GB"/>
        </w:rPr>
        <w:fldChar w:fldCharType="begin"/>
      </w:r>
      <w:r w:rsidR="00851DCE" w:rsidRPr="006A0823">
        <w:rPr>
          <w:lang w:val="en-GB"/>
        </w:rPr>
        <w:instrText xml:space="preserve"> ADDIN ZOTERO_ITEM CSL_CITATION {"citationID":"a1bcivr0nun","properties":{"formattedCitation":"\\super 40\\nosupersub{}","plainCitation":"40","noteIndex":0},"citationItems":[{"id":929,"uris":["http://zotero.org/groups/2154524/items/UN8KL3EH"],"itemData":{"id":929,"type":"paper-conference","container-title":"Proceedings of the Second Workshop on the LLVM Compiler Infrastructure in HPC","page":"1–6","source":"Google Scholar","title":"Numba: A llvm-based python jit compiler","title-short":"Numba","author":[{"family":"Lam","given":"Siu Kwan"},{"family":"Pitrou","given":"Antoine"},{"family":"Seibert","given":"Stanley"}],"issued":{"date-parts":[["2015"]]}}}],"schema":"https://github.com/citation-style-language/schema/raw/master/csl-citation.json"} </w:instrText>
      </w:r>
      <w:r w:rsidR="00DD237D" w:rsidRPr="006A0823">
        <w:rPr>
          <w:color w:val="2B579A"/>
          <w:shd w:val="clear" w:color="auto" w:fill="E6E6E6"/>
          <w:lang w:val="en-GB"/>
        </w:rPr>
        <w:fldChar w:fldCharType="separate"/>
      </w:r>
      <w:r w:rsidR="00851DCE" w:rsidRPr="006A0823">
        <w:rPr>
          <w:sz w:val="22"/>
          <w:vertAlign w:val="superscript"/>
        </w:rPr>
        <w:t>40</w:t>
      </w:r>
      <w:r w:rsidR="00DD237D" w:rsidRPr="006A0823">
        <w:rPr>
          <w:color w:val="2B579A"/>
          <w:shd w:val="clear" w:color="auto" w:fill="E6E6E6"/>
          <w:lang w:val="en-GB"/>
        </w:rPr>
        <w:fldChar w:fldCharType="end"/>
      </w:r>
      <w:r w:rsidR="789BDABF" w:rsidRPr="006A0823">
        <w:rPr>
          <w:lang w:val="en-GB"/>
        </w:rPr>
        <w:t xml:space="preserve"> A</w:t>
      </w:r>
      <w:r w:rsidRPr="006A0823">
        <w:rPr>
          <w:lang w:val="en-GB"/>
        </w:rPr>
        <w:t>ll modelling code is available online.</w:t>
      </w:r>
      <w:r w:rsidR="0098349D" w:rsidRPr="006A0823">
        <w:rPr>
          <w:color w:val="2B579A"/>
          <w:shd w:val="clear" w:color="auto" w:fill="E6E6E6"/>
          <w:lang w:val="en-GB"/>
        </w:rPr>
        <w:fldChar w:fldCharType="begin"/>
      </w:r>
      <w:r w:rsidR="00851DCE" w:rsidRPr="006A0823">
        <w:rPr>
          <w:lang w:val="en-GB"/>
        </w:rPr>
        <w:instrText xml:space="preserve"> ADDIN ZOTERO_ITEM CSL_CITATION {"citationID":"S2afVQIb","properties":{"formattedCitation":"\\super 41\\nosupersub{}","plainCitation":"41","noteIndex":0},"citationItems":[{"id":956,"uris":["http://zotero.org/groups/2154524/items/9WJCXI9M"],"itemData":{"id":956,"type":"software","abstract":"This model fits transmission dynamics to past infections and forecasts the state of the epidemic into the future.","note":"DOI: 10.5281/zenodo.5081067","publisher":"Zenodo","source":"Zenodo","title":"IHME COVID-19 forecasting model","URL":"https://zenodo.org/record/5081067","author":[{"family":"Collins","given":"James K."},{"family":"Bannick","given":"Marlena"},{"family":"Zheng","given":"Peng"},{"family":"Richards","given":"Michael"},{"family":"Barber","given":"Ryan"},{"family":"Sandar","given":"Logan"},{"family":"Sholokhov","given":"Aleksei"},{"family":"Zhang","given":"Jize"}],"accessed":{"date-parts":[["2021",7,8]]},"issued":{"date-parts":[["2021",7,7]]}}}],"schema":"https://github.com/citation-style-language/schema/raw/master/csl-citation.json"} </w:instrText>
      </w:r>
      <w:r w:rsidR="0098349D" w:rsidRPr="006A0823">
        <w:rPr>
          <w:color w:val="2B579A"/>
          <w:shd w:val="clear" w:color="auto" w:fill="E6E6E6"/>
          <w:lang w:val="en-GB"/>
        </w:rPr>
        <w:fldChar w:fldCharType="separate"/>
      </w:r>
      <w:r w:rsidR="00851DCE" w:rsidRPr="006A0823">
        <w:rPr>
          <w:sz w:val="22"/>
          <w:vertAlign w:val="superscript"/>
        </w:rPr>
        <w:t>41</w:t>
      </w:r>
      <w:r w:rsidR="0098349D" w:rsidRPr="006A0823">
        <w:rPr>
          <w:color w:val="2B579A"/>
          <w:shd w:val="clear" w:color="auto" w:fill="E6E6E6"/>
          <w:lang w:val="en-GB"/>
        </w:rPr>
        <w:fldChar w:fldCharType="end"/>
      </w:r>
      <w:r w:rsidR="579D55A6" w:rsidRPr="006A0823">
        <w:rPr>
          <w:lang w:val="en-GB"/>
        </w:rPr>
        <w:t xml:space="preserve"> Comprehensive diagnostics for our model and all future scenarios can be found in Appendix 4.</w:t>
      </w:r>
    </w:p>
    <w:p w14:paraId="05AC7639" w14:textId="453A8AF4" w:rsidR="00981017" w:rsidRPr="006A0823" w:rsidRDefault="7AE84D5B" w:rsidP="00BC3AE0">
      <w:pPr>
        <w:pStyle w:val="Heading1"/>
        <w:rPr>
          <w:lang w:val="en-GB"/>
        </w:rPr>
      </w:pPr>
      <w:bookmarkStart w:id="319" w:name="_Toc76457865"/>
      <w:bookmarkStart w:id="320" w:name="_Toc76653824"/>
      <w:bookmarkStart w:id="321" w:name="_Toc76726293"/>
      <w:bookmarkStart w:id="322" w:name="_Toc76727601"/>
      <w:bookmarkStart w:id="323" w:name="_Toc76840520"/>
      <w:bookmarkStart w:id="324" w:name="_Toc104249379"/>
      <w:bookmarkStart w:id="325" w:name="_Toc104252107"/>
      <w:bookmarkStart w:id="326" w:name="_Toc124499510"/>
      <w:r w:rsidRPr="006A0823">
        <w:rPr>
          <w:lang w:val="en-GB"/>
        </w:rPr>
        <w:t>Estimating infections in the past</w:t>
      </w:r>
      <w:bookmarkEnd w:id="319"/>
      <w:bookmarkEnd w:id="320"/>
      <w:bookmarkEnd w:id="321"/>
      <w:bookmarkEnd w:id="322"/>
      <w:bookmarkEnd w:id="323"/>
      <w:bookmarkEnd w:id="324"/>
      <w:bookmarkEnd w:id="325"/>
      <w:bookmarkEnd w:id="326"/>
    </w:p>
    <w:p w14:paraId="60C4A667" w14:textId="7A8CBE6E" w:rsidR="00865CA3" w:rsidRPr="006A0823" w:rsidRDefault="00865CA3" w:rsidP="00BC3AE0">
      <w:pPr>
        <w:rPr>
          <w:lang w:val="en-GB"/>
        </w:rPr>
      </w:pPr>
      <w:r w:rsidRPr="006A0823">
        <w:rPr>
          <w:lang w:val="en-GB"/>
        </w:rPr>
        <w:t>The past infection estimation process produces robust estimates of SARS-CoV-2 infections through the full history of the pandemic by location. It also produces posterior estimates of past infection-detection, infection-hospitalization, and infection-detection ratios that link the modelled infections to reported cases, deaths,</w:t>
      </w:r>
      <w:r w:rsidR="007907FC" w:rsidRPr="006A0823">
        <w:rPr>
          <w:lang w:val="en-GB"/>
        </w:rPr>
        <w:t xml:space="preserve"> and hospital admissions</w:t>
      </w:r>
      <w:r w:rsidRPr="006A0823">
        <w:rPr>
          <w:lang w:val="en-GB"/>
        </w:rPr>
        <w:t xml:space="preserve">. We begin by </w:t>
      </w:r>
      <w:r w:rsidRPr="006A0823">
        <w:t>using</w:t>
      </w:r>
      <w:r w:rsidRPr="006A0823">
        <w:rPr>
          <w:lang w:val="en-GB"/>
        </w:rPr>
        <w:t xml:space="preserve"> each of cases, deaths, and hospital admissions to make independent measure-specific estimates of transmission intensity</w:t>
      </w:r>
      <w:r w:rsidR="00884DB1" w:rsidRPr="006A0823">
        <w:rPr>
          <w:lang w:val="en-GB"/>
        </w:rPr>
        <w:t xml:space="preserve"> using a statistical model of the historical ratios and the first parameterization of the SEI model</w:t>
      </w:r>
      <w:r w:rsidRPr="006A0823">
        <w:rPr>
          <w:lang w:val="en-GB"/>
        </w:rPr>
        <w:t xml:space="preserve">. These estimates go through a </w:t>
      </w:r>
      <w:r w:rsidR="007907FC" w:rsidRPr="006A0823">
        <w:rPr>
          <w:lang w:val="en-GB"/>
        </w:rPr>
        <w:t>calibration and model selection</w:t>
      </w:r>
      <w:r w:rsidRPr="006A0823">
        <w:rPr>
          <w:lang w:val="en-GB"/>
        </w:rPr>
        <w:t xml:space="preserve"> process that removes invalid or poorly behaved models from the results. The </w:t>
      </w:r>
      <w:r w:rsidR="007907FC" w:rsidRPr="006A0823">
        <w:rPr>
          <w:lang w:val="en-GB"/>
        </w:rPr>
        <w:t xml:space="preserve">resulting </w:t>
      </w:r>
      <w:r w:rsidR="00884DB1" w:rsidRPr="006A0823">
        <w:rPr>
          <w:lang w:val="en-GB"/>
        </w:rPr>
        <w:t xml:space="preserve">transmission intensity </w:t>
      </w:r>
      <w:r w:rsidRPr="006A0823">
        <w:rPr>
          <w:lang w:val="en-GB"/>
        </w:rPr>
        <w:t>estimates from each measure</w:t>
      </w:r>
      <w:r w:rsidR="007907FC" w:rsidRPr="006A0823">
        <w:rPr>
          <w:lang w:val="en-GB"/>
        </w:rPr>
        <w:t>-</w:t>
      </w:r>
      <w:r w:rsidRPr="006A0823">
        <w:rPr>
          <w:lang w:val="en-GB"/>
        </w:rPr>
        <w:t>specific mo</w:t>
      </w:r>
      <w:r w:rsidR="00884DB1" w:rsidRPr="006A0823">
        <w:rPr>
          <w:lang w:val="en-GB"/>
        </w:rPr>
        <w:t xml:space="preserve">del are averaged to produce a single estimate of transmission intensity that incorporates data from all measures. This averaged estimate is run through the second parameterization of the SEI model along with all available cases, deaths, and hospital admissions data to produce a full time series of infections, cases, deaths, hospital admissions by variant and vaccine status and the corresponding posterior estimates of the IDR, IFR, and IHR. </w:t>
      </w:r>
    </w:p>
    <w:p w14:paraId="38FDA42C" w14:textId="6683E557" w:rsidR="00884DB1" w:rsidRPr="006A0823" w:rsidRDefault="00884DB1" w:rsidP="00BC3AE0">
      <w:pPr>
        <w:pStyle w:val="Heading2"/>
        <w:rPr>
          <w:lang w:val="en-GB"/>
        </w:rPr>
      </w:pPr>
      <w:bookmarkStart w:id="327" w:name="_Toc104249380"/>
      <w:bookmarkStart w:id="328" w:name="_Toc104252108"/>
      <w:bookmarkStart w:id="329" w:name="_Toc124499511"/>
      <w:r w:rsidRPr="006A0823">
        <w:rPr>
          <w:lang w:val="en-GB"/>
        </w:rPr>
        <w:t xml:space="preserve">Measure-specific estimates of </w:t>
      </w:r>
      <m:oMath>
        <m:r>
          <m:rPr>
            <m:sty m:val="bi"/>
          </m:rPr>
          <w:rPr>
            <w:rFonts w:ascii="Cambria Math" w:hAnsi="Cambria Math"/>
            <w:lang w:val="en-GB"/>
          </w:rPr>
          <m:t>β</m:t>
        </m:r>
      </m:oMath>
      <w:bookmarkEnd w:id="327"/>
      <w:bookmarkEnd w:id="328"/>
      <w:bookmarkEnd w:id="329"/>
    </w:p>
    <w:p w14:paraId="495E9FFB" w14:textId="6DFCA293" w:rsidR="00865CA3" w:rsidRPr="006A0823" w:rsidRDefault="00266C6E" w:rsidP="00BC3AE0">
      <w:pPr>
        <w:rPr>
          <w:lang w:val="en-GB"/>
        </w:rPr>
      </w:pPr>
      <w:r w:rsidRPr="006A0823">
        <w:rPr>
          <w:lang w:val="en-GB"/>
        </w:rPr>
        <w:t xml:space="preserve">We make an initial estimate of transmission intensity </w:t>
      </w:r>
      <m:oMath>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fit</m:t>
            </m:r>
          </m:sub>
          <m:sup>
            <m:r>
              <w:rPr>
                <w:rFonts w:ascii="Cambria Math" w:hAnsi="Cambria Math"/>
                <w:lang w:val="en-GB"/>
              </w:rPr>
              <m:t>Z</m:t>
            </m:r>
          </m:sup>
        </m:sSubSup>
        <m:r>
          <w:rPr>
            <w:rFonts w:ascii="Cambria Math" w:hAnsi="Cambria Math"/>
            <w:lang w:val="en-GB"/>
          </w:rPr>
          <m:t>(t)</m:t>
        </m:r>
      </m:oMath>
      <w:r w:rsidRPr="006A0823">
        <w:rPr>
          <w:lang w:val="en-GB"/>
        </w:rPr>
        <w:t xml:space="preserve"> for each of cases, deaths, and hospital admissions for each location.  The first step of the estimation process is to use the statisti</w:t>
      </w:r>
      <w:r w:rsidR="00D20316" w:rsidRPr="006A0823">
        <w:rPr>
          <w:lang w:val="en-GB"/>
        </w:rPr>
        <w:t>c</w:t>
      </w:r>
      <w:r w:rsidRPr="006A0823">
        <w:rPr>
          <w:lang w:val="en-GB"/>
        </w:rPr>
        <w:t xml:space="preserve">al model of historical ratios described in </w:t>
      </w:r>
      <w:r w:rsidR="00C82B66" w:rsidRPr="006A0823">
        <w:rPr>
          <w:lang w:val="en-GB"/>
        </w:rPr>
        <w:t>section 5</w:t>
      </w:r>
      <w:r w:rsidRPr="006A0823">
        <w:rPr>
          <w:lang w:val="en-GB"/>
        </w:rPr>
        <w:t xml:space="preserve"> to produce a first pass estimate of the matched epidemiological ratio among the vaccine- and infection-naïve population experiencing an ancestral-type </w:t>
      </w:r>
      <w:r w:rsidR="00C82B66" w:rsidRPr="006A0823">
        <w:rPr>
          <w:lang w:val="en-GB"/>
        </w:rPr>
        <w:t>SARS-CoV-2</w:t>
      </w:r>
      <w:r w:rsidRPr="006A0823">
        <w:rPr>
          <w:lang w:val="en-GB"/>
        </w:rPr>
        <w:t xml:space="preserve"> infection </w:t>
      </w:r>
      <m:oMath>
        <m:sSubSup>
          <m:sSubSupPr>
            <m:ctrlPr>
              <w:rPr>
                <w:rFonts w:ascii="Cambria Math" w:hAnsi="Cambria Math"/>
                <w:i/>
                <w:lang w:val="en-GB"/>
              </w:rPr>
            </m:ctrlPr>
          </m:sSubSupPr>
          <m:e>
            <m:r>
              <w:rPr>
                <w:rFonts w:ascii="Cambria Math" w:hAnsi="Cambria Math"/>
                <w:lang w:val="en-GB"/>
              </w:rPr>
              <m:t>θ</m:t>
            </m:r>
          </m:e>
          <m:sub>
            <m:r>
              <w:rPr>
                <w:rFonts w:ascii="Cambria Math" w:hAnsi="Cambria Math"/>
                <w:lang w:val="en-GB"/>
              </w:rPr>
              <m:t>∅,A,u</m:t>
            </m:r>
          </m:sub>
          <m:sup>
            <m:r>
              <w:rPr>
                <w:rFonts w:ascii="Cambria Math" w:hAnsi="Cambria Math"/>
                <w:lang w:val="en-GB"/>
              </w:rPr>
              <m:t>Z</m:t>
            </m:r>
          </m:sup>
        </m:sSubSup>
      </m:oMath>
      <w:r w:rsidRPr="006A0823">
        <w:rPr>
          <w:lang w:val="en-GB"/>
        </w:rPr>
        <w:t>.  This init</w:t>
      </w:r>
      <w:r w:rsidR="00295100" w:rsidRPr="006A0823">
        <w:rPr>
          <w:lang w:val="en-GB"/>
        </w:rPr>
        <w:t xml:space="preserve">ial estimate of the ratio is done using a seroprevalence data subset to the period before vaccination or variant invasion where we can safely assume all infections correspond to our target denominator.  The first parameterizations of the SEI model then </w:t>
      </w:r>
      <w:proofErr w:type="gramStart"/>
      <w:r w:rsidR="00295100" w:rsidRPr="006A0823">
        <w:rPr>
          <w:lang w:val="en-GB"/>
        </w:rPr>
        <w:t>uses</w:t>
      </w:r>
      <w:proofErr w:type="gramEnd"/>
      <w:r w:rsidR="00295100" w:rsidRPr="006A0823">
        <w:rPr>
          <w:lang w:val="en-GB"/>
        </w:rPr>
        <w:t xml:space="preserve"> </w:t>
      </w:r>
      <w:r w:rsidR="00295100" w:rsidRPr="006A0823">
        <w:rPr>
          <w:lang w:val="en-GB"/>
        </w:rPr>
        <w:lastRenderedPageBreak/>
        <w:t xml:space="preserve">this initial ratio estimate, </w:t>
      </w:r>
      <m:oMath>
        <m:sSubSup>
          <m:sSubSupPr>
            <m:ctrlPr>
              <w:rPr>
                <w:rFonts w:ascii="Cambria Math" w:hAnsi="Cambria Math"/>
                <w:i/>
                <w:lang w:val="en-GB"/>
              </w:rPr>
            </m:ctrlPr>
          </m:sSubSupPr>
          <m:e>
            <m:r>
              <w:rPr>
                <w:rFonts w:ascii="Cambria Math" w:hAnsi="Cambria Math"/>
                <w:lang w:val="en-GB"/>
              </w:rPr>
              <m:t>θ</m:t>
            </m:r>
          </m:e>
          <m:sub>
            <m:r>
              <w:rPr>
                <w:rFonts w:ascii="Cambria Math" w:hAnsi="Cambria Math"/>
                <w:lang w:val="en-GB"/>
              </w:rPr>
              <m:t>∅,A,u</m:t>
            </m:r>
          </m:sub>
          <m:sup>
            <m:r>
              <w:rPr>
                <w:rFonts w:ascii="Cambria Math" w:hAnsi="Cambria Math"/>
                <w:lang w:val="en-GB"/>
              </w:rPr>
              <m:t>Z</m:t>
            </m:r>
          </m:sup>
        </m:sSubSup>
      </m:oMath>
      <w:r w:rsidR="00295100" w:rsidRPr="006A0823">
        <w:rPr>
          <w:lang w:val="en-GB"/>
        </w:rPr>
        <w:t xml:space="preserve">, and the measure data used to generate it, </w:t>
      </w:r>
      <m:oMath>
        <m:r>
          <w:rPr>
            <w:rFonts w:ascii="Cambria Math" w:hAnsi="Cambria Math"/>
            <w:lang w:val="en-GB"/>
          </w:rPr>
          <m:t>Z</m:t>
        </m:r>
      </m:oMath>
      <w:r w:rsidR="006F2DAE" w:rsidRPr="006A0823">
        <w:rPr>
          <w:lang w:val="en-GB"/>
        </w:rPr>
        <w:t xml:space="preserve">, to generate a first pass estimate of variant and vaccine-status specific results. To do this, we </w:t>
      </w:r>
      <w:r w:rsidR="00865CA3" w:rsidRPr="006A0823">
        <w:rPr>
          <w:lang w:val="en-GB"/>
        </w:rPr>
        <w:t xml:space="preserve">can write the increment in </w:t>
      </w:r>
      <w:r w:rsidR="006F2DAE" w:rsidRPr="006A0823">
        <w:rPr>
          <w:lang w:val="en-GB"/>
        </w:rPr>
        <w:t xml:space="preserve">the </w:t>
      </w:r>
      <w:r w:rsidR="00865CA3" w:rsidRPr="006A0823">
        <w:rPr>
          <w:lang w:val="en-GB"/>
        </w:rPr>
        <w:t>measures as</w:t>
      </w:r>
    </w:p>
    <w:p w14:paraId="4E2C3B98" w14:textId="77777777" w:rsidR="00865CA3" w:rsidRPr="006A0823" w:rsidRDefault="00000000" w:rsidP="00BC3AE0">
      <w:pPr>
        <w:rPr>
          <w:lang w:val="en-GB"/>
        </w:rPr>
      </w:pPr>
      <m:oMathPara>
        <m:oMath>
          <m:f>
            <m:fPr>
              <m:ctrlPr>
                <w:rPr>
                  <w:rFonts w:ascii="Cambria Math" w:hAnsi="Cambria Math"/>
                  <w:i/>
                  <w:lang w:val="en-GB"/>
                </w:rPr>
              </m:ctrlPr>
            </m:fPr>
            <m:num>
              <m:r>
                <w:rPr>
                  <w:rFonts w:ascii="Cambria Math" w:hAnsi="Cambria Math"/>
                  <w:lang w:val="en-GB"/>
                </w:rPr>
                <m:t>dZ</m:t>
              </m:r>
            </m:num>
            <m:den>
              <m:r>
                <w:rPr>
                  <w:rFonts w:ascii="Cambria Math" w:hAnsi="Cambria Math"/>
                  <w:lang w:val="en-GB"/>
                </w:rPr>
                <m:t>dt</m:t>
              </m:r>
            </m:den>
          </m:f>
          <m:r>
            <m:rPr>
              <m:aln/>
            </m:rPr>
            <w:rPr>
              <w:rFonts w:ascii="Cambria Math" w:hAnsi="Cambria Math"/>
              <w:lang w:val="en-GB"/>
            </w:rPr>
            <m:t xml:space="preserve">= </m:t>
          </m:r>
          <m:nary>
            <m:naryPr>
              <m:chr m:val="∑"/>
              <m:supHide m:val="1"/>
              <m:ctrlPr>
                <w:rPr>
                  <w:rFonts w:ascii="Cambria Math" w:hAnsi="Cambria Math"/>
                  <w:i/>
                  <w:lang w:val="en-GB"/>
                </w:rPr>
              </m:ctrlPr>
            </m:naryPr>
            <m:sub>
              <m:r>
                <w:rPr>
                  <w:rFonts w:ascii="Cambria Math" w:hAnsi="Cambria Math"/>
                  <w:lang w:val="en-GB"/>
                </w:rPr>
                <m:t>x,y,v,a</m:t>
              </m:r>
            </m:sub>
            <m:sup/>
            <m:e>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x,y,v,a</m:t>
                      </m:r>
                    </m:sub>
                  </m:sSub>
                </m:num>
                <m:den>
                  <m:r>
                    <w:rPr>
                      <w:rFonts w:ascii="Cambria Math" w:hAnsi="Cambria Math"/>
                      <w:lang w:val="en-GB"/>
                    </w:rPr>
                    <m:t>dt</m:t>
                  </m:r>
                </m:den>
              </m:f>
            </m:e>
          </m:nary>
          <m:r>
            <m:rPr>
              <m:sty m:val="p"/>
            </m:rPr>
            <w:rPr>
              <w:rFonts w:ascii="Cambria Math" w:hAnsi="Cambria Math"/>
              <w:lang w:val="en-GB"/>
            </w:rPr>
            <w:br/>
          </m:r>
        </m:oMath>
        <m:oMath>
          <m:r>
            <m:rPr>
              <m:aln/>
            </m:rPr>
            <w:rPr>
              <w:rFonts w:ascii="Cambria Math" w:hAnsi="Cambria Math"/>
              <w:lang w:val="en-GB"/>
            </w:rPr>
            <m:t xml:space="preserve">= </m:t>
          </m:r>
          <m:nary>
            <m:naryPr>
              <m:chr m:val="∑"/>
              <m:supHide m:val="1"/>
              <m:ctrlPr>
                <w:rPr>
                  <w:rFonts w:ascii="Cambria Math" w:hAnsi="Cambria Math"/>
                  <w:i/>
                  <w:lang w:val="en-GB"/>
                </w:rPr>
              </m:ctrlPr>
            </m:naryPr>
            <m:sub>
              <m:r>
                <w:rPr>
                  <w:rFonts w:ascii="Cambria Math" w:hAnsi="Cambria Math"/>
                  <w:lang w:val="en-GB"/>
                </w:rPr>
                <m:t>x,y,v,a</m:t>
              </m:r>
            </m:sub>
            <m:sup/>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x,y,v,a</m:t>
                  </m:r>
                </m:sub>
              </m:sSub>
            </m:e>
          </m:nary>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y</m:t>
              </m:r>
            </m:sub>
          </m:sSub>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x,y,v,a</m:t>
              </m:r>
            </m:sub>
          </m:sSub>
          <m:r>
            <m:rPr>
              <m:sty m:val="p"/>
            </m:rPr>
            <w:rPr>
              <w:rFonts w:ascii="Cambria Math" w:hAnsi="Cambria Math"/>
              <w:lang w:val="en-GB"/>
            </w:rPr>
            <w:br/>
          </m:r>
        </m:oMath>
        <m:oMath>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β</m:t>
                  </m:r>
                </m:e>
                <m:sup>
                  <m:r>
                    <w:rPr>
                      <w:rFonts w:ascii="Cambria Math" w:hAnsi="Cambria Math"/>
                      <w:lang w:val="en-GB"/>
                    </w:rPr>
                    <m:t>Z</m:t>
                  </m:r>
                </m:sup>
              </m:sSup>
            </m:num>
            <m:den>
              <m:r>
                <w:rPr>
                  <w:rFonts w:ascii="Cambria Math" w:hAnsi="Cambria Math"/>
                  <w:lang w:val="en-GB"/>
                </w:rPr>
                <m:t>N</m:t>
              </m:r>
            </m:den>
          </m:f>
          <m:r>
            <w:rPr>
              <w:rFonts w:ascii="Cambria Math" w:hAnsi="Cambria Math"/>
              <w:lang w:val="en-GB"/>
            </w:rPr>
            <m:t xml:space="preserve"> </m:t>
          </m:r>
          <m:nary>
            <m:naryPr>
              <m:chr m:val="∑"/>
              <m:supHide m:val="1"/>
              <m:ctrlPr>
                <w:rPr>
                  <w:rFonts w:ascii="Cambria Math" w:hAnsi="Cambria Math"/>
                  <w:i/>
                  <w:lang w:val="en-GB"/>
                </w:rPr>
              </m:ctrlPr>
            </m:naryPr>
            <m:sub>
              <m:r>
                <w:rPr>
                  <w:rFonts w:ascii="Cambria Math" w:hAnsi="Cambria Math"/>
                  <w:lang w:val="en-GB"/>
                </w:rPr>
                <m:t>x,y,v,a</m:t>
              </m:r>
            </m:sub>
            <m:sup/>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x,y,v,a</m:t>
                  </m:r>
                </m:sub>
              </m:sSub>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y</m:t>
                  </m:r>
                </m:sub>
                <m:sup>
                  <m:r>
                    <w:rPr>
                      <w:rFonts w:ascii="Cambria Math" w:hAnsi="Cambria Math"/>
                      <w:lang w:val="en-GB"/>
                    </w:rPr>
                    <m:t>I</m:t>
                  </m:r>
                </m:sup>
              </m:sSubSup>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y</m:t>
                  </m:r>
                </m:sub>
                <m:sup>
                  <m:r>
                    <w:rPr>
                      <w:rFonts w:ascii="Cambria Math" w:hAnsi="Cambria Math"/>
                      <w:lang w:val="en-GB"/>
                    </w:rPr>
                    <m:t>α</m:t>
                  </m:r>
                </m:sup>
              </m:sSubSup>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x,y,v,a</m:t>
                  </m:r>
                </m:sub>
              </m:sSub>
            </m:e>
          </m:nary>
        </m:oMath>
      </m:oMathPara>
    </w:p>
    <w:p w14:paraId="11F72724" w14:textId="3C081CD3" w:rsidR="00865CA3" w:rsidRPr="006A0823" w:rsidRDefault="006F2DAE" w:rsidP="00BC3AE0">
      <w:pPr>
        <w:rPr>
          <w:lang w:val="en-GB"/>
        </w:rPr>
      </w:pPr>
      <w:r w:rsidRPr="006A0823">
        <w:rPr>
          <w:rFonts w:eastAsiaTheme="minorEastAsia"/>
          <w:lang w:val="en-GB"/>
        </w:rPr>
        <w:t>Here</w:t>
      </w:r>
      <w:r w:rsidRPr="006A0823">
        <w:rPr>
          <w:lang w:val="en-GB"/>
        </w:rPr>
        <w:t xml:space="preserve"> </w:t>
      </w:r>
      <m:oMath>
        <m:f>
          <m:fPr>
            <m:ctrlPr>
              <w:rPr>
                <w:rFonts w:ascii="Cambria Math" w:hAnsi="Cambria Math"/>
                <w:i/>
                <w:lang w:val="en-GB"/>
              </w:rPr>
            </m:ctrlPr>
          </m:fPr>
          <m:num>
            <m:r>
              <w:rPr>
                <w:rFonts w:ascii="Cambria Math" w:hAnsi="Cambria Math"/>
                <w:lang w:val="en-GB"/>
              </w:rPr>
              <m:t>dZ</m:t>
            </m:r>
          </m:num>
          <m:den>
            <m:r>
              <w:rPr>
                <w:rFonts w:ascii="Cambria Math" w:hAnsi="Cambria Math"/>
                <w:lang w:val="en-GB"/>
              </w:rPr>
              <m:t>dt</m:t>
            </m:r>
          </m:den>
        </m:f>
      </m:oMath>
      <w:r w:rsidR="00865CA3" w:rsidRPr="006A0823">
        <w:rPr>
          <w:lang w:val="en-GB"/>
        </w:rPr>
        <w:t xml:space="preserve"> corresponds directly to an (appropriately scaled) </w:t>
      </w:r>
      <w:r w:rsidRPr="006A0823">
        <w:rPr>
          <w:lang w:val="en-GB"/>
        </w:rPr>
        <w:t>version of our input data</w:t>
      </w:r>
      <w:r w:rsidR="00865CA3" w:rsidRPr="006A0823">
        <w:rPr>
          <w:lang w:val="en-GB"/>
        </w:rPr>
        <w:t xml:space="preserve">. </w:t>
      </w:r>
      <w:r w:rsidRPr="006A0823">
        <w:rPr>
          <w:lang w:val="en-GB"/>
        </w:rPr>
        <w:t xml:space="preserve">On the right-hand side of the expression, everything inside the summation can be computed as a function of the input parameters, initial ratio estimation, and transmission history up to the current point in time. </w:t>
      </w:r>
      <w:r w:rsidR="00865CA3" w:rsidRPr="006A0823">
        <w:rPr>
          <w:lang w:val="en-GB"/>
        </w:rPr>
        <w:t>We can the</w:t>
      </w:r>
      <w:r w:rsidRPr="006A0823">
        <w:rPr>
          <w:lang w:val="en-GB"/>
        </w:rPr>
        <w:t>refore</w:t>
      </w:r>
      <w:r w:rsidR="00865CA3" w:rsidRPr="006A0823">
        <w:rPr>
          <w:lang w:val="en-GB"/>
        </w:rPr>
        <w:t xml:space="preserve"> rewrite this expression as </w:t>
      </w:r>
    </w:p>
    <w:p w14:paraId="51A5394A" w14:textId="0467F65E" w:rsidR="00865CA3" w:rsidRPr="006A0823" w:rsidRDefault="00000000" w:rsidP="00BC3AE0">
      <w:pPr>
        <w:rPr>
          <w:rFonts w:eastAsia="Calibri"/>
          <w:lang w:val="en-GB"/>
        </w:rPr>
      </w:pPr>
      <m:oMathPara>
        <m:oMath>
          <m:sSup>
            <m:sSupPr>
              <m:ctrlPr>
                <w:rPr>
                  <w:rFonts w:ascii="Cambria Math" w:eastAsia="Calibri" w:hAnsi="Cambria Math"/>
                  <w:i/>
                  <w:lang w:val="en-GB"/>
                </w:rPr>
              </m:ctrlPr>
            </m:sSupPr>
            <m:e>
              <m:r>
                <w:rPr>
                  <w:rFonts w:ascii="Cambria Math" w:eastAsia="Calibri" w:hAnsi="Cambria Math"/>
                  <w:lang w:val="en-GB"/>
                </w:rPr>
                <m:t>β</m:t>
              </m:r>
            </m:e>
            <m:sup>
              <m:r>
                <w:rPr>
                  <w:rFonts w:ascii="Cambria Math" w:eastAsia="Calibri" w:hAnsi="Cambria Math"/>
                  <w:lang w:val="en-GB"/>
                </w:rPr>
                <m:t>Z</m:t>
              </m:r>
            </m:sup>
          </m:sSup>
          <m:r>
            <w:rPr>
              <w:rFonts w:ascii="Cambria Math" w:eastAsia="Calibri" w:hAnsi="Cambria Math"/>
              <w:lang w:val="en-GB"/>
            </w:rPr>
            <m:t>=</m:t>
          </m:r>
          <m:f>
            <m:fPr>
              <m:ctrlPr>
                <w:rPr>
                  <w:rFonts w:ascii="Cambria Math" w:eastAsia="Calibri" w:hAnsi="Cambria Math"/>
                  <w:i/>
                  <w:lang w:val="en-GB"/>
                </w:rPr>
              </m:ctrlPr>
            </m:fPr>
            <m:num>
              <m:r>
                <w:rPr>
                  <w:rFonts w:ascii="Cambria Math" w:eastAsia="Calibri" w:hAnsi="Cambria Math"/>
                  <w:lang w:val="en-GB"/>
                </w:rPr>
                <m:t>N</m:t>
              </m:r>
              <m:f>
                <m:fPr>
                  <m:ctrlPr>
                    <w:rPr>
                      <w:rFonts w:ascii="Cambria Math" w:eastAsia="Calibri" w:hAnsi="Cambria Math"/>
                      <w:i/>
                      <w:lang w:val="en-GB"/>
                    </w:rPr>
                  </m:ctrlPr>
                </m:fPr>
                <m:num>
                  <m:r>
                    <w:rPr>
                      <w:rFonts w:ascii="Cambria Math" w:eastAsia="Calibri" w:hAnsi="Cambria Math"/>
                      <w:lang w:val="en-GB"/>
                    </w:rPr>
                    <m:t>dZ</m:t>
                  </m:r>
                </m:num>
                <m:den>
                  <m:r>
                    <w:rPr>
                      <w:rFonts w:ascii="Cambria Math" w:eastAsia="Calibri" w:hAnsi="Cambria Math"/>
                      <w:lang w:val="en-GB"/>
                    </w:rPr>
                    <m:t>dt</m:t>
                  </m:r>
                </m:den>
              </m:f>
            </m:num>
            <m:den>
              <m:nary>
                <m:naryPr>
                  <m:chr m:val="∑"/>
                  <m:supHide m:val="1"/>
                  <m:ctrlPr>
                    <w:rPr>
                      <w:rFonts w:ascii="Cambria Math" w:eastAsia="Calibri" w:hAnsi="Cambria Math"/>
                      <w:i/>
                      <w:lang w:val="en-GB"/>
                    </w:rPr>
                  </m:ctrlPr>
                </m:naryPr>
                <m:sub>
                  <m:r>
                    <w:rPr>
                      <w:rFonts w:ascii="Cambria Math" w:eastAsia="Calibri" w:hAnsi="Cambria Math"/>
                      <w:lang w:val="en-GB"/>
                    </w:rPr>
                    <m:t>x,y,v,a</m:t>
                  </m:r>
                </m:sub>
                <m:sup/>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x,y,v,a</m:t>
                      </m:r>
                    </m:sub>
                  </m:sSub>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y</m:t>
                      </m:r>
                    </m:sub>
                    <m:sup>
                      <m:r>
                        <w:rPr>
                          <w:rFonts w:ascii="Cambria Math" w:hAnsi="Cambria Math"/>
                          <w:lang w:val="en-GB"/>
                        </w:rPr>
                        <m:t>I</m:t>
                      </m:r>
                    </m:sup>
                  </m:sSubSup>
                  <m:sSubSup>
                    <m:sSubSupPr>
                      <m:ctrlPr>
                        <w:rPr>
                          <w:rFonts w:ascii="Cambria Math" w:hAnsi="Cambria Math"/>
                          <w:i/>
                          <w:lang w:val="en-GB"/>
                        </w:rPr>
                      </m:ctrlPr>
                    </m:sSubSupPr>
                    <m:e>
                      <m:r>
                        <w:rPr>
                          <w:rFonts w:ascii="Cambria Math" w:hAnsi="Cambria Math"/>
                          <w:lang w:val="en-GB"/>
                        </w:rPr>
                        <m:t>I</m:t>
                      </m:r>
                    </m:e>
                    <m:sub>
                      <m:r>
                        <w:rPr>
                          <w:rFonts w:ascii="Cambria Math" w:hAnsi="Cambria Math"/>
                          <w:lang w:val="en-GB"/>
                        </w:rPr>
                        <m:t>y</m:t>
                      </m:r>
                    </m:sub>
                    <m:sup>
                      <m:r>
                        <w:rPr>
                          <w:rFonts w:ascii="Cambria Math" w:hAnsi="Cambria Math"/>
                          <w:lang w:val="en-GB"/>
                        </w:rPr>
                        <m:t>α</m:t>
                      </m:r>
                    </m:sup>
                  </m:sSubSup>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x,y,v,a</m:t>
                      </m:r>
                    </m:sub>
                  </m:sSub>
                </m:e>
              </m:nary>
            </m:den>
          </m:f>
        </m:oMath>
      </m:oMathPara>
    </w:p>
    <w:p w14:paraId="05FA702C" w14:textId="446919C1" w:rsidR="00D20316" w:rsidRPr="006A0823" w:rsidRDefault="0098349D" w:rsidP="00BC3AE0">
      <w:pPr>
        <w:rPr>
          <w:lang w:val="en-GB"/>
        </w:rPr>
      </w:pPr>
      <w:r w:rsidRPr="006A0823">
        <w:rPr>
          <w:lang w:val="en-GB"/>
        </w:rPr>
        <w:t>to solve for the current transmission intensity</w:t>
      </w:r>
      <w:r w:rsidR="00D20316" w:rsidRPr="006A0823">
        <w:rPr>
          <w:lang w:val="en-GB"/>
        </w:rPr>
        <w:t>.  This scheme allows us to start with an initial condition and then calibrate transmission intensity to the measure data</w:t>
      </w:r>
      <w:r w:rsidR="005B1BEA" w:rsidRPr="006A0823">
        <w:rPr>
          <w:lang w:val="en-GB"/>
        </w:rPr>
        <w:t xml:space="preserve"> </w:t>
      </w:r>
      <w:r w:rsidR="00D20316" w:rsidRPr="006A0823">
        <w:rPr>
          <w:lang w:val="en-GB"/>
        </w:rPr>
        <w:t>each time step</w:t>
      </w:r>
      <w:r w:rsidR="0068544F" w:rsidRPr="006A0823">
        <w:rPr>
          <w:lang w:val="en-GB"/>
        </w:rPr>
        <w:t xml:space="preserve">. </w:t>
      </w:r>
    </w:p>
    <w:p w14:paraId="4A93A1FA" w14:textId="5DB7C2A3" w:rsidR="00865CA3" w:rsidRPr="006A0823" w:rsidRDefault="0068544F" w:rsidP="00BC3AE0">
      <w:pPr>
        <w:rPr>
          <w:lang w:val="en-GB"/>
        </w:rPr>
      </w:pPr>
      <w:r w:rsidRPr="006A0823">
        <w:rPr>
          <w:lang w:val="en-GB"/>
        </w:rPr>
        <w:t xml:space="preserve">The important outputs from this first run of the system are the subset of infections and the input measure </w:t>
      </w:r>
      <m:oMath>
        <m:r>
          <w:rPr>
            <w:rFonts w:ascii="Cambria Math" w:hAnsi="Cambria Math"/>
            <w:lang w:val="en-GB"/>
          </w:rPr>
          <m:t>Z</m:t>
        </m:r>
      </m:oMath>
      <w:r w:rsidRPr="006A0823">
        <w:rPr>
          <w:lang w:val="en-GB"/>
        </w:rPr>
        <w:t xml:space="preserve"> that are among the target denominator of individuals experiencing an ancestral infection without a vaccination or prior infection. This initial estimate is run through the historical ratio estimation model a second time, this time using all seroprevalence data to produce a more robust estimate of the</w:t>
      </w:r>
      <w:r w:rsidR="00601319" w:rsidRPr="006A0823">
        <w:rPr>
          <w:lang w:val="en-GB"/>
        </w:rPr>
        <w:t xml:space="preserve"> target epidemiological ratio. The second-pass ratio and the measure are sent through the first parameterization of the SEI system a second time to produce final estimates of measure-specific transmission intensity </w:t>
      </w:r>
      <m:oMath>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fit</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m:t>
            </m:r>
          </m:e>
        </m:d>
      </m:oMath>
      <w:r w:rsidR="00601319" w:rsidRPr="006A0823">
        <w:rPr>
          <w:lang w:val="en-GB"/>
        </w:rPr>
        <w:t xml:space="preserve"> by location.</w:t>
      </w:r>
    </w:p>
    <w:p w14:paraId="6DB2C360" w14:textId="11C905DE" w:rsidR="00601319" w:rsidRPr="006A0823" w:rsidRDefault="00601319" w:rsidP="00BC3AE0">
      <w:pPr>
        <w:pStyle w:val="Heading2"/>
        <w:rPr>
          <w:lang w:val="en-GB"/>
        </w:rPr>
      </w:pPr>
      <w:bookmarkStart w:id="330" w:name="_Toc104249381"/>
      <w:bookmarkStart w:id="331" w:name="_Toc104252109"/>
      <w:bookmarkStart w:id="332" w:name="_Toc124499512"/>
      <w:r w:rsidRPr="006A0823">
        <w:rPr>
          <w:lang w:val="en-GB"/>
        </w:rPr>
        <w:t xml:space="preserve">Model ensemble </w:t>
      </w:r>
      <w:r w:rsidR="00B93965" w:rsidRPr="006A0823">
        <w:rPr>
          <w:lang w:val="en-GB"/>
        </w:rPr>
        <w:t xml:space="preserve">and </w:t>
      </w:r>
      <w:bookmarkEnd w:id="330"/>
      <w:bookmarkEnd w:id="331"/>
      <w:r w:rsidR="001601F7" w:rsidRPr="006A0823">
        <w:rPr>
          <w:lang w:val="en-GB"/>
        </w:rPr>
        <w:t>estimation of variant-specific outcome risk</w:t>
      </w:r>
      <w:bookmarkEnd w:id="332"/>
    </w:p>
    <w:p w14:paraId="15EF6753" w14:textId="79C69967" w:rsidR="00395660" w:rsidRPr="006A0823" w:rsidRDefault="00395660" w:rsidP="00BC3AE0">
      <w:pPr>
        <w:rPr>
          <w:lang w:val="en-GB"/>
        </w:rPr>
      </w:pPr>
      <w:r w:rsidRPr="006A0823">
        <w:rPr>
          <w:lang w:val="en-GB"/>
        </w:rPr>
        <w:t>To capture the uncertainty in the modelling assumptions, data, and parameterizations, we use an ensemble approach that generates 1</w:t>
      </w:r>
      <w:r w:rsidR="00B93965" w:rsidRPr="006A0823">
        <w:rPr>
          <w:lang w:val="en-GB"/>
        </w:rPr>
        <w:t>00</w:t>
      </w:r>
      <w:r w:rsidRPr="006A0823">
        <w:rPr>
          <w:lang w:val="en-GB"/>
        </w:rPr>
        <w:t xml:space="preserve"> iterations</w:t>
      </w:r>
      <w:r w:rsidR="003E2A30" w:rsidRPr="006A0823">
        <w:rPr>
          <w:lang w:val="en-GB"/>
        </w:rPr>
        <w:t xml:space="preserve"> (or </w:t>
      </w:r>
      <w:r w:rsidR="003E2A30" w:rsidRPr="006A0823">
        <w:rPr>
          <w:i/>
          <w:lang w:val="en-GB"/>
        </w:rPr>
        <w:t>draws</w:t>
      </w:r>
      <w:r w:rsidR="003E2A30" w:rsidRPr="006A0823">
        <w:rPr>
          <w:lang w:val="en-GB"/>
        </w:rPr>
        <w:t>)</w:t>
      </w:r>
      <w:r w:rsidRPr="006A0823">
        <w:rPr>
          <w:lang w:val="en-GB"/>
        </w:rPr>
        <w:t xml:space="preserve"> of </w:t>
      </w:r>
      <m:oMath>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fit</m:t>
            </m:r>
          </m:sub>
          <m:sup>
            <m:r>
              <w:rPr>
                <w:rFonts w:ascii="Cambria Math" w:hAnsi="Cambria Math"/>
                <w:lang w:val="en-GB"/>
              </w:rPr>
              <m:t>Z</m:t>
            </m:r>
          </m:sup>
        </m:sSubSup>
        <m:r>
          <w:rPr>
            <w:rFonts w:ascii="Cambria Math" w:hAnsi="Cambria Math"/>
            <w:lang w:val="en-GB"/>
          </w:rPr>
          <m:t>(t)</m:t>
        </m:r>
      </m:oMath>
      <w:r w:rsidRPr="006A0823">
        <w:rPr>
          <w:lang w:val="en-GB"/>
        </w:rPr>
        <w:t xml:space="preserve"> for each of cases, deaths, and hospital admissions.  These iterations are created by varying the input data, model composition, and model parameterization.  </w:t>
      </w:r>
      <w:r w:rsidR="000B0C4B" w:rsidRPr="006A0823">
        <w:rPr>
          <w:lang w:val="en-GB"/>
        </w:rPr>
        <w:t>In addition to incorporating the uncertainty in assay sensitivity, total COVID mortality scalars, durations between exposure and reported outcomes, and ratio covariates as described in Barber, et al,</w:t>
      </w:r>
      <w:r w:rsidR="006103BE" w:rsidRPr="006A0823">
        <w:rPr>
          <w:color w:val="2B579A"/>
          <w:shd w:val="clear" w:color="auto" w:fill="E6E6E6"/>
          <w:lang w:val="en-GB"/>
        </w:rPr>
        <w:fldChar w:fldCharType="begin"/>
      </w:r>
      <w:r w:rsidR="004876B1" w:rsidRPr="006A0823">
        <w:rPr>
          <w:lang w:val="en-GB"/>
        </w:rPr>
        <w:instrText xml:space="preserve"> ADDIN ZOTERO_ITEM CSL_CITATION {"citationID":"p4nbiqwz","properties":{"formattedCitation":"\\super 2\\nosupersub{}","plainCitation":"2","noteIndex":0},"citationItems":[{"id":21604,"uris":["http://zotero.org/groups/2154524/items/2GFYXY7A"],"itemData":{"id":21604,"type":"article-journal","container-title":"The Lancet","DOI":"10.1016/S0140-6736(22)00484-6","issue":"10344","journalAbbreviation":"Lancet","page":"2349-2378","title":"Estimating global, regional, and national daily and cumulative infections with SARS-CoV-2 through Nov 14, 2021: a statistical analysis","volume":"399","author":[{"literal":"Barber, RM"},{"family":"Sorensen","given":"RJD"},{"family":"Pigott","given":"DM"},{"family":"Bisignano","given":"C"},{"family":"Carter","given":"A"},{"family":"Almag","given":"JO"},{"family":"Collins","given":"JA"},{"family":"Abbafati","given":"C"},{"family":"Adolph","given":"C"},{"literal":"et al"}],"issued":{"date-parts":[["2022",4,8]]}}}],"schema":"https://github.com/citation-style-language/schema/raw/master/csl-citation.json"} </w:instrText>
      </w:r>
      <w:r w:rsidR="006103BE" w:rsidRPr="006A0823">
        <w:rPr>
          <w:color w:val="2B579A"/>
          <w:shd w:val="clear" w:color="auto" w:fill="E6E6E6"/>
          <w:lang w:val="en-GB"/>
        </w:rPr>
        <w:fldChar w:fldCharType="separate"/>
      </w:r>
      <w:r w:rsidR="006103BE" w:rsidRPr="006A0823">
        <w:rPr>
          <w:szCs w:val="24"/>
          <w:vertAlign w:val="superscript"/>
        </w:rPr>
        <w:t>2</w:t>
      </w:r>
      <w:r w:rsidR="006103BE" w:rsidRPr="006A0823">
        <w:rPr>
          <w:color w:val="2B579A"/>
          <w:shd w:val="clear" w:color="auto" w:fill="E6E6E6"/>
          <w:lang w:val="en-GB"/>
        </w:rPr>
        <w:fldChar w:fldCharType="end"/>
      </w:r>
      <w:r w:rsidR="000B0C4B" w:rsidRPr="006A0823">
        <w:rPr>
          <w:lang w:val="en-GB"/>
        </w:rPr>
        <w:t xml:space="preserve"> </w:t>
      </w:r>
      <w:r w:rsidR="003E3184" w:rsidRPr="006A0823">
        <w:rPr>
          <w:lang w:val="en-GB"/>
        </w:rPr>
        <w:t xml:space="preserve">we also incorporate uncertainty in transmission dynamics parameters, cross-variant immunity, variant-specific transmission intensity, and variant-specific risk ratios for hospitalization and death. The sampling distributions of these parameters are summarized in </w:t>
      </w:r>
      <w:r w:rsidR="00114959" w:rsidRPr="006A0823">
        <w:rPr>
          <w:lang w:val="en-GB"/>
        </w:rPr>
        <w:t xml:space="preserve">table S3. </w:t>
      </w:r>
      <w:r w:rsidR="003E3184" w:rsidRPr="006A0823">
        <w:rPr>
          <w:lang w:val="en-GB"/>
        </w:rPr>
        <w:t xml:space="preserve">  </w:t>
      </w:r>
    </w:p>
    <w:p w14:paraId="1093DE35" w14:textId="77777777" w:rsidR="00B765E8" w:rsidRPr="006A0823" w:rsidRDefault="00B93965" w:rsidP="00BC3AE0">
      <w:pPr>
        <w:rPr>
          <w:rFonts w:eastAsiaTheme="minorEastAsia"/>
          <w:lang w:val="en-GB"/>
        </w:rPr>
      </w:pPr>
      <w:r w:rsidRPr="006A0823">
        <w:rPr>
          <w:lang w:val="en-GB"/>
        </w:rPr>
        <w:t xml:space="preserve">The effects of many of these parameters are poorly specified in isolation and are often in conflict in particular locations. </w:t>
      </w:r>
      <w:r w:rsidR="00B46DC3" w:rsidRPr="006A0823">
        <w:rPr>
          <w:lang w:val="en-GB"/>
        </w:rPr>
        <w:t xml:space="preserve">In some situations, the estimates of transmission intensity over time, </w:t>
      </w:r>
      <m:oMath>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fit</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m:t>
            </m:r>
          </m:e>
        </m:d>
        <m:r>
          <w:rPr>
            <w:rFonts w:ascii="Cambria Math" w:hAnsi="Cambria Math"/>
            <w:lang w:val="en-GB"/>
          </w:rPr>
          <m:t>,</m:t>
        </m:r>
      </m:oMath>
      <w:r w:rsidR="00B46DC3" w:rsidRPr="006A0823">
        <w:rPr>
          <w:lang w:val="en-GB"/>
        </w:rPr>
        <w:t xml:space="preserve"> produced by these methods revealed that the case, hospitalization, and/or death data available for certain geographies were not compatible with the global risk ratio parameterization, </w:t>
      </w:r>
      <m:oMath>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x</m:t>
            </m:r>
          </m:sub>
          <m:sup>
            <m:r>
              <w:rPr>
                <w:rFonts w:ascii="Cambria Math" w:hAnsi="Cambria Math"/>
                <w:lang w:val="en-GB"/>
              </w:rPr>
              <m:t>Z</m:t>
            </m:r>
          </m:sup>
        </m:sSubSup>
      </m:oMath>
      <w:r w:rsidR="00B46DC3" w:rsidRPr="006A0823">
        <w:rPr>
          <w:lang w:val="en-GB"/>
        </w:rPr>
        <w:t xml:space="preserve">, described above – characterized by having large unexplained decreases or increases in estimates of </w:t>
      </w:r>
      <m:oMath>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fit</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m:t>
            </m:r>
          </m:e>
        </m:d>
      </m:oMath>
      <w:r w:rsidR="00B46DC3" w:rsidRPr="006A0823">
        <w:rPr>
          <w:rFonts w:eastAsiaTheme="minorEastAsia"/>
          <w:lang w:val="en-GB"/>
        </w:rPr>
        <w:t xml:space="preserve"> over a period associated with the invasion of a new variant. In these instances, we approximate the relative deviation in </w:t>
      </w:r>
      <m:oMath>
        <m:sSubSup>
          <m:sSubSupPr>
            <m:ctrlPr>
              <w:rPr>
                <w:rFonts w:ascii="Cambria Math" w:hAnsi="Cambria Math"/>
                <w:i/>
                <w:lang w:val="en-GB"/>
              </w:rPr>
            </m:ctrlPr>
          </m:sSubSupPr>
          <m:e>
            <m:r>
              <w:rPr>
                <w:rFonts w:ascii="Cambria Math" w:hAnsi="Cambria Math"/>
                <w:lang w:val="en-GB"/>
              </w:rPr>
              <m:t>β</m:t>
            </m:r>
          </m:e>
          <m:sub>
            <m:r>
              <w:rPr>
                <w:rFonts w:ascii="Cambria Math" w:hAnsi="Cambria Math"/>
                <w:lang w:val="en-GB"/>
              </w:rPr>
              <m:t>fit</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t</m:t>
            </m:r>
          </m:e>
        </m:d>
      </m:oMath>
      <w:r w:rsidR="00B46DC3" w:rsidRPr="006A0823">
        <w:rPr>
          <w:rFonts w:eastAsiaTheme="minorEastAsia"/>
          <w:lang w:val="en-GB"/>
        </w:rPr>
        <w:t xml:space="preserve"> and use that value to scale </w:t>
      </w:r>
      <m:oMath>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x</m:t>
            </m:r>
          </m:sub>
          <m:sup>
            <m:r>
              <w:rPr>
                <w:rFonts w:ascii="Cambria Math" w:hAnsi="Cambria Math"/>
                <w:lang w:val="en-GB"/>
              </w:rPr>
              <m:t>Z</m:t>
            </m:r>
          </m:sup>
        </m:sSubSup>
        <m:r>
          <w:rPr>
            <w:rFonts w:ascii="Cambria Math" w:eastAsiaTheme="minorEastAsia" w:hAnsi="Cambria Math"/>
            <w:lang w:val="en-GB"/>
          </w:rPr>
          <m:t>(l)</m:t>
        </m:r>
      </m:oMath>
      <w:r w:rsidR="00B46DC3" w:rsidRPr="006A0823">
        <w:rPr>
          <w:rFonts w:eastAsiaTheme="minorEastAsia"/>
          <w:lang w:val="en-GB"/>
        </w:rPr>
        <w:t xml:space="preserve"> for measure </w:t>
      </w:r>
      <m:oMath>
        <m:r>
          <w:rPr>
            <w:rFonts w:ascii="Cambria Math" w:eastAsiaTheme="minorEastAsia" w:hAnsi="Cambria Math"/>
            <w:lang w:val="en-GB"/>
          </w:rPr>
          <m:t>Z</m:t>
        </m:r>
      </m:oMath>
      <w:r w:rsidR="00B46DC3" w:rsidRPr="006A0823">
        <w:rPr>
          <w:rFonts w:eastAsiaTheme="minorEastAsia"/>
          <w:lang w:val="en-GB"/>
        </w:rPr>
        <w:t xml:space="preserve">, location </w:t>
      </w:r>
      <m:oMath>
        <m:r>
          <w:rPr>
            <w:rFonts w:ascii="Cambria Math" w:eastAsiaTheme="minorEastAsia" w:hAnsi="Cambria Math"/>
            <w:lang w:val="en-GB"/>
          </w:rPr>
          <m:t>l</m:t>
        </m:r>
      </m:oMath>
      <w:r w:rsidR="00B46DC3" w:rsidRPr="006A0823">
        <w:rPr>
          <w:rFonts w:eastAsiaTheme="minorEastAsia"/>
          <w:lang w:val="en-GB"/>
        </w:rPr>
        <w:t xml:space="preserve">, variant </w:t>
      </w:r>
      <m:oMath>
        <m:r>
          <w:rPr>
            <w:rFonts w:ascii="Cambria Math" w:eastAsiaTheme="minorEastAsia" w:hAnsi="Cambria Math"/>
            <w:lang w:val="en-GB"/>
          </w:rPr>
          <m:t>x</m:t>
        </m:r>
      </m:oMath>
      <w:r w:rsidR="00B46DC3" w:rsidRPr="006A0823">
        <w:rPr>
          <w:rFonts w:eastAsiaTheme="minorEastAsia"/>
          <w:lang w:val="en-GB"/>
        </w:rPr>
        <w:t xml:space="preserve">. </w:t>
      </w:r>
    </w:p>
    <w:p w14:paraId="43E0E08B" w14:textId="77777777" w:rsidR="00DF1CB6" w:rsidRPr="006A0823" w:rsidRDefault="3DB3DFFD" w:rsidP="00BC3AE0">
      <w:pPr>
        <w:rPr>
          <w:lang w:val="en-GB"/>
        </w:rPr>
      </w:pPr>
      <w:r w:rsidRPr="006A0823">
        <w:rPr>
          <w:lang w:val="en-GB"/>
        </w:rPr>
        <w:t xml:space="preserve">In other situations, the conflict was so extreme that it caused the model to infect more people than exist in a location in a time period </w:t>
      </w:r>
      <w:r w:rsidR="0971FE24" w:rsidRPr="006A0823">
        <w:rPr>
          <w:lang w:val="en-GB"/>
        </w:rPr>
        <w:t>incompatible with any evidence on waning immunity.  In these latter situations, we found the unrealistic estimates were a result of edge case samples in the joint distribution of the model parameters.  For example, a single draw for a location may select a large total-COVID scalar and both a small death risk ratio</w:t>
      </w:r>
      <w:r w:rsidR="002A7454" w:rsidRPr="006A0823">
        <w:rPr>
          <w:lang w:val="en-GB"/>
        </w:rPr>
        <w:t xml:space="preserve"> </w:t>
      </w:r>
      <m:oMath>
        <m:sSubSup>
          <m:sSubSupPr>
            <m:ctrlPr>
              <w:rPr>
                <w:rFonts w:ascii="Cambria Math" w:eastAsiaTheme="minorEastAsia" w:hAnsi="Cambria Math"/>
                <w:i/>
                <w:lang w:val="en-GB"/>
              </w:rPr>
            </m:ctrlPr>
          </m:sSubSupPr>
          <m:e>
            <m:r>
              <w:rPr>
                <w:rFonts w:ascii="Cambria Math" w:hAnsi="Cambria Math"/>
                <w:lang w:val="en-GB"/>
              </w:rPr>
              <m:t>κ</m:t>
            </m:r>
            <m:ctrlPr>
              <w:rPr>
                <w:rFonts w:ascii="Cambria Math" w:hAnsi="Cambria Math"/>
                <w:i/>
                <w:lang w:val="en-GB"/>
              </w:rPr>
            </m:ctrlPr>
          </m:e>
          <m:sub>
            <m:r>
              <w:rPr>
                <w:rFonts w:ascii="Cambria Math" w:eastAsiaTheme="minorEastAsia" w:hAnsi="Cambria Math"/>
                <w:lang w:val="en-GB"/>
              </w:rPr>
              <m:t>x</m:t>
            </m:r>
          </m:sub>
          <m:sup>
            <m:r>
              <w:rPr>
                <w:rFonts w:ascii="Cambria Math" w:hAnsi="Cambria Math"/>
                <w:lang w:val="en-GB"/>
              </w:rPr>
              <m:t>D</m:t>
            </m:r>
            <m:ctrlPr>
              <w:rPr>
                <w:rFonts w:ascii="Cambria Math" w:hAnsi="Cambria Math"/>
                <w:i/>
                <w:lang w:val="en-GB"/>
              </w:rPr>
            </m:ctrlPr>
          </m:sup>
        </m:sSubSup>
      </m:oMath>
      <w:r w:rsidR="00873791" w:rsidRPr="006A0823">
        <w:rPr>
          <w:rFonts w:eastAsiaTheme="minorEastAsia"/>
          <w:lang w:val="en-GB"/>
        </w:rPr>
        <w:t xml:space="preserve"> for Delta and Omicron</w:t>
      </w:r>
      <w:r w:rsidR="009D5A83" w:rsidRPr="006A0823">
        <w:rPr>
          <w:rFonts w:eastAsiaTheme="minorEastAsia"/>
          <w:lang w:val="en-GB"/>
        </w:rPr>
        <w:t>, turning each reported death into tens or hundreds of thousands of infections.</w:t>
      </w:r>
      <w:r w:rsidR="0971FE24" w:rsidRPr="006A0823">
        <w:rPr>
          <w:lang w:val="en-GB"/>
        </w:rPr>
        <w:t xml:space="preserve"> As we generally </w:t>
      </w:r>
      <w:r w:rsidR="0971FE24" w:rsidRPr="006A0823">
        <w:rPr>
          <w:lang w:val="en-GB"/>
        </w:rPr>
        <w:lastRenderedPageBreak/>
        <w:t xml:space="preserve">assume parameters to be independently distributed unless we have compelling evidence otherwise, this outcome is not totally unexpected. </w:t>
      </w:r>
    </w:p>
    <w:p w14:paraId="3071A494" w14:textId="17CAA3B6" w:rsidR="00B46DC3" w:rsidRPr="006A0823" w:rsidRDefault="0971FE24" w:rsidP="00BC3AE0">
      <w:pPr>
        <w:rPr>
          <w:lang w:val="en-GB"/>
        </w:rPr>
      </w:pPr>
      <w:r w:rsidRPr="006A0823">
        <w:rPr>
          <w:lang w:val="en-GB"/>
        </w:rPr>
        <w:t xml:space="preserve">To address these issues, </w:t>
      </w:r>
      <w:r w:rsidR="00DF1CB6" w:rsidRPr="006A0823">
        <w:rPr>
          <w:lang w:val="en-GB"/>
        </w:rPr>
        <w:t>we developed an</w:t>
      </w:r>
      <w:r w:rsidR="00237ACC" w:rsidRPr="006A0823">
        <w:rPr>
          <w:lang w:val="en-GB"/>
        </w:rPr>
        <w:t xml:space="preserve"> iterative </w:t>
      </w:r>
      <w:r w:rsidR="004B49A3" w:rsidRPr="006A0823">
        <w:rPr>
          <w:lang w:val="en-GB"/>
        </w:rPr>
        <w:t>calibration approach with an algorithm designed to e</w:t>
      </w:r>
      <w:proofErr w:type="spellStart"/>
      <w:r w:rsidR="004B49A3" w:rsidRPr="006A0823">
        <w:t>stimate</w:t>
      </w:r>
      <w:proofErr w:type="spellEnd"/>
      <w:r w:rsidR="004B49A3" w:rsidRPr="006A0823">
        <w:t xml:space="preserve"> an empirical risk profile for each variant that was consistent with the epidemiological surveillance data on which our model relies, and also allowed us to calibrate those risk parameters to each location.</w:t>
      </w:r>
      <w:r w:rsidR="7348349B" w:rsidRPr="006A0823">
        <w:rPr>
          <w:lang w:val="en-GB"/>
        </w:rPr>
        <w:t xml:space="preserve">  </w:t>
      </w:r>
    </w:p>
    <w:p w14:paraId="4C5DC750" w14:textId="0F259E23" w:rsidR="00A8231E" w:rsidRPr="006A0823" w:rsidRDefault="00A8231E" w:rsidP="00A8231E">
      <w:pPr>
        <w:pStyle w:val="Heading3"/>
        <w:rPr>
          <w:lang w:val="en-GB"/>
        </w:rPr>
      </w:pPr>
      <w:bookmarkStart w:id="333" w:name="_Toc124499513"/>
      <w:r w:rsidRPr="006A0823">
        <w:rPr>
          <w:lang w:val="en-GB"/>
        </w:rPr>
        <w:t>Global Calibration</w:t>
      </w:r>
      <w:bookmarkEnd w:id="333"/>
    </w:p>
    <w:p w14:paraId="5987BD1E" w14:textId="05F53302" w:rsidR="00997F5B" w:rsidRPr="006A0823" w:rsidRDefault="00997F5B" w:rsidP="00997F5B">
      <w:pPr>
        <w:rPr>
          <w:lang w:eastAsia="zh-CN" w:bidi="hi-IN"/>
        </w:rPr>
      </w:pPr>
      <w:r w:rsidRPr="006A0823">
        <w:t xml:space="preserve">For each non-ancestral variant of COVID-19, we estimated the risk of hospitalization (IHR) and death (IFR) relative to the ancestral variant for use in the transmission model (Section </w:t>
      </w:r>
      <w:r w:rsidR="00831918" w:rsidRPr="006A0823">
        <w:t>6</w:t>
      </w:r>
      <w:r w:rsidRPr="006A0823">
        <w:t xml:space="preserve">). We assessed the Alpha, Beta, Gamma, and Delta variants in the order in which they invaded. To evaluate a given variant, we first estimated infections using our measure-specific model of past transmission (section </w:t>
      </w:r>
      <w:r w:rsidR="00831918" w:rsidRPr="006A0823">
        <w:rPr>
          <w:lang w:bidi="hi-IN"/>
        </w:rPr>
        <w:t>7.1</w:t>
      </w:r>
      <w:r w:rsidRPr="006A0823">
        <w:t>), running each location through to the date a subsequent variant invaded. Estimates of infections based on hospital admissions and deaths excluded seroprevalence studies that took place after the invasion of the variant being evaluated and were specified such that the IHR and IFR for that variant was the same as ancestral. Estimates of infections based on reported cases used all available seroprevalence data through the variant wave we were parameterizing, thus leveraging the relationship between more contemporary seroprevalence data and testing rates in the IDR time series (which we did not observe to be otherwise influenced by the invasion of more severe variants). For each lo</w:t>
      </w:r>
      <w:r w:rsidRPr="006A0823">
        <w:rPr>
          <w:lang w:eastAsia="zh-CN" w:bidi="hi-IN"/>
        </w:rPr>
        <w:t>cation and draw, we then used the formula</w:t>
      </w:r>
    </w:p>
    <w:p w14:paraId="0721784C" w14:textId="6B267F32" w:rsidR="00CA5D2B" w:rsidRPr="006A0823" w:rsidRDefault="00000000" w:rsidP="00997F5B">
      <w:pPr>
        <w:rPr>
          <w:rFonts w:ascii="Liberation Serif" w:hAnsi="Liberation Serif" w:cs="Lohit Devanagari"/>
          <w:lang w:eastAsia="zh-CN" w:bidi="hi-IN"/>
        </w:rPr>
      </w:pPr>
      <m:oMathPara>
        <m:oMath>
          <m:sSub>
            <m:sSubPr>
              <m:ctrlPr>
                <w:rPr>
                  <w:rFonts w:ascii="Cambria Math" w:hAnsi="Cambria Math" w:cs="Lohit Devanagari"/>
                  <w:i/>
                  <w:lang w:eastAsia="zh-CN" w:bidi="hi-IN"/>
                </w:rPr>
              </m:ctrlPr>
            </m:sSubPr>
            <m:e>
              <m:r>
                <w:rPr>
                  <w:rFonts w:ascii="Cambria Math" w:hAnsi="Cambria Math" w:cs="Lohit Devanagari"/>
                  <w:lang w:eastAsia="zh-CN" w:bidi="hi-IN"/>
                </w:rPr>
                <m:t>r</m:t>
              </m:r>
            </m:e>
            <m:sub>
              <m:r>
                <w:rPr>
                  <w:rFonts w:ascii="Cambria Math" w:hAnsi="Cambria Math" w:cs="Lohit Devanagari"/>
                  <w:lang w:eastAsia="zh-CN" w:bidi="hi-IN"/>
                </w:rPr>
                <m:t>m</m:t>
              </m:r>
            </m:sub>
          </m:sSub>
          <m:r>
            <w:rPr>
              <w:rFonts w:ascii="Cambria Math" w:eastAsiaTheme="minorEastAsia" w:hAnsi="Cambria Math"/>
              <w:lang w:eastAsia="zh-CN" w:bidi="hi-IN"/>
            </w:rPr>
            <m:t>=</m:t>
          </m:r>
          <m:f>
            <m:fPr>
              <m:ctrlPr>
                <w:rPr>
                  <w:rFonts w:ascii="Cambria Math" w:eastAsiaTheme="minorEastAsia" w:hAnsi="Cambria Math"/>
                  <w:i/>
                  <w:lang w:eastAsia="zh-CN" w:bidi="hi-IN"/>
                </w:rPr>
              </m:ctrlPr>
            </m:fPr>
            <m:num>
              <m:sSub>
                <m:sSubPr>
                  <m:ctrlPr>
                    <w:rPr>
                      <w:rFonts w:ascii="Cambria Math" w:eastAsiaTheme="minorEastAsia" w:hAnsi="Cambria Math"/>
                      <w:i/>
                      <w:lang w:eastAsia="zh-CN" w:bidi="hi-IN"/>
                    </w:rPr>
                  </m:ctrlPr>
                </m:sSubPr>
                <m:e>
                  <m:r>
                    <w:rPr>
                      <w:rFonts w:ascii="Cambria Math" w:eastAsiaTheme="minorEastAsia" w:hAnsi="Cambria Math"/>
                      <w:lang w:eastAsia="zh-CN" w:bidi="hi-IN"/>
                    </w:rPr>
                    <m:t>I</m:t>
                  </m:r>
                </m:e>
                <m:sub>
                  <m:r>
                    <w:rPr>
                      <w:rFonts w:ascii="Cambria Math" w:eastAsiaTheme="minorEastAsia" w:hAnsi="Cambria Math"/>
                      <w:lang w:eastAsia="zh-CN" w:bidi="hi-IN"/>
                    </w:rPr>
                    <m:t>m,v,o</m:t>
                  </m:r>
                </m:sub>
              </m:sSub>
            </m:num>
            <m:den>
              <m:sSub>
                <m:sSubPr>
                  <m:ctrlPr>
                    <w:rPr>
                      <w:rFonts w:ascii="Cambria Math" w:eastAsiaTheme="minorEastAsia" w:hAnsi="Cambria Math"/>
                      <w:i/>
                      <w:lang w:eastAsia="zh-CN" w:bidi="hi-IN"/>
                    </w:rPr>
                  </m:ctrlPr>
                </m:sSubPr>
                <m:e>
                  <m:r>
                    <w:rPr>
                      <w:rFonts w:ascii="Cambria Math" w:eastAsiaTheme="minorEastAsia" w:hAnsi="Cambria Math"/>
                      <w:lang w:eastAsia="zh-CN" w:bidi="hi-IN"/>
                    </w:rPr>
                    <m:t>I</m:t>
                  </m:r>
                </m:e>
                <m:sub>
                  <m:r>
                    <w:rPr>
                      <w:rFonts w:ascii="Cambria Math" w:eastAsiaTheme="minorEastAsia" w:hAnsi="Cambria Math"/>
                      <w:lang w:eastAsia="zh-CN" w:bidi="hi-IN"/>
                    </w:rPr>
                    <m:t>m,v,e</m:t>
                  </m:r>
                </m:sub>
              </m:sSub>
              <m:r>
                <w:rPr>
                  <w:rFonts w:ascii="Cambria Math" w:eastAsiaTheme="minorEastAsia" w:hAnsi="Cambria Math"/>
                  <w:lang w:eastAsia="zh-CN" w:bidi="hi-IN"/>
                </w:rPr>
                <m:t xml:space="preserve"> </m:t>
              </m:r>
              <m:d>
                <m:dPr>
                  <m:ctrlPr>
                    <w:rPr>
                      <w:rFonts w:ascii="Cambria Math" w:eastAsiaTheme="minorEastAsia" w:hAnsi="Cambria Math"/>
                      <w:i/>
                      <w:lang w:eastAsia="zh-CN" w:bidi="hi-IN"/>
                    </w:rPr>
                  </m:ctrlPr>
                </m:dPr>
                <m:e>
                  <m:f>
                    <m:fPr>
                      <m:ctrlPr>
                        <w:rPr>
                          <w:rFonts w:ascii="Cambria Math" w:eastAsiaTheme="minorEastAsia" w:hAnsi="Cambria Math"/>
                          <w:i/>
                          <w:lang w:eastAsia="zh-CN" w:bidi="hi-IN"/>
                        </w:rPr>
                      </m:ctrlPr>
                    </m:fPr>
                    <m:num>
                      <m:sSub>
                        <m:sSubPr>
                          <m:ctrlPr>
                            <w:rPr>
                              <w:rFonts w:ascii="Cambria Math" w:eastAsiaTheme="minorEastAsia" w:hAnsi="Cambria Math"/>
                              <w:i/>
                              <w:lang w:eastAsia="zh-CN" w:bidi="hi-IN"/>
                            </w:rPr>
                          </m:ctrlPr>
                        </m:sSubPr>
                        <m:e>
                          <m:r>
                            <w:rPr>
                              <w:rFonts w:ascii="Cambria Math" w:eastAsiaTheme="minorEastAsia" w:hAnsi="Cambria Math"/>
                              <w:lang w:eastAsia="zh-CN" w:bidi="hi-IN"/>
                            </w:rPr>
                            <m:t>I</m:t>
                          </m:r>
                        </m:e>
                        <m:sub>
                          <m:r>
                            <w:rPr>
                              <w:rFonts w:ascii="Cambria Math" w:eastAsiaTheme="minorEastAsia" w:hAnsi="Cambria Math"/>
                              <w:lang w:eastAsia="zh-CN" w:bidi="hi-IN"/>
                            </w:rPr>
                            <m:t>m,p,o</m:t>
                          </m:r>
                        </m:sub>
                      </m:sSub>
                    </m:num>
                    <m:den>
                      <m:sSub>
                        <m:sSubPr>
                          <m:ctrlPr>
                            <w:rPr>
                              <w:rFonts w:ascii="Cambria Math" w:eastAsiaTheme="minorEastAsia" w:hAnsi="Cambria Math"/>
                              <w:i/>
                              <w:lang w:eastAsia="zh-CN" w:bidi="hi-IN"/>
                            </w:rPr>
                          </m:ctrlPr>
                        </m:sSubPr>
                        <m:e>
                          <m:r>
                            <w:rPr>
                              <w:rFonts w:ascii="Cambria Math" w:eastAsiaTheme="minorEastAsia" w:hAnsi="Cambria Math"/>
                              <w:lang w:eastAsia="zh-CN" w:bidi="hi-IN"/>
                            </w:rPr>
                            <m:t>I</m:t>
                          </m:r>
                        </m:e>
                        <m:sub>
                          <m:r>
                            <w:rPr>
                              <w:rFonts w:ascii="Cambria Math" w:eastAsiaTheme="minorEastAsia" w:hAnsi="Cambria Math"/>
                              <w:lang w:eastAsia="zh-CN" w:bidi="hi-IN"/>
                            </w:rPr>
                            <m:t>m,p,e</m:t>
                          </m:r>
                        </m:sub>
                      </m:sSub>
                    </m:den>
                  </m:f>
                </m:e>
              </m:d>
            </m:den>
          </m:f>
        </m:oMath>
      </m:oMathPara>
    </w:p>
    <w:p w14:paraId="476F1AEA" w14:textId="77777777" w:rsidR="00997F5B" w:rsidRPr="006A0823" w:rsidRDefault="00997F5B" w:rsidP="00997F5B">
      <w:pPr>
        <w:rPr>
          <w:rFonts w:ascii="Liberation Serif" w:hAnsi="Liberation Serif" w:cs="Lohit Devanagari"/>
          <w:lang w:eastAsia="zh-CN" w:bidi="hi-IN"/>
        </w:rPr>
      </w:pPr>
    </w:p>
    <w:p w14:paraId="19B36E89" w14:textId="47ECBF98" w:rsidR="00997F5B" w:rsidRPr="006A0823" w:rsidRDefault="00997F5B" w:rsidP="00997F5B">
      <w:pPr>
        <w:rPr>
          <w:rFonts w:eastAsia="Times New Roman"/>
          <w:kern w:val="1"/>
          <w:sz w:val="24"/>
          <w:szCs w:val="24"/>
          <w:lang w:eastAsia="zh-CN" w:bidi="hi-IN"/>
        </w:rPr>
      </w:pPr>
      <w:r w:rsidRPr="006A0823">
        <w:rPr>
          <w:lang w:eastAsia="zh-CN" w:bidi="hi-IN"/>
        </w:rPr>
        <w:t>to define a risk ratio,</w:t>
      </w:r>
      <w:r w:rsidR="009129EF" w:rsidRPr="006A0823">
        <w:rPr>
          <w:lang w:eastAsia="zh-CN" w:bidi="hi-IN"/>
        </w:rPr>
        <w:t xml:space="preserve"> </w:t>
      </w:r>
      <m:oMath>
        <m:r>
          <w:rPr>
            <w:rFonts w:ascii="Cambria Math" w:hAnsi="Cambria Math"/>
            <w:lang w:eastAsia="zh-CN" w:bidi="hi-IN"/>
          </w:rPr>
          <m:t>r</m:t>
        </m:r>
      </m:oMath>
      <w:r w:rsidRPr="006A0823">
        <w:rPr>
          <w:lang w:eastAsia="zh-CN" w:bidi="hi-IN"/>
        </w:rPr>
        <w:t>, for each measure,</w:t>
      </w:r>
      <w:r w:rsidR="009129EF" w:rsidRPr="006A0823">
        <w:rPr>
          <w:lang w:eastAsia="zh-CN" w:bidi="hi-IN"/>
        </w:rPr>
        <w:t xml:space="preserve"> </w:t>
      </w:r>
      <m:oMath>
        <m:r>
          <w:rPr>
            <w:rFonts w:ascii="Cambria Math" w:hAnsi="Cambria Math"/>
            <w:lang w:eastAsia="zh-CN" w:bidi="hi-IN"/>
          </w:rPr>
          <m:t>m</m:t>
        </m:r>
      </m:oMath>
      <w:r w:rsidRPr="006A0823">
        <w:rPr>
          <w:lang w:eastAsia="zh-CN" w:bidi="hi-IN"/>
        </w:rPr>
        <w:t>, as the ratio of infections,</w:t>
      </w:r>
      <w:r w:rsidR="009129EF" w:rsidRPr="006A0823">
        <w:rPr>
          <w:lang w:eastAsia="zh-CN" w:bidi="hi-IN"/>
        </w:rPr>
        <w:t xml:space="preserve"> </w:t>
      </w:r>
      <m:oMath>
        <m:r>
          <w:rPr>
            <w:rFonts w:ascii="Cambria Math" w:hAnsi="Cambria Math"/>
            <w:lang w:eastAsia="zh-CN" w:bidi="hi-IN"/>
          </w:rPr>
          <m:t>I</m:t>
        </m:r>
      </m:oMath>
      <w:r w:rsidRPr="006A0823">
        <w:rPr>
          <w:lang w:eastAsia="zh-CN" w:bidi="hi-IN"/>
        </w:rPr>
        <w:t>, due to a given variant,</w:t>
      </w:r>
      <m:oMath>
        <m:r>
          <w:rPr>
            <w:rFonts w:ascii="Cambria Math" w:hAnsi="Cambria Math"/>
            <w:lang w:eastAsia="zh-CN" w:bidi="hi-IN"/>
          </w:rPr>
          <m:t>v</m:t>
        </m:r>
      </m:oMath>
      <w:r w:rsidRPr="006A0823">
        <w:rPr>
          <w:lang w:eastAsia="zh-CN" w:bidi="hi-IN"/>
        </w:rPr>
        <w:t>, that are observed in the equal-risk model,</w:t>
      </w:r>
      <w:r w:rsidR="009129EF" w:rsidRPr="006A0823">
        <w:rPr>
          <w:lang w:eastAsia="zh-CN" w:bidi="hi-IN"/>
        </w:rPr>
        <w:t xml:space="preserve"> </w:t>
      </w:r>
      <w:r w:rsidR="00CC3D38" w:rsidRPr="006A0823">
        <w:rPr>
          <w:lang w:eastAsia="zh-CN" w:bidi="hi-IN"/>
        </w:rPr>
        <w:t>o</w:t>
      </w:r>
      <w:r w:rsidRPr="006A0823">
        <w:rPr>
          <w:lang w:eastAsia="zh-CN" w:bidi="hi-IN"/>
        </w:rPr>
        <w:t>, to the infections due to that variant expected by the case-based model,</w:t>
      </w:r>
      <w:r w:rsidR="00CC3D38" w:rsidRPr="006A0823">
        <w:rPr>
          <w:lang w:eastAsia="zh-CN" w:bidi="hi-IN"/>
        </w:rPr>
        <w:t xml:space="preserve"> </w:t>
      </w:r>
      <m:oMath>
        <m:r>
          <w:rPr>
            <w:rFonts w:ascii="Cambria Math" w:hAnsi="Cambria Math"/>
            <w:lang w:eastAsia="zh-CN" w:bidi="hi-IN"/>
          </w:rPr>
          <m:t>e</m:t>
        </m:r>
      </m:oMath>
      <w:r w:rsidRPr="006A0823">
        <w:rPr>
          <w:lang w:eastAsia="zh-CN" w:bidi="hi-IN"/>
        </w:rPr>
        <w:t>, after controlling for the relative difference in the observed and expected models during the period before the most recent variant invasion,</w:t>
      </w:r>
      <w:r w:rsidR="00CC3D38" w:rsidRPr="006A0823">
        <w:rPr>
          <w:lang w:eastAsia="zh-CN" w:bidi="hi-IN"/>
        </w:rPr>
        <w:t xml:space="preserve"> </w:t>
      </w:r>
      <m:oMath>
        <m:r>
          <w:rPr>
            <w:rFonts w:ascii="Cambria Math" w:hAnsi="Cambria Math"/>
            <w:lang w:eastAsia="zh-CN" w:bidi="hi-IN"/>
          </w:rPr>
          <m:t>p</m:t>
        </m:r>
      </m:oMath>
      <w:r w:rsidRPr="006A0823">
        <w:rPr>
          <w:lang w:eastAsia="zh-CN" w:bidi="hi-IN"/>
        </w:rPr>
        <w:t>. We then examined the distribution of these values across the full set of location-draws, as well as just the draws in the subset of locations with seroprevalence data, to define plausible ranges from which to sample the IHR and IFR risk ratios for that variant (</w:t>
      </w:r>
      <w:r w:rsidR="00831918" w:rsidRPr="006A0823">
        <w:rPr>
          <w:lang w:eastAsia="zh-CN" w:bidi="hi-IN"/>
        </w:rPr>
        <w:t>table S3</w:t>
      </w:r>
      <w:r w:rsidRPr="006A0823">
        <w:rPr>
          <w:lang w:eastAsia="zh-CN" w:bidi="hi-IN"/>
        </w:rPr>
        <w:t>). After parameterizing a given variant in the sequence, we moved to the next.</w:t>
      </w:r>
    </w:p>
    <w:p w14:paraId="3E8C9202" w14:textId="4F59C04C" w:rsidR="00A8231E" w:rsidRPr="006A0823" w:rsidRDefault="00997F5B" w:rsidP="00997F5B">
      <w:pPr>
        <w:rPr>
          <w:lang w:eastAsia="zh-CN" w:bidi="hi-IN"/>
        </w:rPr>
      </w:pPr>
      <w:r w:rsidRPr="006A0823">
        <w:rPr>
          <w:lang w:eastAsia="zh-CN" w:bidi="hi-IN"/>
        </w:rPr>
        <w:t xml:space="preserve">Due to the declining reliability of reported cases during the Omicron and BA.5 era, we were not able to simply use cases to derive expected infections for these variants, and in fact needed to parameterize the change in IDR in addition to IHR and IFR. In chronological order of invasion, we again ran our model of past transmission through the period in which a variant was dominant, excluding the relevant seroprevalence data and using ancestral-level risk levels for all three measure-specific models. These were used as observed infections in the risk ratio formula. We then extracted only the time period before the invasion of the variant in question to use in our regression model (section </w:t>
      </w:r>
      <w:r w:rsidR="00831918" w:rsidRPr="006A0823">
        <w:rPr>
          <w:lang w:eastAsia="zh-CN" w:bidi="hi-IN"/>
        </w:rPr>
        <w:t>8.1</w:t>
      </w:r>
      <w:r w:rsidRPr="006A0823">
        <w:rPr>
          <w:lang w:eastAsia="zh-CN" w:bidi="hi-IN"/>
        </w:rPr>
        <w:t xml:space="preserve">) and to subsequently build a counterfactual forecast (section </w:t>
      </w:r>
      <w:r w:rsidR="00831918" w:rsidRPr="006A0823">
        <w:rPr>
          <w:lang w:eastAsia="zh-CN" w:bidi="hi-IN"/>
        </w:rPr>
        <w:t>8.2 – 8.4</w:t>
      </w:r>
      <w:r w:rsidRPr="006A0823">
        <w:rPr>
          <w:lang w:eastAsia="zh-CN" w:bidi="hi-IN"/>
        </w:rPr>
        <w:t>) of infections for the variant based on each of the case-, hospitalization-, and death-based past time series. We used these counterfactual infections as expected infections in the risk ratio formula and determined the sampling range for the risk ratios in the same manner.</w:t>
      </w:r>
    </w:p>
    <w:p w14:paraId="617AB17D" w14:textId="12D6718F" w:rsidR="00397EB5" w:rsidRPr="006A0823" w:rsidRDefault="00397EB5" w:rsidP="00397EB5">
      <w:pPr>
        <w:pStyle w:val="Heading3"/>
        <w:rPr>
          <w:lang w:val="en-GB"/>
        </w:rPr>
      </w:pPr>
      <w:bookmarkStart w:id="334" w:name="_Toc124499514"/>
      <w:r w:rsidRPr="006A0823">
        <w:rPr>
          <w:lang w:val="en-GB"/>
        </w:rPr>
        <w:t>Local Calibration</w:t>
      </w:r>
      <w:bookmarkEnd w:id="334"/>
    </w:p>
    <w:p w14:paraId="20113327" w14:textId="77777777" w:rsidR="008C4826" w:rsidRPr="006A0823" w:rsidRDefault="008C4826" w:rsidP="008C4826">
      <w:pPr>
        <w:rPr>
          <w:rFonts w:ascii="Liberation Serif" w:hAnsi="Liberation Serif" w:cs="Lohit Devanagari"/>
          <w:lang w:eastAsia="zh-CN" w:bidi="hi-IN"/>
        </w:rPr>
      </w:pPr>
      <w:r w:rsidRPr="006A0823">
        <w:rPr>
          <w:lang w:eastAsia="zh-CN" w:bidi="hi-IN"/>
        </w:rPr>
        <w:t>The degradation of reporting standards and inconsistent definitions of data during the Omicron and BA.5 era, as well as the reduced frequency of severe outcomes due to these milder variants, led to contextual variation in the epidemiological surveillance data that was exogenous to our model system, and time series that often resembled a stochastic process. Additionally, these variants are highly transmissible and were not met with much opposition in the way of non-pharmaceutical interventions, meaning most locations experienced surges that are difficult to parameterize – underestimates of past infections (and thus existing natural immunity) turn into implausible resurgent forecasts, while overestimates can inappropriately deplete the susceptible population. Addressing this required that we calibrate the case, hospital admission, and death data was incorporated into our model for each location (first for Omicron, then for BA.5).</w:t>
      </w:r>
    </w:p>
    <w:p w14:paraId="28B92C31" w14:textId="47B701FD" w:rsidR="00397EB5" w:rsidRPr="006A0823" w:rsidRDefault="008C4826" w:rsidP="008C4826">
      <w:pPr>
        <w:rPr>
          <w:lang w:val="en-GB"/>
        </w:rPr>
      </w:pPr>
      <w:r w:rsidRPr="006A0823">
        <w:rPr>
          <w:lang w:eastAsia="zh-CN" w:bidi="hi-IN"/>
        </w:rPr>
        <w:lastRenderedPageBreak/>
        <w:t>We first modeled transmission through the time period in which variant we were calibrating was dominant, using the global risk parameters derived in the previous step as well as seroprevalence data from that time period, to be used as observed infections in the measure-specific risk calculation. The same counterfactual estimate of infections that was produced in the global risk assessment step was used as expected infections again here. We used the average infections across draws for each location in the formula, thus producing one scalar quantity in each location to shift the entire distribution of risk sampled at the global level. In a subset of locations, we were unable to calculate a robust risk ratio using this framework – typically, this was either a location without any seroprevalence data and was incompatible with the out-of-sample predictions from the baseline ancestral ratio model, or one in which the use of global parameters and local data in the observed model was too unstable to yield a baseline estimate of infections. In these instances, we approximate the relative deviation between observed and expected for use in local calibration for any offending variant.</w:t>
      </w:r>
    </w:p>
    <w:p w14:paraId="2A8F29D4" w14:textId="579EB260" w:rsidR="24B06F8B" w:rsidRPr="006A0823" w:rsidRDefault="0E4BD7E8" w:rsidP="00BC3AE0">
      <w:pPr>
        <w:pStyle w:val="Heading2"/>
        <w:rPr>
          <w:lang w:val="en-GB"/>
        </w:rPr>
      </w:pPr>
      <w:bookmarkStart w:id="335" w:name="_Toc104249382"/>
      <w:bookmarkStart w:id="336" w:name="_Toc104252110"/>
      <w:bookmarkStart w:id="337" w:name="_Toc124499515"/>
      <w:r w:rsidRPr="006A0823">
        <w:rPr>
          <w:lang w:val="en-GB"/>
        </w:rPr>
        <w:t>Model averaging and final estimates</w:t>
      </w:r>
      <w:bookmarkEnd w:id="335"/>
      <w:bookmarkEnd w:id="336"/>
      <w:bookmarkEnd w:id="337"/>
    </w:p>
    <w:p w14:paraId="4D287948" w14:textId="051249F0" w:rsidR="008A500A" w:rsidRPr="006A0823" w:rsidRDefault="008A500A" w:rsidP="00BC3AE0">
      <w:pPr>
        <w:rPr>
          <w:rFonts w:eastAsiaTheme="minorEastAsia"/>
          <w:lang w:val="en-GB"/>
        </w:rPr>
      </w:pPr>
      <w:r w:rsidRPr="006A0823">
        <w:rPr>
          <w:lang w:val="en-GB"/>
        </w:rPr>
        <w:t xml:space="preserve">To produce our final variant- and vaccine-specific estimates of cases, deaths, hospital admissions, infections, </w:t>
      </w:r>
      <w:r w:rsidR="00153D66" w:rsidRPr="006A0823">
        <w:rPr>
          <w:lang w:val="en-GB"/>
        </w:rPr>
        <w:t xml:space="preserve">we </w:t>
      </w:r>
      <w:r w:rsidR="005067E6" w:rsidRPr="006A0823">
        <w:rPr>
          <w:lang w:val="en-GB"/>
        </w:rPr>
        <w:t>need to</w:t>
      </w:r>
      <w:r w:rsidR="00153D66" w:rsidRPr="006A0823">
        <w:rPr>
          <w:lang w:val="en-GB"/>
        </w:rPr>
        <w:t xml:space="preserve"> build a composite estimate of transmission intensity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fit</m:t>
            </m:r>
          </m:sub>
        </m:sSub>
      </m:oMath>
      <w:r w:rsidR="00153D66" w:rsidRPr="006A0823">
        <w:rPr>
          <w:rFonts w:eastAsiaTheme="minorEastAsia"/>
          <w:lang w:val="en-GB"/>
        </w:rPr>
        <w:t xml:space="preserve">. </w:t>
      </w:r>
      <w:r w:rsidR="00B200EC" w:rsidRPr="006A0823">
        <w:rPr>
          <w:rFonts w:eastAsiaTheme="minorEastAsia"/>
          <w:lang w:val="en-GB"/>
        </w:rPr>
        <w:t xml:space="preserve">We do this by first decomposing each measure-specific estimate of </w:t>
      </w:r>
      <w:r w:rsidR="004F3C51" w:rsidRPr="006A0823">
        <w:rPr>
          <w:rFonts w:eastAsiaTheme="minorEastAsia"/>
          <w:lang w:val="en-GB"/>
        </w:rPr>
        <w:t xml:space="preserve">transmission intensity, </w:t>
      </w:r>
      <m:oMath>
        <m:sSup>
          <m:sSupPr>
            <m:ctrlPr>
              <w:rPr>
                <w:rFonts w:ascii="Cambria Math" w:eastAsiaTheme="minorEastAsia" w:hAnsi="Cambria Math"/>
                <w:i/>
                <w:lang w:val="en-GB"/>
              </w:rPr>
            </m:ctrlPr>
          </m:sSupPr>
          <m:e>
            <m:r>
              <w:rPr>
                <w:rFonts w:ascii="Cambria Math" w:eastAsiaTheme="minorEastAsia" w:hAnsi="Cambria Math"/>
                <w:lang w:val="en-GB"/>
              </w:rPr>
              <m:t>β</m:t>
            </m:r>
          </m:e>
          <m:sup>
            <m:r>
              <w:rPr>
                <w:rFonts w:ascii="Cambria Math" w:eastAsiaTheme="minorEastAsia" w:hAnsi="Cambria Math"/>
                <w:lang w:val="en-GB"/>
              </w:rPr>
              <m:t>Z</m:t>
            </m:r>
          </m:sup>
        </m:sSup>
      </m:oMath>
      <w:r w:rsidR="004F3C51" w:rsidRPr="006A0823">
        <w:rPr>
          <w:rFonts w:eastAsiaTheme="minorEastAsia"/>
          <w:lang w:val="en-GB"/>
        </w:rPr>
        <w:t>,</w:t>
      </w:r>
      <w:r w:rsidR="00B200EC" w:rsidRPr="006A0823">
        <w:rPr>
          <w:rFonts w:eastAsiaTheme="minorEastAsia"/>
          <w:lang w:val="en-GB"/>
        </w:rPr>
        <w:t xml:space="preserve"> </w:t>
      </w:r>
      <w:r w:rsidR="004F3C51" w:rsidRPr="006A0823">
        <w:rPr>
          <w:rFonts w:eastAsiaTheme="minorEastAsia"/>
          <w:lang w:val="en-GB"/>
        </w:rPr>
        <w:t>into</w:t>
      </w:r>
      <w:r w:rsidR="00B200EC" w:rsidRPr="006A0823">
        <w:rPr>
          <w:rFonts w:eastAsiaTheme="minorEastAsia"/>
          <w:lang w:val="en-GB"/>
        </w:rPr>
        <w:t xml:space="preserve"> two </w:t>
      </w:r>
      <w:r w:rsidR="004F3C51" w:rsidRPr="006A0823">
        <w:rPr>
          <w:rFonts w:eastAsiaTheme="minorEastAsia"/>
          <w:lang w:val="en-GB"/>
        </w:rPr>
        <w:t>values</w:t>
      </w:r>
      <w:r w:rsidR="00D428F3" w:rsidRPr="006A0823">
        <w:rPr>
          <w:rFonts w:eastAsiaTheme="minorEastAsia"/>
          <w:lang w:val="en-GB"/>
        </w:rPr>
        <w:t xml:space="preserve"> by day</w:t>
      </w:r>
      <w:r w:rsidR="004F3C51" w:rsidRPr="006A0823">
        <w:rPr>
          <w:rFonts w:eastAsiaTheme="minorEastAsia"/>
          <w:lang w:val="en-GB"/>
        </w:rPr>
        <w:t xml:space="preserve"> –</w:t>
      </w:r>
      <w:r w:rsidR="00B200EC" w:rsidRPr="006A0823">
        <w:rPr>
          <w:rFonts w:eastAsiaTheme="minorEastAsia"/>
          <w:lang w:val="en-GB"/>
        </w:rPr>
        <w:t xml:space="preserve"> total infections</w:t>
      </w:r>
      <w:r w:rsidR="004F3C51" w:rsidRPr="006A0823">
        <w:rPr>
          <w:rFonts w:eastAsiaTheme="minorEastAsia"/>
          <w:lang w:val="en-GB"/>
        </w:rPr>
        <w:t xml:space="preserve">, </w:t>
      </w:r>
      <m:oMath>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+,Z</m:t>
            </m:r>
          </m:sup>
        </m:sSup>
      </m:oMath>
      <w:r w:rsidR="004F3C51" w:rsidRPr="006A0823">
        <w:rPr>
          <w:rFonts w:eastAsiaTheme="minorEastAsia"/>
          <w:lang w:val="en-GB"/>
        </w:rPr>
        <w:t>,</w:t>
      </w:r>
      <w:r w:rsidR="00400176" w:rsidRPr="006A0823">
        <w:rPr>
          <w:rFonts w:eastAsiaTheme="minorEastAsia"/>
          <w:lang w:val="en-GB"/>
        </w:rPr>
        <w:t xml:space="preserve"> </w:t>
      </w:r>
      <w:r w:rsidR="004F3C51" w:rsidRPr="006A0823">
        <w:rPr>
          <w:rFonts w:eastAsiaTheme="minorEastAsia"/>
          <w:lang w:val="en-GB"/>
        </w:rPr>
        <w:t xml:space="preserve">and a </w:t>
      </w:r>
      <w:r w:rsidR="00E753C8" w:rsidRPr="006A0823">
        <w:rPr>
          <w:rFonts w:eastAsiaTheme="minorEastAsia"/>
          <w:lang w:val="en-GB"/>
        </w:rPr>
        <w:t>second quantity</w:t>
      </w:r>
      <w:r w:rsidR="00400176" w:rsidRPr="006A0823">
        <w:rPr>
          <w:rFonts w:eastAsiaTheme="minorEastAsia"/>
          <w:lang w:val="en-GB"/>
        </w:rPr>
        <w:t xml:space="preserve"> </w:t>
      </w:r>
      <m:oMath>
        <m:sSup>
          <m:sSupPr>
            <m:ctrlPr>
              <w:rPr>
                <w:rFonts w:ascii="Cambria Math" w:eastAsiaTheme="minorEastAsia" w:hAnsi="Cambria Math"/>
                <w:i/>
                <w:lang w:val="en-GB"/>
              </w:rPr>
            </m:ctrlPr>
          </m:sSupPr>
          <m:e>
            <m:r>
              <w:rPr>
                <w:rFonts w:ascii="Cambria Math" w:eastAsiaTheme="minorEastAsia" w:hAnsi="Cambria Math"/>
                <w:lang w:val="en-GB"/>
              </w:rPr>
              <m:t>Y</m:t>
            </m:r>
          </m:e>
          <m:sup>
            <m:r>
              <w:rPr>
                <w:rFonts w:ascii="Cambria Math" w:eastAsiaTheme="minorEastAsia" w:hAnsi="Cambria Math"/>
                <w:lang w:val="en-GB"/>
              </w:rPr>
              <m:t>Z</m:t>
            </m:r>
          </m:sup>
        </m:sSup>
        <m:r>
          <w:rPr>
            <w:rFonts w:ascii="Cambria Math" w:eastAsiaTheme="minorEastAsia" w:hAnsi="Cambria Math"/>
            <w:lang w:val="en-GB"/>
          </w:rPr>
          <m:t>=</m:t>
        </m:r>
        <m:sSup>
          <m:sSupPr>
            <m:ctrlPr>
              <w:rPr>
                <w:rFonts w:ascii="Cambria Math" w:eastAsiaTheme="minorEastAsia" w:hAnsi="Cambria Math"/>
                <w:i/>
                <w:lang w:val="en-GB"/>
              </w:rPr>
            </m:ctrlPr>
          </m:sSupPr>
          <m:e>
            <m:d>
              <m:dPr>
                <m:ctrlPr>
                  <w:rPr>
                    <w:rFonts w:ascii="Cambria Math" w:eastAsiaTheme="minorEastAsia" w:hAnsi="Cambria Math"/>
                    <w:i/>
                    <w:lang w:val="en-GB"/>
                  </w:rPr>
                </m:ctrlPr>
              </m:dPr>
              <m:e>
                <m:f>
                  <m:fPr>
                    <m:ctrlPr>
                      <w:rPr>
                        <w:rFonts w:ascii="Cambria Math" w:eastAsiaTheme="minorEastAsia" w:hAnsi="Cambria Math"/>
                        <w:i/>
                        <w:lang w:val="en-GB"/>
                      </w:rPr>
                    </m:ctrlPr>
                  </m:fPr>
                  <m:num>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+,Z</m:t>
                        </m:r>
                      </m:sup>
                    </m:sSup>
                  </m:num>
                  <m:den>
                    <m:sSup>
                      <m:sSupPr>
                        <m:ctrlPr>
                          <w:rPr>
                            <w:rFonts w:ascii="Cambria Math" w:eastAsiaTheme="minorEastAsia" w:hAnsi="Cambria Math"/>
                            <w:i/>
                            <w:lang w:val="en-GB"/>
                          </w:rPr>
                        </m:ctrlPr>
                      </m:sSupPr>
                      <m:e>
                        <m:r>
                          <w:rPr>
                            <w:rFonts w:ascii="Cambria Math" w:eastAsiaTheme="minorEastAsia" w:hAnsi="Cambria Math"/>
                            <w:lang w:val="en-GB"/>
                          </w:rPr>
                          <m:t>β</m:t>
                        </m:r>
                      </m:e>
                      <m:sup>
                        <m:r>
                          <w:rPr>
                            <w:rFonts w:ascii="Cambria Math" w:eastAsiaTheme="minorEastAsia" w:hAnsi="Cambria Math"/>
                            <w:lang w:val="en-GB"/>
                          </w:rPr>
                          <m:t>Z</m:t>
                        </m:r>
                      </m:sup>
                    </m:sSup>
                  </m:den>
                </m:f>
              </m:e>
            </m:d>
          </m:e>
          <m:sup>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α</m:t>
                </m:r>
              </m:den>
            </m:f>
          </m:sup>
        </m:sSup>
      </m:oMath>
      <w:r w:rsidR="00400176" w:rsidRPr="006A0823">
        <w:rPr>
          <w:rFonts w:eastAsiaTheme="minorEastAsia"/>
          <w:lang w:val="en-GB"/>
        </w:rPr>
        <w:t xml:space="preserve">. </w:t>
      </w:r>
      <w:r w:rsidR="00E753C8" w:rsidRPr="006A0823">
        <w:rPr>
          <w:rFonts w:eastAsiaTheme="minorEastAsia"/>
          <w:lang w:val="en-GB"/>
        </w:rPr>
        <w:t xml:space="preserve">We combine the measure-specific values using a simple average </w:t>
      </w:r>
      <w:r w:rsidR="005067E6" w:rsidRPr="006A0823">
        <w:rPr>
          <w:rFonts w:eastAsiaTheme="minorEastAsia"/>
          <w:lang w:val="en-GB"/>
        </w:rPr>
        <w:t xml:space="preserve">from the start of the time series </w:t>
      </w:r>
      <w:r w:rsidR="00E753C8" w:rsidRPr="006A0823">
        <w:rPr>
          <w:rFonts w:eastAsiaTheme="minorEastAsia"/>
          <w:lang w:val="en-GB"/>
        </w:rPr>
        <w:t xml:space="preserve">up until </w:t>
      </w:r>
      <w:r w:rsidR="000F47D1" w:rsidRPr="006A0823">
        <w:rPr>
          <w:rFonts w:eastAsiaTheme="minorEastAsia"/>
          <w:lang w:val="en-GB"/>
        </w:rPr>
        <w:t>30</w:t>
      </w:r>
      <w:r w:rsidR="00E753C8" w:rsidRPr="006A0823">
        <w:rPr>
          <w:rFonts w:eastAsiaTheme="minorEastAsia"/>
          <w:lang w:val="en-GB"/>
        </w:rPr>
        <w:t xml:space="preserve"> days from the end. In order to mitigate the </w:t>
      </w:r>
      <w:r w:rsidR="005067E6" w:rsidRPr="006A0823">
        <w:rPr>
          <w:rFonts w:eastAsiaTheme="minorEastAsia"/>
          <w:lang w:val="en-GB"/>
        </w:rPr>
        <w:t xml:space="preserve">effect of compositional bias due to </w:t>
      </w:r>
      <w:r w:rsidR="0086327C" w:rsidRPr="006A0823">
        <w:rPr>
          <w:rFonts w:eastAsiaTheme="minorEastAsia"/>
          <w:lang w:val="en-GB"/>
        </w:rPr>
        <w:t>different</w:t>
      </w:r>
      <w:r w:rsidR="005067E6" w:rsidRPr="006A0823">
        <w:rPr>
          <w:rFonts w:eastAsiaTheme="minorEastAsia"/>
          <w:lang w:val="en-GB"/>
        </w:rPr>
        <w:t xml:space="preserve"> lags from exposure to each measure, as well as any variation in </w:t>
      </w:r>
      <w:r w:rsidR="007C08AB" w:rsidRPr="006A0823">
        <w:rPr>
          <w:rFonts w:eastAsiaTheme="minorEastAsia"/>
          <w:lang w:val="en-GB"/>
        </w:rPr>
        <w:t xml:space="preserve">the recency of </w:t>
      </w:r>
      <w:r w:rsidR="005067E6" w:rsidRPr="006A0823">
        <w:rPr>
          <w:rFonts w:eastAsiaTheme="minorEastAsia"/>
          <w:lang w:val="en-GB"/>
        </w:rPr>
        <w:t xml:space="preserve">reporting </w:t>
      </w:r>
      <w:r w:rsidR="007C08AB" w:rsidRPr="006A0823">
        <w:rPr>
          <w:rFonts w:eastAsiaTheme="minorEastAsia"/>
          <w:lang w:val="en-GB"/>
        </w:rPr>
        <w:t>for each measure</w:t>
      </w:r>
      <w:r w:rsidR="005067E6" w:rsidRPr="006A0823">
        <w:rPr>
          <w:rFonts w:eastAsiaTheme="minorEastAsia"/>
          <w:lang w:val="en-GB"/>
        </w:rPr>
        <w:t>,</w:t>
      </w:r>
      <w:r w:rsidR="00E753C8" w:rsidRPr="006A0823">
        <w:rPr>
          <w:rFonts w:eastAsiaTheme="minorEastAsia"/>
          <w:lang w:val="en-GB"/>
        </w:rPr>
        <w:t xml:space="preserve"> we</w:t>
      </w:r>
      <w:r w:rsidR="00F67041" w:rsidRPr="006A0823">
        <w:rPr>
          <w:rFonts w:eastAsiaTheme="minorEastAsia"/>
          <w:lang w:val="en-GB"/>
        </w:rPr>
        <w:t xml:space="preserve"> also</w:t>
      </w:r>
      <w:r w:rsidR="005067E6" w:rsidRPr="006A0823">
        <w:rPr>
          <w:rFonts w:eastAsiaTheme="minorEastAsia"/>
          <w:lang w:val="en-GB"/>
        </w:rPr>
        <w:t xml:space="preserve"> </w:t>
      </w:r>
      <w:r w:rsidR="004F3C51" w:rsidRPr="006A0823">
        <w:rPr>
          <w:rFonts w:eastAsiaTheme="minorEastAsia"/>
          <w:lang w:val="en-GB"/>
        </w:rPr>
        <w:t xml:space="preserve">fit </w:t>
      </w:r>
      <w:r w:rsidR="00E753C8" w:rsidRPr="006A0823">
        <w:rPr>
          <w:rFonts w:eastAsiaTheme="minorEastAsia"/>
          <w:lang w:val="en-GB"/>
        </w:rPr>
        <w:t>a</w:t>
      </w:r>
      <w:r w:rsidR="004F3C51" w:rsidRPr="006A0823">
        <w:rPr>
          <w:rFonts w:eastAsiaTheme="minorEastAsia"/>
          <w:lang w:val="en-GB"/>
        </w:rPr>
        <w:t xml:space="preserve"> </w:t>
      </w:r>
      <w:r w:rsidR="00B200EC" w:rsidRPr="006A0823">
        <w:rPr>
          <w:rFonts w:eastAsiaTheme="minorEastAsia"/>
          <w:lang w:val="en-GB"/>
        </w:rPr>
        <w:t xml:space="preserve">spline regression </w:t>
      </w:r>
      <w:r w:rsidR="004F3C51" w:rsidRPr="006A0823">
        <w:rPr>
          <w:rFonts w:eastAsiaTheme="minorEastAsia"/>
          <w:lang w:val="en-GB"/>
        </w:rPr>
        <w:t>model</w:t>
      </w:r>
      <w:r w:rsidR="00400176" w:rsidRPr="006A0823">
        <w:rPr>
          <w:rFonts w:eastAsiaTheme="minorEastAsia"/>
          <w:lang w:val="en-GB"/>
        </w:rPr>
        <w:t xml:space="preserve"> using a custom modelling framework called RegMod</w:t>
      </w:r>
      <w:r w:rsidR="00A209F7" w:rsidRPr="006A0823">
        <w:rPr>
          <w:rFonts w:eastAsiaTheme="minorEastAsia"/>
          <w:lang w:val="en-GB"/>
        </w:rPr>
        <w:t xml:space="preserve">, </w:t>
      </w:r>
      <w:r w:rsidR="00DB6D64" w:rsidRPr="006A0823">
        <w:rPr>
          <w:rFonts w:eastAsiaTheme="minorEastAsia"/>
          <w:color w:val="2B579A"/>
          <w:shd w:val="clear" w:color="auto" w:fill="E6E6E6"/>
          <w:lang w:val="en-GB"/>
        </w:rPr>
        <w:fldChar w:fldCharType="begin"/>
      </w:r>
      <w:r w:rsidR="00851DCE" w:rsidRPr="006A0823">
        <w:rPr>
          <w:rFonts w:eastAsiaTheme="minorEastAsia"/>
          <w:lang w:val="en-GB"/>
        </w:rPr>
        <w:instrText xml:space="preserve"> ADDIN ZOTERO_ITEM CSL_CITATION {"citationID":"ShJnvWnV","properties":{"formattedCitation":"\\super 42\\nosupersub{}","plainCitation":"42","noteIndex":0},"citationItems":[{"id":21727,"uris":["http://zotero.org/groups/2154524/items/Y37RDRQZ"],"itemData":{"id":21727,"type":"software","abstract":"General regression models.","genre":"Python","license":"BSD-2-Clause","note":"original-date: 2020-11-11T17:00:33Z","publisher":"IHME Math Sciences","source":"GitHub","title":"ihmeuw-msca/regmod","URL":"https://github.com/ihmeuw-msca/regmod","author":[{"literal":"Peng Zheng"},{"literal":"Jiawei He"}],"accessed":{"date-parts":[["2022",5,23]]},"issued":{"date-parts":[["2022",4,5]]}}}],"schema":"https://github.com/citation-style-language/schema/raw/master/csl-citation.json"} </w:instrText>
      </w:r>
      <w:r w:rsidR="00DB6D64" w:rsidRPr="006A0823">
        <w:rPr>
          <w:rFonts w:eastAsiaTheme="minorEastAsia"/>
          <w:color w:val="2B579A"/>
          <w:shd w:val="clear" w:color="auto" w:fill="E6E6E6"/>
          <w:lang w:val="en-GB"/>
        </w:rPr>
        <w:fldChar w:fldCharType="separate"/>
      </w:r>
      <w:r w:rsidR="00851DCE" w:rsidRPr="006A0823">
        <w:rPr>
          <w:vertAlign w:val="superscript"/>
        </w:rPr>
        <w:t>42</w:t>
      </w:r>
      <w:r w:rsidR="00DB6D64" w:rsidRPr="006A0823">
        <w:rPr>
          <w:rFonts w:eastAsiaTheme="minorEastAsia"/>
          <w:color w:val="2B579A"/>
          <w:shd w:val="clear" w:color="auto" w:fill="E6E6E6"/>
          <w:lang w:val="en-GB"/>
        </w:rPr>
        <w:fldChar w:fldCharType="end"/>
      </w:r>
      <w:r w:rsidR="00A209F7" w:rsidRPr="006A0823">
        <w:rPr>
          <w:rFonts w:eastAsiaTheme="minorEastAsia"/>
          <w:lang w:val="en-GB"/>
        </w:rPr>
        <w:t xml:space="preserve"> </w:t>
      </w:r>
      <w:r w:rsidR="00A83F45" w:rsidRPr="006A0823">
        <w:rPr>
          <w:rFonts w:eastAsiaTheme="minorEastAsia"/>
          <w:lang w:val="en-GB"/>
        </w:rPr>
        <w:t>to</w:t>
      </w:r>
      <w:r w:rsidR="00A209F7" w:rsidRPr="006A0823">
        <w:rPr>
          <w:rFonts w:eastAsiaTheme="minorEastAsia"/>
          <w:lang w:val="en-GB"/>
        </w:rPr>
        <w:t xml:space="preserve"> the daily difference in the natural log of </w:t>
      </w:r>
      <w:r w:rsidR="00DF7413" w:rsidRPr="006A0823">
        <w:rPr>
          <w:rFonts w:eastAsiaTheme="minorEastAsia"/>
          <w:lang w:val="en-GB"/>
        </w:rPr>
        <w:t>either</w:t>
      </w:r>
      <w:r w:rsidR="00A209F7" w:rsidRPr="006A0823">
        <w:rPr>
          <w:rFonts w:eastAsiaTheme="minorEastAsia"/>
          <w:lang w:val="en-GB"/>
        </w:rPr>
        <w:t xml:space="preserve"> </w:t>
      </w:r>
      <w:r w:rsidR="007061DB" w:rsidRPr="006A0823">
        <w:rPr>
          <w:rFonts w:eastAsiaTheme="minorEastAsia"/>
          <w:lang w:val="en-GB"/>
        </w:rPr>
        <w:t>value</w:t>
      </w:r>
      <w:r w:rsidR="00A209F7" w:rsidRPr="006A0823">
        <w:rPr>
          <w:rFonts w:eastAsiaTheme="minorEastAsia"/>
          <w:lang w:val="en-GB"/>
        </w:rPr>
        <w:t xml:space="preserve"> </w:t>
      </w:r>
      <m:oMath>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+,Z</m:t>
            </m:r>
          </m:sup>
        </m:sSup>
      </m:oMath>
      <w:r w:rsidR="00A209F7" w:rsidRPr="006A0823">
        <w:rPr>
          <w:rFonts w:eastAsiaTheme="minorEastAsia"/>
          <w:lang w:val="en-GB"/>
        </w:rPr>
        <w:t xml:space="preserve"> </w:t>
      </w:r>
      <w:r w:rsidR="00DF7413" w:rsidRPr="006A0823">
        <w:rPr>
          <w:rFonts w:eastAsiaTheme="minorEastAsia"/>
          <w:lang w:val="en-GB"/>
        </w:rPr>
        <w:t>or</w:t>
      </w:r>
      <w:r w:rsidR="00A209F7" w:rsidRPr="006A0823">
        <w:rPr>
          <w:rFonts w:eastAsiaTheme="minorEastAsia"/>
          <w:lang w:val="en-GB"/>
        </w:rPr>
        <w:t xml:space="preserve"> </w:t>
      </w:r>
      <m:oMath>
        <m:sSup>
          <m:sSupPr>
            <m:ctrlPr>
              <w:rPr>
                <w:rFonts w:ascii="Cambria Math" w:eastAsiaTheme="minorEastAsia" w:hAnsi="Cambria Math"/>
                <w:i/>
                <w:lang w:val="en-GB"/>
              </w:rPr>
            </m:ctrlPr>
          </m:sSupPr>
          <m:e>
            <m:r>
              <w:rPr>
                <w:rFonts w:ascii="Cambria Math" w:eastAsiaTheme="minorEastAsia" w:hAnsi="Cambria Math"/>
                <w:lang w:val="en-GB"/>
              </w:rPr>
              <m:t>Y</m:t>
            </m:r>
          </m:e>
          <m:sup>
            <m:r>
              <w:rPr>
                <w:rFonts w:ascii="Cambria Math" w:eastAsiaTheme="minorEastAsia" w:hAnsi="Cambria Math"/>
                <w:lang w:val="en-GB"/>
              </w:rPr>
              <m:t>Z</m:t>
            </m:r>
          </m:sup>
        </m:sSup>
      </m:oMath>
      <w:r w:rsidR="00A209F7" w:rsidRPr="006A0823">
        <w:rPr>
          <w:rFonts w:eastAsiaTheme="minorEastAsia"/>
          <w:lang w:val="en-GB"/>
        </w:rPr>
        <w:t xml:space="preserve"> over time using a </w:t>
      </w:r>
      <w:r w:rsidR="000F47D1" w:rsidRPr="006A0823">
        <w:rPr>
          <w:rFonts w:eastAsiaTheme="minorEastAsia"/>
          <w:lang w:val="en-GB"/>
        </w:rPr>
        <w:t xml:space="preserve">cubic </w:t>
      </w:r>
      <w:r w:rsidR="00A209F7" w:rsidRPr="006A0823">
        <w:rPr>
          <w:rFonts w:eastAsiaTheme="minorEastAsia"/>
          <w:lang w:val="en-GB"/>
        </w:rPr>
        <w:t>spline with knots every five days</w:t>
      </w:r>
      <w:r w:rsidR="000F47D1" w:rsidRPr="006A0823">
        <w:rPr>
          <w:rFonts w:eastAsiaTheme="minorEastAsia"/>
          <w:lang w:val="en-GB"/>
        </w:rPr>
        <w:t xml:space="preserve"> and a constraint that the slope in the terminal interval be linear</w:t>
      </w:r>
      <w:r w:rsidR="00A209F7" w:rsidRPr="006A0823">
        <w:rPr>
          <w:rFonts w:eastAsiaTheme="minorEastAsia"/>
          <w:lang w:val="en-GB"/>
        </w:rPr>
        <w:t>. We use the predictions from this model to stream out</w:t>
      </w:r>
      <w:r w:rsidR="00DF7413" w:rsidRPr="006A0823">
        <w:rPr>
          <w:rFonts w:eastAsiaTheme="minorEastAsia"/>
          <w:lang w:val="en-GB"/>
        </w:rPr>
        <w:t xml:space="preserve"> the last </w:t>
      </w:r>
      <w:r w:rsidR="000F47D1" w:rsidRPr="006A0823">
        <w:rPr>
          <w:rFonts w:eastAsiaTheme="minorEastAsia"/>
          <w:lang w:val="en-GB"/>
        </w:rPr>
        <w:t>30</w:t>
      </w:r>
      <w:r w:rsidR="00DF7413" w:rsidRPr="006A0823">
        <w:rPr>
          <w:rFonts w:eastAsiaTheme="minorEastAsia"/>
          <w:lang w:val="en-GB"/>
        </w:rPr>
        <w:t xml:space="preserve"> days starting from the</w:t>
      </w:r>
      <w:r w:rsidR="00F67041" w:rsidRPr="006A0823">
        <w:rPr>
          <w:rFonts w:eastAsiaTheme="minorEastAsia"/>
          <w:lang w:val="en-GB"/>
        </w:rPr>
        <w:t xml:space="preserve"> end of the</w:t>
      </w:r>
      <w:r w:rsidR="00DF7413" w:rsidRPr="006A0823">
        <w:rPr>
          <w:rFonts w:eastAsiaTheme="minorEastAsia"/>
          <w:lang w:val="en-GB"/>
        </w:rPr>
        <w:t xml:space="preserve"> averaged portion of the time series,</w:t>
      </w:r>
      <w:r w:rsidR="00A209F7" w:rsidRPr="006A0823">
        <w:rPr>
          <w:rFonts w:eastAsiaTheme="minorEastAsia"/>
          <w:lang w:val="en-GB"/>
        </w:rPr>
        <w:t xml:space="preserve"> </w:t>
      </w:r>
      <w:r w:rsidR="00DF7413" w:rsidRPr="006A0823">
        <w:rPr>
          <w:rFonts w:eastAsiaTheme="minorEastAsia"/>
          <w:lang w:val="en-GB"/>
        </w:rPr>
        <w:t xml:space="preserve">resulting in composite estimates </w:t>
      </w:r>
      <m:oMath>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m:t>
            </m:r>
          </m:sup>
        </m:sSup>
      </m:oMath>
      <w:r w:rsidR="00DF7413" w:rsidRPr="006A0823">
        <w:rPr>
          <w:rFonts w:eastAsiaTheme="minorEastAsia"/>
          <w:lang w:val="en-GB"/>
        </w:rPr>
        <w:t xml:space="preserve">and </w:t>
      </w:r>
      <m:oMath>
        <m:r>
          <w:rPr>
            <w:rFonts w:ascii="Cambria Math" w:eastAsiaTheme="minorEastAsia" w:hAnsi="Cambria Math"/>
            <w:lang w:val="en-GB"/>
          </w:rPr>
          <m:t>Y</m:t>
        </m:r>
      </m:oMath>
      <w:r w:rsidR="00E97268" w:rsidRPr="006A0823">
        <w:rPr>
          <w:rFonts w:eastAsiaTheme="minorEastAsia"/>
          <w:lang w:val="en-GB"/>
        </w:rPr>
        <w:t>.</w:t>
      </w:r>
      <w:r w:rsidR="004D2F12" w:rsidRPr="006A0823">
        <w:rPr>
          <w:rFonts w:eastAsiaTheme="minorEastAsia"/>
          <w:lang w:val="en-GB"/>
        </w:rPr>
        <w:t xml:space="preserve"> </w:t>
      </w:r>
      <w:r w:rsidR="00482DF1" w:rsidRPr="006A0823">
        <w:rPr>
          <w:rFonts w:eastAsiaTheme="minorEastAsia"/>
          <w:lang w:val="en-GB"/>
        </w:rPr>
        <w:t>From</w:t>
      </w:r>
      <w:r w:rsidR="00E97268" w:rsidRPr="006A0823">
        <w:rPr>
          <w:rFonts w:eastAsiaTheme="minorEastAsia"/>
          <w:lang w:val="en-GB"/>
        </w:rPr>
        <w:t xml:space="preserve"> these </w:t>
      </w:r>
      <w:r w:rsidR="00482DF1" w:rsidRPr="006A0823">
        <w:rPr>
          <w:rFonts w:eastAsiaTheme="minorEastAsia"/>
          <w:lang w:val="en-GB"/>
        </w:rPr>
        <w:t>we</w:t>
      </w:r>
      <w:r w:rsidR="004D2F12" w:rsidRPr="006A0823">
        <w:rPr>
          <w:rFonts w:eastAsiaTheme="minorEastAsia"/>
          <w:lang w:val="en-GB"/>
        </w:rPr>
        <w:t xml:space="preserve"> recover a composite model of </w:t>
      </w:r>
      <m:oMath>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fit</m:t>
            </m:r>
          </m:sub>
        </m:sSub>
        <m:r>
          <w:rPr>
            <w:rFonts w:ascii="Cambria Math" w:eastAsiaTheme="minorEastAsia" w:hAnsi="Cambria Math"/>
            <w:lang w:val="en-GB"/>
          </w:rPr>
          <m:t>=</m:t>
        </m:r>
        <m:f>
          <m:fPr>
            <m:ctrlPr>
              <w:rPr>
                <w:rFonts w:ascii="Cambria Math" w:eastAsiaTheme="minorEastAsia" w:hAnsi="Cambria Math"/>
                <w:i/>
                <w:lang w:val="en-GB"/>
              </w:rPr>
            </m:ctrlPr>
          </m:fPr>
          <m:num>
            <m:sSup>
              <m:sSupPr>
                <m:ctrlPr>
                  <w:rPr>
                    <w:rFonts w:ascii="Cambria Math" w:eastAsiaTheme="minorEastAsia" w:hAnsi="Cambria Math"/>
                    <w:i/>
                    <w:lang w:val="en-GB"/>
                  </w:rPr>
                </m:ctrlPr>
              </m:sSupPr>
              <m:e>
                <m:r>
                  <w:rPr>
                    <w:rFonts w:ascii="Cambria Math" w:eastAsiaTheme="minorEastAsia" w:hAnsi="Cambria Math"/>
                    <w:lang w:val="en-GB"/>
                  </w:rPr>
                  <m:t>E</m:t>
                </m:r>
              </m:e>
              <m:sup>
                <m:r>
                  <w:rPr>
                    <w:rFonts w:ascii="Cambria Math" w:eastAsiaTheme="minorEastAsia" w:hAnsi="Cambria Math"/>
                    <w:lang w:val="en-GB"/>
                  </w:rPr>
                  <m:t>+</m:t>
                </m:r>
              </m:sup>
            </m:sSup>
          </m:num>
          <m:den>
            <m:sSup>
              <m:sSupPr>
                <m:ctrlPr>
                  <w:rPr>
                    <w:rFonts w:ascii="Cambria Math" w:eastAsiaTheme="minorEastAsia" w:hAnsi="Cambria Math"/>
                    <w:i/>
                    <w:lang w:val="en-GB"/>
                  </w:rPr>
                </m:ctrlPr>
              </m:sSupPr>
              <m:e>
                <m:r>
                  <w:rPr>
                    <w:rFonts w:ascii="Cambria Math" w:eastAsiaTheme="minorEastAsia" w:hAnsi="Cambria Math"/>
                    <w:lang w:val="en-GB"/>
                  </w:rPr>
                  <m:t>Y</m:t>
                </m:r>
              </m:e>
              <m:sup>
                <m:r>
                  <w:rPr>
                    <w:rFonts w:ascii="Cambria Math" w:eastAsiaTheme="minorEastAsia" w:hAnsi="Cambria Math"/>
                    <w:lang w:val="en-GB"/>
                  </w:rPr>
                  <m:t>α</m:t>
                </m:r>
              </m:sup>
            </m:sSup>
          </m:den>
        </m:f>
      </m:oMath>
      <w:r w:rsidR="004D2F12" w:rsidRPr="006A0823">
        <w:rPr>
          <w:rFonts w:eastAsiaTheme="minorEastAsia"/>
          <w:lang w:val="en-GB"/>
        </w:rPr>
        <w:t xml:space="preserve"> that averages the influence of the case, death, and hospital admission data in each location. </w:t>
      </w:r>
    </w:p>
    <w:p w14:paraId="237EE4C7" w14:textId="524B79E2" w:rsidR="004D2F12" w:rsidRPr="006A0823" w:rsidRDefault="00D20316" w:rsidP="00BC3AE0">
      <w:pPr>
        <w:rPr>
          <w:lang w:val="en-GB"/>
        </w:rPr>
      </w:pPr>
      <w:r w:rsidRPr="006A0823">
        <w:rPr>
          <w:lang w:val="en-GB"/>
        </w:rPr>
        <w:t xml:space="preserve">We then use the </w:t>
      </w:r>
      <w:r w:rsidR="004D2F12" w:rsidRPr="006A0823">
        <w:rPr>
          <w:lang w:val="en-GB"/>
        </w:rPr>
        <w:t>composite estimate of tran</w:t>
      </w:r>
      <w:r w:rsidRPr="006A0823">
        <w:rPr>
          <w:lang w:val="en-GB"/>
        </w:rPr>
        <w:t>smission intensity along with all case, death, and hospital admission data in each location to produce final estimates of variant and vaccine-status specific estimates of cases, deaths, admissions, and infections using the second parameterization of the transmission system. In this parameterization, the transmission dynamics of the SEI model are completely determined by the initial condition and the composite transmission intensity. We next write the equation for each measure</w:t>
      </w:r>
    </w:p>
    <w:p w14:paraId="76EA7B71" w14:textId="5E7FF6EF" w:rsidR="00D20316" w:rsidRPr="006A0823" w:rsidRDefault="00000000" w:rsidP="00BC3AE0">
      <w:pPr>
        <w:rPr>
          <w:rFonts w:eastAsiaTheme="minorEastAsia"/>
          <w:lang w:val="en-GB"/>
        </w:rPr>
      </w:pPr>
      <m:oMathPara>
        <m:oMath>
          <m:f>
            <m:fPr>
              <m:ctrlPr>
                <w:rPr>
                  <w:rFonts w:ascii="Cambria Math" w:hAnsi="Cambria Math"/>
                  <w:i/>
                  <w:lang w:val="en-GB"/>
                </w:rPr>
              </m:ctrlPr>
            </m:fPr>
            <m:num>
              <m:r>
                <w:rPr>
                  <w:rFonts w:ascii="Cambria Math" w:hAnsi="Cambria Math"/>
                  <w:lang w:val="en-GB"/>
                </w:rPr>
                <m:t>dZ</m:t>
              </m:r>
            </m:num>
            <m:den>
              <m:r>
                <w:rPr>
                  <w:rFonts w:ascii="Cambria Math" w:hAnsi="Cambria Math"/>
                  <w:lang w:val="en-GB"/>
                </w:rPr>
                <m:t>dt</m:t>
              </m:r>
            </m:den>
          </m:f>
          <m:r>
            <m:rPr>
              <m:aln/>
            </m:rPr>
            <w:rPr>
              <w:rFonts w:ascii="Cambria Math" w:hAnsi="Cambria Math"/>
              <w:lang w:val="en-GB"/>
            </w:rPr>
            <m:t xml:space="preserve">= </m:t>
          </m:r>
          <m:nary>
            <m:naryPr>
              <m:chr m:val="∑"/>
              <m:supHide m:val="1"/>
              <m:ctrlPr>
                <w:rPr>
                  <w:rFonts w:ascii="Cambria Math" w:hAnsi="Cambria Math"/>
                  <w:i/>
                  <w:lang w:val="en-GB"/>
                </w:rPr>
              </m:ctrlPr>
            </m:naryPr>
            <m:sub>
              <m:r>
                <w:rPr>
                  <w:rFonts w:ascii="Cambria Math" w:hAnsi="Cambria Math"/>
                  <w:lang w:val="en-GB"/>
                </w:rPr>
                <m:t>x,y,v,a</m:t>
              </m:r>
            </m:sub>
            <m:sup/>
            <m:e>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x,y,v,a</m:t>
                      </m:r>
                    </m:sub>
                  </m:sSub>
                </m:num>
                <m:den>
                  <m:r>
                    <w:rPr>
                      <w:rFonts w:ascii="Cambria Math" w:hAnsi="Cambria Math"/>
                      <w:lang w:val="en-GB"/>
                    </w:rPr>
                    <m:t>dt</m:t>
                  </m:r>
                </m:den>
              </m:f>
            </m:e>
          </m:nary>
          <m:r>
            <w:rPr>
              <w:rFonts w:ascii="Cambria Math" w:eastAsiaTheme="majorEastAsia" w:hAnsi="Cambria Math"/>
              <w:color w:val="2F5496"/>
              <w:lang w:val="en-GB"/>
            </w:rPr>
            <m:t xml:space="preserve"> </m:t>
          </m:r>
          <m:r>
            <m:rPr>
              <m:sty m:val="p"/>
            </m:rPr>
            <w:rPr>
              <w:rFonts w:ascii="Cambria Math" w:eastAsiaTheme="majorEastAsia" w:hAnsi="Cambria Math"/>
              <w:color w:val="2F5496"/>
              <w:lang w:val="en-GB"/>
            </w:rPr>
            <w:br/>
          </m:r>
        </m:oMath>
        <m:oMath>
          <m:r>
            <m:rPr>
              <m:aln/>
            </m:rPr>
            <w:rPr>
              <w:rFonts w:ascii="Cambria Math" w:hAnsi="Cambria Math"/>
              <w:lang w:val="en-GB"/>
            </w:rPr>
            <m:t xml:space="preserve">= </m:t>
          </m:r>
          <m:nary>
            <m:naryPr>
              <m:chr m:val="∑"/>
              <m:supHide m:val="1"/>
              <m:ctrlPr>
                <w:rPr>
                  <w:rFonts w:ascii="Cambria Math" w:hAnsi="Cambria Math"/>
                  <w:i/>
                  <w:lang w:val="en-GB"/>
                </w:rPr>
              </m:ctrlPr>
            </m:naryPr>
            <m:sub>
              <m:r>
                <w:rPr>
                  <w:rFonts w:ascii="Cambria Math" w:hAnsi="Cambria Math"/>
                  <w:lang w:val="en-GB"/>
                </w:rPr>
                <m:t>x,y,v,a</m:t>
              </m:r>
            </m:sub>
            <m:sup/>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x,y,v,a</m:t>
                  </m:r>
                </m:sub>
              </m:sSub>
            </m:e>
          </m:nary>
          <m:sSub>
            <m:sSubPr>
              <m:ctrlPr>
                <w:rPr>
                  <w:rFonts w:ascii="Cambria Math" w:eastAsiaTheme="minorEastAsia" w:hAnsi="Cambria Math"/>
                  <w:i/>
                  <w:lang w:val="en-GB"/>
                </w:rPr>
              </m:ctrlPr>
            </m:sSubPr>
            <m:e>
              <m:r>
                <w:rPr>
                  <w:rFonts w:ascii="Cambria Math" w:eastAsiaTheme="minorEastAsia" w:hAnsi="Cambria Math"/>
                  <w:lang w:val="en-GB"/>
                </w:rPr>
                <m:t>λ</m:t>
              </m:r>
            </m:e>
            <m:sub>
              <m:r>
                <w:rPr>
                  <w:rFonts w:ascii="Cambria Math" w:eastAsiaTheme="minorEastAsia" w:hAnsi="Cambria Math"/>
                  <w:lang w:val="en-GB"/>
                </w:rPr>
                <m:t>y</m:t>
              </m:r>
            </m:sub>
          </m:sSub>
          <m:sSub>
            <m:sSubPr>
              <m:ctrlPr>
                <w:rPr>
                  <w:rFonts w:ascii="Cambria Math" w:eastAsiaTheme="minorEastAsia" w:hAnsi="Cambria Math"/>
                  <w:i/>
                  <w:lang w:val="en-GB"/>
                </w:rPr>
              </m:ctrlPr>
            </m:sSubPr>
            <m:e>
              <m:r>
                <w:rPr>
                  <w:rFonts w:ascii="Cambria Math" w:eastAsiaTheme="minorEastAsia" w:hAnsi="Cambria Math"/>
                  <w:lang w:val="en-GB"/>
                </w:rPr>
                <m:t>S</m:t>
              </m:r>
            </m:e>
            <m:sub>
              <m:r>
                <w:rPr>
                  <w:rFonts w:ascii="Cambria Math" w:eastAsiaTheme="minorEastAsia" w:hAnsi="Cambria Math"/>
                  <w:lang w:val="en-GB"/>
                </w:rPr>
                <m:t>x,y,v,a</m:t>
              </m:r>
            </m:sub>
          </m:sSub>
          <m:r>
            <m:rPr>
              <m:sty m:val="p"/>
            </m:rPr>
            <w:rPr>
              <w:rFonts w:ascii="Cambria Math" w:eastAsiaTheme="minorEastAsia" w:hAnsi="Cambria Math"/>
              <w:lang w:val="en-GB"/>
            </w:rPr>
            <w:br/>
          </m:r>
        </m:oMath>
        <m:oMath>
          <m:r>
            <m:rPr>
              <m:aln/>
            </m:rPr>
            <w:rPr>
              <w:rFonts w:ascii="Cambria Math" w:eastAsiaTheme="minorEastAsia" w:hAnsi="Cambria Math"/>
              <w:lang w:val="en-GB"/>
            </w:rPr>
            <m:t xml:space="preserve">= </m:t>
          </m:r>
          <m:sSubSup>
            <m:sSubSupPr>
              <m:ctrlPr>
                <w:rPr>
                  <w:rFonts w:ascii="Cambria Math" w:eastAsiaTheme="minorEastAsia" w:hAnsi="Cambria Math"/>
                  <w:i/>
                  <w:lang w:val="en-GB"/>
                </w:rPr>
              </m:ctrlPr>
            </m:sSubSupPr>
            <m:e>
              <m:r>
                <w:rPr>
                  <w:rFonts w:ascii="Cambria Math" w:eastAsiaTheme="minorEastAsia" w:hAnsi="Cambria Math"/>
                  <w:lang w:val="en-GB"/>
                </w:rPr>
                <m:t>θ</m:t>
              </m:r>
            </m:e>
            <m:sub>
              <m:r>
                <w:rPr>
                  <w:rFonts w:ascii="Cambria Math" w:eastAsiaTheme="minorEastAsia" w:hAnsi="Cambria Math"/>
                  <w:lang w:val="en-GB"/>
                </w:rPr>
                <m:t>∅,A,u</m:t>
              </m:r>
            </m:sub>
            <m:sup>
              <m:r>
                <w:rPr>
                  <w:rFonts w:ascii="Cambria Math" w:eastAsiaTheme="minorEastAsia" w:hAnsi="Cambria Math"/>
                  <w:lang w:val="en-GB"/>
                </w:rPr>
                <m:t>Z</m:t>
              </m:r>
            </m:sup>
          </m:sSubSup>
          <m:nary>
            <m:naryPr>
              <m:chr m:val="∑"/>
              <m:supHide m:val="1"/>
              <m:ctrlPr>
                <w:rPr>
                  <w:rFonts w:ascii="Cambria Math" w:eastAsiaTheme="minorEastAsia" w:hAnsi="Cambria Math"/>
                  <w:i/>
                  <w:lang w:val="en-GB"/>
                </w:rPr>
              </m:ctrlPr>
            </m:naryPr>
            <m:sub>
              <m:r>
                <w:rPr>
                  <w:rFonts w:ascii="Cambria Math" w:eastAsiaTheme="minorEastAsia" w:hAnsi="Cambria Math"/>
                  <w:lang w:val="en-GB"/>
                </w:rPr>
                <m:t>x,y,v,a</m:t>
              </m:r>
            </m:sub>
            <m:sup/>
            <m:e>
              <m:sSubSup>
                <m:sSubSupPr>
                  <m:ctrlPr>
                    <w:rPr>
                      <w:rFonts w:ascii="Cambria Math" w:eastAsia="Calibri" w:hAnsi="Cambria Math"/>
                      <w:i/>
                      <w:lang w:val="en-GB"/>
                    </w:rPr>
                  </m:ctrlPr>
                </m:sSubSupPr>
                <m:e>
                  <m:r>
                    <w:rPr>
                      <w:rFonts w:ascii="Cambria Math" w:eastAsia="Calibri" w:hAnsi="Cambria Math"/>
                      <w:lang w:val="en-GB"/>
                    </w:rPr>
                    <m:t>κ</m:t>
                  </m:r>
                </m:e>
                <m:sub>
                  <m:r>
                    <w:rPr>
                      <w:rFonts w:ascii="Cambria Math" w:eastAsia="Calibri" w:hAnsi="Cambria Math"/>
                      <w:lang w:val="en-GB"/>
                    </w:rPr>
                    <m:t>y</m:t>
                  </m:r>
                </m:sub>
                <m:sup>
                  <m:r>
                    <w:rPr>
                      <w:rFonts w:ascii="Cambria Math" w:eastAsia="Calibri" w:hAnsi="Cambria Math"/>
                      <w:lang w:val="en-GB"/>
                    </w:rPr>
                    <m:t>Z</m:t>
                  </m:r>
                </m:sup>
              </m:sSubSup>
              <m:d>
                <m:dPr>
                  <m:ctrlPr>
                    <w:rPr>
                      <w:rFonts w:ascii="Cambria Math" w:eastAsia="Calibri" w:hAnsi="Cambria Math"/>
                      <w:i/>
                      <w:lang w:val="en-GB"/>
                    </w:rPr>
                  </m:ctrlPr>
                </m:dPr>
                <m:e>
                  <m:r>
                    <w:rPr>
                      <w:rFonts w:ascii="Cambria Math" w:eastAsia="Calibri" w:hAnsi="Cambria Math"/>
                      <w:lang w:val="en-GB"/>
                    </w:rPr>
                    <m:t xml:space="preserve">1- </m:t>
                  </m:r>
                  <m:sSubSup>
                    <m:sSubSupPr>
                      <m:ctrlPr>
                        <w:rPr>
                          <w:rFonts w:ascii="Cambria Math" w:eastAsia="Calibri" w:hAnsi="Cambria Math"/>
                          <w:i/>
                          <w:lang w:val="en-GB"/>
                        </w:rPr>
                      </m:ctrlPr>
                    </m:sSubSupPr>
                    <m:e>
                      <m:r>
                        <w:rPr>
                          <w:rFonts w:ascii="Cambria Math" w:eastAsia="Calibri" w:hAnsi="Cambria Math"/>
                          <w:lang w:val="en-GB"/>
                        </w:rPr>
                        <m:t>η</m:t>
                      </m:r>
                    </m:e>
                    <m:sub>
                      <m:r>
                        <w:rPr>
                          <w:rFonts w:ascii="Cambria Math" w:eastAsia="Calibri" w:hAnsi="Cambria Math"/>
                          <w:lang w:val="en-GB"/>
                        </w:rPr>
                        <m:t>y,v,a</m:t>
                      </m:r>
                    </m:sub>
                    <m:sup>
                      <m:r>
                        <w:rPr>
                          <w:rFonts w:ascii="Cambria Math" w:eastAsia="Calibri" w:hAnsi="Cambria Math"/>
                          <w:lang w:val="en-GB"/>
                        </w:rPr>
                        <m:t>Z</m:t>
                      </m:r>
                    </m:sup>
                  </m:sSubSup>
                </m:e>
              </m:d>
              <m:d>
                <m:dPr>
                  <m:ctrlPr>
                    <w:rPr>
                      <w:rFonts w:ascii="Cambria Math" w:eastAsia="Calibri" w:hAnsi="Cambria Math"/>
                      <w:i/>
                      <w:lang w:val="en-GB"/>
                    </w:rPr>
                  </m:ctrlPr>
                </m:dPr>
                <m:e>
                  <m:r>
                    <w:rPr>
                      <w:rFonts w:ascii="Cambria Math" w:eastAsia="Calibri" w:hAnsi="Cambria Math"/>
                      <w:lang w:val="en-GB"/>
                    </w:rPr>
                    <m:t xml:space="preserve">1- </m:t>
                  </m:r>
                  <m:sSubSup>
                    <m:sSubSupPr>
                      <m:ctrlPr>
                        <w:rPr>
                          <w:rFonts w:ascii="Cambria Math" w:eastAsia="Calibri" w:hAnsi="Cambria Math"/>
                          <w:i/>
                          <w:lang w:val="en-GB"/>
                        </w:rPr>
                      </m:ctrlPr>
                    </m:sSubSupPr>
                    <m:e>
                      <m:r>
                        <w:rPr>
                          <w:rFonts w:ascii="Cambria Math" w:eastAsia="Calibri" w:hAnsi="Cambria Math"/>
                          <w:lang w:val="en-GB"/>
                        </w:rPr>
                        <m:t>χ</m:t>
                      </m:r>
                    </m:e>
                    <m:sub>
                      <m:r>
                        <w:rPr>
                          <w:rFonts w:ascii="Cambria Math" w:eastAsia="Calibri" w:hAnsi="Cambria Math"/>
                          <w:lang w:val="en-GB"/>
                        </w:rPr>
                        <m:t>x,y,a</m:t>
                      </m:r>
                    </m:sub>
                    <m:sup>
                      <m:r>
                        <w:rPr>
                          <w:rFonts w:ascii="Cambria Math" w:eastAsia="Calibri" w:hAnsi="Cambria Math"/>
                          <w:lang w:val="en-GB"/>
                        </w:rPr>
                        <m:t>Z</m:t>
                      </m:r>
                    </m:sup>
                  </m:sSubSup>
                </m:e>
              </m:d>
              <m:sSubSup>
                <m:sSubSupPr>
                  <m:ctrlPr>
                    <w:rPr>
                      <w:rFonts w:ascii="Cambria Math" w:eastAsia="Calibri" w:hAnsi="Cambria Math"/>
                      <w:i/>
                      <w:lang w:val="en-GB"/>
                    </w:rPr>
                  </m:ctrlPr>
                </m:sSubSupPr>
                <m:e>
                  <m:r>
                    <w:rPr>
                      <w:rFonts w:ascii="Cambria Math" w:eastAsia="Calibri" w:hAnsi="Cambria Math"/>
                      <w:lang w:val="en-GB"/>
                    </w:rPr>
                    <m:t>ζ</m:t>
                  </m:r>
                </m:e>
                <m:sub>
                  <m:r>
                    <w:rPr>
                      <w:rFonts w:ascii="Cambria Math" w:eastAsia="Calibri" w:hAnsi="Cambria Math"/>
                      <w:lang w:val="en-GB"/>
                    </w:rPr>
                    <m:t>a</m:t>
                  </m:r>
                </m:sub>
                <m:sup>
                  <m:r>
                    <w:rPr>
                      <w:rFonts w:ascii="Cambria Math" w:eastAsia="Calibri" w:hAnsi="Cambria Math"/>
                      <w:lang w:val="en-GB"/>
                    </w:rPr>
                    <m:t>Z</m:t>
                  </m:r>
                </m:sup>
              </m:sSubSup>
              <m:sSub>
                <m:sSubPr>
                  <m:ctrlPr>
                    <w:rPr>
                      <w:rFonts w:ascii="Cambria Math" w:eastAsia="Calibri" w:hAnsi="Cambria Math"/>
                      <w:i/>
                      <w:lang w:val="en-GB"/>
                    </w:rPr>
                  </m:ctrlPr>
                </m:sSubPr>
                <m:e>
                  <m:r>
                    <w:rPr>
                      <w:rFonts w:ascii="Cambria Math" w:eastAsia="Calibri" w:hAnsi="Cambria Math"/>
                      <w:lang w:val="en-GB"/>
                    </w:rPr>
                    <m:t>λ</m:t>
                  </m:r>
                </m:e>
                <m:sub>
                  <m:r>
                    <w:rPr>
                      <w:rFonts w:ascii="Cambria Math" w:eastAsia="Calibri" w:hAnsi="Cambria Math"/>
                      <w:lang w:val="en-GB"/>
                    </w:rPr>
                    <m:t>y</m:t>
                  </m:r>
                </m:sub>
              </m:sSub>
              <m:sSub>
                <m:sSubPr>
                  <m:ctrlPr>
                    <w:rPr>
                      <w:rFonts w:ascii="Cambria Math" w:eastAsia="Calibri" w:hAnsi="Cambria Math"/>
                      <w:i/>
                      <w:lang w:val="en-GB"/>
                    </w:rPr>
                  </m:ctrlPr>
                </m:sSubPr>
                <m:e>
                  <m:r>
                    <w:rPr>
                      <w:rFonts w:ascii="Cambria Math" w:eastAsia="Calibri" w:hAnsi="Cambria Math"/>
                      <w:lang w:val="en-GB"/>
                    </w:rPr>
                    <m:t>S</m:t>
                  </m:r>
                </m:e>
                <m:sub>
                  <m:r>
                    <w:rPr>
                      <w:rFonts w:ascii="Cambria Math" w:eastAsia="Calibri" w:hAnsi="Cambria Math"/>
                      <w:lang w:val="en-GB"/>
                    </w:rPr>
                    <m:t>x,y,v,a</m:t>
                  </m:r>
                </m:sub>
              </m:sSub>
            </m:e>
          </m:nary>
        </m:oMath>
      </m:oMathPara>
    </w:p>
    <w:p w14:paraId="6E3116BF" w14:textId="2416E957" w:rsidR="00C52FC6" w:rsidRPr="006A0823" w:rsidRDefault="00C52FC6" w:rsidP="00BC3AE0">
      <w:pPr>
        <w:rPr>
          <w:lang w:val="en-GB"/>
        </w:rPr>
      </w:pPr>
      <w:r w:rsidRPr="006A0823">
        <w:rPr>
          <w:lang w:val="en-GB"/>
        </w:rPr>
        <w:t xml:space="preserve">Then, as with the first parameterization, we are in a situation where </w:t>
      </w:r>
      <m:oMath>
        <m:f>
          <m:fPr>
            <m:ctrlPr>
              <w:rPr>
                <w:rFonts w:ascii="Cambria Math" w:hAnsi="Cambria Math"/>
                <w:i/>
                <w:lang w:val="en-GB"/>
              </w:rPr>
            </m:ctrlPr>
          </m:fPr>
          <m:num>
            <m:r>
              <w:rPr>
                <w:rFonts w:ascii="Cambria Math" w:hAnsi="Cambria Math"/>
                <w:lang w:val="en-GB"/>
              </w:rPr>
              <m:t>dZ</m:t>
            </m:r>
          </m:num>
          <m:den>
            <m:r>
              <w:rPr>
                <w:rFonts w:ascii="Cambria Math" w:hAnsi="Cambria Math"/>
                <w:lang w:val="en-GB"/>
              </w:rPr>
              <m:t>dt</m:t>
            </m:r>
          </m:den>
        </m:f>
      </m:oMath>
      <w:r w:rsidRPr="006A0823">
        <w:rPr>
          <w:lang w:val="en-GB"/>
        </w:rPr>
        <w:t xml:space="preserve"> on the left-hand side is a known input value and everything inside the summation is a function of model parameters or transmission dynamics on previous time steps.  We can thus rewrite the expression to solve for the epidemiological rate </w:t>
      </w:r>
    </w:p>
    <w:p w14:paraId="1E0281B4" w14:textId="3FF4BA5D" w:rsidR="00C52FC6" w:rsidRPr="006A0823" w:rsidRDefault="00000000" w:rsidP="00BC3AE0">
      <w:pPr>
        <w:rPr>
          <w:rFonts w:eastAsiaTheme="minorEastAsia"/>
          <w:lang w:val="en-GB"/>
        </w:rPr>
      </w:pPr>
      <m:oMathPara>
        <m:oMath>
          <m:sSubSup>
            <m:sSubSupPr>
              <m:ctrlPr>
                <w:rPr>
                  <w:rFonts w:ascii="Cambria Math" w:eastAsiaTheme="minorEastAsia" w:hAnsi="Cambria Math"/>
                  <w:i/>
                  <w:lang w:val="en-GB"/>
                </w:rPr>
              </m:ctrlPr>
            </m:sSubSupPr>
            <m:e>
              <m:r>
                <w:rPr>
                  <w:rFonts w:ascii="Cambria Math" w:eastAsiaTheme="minorEastAsia" w:hAnsi="Cambria Math"/>
                  <w:lang w:val="en-GB"/>
                </w:rPr>
                <m:t>θ</m:t>
              </m:r>
            </m:e>
            <m:sub>
              <m:r>
                <w:rPr>
                  <w:rFonts w:ascii="Cambria Math" w:eastAsiaTheme="minorEastAsia" w:hAnsi="Cambria Math"/>
                  <w:lang w:val="en-GB"/>
                </w:rPr>
                <m:t>∅,A,u</m:t>
              </m:r>
            </m:sub>
            <m:sup>
              <m:r>
                <w:rPr>
                  <w:rFonts w:ascii="Cambria Math" w:eastAsiaTheme="minorEastAsia" w:hAnsi="Cambria Math"/>
                  <w:lang w:val="en-GB"/>
                </w:rPr>
                <m:t>Z</m:t>
              </m:r>
            </m:sup>
          </m:sSubSup>
          <m:r>
            <w:rPr>
              <w:rFonts w:ascii="Cambria Math" w:eastAsiaTheme="minorEastAsia" w:hAnsi="Cambria Math"/>
              <w:lang w:val="en-GB"/>
            </w:rPr>
            <m:t>=</m:t>
          </m:r>
          <m:f>
            <m:fPr>
              <m:ctrlPr>
                <w:rPr>
                  <w:rFonts w:ascii="Cambria Math" w:eastAsiaTheme="minorEastAsia" w:hAnsi="Cambria Math"/>
                  <w:i/>
                  <w:lang w:val="en-GB"/>
                </w:rPr>
              </m:ctrlPr>
            </m:fPr>
            <m:num>
              <m:f>
                <m:fPr>
                  <m:ctrlPr>
                    <w:rPr>
                      <w:rFonts w:ascii="Cambria Math" w:eastAsiaTheme="minorEastAsia" w:hAnsi="Cambria Math"/>
                      <w:i/>
                      <w:lang w:val="en-GB"/>
                    </w:rPr>
                  </m:ctrlPr>
                </m:fPr>
                <m:num>
                  <m:r>
                    <w:rPr>
                      <w:rFonts w:ascii="Cambria Math" w:eastAsiaTheme="minorEastAsia" w:hAnsi="Cambria Math"/>
                      <w:lang w:val="en-GB"/>
                    </w:rPr>
                    <m:t>dZ</m:t>
                  </m:r>
                </m:num>
                <m:den>
                  <m:r>
                    <w:rPr>
                      <w:rFonts w:ascii="Cambria Math" w:eastAsiaTheme="minorEastAsia" w:hAnsi="Cambria Math"/>
                      <w:lang w:val="en-GB"/>
                    </w:rPr>
                    <m:t>dt</m:t>
                  </m:r>
                </m:den>
              </m:f>
            </m:num>
            <m:den>
              <m:nary>
                <m:naryPr>
                  <m:chr m:val="∑"/>
                  <m:supHide m:val="1"/>
                  <m:ctrlPr>
                    <w:rPr>
                      <w:rFonts w:ascii="Cambria Math" w:eastAsiaTheme="minorEastAsia" w:hAnsi="Cambria Math"/>
                      <w:i/>
                      <w:lang w:val="en-GB"/>
                    </w:rPr>
                  </m:ctrlPr>
                </m:naryPr>
                <m:sub>
                  <m:r>
                    <w:rPr>
                      <w:rFonts w:ascii="Cambria Math" w:eastAsiaTheme="minorEastAsia" w:hAnsi="Cambria Math"/>
                      <w:lang w:val="en-GB"/>
                    </w:rPr>
                    <m:t>x,y,v,a</m:t>
                  </m:r>
                </m:sub>
                <m:sup/>
                <m:e>
                  <m:sSubSup>
                    <m:sSubSupPr>
                      <m:ctrlPr>
                        <w:rPr>
                          <w:rFonts w:ascii="Cambria Math" w:hAnsi="Cambria Math"/>
                          <w:i/>
                          <w:lang w:val="en-GB"/>
                        </w:rPr>
                      </m:ctrlPr>
                    </m:sSubSupPr>
                    <m:e>
                      <m:r>
                        <w:rPr>
                          <w:rFonts w:ascii="Cambria Math" w:hAnsi="Cambria Math"/>
                          <w:lang w:val="en-GB"/>
                        </w:rPr>
                        <m:t>κ</m:t>
                      </m:r>
                    </m:e>
                    <m:sub>
                      <m:r>
                        <w:rPr>
                          <w:rFonts w:ascii="Cambria Math" w:hAnsi="Cambria Math"/>
                          <w:lang w:val="en-GB"/>
                        </w:rPr>
                        <m:t>y</m:t>
                      </m:r>
                    </m:sub>
                    <m:sup>
                      <m:r>
                        <w:rPr>
                          <w:rFonts w:ascii="Cambria Math" w:hAnsi="Cambria Math"/>
                          <w:lang w:val="en-GB"/>
                        </w:rPr>
                        <m:t>Z</m:t>
                      </m:r>
                    </m:sup>
                  </m:sSubSup>
                  <m:d>
                    <m:dPr>
                      <m:ctrlPr>
                        <w:rPr>
                          <w:rFonts w:ascii="Cambria Math" w:hAnsi="Cambria Math"/>
                          <w:i/>
                          <w:lang w:val="en-GB"/>
                        </w:rPr>
                      </m:ctrlPr>
                    </m:dPr>
                    <m:e>
                      <m:r>
                        <w:rPr>
                          <w:rFonts w:ascii="Cambria Math" w:hAnsi="Cambria Math"/>
                          <w:lang w:val="en-GB"/>
                        </w:rPr>
                        <m:t xml:space="preserve">1- </m:t>
                      </m:r>
                      <m:sSubSup>
                        <m:sSubSupPr>
                          <m:ctrlPr>
                            <w:rPr>
                              <w:rFonts w:ascii="Cambria Math" w:hAnsi="Cambria Math"/>
                              <w:i/>
                              <w:lang w:val="en-GB"/>
                            </w:rPr>
                          </m:ctrlPr>
                        </m:sSubSupPr>
                        <m:e>
                          <m:r>
                            <w:rPr>
                              <w:rFonts w:ascii="Cambria Math" w:hAnsi="Cambria Math"/>
                              <w:lang w:val="en-GB"/>
                            </w:rPr>
                            <m:t>η</m:t>
                          </m:r>
                        </m:e>
                        <m:sub>
                          <m:r>
                            <w:rPr>
                              <w:rFonts w:ascii="Cambria Math" w:hAnsi="Cambria Math"/>
                              <w:lang w:val="en-GB"/>
                            </w:rPr>
                            <m:t>y,v,a</m:t>
                          </m:r>
                        </m:sub>
                        <m:sup>
                          <m:r>
                            <w:rPr>
                              <w:rFonts w:ascii="Cambria Math" w:hAnsi="Cambria Math"/>
                              <w:lang w:val="en-GB"/>
                            </w:rPr>
                            <m:t>Z</m:t>
                          </m:r>
                        </m:sup>
                      </m:sSubSup>
                    </m:e>
                  </m:d>
                  <m:d>
                    <m:dPr>
                      <m:ctrlPr>
                        <w:rPr>
                          <w:rFonts w:ascii="Cambria Math" w:hAnsi="Cambria Math"/>
                          <w:i/>
                          <w:lang w:val="en-GB"/>
                        </w:rPr>
                      </m:ctrlPr>
                    </m:dPr>
                    <m:e>
                      <m:r>
                        <w:rPr>
                          <w:rFonts w:ascii="Cambria Math" w:hAnsi="Cambria Math"/>
                          <w:lang w:val="en-GB"/>
                        </w:rPr>
                        <m:t xml:space="preserve">1- </m:t>
                      </m:r>
                      <m:sSubSup>
                        <m:sSubSupPr>
                          <m:ctrlPr>
                            <w:rPr>
                              <w:rFonts w:ascii="Cambria Math" w:hAnsi="Cambria Math"/>
                              <w:i/>
                              <w:lang w:val="en-GB"/>
                            </w:rPr>
                          </m:ctrlPr>
                        </m:sSubSupPr>
                        <m:e>
                          <m:r>
                            <w:rPr>
                              <w:rFonts w:ascii="Cambria Math" w:hAnsi="Cambria Math"/>
                              <w:lang w:val="en-GB"/>
                            </w:rPr>
                            <m:t>χ</m:t>
                          </m:r>
                        </m:e>
                        <m:sub>
                          <m:r>
                            <w:rPr>
                              <w:rFonts w:ascii="Cambria Math" w:hAnsi="Cambria Math"/>
                              <w:lang w:val="en-GB"/>
                            </w:rPr>
                            <m:t>x,y,a</m:t>
                          </m:r>
                        </m:sub>
                        <m:sup>
                          <m:r>
                            <w:rPr>
                              <w:rFonts w:ascii="Cambria Math" w:hAnsi="Cambria Math"/>
                              <w:lang w:val="en-GB"/>
                            </w:rPr>
                            <m:t>Z</m:t>
                          </m:r>
                        </m:sup>
                      </m:sSubSup>
                    </m:e>
                  </m:d>
                  <m:sSubSup>
                    <m:sSubSupPr>
                      <m:ctrlPr>
                        <w:rPr>
                          <w:rFonts w:ascii="Cambria Math" w:hAnsi="Cambria Math"/>
                          <w:i/>
                          <w:lang w:val="en-GB"/>
                        </w:rPr>
                      </m:ctrlPr>
                    </m:sSubSupPr>
                    <m:e>
                      <m:r>
                        <w:rPr>
                          <w:rFonts w:ascii="Cambria Math" w:hAnsi="Cambria Math"/>
                          <w:lang w:val="en-GB"/>
                        </w:rPr>
                        <m:t>ζ</m:t>
                      </m:r>
                    </m:e>
                    <m:sub>
                      <m:r>
                        <w:rPr>
                          <w:rFonts w:ascii="Cambria Math" w:hAnsi="Cambria Math"/>
                          <w:lang w:val="en-GB"/>
                        </w:rPr>
                        <m:t>a</m:t>
                      </m:r>
                    </m:sub>
                    <m:sup>
                      <m:r>
                        <w:rPr>
                          <w:rFonts w:ascii="Cambria Math" w:hAnsi="Cambria Math"/>
                          <w:lang w:val="en-GB"/>
                        </w:rPr>
                        <m:t>Z</m:t>
                      </m:r>
                    </m:sup>
                  </m:sSubSup>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y</m:t>
                      </m:r>
                    </m:sub>
                  </m:sSub>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x,y,v,a</m:t>
                      </m:r>
                    </m:sub>
                  </m:sSub>
                </m:e>
              </m:nary>
            </m:den>
          </m:f>
        </m:oMath>
      </m:oMathPara>
    </w:p>
    <w:p w14:paraId="5C39ED1F" w14:textId="5A5E1245" w:rsidR="00C52FC6" w:rsidRPr="006A0823" w:rsidRDefault="007907FC" w:rsidP="00BC3AE0">
      <w:pPr>
        <w:rPr>
          <w:lang w:val="en-GB"/>
        </w:rPr>
      </w:pPr>
      <w:r w:rsidRPr="006A0823">
        <w:rPr>
          <w:lang w:val="en-GB"/>
        </w:rPr>
        <w:t>f</w:t>
      </w:r>
      <w:r w:rsidR="00C52FC6" w:rsidRPr="006A0823">
        <w:rPr>
          <w:lang w:val="en-GB"/>
        </w:rPr>
        <w:t xml:space="preserve">or each of the input measures </w:t>
      </w:r>
      <m:oMath>
        <m:r>
          <w:rPr>
            <w:rFonts w:ascii="Cambria Math" w:hAnsi="Cambria Math"/>
            <w:lang w:val="en-GB"/>
          </w:rPr>
          <m:t>Z</m:t>
        </m:r>
      </m:oMath>
      <w:r w:rsidR="00C52FC6" w:rsidRPr="006A0823">
        <w:rPr>
          <w:lang w:val="en-GB"/>
        </w:rPr>
        <w:t xml:space="preserve">.  One way to interpret this parameterization is that we are absorbing all the discrepancies between the case-, death-, and hospital admission-specific models of transmission into our estimation </w:t>
      </w:r>
      <w:r w:rsidR="00C52FC6" w:rsidRPr="006A0823">
        <w:rPr>
          <w:lang w:val="en-GB"/>
        </w:rPr>
        <w:lastRenderedPageBreak/>
        <w:t xml:space="preserve">of the epidemiological ratios.  The full history of vaccine status and variant specific transmission that leverages all available reported data in each location.  </w:t>
      </w:r>
    </w:p>
    <w:p w14:paraId="1C07654E" w14:textId="143B61B3" w:rsidR="00981017" w:rsidRPr="006A0823" w:rsidRDefault="3DEBDE38" w:rsidP="00BC3AE0">
      <w:pPr>
        <w:pStyle w:val="Heading1"/>
        <w:rPr>
          <w:lang w:val="en-GB"/>
        </w:rPr>
      </w:pPr>
      <w:bookmarkStart w:id="338" w:name="_Toc76457866"/>
      <w:bookmarkStart w:id="339" w:name="_Toc76653825"/>
      <w:bookmarkStart w:id="340" w:name="_Toc76726294"/>
      <w:bookmarkStart w:id="341" w:name="_Toc76727602"/>
      <w:bookmarkStart w:id="342" w:name="_Toc76840521"/>
      <w:bookmarkStart w:id="343" w:name="_Toc104249383"/>
      <w:bookmarkStart w:id="344" w:name="_Toc104252111"/>
      <w:bookmarkStart w:id="345" w:name="_Toc124499516"/>
      <w:r w:rsidRPr="006A0823">
        <w:rPr>
          <w:lang w:val="en-GB"/>
        </w:rPr>
        <w:t>Forecasting infections, deaths, admissions, and cases</w:t>
      </w:r>
      <w:bookmarkEnd w:id="338"/>
      <w:bookmarkEnd w:id="339"/>
      <w:bookmarkEnd w:id="340"/>
      <w:bookmarkEnd w:id="341"/>
      <w:bookmarkEnd w:id="342"/>
      <w:bookmarkEnd w:id="343"/>
      <w:bookmarkEnd w:id="344"/>
      <w:bookmarkEnd w:id="345"/>
    </w:p>
    <w:p w14:paraId="00EB6A4E" w14:textId="0B89FBEA" w:rsidR="00AD6C3A" w:rsidRPr="006A0823" w:rsidRDefault="007907FC" w:rsidP="00AD6C3A">
      <w:pPr>
        <w:rPr>
          <w:lang w:val="en-GB"/>
        </w:rPr>
      </w:pPr>
      <w:r w:rsidRPr="006A0823">
        <w:rPr>
          <w:lang w:val="en-GB"/>
        </w:rPr>
        <w:t xml:space="preserve">In order to forecast the future of the pandemic, we first need to forecast the transmission intensity.  For each of the 100 model draws we regress the historical transmission intensity fit to cases, deaths, and hospital admissions in the previous step,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fit</m:t>
            </m:r>
          </m:sub>
        </m:sSub>
        <m:d>
          <m:dPr>
            <m:ctrlPr>
              <w:rPr>
                <w:rFonts w:ascii="Cambria Math" w:hAnsi="Cambria Math"/>
                <w:i/>
                <w:lang w:val="en-GB"/>
              </w:rPr>
            </m:ctrlPr>
          </m:dPr>
          <m:e>
            <m:r>
              <w:rPr>
                <w:rFonts w:ascii="Cambria Math" w:hAnsi="Cambria Math"/>
                <w:lang w:val="en-GB"/>
              </w:rPr>
              <m:t>l,t</m:t>
            </m:r>
          </m:e>
        </m:d>
      </m:oMath>
      <w:r w:rsidRPr="006A0823">
        <w:rPr>
          <w:rFonts w:eastAsiaTheme="minorEastAsia"/>
          <w:lang w:val="en-GB"/>
        </w:rPr>
        <w:t xml:space="preserve"> onto several of the model drivers described in </w:t>
      </w:r>
      <w:r w:rsidR="00441F16" w:rsidRPr="006A0823">
        <w:rPr>
          <w:rFonts w:eastAsiaTheme="minorEastAsia"/>
          <w:lang w:val="en-GB"/>
        </w:rPr>
        <w:t>section 6</w:t>
      </w:r>
      <w:r w:rsidR="009443A3" w:rsidRPr="006A0823">
        <w:rPr>
          <w:rFonts w:eastAsiaTheme="minorEastAsia"/>
          <w:lang w:val="en-GB"/>
        </w:rPr>
        <w:t xml:space="preserve">. The regression is done with linear mixed-effects model with constraints and Gaussian priors and produces a model of transmission intensity </w:t>
      </w:r>
      <m:oMath>
        <m:acc>
          <m:accPr>
            <m:ctrlPr>
              <w:rPr>
                <w:rFonts w:ascii="Cambria Math" w:eastAsiaTheme="minorEastAsia" w:hAnsi="Cambria Math"/>
                <w:i/>
                <w:lang w:val="en-GB"/>
              </w:rPr>
            </m:ctrlPr>
          </m:accPr>
          <m:e>
            <m:r>
              <w:rPr>
                <w:rFonts w:ascii="Cambria Math" w:eastAsiaTheme="minorEastAsia" w:hAnsi="Cambria Math"/>
                <w:lang w:val="en-GB"/>
              </w:rPr>
              <m:t>β</m:t>
            </m:r>
          </m:e>
        </m:acc>
        <m:r>
          <w:rPr>
            <w:rFonts w:ascii="Cambria Math" w:eastAsiaTheme="minorEastAsia" w:hAnsi="Cambria Math"/>
            <w:lang w:val="en-GB"/>
          </w:rPr>
          <m:t>(l,t)</m:t>
        </m:r>
      </m:oMath>
      <w:r w:rsidR="009443A3" w:rsidRPr="006A0823">
        <w:rPr>
          <w:rFonts w:eastAsiaTheme="minorEastAsia"/>
          <w:lang w:val="en-GB"/>
        </w:rPr>
        <w:t>.</w:t>
      </w:r>
      <w:r w:rsidRPr="006A0823">
        <w:rPr>
          <w:lang w:val="en-GB"/>
        </w:rPr>
        <w:t xml:space="preserve"> This modelled transmission intensity allows us to forecast transmission intensity as a function of the forecasts of our model drivers. We next produce our final model of transmission intensity </w:t>
      </w:r>
      <m:oMath>
        <m:r>
          <w:rPr>
            <w:rFonts w:ascii="Cambria Math" w:hAnsi="Cambria Math"/>
            <w:lang w:val="en-GB"/>
          </w:rPr>
          <m:t>β(l, t)</m:t>
        </m:r>
      </m:oMath>
      <w:r w:rsidRPr="006A0823">
        <w:rPr>
          <w:lang w:val="en-GB"/>
        </w:rPr>
        <w:t xml:space="preserve"> by aligning our regression model </w:t>
      </w:r>
      <m:oMath>
        <m:acc>
          <m:accPr>
            <m:ctrlPr>
              <w:rPr>
                <w:rFonts w:ascii="Cambria Math" w:hAnsi="Cambria Math"/>
                <w:i/>
                <w:lang w:val="en-GB"/>
              </w:rPr>
            </m:ctrlPr>
          </m:accPr>
          <m:e>
            <m:r>
              <w:rPr>
                <w:rFonts w:ascii="Cambria Math" w:hAnsi="Cambria Math"/>
                <w:lang w:val="en-GB"/>
              </w:rPr>
              <m:t>β</m:t>
            </m:r>
          </m:e>
        </m:acc>
        <m:r>
          <w:rPr>
            <w:rFonts w:ascii="Cambria Math" w:hAnsi="Cambria Math"/>
            <w:lang w:val="en-GB"/>
          </w:rPr>
          <m:t>(l, t)</m:t>
        </m:r>
      </m:oMath>
      <w:r w:rsidRPr="006A0823">
        <w:rPr>
          <w:lang w:val="en-GB"/>
        </w:rPr>
        <w:t xml:space="preserve"> with our fit to past infections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fit</m:t>
            </m:r>
          </m:sub>
        </m:sSub>
        <m:d>
          <m:dPr>
            <m:ctrlPr>
              <w:rPr>
                <w:rFonts w:ascii="Cambria Math" w:hAnsi="Cambria Math"/>
                <w:i/>
                <w:lang w:val="en-GB"/>
              </w:rPr>
            </m:ctrlPr>
          </m:dPr>
          <m:e>
            <m:r>
              <w:rPr>
                <w:rFonts w:ascii="Cambria Math" w:hAnsi="Cambria Math"/>
                <w:lang w:val="en-GB"/>
              </w:rPr>
              <m:t>l, t</m:t>
            </m:r>
          </m:e>
        </m:d>
      </m:oMath>
      <w:r w:rsidRPr="006A0823">
        <w:rPr>
          <w:lang w:val="en-GB"/>
        </w:rPr>
        <w:t xml:space="preserve"> on the last day of infection data from our past infections model. We then adjust the long term trajectory of </w:t>
      </w:r>
      <m:oMath>
        <m:r>
          <w:rPr>
            <w:rFonts w:ascii="Cambria Math" w:hAnsi="Cambria Math"/>
            <w:lang w:val="en-GB"/>
          </w:rPr>
          <m:t>β(l, t)</m:t>
        </m:r>
      </m:oMath>
      <w:r w:rsidRPr="006A0823">
        <w:rPr>
          <w:lang w:val="en-GB"/>
        </w:rPr>
        <w:t xml:space="preserve"> to account for </w:t>
      </w:r>
      <w:r w:rsidR="009443A3" w:rsidRPr="006A0823">
        <w:rPr>
          <w:lang w:val="en-GB"/>
        </w:rPr>
        <w:t xml:space="preserve">unexplained variation in </w:t>
      </w:r>
      <w:r w:rsidRPr="006A0823">
        <w:rPr>
          <w:lang w:val="en-GB"/>
        </w:rPr>
        <w:t xml:space="preserve">recent trends </w:t>
      </w:r>
      <w:r w:rsidR="009443A3" w:rsidRPr="006A0823">
        <w:rPr>
          <w:lang w:val="en-GB"/>
        </w:rPr>
        <w:t xml:space="preserve">transmission intensity using </w:t>
      </w:r>
      <w:r w:rsidRPr="006A0823">
        <w:rPr>
          <w:lang w:val="en-GB"/>
        </w:rPr>
        <w:t xml:space="preserve">the regression residuals. Finally, we feed </w:t>
      </w:r>
      <w:r w:rsidR="009443A3" w:rsidRPr="006A0823">
        <w:rPr>
          <w:lang w:val="en-GB"/>
        </w:rPr>
        <w:t xml:space="preserve">the forecast </w:t>
      </w:r>
      <w:r w:rsidRPr="006A0823">
        <w:rPr>
          <w:lang w:val="en-GB"/>
        </w:rPr>
        <w:t>transmission in</w:t>
      </w:r>
      <w:r w:rsidR="009443A3" w:rsidRPr="006A0823">
        <w:rPr>
          <w:lang w:val="en-GB"/>
        </w:rPr>
        <w:t xml:space="preserve">tensity back into the third parameterization of our SEI model </w:t>
      </w:r>
      <w:r w:rsidRPr="006A0823">
        <w:rPr>
          <w:lang w:val="en-GB"/>
        </w:rPr>
        <w:t xml:space="preserve">with projections of vaccine delivery and variant spread to produce forecasts of the COVID-19 epidemic over the next </w:t>
      </w:r>
      <w:r w:rsidR="009443A3" w:rsidRPr="006A0823">
        <w:rPr>
          <w:lang w:val="en-GB"/>
        </w:rPr>
        <w:t>si</w:t>
      </w:r>
      <w:r w:rsidR="00C61D5B" w:rsidRPr="006A0823">
        <w:rPr>
          <w:lang w:val="en-GB"/>
        </w:rPr>
        <w:t>x</w:t>
      </w:r>
      <w:r w:rsidRPr="006A0823">
        <w:rPr>
          <w:lang w:val="en-GB"/>
        </w:rPr>
        <w:t xml:space="preserve"> months.</w:t>
      </w:r>
    </w:p>
    <w:p w14:paraId="2E7D3ACC" w14:textId="3180D902" w:rsidR="00AD6C3A" w:rsidRPr="006A0823" w:rsidRDefault="00AD6C3A" w:rsidP="00AD6C3A">
      <w:pPr>
        <w:pStyle w:val="Heading2"/>
        <w:rPr>
          <w:lang w:val="en-GB"/>
        </w:rPr>
      </w:pPr>
      <w:bookmarkStart w:id="346" w:name="_Toc104249384"/>
      <w:bookmarkStart w:id="347" w:name="_Toc104252112"/>
      <w:bookmarkStart w:id="348" w:name="_Toc124499517"/>
      <w:r w:rsidRPr="006A0823">
        <w:rPr>
          <w:lang w:val="en-GB"/>
        </w:rPr>
        <w:t>Regression of transmission intensity onto model covariates</w:t>
      </w:r>
      <w:bookmarkEnd w:id="346"/>
      <w:bookmarkEnd w:id="347"/>
      <w:bookmarkEnd w:id="348"/>
    </w:p>
    <w:p w14:paraId="6259F625" w14:textId="72A8F534" w:rsidR="007676E9" w:rsidRPr="006A0823" w:rsidRDefault="007676E9" w:rsidP="00BC3AE0">
      <w:pPr>
        <w:rPr>
          <w:lang w:val="en-GB"/>
        </w:rPr>
      </w:pPr>
      <w:r w:rsidRPr="006A0823">
        <w:rPr>
          <w:lang w:val="en-GB"/>
        </w:rPr>
        <w:t xml:space="preserve">The next modelling step is to regress our fit betas against key model drivers by minimizing </w:t>
      </w:r>
    </w:p>
    <w:p w14:paraId="3044D20B" w14:textId="77777777" w:rsidR="007676E9" w:rsidRPr="006A0823" w:rsidRDefault="007676E9" w:rsidP="00BC3AE0">
      <w:pPr>
        <w:rPr>
          <w:lang w:val="en-GB"/>
        </w:rPr>
      </w:pPr>
      <m:oMathPara>
        <m:oMath>
          <m:r>
            <w:rPr>
              <w:rFonts w:ascii="Cambria Math" w:hAnsi="Cambria Math"/>
              <w:lang w:val="en-GB"/>
            </w:rPr>
            <m:t>f</m:t>
          </m:r>
          <m:d>
            <m:dPr>
              <m:ctrlPr>
                <w:rPr>
                  <w:rFonts w:ascii="Cambria Math" w:hAnsi="Cambria Math"/>
                  <w:lang w:val="en-GB"/>
                </w:rPr>
              </m:ctrlPr>
            </m:dPr>
            <m:e>
              <m:r>
                <m:rPr>
                  <m:sty m:val="bi"/>
                </m:rPr>
                <w:rPr>
                  <w:rFonts w:ascii="Cambria Math" w:hAnsi="Cambria Math"/>
                  <w:lang w:val="en-GB"/>
                </w:rPr>
                <m:t>α</m:t>
              </m:r>
              <m:ctrlPr>
                <w:rPr>
                  <w:rFonts w:ascii="Cambria Math" w:hAnsi="Cambria Math"/>
                  <w:b/>
                  <w:lang w:val="en-GB"/>
                </w:rPr>
              </m:ctrlPr>
            </m:e>
          </m:d>
          <m:r>
            <m:rPr>
              <m:sty m:val="b"/>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ctrlPr>
                <w:rPr>
                  <w:rFonts w:ascii="Cambria Math" w:hAnsi="Cambria Math"/>
                  <w:b/>
                  <w:lang w:val="en-GB"/>
                </w:rPr>
              </m:ctrlPr>
            </m:num>
            <m:den>
              <m:r>
                <m:rPr>
                  <m:sty m:val="p"/>
                </m:rPr>
                <w:rPr>
                  <w:rFonts w:ascii="Cambria Math" w:hAnsi="Cambria Math"/>
                  <w:lang w:val="en-GB"/>
                </w:rPr>
                <m:t>2</m:t>
              </m:r>
            </m:den>
          </m:f>
          <m:nary>
            <m:naryPr>
              <m:chr m:val="∑"/>
              <m:supHide m:val="1"/>
              <m:ctrlPr>
                <w:rPr>
                  <w:rFonts w:ascii="Cambria Math" w:hAnsi="Cambria Math"/>
                  <w:lang w:val="en-GB"/>
                </w:rPr>
              </m:ctrlPr>
            </m:naryPr>
            <m:sub>
              <m:r>
                <w:rPr>
                  <w:rFonts w:ascii="Cambria Math" w:hAnsi="Cambria Math"/>
                  <w:lang w:val="en-GB"/>
                </w:rPr>
                <m:t>l</m:t>
              </m:r>
              <m:r>
                <m:rPr>
                  <m:sty m:val="p"/>
                </m:rPr>
                <w:rPr>
                  <w:rFonts w:ascii="Cambria Math" w:hAnsi="Cambria Math"/>
                  <w:lang w:val="en-GB"/>
                </w:rPr>
                <m:t>,</m:t>
              </m:r>
              <m:r>
                <w:rPr>
                  <w:rFonts w:ascii="Cambria Math" w:hAnsi="Cambria Math"/>
                  <w:lang w:val="en-GB"/>
                </w:rPr>
                <m:t>t</m:t>
              </m:r>
            </m:sub>
            <m:sup/>
            <m:e>
              <m:sSup>
                <m:sSupPr>
                  <m:ctrlPr>
                    <w:rPr>
                      <w:rFonts w:ascii="Cambria Math" w:hAnsi="Cambria Math"/>
                      <w:lang w:val="en-GB"/>
                    </w:rPr>
                  </m:ctrlPr>
                </m:sSupPr>
                <m:e>
                  <m:d>
                    <m:dPr>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ln</m:t>
                          </m:r>
                        </m:fName>
                        <m:e>
                          <m:sSub>
                            <m:sSubPr>
                              <m:ctrlPr>
                                <w:rPr>
                                  <w:rFonts w:ascii="Cambria Math" w:hAnsi="Cambria Math"/>
                                  <w:lang w:val="en-GB"/>
                                </w:rPr>
                              </m:ctrlPr>
                            </m:sSubPr>
                            <m:e>
                              <m:r>
                                <w:rPr>
                                  <w:rFonts w:ascii="Cambria Math" w:hAnsi="Cambria Math"/>
                                  <w:lang w:val="en-GB"/>
                                </w:rPr>
                                <m:t>β</m:t>
                              </m:r>
                            </m:e>
                            <m:sub>
                              <m:r>
                                <w:rPr>
                                  <w:rFonts w:ascii="Cambria Math" w:hAnsi="Cambria Math"/>
                                  <w:lang w:val="en-GB"/>
                                </w:rPr>
                                <m:t>fit</m:t>
                              </m:r>
                            </m:sub>
                          </m:sSub>
                          <m:d>
                            <m:dPr>
                              <m:ctrlPr>
                                <w:rPr>
                                  <w:rFonts w:ascii="Cambria Math" w:hAnsi="Cambria Math"/>
                                  <w:lang w:val="en-GB"/>
                                </w:rPr>
                              </m:ctrlPr>
                            </m:dPr>
                            <m:e>
                              <m:r>
                                <w:rPr>
                                  <w:rFonts w:ascii="Cambria Math" w:hAnsi="Cambria Math"/>
                                  <w:lang w:val="en-GB"/>
                                </w:rPr>
                                <m:t>l</m:t>
                              </m:r>
                              <m:r>
                                <m:rPr>
                                  <m:sty m:val="p"/>
                                </m:rPr>
                                <w:rPr>
                                  <w:rFonts w:ascii="Cambria Math" w:hAnsi="Cambria Math"/>
                                  <w:lang w:val="en-GB"/>
                                </w:rPr>
                                <m:t xml:space="preserve">, </m:t>
                              </m:r>
                              <m:r>
                                <w:rPr>
                                  <w:rFonts w:ascii="Cambria Math" w:hAnsi="Cambria Math"/>
                                  <w:lang w:val="en-GB"/>
                                </w:rPr>
                                <m:t>t</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ln</m:t>
                          </m:r>
                        </m:fName>
                        <m:e>
                          <m:acc>
                            <m:accPr>
                              <m:ctrlPr>
                                <w:rPr>
                                  <w:rFonts w:ascii="Cambria Math" w:hAnsi="Cambria Math"/>
                                  <w:lang w:val="en-GB"/>
                                </w:rPr>
                              </m:ctrlPr>
                            </m:accPr>
                            <m:e>
                              <m:r>
                                <w:rPr>
                                  <w:rFonts w:ascii="Cambria Math" w:hAnsi="Cambria Math"/>
                                  <w:lang w:val="en-GB"/>
                                </w:rPr>
                                <m:t>β</m:t>
                              </m:r>
                            </m:e>
                          </m:acc>
                          <m:d>
                            <m:dPr>
                              <m:ctrlPr>
                                <w:rPr>
                                  <w:rFonts w:ascii="Cambria Math" w:hAnsi="Cambria Math"/>
                                  <w:lang w:val="en-GB"/>
                                </w:rPr>
                              </m:ctrlPr>
                            </m:dPr>
                            <m:e>
                              <m:r>
                                <w:rPr>
                                  <w:rFonts w:ascii="Cambria Math" w:hAnsi="Cambria Math"/>
                                  <w:lang w:val="en-GB"/>
                                </w:rPr>
                                <m:t>l</m:t>
                              </m:r>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m:t>
                              </m:r>
                              <m:r>
                                <m:rPr>
                                  <m:sty m:val="bi"/>
                                </m:rPr>
                                <w:rPr>
                                  <w:rFonts w:ascii="Cambria Math" w:hAnsi="Cambria Math"/>
                                  <w:lang w:val="en-GB"/>
                                </w:rPr>
                                <m:t>α</m:t>
                              </m:r>
                            </m:e>
                          </m:d>
                        </m:e>
                      </m:func>
                    </m:e>
                  </m:d>
                </m:e>
                <m:sup>
                  <m:r>
                    <m:rPr>
                      <m:sty m:val="p"/>
                    </m:rPr>
                    <w:rPr>
                      <w:rFonts w:ascii="Cambria Math" w:hAnsi="Cambria Math"/>
                      <w:lang w:val="en-GB"/>
                    </w:rPr>
                    <m:t>2</m:t>
                  </m:r>
                </m:sup>
              </m:sSup>
              <m:r>
                <m:rPr>
                  <m:sty m:val="p"/>
                </m:rPr>
                <w:rPr>
                  <w:rFonts w:ascii="Cambria Math" w:hAnsi="Cambria Math"/>
                  <w:lang w:val="en-GB"/>
                </w:rPr>
                <m:t xml:space="preserve"> </m:t>
              </m:r>
            </m:e>
          </m:nary>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nary>
            <m:naryPr>
              <m:chr m:val="∑"/>
              <m:supHide m:val="1"/>
              <m:ctrlPr>
                <w:rPr>
                  <w:rFonts w:ascii="Cambria Math" w:hAnsi="Cambria Math"/>
                  <w:lang w:val="en-GB"/>
                </w:rPr>
              </m:ctrlPr>
            </m:naryPr>
            <m:sub>
              <m:r>
                <w:rPr>
                  <w:rFonts w:ascii="Cambria Math" w:hAnsi="Cambria Math"/>
                  <w:lang w:val="en-GB"/>
                </w:rPr>
                <m:t>l</m:t>
              </m:r>
              <m:r>
                <m:rPr>
                  <m:sty m:val="p"/>
                </m:rPr>
                <w:rPr>
                  <w:rFonts w:ascii="Cambria Math" w:hAnsi="Cambria Math"/>
                  <w:lang w:val="en-GB"/>
                </w:rPr>
                <m:t xml:space="preserve">, </m:t>
              </m:r>
              <m:r>
                <w:rPr>
                  <w:rFonts w:ascii="Cambria Math" w:hAnsi="Cambria Math"/>
                  <w:lang w:val="en-GB"/>
                </w:rPr>
                <m:t>c</m:t>
              </m:r>
            </m:sub>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l</m:t>
                              </m:r>
                              <m:r>
                                <m:rPr>
                                  <m:sty m:val="p"/>
                                </m:rPr>
                                <w:rPr>
                                  <w:rFonts w:ascii="Cambria Math" w:hAnsi="Cambria Math"/>
                                  <w:lang w:val="en-GB"/>
                                </w:rPr>
                                <m:t>,</m:t>
                              </m:r>
                              <m:r>
                                <w:rPr>
                                  <w:rFonts w:ascii="Cambria Math" w:hAnsi="Cambria Math"/>
                                  <w:lang w:val="en-GB"/>
                                </w:rPr>
                                <m:t>c</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μ</m:t>
                              </m:r>
                            </m:e>
                            <m:sub>
                              <m:r>
                                <w:rPr>
                                  <w:rFonts w:ascii="Cambria Math" w:hAnsi="Cambria Math"/>
                                  <w:lang w:val="en-GB"/>
                                </w:rPr>
                                <m:t>c</m:t>
                              </m:r>
                            </m:sub>
                          </m:sSub>
                        </m:num>
                        <m:den>
                          <m:sSub>
                            <m:sSubPr>
                              <m:ctrlPr>
                                <w:rPr>
                                  <w:rFonts w:ascii="Cambria Math" w:hAnsi="Cambria Math"/>
                                  <w:lang w:val="en-GB"/>
                                </w:rPr>
                              </m:ctrlPr>
                            </m:sSubPr>
                            <m:e>
                              <m:r>
                                <w:rPr>
                                  <w:rFonts w:ascii="Cambria Math" w:hAnsi="Cambria Math"/>
                                  <w:lang w:val="en-GB"/>
                                </w:rPr>
                                <m:t>σ</m:t>
                              </m:r>
                            </m:e>
                            <m:sub>
                              <m:r>
                                <w:rPr>
                                  <w:rFonts w:ascii="Cambria Math" w:hAnsi="Cambria Math"/>
                                  <w:lang w:val="en-GB"/>
                                </w:rPr>
                                <m:t>c</m:t>
                              </m:r>
                            </m:sub>
                          </m:sSub>
                        </m:den>
                      </m:f>
                    </m:e>
                  </m:d>
                </m:e>
                <m:sup>
                  <m:r>
                    <m:rPr>
                      <m:sty m:val="p"/>
                    </m:rPr>
                    <w:rPr>
                      <w:rFonts w:ascii="Cambria Math" w:hAnsi="Cambria Math"/>
                      <w:lang w:val="en-GB"/>
                    </w:rPr>
                    <m:t>2</m:t>
                  </m:r>
                </m:sup>
              </m:sSup>
            </m:e>
          </m:nary>
        </m:oMath>
      </m:oMathPara>
    </w:p>
    <w:p w14:paraId="5B3AC4D0" w14:textId="77777777" w:rsidR="007676E9" w:rsidRPr="006A0823" w:rsidRDefault="007676E9" w:rsidP="00BC3AE0">
      <w:pPr>
        <w:rPr>
          <w:lang w:val="en-GB"/>
        </w:rPr>
      </w:pPr>
      <w:r w:rsidRPr="006A0823">
        <w:rPr>
          <w:lang w:val="en-GB"/>
        </w:rPr>
        <w:t xml:space="preserve">subject to constraints of the form </w:t>
      </w:r>
    </w:p>
    <w:p w14:paraId="789D5113" w14:textId="77777777" w:rsidR="007676E9" w:rsidRPr="006A0823" w:rsidRDefault="00000000" w:rsidP="00BC3AE0">
      <w:pPr>
        <w:rPr>
          <w:lang w:val="en-GB"/>
        </w:rPr>
      </w:pPr>
      <m:oMathPara>
        <m:oMath>
          <m:sSub>
            <m:sSubPr>
              <m:ctrlPr>
                <w:rPr>
                  <w:rFonts w:ascii="Cambria Math" w:hAnsi="Cambria Math"/>
                  <w:lang w:val="en-GB"/>
                </w:rPr>
              </m:ctrlPr>
            </m:sSubPr>
            <m:e>
              <m:r>
                <w:rPr>
                  <w:rFonts w:ascii="Cambria Math" w:hAnsi="Cambria Math"/>
                  <w:lang w:val="en-GB"/>
                </w:rPr>
                <m:t>lower</m:t>
              </m:r>
            </m:e>
            <m:sub>
              <m:r>
                <w:rPr>
                  <w:rFonts w:ascii="Cambria Math" w:hAnsi="Cambria Math"/>
                  <w:lang w:val="en-GB"/>
                </w:rPr>
                <m:t>c</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l</m:t>
              </m:r>
              <m:r>
                <m:rPr>
                  <m:sty m:val="p"/>
                </m:rPr>
                <w:rPr>
                  <w:rFonts w:ascii="Cambria Math" w:hAnsi="Cambria Math"/>
                  <w:lang w:val="en-GB"/>
                </w:rPr>
                <m:t>,</m:t>
              </m:r>
              <m:r>
                <w:rPr>
                  <w:rFonts w:ascii="Cambria Math" w:hAnsi="Cambria Math"/>
                  <w:lang w:val="en-GB"/>
                </w:rPr>
                <m:t>c</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upper</m:t>
              </m:r>
            </m:e>
            <m:sub>
              <m:r>
                <w:rPr>
                  <w:rFonts w:ascii="Cambria Math" w:hAnsi="Cambria Math"/>
                  <w:lang w:val="en-GB"/>
                </w:rPr>
                <m:t>c</m:t>
              </m:r>
            </m:sub>
          </m:sSub>
        </m:oMath>
      </m:oMathPara>
    </w:p>
    <w:p w14:paraId="463C4D39" w14:textId="77777777" w:rsidR="007676E9" w:rsidRPr="006A0823" w:rsidRDefault="007676E9" w:rsidP="00BC3AE0">
      <w:pPr>
        <w:rPr>
          <w:lang w:val="en-GB"/>
        </w:rPr>
      </w:pPr>
      <w:r w:rsidRPr="006A0823">
        <w:rPr>
          <w:lang w:val="en-GB"/>
        </w:rPr>
        <w:t xml:space="preserve">Here </w:t>
      </w:r>
      <m:oMath>
        <m:r>
          <m:rPr>
            <m:sty m:val="bi"/>
          </m:rPr>
          <w:rPr>
            <w:rFonts w:ascii="Cambria Math" w:hAnsi="Cambria Math"/>
            <w:lang w:val="en-GB"/>
          </w:rPr>
          <m:t>α</m:t>
        </m:r>
      </m:oMath>
      <w:r w:rsidRPr="006A0823">
        <w:rPr>
          <w:lang w:val="en-GB"/>
        </w:rPr>
        <w:t xml:space="preserve"> is a vector of coefficients of the model covariates. The first term of the optimization is a standard sum of squared errors with </w:t>
      </w:r>
    </w:p>
    <w:p w14:paraId="126B5F59" w14:textId="77777777" w:rsidR="007676E9" w:rsidRPr="006A0823" w:rsidRDefault="00000000" w:rsidP="00BC3AE0">
      <w:pPr>
        <w:rPr>
          <w:lang w:val="en-GB"/>
        </w:rPr>
      </w:pPr>
      <m:oMathPara>
        <m:oMath>
          <m:func>
            <m:funcPr>
              <m:ctrlPr>
                <w:rPr>
                  <w:rFonts w:ascii="Cambria Math" w:hAnsi="Cambria Math"/>
                  <w:lang w:val="en-GB"/>
                </w:rPr>
              </m:ctrlPr>
            </m:funcPr>
            <m:fName>
              <m:r>
                <m:rPr>
                  <m:sty m:val="p"/>
                </m:rPr>
                <w:rPr>
                  <w:rFonts w:ascii="Cambria Math" w:hAnsi="Cambria Math"/>
                  <w:lang w:val="en-GB"/>
                </w:rPr>
                <m:t>ln</m:t>
              </m:r>
            </m:fName>
            <m:e>
              <m:acc>
                <m:accPr>
                  <m:ctrlPr>
                    <w:rPr>
                      <w:rFonts w:ascii="Cambria Math" w:hAnsi="Cambria Math"/>
                      <w:lang w:val="en-GB"/>
                    </w:rPr>
                  </m:ctrlPr>
                </m:accPr>
                <m:e>
                  <m:r>
                    <w:rPr>
                      <w:rFonts w:ascii="Cambria Math" w:hAnsi="Cambria Math"/>
                      <w:lang w:val="en-GB"/>
                    </w:rPr>
                    <m:t>β</m:t>
                  </m:r>
                </m:e>
              </m:acc>
              <m:d>
                <m:dPr>
                  <m:ctrlPr>
                    <w:rPr>
                      <w:rFonts w:ascii="Cambria Math" w:hAnsi="Cambria Math"/>
                      <w:lang w:val="en-GB"/>
                    </w:rPr>
                  </m:ctrlPr>
                </m:dPr>
                <m:e>
                  <m:r>
                    <w:rPr>
                      <w:rFonts w:ascii="Cambria Math" w:hAnsi="Cambria Math"/>
                      <w:lang w:val="en-GB"/>
                    </w:rPr>
                    <m:t>l</m:t>
                  </m:r>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m:t>
                  </m:r>
                  <m:r>
                    <m:rPr>
                      <m:sty m:val="bi"/>
                    </m:rPr>
                    <w:rPr>
                      <w:rFonts w:ascii="Cambria Math" w:hAnsi="Cambria Math"/>
                      <w:lang w:val="en-GB"/>
                    </w:rPr>
                    <m:t>α</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intercept</m:t>
                  </m:r>
                  <m:r>
                    <m:rPr>
                      <m:sty m:val="p"/>
                    </m:rPr>
                    <w:rPr>
                      <w:rFonts w:ascii="Cambria Math" w:hAnsi="Cambria Math"/>
                      <w:lang w:val="en-GB"/>
                    </w:rPr>
                    <m:t>,</m:t>
                  </m:r>
                  <m:r>
                    <w:rPr>
                      <w:rFonts w:ascii="Cambria Math" w:hAnsi="Cambria Math"/>
                      <w:lang w:val="en-GB"/>
                    </w:rPr>
                    <m:t>l</m:t>
                  </m:r>
                </m:sub>
              </m:sSub>
            </m:e>
          </m:func>
          <m:r>
            <m:rPr>
              <m:sty m:val="p"/>
            </m:rPr>
            <w:rPr>
              <w:rFonts w:ascii="Cambria Math" w:hAnsi="Cambria Math"/>
              <w:lang w:val="en-GB"/>
            </w:rPr>
            <m:t>+</m:t>
          </m:r>
          <m:nary>
            <m:naryPr>
              <m:chr m:val="∑"/>
              <m:supHide m:val="1"/>
              <m:ctrlPr>
                <w:rPr>
                  <w:rFonts w:ascii="Cambria Math" w:hAnsi="Cambria Math"/>
                  <w:lang w:val="en-GB"/>
                </w:rPr>
              </m:ctrlPr>
            </m:naryPr>
            <m:sub>
              <m:r>
                <w:rPr>
                  <w:rFonts w:ascii="Cambria Math" w:hAnsi="Cambria Math"/>
                  <w:lang w:val="en-GB"/>
                </w:rPr>
                <m:t>c</m:t>
              </m:r>
              <m:r>
                <m:rPr>
                  <m:sty m:val="p"/>
                </m:rPr>
                <w:rPr>
                  <w:rFonts w:ascii="Cambria Math" w:hAnsi="Cambria Math"/>
                  <w:lang w:val="en-GB"/>
                </w:rPr>
                <m:t>∈</m:t>
              </m:r>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c</m:t>
                  </m:r>
                </m:sub>
              </m:sSub>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c</m:t>
                  </m:r>
                </m:sub>
              </m:sSub>
              <m:d>
                <m:dPr>
                  <m:ctrlPr>
                    <w:rPr>
                      <w:rFonts w:ascii="Cambria Math" w:hAnsi="Cambria Math"/>
                      <w:lang w:val="en-GB"/>
                    </w:rPr>
                  </m:ctrlPr>
                </m:dPr>
                <m:e>
                  <m:r>
                    <w:rPr>
                      <w:rFonts w:ascii="Cambria Math" w:hAnsi="Cambria Math"/>
                      <w:lang w:val="en-GB"/>
                    </w:rPr>
                    <m:t>l</m:t>
                  </m:r>
                </m:e>
              </m:d>
              <m:r>
                <m:rPr>
                  <m:sty m:val="p"/>
                </m:rPr>
                <w:rPr>
                  <w:rFonts w:ascii="Cambria Math" w:hAnsi="Cambria Math"/>
                  <w:lang w:val="en-GB"/>
                </w:rPr>
                <m:t xml:space="preserve"> </m:t>
              </m:r>
            </m:e>
          </m:nary>
          <m:r>
            <m:rPr>
              <m:sty m:val="p"/>
            </m:rPr>
            <w:rPr>
              <w:rFonts w:ascii="Cambria Math" w:hAnsi="Cambria Math"/>
              <w:lang w:val="en-GB"/>
            </w:rPr>
            <m:t>+</m:t>
          </m:r>
          <m:nary>
            <m:naryPr>
              <m:chr m:val="∑"/>
              <m:supHide m:val="1"/>
              <m:ctrlPr>
                <w:rPr>
                  <w:rFonts w:ascii="Cambria Math" w:hAnsi="Cambria Math"/>
                  <w:lang w:val="en-GB"/>
                </w:rPr>
              </m:ctrlPr>
            </m:naryPr>
            <m:sub>
              <m:r>
                <w:rPr>
                  <w:rFonts w:ascii="Cambria Math" w:hAnsi="Cambria Math"/>
                  <w:lang w:val="en-GB"/>
                </w:rPr>
                <m:t>c</m:t>
              </m:r>
              <m:r>
                <m:rPr>
                  <m:sty m:val="p"/>
                </m:rPr>
                <w:rPr>
                  <w:rFonts w:ascii="Cambria Math" w:hAnsi="Cambria Math"/>
                  <w:lang w:val="en-GB"/>
                </w:rPr>
                <m:t>∈</m:t>
              </m:r>
              <m:r>
                <w:rPr>
                  <w:rFonts w:ascii="Cambria Math" w:hAnsi="Cambria Math"/>
                  <w:lang w:val="en-GB"/>
                </w:rPr>
                <m:t>V</m:t>
              </m:r>
            </m:sub>
            <m:sup/>
            <m:e>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c</m:t>
                  </m:r>
                </m:sub>
              </m:sSub>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c</m:t>
                  </m:r>
                </m:sub>
              </m:sSub>
              <m:r>
                <m:rPr>
                  <m:sty m:val="p"/>
                </m:rPr>
                <w:rPr>
                  <w:rFonts w:ascii="Cambria Math" w:hAnsi="Cambria Math"/>
                  <w:lang w:val="en-GB"/>
                </w:rPr>
                <m:t>(</m:t>
              </m:r>
              <m:r>
                <w:rPr>
                  <w:rFonts w:ascii="Cambria Math" w:hAnsi="Cambria Math"/>
                  <w:lang w:val="en-GB"/>
                </w:rPr>
                <m:t>l</m:t>
              </m:r>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m:t>
              </m:r>
            </m:e>
          </m:nary>
        </m:oMath>
      </m:oMathPara>
    </w:p>
    <w:p w14:paraId="031F0208" w14:textId="15BFE486" w:rsidR="00F7127F" w:rsidRPr="006A0823" w:rsidRDefault="007676E9" w:rsidP="00EE6717">
      <w:pPr>
        <w:rPr>
          <w:color w:val="2B579A"/>
          <w:shd w:val="clear" w:color="auto" w:fill="E6E6E6"/>
          <w:lang w:val="en-GB"/>
        </w:rPr>
      </w:pPr>
      <w:r w:rsidRPr="006A0823">
        <w:rPr>
          <w:lang w:val="en-GB"/>
        </w:rPr>
        <w:t xml:space="preserve">That is, our model of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fit</m:t>
            </m:r>
          </m:sub>
        </m:sSub>
        <m:r>
          <w:rPr>
            <w:rFonts w:ascii="Cambria Math" w:hAnsi="Cambria Math"/>
            <w:lang w:val="en-GB"/>
          </w:rPr>
          <m:t>(l, t)</m:t>
        </m:r>
      </m:oMath>
      <w:r w:rsidRPr="006A0823">
        <w:rPr>
          <w:lang w:val="en-GB"/>
        </w:rPr>
        <w:t xml:space="preserve"> is a location-specific random intercept, a set of location-specific and time-invariant covariates </w:t>
      </w:r>
      <m:oMath>
        <m:r>
          <w:rPr>
            <w:rFonts w:ascii="Cambria Math" w:hAnsi="Cambria Math"/>
            <w:lang w:val="en-GB"/>
          </w:rPr>
          <m:t>I</m:t>
        </m:r>
      </m:oMath>
      <w:r w:rsidRPr="006A0823">
        <w:rPr>
          <w:lang w:val="en-GB"/>
        </w:rPr>
        <w:t xml:space="preserve"> with fixed effects for the coefficients, and a set of location-specific and time varying covariates </w:t>
      </w:r>
      <m:oMath>
        <m:r>
          <w:rPr>
            <w:rFonts w:ascii="Cambria Math" w:hAnsi="Cambria Math"/>
            <w:lang w:val="en-GB"/>
          </w:rPr>
          <m:t>V</m:t>
        </m:r>
      </m:oMath>
      <w:r w:rsidRPr="006A0823">
        <w:rPr>
          <w:lang w:val="en-GB"/>
        </w:rPr>
        <w:t xml:space="preserve"> with fixed effects for the coefficients. The second term</w:t>
      </w:r>
      <w:r w:rsidR="0021755E" w:rsidRPr="006A0823">
        <w:rPr>
          <w:lang w:val="en-GB"/>
        </w:rPr>
        <w:t xml:space="preserve"> of the objective function</w:t>
      </w:r>
      <w:r w:rsidRPr="006A0823">
        <w:rPr>
          <w:lang w:val="en-GB"/>
        </w:rPr>
        <w:t xml:space="preserve"> is a set of Gaussian priors on the coefficients. These priors vary by covariate but are not location specific. </w:t>
      </w:r>
      <w:r w:rsidR="00EE6717" w:rsidRPr="006A0823">
        <w:rPr>
          <w:lang w:val="en-GB"/>
        </w:rPr>
        <w:t xml:space="preserve">Regression constraints, priors, and effect sizes can be found in </w:t>
      </w:r>
      <w:r w:rsidR="00831918" w:rsidRPr="006A0823">
        <w:rPr>
          <w:lang w:val="en-GB"/>
        </w:rPr>
        <w:t>t</w:t>
      </w:r>
      <w:r w:rsidR="00EE6717" w:rsidRPr="006A0823">
        <w:rPr>
          <w:lang w:val="en-GB"/>
        </w:rPr>
        <w:t xml:space="preserve">able </w:t>
      </w:r>
      <w:r w:rsidR="00831918" w:rsidRPr="006A0823">
        <w:rPr>
          <w:lang w:val="en-GB"/>
        </w:rPr>
        <w:t>S4</w:t>
      </w:r>
      <w:r w:rsidR="00EE6717" w:rsidRPr="006A0823">
        <w:rPr>
          <w:lang w:val="en-GB"/>
        </w:rPr>
        <w:t xml:space="preserve">. </w:t>
      </w:r>
      <w:r w:rsidRPr="006A0823">
        <w:rPr>
          <w:lang w:val="en-GB"/>
        </w:rPr>
        <w:t>Given the nature of the constraints for the problem, we solve our regression using the reference implementation of the L-BFGS-B algorithm</w:t>
      </w:r>
      <w:r w:rsidRPr="006A0823">
        <w:rPr>
          <w:color w:val="2B579A"/>
          <w:shd w:val="clear" w:color="auto" w:fill="E6E6E6"/>
          <w:lang w:val="en-GB"/>
        </w:rPr>
        <w:fldChar w:fldCharType="begin"/>
      </w:r>
      <w:r w:rsidR="00851DCE" w:rsidRPr="006A0823">
        <w:rPr>
          <w:lang w:val="en-GB"/>
        </w:rPr>
        <w:instrText xml:space="preserve"> ADDIN ZOTERO_ITEM CSL_CITATION {"citationID":"GQFegCLl","properties":{"formattedCitation":"\\super 43\\nosupersub{}","plainCitation":"43","noteIndex":0},"citationItems":[{"id":955,"uris":["http://zotero.org/groups/2154524/items/ISSCQRZ8"],"itemData":{"id":955,"type":"article-journal","abstract":"This remark describes an improvement and a correction to Algorithm 778. It is shown that the performance of the algorithm can be improved significantly by making a relatively simple modification to the subspace minimization phase. The correction concerns an error caused by the use of routine dpmeps to estimate machine precision.","container-title":"ACM Transactions on Mathematical Software","DOI":"10.1145/2049662.2049669","ISSN":"0098-3500","issue":"1","journalAbbreviation":"ACM Trans. Math. Softw.","page":"7:1–7:4","source":"November 2011","title":"Remark on \"algorithm 778: L-BFGS-B: Fortran subroutines for large-scale bound constrained optimization\"","title-short":"Remark on &amp;#x201c;algorithm 778","volume":"38","author":[{"family":"Morales","given":"José Luis"},{"family":"Nocedal","given":"Jorge"}],"issued":{"date-parts":[["2011",12,7]]}}}],"schema":"https://github.com/citation-style-language/schema/raw/master/csl-citation.json"} </w:instrText>
      </w:r>
      <w:r w:rsidRPr="006A0823">
        <w:rPr>
          <w:color w:val="2B579A"/>
          <w:shd w:val="clear" w:color="auto" w:fill="E6E6E6"/>
          <w:lang w:val="en-GB"/>
        </w:rPr>
        <w:fldChar w:fldCharType="separate"/>
      </w:r>
      <w:r w:rsidR="00851DCE" w:rsidRPr="006A0823">
        <w:rPr>
          <w:sz w:val="22"/>
          <w:vertAlign w:val="superscript"/>
        </w:rPr>
        <w:t>43</w:t>
      </w:r>
      <w:r w:rsidRPr="006A0823">
        <w:rPr>
          <w:color w:val="2B579A"/>
          <w:shd w:val="clear" w:color="auto" w:fill="E6E6E6"/>
          <w:lang w:val="en-GB"/>
        </w:rPr>
        <w:fldChar w:fldCharType="end"/>
      </w:r>
      <w:r w:rsidRPr="006A0823">
        <w:rPr>
          <w:lang w:val="en-GB"/>
        </w:rPr>
        <w:t xml:space="preserve"> wrapped in the Python library SciPy.</w:t>
      </w:r>
      <w:r w:rsidRPr="006A0823">
        <w:rPr>
          <w:color w:val="2B579A"/>
          <w:shd w:val="clear" w:color="auto" w:fill="E6E6E6"/>
          <w:lang w:val="en-GB"/>
        </w:rPr>
        <w:fldChar w:fldCharType="begin"/>
      </w:r>
      <w:r w:rsidR="00851DCE" w:rsidRPr="006A0823">
        <w:rPr>
          <w:lang w:val="en-GB"/>
        </w:rPr>
        <w:instrText xml:space="preserve"> ADDIN ZOTERO_ITEM CSL_CITATION {"citationID":"5P8JMLmg","properties":{"formattedCitation":"\\super 44\\nosupersub{}","plainCitation":"44","noteIndex":0},"citationItems":[{"id":954,"uris":["http://zotero.org/groups/2154524/items/QH5GWHPI"],"itemData":{"id":954,"type":"article-journal","abstract":"SciPy is an open-source scientific computing library for the Python programming language. Since its initial release in 2001, SciPy has become a de facto standard for leveraging scientific algorithms in Python, with over 600 unique code contributors, thousands of dependent packages, over 100,000 dependent repositories and millions of downloads per year. In this work, we provide an overview of the capabilities and development practices of SciPy 1.0 and highlight some recent technical developments.","container-title":"Nature Methods","DOI":"10.1038/s41592-019-0686-2","ISSN":"1548-7105","issue":"3","journalAbbreviation":"Nat Methods","language":"en","license":"2020 The Author(s)","note":"Bandiera_abtest: a\nCc_license_type: cc_by\nCg_type: Nature Research Journals\nnumber: 3\nPrimary_atype: Reviews\npublisher: Nature Publishing Group\nSubject_term: Biophysical chemistry;Computational biology and bioinformatics;Technology\nSubject_term_id: biophysical-chemistry;computational-biology-and-bioinformatics;technology","page":"261-272","source":"www.nature.com","title":"SciPy 1.0: fundamental algorithms for scientific computing in Python","title-short":"SciPy 1.0","volume":"17","author":[{"family":"Virtanen","given":"Pauli"},{"family":"Gommers","given":"Ralf"},{"family":"Oliphant","given":"Travis E."},{"family":"Haberland","given":"Matt"},{"family":"Reddy","given":"Tyler"},{"family":"Cournapeau","given":"David"},{"family":"Burovski","given":"Evgeni"},{"family":"Peterson","given":"Pearu"},{"family":"Weckesser","given":"Warren"},{"family":"Bright","given":"Jonathan"},{"family":"Walt","given":"Stéfan J.","non-dropping-particle":"van der"},{"family":"Brett","given":"Matthew"},{"family":"Wilson","given":"Joshua"},{"family":"Millman","given":"K. Jarrod"},{"family":"Mayorov","given":"Nikolay"},{"family":"Nelson","given":"Andrew R. J."},{"family":"Jones","given":"Eric"},{"family":"Kern","given":"Robert"},{"family":"Larson","given":"Eric"},{"family":"Carey","given":"C. J."},{"family":"Polat","given":"İlhan"},{"family":"Feng","given":"Yu"},{"family":"Moore","given":"Eric W."},{"family":"VanderPlas","given":"Jake"},{"family":"Laxalde","given":"Denis"},{"family":"Perktold","given":"Josef"},{"family":"Cimrman","given":"Robert"},{"family":"Henriksen","given":"Ian"},{"family":"Quintero","given":"E. A."},{"family":"Harris","given":"Charles R."},{"family":"Archibald","given":"Anne M."},{"family":"Ribeiro","given":"Antônio H."},{"family":"Pedregosa","given":"Fabian"},{"family":"Mulbregt","given":"Paul","non-dropping-particle":"van"}],"issued":{"date-parts":[["2020",3]]}}}],"schema":"https://github.com/citation-style-language/schema/raw/master/csl-citation.json"} </w:instrText>
      </w:r>
      <w:r w:rsidRPr="006A0823">
        <w:rPr>
          <w:color w:val="2B579A"/>
          <w:shd w:val="clear" w:color="auto" w:fill="E6E6E6"/>
          <w:lang w:val="en-GB"/>
        </w:rPr>
        <w:fldChar w:fldCharType="separate"/>
      </w:r>
      <w:r w:rsidR="00851DCE" w:rsidRPr="006A0823">
        <w:rPr>
          <w:sz w:val="22"/>
          <w:vertAlign w:val="superscript"/>
        </w:rPr>
        <w:t>44</w:t>
      </w:r>
      <w:r w:rsidRPr="006A0823">
        <w:rPr>
          <w:color w:val="2B579A"/>
          <w:shd w:val="clear" w:color="auto" w:fill="E6E6E6"/>
          <w:lang w:val="en-GB"/>
        </w:rPr>
        <w:fldChar w:fldCharType="end"/>
      </w:r>
      <w:r w:rsidR="00EE6717" w:rsidRPr="006A0823">
        <w:rPr>
          <w:color w:val="2B579A"/>
          <w:shd w:val="clear" w:color="auto" w:fill="E6E6E6"/>
          <w:lang w:val="en-GB"/>
        </w:rPr>
        <w:t xml:space="preserve"> </w:t>
      </w:r>
    </w:p>
    <w:p w14:paraId="6511FAE5" w14:textId="77777777" w:rsidR="009F17C9" w:rsidRPr="006A0823" w:rsidRDefault="009F17C9" w:rsidP="00BC3AE0">
      <w:pPr>
        <w:rPr>
          <w:lang w:val="en-GB"/>
        </w:rPr>
      </w:pPr>
    </w:p>
    <w:p w14:paraId="18A154EC" w14:textId="4054D586" w:rsidR="00C77847" w:rsidRPr="006A0823" w:rsidRDefault="7A54397A" w:rsidP="00C77847">
      <w:pPr>
        <w:pStyle w:val="Heading2"/>
        <w:rPr>
          <w:lang w:val="en-GB"/>
        </w:rPr>
      </w:pPr>
      <w:bookmarkStart w:id="349" w:name="_Toc76457874"/>
      <w:bookmarkStart w:id="350" w:name="_Toc76653838"/>
      <w:bookmarkStart w:id="351" w:name="_Toc76726307"/>
      <w:bookmarkStart w:id="352" w:name="_Toc76727615"/>
      <w:bookmarkStart w:id="353" w:name="_Toc76840529"/>
      <w:bookmarkStart w:id="354" w:name="_Toc104249385"/>
      <w:bookmarkStart w:id="355" w:name="_Toc104252113"/>
      <w:bookmarkStart w:id="356" w:name="_Toc124499518"/>
      <w:bookmarkEnd w:id="349"/>
      <w:bookmarkEnd w:id="350"/>
      <w:bookmarkEnd w:id="351"/>
      <w:bookmarkEnd w:id="352"/>
      <w:bookmarkEnd w:id="353"/>
      <w:r w:rsidRPr="006A0823">
        <w:rPr>
          <w:lang w:val="en-GB"/>
        </w:rPr>
        <w:t xml:space="preserve">Forecasting transmission </w:t>
      </w:r>
      <w:r w:rsidR="00C77847" w:rsidRPr="006A0823">
        <w:rPr>
          <w:lang w:val="en-GB"/>
        </w:rPr>
        <w:t>intensity</w:t>
      </w:r>
      <w:bookmarkEnd w:id="354"/>
      <w:bookmarkEnd w:id="355"/>
      <w:bookmarkEnd w:id="356"/>
    </w:p>
    <w:p w14:paraId="586CCD72" w14:textId="09A1A0C5" w:rsidR="009F17C9" w:rsidRPr="006A0823" w:rsidRDefault="009F17C9" w:rsidP="00C77847">
      <w:pPr>
        <w:rPr>
          <w:lang w:val="en-GB"/>
        </w:rPr>
      </w:pPr>
      <w:r w:rsidRPr="006A0823">
        <w:rPr>
          <w:lang w:val="en-GB"/>
        </w:rPr>
        <w:t xml:space="preserve">For our final model of transmission intensity, we want to use our best fit to the infection data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fit</m:t>
            </m:r>
          </m:sub>
        </m:sSub>
        <m:r>
          <w:rPr>
            <w:rFonts w:ascii="Cambria Math" w:hAnsi="Cambria Math"/>
            <w:lang w:val="en-GB"/>
          </w:rPr>
          <m:t>(t)</m:t>
        </m:r>
      </m:oMath>
      <w:r w:rsidRPr="006A0823">
        <w:rPr>
          <w:lang w:val="en-GB"/>
        </w:rPr>
        <w:t xml:space="preserve"> in the past and then leverage our model of transmission intensity as a function of the model drivers </w:t>
      </w:r>
      <m:oMath>
        <m:acc>
          <m:accPr>
            <m:ctrlPr>
              <w:rPr>
                <w:rFonts w:ascii="Cambria Math" w:hAnsi="Cambria Math"/>
                <w:i/>
                <w:lang w:val="en-GB"/>
              </w:rPr>
            </m:ctrlPr>
          </m:accPr>
          <m:e>
            <m:r>
              <w:rPr>
                <w:rFonts w:ascii="Cambria Math" w:hAnsi="Cambria Math"/>
                <w:lang w:val="en-GB"/>
              </w:rPr>
              <m:t>β</m:t>
            </m:r>
          </m:e>
        </m:acc>
        <m:r>
          <w:rPr>
            <w:rFonts w:ascii="Cambria Math" w:hAnsi="Cambria Math"/>
            <w:lang w:val="en-GB"/>
          </w:rPr>
          <m:t>(t)</m:t>
        </m:r>
      </m:oMath>
      <w:r w:rsidRPr="006A0823">
        <w:rPr>
          <w:lang w:val="en-GB"/>
        </w:rPr>
        <w:t xml:space="preserve"> to tell us how transmission will proceed in the future. To do so, we need to address two issues – aligning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fit</m:t>
            </m:r>
          </m:sub>
        </m:sSub>
        <m:d>
          <m:dPr>
            <m:ctrlPr>
              <w:rPr>
                <w:rFonts w:ascii="Cambria Math" w:hAnsi="Cambria Math"/>
                <w:i/>
                <w:lang w:val="en-GB"/>
              </w:rPr>
            </m:ctrlPr>
          </m:dPr>
          <m:e>
            <m:r>
              <w:rPr>
                <w:rFonts w:ascii="Cambria Math" w:hAnsi="Cambria Math"/>
                <w:lang w:val="en-GB"/>
              </w:rPr>
              <m:t>t</m:t>
            </m:r>
          </m:e>
        </m:d>
      </m:oMath>
      <w:r w:rsidRPr="006A0823">
        <w:rPr>
          <w:lang w:val="en-GB"/>
        </w:rPr>
        <w:t xml:space="preserve"> and </w:t>
      </w:r>
      <m:oMath>
        <m:acc>
          <m:accPr>
            <m:ctrlPr>
              <w:rPr>
                <w:rFonts w:ascii="Cambria Math" w:hAnsi="Cambria Math"/>
                <w:i/>
                <w:lang w:val="en-GB"/>
              </w:rPr>
            </m:ctrlPr>
          </m:accPr>
          <m:e>
            <m:r>
              <w:rPr>
                <w:rFonts w:ascii="Cambria Math" w:hAnsi="Cambria Math"/>
                <w:lang w:val="en-GB"/>
              </w:rPr>
              <m:t>β</m:t>
            </m:r>
          </m:e>
        </m:acc>
        <m:r>
          <w:rPr>
            <w:rFonts w:ascii="Cambria Math" w:hAnsi="Cambria Math"/>
            <w:lang w:val="en-GB"/>
          </w:rPr>
          <m:t>(t)</m:t>
        </m:r>
      </m:oMath>
      <w:r w:rsidRPr="006A0823">
        <w:rPr>
          <w:lang w:val="en-GB"/>
        </w:rPr>
        <w:t xml:space="preserve"> on the last day of data </w:t>
      </w:r>
      <m:oMath>
        <m:r>
          <w:rPr>
            <w:rFonts w:ascii="Cambria Math" w:hAnsi="Cambria Math"/>
            <w:lang w:val="en-GB"/>
          </w:rPr>
          <m:t>T</m:t>
        </m:r>
      </m:oMath>
      <w:r w:rsidRPr="006A0823">
        <w:rPr>
          <w:lang w:val="en-GB"/>
        </w:rPr>
        <w:t xml:space="preserve">, and using the unexplained variance in the model to shape the long-term trajectory. </w:t>
      </w:r>
    </w:p>
    <w:p w14:paraId="61126BEC" w14:textId="1CA18152" w:rsidR="009F17C9" w:rsidRPr="006A0823" w:rsidRDefault="009F17C9" w:rsidP="00BC3AE0">
      <w:pPr>
        <w:rPr>
          <w:lang w:val="en-GB"/>
        </w:rPr>
      </w:pPr>
      <w:r w:rsidRPr="006A0823">
        <w:rPr>
          <w:lang w:val="en-GB"/>
        </w:rPr>
        <w:t xml:space="preserve">The first issue is straightforward as we can just intercept shift </w:t>
      </w:r>
      <m:oMath>
        <m:acc>
          <m:accPr>
            <m:ctrlPr>
              <w:rPr>
                <w:rFonts w:ascii="Cambria Math" w:hAnsi="Cambria Math"/>
                <w:i/>
                <w:lang w:val="en-GB"/>
              </w:rPr>
            </m:ctrlPr>
          </m:accPr>
          <m:e>
            <m:r>
              <w:rPr>
                <w:rFonts w:ascii="Cambria Math" w:hAnsi="Cambria Math"/>
                <w:lang w:val="en-GB"/>
              </w:rPr>
              <m:t>β</m:t>
            </m:r>
          </m:e>
        </m:acc>
        <m:r>
          <w:rPr>
            <w:rFonts w:ascii="Cambria Math" w:hAnsi="Cambria Math"/>
            <w:lang w:val="en-GB"/>
          </w:rPr>
          <m:t>(t)</m:t>
        </m:r>
      </m:oMath>
      <w:r w:rsidRPr="006A0823">
        <w:rPr>
          <w:lang w:val="en-GB"/>
        </w:rPr>
        <w:t xml:space="preserve"> in log-space so that it matches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fit</m:t>
            </m:r>
          </m:sub>
        </m:sSub>
        <m:d>
          <m:dPr>
            <m:ctrlPr>
              <w:rPr>
                <w:rFonts w:ascii="Cambria Math" w:hAnsi="Cambria Math"/>
                <w:i/>
                <w:lang w:val="en-GB"/>
              </w:rPr>
            </m:ctrlPr>
          </m:dPr>
          <m:e>
            <m:r>
              <w:rPr>
                <w:rFonts w:ascii="Cambria Math" w:hAnsi="Cambria Math"/>
                <w:lang w:val="en-GB"/>
              </w:rPr>
              <m:t>t</m:t>
            </m:r>
          </m:e>
        </m:d>
      </m:oMath>
      <w:r w:rsidRPr="006A0823">
        <w:rPr>
          <w:lang w:val="en-GB"/>
        </w:rPr>
        <w:t xml:space="preserve"> on day</w:t>
      </w:r>
      <m:oMath>
        <m:r>
          <w:rPr>
            <w:rFonts w:ascii="Cambria Math" w:hAnsi="Cambria Math"/>
            <w:lang w:val="en-GB"/>
          </w:rPr>
          <m:t>T</m:t>
        </m:r>
      </m:oMath>
      <w:r w:rsidRPr="006A0823">
        <w:rPr>
          <w:lang w:val="en-GB"/>
        </w:rPr>
        <w:t xml:space="preserve">. This approach has two large downsides though. It makes the entire forecast model of transmission intensity very sensitive to variations in the last week of the epidemiological data and the model driver data, both of which are frequently subject to reporting lags and other data quality issues. It also ignores mid-term trends in the regression residuals which frequently encode important features of the epidemic not captured by our model drivers such as the </w:t>
      </w:r>
      <w:r w:rsidRPr="006A0823">
        <w:rPr>
          <w:lang w:val="en-GB"/>
        </w:rPr>
        <w:lastRenderedPageBreak/>
        <w:t xml:space="preserve">emergence of a new, unclassified variant (resulting in a large positive residual) or </w:t>
      </w:r>
      <w:r w:rsidR="0021755E" w:rsidRPr="006A0823">
        <w:rPr>
          <w:lang w:val="en-GB"/>
        </w:rPr>
        <w:t>a</w:t>
      </w:r>
      <w:r w:rsidRPr="006A0823">
        <w:rPr>
          <w:lang w:val="en-GB"/>
        </w:rPr>
        <w:t xml:space="preserve"> breakdown of our assumptions about homogeneous mixing </w:t>
      </w:r>
      <w:r w:rsidR="0021755E" w:rsidRPr="006A0823">
        <w:rPr>
          <w:lang w:val="en-GB"/>
        </w:rPr>
        <w:t xml:space="preserve">in a location </w:t>
      </w:r>
      <w:r w:rsidRPr="006A0823">
        <w:rPr>
          <w:lang w:val="en-GB"/>
        </w:rPr>
        <w:t xml:space="preserve">(resulting in a large negative residual). </w:t>
      </w:r>
    </w:p>
    <w:p w14:paraId="1AC330F3" w14:textId="1C04D49C" w:rsidR="009F17C9" w:rsidRPr="006A0823" w:rsidRDefault="009F17C9" w:rsidP="00BC3AE0">
      <w:pPr>
        <w:rPr>
          <w:lang w:val="en-GB"/>
        </w:rPr>
      </w:pPr>
      <w:r w:rsidRPr="006A0823">
        <w:rPr>
          <w:lang w:val="en-GB"/>
        </w:rPr>
        <w:t>Our approach then is to use a second scale factor based on the recent hist</w:t>
      </w:r>
      <w:r w:rsidR="0021755E" w:rsidRPr="006A0823">
        <w:rPr>
          <w:lang w:val="en-GB"/>
        </w:rPr>
        <w:t xml:space="preserve">ory of the infection-weighted regression residuals </w:t>
      </w:r>
      <w:r w:rsidRPr="006A0823">
        <w:rPr>
          <w:lang w:val="en-GB"/>
        </w:rPr>
        <w:t>and then transition linearly from the initial intercept shift to our final scale factor. Formally, we start with the residuals of the regression</w:t>
      </w:r>
    </w:p>
    <w:p w14:paraId="4D39A98D" w14:textId="4755DBB3" w:rsidR="009F17C9" w:rsidRPr="006A0823" w:rsidRDefault="009F17C9" w:rsidP="00BC3AE0">
      <w:pPr>
        <w:rPr>
          <w:lang w:val="en-GB"/>
        </w:rPr>
      </w:pPr>
      <m:oMathPara>
        <m:oMath>
          <m:r>
            <w:rPr>
              <w:rFonts w:ascii="Cambria Math" w:hAnsi="Cambria Math"/>
              <w:lang w:val="en-GB"/>
            </w:rPr>
            <m:t>r</m:t>
          </m:r>
          <m:d>
            <m:dPr>
              <m:ctrlPr>
                <w:rPr>
                  <w:rFonts w:ascii="Cambria Math" w:hAnsi="Cambria Math"/>
                  <w:lang w:val="en-GB"/>
                </w:rPr>
              </m:ctrlPr>
            </m:dPr>
            <m:e>
              <m:r>
                <w:rPr>
                  <w:rFonts w:ascii="Cambria Math" w:hAnsi="Cambria Math"/>
                  <w:lang w:val="en-GB"/>
                </w:rPr>
                <m:t>t</m:t>
              </m:r>
            </m:e>
          </m:d>
          <m:r>
            <w:rPr>
              <w:rFonts w:ascii="Cambria Math"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m:t>
                  </m:r>
                </m:sup>
              </m:sSup>
              <m:d>
                <m:dPr>
                  <m:ctrlPr>
                    <w:rPr>
                      <w:rFonts w:ascii="Cambria Math" w:hAnsi="Cambria Math"/>
                      <w:lang w:val="en-GB"/>
                    </w:rPr>
                  </m:ctrlPr>
                </m:dPr>
                <m:e>
                  <m:r>
                    <m:rPr>
                      <m:sty m:val="p"/>
                    </m:rPr>
                    <w:rPr>
                      <w:rFonts w:ascii="Cambria Math" w:hAnsi="Cambria Math"/>
                      <w:lang w:val="en-GB"/>
                    </w:rPr>
                    <m:t>t</m:t>
                  </m:r>
                </m:e>
              </m:d>
              <m:r>
                <m:rPr>
                  <m:sty m:val="p"/>
                </m:rPr>
                <w:rPr>
                  <w:rFonts w:ascii="Cambria Math" w:hAnsi="Cambria Math"/>
                  <w:lang w:val="en-GB"/>
                </w:rPr>
                <m:t>⋅ln</m:t>
              </m:r>
            </m:fName>
            <m:e>
              <m:d>
                <m:dPr>
                  <m:ctrlPr>
                    <w:rPr>
                      <w:rFonts w:ascii="Cambria Math" w:hAnsi="Cambria Math"/>
                      <w:i/>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β</m:t>
                          </m:r>
                        </m:e>
                        <m:sub>
                          <m:r>
                            <w:rPr>
                              <w:rFonts w:ascii="Cambria Math" w:hAnsi="Cambria Math"/>
                              <w:lang w:val="en-GB"/>
                            </w:rPr>
                            <m:t>fit</m:t>
                          </m:r>
                        </m:sub>
                      </m:sSub>
                      <m:d>
                        <m:dPr>
                          <m:ctrlPr>
                            <w:rPr>
                              <w:rFonts w:ascii="Cambria Math" w:hAnsi="Cambria Math"/>
                              <w:lang w:val="en-GB"/>
                            </w:rPr>
                          </m:ctrlPr>
                        </m:dPr>
                        <m:e>
                          <m:r>
                            <w:rPr>
                              <w:rFonts w:ascii="Cambria Math" w:hAnsi="Cambria Math"/>
                              <w:lang w:val="en-GB"/>
                            </w:rPr>
                            <m:t>t</m:t>
                          </m:r>
                        </m:e>
                      </m:d>
                    </m:num>
                    <m:den>
                      <m:acc>
                        <m:accPr>
                          <m:ctrlPr>
                            <w:rPr>
                              <w:rFonts w:ascii="Cambria Math" w:hAnsi="Cambria Math"/>
                              <w:lang w:val="en-GB"/>
                            </w:rPr>
                          </m:ctrlPr>
                        </m:accPr>
                        <m:e>
                          <m:r>
                            <w:rPr>
                              <w:rFonts w:ascii="Cambria Math" w:hAnsi="Cambria Math"/>
                              <w:lang w:val="en-GB"/>
                            </w:rPr>
                            <m:t>β</m:t>
                          </m:r>
                        </m:e>
                      </m:acc>
                      <m:d>
                        <m:dPr>
                          <m:ctrlPr>
                            <w:rPr>
                              <w:rFonts w:ascii="Cambria Math" w:hAnsi="Cambria Math"/>
                              <w:lang w:val="en-GB"/>
                            </w:rPr>
                          </m:ctrlPr>
                        </m:dPr>
                        <m:e>
                          <m:r>
                            <w:rPr>
                              <w:rFonts w:ascii="Cambria Math" w:hAnsi="Cambria Math"/>
                              <w:lang w:val="en-GB"/>
                            </w:rPr>
                            <m:t>t</m:t>
                          </m:r>
                        </m:e>
                      </m:d>
                    </m:den>
                  </m:f>
                </m:e>
              </m:d>
            </m:e>
          </m:func>
        </m:oMath>
      </m:oMathPara>
    </w:p>
    <w:p w14:paraId="2011CE2A" w14:textId="7C1C9727" w:rsidR="009F17C9" w:rsidRPr="006A0823" w:rsidRDefault="009F17C9" w:rsidP="00BC3AE0">
      <w:pPr>
        <w:rPr>
          <w:lang w:val="en-GB"/>
        </w:rPr>
      </w:pPr>
      <w:r w:rsidRPr="006A0823">
        <w:rPr>
          <w:lang w:val="en-GB"/>
        </w:rPr>
        <w:t>We then compute a final scale factor</w:t>
      </w:r>
    </w:p>
    <w:p w14:paraId="661EE31E" w14:textId="2649E5D6" w:rsidR="009F17C9" w:rsidRPr="006A0823" w:rsidRDefault="00000000" w:rsidP="00BC3AE0">
      <w:pPr>
        <w:rPr>
          <w:lang w:val="en-GB"/>
        </w:rPr>
      </w:pPr>
      <m:oMathPara>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b</m:t>
              </m:r>
              <m:r>
                <m:rPr>
                  <m:sty m:val="p"/>
                </m:rPr>
                <w:rPr>
                  <w:rFonts w:ascii="Cambria Math" w:hAnsi="Cambria Math"/>
                  <w:lang w:val="en-GB"/>
                </w:rPr>
                <m:t>-</m:t>
              </m:r>
              <m:r>
                <w:rPr>
                  <w:rFonts w:ascii="Cambria Math" w:hAnsi="Cambria Math"/>
                  <w:lang w:val="en-GB"/>
                </w:rPr>
                <m:t>a</m:t>
              </m:r>
            </m:den>
          </m:f>
          <m:nary>
            <m:naryPr>
              <m:chr m:val="∑"/>
              <m:limLoc m:val="undOvr"/>
              <m:ctrlPr>
                <w:rPr>
                  <w:rFonts w:ascii="Cambria Math" w:hAnsi="Cambria Math"/>
                  <w:lang w:val="en-GB"/>
                </w:rPr>
              </m:ctrlPr>
            </m:naryPr>
            <m:sub>
              <m:r>
                <w:rPr>
                  <w:rFonts w:ascii="Cambria Math" w:hAnsi="Cambria Math"/>
                  <w:lang w:val="en-GB"/>
                </w:rPr>
                <m:t>τ</m:t>
              </m:r>
              <m:r>
                <m:rPr>
                  <m:sty m:val="p"/>
                </m:rPr>
                <w:rPr>
                  <w:rFonts w:ascii="Cambria Math" w:hAnsi="Cambria Math"/>
                  <w:lang w:val="en-GB"/>
                </w:rPr>
                <m:t>=</m:t>
              </m:r>
              <m:r>
                <w:rPr>
                  <w:rFonts w:ascii="Cambria Math" w:hAnsi="Cambria Math"/>
                  <w:lang w:val="en-GB"/>
                </w:rPr>
                <m:t>a</m:t>
              </m:r>
            </m:sub>
            <m:sup>
              <m:r>
                <w:rPr>
                  <w:rFonts w:ascii="Cambria Math" w:hAnsi="Cambria Math"/>
                  <w:lang w:val="en-GB"/>
                </w:rPr>
                <m:t>b</m:t>
              </m:r>
            </m:sup>
            <m:e>
              <m:r>
                <w:rPr>
                  <w:rFonts w:ascii="Cambria Math" w:hAnsi="Cambria Math"/>
                  <w:lang w:val="en-GB"/>
                </w:rPr>
                <m:t>r</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τ</m:t>
              </m:r>
              <m:r>
                <m:rPr>
                  <m:sty m:val="p"/>
                </m:rPr>
                <w:rPr>
                  <w:rFonts w:ascii="Cambria Math" w:hAnsi="Cambria Math"/>
                  <w:lang w:val="en-GB"/>
                </w:rPr>
                <m:t>)</m:t>
              </m:r>
            </m:e>
          </m:nary>
        </m:oMath>
      </m:oMathPara>
    </w:p>
    <w:p w14:paraId="49FBE923" w14:textId="2048A139" w:rsidR="009F17C9" w:rsidRPr="006A0823" w:rsidRDefault="009F17C9" w:rsidP="00BC3AE0">
      <w:pPr>
        <w:rPr>
          <w:lang w:val="en-GB"/>
        </w:rPr>
      </w:pPr>
      <w:r w:rsidRPr="006A0823">
        <w:rPr>
          <w:lang w:val="en-GB"/>
        </w:rPr>
        <w:t>And define</w:t>
      </w:r>
    </w:p>
    <w:p w14:paraId="602BCB7D" w14:textId="77777777" w:rsidR="009F17C9" w:rsidRPr="006A0823" w:rsidRDefault="009F17C9" w:rsidP="00BC3AE0">
      <w:pPr>
        <w:rPr>
          <w:lang w:val="en-GB"/>
        </w:rPr>
      </w:pPr>
      <m:oMathPara>
        <m:oMath>
          <m:r>
            <w:rPr>
              <w:rFonts w:ascii="Cambria Math" w:hAnsi="Cambria Math"/>
              <w:lang w:val="en-GB"/>
            </w:rPr>
            <m:t>s</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 xml:space="preserve">= </m:t>
          </m:r>
          <m:d>
            <m:dPr>
              <m:begChr m:val="{"/>
              <m:endChr m:val=""/>
              <m:ctrlPr>
                <w:rPr>
                  <w:rFonts w:ascii="Cambria Math" w:hAnsi="Cambria Math"/>
                  <w:lang w:val="en-GB"/>
                </w:rPr>
              </m:ctrlPr>
            </m:dPr>
            <m:e>
              <m:eqArr>
                <m:eqArrPr>
                  <m:ctrlPr>
                    <w:rPr>
                      <w:rFonts w:ascii="Cambria Math" w:hAnsi="Cambria Math"/>
                      <w:lang w:val="en-GB"/>
                    </w:rPr>
                  </m:ctrlPr>
                </m:eqArrPr>
                <m:e>
                  <m:r>
                    <m:rPr>
                      <m:sty m:val="p"/>
                    </m:rPr>
                    <w:rPr>
                      <w:rFonts w:ascii="Cambria Math" w:hAnsi="Cambria Math"/>
                      <w:lang w:val="en-GB"/>
                    </w:rPr>
                    <m:t xml:space="preserve">     </m:t>
                  </m:r>
                  <m:r>
                    <w:rPr>
                      <w:rFonts w:ascii="Cambria Math" w:hAnsi="Cambria Math"/>
                      <w:lang w:val="en-GB"/>
                    </w:rPr>
                    <m:t>r</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m:t>
                  </m:r>
                  <m:r>
                    <w:rPr>
                      <w:rFonts w:ascii="Cambria Math" w:hAnsi="Cambria Math"/>
                      <w:lang w:val="en-GB"/>
                    </w:rPr>
                    <m:t>T</m:t>
                  </m:r>
                </m:e>
                <m:e>
                  <m:r>
                    <w:rPr>
                      <w:rFonts w:ascii="Cambria Math" w:hAnsi="Cambria Math"/>
                      <w:lang w:val="en-GB"/>
                    </w:rPr>
                    <m:t>r</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m:t>
                          </m:r>
                        </m:sub>
                      </m:sSub>
                      <m:r>
                        <m:rPr>
                          <m:sty m:val="p"/>
                        </m:rPr>
                        <w:rPr>
                          <w:rFonts w:ascii="Cambria Math" w:hAnsi="Cambria Math"/>
                          <w:lang w:val="en-GB"/>
                        </w:rPr>
                        <m:t>-</m:t>
                      </m:r>
                      <m:r>
                        <w:rPr>
                          <w:rFonts w:ascii="Cambria Math" w:hAnsi="Cambria Math"/>
                          <w:lang w:val="en-GB"/>
                        </w:rPr>
                        <m:t>r</m:t>
                      </m:r>
                      <m:d>
                        <m:dPr>
                          <m:ctrlPr>
                            <w:rPr>
                              <w:rFonts w:ascii="Cambria Math" w:hAnsi="Cambria Math"/>
                              <w:lang w:val="en-GB"/>
                            </w:rPr>
                          </m:ctrlPr>
                        </m:dPr>
                        <m:e>
                          <m:r>
                            <w:rPr>
                              <w:rFonts w:ascii="Cambria Math" w:hAnsi="Cambria Math"/>
                              <w:lang w:val="en-GB"/>
                            </w:rPr>
                            <m:t>T</m:t>
                          </m:r>
                        </m:e>
                      </m:d>
                    </m:num>
                    <m:den>
                      <m:r>
                        <w:rPr>
                          <w:rFonts w:ascii="Cambria Math" w:hAnsi="Cambria Math"/>
                          <w:lang w:val="en-GB"/>
                        </w:rPr>
                        <m:t>w</m:t>
                      </m:r>
                    </m:den>
                  </m:f>
                  <m:d>
                    <m:dPr>
                      <m:ctrlPr>
                        <w:rPr>
                          <w:rFonts w:ascii="Cambria Math" w:hAnsi="Cambria Math"/>
                          <w:lang w:val="en-GB"/>
                        </w:rPr>
                      </m:ctrlPr>
                    </m:dPr>
                    <m:e>
                      <m:r>
                        <w:rPr>
                          <w:rFonts w:ascii="Cambria Math" w:hAnsi="Cambria Math"/>
                          <w:lang w:val="en-GB"/>
                        </w:rPr>
                        <m:t>t</m:t>
                      </m:r>
                      <m:r>
                        <m:rPr>
                          <m:sty m:val="p"/>
                        </m:rPr>
                        <w:rPr>
                          <w:rFonts w:ascii="Cambria Math" w:hAnsi="Cambria Math"/>
                          <w:lang w:val="en-GB"/>
                        </w:rPr>
                        <m:t>-</m:t>
                      </m:r>
                      <m:r>
                        <w:rPr>
                          <w:rFonts w:ascii="Cambria Math" w:hAnsi="Cambria Math"/>
                          <w:lang w:val="en-GB"/>
                        </w:rPr>
                        <m:t>T</m:t>
                      </m:r>
                    </m:e>
                  </m:d>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&lt;</m:t>
                  </m:r>
                  <m:r>
                    <w:rPr>
                      <w:rFonts w:ascii="Cambria Math" w:hAnsi="Cambria Math"/>
                      <w:lang w:val="en-GB"/>
                    </w:rPr>
                    <m:t>t</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w</m:t>
                  </m:r>
                </m:e>
                <m:e>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s</m:t>
                      </m:r>
                    </m:e>
                    <m:sub>
                      <m:r>
                        <w:rPr>
                          <w:rFonts w:ascii="Cambria Math" w:hAnsi="Cambria Math"/>
                          <w:lang w:val="en-GB"/>
                        </w:rPr>
                        <m:t>f</m:t>
                      </m:r>
                    </m:sub>
                  </m:sSub>
                  <m:r>
                    <m:rPr>
                      <m:sty m:val="p"/>
                    </m:rPr>
                    <w:rPr>
                      <w:rFonts w:ascii="Cambria Math" w:hAnsi="Cambria Math"/>
                      <w:lang w:val="en-GB"/>
                    </w:rPr>
                    <m:t xml:space="preserve">, </m:t>
                  </m:r>
                  <m:r>
                    <w:rPr>
                      <w:rFonts w:ascii="Cambria Math" w:hAnsi="Cambria Math"/>
                      <w:lang w:val="en-GB"/>
                    </w:rPr>
                    <m:t>t</m:t>
                  </m:r>
                  <m:r>
                    <m:rPr>
                      <m:sty m:val="p"/>
                    </m:rPr>
                    <w:rPr>
                      <w:rFonts w:ascii="Cambria Math" w:hAnsi="Cambria Math"/>
                      <w:lang w:val="en-GB"/>
                    </w:rPr>
                    <m:t>&gt;</m:t>
                  </m:r>
                  <m:r>
                    <w:rPr>
                      <w:rFonts w:ascii="Cambria Math" w:hAnsi="Cambria Math"/>
                      <w:lang w:val="en-GB"/>
                    </w:rPr>
                    <m:t>T</m:t>
                  </m:r>
                  <m:r>
                    <m:rPr>
                      <m:sty m:val="p"/>
                    </m:rPr>
                    <w:rPr>
                      <w:rFonts w:ascii="Cambria Math" w:hAnsi="Cambria Math"/>
                      <w:lang w:val="en-GB"/>
                    </w:rPr>
                    <m:t>+</m:t>
                  </m:r>
                  <m:r>
                    <w:rPr>
                      <w:rFonts w:ascii="Cambria Math" w:hAnsi="Cambria Math"/>
                      <w:lang w:val="en-GB"/>
                    </w:rPr>
                    <m:t>w</m:t>
                  </m:r>
                </m:e>
              </m:eqArr>
            </m:e>
          </m:d>
        </m:oMath>
      </m:oMathPara>
    </w:p>
    <w:p w14:paraId="0B2A6A35" w14:textId="77777777" w:rsidR="009F17C9" w:rsidRPr="006A0823" w:rsidRDefault="009F17C9" w:rsidP="00BC3AE0">
      <w:pPr>
        <w:rPr>
          <w:lang w:val="en-GB"/>
        </w:rPr>
      </w:pPr>
      <w:r w:rsidRPr="006A0823">
        <w:rPr>
          <w:lang w:val="en-GB"/>
        </w:rPr>
        <w:t xml:space="preserve">So that our final predicted beta, which we write simply as </w:t>
      </w:r>
      <m:oMath>
        <m:r>
          <w:rPr>
            <w:rFonts w:ascii="Cambria Math" w:hAnsi="Cambria Math"/>
            <w:lang w:val="en-GB"/>
          </w:rPr>
          <m:t>β(t)</m:t>
        </m:r>
      </m:oMath>
      <w:r w:rsidRPr="006A0823">
        <w:rPr>
          <w:lang w:val="en-GB"/>
        </w:rPr>
        <w:t xml:space="preserve"> can be written as </w:t>
      </w:r>
    </w:p>
    <w:p w14:paraId="75392707" w14:textId="77777777" w:rsidR="009F17C9" w:rsidRPr="006A0823" w:rsidRDefault="009F17C9" w:rsidP="00BC3AE0">
      <w:pPr>
        <w:rPr>
          <w:lang w:val="en-GB"/>
        </w:rPr>
      </w:pPr>
      <m:oMathPara>
        <m:oMath>
          <m:r>
            <w:rPr>
              <w:rFonts w:ascii="Cambria Math" w:hAnsi="Cambria Math"/>
              <w:lang w:val="en-GB"/>
            </w:rPr>
            <m:t>β</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=exp⁡(</m:t>
          </m:r>
          <m:r>
            <w:rPr>
              <w:rFonts w:ascii="Cambria Math" w:hAnsi="Cambria Math"/>
              <w:lang w:val="en-GB"/>
            </w:rPr>
            <m:t>s</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m:t>
          </m:r>
          <m:acc>
            <m:accPr>
              <m:ctrlPr>
                <w:rPr>
                  <w:rFonts w:ascii="Cambria Math" w:hAnsi="Cambria Math"/>
                  <w:lang w:val="en-GB"/>
                </w:rPr>
              </m:ctrlPr>
            </m:accPr>
            <m:e>
              <m:r>
                <w:rPr>
                  <w:rFonts w:ascii="Cambria Math" w:hAnsi="Cambria Math"/>
                  <w:lang w:val="en-GB"/>
                </w:rPr>
                <m:t>β</m:t>
              </m:r>
            </m:e>
          </m:acc>
          <m:d>
            <m:dPr>
              <m:ctrlPr>
                <w:rPr>
                  <w:rFonts w:ascii="Cambria Math" w:hAnsi="Cambria Math"/>
                  <w:lang w:val="en-GB"/>
                </w:rPr>
              </m:ctrlPr>
            </m:dPr>
            <m:e>
              <m:r>
                <w:rPr>
                  <w:rFonts w:ascii="Cambria Math" w:hAnsi="Cambria Math"/>
                  <w:lang w:val="en-GB"/>
                </w:rPr>
                <m:t>t</m:t>
              </m:r>
            </m:e>
          </m:d>
        </m:oMath>
      </m:oMathPara>
    </w:p>
    <w:p w14:paraId="03E515CF" w14:textId="7ABCE80E" w:rsidR="009F17C9" w:rsidRPr="006A0823" w:rsidRDefault="009F17C9" w:rsidP="00BC3AE0">
      <w:pPr>
        <w:rPr>
          <w:lang w:val="en-GB"/>
        </w:rPr>
      </w:pPr>
      <w:r w:rsidRPr="006A0823">
        <w:rPr>
          <w:lang w:val="en-GB"/>
        </w:rPr>
        <w:t xml:space="preserve">The window over which we average the residuals, governed by the parameters </w:t>
      </w:r>
      <m:oMath>
        <m:r>
          <w:rPr>
            <w:rFonts w:ascii="Cambria Math" w:hAnsi="Cambria Math"/>
            <w:lang w:val="en-GB"/>
          </w:rPr>
          <m:t>a</m:t>
        </m:r>
      </m:oMath>
      <w:r w:rsidRPr="006A0823">
        <w:rPr>
          <w:lang w:val="en-GB"/>
        </w:rPr>
        <w:t xml:space="preserve"> and </w:t>
      </w:r>
      <m:oMath>
        <m:r>
          <w:rPr>
            <w:rFonts w:ascii="Cambria Math" w:hAnsi="Cambria Math"/>
            <w:lang w:val="en-GB"/>
          </w:rPr>
          <m:t>b</m:t>
        </m:r>
      </m:oMath>
      <w:r w:rsidRPr="006A0823">
        <w:rPr>
          <w:lang w:val="en-GB"/>
        </w:rPr>
        <w:t xml:space="preserve">, as well as the window over which the scale factor transitions, </w:t>
      </w:r>
      <m:oMath>
        <m:r>
          <w:rPr>
            <w:rFonts w:ascii="Cambria Math" w:hAnsi="Cambria Math"/>
            <w:lang w:val="en-GB"/>
          </w:rPr>
          <m:t>w</m:t>
        </m:r>
      </m:oMath>
      <w:r w:rsidRPr="006A0823">
        <w:rPr>
          <w:lang w:val="en-GB"/>
        </w:rPr>
        <w:t>, were all initially selected by out-of-sample predictive validity testing</w:t>
      </w:r>
      <w:r w:rsidRPr="006A0823">
        <w:rPr>
          <w:color w:val="2B579A"/>
          <w:shd w:val="clear" w:color="auto" w:fill="E6E6E6"/>
          <w:lang w:val="en-GB"/>
        </w:rPr>
        <w:fldChar w:fldCharType="begin"/>
      </w:r>
      <w:r w:rsidR="004876B1" w:rsidRPr="006A0823">
        <w:rPr>
          <w:lang w:val="en-GB"/>
        </w:rPr>
        <w:instrText xml:space="preserve"> ADDIN ZOTERO_ITEM CSL_CITATION {"citationID":"PXdgRE5A","properties":{"formattedCitation":"\\super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Pr="006A0823">
        <w:rPr>
          <w:color w:val="2B579A"/>
          <w:shd w:val="clear" w:color="auto" w:fill="E6E6E6"/>
          <w:lang w:val="en-GB"/>
        </w:rPr>
        <w:fldChar w:fldCharType="separate"/>
      </w:r>
      <w:r w:rsidRPr="006A0823">
        <w:rPr>
          <w:vertAlign w:val="superscript"/>
        </w:rPr>
        <w:t>1</w:t>
      </w:r>
      <w:r w:rsidRPr="006A0823">
        <w:rPr>
          <w:color w:val="2B579A"/>
          <w:shd w:val="clear" w:color="auto" w:fill="E6E6E6"/>
          <w:lang w:val="en-GB"/>
        </w:rPr>
        <w:fldChar w:fldCharType="end"/>
      </w:r>
      <w:r w:rsidRPr="006A0823">
        <w:rPr>
          <w:lang w:val="en-GB"/>
        </w:rPr>
        <w:t xml:space="preserve"> and have subsequently been tuned as a part of our weekly estimation process to handle aberrations in the residuals introduced by variants. Their current distributions can be found in</w:t>
      </w:r>
      <w:r w:rsidR="001E4303" w:rsidRPr="006A0823">
        <w:rPr>
          <w:lang w:val="en-GB"/>
        </w:rPr>
        <w:t xml:space="preserve"> table S3</w:t>
      </w:r>
      <w:r w:rsidRPr="006A0823">
        <w:rPr>
          <w:lang w:val="en-GB"/>
        </w:rPr>
        <w:t>.</w:t>
      </w:r>
    </w:p>
    <w:p w14:paraId="06825BA0" w14:textId="28BE8D87" w:rsidR="009F17C9" w:rsidRPr="006A0823" w:rsidRDefault="7A54397A" w:rsidP="00BC3AE0">
      <w:pPr>
        <w:pStyle w:val="Heading2"/>
        <w:rPr>
          <w:lang w:val="en-GB"/>
        </w:rPr>
      </w:pPr>
      <w:bookmarkStart w:id="357" w:name="_Toc76457875"/>
      <w:bookmarkStart w:id="358" w:name="_Toc76653839"/>
      <w:bookmarkStart w:id="359" w:name="_Toc76726308"/>
      <w:bookmarkStart w:id="360" w:name="_Toc76727616"/>
      <w:bookmarkStart w:id="361" w:name="_Toc76840530"/>
      <w:bookmarkStart w:id="362" w:name="_Toc104249386"/>
      <w:bookmarkStart w:id="363" w:name="_Toc104252114"/>
      <w:bookmarkStart w:id="364" w:name="_Toc124499519"/>
      <w:bookmarkEnd w:id="357"/>
      <w:bookmarkEnd w:id="358"/>
      <w:bookmarkEnd w:id="359"/>
      <w:bookmarkEnd w:id="360"/>
      <w:bookmarkEnd w:id="361"/>
      <w:r w:rsidRPr="006A0823">
        <w:rPr>
          <w:lang w:val="en-GB"/>
        </w:rPr>
        <w:t xml:space="preserve">Forecasting IDR, IHR and </w:t>
      </w:r>
      <w:bookmarkEnd w:id="362"/>
      <w:r w:rsidR="00C77847" w:rsidRPr="006A0823">
        <w:rPr>
          <w:lang w:val="en-GB"/>
        </w:rPr>
        <w:t>IFR</w:t>
      </w:r>
      <w:bookmarkEnd w:id="363"/>
      <w:bookmarkEnd w:id="364"/>
    </w:p>
    <w:p w14:paraId="16B3888C" w14:textId="7230C7C2" w:rsidR="00D73B14" w:rsidRPr="006A0823" w:rsidRDefault="00AF7995" w:rsidP="00BC3AE0">
      <w:pPr>
        <w:rPr>
          <w:lang w:val="en-GB"/>
        </w:rPr>
      </w:pPr>
      <w:r w:rsidRPr="006A0823">
        <w:rPr>
          <w:lang w:val="en-GB"/>
        </w:rPr>
        <w:t>I</w:t>
      </w:r>
      <w:r w:rsidR="000E3A40" w:rsidRPr="006A0823">
        <w:rPr>
          <w:lang w:val="en-GB"/>
        </w:rPr>
        <w:t xml:space="preserve">n each location, we </w:t>
      </w:r>
      <w:r w:rsidR="000564C8" w:rsidRPr="006A0823">
        <w:rPr>
          <w:lang w:val="en-GB"/>
        </w:rPr>
        <w:t xml:space="preserve">must </w:t>
      </w:r>
      <w:r w:rsidR="009F7608" w:rsidRPr="006A0823">
        <w:rPr>
          <w:lang w:val="en-GB"/>
        </w:rPr>
        <w:t>projec</w:t>
      </w:r>
      <w:r w:rsidR="00040E79" w:rsidRPr="006A0823">
        <w:rPr>
          <w:lang w:val="en-GB"/>
        </w:rPr>
        <w:t>t</w:t>
      </w:r>
      <w:r w:rsidR="00915961" w:rsidRPr="006A0823">
        <w:rPr>
          <w:lang w:val="en-GB"/>
        </w:rPr>
        <w:t xml:space="preserve"> </w:t>
      </w:r>
      <w:r w:rsidR="00EB50ED" w:rsidRPr="006A0823">
        <w:rPr>
          <w:lang w:val="en-GB"/>
        </w:rPr>
        <w:t xml:space="preserve">the </w:t>
      </w:r>
      <w:r w:rsidRPr="006A0823">
        <w:rPr>
          <w:lang w:val="en-GB"/>
        </w:rPr>
        <w:t>IDR, IHR, and IFR</w:t>
      </w:r>
      <w:r w:rsidR="00EB50ED" w:rsidRPr="006A0823">
        <w:rPr>
          <w:lang w:val="en-GB"/>
        </w:rPr>
        <w:t xml:space="preserve"> associated with </w:t>
      </w:r>
      <w:r w:rsidR="00F477B9" w:rsidRPr="006A0823">
        <w:rPr>
          <w:lang w:val="en-GB"/>
        </w:rPr>
        <w:t>anc</w:t>
      </w:r>
      <w:r w:rsidR="0083695D" w:rsidRPr="006A0823">
        <w:rPr>
          <w:lang w:val="en-GB"/>
        </w:rPr>
        <w:t>estral</w:t>
      </w:r>
      <w:r w:rsidR="007C6B2E" w:rsidRPr="006A0823">
        <w:rPr>
          <w:lang w:val="en-GB"/>
        </w:rPr>
        <w:t xml:space="preserve"> infection</w:t>
      </w:r>
      <w:r w:rsidR="00915961" w:rsidRPr="006A0823">
        <w:rPr>
          <w:lang w:val="en-GB"/>
        </w:rPr>
        <w:t>s</w:t>
      </w:r>
      <w:r w:rsidR="00D671AB" w:rsidRPr="006A0823">
        <w:rPr>
          <w:lang w:val="en-GB"/>
        </w:rPr>
        <w:t xml:space="preserve"> </w:t>
      </w:r>
      <w:r w:rsidR="00915961" w:rsidRPr="006A0823">
        <w:rPr>
          <w:lang w:val="en-GB"/>
        </w:rPr>
        <w:t>among the</w:t>
      </w:r>
      <w:r w:rsidR="00D671AB" w:rsidRPr="006A0823">
        <w:rPr>
          <w:lang w:val="en-GB"/>
        </w:rPr>
        <w:t xml:space="preserve"> </w:t>
      </w:r>
      <w:r w:rsidR="00EB50ED" w:rsidRPr="006A0823">
        <w:rPr>
          <w:lang w:val="en-GB"/>
        </w:rPr>
        <w:t xml:space="preserve">unvaccinated </w:t>
      </w:r>
      <w:r w:rsidR="00D671AB" w:rsidRPr="006A0823">
        <w:rPr>
          <w:lang w:val="en-GB"/>
        </w:rPr>
        <w:t>with no prior infection</w:t>
      </w:r>
      <w:r w:rsidR="00D1532E" w:rsidRPr="006A0823">
        <w:rPr>
          <w:lang w:val="en-GB"/>
        </w:rPr>
        <w:t xml:space="preserve">, from which we can derive </w:t>
      </w:r>
      <w:r w:rsidR="00C91D6F" w:rsidRPr="006A0823">
        <w:rPr>
          <w:lang w:val="en-GB"/>
        </w:rPr>
        <w:t xml:space="preserve">ratios </w:t>
      </w:r>
      <w:r w:rsidR="003C4648" w:rsidRPr="006A0823">
        <w:rPr>
          <w:lang w:val="en-GB"/>
        </w:rPr>
        <w:t>conditioned on variant</w:t>
      </w:r>
      <w:r w:rsidR="002C1549" w:rsidRPr="006A0823">
        <w:rPr>
          <w:lang w:val="en-GB"/>
        </w:rPr>
        <w:t>-type</w:t>
      </w:r>
      <w:r w:rsidR="00EA5801" w:rsidRPr="006A0823">
        <w:rPr>
          <w:lang w:val="en-GB"/>
        </w:rPr>
        <w:t xml:space="preserve"> and immune status in the forecast</w:t>
      </w:r>
      <w:r w:rsidR="000564C8" w:rsidRPr="006A0823">
        <w:rPr>
          <w:lang w:val="en-GB"/>
        </w:rPr>
        <w:t>.</w:t>
      </w:r>
      <w:r w:rsidR="00E772F8" w:rsidRPr="006A0823">
        <w:rPr>
          <w:lang w:val="en-GB"/>
        </w:rPr>
        <w:t xml:space="preserve"> </w:t>
      </w:r>
      <w:r w:rsidR="000564C8" w:rsidRPr="006A0823">
        <w:rPr>
          <w:lang w:val="en-GB"/>
        </w:rPr>
        <w:t xml:space="preserve">We </w:t>
      </w:r>
      <w:r w:rsidR="00755C09" w:rsidRPr="006A0823">
        <w:rPr>
          <w:lang w:val="en-GB"/>
        </w:rPr>
        <w:t>set th</w:t>
      </w:r>
      <w:r w:rsidR="00E8040B" w:rsidRPr="006A0823">
        <w:rPr>
          <w:lang w:val="en-GB"/>
        </w:rPr>
        <w:t>e</w:t>
      </w:r>
      <w:r w:rsidR="008002C6" w:rsidRPr="006A0823">
        <w:rPr>
          <w:lang w:val="en-GB"/>
        </w:rPr>
        <w:t xml:space="preserve"> </w:t>
      </w:r>
      <w:r w:rsidR="00E8040B" w:rsidRPr="006A0823">
        <w:rPr>
          <w:lang w:val="en-GB"/>
        </w:rPr>
        <w:t>projected ratio</w:t>
      </w:r>
      <w:r w:rsidR="008002C6" w:rsidRPr="006A0823">
        <w:rPr>
          <w:lang w:val="en-GB"/>
        </w:rPr>
        <w:t xml:space="preserve"> to </w:t>
      </w:r>
      <w:r w:rsidR="00A3488A" w:rsidRPr="006A0823">
        <w:rPr>
          <w:lang w:val="en-GB"/>
        </w:rPr>
        <w:t>be equal to</w:t>
      </w:r>
      <w:r w:rsidR="00E772F8" w:rsidRPr="006A0823">
        <w:rPr>
          <w:lang w:val="en-GB"/>
        </w:rPr>
        <w:t xml:space="preserve"> the </w:t>
      </w:r>
      <w:r w:rsidR="00E8040B" w:rsidRPr="006A0823">
        <w:rPr>
          <w:lang w:val="en-GB"/>
        </w:rPr>
        <w:t xml:space="preserve">cumulative observed ratio </w:t>
      </w:r>
      <w:r w:rsidR="00207B92" w:rsidRPr="006A0823">
        <w:rPr>
          <w:lang w:val="en-GB"/>
        </w:rPr>
        <w:t xml:space="preserve">over </w:t>
      </w:r>
      <w:r w:rsidR="00F6673F" w:rsidRPr="006A0823">
        <w:rPr>
          <w:lang w:val="en-GB"/>
        </w:rPr>
        <w:t xml:space="preserve">the </w:t>
      </w:r>
      <w:r w:rsidR="00DF2335" w:rsidRPr="006A0823">
        <w:rPr>
          <w:lang w:val="en-GB"/>
        </w:rPr>
        <w:t>final</w:t>
      </w:r>
      <w:r w:rsidR="00F6673F" w:rsidRPr="006A0823">
        <w:rPr>
          <w:lang w:val="en-GB"/>
        </w:rPr>
        <w:t xml:space="preserve"> 180 day</w:t>
      </w:r>
      <w:r w:rsidR="006813B4" w:rsidRPr="006A0823">
        <w:rPr>
          <w:lang w:val="en-GB"/>
        </w:rPr>
        <w:t>s</w:t>
      </w:r>
      <w:r w:rsidR="00DF2335" w:rsidRPr="006A0823">
        <w:rPr>
          <w:lang w:val="en-GB"/>
        </w:rPr>
        <w:t xml:space="preserve"> of the past</w:t>
      </w:r>
      <w:r w:rsidR="00AE1558" w:rsidRPr="006A0823">
        <w:rPr>
          <w:lang w:val="en-GB"/>
        </w:rPr>
        <w:t>.</w:t>
      </w:r>
      <w:r w:rsidR="00F6673F" w:rsidRPr="006A0823">
        <w:rPr>
          <w:lang w:val="en-GB"/>
        </w:rPr>
        <w:t xml:space="preserve"> </w:t>
      </w:r>
      <w:r w:rsidR="00EA1832" w:rsidRPr="006A0823">
        <w:rPr>
          <w:lang w:val="en-GB"/>
        </w:rPr>
        <w:t>In order to avoid disjoints at the start of the forecast</w:t>
      </w:r>
      <w:r w:rsidR="005E6ACD" w:rsidRPr="006A0823">
        <w:rPr>
          <w:lang w:val="en-GB"/>
        </w:rPr>
        <w:t xml:space="preserve"> period, we </w:t>
      </w:r>
      <w:r w:rsidR="006813B4" w:rsidRPr="006A0823">
        <w:rPr>
          <w:lang w:val="en-GB"/>
        </w:rPr>
        <w:t xml:space="preserve">linearly </w:t>
      </w:r>
      <w:r w:rsidR="005E6ACD" w:rsidRPr="006A0823">
        <w:rPr>
          <w:lang w:val="en-GB"/>
        </w:rPr>
        <w:t xml:space="preserve">transition from the </w:t>
      </w:r>
      <w:r w:rsidR="0068561D" w:rsidRPr="006A0823">
        <w:rPr>
          <w:lang w:val="en-GB"/>
        </w:rPr>
        <w:t xml:space="preserve">posterior ratio on the final day of the past to the </w:t>
      </w:r>
      <w:r w:rsidR="006813B4" w:rsidRPr="006A0823">
        <w:rPr>
          <w:lang w:val="en-GB"/>
        </w:rPr>
        <w:t>projected level over the first 60 days of the forecast.</w:t>
      </w:r>
    </w:p>
    <w:p w14:paraId="5AD03828" w14:textId="0410AFBB" w:rsidR="00D73B14" w:rsidRPr="006A0823" w:rsidRDefault="006051E5" w:rsidP="00BC3AE0">
      <w:pPr>
        <w:pStyle w:val="Heading2"/>
        <w:rPr>
          <w:lang w:val="en-GB"/>
        </w:rPr>
      </w:pPr>
      <w:bookmarkStart w:id="365" w:name="_Toc104249387"/>
      <w:bookmarkStart w:id="366" w:name="_Toc104252115"/>
      <w:bookmarkStart w:id="367" w:name="_Toc124499520"/>
      <w:r w:rsidRPr="006A0823">
        <w:rPr>
          <w:lang w:val="en-GB"/>
        </w:rPr>
        <w:t>SEI forecast</w:t>
      </w:r>
      <w:bookmarkEnd w:id="365"/>
      <w:bookmarkEnd w:id="366"/>
      <w:bookmarkEnd w:id="367"/>
    </w:p>
    <w:p w14:paraId="281F4941" w14:textId="50C0FEBF" w:rsidR="009F17C9" w:rsidRPr="006A0823" w:rsidRDefault="12C92D21" w:rsidP="2BB8A44D">
      <w:pPr>
        <w:rPr>
          <w:lang w:val="en-GB"/>
        </w:rPr>
      </w:pPr>
      <w:r w:rsidRPr="006A0823">
        <w:rPr>
          <w:lang w:val="en-GB"/>
        </w:rPr>
        <w:t xml:space="preserve">Once we have a parametric forecast of transmission intensity </w:t>
      </w:r>
      <m:oMath>
        <m:r>
          <w:rPr>
            <w:rFonts w:ascii="Cambria Math" w:hAnsi="Cambria Math"/>
            <w:lang w:val="en-GB"/>
          </w:rPr>
          <m:t>β(t)</m:t>
        </m:r>
      </m:oMath>
      <w:r w:rsidR="4B468607" w:rsidRPr="006A0823">
        <w:rPr>
          <w:lang w:val="en-GB"/>
        </w:rPr>
        <w:t xml:space="preserve"> and a forecast of </w:t>
      </w:r>
      <w:r w:rsidR="0483A434" w:rsidRPr="006A0823">
        <w:rPr>
          <w:lang w:val="en-GB"/>
        </w:rPr>
        <w:t>the IDR, IFR, and IHR, we run them through the third parameterization of the SEI</w:t>
      </w:r>
      <w:r w:rsidR="51AAD1DD" w:rsidRPr="006A0823">
        <w:rPr>
          <w:lang w:val="en-GB"/>
        </w:rPr>
        <w:t xml:space="preserve"> mod</w:t>
      </w:r>
      <w:r w:rsidR="73411487" w:rsidRPr="006A0823">
        <w:rPr>
          <w:lang w:val="en-GB"/>
        </w:rPr>
        <w:t>el alongside forecasts of future v</w:t>
      </w:r>
      <w:r w:rsidR="5354D59B" w:rsidRPr="006A0823">
        <w:rPr>
          <w:lang w:val="en-GB"/>
        </w:rPr>
        <w:t>accination and variant spread. The third parameterization is the “natural” parameterization of the syste</w:t>
      </w:r>
      <w:r w:rsidR="784B3F88" w:rsidRPr="006A0823">
        <w:rPr>
          <w:lang w:val="en-GB"/>
        </w:rPr>
        <w:t xml:space="preserve">m, in which all input parameters are elements of the right-hand side of the set of equations described in </w:t>
      </w:r>
      <w:r w:rsidR="55AB1E9B" w:rsidRPr="006A0823">
        <w:rPr>
          <w:lang w:val="en-GB"/>
        </w:rPr>
        <w:t xml:space="preserve">section </w:t>
      </w:r>
      <w:r w:rsidR="48DAB19F" w:rsidRPr="006A0823">
        <w:rPr>
          <w:lang w:val="en-GB"/>
        </w:rPr>
        <w:t>6</w:t>
      </w:r>
      <w:r w:rsidR="784B3F88" w:rsidRPr="006A0823">
        <w:rPr>
          <w:lang w:val="en-GB"/>
        </w:rPr>
        <w:t>.</w:t>
      </w:r>
      <w:r w:rsidR="066A6744" w:rsidRPr="006A0823">
        <w:rPr>
          <w:rFonts w:eastAsiaTheme="minorEastAsia"/>
          <w:lang w:val="en-GB"/>
        </w:rPr>
        <w:t xml:space="preserve"> This process produces 100 forecasts of vaccine-status and variant-specific infections, cases, deaths, and hospital admissions. </w:t>
      </w:r>
      <w:r w:rsidR="1217B044" w:rsidRPr="006A0823">
        <w:rPr>
          <w:lang w:val="en-GB"/>
        </w:rPr>
        <w:t>Comprehensive diagnostics for our forecasts of all scenarios can be found in Appendix 4.</w:t>
      </w:r>
    </w:p>
    <w:p w14:paraId="49E637F1" w14:textId="0E7E6278" w:rsidR="0038437E" w:rsidRPr="006A0823" w:rsidRDefault="0038437E" w:rsidP="0038437E">
      <w:pPr>
        <w:pStyle w:val="Heading2"/>
        <w:rPr>
          <w:lang w:val="en-GB"/>
        </w:rPr>
      </w:pPr>
      <w:bookmarkStart w:id="368" w:name="_Toc104249388"/>
      <w:bookmarkStart w:id="369" w:name="_Toc104252116"/>
      <w:bookmarkStart w:id="370" w:name="_Toc124499521"/>
      <w:r w:rsidRPr="006A0823">
        <w:rPr>
          <w:lang w:val="en-GB"/>
        </w:rPr>
        <w:t>Limitations</w:t>
      </w:r>
      <w:bookmarkEnd w:id="368"/>
      <w:bookmarkEnd w:id="369"/>
      <w:bookmarkEnd w:id="370"/>
    </w:p>
    <w:p w14:paraId="47657B99" w14:textId="4538D0B6" w:rsidR="009F17C9" w:rsidRPr="006A0823" w:rsidRDefault="009F17C9" w:rsidP="00BC3AE0">
      <w:pPr>
        <w:rPr>
          <w:lang w:val="en-GB"/>
        </w:rPr>
      </w:pPr>
      <w:r w:rsidRPr="006A0823">
        <w:rPr>
          <w:lang w:val="en-GB"/>
        </w:rPr>
        <w:t xml:space="preserve">There are a number of simplifications made within our modelling formulation. First, the transmission model ignores the import and export of infections from locations. This assumption generally leads to an underestimation of infections. Larger, denser locations will attract people and therefore have the potential to reintroduce local transmission of the virus. When in the middle of a surge in infections, these same locations are also likely to introduce infections into less-populous neighbouring regions. The most important aspect of this assumption, however, is related to the importation of new variants which looks much more like a stochastic process. </w:t>
      </w:r>
      <w:r w:rsidR="0038437E" w:rsidRPr="006A0823">
        <w:rPr>
          <w:lang w:val="en-GB"/>
        </w:rPr>
        <w:t xml:space="preserve">We </w:t>
      </w:r>
      <w:r w:rsidR="0038437E" w:rsidRPr="006A0823">
        <w:rPr>
          <w:lang w:val="en-GB"/>
        </w:rPr>
        <w:lastRenderedPageBreak/>
        <w:t>somewhat</w:t>
      </w:r>
      <w:r w:rsidRPr="006A0823">
        <w:rPr>
          <w:lang w:val="en-GB"/>
        </w:rPr>
        <w:t xml:space="preserve"> mitigate </w:t>
      </w:r>
      <w:r w:rsidR="0038437E" w:rsidRPr="006A0823">
        <w:rPr>
          <w:lang w:val="en-GB"/>
        </w:rPr>
        <w:t xml:space="preserve">this effect by </w:t>
      </w:r>
      <w:r w:rsidRPr="006A0823">
        <w:rPr>
          <w:lang w:val="en-GB"/>
        </w:rPr>
        <w:t>inform</w:t>
      </w:r>
      <w:r w:rsidR="0038437E" w:rsidRPr="006A0823">
        <w:rPr>
          <w:lang w:val="en-GB"/>
        </w:rPr>
        <w:t>ing</w:t>
      </w:r>
      <w:r w:rsidRPr="006A0823">
        <w:rPr>
          <w:lang w:val="en-GB"/>
        </w:rPr>
        <w:t xml:space="preserve"> our long-range forecasts of transmission intensity using the </w:t>
      </w:r>
      <m:oMath>
        <m:r>
          <w:rPr>
            <w:rFonts w:ascii="Cambria Math" w:hAnsi="Cambria Math"/>
            <w:lang w:val="en-GB"/>
          </w:rPr>
          <m:t>β</m:t>
        </m:r>
      </m:oMath>
      <w:r w:rsidRPr="006A0823">
        <w:rPr>
          <w:lang w:val="en-GB"/>
        </w:rPr>
        <w:t xml:space="preserve"> residuals from the regression. </w:t>
      </w:r>
    </w:p>
    <w:p w14:paraId="1B4378F9" w14:textId="77777777" w:rsidR="009F17C9" w:rsidRPr="006A0823" w:rsidRDefault="009F17C9" w:rsidP="00BC3AE0">
      <w:pPr>
        <w:rPr>
          <w:lang w:val="en-GB"/>
        </w:rPr>
      </w:pPr>
      <w:r w:rsidRPr="006A0823">
        <w:rPr>
          <w:lang w:val="en-GB"/>
        </w:rPr>
        <w:t xml:space="preserve">The second important simplification we make is to assume a well-mixed population. This is a persistent problem in locations with small populations. It also poses challenges in the initial stages of an outbreak in larger locations where the spatial heterogeneity of the population can have a large impact on how quickly and completely the virus takes root. </w:t>
      </w:r>
    </w:p>
    <w:p w14:paraId="0FAEF133" w14:textId="3800CCB1" w:rsidR="0062659E" w:rsidRPr="006A0823" w:rsidRDefault="5F321087" w:rsidP="00BC3AE0">
      <w:pPr>
        <w:pStyle w:val="Heading1"/>
        <w:rPr>
          <w:lang w:val="en-GB"/>
        </w:rPr>
      </w:pPr>
      <w:bookmarkStart w:id="371" w:name="_Toc104249389"/>
      <w:bookmarkStart w:id="372" w:name="_Toc76726311"/>
      <w:bookmarkStart w:id="373" w:name="_Toc76727619"/>
      <w:bookmarkStart w:id="374" w:name="_Toc76840533"/>
      <w:bookmarkStart w:id="375" w:name="_Toc104249390"/>
      <w:bookmarkStart w:id="376" w:name="_Toc104252117"/>
      <w:bookmarkStart w:id="377" w:name="_Toc124499522"/>
      <w:r w:rsidRPr="006A0823">
        <w:rPr>
          <w:lang w:val="en-GB"/>
        </w:rPr>
        <w:t>S</w:t>
      </w:r>
      <w:bookmarkEnd w:id="371"/>
      <w:r w:rsidRPr="006A0823">
        <w:rPr>
          <w:lang w:val="en-GB"/>
        </w:rPr>
        <w:t>ources of uncertainty</w:t>
      </w:r>
      <w:bookmarkEnd w:id="372"/>
      <w:bookmarkEnd w:id="373"/>
      <w:bookmarkEnd w:id="374"/>
      <w:bookmarkEnd w:id="375"/>
      <w:bookmarkEnd w:id="376"/>
      <w:bookmarkEnd w:id="377"/>
    </w:p>
    <w:p w14:paraId="0ED551AC" w14:textId="0932E83C" w:rsidR="0062659E" w:rsidRPr="006A0823" w:rsidRDefault="2A692327" w:rsidP="00BC3AE0">
      <w:pPr>
        <w:rPr>
          <w:lang w:val="en-GB"/>
        </w:rPr>
      </w:pPr>
      <w:r w:rsidRPr="006A0823">
        <w:rPr>
          <w:lang w:val="en-GB"/>
        </w:rPr>
        <w:t xml:space="preserve">The primary source of uncertainty in our models is </w:t>
      </w:r>
      <w:r w:rsidR="155123E6" w:rsidRPr="006A0823">
        <w:rPr>
          <w:lang w:val="en-GB"/>
        </w:rPr>
        <w:t xml:space="preserve">in the reported case, death, admission, and serology data used to produce past infections. As described in section </w:t>
      </w:r>
      <w:r w:rsidR="00831918" w:rsidRPr="006A0823">
        <w:rPr>
          <w:lang w:val="en-GB"/>
        </w:rPr>
        <w:t>7.2</w:t>
      </w:r>
      <w:r w:rsidR="155123E6" w:rsidRPr="006A0823">
        <w:rPr>
          <w:lang w:val="en-GB"/>
        </w:rPr>
        <w:t xml:space="preserve">, we account for this uncertainty by </w:t>
      </w:r>
      <w:r w:rsidR="69CC521B" w:rsidRPr="006A0823">
        <w:rPr>
          <w:lang w:val="en-GB"/>
        </w:rPr>
        <w:t xml:space="preserve">generating 100 posterior draws of infection trajectories to sample the noise in the reported data. </w:t>
      </w:r>
      <w:r w:rsidR="6DBE9DB5" w:rsidRPr="006A0823">
        <w:rPr>
          <w:lang w:val="en-GB"/>
        </w:rPr>
        <w:t xml:space="preserve">Each draw from the </w:t>
      </w:r>
      <w:r w:rsidR="4B13BED4" w:rsidRPr="006A0823">
        <w:rPr>
          <w:lang w:val="en-GB"/>
        </w:rPr>
        <w:t xml:space="preserve">distribution of </w:t>
      </w:r>
      <w:r w:rsidR="6DBE9DB5" w:rsidRPr="006A0823">
        <w:rPr>
          <w:lang w:val="en-GB"/>
        </w:rPr>
        <w:t xml:space="preserve">infection </w:t>
      </w:r>
      <w:r w:rsidR="4B13BED4" w:rsidRPr="006A0823">
        <w:rPr>
          <w:lang w:val="en-GB"/>
        </w:rPr>
        <w:t>trajectories</w:t>
      </w:r>
      <w:r w:rsidR="6DBE9DB5" w:rsidRPr="006A0823">
        <w:rPr>
          <w:lang w:val="en-GB"/>
        </w:rPr>
        <w:t xml:space="preserve"> is paired with a sample of the SEI transmission parameters described in</w:t>
      </w:r>
      <w:r w:rsidR="00580B02" w:rsidRPr="006A0823">
        <w:rPr>
          <w:lang w:val="en-GB"/>
        </w:rPr>
        <w:t xml:space="preserve"> table S3 </w:t>
      </w:r>
      <w:r w:rsidR="50F30037" w:rsidRPr="006A0823">
        <w:rPr>
          <w:lang w:val="en-GB"/>
        </w:rPr>
        <w:t>and that uncertainty is propagated through the fit, regression, and forecast stages of the transmission model</w:t>
      </w:r>
      <w:r w:rsidR="694FE35F" w:rsidRPr="006A0823">
        <w:rPr>
          <w:lang w:val="en-GB"/>
        </w:rPr>
        <w:t xml:space="preserve"> to produce 100 forecast trajectories of infections, deaths, cases, and hospital admissions.</w:t>
      </w:r>
      <w:r w:rsidR="0AF0C15E" w:rsidRPr="006A0823">
        <w:rPr>
          <w:lang w:val="en-GB"/>
        </w:rPr>
        <w:t xml:space="preserve"> </w:t>
      </w:r>
    </w:p>
    <w:p w14:paraId="77DF409E" w14:textId="3BFADEA1" w:rsidR="24B06F8B" w:rsidRPr="006A0823" w:rsidRDefault="00553B38" w:rsidP="00BC3AE0">
      <w:pPr>
        <w:pStyle w:val="Heading1"/>
        <w:rPr>
          <w:lang w:val="en-GB"/>
        </w:rPr>
      </w:pPr>
      <w:bookmarkStart w:id="378" w:name="_Toc104249391"/>
      <w:bookmarkStart w:id="379" w:name="_Toc104252118"/>
      <w:bookmarkStart w:id="380" w:name="_Toc124499523"/>
      <w:r w:rsidRPr="006A0823">
        <w:rPr>
          <w:lang w:val="en-GB"/>
        </w:rPr>
        <w:t xml:space="preserve">Predictive </w:t>
      </w:r>
      <w:r w:rsidR="00C77847" w:rsidRPr="006A0823">
        <w:rPr>
          <w:lang w:val="en-GB"/>
        </w:rPr>
        <w:t>v</w:t>
      </w:r>
      <w:r w:rsidRPr="006A0823">
        <w:rPr>
          <w:lang w:val="en-GB"/>
        </w:rPr>
        <w:t>alidity</w:t>
      </w:r>
      <w:bookmarkEnd w:id="378"/>
      <w:bookmarkEnd w:id="379"/>
      <w:bookmarkEnd w:id="380"/>
    </w:p>
    <w:p w14:paraId="47945D92" w14:textId="09ABD939" w:rsidR="00FE1345" w:rsidRPr="006A0823" w:rsidRDefault="00553B38" w:rsidP="00553B38">
      <w:pPr>
        <w:rPr>
          <w:lang w:val="en-GB"/>
        </w:rPr>
      </w:pPr>
      <w:r w:rsidRPr="006A0823">
        <w:rPr>
          <w:lang w:val="en-GB"/>
        </w:rPr>
        <w:t>We have previously demonstrated our model performance in a US-specific scenarios paper</w:t>
      </w:r>
      <w:r w:rsidR="009B47CD" w:rsidRPr="006A0823">
        <w:rPr>
          <w:lang w:val="en-GB"/>
        </w:rPr>
        <w:fldChar w:fldCharType="begin"/>
      </w:r>
      <w:r w:rsidR="004876B1" w:rsidRPr="006A0823">
        <w:rPr>
          <w:lang w:val="en-GB"/>
        </w:rPr>
        <w:instrText xml:space="preserve"> ADDIN ZOTERO_ITEM CSL_CITATION {"citationID":"RwEwJmRl","properties":{"formattedCitation":"\\super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009B47CD" w:rsidRPr="006A0823">
        <w:rPr>
          <w:lang w:val="en-GB"/>
        </w:rPr>
        <w:fldChar w:fldCharType="separate"/>
      </w:r>
      <w:r w:rsidR="009B47CD" w:rsidRPr="006A0823">
        <w:rPr>
          <w:szCs w:val="24"/>
          <w:vertAlign w:val="superscript"/>
        </w:rPr>
        <w:t>1</w:t>
      </w:r>
      <w:r w:rsidR="009B47CD" w:rsidRPr="006A0823">
        <w:rPr>
          <w:lang w:val="en-GB"/>
        </w:rPr>
        <w:fldChar w:fldCharType="end"/>
      </w:r>
      <w:r w:rsidRPr="006A0823">
        <w:rPr>
          <w:lang w:val="en-GB"/>
        </w:rPr>
        <w:t xml:space="preserve"> </w:t>
      </w:r>
      <w:r w:rsidR="00C4703E" w:rsidRPr="006A0823">
        <w:rPr>
          <w:lang w:val="en-GB"/>
        </w:rPr>
        <w:t>a</w:t>
      </w:r>
      <w:r w:rsidRPr="006A0823">
        <w:rPr>
          <w:lang w:val="en-GB"/>
        </w:rPr>
        <w:t>nd in a broader model comparison project</w:t>
      </w:r>
      <w:r w:rsidR="00C4703E" w:rsidRPr="006A0823">
        <w:rPr>
          <w:lang w:val="en-GB"/>
        </w:rPr>
        <w:fldChar w:fldCharType="begin"/>
      </w:r>
      <w:r w:rsidR="00851DCE" w:rsidRPr="006A0823">
        <w:rPr>
          <w:lang w:val="en-GB"/>
        </w:rPr>
        <w:instrText xml:space="preserve"> ADDIN ZOTERO_ITEM CSL_CITATION {"citationID":"RfG79wDQ","properties":{"formattedCitation":"\\super 45\\nosupersub{}","plainCitation":"45","noteIndex":0},"citationItems":[{"id":21791,"uris":["http://zotero.org/groups/2154524/items/GPA4SN86"],"itemData":{"id":21791,"type":"article-journal","abstract":"Forecasts and alternative scenarios of COVID-19 mortality have been critical inputs for pandemic response efforts, and decision-makers need information about predictive performance. We screen n = 386 public COVID-19 forecasting models, identifying n = 7 that are global in scope and provide public, date-versioned forecasts. We examine their predictive performance for mortality by weeks of extrapolation, world region, and estimation month. We additionally assess prediction of the timing of peak daily mortality. Globally, models released in October show a median absolute percent error (MAPE) of 7 to 13% at six weeks, reflecting surprisingly good performance despite the complexities of modelling human behavioural responses and government interventions. Median absolute error for peak timing increased from 8 days at one week of forecasting to 29 days at eight weeks and is similar for first and subsequent peaks. The framework and public codebase (https://github.com/pyliu47/covidcompare) can be used to compare predictions and evaluate predictive performance going forward., Forecasts of COVID-19 mortality have been critical inputs into a range of policies, and decision-makers need information about their predictive performance. Here, the authors gather a panel of global epidemiological models and assess their predictive performance across time and space.","container-title":"Nature Communications","DOI":"10.1038/s41467-021-22457-w","ISSN":"2041-1723","journalAbbreviation":"Nat Commun","note":"PMID: 33972512\nPMCID: PMC8110547","page":"2609","source":"PubMed Central","title":"Predictive performance of international COVID-19 mortality forecasting models","volume":"12","author":[{"family":"Friedman","given":"Joseph"},{"family":"Liu","given":"Patrick"},{"family":"Troeger","given":"Christopher E."},{"family":"Carter","given":"Austin"},{"family":"Reiner","given":"Robert C."},{"family":"Barber","given":"Ryan M."},{"family":"Collins","given":"James"},{"family":"Lim","given":"Stephen S."},{"family":"Pigott","given":"David M."},{"family":"Vos","given":"Theo"},{"family":"Hay","given":"Simon I."},{"family":"Murray","given":"Christopher J. L."},{"family":"Gakidou","given":"Emmanuela"}],"issued":{"date-parts":[["2021",5,10]]}}}],"schema":"https://github.com/citation-style-language/schema/raw/master/csl-citation.json"} </w:instrText>
      </w:r>
      <w:r w:rsidR="00C4703E" w:rsidRPr="006A0823">
        <w:rPr>
          <w:lang w:val="en-GB"/>
        </w:rPr>
        <w:fldChar w:fldCharType="separate"/>
      </w:r>
      <w:r w:rsidR="00851DCE" w:rsidRPr="006A0823">
        <w:rPr>
          <w:vertAlign w:val="superscript"/>
        </w:rPr>
        <w:t>45</w:t>
      </w:r>
      <w:r w:rsidR="00C4703E" w:rsidRPr="006A0823">
        <w:rPr>
          <w:lang w:val="en-GB"/>
        </w:rPr>
        <w:fldChar w:fldCharType="end"/>
      </w:r>
      <w:r w:rsidRPr="006A0823">
        <w:rPr>
          <w:lang w:val="en-GB"/>
        </w:rPr>
        <w:t xml:space="preserve">. While many of our data sources and modelling assumptions are consistent with these prior analyses, we’ve expanded our modelling framework to account for several salient features of the pandemic that were not previously present.  </w:t>
      </w:r>
      <w:r w:rsidR="00FE1345" w:rsidRPr="006A0823">
        <w:rPr>
          <w:lang w:val="en-GB"/>
        </w:rPr>
        <w:t>In order to evaluate the model’</w:t>
      </w:r>
      <w:r w:rsidR="003B6280" w:rsidRPr="006A0823">
        <w:rPr>
          <w:lang w:val="en-GB"/>
        </w:rPr>
        <w:t xml:space="preserve">s performance </w:t>
      </w:r>
      <w:r w:rsidRPr="006A0823">
        <w:rPr>
          <w:lang w:val="en-GB"/>
        </w:rPr>
        <w:t xml:space="preserve">with these new features, </w:t>
      </w:r>
      <w:r w:rsidR="003B6280" w:rsidRPr="006A0823">
        <w:rPr>
          <w:lang w:val="en-GB"/>
        </w:rPr>
        <w:t xml:space="preserve">we ran an out-of-sample predictive validity test by holding out eight weeks of reported case, death, and admissions data </w:t>
      </w:r>
      <w:r w:rsidR="00CD66C3" w:rsidRPr="006A0823">
        <w:rPr>
          <w:lang w:val="en-GB"/>
        </w:rPr>
        <w:t xml:space="preserve">from May 5, 2022 to June 30, 2022, </w:t>
      </w:r>
      <w:r w:rsidR="003B6280" w:rsidRPr="006A0823">
        <w:rPr>
          <w:lang w:val="en-GB"/>
        </w:rPr>
        <w:t xml:space="preserve">and using our forecasting model to fill in the period.  We then compared the difference in predicted total cases, admissions, and deaths over the holdout period to those reported. This was run </w:t>
      </w:r>
      <w:r w:rsidRPr="006A0823">
        <w:rPr>
          <w:lang w:val="en-GB"/>
        </w:rPr>
        <w:t xml:space="preserve">for 100 draws </w:t>
      </w:r>
      <w:r w:rsidR="003B6280" w:rsidRPr="006A0823">
        <w:rPr>
          <w:lang w:val="en-GB"/>
        </w:rPr>
        <w:t xml:space="preserve">in the same ensemble framework as </w:t>
      </w:r>
      <w:r w:rsidRPr="006A0823">
        <w:rPr>
          <w:lang w:val="en-GB"/>
        </w:rPr>
        <w:t xml:space="preserve">our normal estimation process (described in section </w:t>
      </w:r>
      <w:r w:rsidR="00831918" w:rsidRPr="006A0823">
        <w:rPr>
          <w:lang w:val="en-GB"/>
        </w:rPr>
        <w:t>7.2</w:t>
      </w:r>
      <w:r w:rsidRPr="006A0823">
        <w:rPr>
          <w:lang w:val="en-GB"/>
        </w:rPr>
        <w:t xml:space="preserve">). </w:t>
      </w:r>
      <w:r w:rsidR="003B6280" w:rsidRPr="006A0823">
        <w:rPr>
          <w:lang w:val="en-GB"/>
        </w:rPr>
        <w:t xml:space="preserve">At the global level, we </w:t>
      </w:r>
      <w:r w:rsidRPr="006A0823">
        <w:rPr>
          <w:lang w:val="en-GB"/>
        </w:rPr>
        <w:t xml:space="preserve">underestimated deaths by -11% (-31% - 36%), underestimated admissions by -11% (-32% - 35%) and overestimated cases by 1.0% (-31%-54%). </w:t>
      </w:r>
    </w:p>
    <w:p w14:paraId="28C2481A" w14:textId="443BA199" w:rsidR="00553B38" w:rsidRPr="00FE1345" w:rsidRDefault="00553B38" w:rsidP="00553B38">
      <w:pPr>
        <w:rPr>
          <w:lang w:val="en-GB"/>
        </w:rPr>
      </w:pPr>
      <w:r w:rsidRPr="006A0823">
        <w:rPr>
          <w:lang w:val="en-GB"/>
        </w:rPr>
        <w:t>We evaluated model performance in all 17</w:t>
      </w:r>
      <w:r w:rsidR="00CD66C3" w:rsidRPr="006A0823">
        <w:rPr>
          <w:lang w:val="en-GB"/>
        </w:rPr>
        <w:t>6 countries and territories and the 206 subnational units in our model</w:t>
      </w:r>
      <w:r w:rsidRPr="006A0823">
        <w:rPr>
          <w:lang w:val="en-GB"/>
        </w:rPr>
        <w:t xml:space="preserve"> and the detailed results of the analysis can be found in appendix 5. </w:t>
      </w:r>
      <w:r w:rsidR="00274793" w:rsidRPr="006A0823">
        <w:rPr>
          <w:lang w:val="en-GB"/>
        </w:rPr>
        <w:t>We had notable deviations (&gt; 40%) from reported data in North America and Western Europe where we did not capture the second small surge widely attributed to the B.A.2 subvariant of Omicron. We also significantly overestimated the Omicron surge in China, as our assumptions about the impact of the lockdown were too conservative (thought notably more in line with reality than other contemporary analyses</w:t>
      </w:r>
      <w:r w:rsidR="002C17C6" w:rsidRPr="006A0823">
        <w:rPr>
          <w:lang w:val="en-GB"/>
        </w:rPr>
        <w:t>.</w:t>
      </w:r>
      <w:r w:rsidR="002C17C6" w:rsidRPr="006A0823">
        <w:rPr>
          <w:lang w:val="en-GB"/>
        </w:rPr>
        <w:fldChar w:fldCharType="begin"/>
      </w:r>
      <w:r w:rsidR="00851DCE" w:rsidRPr="006A0823">
        <w:rPr>
          <w:lang w:val="en-GB"/>
        </w:rPr>
        <w:instrText xml:space="preserve"> ADDIN ZOTERO_ITEM CSL_CITATION {"citationID":"0t9s4YOd","properties":{"formattedCitation":"\\super 46\\nosupersub{}","plainCitation":"46","noteIndex":0},"citationItems":[{"id":21718,"uris":["http://zotero.org/groups/2154524/items/EAUSWQVZ"],"itemData":{"id":21718,"type":"article-journal","abstract":"Having adopted a dynamic zero-COVID strategy to respond to SARS-CoV-2 variants with higher transmissibility since August 2021, China is now considering whether and for how long this policy can remain in place. The debate has thus shifted towards the identification of mitigation strategies for minimizing disruption to the healthcare system in the case of a nationwide epidemic. To this aim, we developed an age-structured stochastic compartmental susceptible-latent-infectious-removed-susceptible (SLIRS) model of SARS-CoV-2 transmission calibrated on the initial growth phase for the 2022 Omicron outbreak in Shanghai, to project COVID-19 burden (i.e., number of cases, patients requiring hospitalization and intensive care, and deaths) under hypothetical mitigation scenarios. The model also considers age-specific vaccine coverage data, vaccine efficacy against different clinical endpoints, waning of immunity, different antiviral therapies, and non-pharmaceutical interventions. We find that the level of immunity induced by the March 2022 vaccination campaign would be insufficient to prevent an Omicron wave that would result in exceeding critical care capacity with a projected intensive care unit peak demand of 15.6-times the existing capacity and causing approximately 1.55 million deaths. However, we also estimate that protecting vulnerable individuals by ensuring accessibility to vaccines and antiviral therapies, and maintaining implementation of non-pharmaceutical interventions could be sufficient to prevent overwhelming the healthcare system, suggesting that these factors should be points of emphasis in future mitigation policies.","container-title":"Nature Medicine","DOI":"10.1038/s41591-022-01855-7","ISSN":"1546-170X","journalAbbreviation":"Nat Med","language":"en","license":"2022 The Author(s), under exclusive licence to Springer Nature America, Inc.","note":"publisher: Nature Publishing Group","page":"1-1","source":"www.nature.com","title":"Modeling transmission of SARS-CoV-2 Omicron in China","author":[{"family":"Cai","given":"Jun"},{"family":"Deng","given":"Xiaowei"},{"family":"Yang","given":"Juan"},{"family":"Sun","given":"Kaiyuan"},{"family":"Liu","given":"Hengcong"},{"family":"Chen","given":"Zhiyuan"},{"family":"Peng","given":"Cheng"},{"family":"Chen","given":"Xinhua"},{"family":"Wu","given":"Qianhui"},{"family":"Zou","given":"Junyi"},{"family":"Sun","given":"Ruijia"},{"family":"Zheng","given":"Wen"},{"family":"Zhao","given":"Zeyao"},{"family":"Lu","given":"Wanying"},{"family":"Liang","given":"Yuxia"},{"family":"Zhou","given":"Xiaoyu"},{"family":"Ajelli","given":"Marco"},{"family":"Yu","given":"Hongjie"}],"issued":{"date-parts":[["2022",5,10]]}}}],"schema":"https://github.com/citation-style-language/schema/raw/master/csl-citation.json"} </w:instrText>
      </w:r>
      <w:r w:rsidR="002C17C6" w:rsidRPr="006A0823">
        <w:rPr>
          <w:lang w:val="en-GB"/>
        </w:rPr>
        <w:fldChar w:fldCharType="separate"/>
      </w:r>
      <w:r w:rsidR="00851DCE" w:rsidRPr="006A0823">
        <w:rPr>
          <w:vertAlign w:val="superscript"/>
        </w:rPr>
        <w:t>46</w:t>
      </w:r>
      <w:r w:rsidR="002C17C6" w:rsidRPr="006A0823">
        <w:rPr>
          <w:lang w:val="en-GB"/>
        </w:rPr>
        <w:fldChar w:fldCharType="end"/>
      </w:r>
    </w:p>
    <w:p w14:paraId="29242D20" w14:textId="77777777" w:rsidR="0062659E" w:rsidRPr="00D43DC4" w:rsidRDefault="0062659E" w:rsidP="00BC3AE0">
      <w:pPr>
        <w:rPr>
          <w:lang w:val="en-GB"/>
        </w:rPr>
      </w:pPr>
    </w:p>
    <w:p w14:paraId="318E7234" w14:textId="3E01C779" w:rsidR="00D0437E" w:rsidRPr="00BC3AE0" w:rsidRDefault="42E776C4" w:rsidP="00BC3AE0">
      <w:pPr>
        <w:pStyle w:val="Heading1"/>
        <w:rPr>
          <w:lang w:val="en-GB"/>
        </w:rPr>
      </w:pPr>
      <w:bookmarkStart w:id="381" w:name="_Toc76653843"/>
      <w:bookmarkStart w:id="382" w:name="_Toc76726313"/>
      <w:bookmarkStart w:id="383" w:name="_Toc76727621"/>
      <w:bookmarkStart w:id="384" w:name="_Toc76840534"/>
      <w:bookmarkStart w:id="385" w:name="_Toc104249392"/>
      <w:bookmarkStart w:id="386" w:name="_Toc104252119"/>
      <w:bookmarkStart w:id="387" w:name="_Toc124499524"/>
      <w:r w:rsidRPr="00BC3AE0">
        <w:rPr>
          <w:lang w:val="en-GB"/>
        </w:rPr>
        <w:t>References</w:t>
      </w:r>
      <w:bookmarkEnd w:id="381"/>
      <w:bookmarkEnd w:id="382"/>
      <w:bookmarkEnd w:id="383"/>
      <w:bookmarkEnd w:id="384"/>
      <w:bookmarkEnd w:id="385"/>
      <w:bookmarkEnd w:id="386"/>
      <w:bookmarkEnd w:id="387"/>
    </w:p>
    <w:p w14:paraId="06B3C4EB" w14:textId="77777777" w:rsidR="00517309" w:rsidRPr="00517309" w:rsidRDefault="00702738" w:rsidP="00517309">
      <w:pPr>
        <w:pStyle w:val="Bibliography"/>
      </w:pPr>
      <w:r w:rsidRPr="00D43DC4">
        <w:rPr>
          <w:color w:val="2B579A"/>
          <w:shd w:val="clear" w:color="auto" w:fill="E6E6E6"/>
          <w:lang w:val="en-GB"/>
        </w:rPr>
        <w:fldChar w:fldCharType="begin"/>
      </w:r>
      <w:r w:rsidR="004E7D05">
        <w:rPr>
          <w:lang w:val="en-GB"/>
        </w:rPr>
        <w:instrText xml:space="preserve"> ADDIN ZOTERO_BIBL {"uncited":[],"omitted":[],"custom":[]} CSL_BIBLIOGRAPHY </w:instrText>
      </w:r>
      <w:r w:rsidRPr="00D43DC4">
        <w:rPr>
          <w:color w:val="2B579A"/>
          <w:shd w:val="clear" w:color="auto" w:fill="E6E6E6"/>
          <w:lang w:val="en-GB"/>
        </w:rPr>
        <w:fldChar w:fldCharType="separate"/>
      </w:r>
      <w:r w:rsidR="00517309" w:rsidRPr="00517309">
        <w:t>1</w:t>
      </w:r>
      <w:r w:rsidR="00517309" w:rsidRPr="00517309">
        <w:tab/>
        <w:t xml:space="preserve">Reiner RC, Barber RM, Collins JK, </w:t>
      </w:r>
      <w:r w:rsidR="00517309" w:rsidRPr="00517309">
        <w:rPr>
          <w:i/>
          <w:iCs/>
        </w:rPr>
        <w:t>et al.</w:t>
      </w:r>
      <w:r w:rsidR="00517309" w:rsidRPr="00517309">
        <w:t xml:space="preserve"> Modeling COVID-19 scenarios for the United States. </w:t>
      </w:r>
      <w:r w:rsidR="00517309" w:rsidRPr="00517309">
        <w:rPr>
          <w:i/>
          <w:iCs/>
        </w:rPr>
        <w:t>Nat Med</w:t>
      </w:r>
      <w:r w:rsidR="00517309" w:rsidRPr="00517309">
        <w:t xml:space="preserve"> 2021; </w:t>
      </w:r>
      <w:r w:rsidR="00517309" w:rsidRPr="00517309">
        <w:rPr>
          <w:b/>
          <w:bCs/>
        </w:rPr>
        <w:t>27</w:t>
      </w:r>
      <w:r w:rsidR="00517309" w:rsidRPr="00517309">
        <w:t>: 94–105.</w:t>
      </w:r>
    </w:p>
    <w:p w14:paraId="39962451" w14:textId="77777777" w:rsidR="00517309" w:rsidRPr="00517309" w:rsidRDefault="00517309" w:rsidP="00517309">
      <w:pPr>
        <w:pStyle w:val="Bibliography"/>
      </w:pPr>
      <w:r w:rsidRPr="00517309">
        <w:t>2</w:t>
      </w:r>
      <w:r w:rsidRPr="00517309">
        <w:tab/>
        <w:t xml:space="preserve">Barber, RM, Sorensen R, Pigott D, </w:t>
      </w:r>
      <w:r w:rsidRPr="00517309">
        <w:rPr>
          <w:i/>
          <w:iCs/>
        </w:rPr>
        <w:t>et al.</w:t>
      </w:r>
      <w:r w:rsidRPr="00517309">
        <w:t xml:space="preserve"> Estimating global, regional, and national daily and cumulative infections with SARS-CoV-2 through Nov 14, 2021: a statistical analysis. </w:t>
      </w:r>
      <w:r w:rsidRPr="00517309">
        <w:rPr>
          <w:i/>
          <w:iCs/>
        </w:rPr>
        <w:t>The Lancet</w:t>
      </w:r>
      <w:r w:rsidRPr="00517309">
        <w:t xml:space="preserve"> 2022; </w:t>
      </w:r>
      <w:r w:rsidRPr="00517309">
        <w:rPr>
          <w:b/>
          <w:bCs/>
        </w:rPr>
        <w:t>399</w:t>
      </w:r>
      <w:r w:rsidRPr="00517309">
        <w:t>: 2349–78.</w:t>
      </w:r>
    </w:p>
    <w:p w14:paraId="4FFC1310" w14:textId="77777777" w:rsidR="00517309" w:rsidRPr="00517309" w:rsidRDefault="00517309" w:rsidP="00517309">
      <w:pPr>
        <w:pStyle w:val="Bibliography"/>
      </w:pPr>
      <w:r w:rsidRPr="00517309">
        <w:t>3</w:t>
      </w:r>
      <w:r w:rsidRPr="00517309">
        <w:tab/>
        <w:t xml:space="preserve">Stevens GA, Alkema L, Black RE, </w:t>
      </w:r>
      <w:r w:rsidRPr="00517309">
        <w:rPr>
          <w:i/>
          <w:iCs/>
        </w:rPr>
        <w:t>et al.</w:t>
      </w:r>
      <w:r w:rsidRPr="00517309">
        <w:t xml:space="preserve"> Guidelines for Accurate and Transparent Health Estimates Reporting: the GATHER statement. </w:t>
      </w:r>
      <w:r w:rsidRPr="00517309">
        <w:rPr>
          <w:i/>
          <w:iCs/>
        </w:rPr>
        <w:t>Lancet</w:t>
      </w:r>
      <w:r w:rsidRPr="00517309">
        <w:t xml:space="preserve"> 2016; </w:t>
      </w:r>
      <w:r w:rsidRPr="00517309">
        <w:rPr>
          <w:b/>
          <w:bCs/>
        </w:rPr>
        <w:t>388</w:t>
      </w:r>
      <w:r w:rsidRPr="00517309">
        <w:t>: e19–23.</w:t>
      </w:r>
    </w:p>
    <w:p w14:paraId="14742C46" w14:textId="77777777" w:rsidR="00517309" w:rsidRPr="00517309" w:rsidRDefault="00517309" w:rsidP="00517309">
      <w:pPr>
        <w:pStyle w:val="Bibliography"/>
      </w:pPr>
      <w:r w:rsidRPr="00517309">
        <w:t>4</w:t>
      </w:r>
      <w:r w:rsidRPr="00517309">
        <w:tab/>
        <w:t xml:space="preserve">Dong E, Du H, Gardner L. An interactive web-based dashboard to track COVID-19 in real time. </w:t>
      </w:r>
      <w:r w:rsidRPr="00517309">
        <w:rPr>
          <w:i/>
          <w:iCs/>
        </w:rPr>
        <w:t>Lancet Infect Dis</w:t>
      </w:r>
      <w:r w:rsidRPr="00517309">
        <w:t xml:space="preserve"> 2020; </w:t>
      </w:r>
      <w:r w:rsidRPr="00517309">
        <w:rPr>
          <w:b/>
          <w:bCs/>
        </w:rPr>
        <w:t>20</w:t>
      </w:r>
      <w:r w:rsidRPr="00517309">
        <w:t>: 533–4.</w:t>
      </w:r>
    </w:p>
    <w:p w14:paraId="47D33CA4" w14:textId="77777777" w:rsidR="00517309" w:rsidRPr="00517309" w:rsidRDefault="00517309" w:rsidP="00517309">
      <w:pPr>
        <w:pStyle w:val="Bibliography"/>
      </w:pPr>
      <w:r w:rsidRPr="00517309">
        <w:lastRenderedPageBreak/>
        <w:t>5</w:t>
      </w:r>
      <w:r w:rsidRPr="00517309">
        <w:tab/>
        <w:t xml:space="preserve">Sorensen R, Barber R, Pigott D, et al. Variation in the COVID-19 infection–fatality ratio by age, time, and geography during the pre-vaccine era: a systematic analysis. </w:t>
      </w:r>
      <w:r w:rsidRPr="00517309">
        <w:rPr>
          <w:i/>
          <w:iCs/>
        </w:rPr>
        <w:t>Lancet</w:t>
      </w:r>
      <w:r w:rsidRPr="00517309">
        <w:t xml:space="preserve"> 2022; </w:t>
      </w:r>
      <w:r w:rsidRPr="00517309">
        <w:rPr>
          <w:b/>
          <w:bCs/>
        </w:rPr>
        <w:t>399</w:t>
      </w:r>
      <w:r w:rsidRPr="00517309">
        <w:t>: 1469–88.</w:t>
      </w:r>
    </w:p>
    <w:p w14:paraId="0DCA36CC" w14:textId="77777777" w:rsidR="00517309" w:rsidRPr="00517309" w:rsidRDefault="00517309" w:rsidP="00517309">
      <w:pPr>
        <w:pStyle w:val="Bibliography"/>
      </w:pPr>
      <w:r w:rsidRPr="00517309">
        <w:t>6</w:t>
      </w:r>
      <w:r w:rsidRPr="00517309">
        <w:tab/>
        <w:t xml:space="preserve">Ioannidis JPA. Infection fatality rate of COVID-19 inferred from seroprevalence data. </w:t>
      </w:r>
      <w:r w:rsidRPr="00517309">
        <w:rPr>
          <w:i/>
          <w:iCs/>
        </w:rPr>
        <w:t>Bull World Health Organ</w:t>
      </w:r>
      <w:r w:rsidRPr="00517309">
        <w:t xml:space="preserve"> 2021; </w:t>
      </w:r>
      <w:r w:rsidRPr="00517309">
        <w:rPr>
          <w:b/>
          <w:bCs/>
        </w:rPr>
        <w:t>99</w:t>
      </w:r>
      <w:r w:rsidRPr="00517309">
        <w:t>: 19-33F.</w:t>
      </w:r>
    </w:p>
    <w:p w14:paraId="21A4F412" w14:textId="77777777" w:rsidR="00517309" w:rsidRPr="00517309" w:rsidRDefault="00517309" w:rsidP="00517309">
      <w:pPr>
        <w:pStyle w:val="Bibliography"/>
      </w:pPr>
      <w:r w:rsidRPr="00517309">
        <w:t>7</w:t>
      </w:r>
      <w:r w:rsidRPr="00517309">
        <w:tab/>
        <w:t xml:space="preserve">Levin AT, Hanage WP, Owusu-Boaitey N, Cochran KB, Walsh SP, Meyerowitz-Katz G. Assessing the age specificity of infection fatality rates for COVID-19: systematic review, meta-analysis, and public policy implications. </w:t>
      </w:r>
      <w:r w:rsidRPr="00517309">
        <w:rPr>
          <w:i/>
          <w:iCs/>
        </w:rPr>
        <w:t>Eur J Epidemiol</w:t>
      </w:r>
      <w:r w:rsidRPr="00517309">
        <w:t xml:space="preserve"> 2020; </w:t>
      </w:r>
      <w:r w:rsidRPr="00517309">
        <w:rPr>
          <w:b/>
          <w:bCs/>
        </w:rPr>
        <w:t>35</w:t>
      </w:r>
      <w:r w:rsidRPr="00517309">
        <w:t>: 1123–38.</w:t>
      </w:r>
    </w:p>
    <w:p w14:paraId="503426B6" w14:textId="77777777" w:rsidR="00517309" w:rsidRPr="00517309" w:rsidRDefault="00517309" w:rsidP="00517309">
      <w:pPr>
        <w:pStyle w:val="Bibliography"/>
      </w:pPr>
      <w:r w:rsidRPr="00517309">
        <w:t>8</w:t>
      </w:r>
      <w:r w:rsidRPr="00517309">
        <w:tab/>
        <w:t xml:space="preserve">Arora RK, Joseph A, Wyk JV, </w:t>
      </w:r>
      <w:r w:rsidRPr="00517309">
        <w:rPr>
          <w:i/>
          <w:iCs/>
        </w:rPr>
        <w:t>et al.</w:t>
      </w:r>
      <w:r w:rsidRPr="00517309">
        <w:t xml:space="preserve"> SeroTracker: a global SARS-CoV-2 seroprevalence dashboard. </w:t>
      </w:r>
      <w:r w:rsidRPr="00517309">
        <w:rPr>
          <w:i/>
          <w:iCs/>
        </w:rPr>
        <w:t>Lancet Infect Dis</w:t>
      </w:r>
      <w:r w:rsidRPr="00517309">
        <w:t xml:space="preserve"> 2021; </w:t>
      </w:r>
      <w:r w:rsidRPr="00517309">
        <w:rPr>
          <w:b/>
          <w:bCs/>
        </w:rPr>
        <w:t>21</w:t>
      </w:r>
      <w:r w:rsidRPr="00517309">
        <w:t>: e75–6.</w:t>
      </w:r>
    </w:p>
    <w:p w14:paraId="7BBDFB97" w14:textId="77777777" w:rsidR="00517309" w:rsidRPr="00517309" w:rsidRDefault="00517309" w:rsidP="00517309">
      <w:pPr>
        <w:pStyle w:val="Bibliography"/>
      </w:pPr>
      <w:r w:rsidRPr="00517309">
        <w:t>9</w:t>
      </w:r>
      <w:r w:rsidRPr="00517309">
        <w:tab/>
        <w:t xml:space="preserve">Zheng P, Barber R, Sorensen RJD, Murray CJL, Aravkin AY. Trimmed constrained mixed effects models: formulations and algorithms. </w:t>
      </w:r>
      <w:r w:rsidRPr="00517309">
        <w:rPr>
          <w:i/>
          <w:iCs/>
        </w:rPr>
        <w:t>J Comput Graph Stat</w:t>
      </w:r>
      <w:r w:rsidRPr="00517309">
        <w:t xml:space="preserve"> 2021; </w:t>
      </w:r>
      <w:r w:rsidRPr="00517309">
        <w:rPr>
          <w:b/>
          <w:bCs/>
        </w:rPr>
        <w:t>0</w:t>
      </w:r>
      <w:r w:rsidRPr="00517309">
        <w:t>: 1–13.</w:t>
      </w:r>
    </w:p>
    <w:p w14:paraId="4269CA23" w14:textId="77777777" w:rsidR="00517309" w:rsidRPr="00517309" w:rsidRDefault="00517309" w:rsidP="00517309">
      <w:pPr>
        <w:pStyle w:val="Bibliography"/>
      </w:pPr>
      <w:r w:rsidRPr="00517309">
        <w:t>10</w:t>
      </w:r>
      <w:r w:rsidRPr="00517309">
        <w:tab/>
        <w:t>Rajeev Mittal. MRTool. 2021; published online March 19. https://github.com/ihmeuw-msca/mrtool (accessed June 30, 2021).</w:t>
      </w:r>
    </w:p>
    <w:p w14:paraId="6F7C8B56" w14:textId="77777777" w:rsidR="00517309" w:rsidRPr="00517309" w:rsidRDefault="00517309" w:rsidP="00517309">
      <w:pPr>
        <w:pStyle w:val="Bibliography"/>
      </w:pPr>
      <w:r w:rsidRPr="00517309">
        <w:t>11</w:t>
      </w:r>
      <w:r w:rsidRPr="00517309">
        <w:tab/>
        <w:t xml:space="preserve">Elbe S, Buckland-Merrett G. Data, disease and diplomacy: GISAID’s innovative contribution to global health. </w:t>
      </w:r>
      <w:r w:rsidRPr="00517309">
        <w:rPr>
          <w:i/>
          <w:iCs/>
        </w:rPr>
        <w:t>Glob Chall</w:t>
      </w:r>
      <w:r w:rsidRPr="00517309">
        <w:t xml:space="preserve"> 2017; </w:t>
      </w:r>
      <w:r w:rsidRPr="00517309">
        <w:rPr>
          <w:b/>
          <w:bCs/>
        </w:rPr>
        <w:t>1</w:t>
      </w:r>
      <w:r w:rsidRPr="00517309">
        <w:t>: 33–46.</w:t>
      </w:r>
    </w:p>
    <w:p w14:paraId="17FA4E4B" w14:textId="77777777" w:rsidR="00517309" w:rsidRPr="00517309" w:rsidRDefault="00517309" w:rsidP="00517309">
      <w:pPr>
        <w:pStyle w:val="Bibliography"/>
      </w:pPr>
      <w:r w:rsidRPr="00517309">
        <w:t>12</w:t>
      </w:r>
      <w:r w:rsidRPr="00517309">
        <w:tab/>
        <w:t xml:space="preserve">Mathieu E, Ritchie H, Ortiz-Ospina E, </w:t>
      </w:r>
      <w:r w:rsidRPr="00517309">
        <w:rPr>
          <w:i/>
          <w:iCs/>
        </w:rPr>
        <w:t>et al.</w:t>
      </w:r>
      <w:r w:rsidRPr="00517309">
        <w:t xml:space="preserve"> A global database of COVID-19 vaccinations. </w:t>
      </w:r>
      <w:r w:rsidRPr="00517309">
        <w:rPr>
          <w:i/>
          <w:iCs/>
        </w:rPr>
        <w:t>Nat Hum Behav</w:t>
      </w:r>
      <w:r w:rsidRPr="00517309">
        <w:t xml:space="preserve"> 2021; published online May 10.</w:t>
      </w:r>
    </w:p>
    <w:p w14:paraId="789A4405" w14:textId="77777777" w:rsidR="00517309" w:rsidRPr="00517309" w:rsidRDefault="00517309" w:rsidP="00517309">
      <w:pPr>
        <w:pStyle w:val="Bibliography"/>
      </w:pPr>
      <w:r w:rsidRPr="00517309">
        <w:t>13</w:t>
      </w:r>
      <w:r w:rsidRPr="00517309">
        <w:tab/>
        <w:t>Duke Global Health Innovation Center. Launch and scale speedometer. Duke Univ. 2020. https://launchandscalefaster.org/speedometer-data (accessed July 4, 2021).</w:t>
      </w:r>
    </w:p>
    <w:p w14:paraId="51307D89" w14:textId="77777777" w:rsidR="00517309" w:rsidRPr="00517309" w:rsidRDefault="00517309" w:rsidP="00517309">
      <w:pPr>
        <w:pStyle w:val="Bibliography"/>
      </w:pPr>
      <w:r w:rsidRPr="00517309">
        <w:t>14</w:t>
      </w:r>
      <w:r w:rsidRPr="00517309">
        <w:tab/>
        <w:t>Center for Geospatial Information Science, University of Maryland. COVID-19 World Symptoms survey. 2021; published online June 25. https://covidmap.umd.edu/ (accessed July 4, 2021).</w:t>
      </w:r>
    </w:p>
    <w:p w14:paraId="4C4CC537" w14:textId="77777777" w:rsidR="00517309" w:rsidRPr="00517309" w:rsidRDefault="00517309" w:rsidP="00517309">
      <w:pPr>
        <w:pStyle w:val="Bibliography"/>
      </w:pPr>
      <w:r w:rsidRPr="00517309">
        <w:t>15</w:t>
      </w:r>
      <w:r w:rsidRPr="00517309">
        <w:tab/>
        <w:t>Carnegie Mellon University Delphi Group. Delphi’s COVID-19 surveys. 2021. https://delphi.cmu.edu/covidcast/surveys/ (accessed July 4, 2021).</w:t>
      </w:r>
    </w:p>
    <w:p w14:paraId="38369DA8" w14:textId="77777777" w:rsidR="00517309" w:rsidRPr="00517309" w:rsidRDefault="00517309" w:rsidP="00517309">
      <w:pPr>
        <w:pStyle w:val="Bibliography"/>
      </w:pPr>
      <w:r w:rsidRPr="00517309">
        <w:t>16</w:t>
      </w:r>
      <w:r w:rsidRPr="00517309">
        <w:tab/>
        <w:t>Wood SN. Generalized Additive Models: An Introduction with R, 1st edition. Boca Raton, FL: Chapman and Hall/CRC, 2006.</w:t>
      </w:r>
    </w:p>
    <w:p w14:paraId="224B053C" w14:textId="77777777" w:rsidR="00517309" w:rsidRPr="00517309" w:rsidRDefault="00517309" w:rsidP="00517309">
      <w:pPr>
        <w:pStyle w:val="Bibliography"/>
      </w:pPr>
      <w:r w:rsidRPr="00517309">
        <w:t>17</w:t>
      </w:r>
      <w:r w:rsidRPr="00517309">
        <w:tab/>
        <w:t>Nassereldine H, Stein C, COVID-19 Forecasting Team, Lim SS. COVID-19 vaccine effectiveness after second dose by variants and main outcomes: a systematic review and meta-analysis. (To be submitted).</w:t>
      </w:r>
    </w:p>
    <w:p w14:paraId="3314820D" w14:textId="77777777" w:rsidR="00517309" w:rsidRPr="00517309" w:rsidRDefault="00517309" w:rsidP="00517309">
      <w:pPr>
        <w:pStyle w:val="Bibliography"/>
      </w:pPr>
      <w:r w:rsidRPr="00517309">
        <w:t>18</w:t>
      </w:r>
      <w:r w:rsidRPr="00517309">
        <w:tab/>
        <w:t xml:space="preserve">Stein C, Nassereldine H, Sorensen, R.J.D., et al. Past SARS-CoV-2 infection protection against reinfection: a systematic review and meta-analysis. </w:t>
      </w:r>
      <w:r w:rsidRPr="00517309">
        <w:rPr>
          <w:i/>
          <w:iCs/>
        </w:rPr>
        <w:t>The Lancet</w:t>
      </w:r>
      <w:r w:rsidRPr="00517309">
        <w:t xml:space="preserve"> (In press).</w:t>
      </w:r>
    </w:p>
    <w:p w14:paraId="34CDE97E" w14:textId="77777777" w:rsidR="00517309" w:rsidRPr="00517309" w:rsidRDefault="00517309" w:rsidP="00517309">
      <w:pPr>
        <w:pStyle w:val="Bibliography"/>
      </w:pPr>
      <w:r w:rsidRPr="00517309">
        <w:t>19</w:t>
      </w:r>
      <w:r w:rsidRPr="00517309">
        <w:tab/>
        <w:t xml:space="preserve">Rader B, White LF, Burns MR, </w:t>
      </w:r>
      <w:r w:rsidRPr="00517309">
        <w:rPr>
          <w:i/>
          <w:iCs/>
        </w:rPr>
        <w:t>et al.</w:t>
      </w:r>
      <w:r w:rsidRPr="00517309">
        <w:t xml:space="preserve"> Mask-wearing and control of SARS-CoV-2 transmission in the USA: a cross-sectional study. </w:t>
      </w:r>
      <w:r w:rsidRPr="00517309">
        <w:rPr>
          <w:i/>
          <w:iCs/>
        </w:rPr>
        <w:t>Lancet Digit Health</w:t>
      </w:r>
      <w:r w:rsidRPr="00517309">
        <w:t xml:space="preserve"> 2021; </w:t>
      </w:r>
      <w:r w:rsidRPr="00517309">
        <w:rPr>
          <w:b/>
          <w:bCs/>
        </w:rPr>
        <w:t>3</w:t>
      </w:r>
      <w:r w:rsidRPr="00517309">
        <w:t>: e148–57.</w:t>
      </w:r>
    </w:p>
    <w:p w14:paraId="5A834629" w14:textId="77777777" w:rsidR="00517309" w:rsidRPr="00517309" w:rsidRDefault="00517309" w:rsidP="00517309">
      <w:pPr>
        <w:pStyle w:val="Bibliography"/>
      </w:pPr>
      <w:r w:rsidRPr="00517309">
        <w:t>20</w:t>
      </w:r>
      <w:r w:rsidRPr="00517309">
        <w:tab/>
        <w:t xml:space="preserve">Mitze T, Kosfeld R, Rode J, Wälde K. Face masks considerably reduce COVID-19 cases in Germany. </w:t>
      </w:r>
      <w:r w:rsidRPr="00517309">
        <w:rPr>
          <w:i/>
          <w:iCs/>
        </w:rPr>
        <w:t>Proc Natl Acad Sci</w:t>
      </w:r>
      <w:r w:rsidRPr="00517309">
        <w:t xml:space="preserve"> 2020; </w:t>
      </w:r>
      <w:r w:rsidRPr="00517309">
        <w:rPr>
          <w:b/>
          <w:bCs/>
        </w:rPr>
        <w:t>117</w:t>
      </w:r>
      <w:r w:rsidRPr="00517309">
        <w:t>: 32293–301.</w:t>
      </w:r>
    </w:p>
    <w:p w14:paraId="7927865B" w14:textId="77777777" w:rsidR="00517309" w:rsidRPr="00517309" w:rsidRDefault="00517309" w:rsidP="00517309">
      <w:pPr>
        <w:pStyle w:val="Bibliography"/>
      </w:pPr>
      <w:r w:rsidRPr="00517309">
        <w:t>21</w:t>
      </w:r>
      <w:r w:rsidRPr="00517309">
        <w:tab/>
        <w:t xml:space="preserve">Hale T, Angrist N, Hale AJ, </w:t>
      </w:r>
      <w:r w:rsidRPr="00517309">
        <w:rPr>
          <w:i/>
          <w:iCs/>
        </w:rPr>
        <w:t>et al.</w:t>
      </w:r>
      <w:r w:rsidRPr="00517309">
        <w:t xml:space="preserve"> Government responses and COVID-19 deaths: Global evidence across multiple pandemic waves. </w:t>
      </w:r>
      <w:r w:rsidRPr="00517309">
        <w:rPr>
          <w:i/>
          <w:iCs/>
        </w:rPr>
        <w:t>PLOS ONE</w:t>
      </w:r>
      <w:r w:rsidRPr="00517309">
        <w:t xml:space="preserve"> 2021; </w:t>
      </w:r>
      <w:r w:rsidRPr="00517309">
        <w:rPr>
          <w:b/>
          <w:bCs/>
        </w:rPr>
        <w:t>16</w:t>
      </w:r>
      <w:r w:rsidRPr="00517309">
        <w:t>: e0253116.</w:t>
      </w:r>
    </w:p>
    <w:p w14:paraId="7C5A4DBC" w14:textId="77777777" w:rsidR="00517309" w:rsidRPr="00517309" w:rsidRDefault="00517309" w:rsidP="00517309">
      <w:pPr>
        <w:pStyle w:val="Bibliography"/>
      </w:pPr>
      <w:r w:rsidRPr="00517309">
        <w:t>22</w:t>
      </w:r>
      <w:r w:rsidRPr="00517309">
        <w:tab/>
        <w:t xml:space="preserve">Desvars-Larrive A, Dervic E, Haug N, </w:t>
      </w:r>
      <w:r w:rsidRPr="00517309">
        <w:rPr>
          <w:i/>
          <w:iCs/>
        </w:rPr>
        <w:t>et al.</w:t>
      </w:r>
      <w:r w:rsidRPr="00517309">
        <w:t xml:space="preserve"> A structured open dataset of government interventions in response to COVID-19. </w:t>
      </w:r>
      <w:r w:rsidRPr="00517309">
        <w:rPr>
          <w:i/>
          <w:iCs/>
        </w:rPr>
        <w:t>Sci Data</w:t>
      </w:r>
      <w:r w:rsidRPr="00517309">
        <w:t xml:space="preserve"> 2020; </w:t>
      </w:r>
      <w:r w:rsidRPr="00517309">
        <w:rPr>
          <w:b/>
          <w:bCs/>
        </w:rPr>
        <w:t>7</w:t>
      </w:r>
      <w:r w:rsidRPr="00517309">
        <w:t>: 285.</w:t>
      </w:r>
    </w:p>
    <w:p w14:paraId="2F652F17" w14:textId="77777777" w:rsidR="00517309" w:rsidRPr="00517309" w:rsidRDefault="00517309" w:rsidP="00517309">
      <w:pPr>
        <w:pStyle w:val="Bibliography"/>
      </w:pPr>
      <w:r w:rsidRPr="00517309">
        <w:lastRenderedPageBreak/>
        <w:t>23</w:t>
      </w:r>
      <w:r w:rsidRPr="00517309">
        <w:tab/>
        <w:t xml:space="preserve">Adolph C, Amano K, Bang-Jensen B, Fullman N, Wilkerson J. Pandemic Politics: Timing State-Level Social Distancing Responses to COVID-19. </w:t>
      </w:r>
      <w:r w:rsidRPr="00517309">
        <w:rPr>
          <w:i/>
          <w:iCs/>
        </w:rPr>
        <w:t>J Health Polit Policy Law</w:t>
      </w:r>
      <w:r w:rsidRPr="00517309">
        <w:t xml:space="preserve"> 2021; </w:t>
      </w:r>
      <w:r w:rsidRPr="00517309">
        <w:rPr>
          <w:b/>
          <w:bCs/>
        </w:rPr>
        <w:t>46</w:t>
      </w:r>
      <w:r w:rsidRPr="00517309">
        <w:t>: 211–33.</w:t>
      </w:r>
    </w:p>
    <w:p w14:paraId="57CC60B1" w14:textId="77777777" w:rsidR="00517309" w:rsidRPr="00517309" w:rsidRDefault="00517309" w:rsidP="00517309">
      <w:pPr>
        <w:pStyle w:val="Bibliography"/>
      </w:pPr>
      <w:r w:rsidRPr="00517309">
        <w:t>24</w:t>
      </w:r>
      <w:r w:rsidRPr="00517309">
        <w:tab/>
        <w:t>WNTRAC. https://ibm.github.io/wntrac/ (accessed June 6, 2022).</w:t>
      </w:r>
    </w:p>
    <w:p w14:paraId="56A65040" w14:textId="77777777" w:rsidR="00517309" w:rsidRPr="00517309" w:rsidRDefault="00517309" w:rsidP="00517309">
      <w:pPr>
        <w:pStyle w:val="Bibliography"/>
      </w:pPr>
      <w:r w:rsidRPr="00517309">
        <w:t>25</w:t>
      </w:r>
      <w:r w:rsidRPr="00517309">
        <w:tab/>
        <w:t>Feb 10 P, 2022. State COVID-19 Data and Policy Actions. KFF. 2022; published online Feb 10. https://www.kff.org/coronavirus-covid-19/issue-brief/state-covid-19-data-and-policy-actions/ (accessed June 6, 2022).</w:t>
      </w:r>
    </w:p>
    <w:p w14:paraId="45617AF2" w14:textId="77777777" w:rsidR="00517309" w:rsidRPr="00517309" w:rsidRDefault="00517309" w:rsidP="00517309">
      <w:pPr>
        <w:pStyle w:val="Bibliography"/>
      </w:pPr>
      <w:r w:rsidRPr="00517309">
        <w:t>26</w:t>
      </w:r>
      <w:r w:rsidRPr="00517309">
        <w:tab/>
        <w:t xml:space="preserve">Vos T, Lim SS, Abbafati C, </w:t>
      </w:r>
      <w:r w:rsidRPr="00517309">
        <w:rPr>
          <w:i/>
          <w:iCs/>
        </w:rPr>
        <w:t>et al.</w:t>
      </w:r>
      <w:r w:rsidRPr="00517309">
        <w:t xml:space="preserve"> Global burden of 369 diseases and injuries in 204 countries and territories, 1990–2019: a systematic analysis for the Global Burden of Disease Study 2019. </w:t>
      </w:r>
      <w:r w:rsidRPr="00517309">
        <w:rPr>
          <w:i/>
          <w:iCs/>
        </w:rPr>
        <w:t>The Lancet</w:t>
      </w:r>
      <w:r w:rsidRPr="00517309">
        <w:t xml:space="preserve"> 2020; </w:t>
      </w:r>
      <w:r w:rsidRPr="00517309">
        <w:rPr>
          <w:b/>
          <w:bCs/>
        </w:rPr>
        <w:t>396</w:t>
      </w:r>
      <w:r w:rsidRPr="00517309">
        <w:t>: 1204–22.</w:t>
      </w:r>
    </w:p>
    <w:p w14:paraId="47B66BA2" w14:textId="77777777" w:rsidR="00517309" w:rsidRPr="00517309" w:rsidRDefault="00517309" w:rsidP="00517309">
      <w:pPr>
        <w:pStyle w:val="Bibliography"/>
      </w:pPr>
      <w:r w:rsidRPr="00517309">
        <w:t>27</w:t>
      </w:r>
      <w:r w:rsidRPr="00517309">
        <w:tab/>
        <w:t xml:space="preserve">Troeger C, Khalil I, Blacker B, et al. Quantifying risks and interventions that have affected the burden of lower respiratory infections among children younger than 5 years: an analysis for the Global Burden of Disease Study 2017. </w:t>
      </w:r>
      <w:r w:rsidRPr="00517309">
        <w:rPr>
          <w:i/>
          <w:iCs/>
        </w:rPr>
        <w:t>Lancet Infect Dis</w:t>
      </w:r>
      <w:r w:rsidRPr="00517309">
        <w:t xml:space="preserve"> 2020; </w:t>
      </w:r>
      <w:r w:rsidRPr="00517309">
        <w:rPr>
          <w:b/>
          <w:bCs/>
        </w:rPr>
        <w:t>20</w:t>
      </w:r>
      <w:r w:rsidRPr="00517309">
        <w:t>: 60–79.</w:t>
      </w:r>
    </w:p>
    <w:p w14:paraId="3C4BF7E6" w14:textId="77777777" w:rsidR="00517309" w:rsidRPr="00517309" w:rsidRDefault="00517309" w:rsidP="00517309">
      <w:pPr>
        <w:pStyle w:val="Bibliography"/>
      </w:pPr>
      <w:r w:rsidRPr="00517309">
        <w:t>28</w:t>
      </w:r>
      <w:r w:rsidRPr="00517309">
        <w:tab/>
        <w:t xml:space="preserve">Troeger C, Blacker B, Khalil I, et al. Estimates of the global, regional, and national morbidity, mortality, and aetiologies of lower respiratory infections in 195 countries, 1990-2016: a systematic analysis for the Global Burden of Disease Study 2016. </w:t>
      </w:r>
      <w:r w:rsidRPr="00517309">
        <w:rPr>
          <w:i/>
          <w:iCs/>
        </w:rPr>
        <w:t>Lancet Infect Dis</w:t>
      </w:r>
      <w:r w:rsidRPr="00517309">
        <w:t xml:space="preserve"> 2018; </w:t>
      </w:r>
      <w:r w:rsidRPr="00517309">
        <w:rPr>
          <w:b/>
          <w:bCs/>
        </w:rPr>
        <w:t>18</w:t>
      </w:r>
      <w:r w:rsidRPr="00517309">
        <w:t>: 1191–210.</w:t>
      </w:r>
    </w:p>
    <w:p w14:paraId="4972086C" w14:textId="77777777" w:rsidR="00517309" w:rsidRPr="00517309" w:rsidRDefault="00517309" w:rsidP="00517309">
      <w:pPr>
        <w:pStyle w:val="Bibliography"/>
      </w:pPr>
      <w:r w:rsidRPr="00517309">
        <w:t>29</w:t>
      </w:r>
      <w:r w:rsidRPr="00517309">
        <w:tab/>
        <w:t xml:space="preserve">Khan AJ, Hussain H, Omer SB, </w:t>
      </w:r>
      <w:r w:rsidRPr="00517309">
        <w:rPr>
          <w:i/>
          <w:iCs/>
        </w:rPr>
        <w:t>et al.</w:t>
      </w:r>
      <w:r w:rsidRPr="00517309">
        <w:t xml:space="preserve"> High incidence of childhood pneumonia at high altitudes in Pakistan: a longitudinal cohort study. </w:t>
      </w:r>
      <w:r w:rsidRPr="00517309">
        <w:rPr>
          <w:i/>
          <w:iCs/>
        </w:rPr>
        <w:t>Bull World Health Organ</w:t>
      </w:r>
      <w:r w:rsidRPr="00517309">
        <w:t xml:space="preserve"> 2009; </w:t>
      </w:r>
      <w:r w:rsidRPr="00517309">
        <w:rPr>
          <w:b/>
          <w:bCs/>
        </w:rPr>
        <w:t>87</w:t>
      </w:r>
      <w:r w:rsidRPr="00517309">
        <w:t>: 193–9.</w:t>
      </w:r>
    </w:p>
    <w:p w14:paraId="36B9F738" w14:textId="77777777" w:rsidR="00517309" w:rsidRPr="00517309" w:rsidRDefault="00517309" w:rsidP="00517309">
      <w:pPr>
        <w:pStyle w:val="Bibliography"/>
      </w:pPr>
      <w:r w:rsidRPr="00517309">
        <w:t>30</w:t>
      </w:r>
      <w:r w:rsidRPr="00517309">
        <w:tab/>
        <w:t xml:space="preserve">Pérez-Padilla R, García-Sancho C, Fernández R, Franco-Marina F, López-Gatell H, Bojórquez I. The impact of altitude on hospitalization and hospital mortality from pandemic 2009 influenza A (H1N1) virus pneumonia in Mexico. </w:t>
      </w:r>
      <w:r w:rsidRPr="00517309">
        <w:rPr>
          <w:i/>
          <w:iCs/>
        </w:rPr>
        <w:t>Salud Publica Mex</w:t>
      </w:r>
      <w:r w:rsidRPr="00517309">
        <w:t xml:space="preserve"> 2013; </w:t>
      </w:r>
      <w:r w:rsidRPr="00517309">
        <w:rPr>
          <w:b/>
          <w:bCs/>
        </w:rPr>
        <w:t>55</w:t>
      </w:r>
      <w:r w:rsidRPr="00517309">
        <w:t>: 92–5.</w:t>
      </w:r>
    </w:p>
    <w:p w14:paraId="174DECF9" w14:textId="77777777" w:rsidR="00517309" w:rsidRPr="00517309" w:rsidRDefault="00517309" w:rsidP="00517309">
      <w:pPr>
        <w:pStyle w:val="Bibliography"/>
      </w:pPr>
      <w:r w:rsidRPr="00517309">
        <w:t>31</w:t>
      </w:r>
      <w:r w:rsidRPr="00517309">
        <w:tab/>
        <w:t xml:space="preserve">Pérez-Padilla R, Franco-Marina F. The impact of altitude on mortality from tuberculosis and pneumonia. </w:t>
      </w:r>
      <w:r w:rsidRPr="00517309">
        <w:rPr>
          <w:i/>
          <w:iCs/>
        </w:rPr>
        <w:t>Int J Tuberc Lung Dis Off J Int Union Tuberc Lung Dis</w:t>
      </w:r>
      <w:r w:rsidRPr="00517309">
        <w:t xml:space="preserve"> 2004; </w:t>
      </w:r>
      <w:r w:rsidRPr="00517309">
        <w:rPr>
          <w:b/>
          <w:bCs/>
        </w:rPr>
        <w:t>8</w:t>
      </w:r>
      <w:r w:rsidRPr="00517309">
        <w:t>: 1315–20.</w:t>
      </w:r>
    </w:p>
    <w:p w14:paraId="2388C6D4" w14:textId="77777777" w:rsidR="00517309" w:rsidRPr="00517309" w:rsidRDefault="00517309" w:rsidP="00517309">
      <w:pPr>
        <w:pStyle w:val="Bibliography"/>
      </w:pPr>
      <w:r w:rsidRPr="00517309">
        <w:t>32</w:t>
      </w:r>
      <w:r w:rsidRPr="00517309">
        <w:tab/>
        <w:t>Global Burden of Disease Collaborative Network. Global Burden of Disease Study 2015 (GBD 2015) Covariates 1980-2015. Seattle, WA: Institute for Health Metrics and Evaluation, 2016 http://ghdx.healthdata.org/record/ihme-data/gbd-2015-covariates-1980-2015 (accessed July 8, 2020).</w:t>
      </w:r>
    </w:p>
    <w:p w14:paraId="51407999" w14:textId="77777777" w:rsidR="00517309" w:rsidRPr="00517309" w:rsidRDefault="00517309" w:rsidP="00517309">
      <w:pPr>
        <w:pStyle w:val="Bibliography"/>
      </w:pPr>
      <w:r w:rsidRPr="00517309">
        <w:t>33</w:t>
      </w:r>
      <w:r w:rsidRPr="00517309">
        <w:tab/>
        <w:t xml:space="preserve">Reitsma MB, Kendrick PJ, Ababneh E, </w:t>
      </w:r>
      <w:r w:rsidRPr="00517309">
        <w:rPr>
          <w:i/>
          <w:iCs/>
        </w:rPr>
        <w:t>et al.</w:t>
      </w:r>
      <w:r w:rsidRPr="00517309">
        <w:t xml:space="preserve"> Spatial, temporal, and demographic patterns in prevalence of smoking tobacco use and attributable disease burden in 204 countries and territories, 1990–2019: a systematic analysis from the Global Burden of Disease Study 2019. </w:t>
      </w:r>
      <w:r w:rsidRPr="00517309">
        <w:rPr>
          <w:i/>
          <w:iCs/>
        </w:rPr>
        <w:t>The Lancet</w:t>
      </w:r>
      <w:r w:rsidRPr="00517309">
        <w:t xml:space="preserve"> 2021.</w:t>
      </w:r>
    </w:p>
    <w:p w14:paraId="3185C078" w14:textId="77777777" w:rsidR="00517309" w:rsidRPr="00517309" w:rsidRDefault="00517309" w:rsidP="00517309">
      <w:pPr>
        <w:pStyle w:val="Bibliography"/>
      </w:pPr>
      <w:r w:rsidRPr="00517309">
        <w:t>34</w:t>
      </w:r>
      <w:r w:rsidRPr="00517309">
        <w:tab/>
        <w:t xml:space="preserve">Murray CJL, Aravkin AY, Zheng P, </w:t>
      </w:r>
      <w:r w:rsidRPr="00517309">
        <w:rPr>
          <w:i/>
          <w:iCs/>
        </w:rPr>
        <w:t>et al.</w:t>
      </w:r>
      <w:r w:rsidRPr="00517309">
        <w:t xml:space="preserve"> Global burden of 87 risk factors in 204 countries and territories, 1990–2019: a systematic analysis for the Global Burden of Disease Study 2019. </w:t>
      </w:r>
      <w:r w:rsidRPr="00517309">
        <w:rPr>
          <w:i/>
          <w:iCs/>
        </w:rPr>
        <w:t>The Lancet</w:t>
      </w:r>
      <w:r w:rsidRPr="00517309">
        <w:t xml:space="preserve"> 2020; </w:t>
      </w:r>
      <w:r w:rsidRPr="00517309">
        <w:rPr>
          <w:b/>
          <w:bCs/>
        </w:rPr>
        <w:t>396</w:t>
      </w:r>
      <w:r w:rsidRPr="00517309">
        <w:t>: 1223–49.</w:t>
      </w:r>
    </w:p>
    <w:p w14:paraId="733585EB" w14:textId="77777777" w:rsidR="00517309" w:rsidRPr="00517309" w:rsidRDefault="00517309" w:rsidP="00517309">
      <w:pPr>
        <w:pStyle w:val="Bibliography"/>
      </w:pPr>
      <w:r w:rsidRPr="00517309">
        <w:t>35</w:t>
      </w:r>
      <w:r w:rsidRPr="00517309">
        <w:tab/>
        <w:t>WorldPop. WorldPop Population Dataset. 2019; published online Oct 4. https://www.worldpop.org/project/categories?id=3 (accessed Oct 4, 2019).</w:t>
      </w:r>
    </w:p>
    <w:p w14:paraId="675F8FC4" w14:textId="77777777" w:rsidR="00517309" w:rsidRPr="00517309" w:rsidRDefault="00517309" w:rsidP="00517309">
      <w:pPr>
        <w:pStyle w:val="Bibliography"/>
      </w:pPr>
      <w:r w:rsidRPr="00517309">
        <w:t>36</w:t>
      </w:r>
      <w:r w:rsidRPr="00517309">
        <w:tab/>
        <w:t>World Pop. Population counts. 2021. https://www.worldpop.org/project/categories?id=3 (accessed July 4, 2021).</w:t>
      </w:r>
    </w:p>
    <w:p w14:paraId="581B34BC" w14:textId="77777777" w:rsidR="00517309" w:rsidRPr="00517309" w:rsidRDefault="00517309" w:rsidP="00517309">
      <w:pPr>
        <w:pStyle w:val="Bibliography"/>
      </w:pPr>
      <w:r w:rsidRPr="00517309">
        <w:t>37</w:t>
      </w:r>
      <w:r w:rsidRPr="00517309">
        <w:tab/>
        <w:t xml:space="preserve">Wang H, Abbas KM, Abbasifard M, </w:t>
      </w:r>
      <w:r w:rsidRPr="00517309">
        <w:rPr>
          <w:i/>
          <w:iCs/>
        </w:rPr>
        <w:t>et al.</w:t>
      </w:r>
      <w:r w:rsidRPr="00517309">
        <w:t xml:space="preserve"> Global age-sex-specific fertility, mortality, healthy life expectancy (HALE), and population estimates in 204 countries and territories, 1950–2019: a comprehensive demographic analysis for the Global Burden of Disease Study 2019. </w:t>
      </w:r>
      <w:r w:rsidRPr="00517309">
        <w:rPr>
          <w:i/>
          <w:iCs/>
        </w:rPr>
        <w:t>Lancet</w:t>
      </w:r>
      <w:r w:rsidRPr="00517309">
        <w:t xml:space="preserve"> 2020; </w:t>
      </w:r>
      <w:r w:rsidRPr="00517309">
        <w:rPr>
          <w:b/>
          <w:bCs/>
        </w:rPr>
        <w:t>396</w:t>
      </w:r>
      <w:r w:rsidRPr="00517309">
        <w:t>: 1160–203.</w:t>
      </w:r>
    </w:p>
    <w:p w14:paraId="26C2E4AB" w14:textId="77777777" w:rsidR="00517309" w:rsidRPr="00517309" w:rsidRDefault="00517309" w:rsidP="00517309">
      <w:pPr>
        <w:pStyle w:val="Bibliography"/>
      </w:pPr>
      <w:r w:rsidRPr="00517309">
        <w:t>38</w:t>
      </w:r>
      <w:r w:rsidRPr="00517309">
        <w:tab/>
        <w:t>Press WH, Teukolsky, Saul A, Vetterling, William T, Flannery, Brian P. Section 17.1 Runge-Kutta Method. In: Numerical Recipes: The Art of Scientific Computing, 3rd edition. Cambridge, UK ; New York: Cambridge University Press, 2007.</w:t>
      </w:r>
    </w:p>
    <w:p w14:paraId="1DCB3BD4" w14:textId="77777777" w:rsidR="00517309" w:rsidRPr="00517309" w:rsidRDefault="00517309" w:rsidP="00517309">
      <w:pPr>
        <w:pStyle w:val="Bibliography"/>
      </w:pPr>
      <w:r w:rsidRPr="00517309">
        <w:t>39</w:t>
      </w:r>
      <w:r w:rsidRPr="00517309">
        <w:tab/>
        <w:t xml:space="preserve">Harris CR, Millman KJ, van der Walt SJ, </w:t>
      </w:r>
      <w:r w:rsidRPr="00517309">
        <w:rPr>
          <w:i/>
          <w:iCs/>
        </w:rPr>
        <w:t>et al.</w:t>
      </w:r>
      <w:r w:rsidRPr="00517309">
        <w:t xml:space="preserve"> Array programming with NumPy. </w:t>
      </w:r>
      <w:r w:rsidRPr="00517309">
        <w:rPr>
          <w:i/>
          <w:iCs/>
        </w:rPr>
        <w:t>Nature</w:t>
      </w:r>
      <w:r w:rsidRPr="00517309">
        <w:t xml:space="preserve"> 2020; </w:t>
      </w:r>
      <w:r w:rsidRPr="00517309">
        <w:rPr>
          <w:b/>
          <w:bCs/>
        </w:rPr>
        <w:t>585</w:t>
      </w:r>
      <w:r w:rsidRPr="00517309">
        <w:t>: 357–62.</w:t>
      </w:r>
    </w:p>
    <w:p w14:paraId="18C30757" w14:textId="77777777" w:rsidR="00517309" w:rsidRPr="00517309" w:rsidRDefault="00517309" w:rsidP="00517309">
      <w:pPr>
        <w:pStyle w:val="Bibliography"/>
      </w:pPr>
      <w:r w:rsidRPr="00517309">
        <w:lastRenderedPageBreak/>
        <w:t>40</w:t>
      </w:r>
      <w:r w:rsidRPr="00517309">
        <w:tab/>
        <w:t>Lam SK, Pitrou A, Seibert S. Numba: A llvm-based python jit compiler. In: Proceedings of the Second Workshop on the LLVM Compiler Infrastructure in HPC. 2015: 1–6.</w:t>
      </w:r>
    </w:p>
    <w:p w14:paraId="0CFD477C" w14:textId="77777777" w:rsidR="00517309" w:rsidRPr="00517309" w:rsidRDefault="00517309" w:rsidP="00517309">
      <w:pPr>
        <w:pStyle w:val="Bibliography"/>
      </w:pPr>
      <w:r w:rsidRPr="00517309">
        <w:t>41</w:t>
      </w:r>
      <w:r w:rsidRPr="00517309">
        <w:tab/>
        <w:t xml:space="preserve">Collins JK, Bannick M, Zheng P, </w:t>
      </w:r>
      <w:r w:rsidRPr="00517309">
        <w:rPr>
          <w:i/>
          <w:iCs/>
        </w:rPr>
        <w:t>et al.</w:t>
      </w:r>
      <w:r w:rsidRPr="00517309">
        <w:t xml:space="preserve"> IHME COVID-19 forecasting model. 2021; published online July 7. DOI:10.5281/zenodo.5081067.</w:t>
      </w:r>
    </w:p>
    <w:p w14:paraId="6BAC2055" w14:textId="77777777" w:rsidR="00517309" w:rsidRPr="00517309" w:rsidRDefault="00517309" w:rsidP="00517309">
      <w:pPr>
        <w:pStyle w:val="Bibliography"/>
      </w:pPr>
      <w:r w:rsidRPr="00517309">
        <w:t>42</w:t>
      </w:r>
      <w:r w:rsidRPr="00517309">
        <w:tab/>
        <w:t>Peng Zheng, Jiawei He. ihmeuw-msca/regmod. 2022; published online April 5. https://github.com/ihmeuw-msca/regmod (accessed May 23, 2022).</w:t>
      </w:r>
    </w:p>
    <w:p w14:paraId="4561573D" w14:textId="77777777" w:rsidR="00517309" w:rsidRPr="00517309" w:rsidRDefault="00517309" w:rsidP="00517309">
      <w:pPr>
        <w:pStyle w:val="Bibliography"/>
      </w:pPr>
      <w:r w:rsidRPr="00517309">
        <w:t>43</w:t>
      </w:r>
      <w:r w:rsidRPr="00517309">
        <w:tab/>
        <w:t xml:space="preserve">Morales JL, Nocedal J. Remark on ‘algorithm 778: L-BFGS-B: Fortran subroutines for large-scale bound constrained optimization’. </w:t>
      </w:r>
      <w:r w:rsidRPr="00517309">
        <w:rPr>
          <w:i/>
          <w:iCs/>
        </w:rPr>
        <w:t>ACM Trans Math Softw</w:t>
      </w:r>
      <w:r w:rsidRPr="00517309">
        <w:t xml:space="preserve"> 2011; </w:t>
      </w:r>
      <w:r w:rsidRPr="00517309">
        <w:rPr>
          <w:b/>
          <w:bCs/>
        </w:rPr>
        <w:t>38</w:t>
      </w:r>
      <w:r w:rsidRPr="00517309">
        <w:t>: 7:1-7:4.</w:t>
      </w:r>
    </w:p>
    <w:p w14:paraId="425C8A77" w14:textId="77777777" w:rsidR="00517309" w:rsidRPr="00517309" w:rsidRDefault="00517309" w:rsidP="00517309">
      <w:pPr>
        <w:pStyle w:val="Bibliography"/>
      </w:pPr>
      <w:r w:rsidRPr="00517309">
        <w:t>44</w:t>
      </w:r>
      <w:r w:rsidRPr="00517309">
        <w:tab/>
        <w:t xml:space="preserve">Virtanen P, Gommers R, Oliphant TE, </w:t>
      </w:r>
      <w:r w:rsidRPr="00517309">
        <w:rPr>
          <w:i/>
          <w:iCs/>
        </w:rPr>
        <w:t>et al.</w:t>
      </w:r>
      <w:r w:rsidRPr="00517309">
        <w:t xml:space="preserve"> SciPy 1.0: fundamental algorithms for scientific computing in Python. </w:t>
      </w:r>
      <w:r w:rsidRPr="00517309">
        <w:rPr>
          <w:i/>
          <w:iCs/>
        </w:rPr>
        <w:t>Nat Methods</w:t>
      </w:r>
      <w:r w:rsidRPr="00517309">
        <w:t xml:space="preserve"> 2020; </w:t>
      </w:r>
      <w:r w:rsidRPr="00517309">
        <w:rPr>
          <w:b/>
          <w:bCs/>
        </w:rPr>
        <w:t>17</w:t>
      </w:r>
      <w:r w:rsidRPr="00517309">
        <w:t>: 261–72.</w:t>
      </w:r>
    </w:p>
    <w:p w14:paraId="7338BFC2" w14:textId="77777777" w:rsidR="00517309" w:rsidRPr="00517309" w:rsidRDefault="00517309" w:rsidP="00517309">
      <w:pPr>
        <w:pStyle w:val="Bibliography"/>
      </w:pPr>
      <w:r w:rsidRPr="00517309">
        <w:t>45</w:t>
      </w:r>
      <w:r w:rsidRPr="00517309">
        <w:tab/>
        <w:t xml:space="preserve">Friedman J, Liu P, Troeger CE, </w:t>
      </w:r>
      <w:r w:rsidRPr="00517309">
        <w:rPr>
          <w:i/>
          <w:iCs/>
        </w:rPr>
        <w:t>et al.</w:t>
      </w:r>
      <w:r w:rsidRPr="00517309">
        <w:t xml:space="preserve"> Predictive performance of international COVID-19 mortality forecasting models. </w:t>
      </w:r>
      <w:r w:rsidRPr="00517309">
        <w:rPr>
          <w:i/>
          <w:iCs/>
        </w:rPr>
        <w:t>Nat Commun</w:t>
      </w:r>
      <w:r w:rsidRPr="00517309">
        <w:t xml:space="preserve"> 2021; </w:t>
      </w:r>
      <w:r w:rsidRPr="00517309">
        <w:rPr>
          <w:b/>
          <w:bCs/>
        </w:rPr>
        <w:t>12</w:t>
      </w:r>
      <w:r w:rsidRPr="00517309">
        <w:t>: 2609.</w:t>
      </w:r>
    </w:p>
    <w:p w14:paraId="63216F15" w14:textId="77777777" w:rsidR="00517309" w:rsidRPr="00517309" w:rsidRDefault="00517309" w:rsidP="00517309">
      <w:pPr>
        <w:pStyle w:val="Bibliography"/>
      </w:pPr>
      <w:r w:rsidRPr="00517309">
        <w:t>46</w:t>
      </w:r>
      <w:r w:rsidRPr="00517309">
        <w:tab/>
        <w:t xml:space="preserve">Cai J, Deng X, Yang J, </w:t>
      </w:r>
      <w:r w:rsidRPr="00517309">
        <w:rPr>
          <w:i/>
          <w:iCs/>
        </w:rPr>
        <w:t>et al.</w:t>
      </w:r>
      <w:r w:rsidRPr="00517309">
        <w:t xml:space="preserve"> Modeling transmission of SARS-CoV-2 Omicron in China. </w:t>
      </w:r>
      <w:r w:rsidRPr="00517309">
        <w:rPr>
          <w:i/>
          <w:iCs/>
        </w:rPr>
        <w:t>Nat Med</w:t>
      </w:r>
      <w:r w:rsidRPr="00517309">
        <w:t xml:space="preserve"> 2022; : 1–1.</w:t>
      </w:r>
    </w:p>
    <w:p w14:paraId="14AF7157" w14:textId="77777777" w:rsidR="00517309" w:rsidRPr="00517309" w:rsidRDefault="00517309" w:rsidP="00517309">
      <w:pPr>
        <w:pStyle w:val="Bibliography"/>
      </w:pPr>
      <w:r w:rsidRPr="00517309">
        <w:t>47</w:t>
      </w:r>
      <w:r w:rsidRPr="00517309">
        <w:tab/>
        <w:t xml:space="preserve">Faria NR, Mellan TA, Whittaker C, </w:t>
      </w:r>
      <w:r w:rsidRPr="00517309">
        <w:rPr>
          <w:i/>
          <w:iCs/>
        </w:rPr>
        <w:t>et al.</w:t>
      </w:r>
      <w:r w:rsidRPr="00517309">
        <w:t xml:space="preserve"> Genomics and epidemiology of the P.1 SARS-CoV-2 lineage in Manaus, Brazil. </w:t>
      </w:r>
      <w:r w:rsidRPr="00517309">
        <w:rPr>
          <w:i/>
          <w:iCs/>
        </w:rPr>
        <w:t>Science</w:t>
      </w:r>
      <w:r w:rsidRPr="00517309">
        <w:t xml:space="preserve"> 2021; </w:t>
      </w:r>
      <w:r w:rsidRPr="00517309">
        <w:rPr>
          <w:b/>
          <w:bCs/>
        </w:rPr>
        <w:t>372</w:t>
      </w:r>
      <w:r w:rsidRPr="00517309">
        <w:t>: 815–21.</w:t>
      </w:r>
    </w:p>
    <w:p w14:paraId="299BE1FC" w14:textId="77777777" w:rsidR="00517309" w:rsidRPr="00517309" w:rsidRDefault="00517309" w:rsidP="00517309">
      <w:pPr>
        <w:pStyle w:val="Bibliography"/>
      </w:pPr>
      <w:r w:rsidRPr="00517309">
        <w:t>48</w:t>
      </w:r>
      <w:r w:rsidRPr="00517309">
        <w:tab/>
        <w:t xml:space="preserve">Pearson C, Russell T, Davies N, et al. Estimates of severity and transmissibility of novel SARS-CoV-2 variant 501Y.V2 in South Africa. </w:t>
      </w:r>
      <w:r w:rsidRPr="00517309">
        <w:rPr>
          <w:i/>
          <w:iCs/>
        </w:rPr>
        <w:t>CMMID Repos Peer Rev</w:t>
      </w:r>
      <w:r w:rsidRPr="00517309">
        <w:t xml:space="preserve"> 2021; published online Jan 11.</w:t>
      </w:r>
    </w:p>
    <w:p w14:paraId="5C39500B" w14:textId="77777777" w:rsidR="00517309" w:rsidRPr="00517309" w:rsidRDefault="00517309" w:rsidP="00517309">
      <w:pPr>
        <w:pStyle w:val="Bibliography"/>
      </w:pPr>
      <w:r w:rsidRPr="00517309">
        <w:t>49</w:t>
      </w:r>
      <w:r w:rsidRPr="00517309">
        <w:tab/>
        <w:t xml:space="preserve">Prete CA, Buss LF, Buccheri R, </w:t>
      </w:r>
      <w:r w:rsidRPr="00517309">
        <w:rPr>
          <w:i/>
          <w:iCs/>
        </w:rPr>
        <w:t>et al.</w:t>
      </w:r>
      <w:r w:rsidRPr="00517309">
        <w:t xml:space="preserve"> Reinfection by the SARS-CoV-2 Gamma variant in blood donors in Manaus, Brazil. </w:t>
      </w:r>
      <w:r w:rsidRPr="00517309">
        <w:rPr>
          <w:i/>
          <w:iCs/>
        </w:rPr>
        <w:t>BMC Infect Dis</w:t>
      </w:r>
      <w:r w:rsidRPr="00517309">
        <w:t xml:space="preserve"> 2022; </w:t>
      </w:r>
      <w:r w:rsidRPr="00517309">
        <w:rPr>
          <w:b/>
          <w:bCs/>
        </w:rPr>
        <w:t>22</w:t>
      </w:r>
      <w:r w:rsidRPr="00517309">
        <w:t>: 127.</w:t>
      </w:r>
    </w:p>
    <w:p w14:paraId="1DC0AB7C" w14:textId="77777777" w:rsidR="00517309" w:rsidRPr="00517309" w:rsidRDefault="00517309" w:rsidP="00517309">
      <w:pPr>
        <w:pStyle w:val="Bibliography"/>
      </w:pPr>
      <w:r w:rsidRPr="00517309">
        <w:t>50</w:t>
      </w:r>
      <w:r w:rsidRPr="00517309">
        <w:tab/>
        <w:t>Allen H, Vusirikala A, Flannagan J, et al. Increased household transmission of COVID-19 cases associated with SARS-CoV-2 Variant of Concern B.1.617.2: a national case-control study. London, UK: National Infection Service, Public Health England, 2021.</w:t>
      </w:r>
    </w:p>
    <w:p w14:paraId="037F86B2" w14:textId="77777777" w:rsidR="00517309" w:rsidRPr="00517309" w:rsidRDefault="00517309" w:rsidP="00517309">
      <w:pPr>
        <w:pStyle w:val="Bibliography"/>
      </w:pPr>
      <w:r w:rsidRPr="00517309">
        <w:t>51</w:t>
      </w:r>
      <w:r w:rsidRPr="00517309">
        <w:tab/>
        <w:t xml:space="preserve">Challen R, Brooks-Pollock E, Read JM, Dyson L, Tsaneva-Atanasova K, Danon L. Risk of mortality in patients infected with SARS-CoV-2 variant of concern 202012/1: matched cohort study. </w:t>
      </w:r>
      <w:r w:rsidRPr="00517309">
        <w:rPr>
          <w:i/>
          <w:iCs/>
        </w:rPr>
        <w:t>BMJ</w:t>
      </w:r>
      <w:r w:rsidRPr="00517309">
        <w:t xml:space="preserve"> 2021; </w:t>
      </w:r>
      <w:r w:rsidRPr="00517309">
        <w:rPr>
          <w:b/>
          <w:bCs/>
        </w:rPr>
        <w:t>372</w:t>
      </w:r>
      <w:r w:rsidRPr="00517309">
        <w:t>: n579.</w:t>
      </w:r>
    </w:p>
    <w:p w14:paraId="4E5F1B8D" w14:textId="77777777" w:rsidR="00517309" w:rsidRPr="00517309" w:rsidRDefault="00517309" w:rsidP="00517309">
      <w:pPr>
        <w:pStyle w:val="Bibliography"/>
      </w:pPr>
      <w:r w:rsidRPr="00517309">
        <w:t>52</w:t>
      </w:r>
      <w:r w:rsidRPr="00517309">
        <w:tab/>
        <w:t xml:space="preserve">Davies NG, Abbott S, Barnard RC, </w:t>
      </w:r>
      <w:r w:rsidRPr="00517309">
        <w:rPr>
          <w:i/>
          <w:iCs/>
        </w:rPr>
        <w:t>et al.</w:t>
      </w:r>
      <w:r w:rsidRPr="00517309">
        <w:t xml:space="preserve"> Estimated transmissibility and impact of SARS-CoV-2 lineage B.1.1.7 in England. </w:t>
      </w:r>
      <w:r w:rsidRPr="00517309">
        <w:rPr>
          <w:i/>
          <w:iCs/>
        </w:rPr>
        <w:t>Science</w:t>
      </w:r>
      <w:r w:rsidRPr="00517309">
        <w:t xml:space="preserve"> 2021; </w:t>
      </w:r>
      <w:r w:rsidRPr="00517309">
        <w:rPr>
          <w:b/>
          <w:bCs/>
        </w:rPr>
        <w:t>372</w:t>
      </w:r>
      <w:r w:rsidRPr="00517309">
        <w:t>: eabg3055.</w:t>
      </w:r>
    </w:p>
    <w:p w14:paraId="31B0D59A" w14:textId="77777777" w:rsidR="00517309" w:rsidRPr="00517309" w:rsidRDefault="00517309" w:rsidP="00517309">
      <w:pPr>
        <w:pStyle w:val="Bibliography"/>
      </w:pPr>
      <w:r w:rsidRPr="00517309">
        <w:t>53</w:t>
      </w:r>
      <w:r w:rsidRPr="00517309">
        <w:tab/>
        <w:t xml:space="preserve">Fort H. A very simple model to account for the rapid rise of the alpha variant of SARS-CoV-2 in several countries and the world. </w:t>
      </w:r>
      <w:r w:rsidRPr="00517309">
        <w:rPr>
          <w:i/>
          <w:iCs/>
        </w:rPr>
        <w:t>Virus Res</w:t>
      </w:r>
      <w:r w:rsidRPr="00517309">
        <w:t xml:space="preserve"> 2021; </w:t>
      </w:r>
      <w:r w:rsidRPr="00517309">
        <w:rPr>
          <w:b/>
          <w:bCs/>
        </w:rPr>
        <w:t>304</w:t>
      </w:r>
      <w:r w:rsidRPr="00517309">
        <w:t>: 198531.</w:t>
      </w:r>
    </w:p>
    <w:p w14:paraId="67FF4591" w14:textId="77777777" w:rsidR="00517309" w:rsidRPr="00517309" w:rsidRDefault="00517309" w:rsidP="00517309">
      <w:pPr>
        <w:pStyle w:val="Bibliography"/>
      </w:pPr>
      <w:r w:rsidRPr="00517309">
        <w:t>54</w:t>
      </w:r>
      <w:r w:rsidRPr="00517309">
        <w:tab/>
        <w:t xml:space="preserve">Leung K, Shum MH, Leung GM, Lam TT, Wu JT. Early transmissibility assessment of the N501Y mutant strains of SARS-CoV-2 in the United Kingdom, October to November 2020. </w:t>
      </w:r>
      <w:r w:rsidRPr="00517309">
        <w:rPr>
          <w:i/>
          <w:iCs/>
        </w:rPr>
        <w:t>Eurosurveillance</w:t>
      </w:r>
      <w:r w:rsidRPr="00517309">
        <w:t xml:space="preserve"> 2021; </w:t>
      </w:r>
      <w:r w:rsidRPr="00517309">
        <w:rPr>
          <w:b/>
          <w:bCs/>
        </w:rPr>
        <w:t>26</w:t>
      </w:r>
      <w:r w:rsidRPr="00517309">
        <w:t>: 2002106.</w:t>
      </w:r>
    </w:p>
    <w:p w14:paraId="471CB699" w14:textId="77777777" w:rsidR="00517309" w:rsidRPr="00517309" w:rsidRDefault="00517309" w:rsidP="00517309">
      <w:pPr>
        <w:pStyle w:val="Bibliography"/>
      </w:pPr>
      <w:r w:rsidRPr="00517309">
        <w:t>55</w:t>
      </w:r>
      <w:r w:rsidRPr="00517309">
        <w:tab/>
        <w:t xml:space="preserve">Kim MS, Seong D, Li H, </w:t>
      </w:r>
      <w:r w:rsidRPr="00517309">
        <w:rPr>
          <w:i/>
          <w:iCs/>
        </w:rPr>
        <w:t>et al.</w:t>
      </w:r>
      <w:r w:rsidRPr="00517309">
        <w:t xml:space="preserve"> Comparative effectiveness of N95, surgical or medical, and non-medical facemasks in protection against respiratory virus infection: A systematic review and network meta-analysis. </w:t>
      </w:r>
      <w:r w:rsidRPr="00517309">
        <w:rPr>
          <w:i/>
          <w:iCs/>
        </w:rPr>
        <w:t>Rev Med Virol</w:t>
      </w:r>
      <w:r w:rsidRPr="00517309">
        <w:t xml:space="preserve"> 2022; </w:t>
      </w:r>
      <w:r w:rsidRPr="00517309">
        <w:rPr>
          <w:b/>
          <w:bCs/>
        </w:rPr>
        <w:t>32</w:t>
      </w:r>
      <w:r w:rsidRPr="00517309">
        <w:t>: e2336.</w:t>
      </w:r>
    </w:p>
    <w:p w14:paraId="3395ED24" w14:textId="77777777" w:rsidR="00517309" w:rsidRPr="00517309" w:rsidRDefault="00517309" w:rsidP="00517309">
      <w:pPr>
        <w:pStyle w:val="Bibliography"/>
      </w:pPr>
      <w:r w:rsidRPr="00517309">
        <w:t>56</w:t>
      </w:r>
      <w:r w:rsidRPr="00517309">
        <w:tab/>
        <w:t xml:space="preserve">Abaluck J, Kwong LH, Styczynski A, </w:t>
      </w:r>
      <w:r w:rsidRPr="00517309">
        <w:rPr>
          <w:i/>
          <w:iCs/>
        </w:rPr>
        <w:t>et al.</w:t>
      </w:r>
      <w:r w:rsidRPr="00517309">
        <w:t xml:space="preserve"> Impact of community masking on COVID-19: A cluster-randomized trial in Bangladesh. </w:t>
      </w:r>
      <w:r w:rsidRPr="00517309">
        <w:rPr>
          <w:i/>
          <w:iCs/>
        </w:rPr>
        <w:t>Science</w:t>
      </w:r>
      <w:r w:rsidRPr="00517309">
        <w:t xml:space="preserve"> 2022; </w:t>
      </w:r>
      <w:r w:rsidRPr="00517309">
        <w:rPr>
          <w:b/>
          <w:bCs/>
        </w:rPr>
        <w:t>375</w:t>
      </w:r>
      <w:r w:rsidRPr="00517309">
        <w:t>: eabi9069.</w:t>
      </w:r>
    </w:p>
    <w:p w14:paraId="2C155E09" w14:textId="46593F71" w:rsidR="000328D7" w:rsidRPr="00D43DC4" w:rsidRDefault="00702738" w:rsidP="00BC3AE0">
      <w:pPr>
        <w:rPr>
          <w:lang w:val="en-GB"/>
        </w:rPr>
      </w:pPr>
      <w:r w:rsidRPr="00D43DC4">
        <w:rPr>
          <w:color w:val="2B579A"/>
          <w:shd w:val="clear" w:color="auto" w:fill="E6E6E6"/>
          <w:lang w:val="en-GB"/>
        </w:rPr>
        <w:fldChar w:fldCharType="end"/>
      </w:r>
    </w:p>
    <w:p w14:paraId="74969D2A" w14:textId="72D377B4" w:rsidR="000328D7" w:rsidRPr="00D43DC4" w:rsidRDefault="000328D7" w:rsidP="00BC3AE0">
      <w:pPr>
        <w:rPr>
          <w:lang w:val="en-GB"/>
        </w:rPr>
      </w:pPr>
    </w:p>
    <w:p w14:paraId="0E6BAAB2" w14:textId="6242BC6D" w:rsidR="00567C68" w:rsidRPr="00D43DC4" w:rsidRDefault="00567C68" w:rsidP="00BC3AE0">
      <w:pPr>
        <w:rPr>
          <w:lang w:val="en-GB"/>
        </w:rPr>
      </w:pPr>
      <w:r w:rsidRPr="00D43DC4">
        <w:rPr>
          <w:lang w:val="en-GB"/>
        </w:rPr>
        <w:br w:type="page"/>
      </w:r>
    </w:p>
    <w:p w14:paraId="354394EA" w14:textId="77777777" w:rsidR="000328D7" w:rsidRPr="00D43DC4" w:rsidRDefault="000328D7" w:rsidP="00BC3AE0">
      <w:pPr>
        <w:rPr>
          <w:lang w:val="en-GB"/>
        </w:rPr>
      </w:pPr>
    </w:p>
    <w:p w14:paraId="35D0F707" w14:textId="7780E56C" w:rsidR="00C34CCB" w:rsidRPr="00BC3AE0" w:rsidRDefault="4B1DF8A4" w:rsidP="00BC3AE0">
      <w:pPr>
        <w:pStyle w:val="Heading1"/>
        <w:rPr>
          <w:lang w:val="en-GB"/>
        </w:rPr>
      </w:pPr>
      <w:bookmarkStart w:id="388" w:name="_Toc76840535"/>
      <w:bookmarkStart w:id="389" w:name="_Toc104249393"/>
      <w:bookmarkStart w:id="390" w:name="_Toc104252120"/>
      <w:bookmarkStart w:id="391" w:name="_Toc124499525"/>
      <w:r w:rsidRPr="00BC3AE0">
        <w:rPr>
          <w:lang w:val="en-GB"/>
        </w:rPr>
        <w:t>Supplementary Tables</w:t>
      </w:r>
      <w:bookmarkEnd w:id="388"/>
      <w:bookmarkEnd w:id="389"/>
      <w:bookmarkEnd w:id="390"/>
      <w:bookmarkEnd w:id="391"/>
    </w:p>
    <w:p w14:paraId="2C380AEB" w14:textId="7088E588" w:rsidR="00C45AC6" w:rsidRDefault="00985D38" w:rsidP="00E93D6A">
      <w:pPr>
        <w:pStyle w:val="Table"/>
      </w:pPr>
      <w:r>
        <w:t xml:space="preserve"> </w:t>
      </w:r>
      <w:bookmarkStart w:id="392" w:name="_Toc104249394"/>
      <w:bookmarkStart w:id="393" w:name="_Toc104252121"/>
      <w:bookmarkStart w:id="394" w:name="_Toc124499526"/>
      <w:r w:rsidR="47BF667B">
        <w:t>Vaccine efficacy by coronavirus variant, available, data, and modelled estimates</w:t>
      </w:r>
      <w:bookmarkEnd w:id="392"/>
      <w:bookmarkEnd w:id="393"/>
      <w:bookmarkEnd w:id="394"/>
    </w:p>
    <w:p w14:paraId="43E85962" w14:textId="2B08998D" w:rsidR="00B50CEE" w:rsidRDefault="5C121EFF" w:rsidP="5C121EFF">
      <w:pPr>
        <w:rPr>
          <w:rFonts w:eastAsia="Calibri"/>
          <w:lang w:val="en-GB"/>
        </w:rPr>
      </w:pPr>
      <w:r>
        <w:t xml:space="preserve">Prevention of severe disease can be </w:t>
      </w:r>
      <w:r w:rsidR="136F9112" w:rsidRPr="5C121EFF">
        <w:rPr>
          <w:lang w:val="en-GB"/>
        </w:rPr>
        <w:t>interpreted as the prevention of hospitalisation and death.</w:t>
      </w:r>
    </w:p>
    <w:tbl>
      <w:tblPr>
        <w:tblW w:w="9344"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15"/>
        <w:gridCol w:w="1317"/>
        <w:gridCol w:w="1317"/>
        <w:gridCol w:w="1293"/>
        <w:gridCol w:w="1342"/>
        <w:gridCol w:w="1130"/>
        <w:gridCol w:w="1130"/>
      </w:tblGrid>
      <w:tr w:rsidR="00CE7114" w:rsidRPr="00D43DC4" w14:paraId="64458088" w14:textId="026D0ACB" w:rsidTr="5C121EFF">
        <w:trPr>
          <w:trHeight w:val="555"/>
        </w:trPr>
        <w:tc>
          <w:tcPr>
            <w:tcW w:w="1815" w:type="dxa"/>
            <w:vMerge w:val="restart"/>
            <w:tcBorders>
              <w:top w:val="outset" w:sz="6" w:space="0" w:color="auto"/>
              <w:left w:val="outset" w:sz="6" w:space="0" w:color="auto"/>
              <w:right w:val="outset" w:sz="6" w:space="0" w:color="auto"/>
            </w:tcBorders>
            <w:vAlign w:val="center"/>
          </w:tcPr>
          <w:p w14:paraId="7D07A92B" w14:textId="77777777" w:rsidR="00CE7114" w:rsidRPr="00D43DC4" w:rsidRDefault="00CE7114" w:rsidP="00E93D6A">
            <w:pPr>
              <w:pStyle w:val="Tabletext"/>
            </w:pPr>
            <w:r w:rsidRPr="00D43DC4">
              <w:t>Vaccine</w:t>
            </w:r>
          </w:p>
        </w:tc>
        <w:tc>
          <w:tcPr>
            <w:tcW w:w="2634" w:type="dxa"/>
            <w:gridSpan w:val="2"/>
            <w:tcBorders>
              <w:top w:val="outset" w:sz="6" w:space="0" w:color="auto"/>
              <w:left w:val="outset" w:sz="6" w:space="0" w:color="auto"/>
              <w:bottom w:val="outset" w:sz="6" w:space="0" w:color="auto"/>
              <w:right w:val="outset" w:sz="6" w:space="0" w:color="auto"/>
            </w:tcBorders>
            <w:vAlign w:val="center"/>
          </w:tcPr>
          <w:p w14:paraId="3A9DB2ED" w14:textId="110ADF6C" w:rsidR="00CE7114" w:rsidRPr="00D43DC4" w:rsidRDefault="00CE7114" w:rsidP="00E93D6A">
            <w:pPr>
              <w:pStyle w:val="Tabletext"/>
            </w:pPr>
            <w:r>
              <w:t>Ancestral and Alpha variant</w:t>
            </w:r>
          </w:p>
        </w:tc>
        <w:tc>
          <w:tcPr>
            <w:tcW w:w="2635" w:type="dxa"/>
            <w:gridSpan w:val="2"/>
            <w:tcBorders>
              <w:top w:val="outset" w:sz="6" w:space="0" w:color="auto"/>
              <w:left w:val="outset" w:sz="6" w:space="0" w:color="auto"/>
              <w:bottom w:val="outset" w:sz="6" w:space="0" w:color="auto"/>
              <w:right w:val="outset" w:sz="6" w:space="0" w:color="auto"/>
            </w:tcBorders>
            <w:vAlign w:val="center"/>
          </w:tcPr>
          <w:p w14:paraId="66479C56" w14:textId="3655132F" w:rsidR="00CE7114" w:rsidRPr="00D43DC4" w:rsidRDefault="00CE7114" w:rsidP="00E93D6A">
            <w:pPr>
              <w:pStyle w:val="Tabletext"/>
            </w:pPr>
            <w:r>
              <w:t>Beta, Gamma, and Delta variants</w:t>
            </w:r>
          </w:p>
        </w:tc>
        <w:tc>
          <w:tcPr>
            <w:tcW w:w="2260" w:type="dxa"/>
            <w:gridSpan w:val="2"/>
            <w:tcBorders>
              <w:top w:val="outset" w:sz="6" w:space="0" w:color="auto"/>
              <w:left w:val="outset" w:sz="6" w:space="0" w:color="auto"/>
              <w:bottom w:val="outset" w:sz="6" w:space="0" w:color="auto"/>
              <w:right w:val="outset" w:sz="6" w:space="0" w:color="auto"/>
            </w:tcBorders>
            <w:vAlign w:val="center"/>
          </w:tcPr>
          <w:p w14:paraId="2C43BF46" w14:textId="618665AE" w:rsidR="00CE7114" w:rsidRDefault="00CE7114" w:rsidP="00E93D6A">
            <w:pPr>
              <w:pStyle w:val="Tabletext"/>
            </w:pPr>
            <w:r>
              <w:t>Omicron variant</w:t>
            </w:r>
          </w:p>
          <w:p w14:paraId="367990F1" w14:textId="77777777" w:rsidR="00CE7114" w:rsidRPr="00CE7114" w:rsidRDefault="00CE7114" w:rsidP="00E93D6A">
            <w:pPr>
              <w:pStyle w:val="Tabletext"/>
            </w:pPr>
          </w:p>
        </w:tc>
      </w:tr>
      <w:tr w:rsidR="00CE7114" w:rsidRPr="00D43DC4" w14:paraId="1A89B589" w14:textId="3E21DCBD" w:rsidTr="5C121EFF">
        <w:trPr>
          <w:trHeight w:val="762"/>
        </w:trPr>
        <w:tc>
          <w:tcPr>
            <w:tcW w:w="1815" w:type="dxa"/>
            <w:vMerge/>
            <w:vAlign w:val="center"/>
            <w:hideMark/>
          </w:tcPr>
          <w:p w14:paraId="5960D3D2" w14:textId="77777777" w:rsidR="00CE7114" w:rsidRPr="00D43DC4" w:rsidRDefault="00CE7114" w:rsidP="00E93D6A">
            <w:pPr>
              <w:pStyle w:val="Tabletext"/>
            </w:pPr>
          </w:p>
        </w:tc>
        <w:tc>
          <w:tcPr>
            <w:tcW w:w="1317" w:type="dxa"/>
            <w:tcBorders>
              <w:top w:val="outset" w:sz="6" w:space="0" w:color="auto"/>
              <w:left w:val="outset" w:sz="6" w:space="0" w:color="auto"/>
              <w:bottom w:val="outset" w:sz="6" w:space="0" w:color="auto"/>
              <w:right w:val="outset" w:sz="6" w:space="0" w:color="auto"/>
            </w:tcBorders>
            <w:vAlign w:val="center"/>
            <w:hideMark/>
          </w:tcPr>
          <w:p w14:paraId="72AB0723" w14:textId="2AEAE97F" w:rsidR="00CE7114" w:rsidRPr="00D43DC4" w:rsidRDefault="00CE7114" w:rsidP="00E93D6A">
            <w:pPr>
              <w:pStyle w:val="Tabletext"/>
            </w:pPr>
            <w:r w:rsidRPr="00D43DC4">
              <w:t xml:space="preserve">Efficacy at preventing </w:t>
            </w:r>
            <w:r>
              <w:t xml:space="preserve">severe </w:t>
            </w:r>
            <w:r w:rsidRPr="00D43DC4">
              <w:t>disease</w:t>
            </w:r>
          </w:p>
        </w:tc>
        <w:tc>
          <w:tcPr>
            <w:tcW w:w="1317" w:type="dxa"/>
            <w:tcBorders>
              <w:top w:val="outset" w:sz="6" w:space="0" w:color="auto"/>
              <w:left w:val="outset" w:sz="6" w:space="0" w:color="auto"/>
              <w:bottom w:val="outset" w:sz="6" w:space="0" w:color="auto"/>
              <w:right w:val="outset" w:sz="6" w:space="0" w:color="auto"/>
            </w:tcBorders>
            <w:vAlign w:val="center"/>
            <w:hideMark/>
          </w:tcPr>
          <w:p w14:paraId="263DC07A" w14:textId="77777777" w:rsidR="00CE7114" w:rsidRPr="00D43DC4" w:rsidRDefault="00CE7114" w:rsidP="00E93D6A">
            <w:pPr>
              <w:pStyle w:val="Tabletext"/>
            </w:pPr>
            <w:r w:rsidRPr="00D43DC4">
              <w:t>Efficacy at preventing infection</w:t>
            </w:r>
          </w:p>
        </w:tc>
        <w:tc>
          <w:tcPr>
            <w:tcW w:w="1293" w:type="dxa"/>
            <w:tcBorders>
              <w:top w:val="outset" w:sz="6" w:space="0" w:color="auto"/>
              <w:left w:val="outset" w:sz="6" w:space="0" w:color="auto"/>
              <w:bottom w:val="outset" w:sz="6" w:space="0" w:color="auto"/>
              <w:right w:val="outset" w:sz="6" w:space="0" w:color="auto"/>
            </w:tcBorders>
            <w:vAlign w:val="center"/>
            <w:hideMark/>
          </w:tcPr>
          <w:p w14:paraId="2A0DDE6A" w14:textId="08364BAC" w:rsidR="00CE7114" w:rsidRPr="00D43DC4" w:rsidRDefault="00CE7114" w:rsidP="00E93D6A">
            <w:pPr>
              <w:pStyle w:val="Tabletext"/>
            </w:pPr>
            <w:r w:rsidRPr="00D43DC4">
              <w:t xml:space="preserve">Efficacy at preventing </w:t>
            </w:r>
            <w:r>
              <w:t xml:space="preserve">severe </w:t>
            </w:r>
            <w:r w:rsidRPr="00D43DC4">
              <w:t>disease</w:t>
            </w:r>
          </w:p>
        </w:tc>
        <w:tc>
          <w:tcPr>
            <w:tcW w:w="1342" w:type="dxa"/>
            <w:tcBorders>
              <w:top w:val="outset" w:sz="6" w:space="0" w:color="auto"/>
              <w:left w:val="outset" w:sz="6" w:space="0" w:color="auto"/>
              <w:bottom w:val="outset" w:sz="6" w:space="0" w:color="auto"/>
              <w:right w:val="outset" w:sz="6" w:space="0" w:color="auto"/>
            </w:tcBorders>
            <w:vAlign w:val="center"/>
            <w:hideMark/>
          </w:tcPr>
          <w:p w14:paraId="711A5708" w14:textId="77777777" w:rsidR="00CE7114" w:rsidRPr="00D43DC4" w:rsidRDefault="00CE7114" w:rsidP="00E93D6A">
            <w:pPr>
              <w:pStyle w:val="Tabletext"/>
            </w:pPr>
            <w:r w:rsidRPr="00D43DC4">
              <w:t>Efficacy at preventing infection</w:t>
            </w:r>
          </w:p>
        </w:tc>
        <w:tc>
          <w:tcPr>
            <w:tcW w:w="1130" w:type="dxa"/>
            <w:tcBorders>
              <w:top w:val="outset" w:sz="6" w:space="0" w:color="auto"/>
              <w:left w:val="outset" w:sz="6" w:space="0" w:color="auto"/>
              <w:bottom w:val="outset" w:sz="6" w:space="0" w:color="auto"/>
              <w:right w:val="outset" w:sz="6" w:space="0" w:color="auto"/>
            </w:tcBorders>
            <w:vAlign w:val="center"/>
          </w:tcPr>
          <w:p w14:paraId="39571F20" w14:textId="1E968D53" w:rsidR="00CE7114" w:rsidRPr="00D43DC4" w:rsidRDefault="00CE7114" w:rsidP="00E93D6A">
            <w:pPr>
              <w:pStyle w:val="Tabletext"/>
            </w:pPr>
            <w:r w:rsidRPr="00D43DC4">
              <w:t xml:space="preserve">Efficacy at preventing </w:t>
            </w:r>
            <w:r>
              <w:t xml:space="preserve">severe </w:t>
            </w:r>
            <w:r w:rsidRPr="00D43DC4">
              <w:t>disease</w:t>
            </w:r>
          </w:p>
        </w:tc>
        <w:tc>
          <w:tcPr>
            <w:tcW w:w="1130" w:type="dxa"/>
            <w:tcBorders>
              <w:top w:val="outset" w:sz="6" w:space="0" w:color="auto"/>
              <w:left w:val="outset" w:sz="6" w:space="0" w:color="auto"/>
              <w:bottom w:val="outset" w:sz="6" w:space="0" w:color="auto"/>
              <w:right w:val="outset" w:sz="6" w:space="0" w:color="auto"/>
            </w:tcBorders>
            <w:vAlign w:val="center"/>
          </w:tcPr>
          <w:p w14:paraId="341E1A13" w14:textId="10584987" w:rsidR="00CE7114" w:rsidRPr="00D43DC4" w:rsidRDefault="00CE7114" w:rsidP="00E93D6A">
            <w:pPr>
              <w:pStyle w:val="Tabletext"/>
            </w:pPr>
            <w:r w:rsidRPr="00D43DC4">
              <w:t>Efficacy at preventing infection</w:t>
            </w:r>
          </w:p>
        </w:tc>
      </w:tr>
      <w:tr w:rsidR="001B2D15" w:rsidRPr="00D43DC4" w14:paraId="3860AC11"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22883BC8" w14:textId="78330784" w:rsidR="001B2D15" w:rsidRPr="00D43DC4" w:rsidRDefault="001B2D15" w:rsidP="00E93D6A">
            <w:pPr>
              <w:pStyle w:val="Tabletext"/>
            </w:pPr>
            <w:r>
              <w:t>AstraZeneca</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5F6A2971" w14:textId="2E329E9C" w:rsidR="001B2D15" w:rsidRPr="00D43DC4" w:rsidRDefault="001E4B16" w:rsidP="00E93D6A">
            <w:pPr>
              <w:pStyle w:val="Tabletext"/>
            </w:pPr>
            <w:r>
              <w:t>94</w:t>
            </w:r>
            <w:r w:rsidR="005C5232">
              <w:t>%</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06C4C053" w14:textId="6F456D70" w:rsidR="001B2D15" w:rsidRPr="00D43DC4" w:rsidRDefault="001E4B16" w:rsidP="00E93D6A">
            <w:pPr>
              <w:pStyle w:val="Tabletext"/>
            </w:pPr>
            <w:r>
              <w:t>63%</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4512F5B0" w14:textId="695F4F40" w:rsidR="001B2D15" w:rsidRDefault="001E4B16" w:rsidP="00E93D6A">
            <w:pPr>
              <w:pStyle w:val="Tabletext"/>
            </w:pPr>
            <w:r>
              <w:t>94%</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036829FF" w14:textId="758DAADF" w:rsidR="001B2D15" w:rsidRDefault="001E4B16" w:rsidP="00E93D6A">
            <w:pPr>
              <w:pStyle w:val="Tabletext"/>
            </w:pPr>
            <w:r>
              <w:t>69%</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4E1FD2EF" w14:textId="15F18385" w:rsidR="001B2D15" w:rsidRPr="00D43DC4" w:rsidRDefault="009F5141" w:rsidP="00E93D6A">
            <w:pPr>
              <w:pStyle w:val="Tabletext"/>
            </w:pPr>
            <w:r>
              <w:t>71%</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35EBF69D" w14:textId="3529F2C9" w:rsidR="001B2D15" w:rsidRPr="00D43DC4" w:rsidRDefault="009F5141" w:rsidP="00E93D6A">
            <w:pPr>
              <w:pStyle w:val="Tabletext"/>
            </w:pPr>
            <w:r>
              <w:t>36%</w:t>
            </w:r>
          </w:p>
        </w:tc>
      </w:tr>
      <w:tr w:rsidR="00D94B60" w:rsidRPr="00D43DC4" w14:paraId="408AC7E4"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739AA334" w14:textId="2CE96D22" w:rsidR="00D94B60" w:rsidRDefault="00D94B60" w:rsidP="00E93D6A">
            <w:pPr>
              <w:pStyle w:val="Tabletext"/>
            </w:pPr>
            <w:r>
              <w:t>Tianjin CanSino</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0E73E71F" w14:textId="5543B1EB" w:rsidR="00D94B60" w:rsidRDefault="00621643" w:rsidP="00E93D6A">
            <w:pPr>
              <w:pStyle w:val="Tabletext"/>
            </w:pPr>
            <w:r>
              <w:t>66%</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0F765307" w14:textId="309F58E1" w:rsidR="00D94B60" w:rsidRDefault="00621643" w:rsidP="00E93D6A">
            <w:pPr>
              <w:pStyle w:val="Tabletext"/>
            </w:pPr>
            <w:r>
              <w:t>62%</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495BE0F3" w14:textId="24541B37" w:rsidR="00D94B60" w:rsidRDefault="00E8096E" w:rsidP="00E93D6A">
            <w:pPr>
              <w:pStyle w:val="Tabletext"/>
            </w:pPr>
            <w:r>
              <w:t>64%</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64D1A6F6" w14:textId="48FE49F7" w:rsidR="00D94B60" w:rsidRDefault="00E8096E" w:rsidP="00E93D6A">
            <w:pPr>
              <w:pStyle w:val="Tabletext"/>
            </w:pPr>
            <w:r>
              <w:t>61%</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59FF1FA8" w14:textId="5507AA9D" w:rsidR="00D94B60" w:rsidRDefault="00E8096E" w:rsidP="00E93D6A">
            <w:pPr>
              <w:pStyle w:val="Tabletext"/>
            </w:pPr>
            <w:r>
              <w:t>48%</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2B6E4646" w14:textId="69E7F5DA" w:rsidR="00D94B60" w:rsidRDefault="00E8096E" w:rsidP="00E93D6A">
            <w:pPr>
              <w:pStyle w:val="Tabletext"/>
            </w:pPr>
            <w:r>
              <w:t>32%</w:t>
            </w:r>
          </w:p>
        </w:tc>
      </w:tr>
      <w:tr w:rsidR="00D575B4" w:rsidRPr="00D43DC4" w14:paraId="784CD6BF"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5BE40451" w14:textId="03BB3F7D" w:rsidR="00D575B4" w:rsidRDefault="00D575B4" w:rsidP="00E93D6A">
            <w:pPr>
              <w:pStyle w:val="Tabletext"/>
            </w:pPr>
            <w:r>
              <w:t>CoronaVac</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55868FC2" w14:textId="18B34FCB" w:rsidR="00D575B4" w:rsidRDefault="001F77E1" w:rsidP="00E93D6A">
            <w:pPr>
              <w:pStyle w:val="Tabletext"/>
            </w:pPr>
            <w:r>
              <w:t>50%</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2645FABE" w14:textId="06F4D2FB" w:rsidR="00D575B4" w:rsidRDefault="001F77E1" w:rsidP="00E93D6A">
            <w:pPr>
              <w:pStyle w:val="Tabletext"/>
            </w:pPr>
            <w:r>
              <w:t>47%</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65B108C3" w14:textId="03C3F748" w:rsidR="00D575B4" w:rsidRDefault="001F77E1" w:rsidP="00E93D6A">
            <w:pPr>
              <w:pStyle w:val="Tabletext"/>
            </w:pPr>
            <w:r>
              <w:t xml:space="preserve">49% </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53AA1474" w14:textId="47E96BE6" w:rsidR="00D575B4" w:rsidRDefault="001F77E1" w:rsidP="00E93D6A">
            <w:pPr>
              <w:pStyle w:val="Tabletext"/>
            </w:pPr>
            <w:r>
              <w:t>46%</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3EDF8A65" w14:textId="1EC6664F" w:rsidR="00D575B4" w:rsidRDefault="001F77E1" w:rsidP="00E93D6A">
            <w:pPr>
              <w:pStyle w:val="Tabletext"/>
            </w:pPr>
            <w:r>
              <w:t>37%</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20CD1FE2" w14:textId="1B524FBA" w:rsidR="00D575B4" w:rsidRDefault="001F77E1" w:rsidP="00E93D6A">
            <w:pPr>
              <w:pStyle w:val="Tabletext"/>
            </w:pPr>
            <w:r>
              <w:t>24%</w:t>
            </w:r>
          </w:p>
        </w:tc>
      </w:tr>
      <w:tr w:rsidR="00F93F84" w:rsidRPr="00D43DC4" w14:paraId="3B11C0F8"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1447A7EC" w14:textId="296B86C5" w:rsidR="00F93F84" w:rsidRDefault="00F93F84" w:rsidP="00E93D6A">
            <w:pPr>
              <w:pStyle w:val="Tabletext"/>
            </w:pPr>
            <w:r>
              <w:t>Covaxin</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1C01D71D" w14:textId="2EE4537A" w:rsidR="00F93F84" w:rsidRDefault="00F93F84" w:rsidP="00E93D6A">
            <w:pPr>
              <w:pStyle w:val="Tabletext"/>
            </w:pPr>
            <w:r>
              <w:t>78%</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0DA626DD" w14:textId="6839C96C" w:rsidR="00F93F84" w:rsidRDefault="00F93F84" w:rsidP="00E93D6A">
            <w:pPr>
              <w:pStyle w:val="Tabletext"/>
            </w:pPr>
            <w:r>
              <w:t>73%</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3A2DB005" w14:textId="1CAC9F09" w:rsidR="00F93F84" w:rsidRDefault="00F93F84" w:rsidP="00E93D6A">
            <w:pPr>
              <w:pStyle w:val="Tabletext"/>
            </w:pPr>
            <w:r>
              <w:t>76%</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05C69174" w14:textId="588D62F9" w:rsidR="00F93F84" w:rsidRDefault="00F93F84" w:rsidP="00E93D6A">
            <w:pPr>
              <w:pStyle w:val="Tabletext"/>
            </w:pPr>
            <w:r>
              <w:t>72%</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2DC6B641" w14:textId="6E5F2EAD" w:rsidR="00F93F84" w:rsidRDefault="00EB5A58" w:rsidP="00E93D6A">
            <w:pPr>
              <w:pStyle w:val="Tabletext"/>
            </w:pPr>
            <w:r>
              <w:t>57%</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3B4AAE69" w14:textId="0484DF1A" w:rsidR="00F93F84" w:rsidRDefault="00EB5A58" w:rsidP="00E93D6A">
            <w:pPr>
              <w:pStyle w:val="Tabletext"/>
            </w:pPr>
            <w:r>
              <w:t>38%</w:t>
            </w:r>
          </w:p>
        </w:tc>
      </w:tr>
      <w:tr w:rsidR="00EB5A58" w:rsidRPr="00D43DC4" w14:paraId="18484B5D"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410EDD0B" w14:textId="551058C1" w:rsidR="00EB5A58" w:rsidRDefault="00EB5A58" w:rsidP="00F74192">
            <w:pPr>
              <w:pStyle w:val="Tabletext"/>
            </w:pPr>
            <w:r w:rsidRPr="00D43DC4">
              <w:t xml:space="preserve">Johnson &amp; Johnson </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7242D439" w14:textId="5400CC15" w:rsidR="00EB5A58" w:rsidRDefault="00F74192" w:rsidP="00E93D6A">
            <w:pPr>
              <w:pStyle w:val="Tabletext"/>
            </w:pPr>
            <w:r>
              <w:t>86%</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08D477C3" w14:textId="2E84D5AA" w:rsidR="00EB5A58" w:rsidRDefault="00F74192" w:rsidP="00E93D6A">
            <w:pPr>
              <w:pStyle w:val="Tabletext"/>
            </w:pPr>
            <w:r>
              <w:t>72%</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5A031A6D" w14:textId="7B5A59D5" w:rsidR="00EB5A58" w:rsidRDefault="00F74192" w:rsidP="00E93D6A">
            <w:pPr>
              <w:pStyle w:val="Tabletext"/>
            </w:pPr>
            <w:r>
              <w:t>76%</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4419B657" w14:textId="63DD6FFA" w:rsidR="00EB5A58" w:rsidRDefault="00F74192" w:rsidP="00E93D6A">
            <w:pPr>
              <w:pStyle w:val="Tabletext"/>
            </w:pPr>
            <w:r>
              <w:t>64%</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29751347" w14:textId="22E2580D" w:rsidR="00EB5A58" w:rsidRDefault="00F74192" w:rsidP="00E93D6A">
            <w:pPr>
              <w:pStyle w:val="Tabletext"/>
            </w:pPr>
            <w:r>
              <w:t>57%</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0B71654F" w14:textId="341ED36B" w:rsidR="00EB5A58" w:rsidRDefault="00F74192" w:rsidP="00E93D6A">
            <w:pPr>
              <w:pStyle w:val="Tabletext"/>
            </w:pPr>
            <w:r>
              <w:t>33%</w:t>
            </w:r>
          </w:p>
        </w:tc>
      </w:tr>
      <w:tr w:rsidR="008C3B6B" w:rsidRPr="00D43DC4" w14:paraId="442AB133"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361BE16E" w14:textId="058B2899" w:rsidR="008C3B6B" w:rsidRPr="00D43DC4" w:rsidRDefault="008C3B6B" w:rsidP="00F74192">
            <w:pPr>
              <w:pStyle w:val="Tabletext"/>
            </w:pPr>
            <w:r>
              <w:t>Moderna</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66A41439" w14:textId="2A244EDE" w:rsidR="008C3B6B" w:rsidRDefault="008C3B6B" w:rsidP="00E93D6A">
            <w:pPr>
              <w:pStyle w:val="Tabletext"/>
            </w:pPr>
            <w:r>
              <w:t>97%</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3FA8B1B0" w14:textId="17BCCD16" w:rsidR="008C3B6B" w:rsidRDefault="008C3B6B" w:rsidP="00E93D6A">
            <w:pPr>
              <w:pStyle w:val="Tabletext"/>
            </w:pPr>
            <w:r>
              <w:t>92%</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45B584C1" w14:textId="60B97B6A" w:rsidR="008C3B6B" w:rsidRDefault="008C3B6B" w:rsidP="00E93D6A">
            <w:pPr>
              <w:pStyle w:val="Tabletext"/>
            </w:pPr>
            <w:r>
              <w:t>97%</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5FB2B574" w14:textId="22507648" w:rsidR="008C3B6B" w:rsidRDefault="008C3B6B" w:rsidP="00E93D6A">
            <w:pPr>
              <w:pStyle w:val="Tabletext"/>
            </w:pPr>
            <w:r>
              <w:t>91%</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65E81F12" w14:textId="2D647B5C" w:rsidR="008C3B6B" w:rsidRDefault="008C3B6B" w:rsidP="00E93D6A">
            <w:pPr>
              <w:pStyle w:val="Tabletext"/>
            </w:pPr>
            <w:r>
              <w:t>73%</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14FCE004" w14:textId="08C1B562" w:rsidR="008C3B6B" w:rsidRDefault="008C3B6B" w:rsidP="00E93D6A">
            <w:pPr>
              <w:pStyle w:val="Tabletext"/>
            </w:pPr>
            <w:r>
              <w:t>48%</w:t>
            </w:r>
          </w:p>
        </w:tc>
      </w:tr>
      <w:tr w:rsidR="00F567F0" w:rsidRPr="00D43DC4" w14:paraId="24DBDD58"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483E1969" w14:textId="24A069CC" w:rsidR="00F567F0" w:rsidRDefault="00F567F0" w:rsidP="00F74192">
            <w:pPr>
              <w:pStyle w:val="Tabletext"/>
            </w:pPr>
            <w:r>
              <w:t>Novavax</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1161ABF6" w14:textId="0006F027" w:rsidR="00F567F0" w:rsidRDefault="00F567F0" w:rsidP="00E93D6A">
            <w:pPr>
              <w:pStyle w:val="Tabletext"/>
            </w:pPr>
            <w:r>
              <w:t>89%</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6B0EB589" w14:textId="1641ABCA" w:rsidR="00F567F0" w:rsidRDefault="00F567F0" w:rsidP="00E93D6A">
            <w:pPr>
              <w:pStyle w:val="Tabletext"/>
            </w:pPr>
            <w:r>
              <w:t>83%</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2E573950" w14:textId="1DA20D12" w:rsidR="00F567F0" w:rsidRDefault="00F567F0" w:rsidP="00E93D6A">
            <w:pPr>
              <w:pStyle w:val="Tabletext"/>
            </w:pPr>
            <w:r>
              <w:t>86%</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633E854E" w14:textId="77A84790" w:rsidR="00F567F0" w:rsidRDefault="00F567F0" w:rsidP="00E93D6A">
            <w:pPr>
              <w:pStyle w:val="Tabletext"/>
            </w:pPr>
            <w:r>
              <w:t>82%</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708CF9F8" w14:textId="07E6D5FD" w:rsidR="00F567F0" w:rsidRDefault="00D24D5E" w:rsidP="00E93D6A">
            <w:pPr>
              <w:pStyle w:val="Tabletext"/>
            </w:pPr>
            <w:r>
              <w:t>65%</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6B5E89DD" w14:textId="45FF4050" w:rsidR="00F567F0" w:rsidRDefault="00D24D5E" w:rsidP="00E93D6A">
            <w:pPr>
              <w:pStyle w:val="Tabletext"/>
            </w:pPr>
            <w:r>
              <w:t>43%</w:t>
            </w:r>
          </w:p>
        </w:tc>
      </w:tr>
      <w:tr w:rsidR="00CE7114" w:rsidRPr="00D43DC4" w14:paraId="2361631E" w14:textId="54AA4A5C"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hideMark/>
          </w:tcPr>
          <w:p w14:paraId="30060457" w14:textId="77777777" w:rsidR="00CE7114" w:rsidRPr="00D43DC4" w:rsidRDefault="00CE7114" w:rsidP="00E93D6A">
            <w:pPr>
              <w:pStyle w:val="Tabletext"/>
            </w:pPr>
            <w:r w:rsidRPr="00D43DC4">
              <w:t>Pfizer/BioNTech</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E14097" w14:textId="319EBC80" w:rsidR="00CE7114" w:rsidRPr="00D43DC4" w:rsidRDefault="00CE7114" w:rsidP="00E93D6A">
            <w:pPr>
              <w:pStyle w:val="Tabletext"/>
            </w:pPr>
            <w:r w:rsidRPr="00D43DC4">
              <w:t>9</w:t>
            </w:r>
            <w:r w:rsidR="002A201E">
              <w:t>5</w:t>
            </w:r>
            <w:r w:rsidRPr="00D43DC4">
              <w:t>%</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77C987" w14:textId="77777777" w:rsidR="00CE7114" w:rsidRPr="00D43DC4" w:rsidRDefault="00CE7114" w:rsidP="00E93D6A">
            <w:pPr>
              <w:pStyle w:val="Tabletext"/>
            </w:pPr>
            <w:r w:rsidRPr="00D43DC4">
              <w:t>86%</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7B36CE" w14:textId="7A039E54" w:rsidR="00CE7114" w:rsidRPr="00D43DC4" w:rsidRDefault="002A201E" w:rsidP="00E93D6A">
            <w:pPr>
              <w:pStyle w:val="Tabletext"/>
            </w:pPr>
            <w:r>
              <w:t>95</w:t>
            </w:r>
            <w:r w:rsidR="00CE7114" w:rsidRPr="00D43DC4">
              <w:t>%</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F252DB" w14:textId="540AEF10" w:rsidR="00CE7114" w:rsidRPr="00D43DC4" w:rsidRDefault="002A201E" w:rsidP="00E93D6A">
            <w:pPr>
              <w:pStyle w:val="Tabletext"/>
            </w:pPr>
            <w:r>
              <w:t>84</w:t>
            </w:r>
            <w:r w:rsidR="00CE7114" w:rsidRPr="00D43DC4">
              <w:t>%</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10E9D977" w14:textId="301800EE" w:rsidR="00CE7114" w:rsidRPr="00D43DC4" w:rsidRDefault="00352C24" w:rsidP="00E93D6A">
            <w:pPr>
              <w:pStyle w:val="Tabletext"/>
            </w:pPr>
            <w:r>
              <w:t>72%</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23F390F4" w14:textId="31C6244D" w:rsidR="00CE7114" w:rsidRPr="00D43DC4" w:rsidRDefault="00352C24" w:rsidP="00E93D6A">
            <w:pPr>
              <w:pStyle w:val="Tabletext"/>
            </w:pPr>
            <w:r>
              <w:t>44%</w:t>
            </w:r>
          </w:p>
        </w:tc>
      </w:tr>
      <w:tr w:rsidR="0058406E" w:rsidRPr="00D43DC4" w14:paraId="7BFCCEA7" w14:textId="77777777"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tcPr>
          <w:p w14:paraId="49BBF196" w14:textId="5737A9C0" w:rsidR="0058406E" w:rsidRPr="00D43DC4" w:rsidRDefault="00F25CF8" w:rsidP="00E93D6A">
            <w:pPr>
              <w:pStyle w:val="Tabletext"/>
            </w:pPr>
            <w:r>
              <w:t>Sinopharm</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4A2FDC03" w14:textId="7ED93A65" w:rsidR="0058406E" w:rsidRPr="00D43DC4" w:rsidRDefault="00F25CF8" w:rsidP="00E93D6A">
            <w:pPr>
              <w:pStyle w:val="Tabletext"/>
            </w:pPr>
            <w:r>
              <w:t>73%</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tcPr>
          <w:p w14:paraId="291834BC" w14:textId="58F68DB7" w:rsidR="0058406E" w:rsidRPr="00D43DC4" w:rsidRDefault="00F25CF8" w:rsidP="00E93D6A">
            <w:pPr>
              <w:pStyle w:val="Tabletext"/>
            </w:pPr>
            <w:r>
              <w:t>68%</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14:paraId="20ABDB61" w14:textId="1A069A78" w:rsidR="0058406E" w:rsidRDefault="00F25CF8" w:rsidP="00E93D6A">
            <w:pPr>
              <w:pStyle w:val="Tabletext"/>
            </w:pPr>
            <w:r>
              <w:t>71%</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tcPr>
          <w:p w14:paraId="7C0BCBDC" w14:textId="77B74B43" w:rsidR="0058406E" w:rsidRDefault="00F25CF8" w:rsidP="00E93D6A">
            <w:pPr>
              <w:pStyle w:val="Tabletext"/>
            </w:pPr>
            <w:r>
              <w:t>67%</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6B98BCE4" w14:textId="5C1EF2FF" w:rsidR="0058406E" w:rsidRDefault="003D251E" w:rsidP="00E93D6A">
            <w:pPr>
              <w:pStyle w:val="Tabletext"/>
            </w:pPr>
            <w:r>
              <w:t>53%</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5D936E56" w14:textId="1735AB0F" w:rsidR="0058406E" w:rsidRDefault="003D251E" w:rsidP="00E93D6A">
            <w:pPr>
              <w:pStyle w:val="Tabletext"/>
            </w:pPr>
            <w:r>
              <w:t>35%</w:t>
            </w:r>
          </w:p>
        </w:tc>
      </w:tr>
      <w:tr w:rsidR="00CE7114" w:rsidRPr="00D43DC4" w14:paraId="6B72A0BE" w14:textId="33035EFE"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hideMark/>
          </w:tcPr>
          <w:p w14:paraId="0DD81AA0" w14:textId="77777777" w:rsidR="00CE7114" w:rsidRPr="00D43DC4" w:rsidRDefault="00CE7114" w:rsidP="00E93D6A">
            <w:pPr>
              <w:pStyle w:val="Tabletext"/>
            </w:pPr>
            <w:r w:rsidRPr="00D43DC4">
              <w:t>Sputnik-V</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823495" w14:textId="77777777" w:rsidR="00CE7114" w:rsidRPr="00D43DC4" w:rsidRDefault="00CE7114" w:rsidP="00E93D6A">
            <w:pPr>
              <w:pStyle w:val="Tabletext"/>
            </w:pPr>
            <w:r w:rsidRPr="00D43DC4">
              <w:t>92%</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280468" w14:textId="4D558927" w:rsidR="00CE7114" w:rsidRPr="00D43DC4" w:rsidRDefault="00CE7114" w:rsidP="00083573">
            <w:pPr>
              <w:pStyle w:val="Tabletext"/>
            </w:pPr>
            <w:r w:rsidRPr="00D43DC4">
              <w:t>8</w:t>
            </w:r>
            <w:r w:rsidR="00083573">
              <w:t>6</w:t>
            </w:r>
            <w:r w:rsidRPr="00D43DC4">
              <w:t>%</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3DE02C" w14:textId="0B91747C" w:rsidR="00CE7114" w:rsidRPr="00D43DC4" w:rsidRDefault="00083573" w:rsidP="00E93D6A">
            <w:pPr>
              <w:pStyle w:val="Tabletext"/>
            </w:pPr>
            <w:r>
              <w:t>89%</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CDE261" w14:textId="499CB637" w:rsidR="00CE7114" w:rsidRPr="00D43DC4" w:rsidRDefault="00083573" w:rsidP="00E93D6A">
            <w:pPr>
              <w:pStyle w:val="Tabletext"/>
            </w:pPr>
            <w:r>
              <w:t>85%</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606821AD" w14:textId="73DBB202" w:rsidR="00CE7114" w:rsidRPr="00D43DC4" w:rsidRDefault="00083573" w:rsidP="00E93D6A">
            <w:pPr>
              <w:pStyle w:val="Tabletext"/>
            </w:pPr>
            <w:r>
              <w:t>67%</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236013C9" w14:textId="7FF02BC4" w:rsidR="00CE7114" w:rsidRPr="00D43DC4" w:rsidRDefault="00083573" w:rsidP="00E93D6A">
            <w:pPr>
              <w:pStyle w:val="Tabletext"/>
            </w:pPr>
            <w:r>
              <w:t>44%</w:t>
            </w:r>
          </w:p>
        </w:tc>
      </w:tr>
      <w:tr w:rsidR="00CE7114" w:rsidRPr="00D43DC4" w14:paraId="71EC399A" w14:textId="5C219FAF" w:rsidTr="5C121EFF">
        <w:trPr>
          <w:trHeight w:val="293"/>
        </w:trPr>
        <w:tc>
          <w:tcPr>
            <w:tcW w:w="1815" w:type="dxa"/>
            <w:tcBorders>
              <w:top w:val="outset" w:sz="6" w:space="0" w:color="auto"/>
              <w:left w:val="outset" w:sz="6" w:space="0" w:color="auto"/>
              <w:bottom w:val="outset" w:sz="6" w:space="0" w:color="auto"/>
              <w:right w:val="outset" w:sz="6" w:space="0" w:color="auto"/>
            </w:tcBorders>
            <w:vAlign w:val="center"/>
            <w:hideMark/>
          </w:tcPr>
          <w:p w14:paraId="39287393" w14:textId="77777777" w:rsidR="00CE7114" w:rsidRPr="00D43DC4" w:rsidRDefault="00CE7114" w:rsidP="00E93D6A">
            <w:pPr>
              <w:pStyle w:val="Tabletext"/>
            </w:pPr>
            <w:r w:rsidRPr="00D43DC4">
              <w:t>Other mRNA vaccines</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E6A4A5" w14:textId="77777777" w:rsidR="00CE7114" w:rsidRPr="00D43DC4" w:rsidRDefault="00CE7114" w:rsidP="00E93D6A">
            <w:pPr>
              <w:pStyle w:val="Tabletext"/>
            </w:pPr>
            <w:r w:rsidRPr="00D43DC4">
              <w:t>91%</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472A68" w14:textId="77777777" w:rsidR="00CE7114" w:rsidRPr="00D43DC4" w:rsidRDefault="00CE7114" w:rsidP="00E93D6A">
            <w:pPr>
              <w:pStyle w:val="Tabletext"/>
            </w:pPr>
            <w:r w:rsidRPr="00D43DC4">
              <w:t>86%</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3290CC" w14:textId="276EAD49" w:rsidR="00CE7114" w:rsidRPr="00D43DC4" w:rsidRDefault="004D5FA2" w:rsidP="00E93D6A">
            <w:pPr>
              <w:pStyle w:val="Tabletext"/>
            </w:pPr>
            <w:r>
              <w:t>88%</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E9EB14" w14:textId="725597D9" w:rsidR="00CE7114" w:rsidRPr="00D43DC4" w:rsidRDefault="004D5FA2" w:rsidP="00E93D6A">
            <w:pPr>
              <w:pStyle w:val="Tabletext"/>
            </w:pPr>
            <w:r>
              <w:t>85%</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39A9BB27" w14:textId="7CC26DA4" w:rsidR="00CE7114" w:rsidRPr="00D43DC4" w:rsidRDefault="004D5FA2" w:rsidP="00E93D6A">
            <w:pPr>
              <w:pStyle w:val="Tabletext"/>
            </w:pPr>
            <w:r>
              <w:t>67%</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10F7F510" w14:textId="76919C05" w:rsidR="00CE7114" w:rsidRPr="00D43DC4" w:rsidRDefault="004D5FA2" w:rsidP="00E93D6A">
            <w:pPr>
              <w:pStyle w:val="Tabletext"/>
            </w:pPr>
            <w:r>
              <w:t>45%</w:t>
            </w:r>
          </w:p>
        </w:tc>
      </w:tr>
      <w:tr w:rsidR="00CE7114" w:rsidRPr="00D43DC4" w14:paraId="0E6224B6" w14:textId="40D15E9A" w:rsidTr="5C121EFF">
        <w:trPr>
          <w:trHeight w:val="307"/>
        </w:trPr>
        <w:tc>
          <w:tcPr>
            <w:tcW w:w="1815" w:type="dxa"/>
            <w:tcBorders>
              <w:top w:val="outset" w:sz="6" w:space="0" w:color="auto"/>
              <w:left w:val="outset" w:sz="6" w:space="0" w:color="auto"/>
              <w:bottom w:val="outset" w:sz="6" w:space="0" w:color="auto"/>
              <w:right w:val="outset" w:sz="6" w:space="0" w:color="auto"/>
            </w:tcBorders>
            <w:vAlign w:val="center"/>
            <w:hideMark/>
          </w:tcPr>
          <w:p w14:paraId="0E6AB2E6" w14:textId="77777777" w:rsidR="00CE7114" w:rsidRPr="00D43DC4" w:rsidRDefault="00CE7114" w:rsidP="00E93D6A">
            <w:pPr>
              <w:pStyle w:val="Tabletext"/>
            </w:pPr>
            <w:r w:rsidRPr="00D43DC4">
              <w:t>All other vaccines</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5DCF0A" w14:textId="77777777" w:rsidR="00CE7114" w:rsidRPr="00D43DC4" w:rsidRDefault="00CE7114" w:rsidP="00E93D6A">
            <w:pPr>
              <w:pStyle w:val="Tabletext"/>
            </w:pPr>
            <w:r w:rsidRPr="00D43DC4">
              <w:t>75%</w:t>
            </w:r>
          </w:p>
        </w:tc>
        <w:tc>
          <w:tcPr>
            <w:tcW w:w="13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DC6FEC" w14:textId="5D172D5B" w:rsidR="00CE7114" w:rsidRPr="00D43DC4" w:rsidRDefault="00EF4109" w:rsidP="00E93D6A">
            <w:pPr>
              <w:pStyle w:val="Tabletext"/>
            </w:pPr>
            <w:r>
              <w:t>70%</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EA0E7" w14:textId="6720AB0C" w:rsidR="00CE7114" w:rsidRPr="00D43DC4" w:rsidRDefault="00EF4109" w:rsidP="00E93D6A">
            <w:pPr>
              <w:pStyle w:val="Tabletext"/>
            </w:pPr>
            <w:r>
              <w:t>73%</w:t>
            </w:r>
          </w:p>
        </w:tc>
        <w:tc>
          <w:tcPr>
            <w:tcW w:w="13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2F9488" w14:textId="2EEAD654" w:rsidR="00CE7114" w:rsidRPr="00D43DC4" w:rsidRDefault="00706BA7" w:rsidP="00E93D6A">
            <w:pPr>
              <w:pStyle w:val="Tabletext"/>
            </w:pPr>
            <w:r>
              <w:t>69%</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0BDE207A" w14:textId="2497357A" w:rsidR="00CE7114" w:rsidRPr="00D43DC4" w:rsidRDefault="00706BA7" w:rsidP="00E93D6A">
            <w:pPr>
              <w:pStyle w:val="Tabletext"/>
            </w:pPr>
            <w:r>
              <w:t>55%</w:t>
            </w:r>
          </w:p>
        </w:tc>
        <w:tc>
          <w:tcPr>
            <w:tcW w:w="1130" w:type="dxa"/>
            <w:tcBorders>
              <w:top w:val="outset" w:sz="6" w:space="0" w:color="auto"/>
              <w:left w:val="outset" w:sz="6" w:space="0" w:color="auto"/>
              <w:bottom w:val="outset" w:sz="6" w:space="0" w:color="auto"/>
              <w:right w:val="outset" w:sz="6" w:space="0" w:color="auto"/>
            </w:tcBorders>
            <w:shd w:val="clear" w:color="auto" w:fill="auto"/>
          </w:tcPr>
          <w:p w14:paraId="3B271728" w14:textId="66250CAD" w:rsidR="00CE7114" w:rsidRPr="00D43DC4" w:rsidRDefault="00706BA7" w:rsidP="00E93D6A">
            <w:pPr>
              <w:pStyle w:val="Tabletext"/>
            </w:pPr>
            <w:r>
              <w:t>36%</w:t>
            </w:r>
          </w:p>
        </w:tc>
      </w:tr>
    </w:tbl>
    <w:p w14:paraId="1E270796" w14:textId="77C836DC" w:rsidR="00DC45A1" w:rsidRPr="00D43DC4" w:rsidRDefault="00DC45A1" w:rsidP="00BC3AE0">
      <w:pPr>
        <w:rPr>
          <w:shd w:val="clear" w:color="auto" w:fill="E6E6E6"/>
          <w:lang w:val="en-GB"/>
        </w:rPr>
      </w:pPr>
    </w:p>
    <w:p w14:paraId="2EB9F8A5" w14:textId="77777777" w:rsidR="00F0511F" w:rsidRPr="00D43DC4" w:rsidRDefault="00F0511F" w:rsidP="00BC3AE0">
      <w:pPr>
        <w:rPr>
          <w:rFonts w:eastAsiaTheme="majorEastAsia"/>
          <w:color w:val="2E74B5" w:themeColor="accent1" w:themeShade="BF"/>
        </w:rPr>
      </w:pPr>
      <w:r w:rsidRPr="00D43DC4">
        <w:br w:type="page"/>
      </w:r>
    </w:p>
    <w:p w14:paraId="0C9A3BCC" w14:textId="7D673553" w:rsidR="00BD5594" w:rsidRPr="00D43DC4" w:rsidRDefault="42D62C80" w:rsidP="00E93D6A">
      <w:pPr>
        <w:pStyle w:val="Table"/>
      </w:pPr>
      <w:bookmarkStart w:id="395" w:name="_Toc104249395"/>
      <w:bookmarkStart w:id="396" w:name="_Toc104252122"/>
      <w:bookmarkStart w:id="397" w:name="_Toc124499527"/>
      <w:r>
        <w:lastRenderedPageBreak/>
        <w:t>SEI</w:t>
      </w:r>
      <w:r w:rsidR="00BD5594">
        <w:t xml:space="preserve"> transmission model parameter distributions.</w:t>
      </w:r>
      <w:bookmarkEnd w:id="395"/>
      <w:bookmarkEnd w:id="396"/>
      <w:bookmarkEnd w:id="397"/>
      <w:r w:rsidR="00BD5594">
        <w:t xml:space="preserve"> </w:t>
      </w:r>
    </w:p>
    <w:tbl>
      <w:tblPr>
        <w:tblStyle w:val="TableGridLight"/>
        <w:tblW w:w="9350" w:type="dxa"/>
        <w:tblLook w:val="04A0" w:firstRow="1" w:lastRow="0" w:firstColumn="1" w:lastColumn="0" w:noHBand="0" w:noVBand="1"/>
      </w:tblPr>
      <w:tblGrid>
        <w:gridCol w:w="1260"/>
        <w:gridCol w:w="1935"/>
        <w:gridCol w:w="1710"/>
        <w:gridCol w:w="4445"/>
      </w:tblGrid>
      <w:tr w:rsidR="00E01D73" w:rsidRPr="00D43DC4" w14:paraId="470734CF" w14:textId="77777777" w:rsidTr="00C1085B">
        <w:tc>
          <w:tcPr>
            <w:tcW w:w="1260" w:type="dxa"/>
            <w:shd w:val="clear" w:color="auto" w:fill="E7E6E6" w:themeFill="background2"/>
          </w:tcPr>
          <w:p w14:paraId="13F4CBAB" w14:textId="77777777" w:rsidR="00BD5594" w:rsidRPr="00D43DC4" w:rsidRDefault="00BD5594" w:rsidP="00E93D6A">
            <w:pPr>
              <w:pStyle w:val="Tabletext"/>
            </w:pPr>
            <w:r w:rsidRPr="00D43DC4">
              <w:t>Parameter</w:t>
            </w:r>
          </w:p>
        </w:tc>
        <w:tc>
          <w:tcPr>
            <w:tcW w:w="1935" w:type="dxa"/>
            <w:shd w:val="clear" w:color="auto" w:fill="E7E6E6" w:themeFill="background2"/>
          </w:tcPr>
          <w:p w14:paraId="31360855" w14:textId="77777777" w:rsidR="00BD5594" w:rsidRPr="00D43DC4" w:rsidRDefault="00BD5594" w:rsidP="00E93D6A">
            <w:pPr>
              <w:pStyle w:val="Tabletext"/>
            </w:pPr>
            <w:r w:rsidRPr="00D43DC4">
              <w:t>Value</w:t>
            </w:r>
          </w:p>
        </w:tc>
        <w:tc>
          <w:tcPr>
            <w:tcW w:w="1710" w:type="dxa"/>
            <w:shd w:val="clear" w:color="auto" w:fill="E7E6E6" w:themeFill="background2"/>
          </w:tcPr>
          <w:p w14:paraId="00EA7AFA" w14:textId="77777777" w:rsidR="00BD5594" w:rsidRPr="00D43DC4" w:rsidRDefault="00BD5594" w:rsidP="00E93D6A">
            <w:pPr>
              <w:pStyle w:val="Tabletext"/>
            </w:pPr>
            <w:r w:rsidRPr="00D43DC4">
              <w:t>Source</w:t>
            </w:r>
          </w:p>
        </w:tc>
        <w:tc>
          <w:tcPr>
            <w:tcW w:w="4445" w:type="dxa"/>
            <w:shd w:val="clear" w:color="auto" w:fill="E7E6E6" w:themeFill="background2"/>
          </w:tcPr>
          <w:p w14:paraId="3E7C70FB" w14:textId="77777777" w:rsidR="00BD5594" w:rsidRPr="00D43DC4" w:rsidRDefault="00BD5594" w:rsidP="00E93D6A">
            <w:pPr>
              <w:pStyle w:val="Tabletext"/>
            </w:pPr>
            <w:r w:rsidRPr="00D43DC4">
              <w:t>Description</w:t>
            </w:r>
          </w:p>
        </w:tc>
      </w:tr>
      <w:tr w:rsidR="00157D91" w:rsidRPr="00D43DC4" w14:paraId="15D53911" w14:textId="77777777" w:rsidTr="00C1085B">
        <w:tc>
          <w:tcPr>
            <w:tcW w:w="1260" w:type="dxa"/>
          </w:tcPr>
          <w:p w14:paraId="4C957615" w14:textId="21CBA72D" w:rsidR="00157D91" w:rsidRDefault="00000000" w:rsidP="00E93D6A">
            <w:pPr>
              <w:pStyle w:val="Tabletext"/>
              <w:rPr>
                <w:rFonts w:eastAsia="Calibri"/>
              </w:rPr>
            </w:pPr>
            <m:oMathPara>
              <m:oMath>
                <m:sSub>
                  <m:sSubPr>
                    <m:ctrlPr>
                      <w:rPr>
                        <w:rFonts w:ascii="Cambria Math" w:eastAsia="Calibri" w:hAnsi="Cambria Math"/>
                        <w:i/>
                      </w:rPr>
                    </m:ctrlPr>
                  </m:sSubPr>
                  <m:e>
                    <m:r>
                      <w:rPr>
                        <w:rFonts w:ascii="Cambria Math" w:eastAsia="Calibri" w:hAnsi="Cambria Math"/>
                      </w:rPr>
                      <m:t>τ</m:t>
                    </m:r>
                  </m:e>
                  <m:sub>
                    <m:r>
                      <w:rPr>
                        <w:rFonts w:ascii="Cambria Math" w:eastAsia="Calibri" w:hAnsi="Cambria Math"/>
                      </w:rPr>
                      <m:t>C</m:t>
                    </m:r>
                  </m:sub>
                </m:sSub>
              </m:oMath>
            </m:oMathPara>
          </w:p>
        </w:tc>
        <w:tc>
          <w:tcPr>
            <w:tcW w:w="1935" w:type="dxa"/>
          </w:tcPr>
          <w:p w14:paraId="1CDFDB4C" w14:textId="0023A0F0" w:rsidR="00157D91" w:rsidRDefault="00BA677B" w:rsidP="00BA677B">
            <w:pPr>
              <w:pStyle w:val="Tabletext"/>
              <w:jc w:val="center"/>
              <w:rPr>
                <w:rFonts w:eastAsia="Calibri"/>
              </w:rPr>
            </w:pPr>
            <w:r>
              <w:rPr>
                <w:rFonts w:eastAsia="Calibri"/>
              </w:rPr>
              <w:t>U[10, 14]</w:t>
            </w:r>
          </w:p>
        </w:tc>
        <w:tc>
          <w:tcPr>
            <w:tcW w:w="1710" w:type="dxa"/>
          </w:tcPr>
          <w:p w14:paraId="52ECBA04" w14:textId="6082F77B" w:rsidR="00157D91" w:rsidRPr="00D43DC4" w:rsidRDefault="007A46C9" w:rsidP="00E93D6A">
            <w:pPr>
              <w:pStyle w:val="Tabletext"/>
            </w:pPr>
            <w:r>
              <w:t>Sensitivity Analysis</w:t>
            </w:r>
            <w:r w:rsidR="006E7609">
              <w:fldChar w:fldCharType="begin"/>
            </w:r>
            <w:r w:rsidR="004876B1">
              <w:instrText xml:space="preserve"> ADDIN ZOTERO_ITEM CSL_CITATION {"citationID":"f3T6rqpk","properties":{"formattedCitation":"\\super 2\\nosupersub{}","plainCitation":"2","noteIndex":0},"citationItems":[{"id":21604,"uris":["http://zotero.org/groups/2154524/items/2GFYXY7A"],"itemData":{"id":21604,"type":"article-journal","container-title":"The Lancet","DOI":"10.1016/S0140-6736(22)00484-6","issue":"10344","journalAbbreviation":"Lancet","page":"2349-2378","title":"Estimating global, regional, and national daily and cumulative infections with SARS-CoV-2 through Nov 14, 2021: a statistical analysis","volume":"399","author":[{"literal":"Barber, RM"},{"family":"Sorensen","given":"RJD"},{"family":"Pigott","given":"DM"},{"family":"Bisignano","given":"C"},{"family":"Carter","given":"A"},{"family":"Almag","given":"JO"},{"family":"Collins","given":"JA"},{"family":"Abbafati","given":"C"},{"family":"Adolph","given":"C"},{"literal":"et al"}],"issued":{"date-parts":[["2022",4,8]]}}}],"schema":"https://github.com/citation-style-language/schema/raw/master/csl-citation.json"} </w:instrText>
            </w:r>
            <w:r w:rsidR="006E7609">
              <w:fldChar w:fldCharType="separate"/>
            </w:r>
            <w:r w:rsidR="006E7609" w:rsidRPr="006E7609">
              <w:rPr>
                <w:szCs w:val="24"/>
                <w:vertAlign w:val="superscript"/>
              </w:rPr>
              <w:t>2</w:t>
            </w:r>
            <w:r w:rsidR="006E7609">
              <w:fldChar w:fldCharType="end"/>
            </w:r>
          </w:p>
        </w:tc>
        <w:tc>
          <w:tcPr>
            <w:tcW w:w="4445" w:type="dxa"/>
          </w:tcPr>
          <w:p w14:paraId="5EA90943" w14:textId="2B8432EF" w:rsidR="00157D91" w:rsidRPr="00D43DC4" w:rsidRDefault="00CE4FC9" w:rsidP="00E93D6A">
            <w:pPr>
              <w:pStyle w:val="Tabletext"/>
            </w:pPr>
            <w:r>
              <w:t>Time from exposure to a reported case.</w:t>
            </w:r>
          </w:p>
        </w:tc>
      </w:tr>
      <w:tr w:rsidR="007A46C9" w:rsidRPr="00D43DC4" w14:paraId="1F413A82" w14:textId="77777777" w:rsidTr="00C1085B">
        <w:tc>
          <w:tcPr>
            <w:tcW w:w="1260" w:type="dxa"/>
          </w:tcPr>
          <w:p w14:paraId="7EE73E61" w14:textId="137657C4" w:rsidR="007A46C9" w:rsidRDefault="00000000" w:rsidP="007A46C9">
            <w:pPr>
              <w:pStyle w:val="Tabletext"/>
              <w:rPr>
                <w:rFonts w:eastAsia="Calibri"/>
              </w:rPr>
            </w:pPr>
            <m:oMathPara>
              <m:oMath>
                <m:sSub>
                  <m:sSubPr>
                    <m:ctrlPr>
                      <w:rPr>
                        <w:rFonts w:ascii="Cambria Math" w:eastAsia="Calibri" w:hAnsi="Cambria Math"/>
                        <w:i/>
                      </w:rPr>
                    </m:ctrlPr>
                  </m:sSubPr>
                  <m:e>
                    <m:r>
                      <w:rPr>
                        <w:rFonts w:ascii="Cambria Math" w:eastAsia="Calibri" w:hAnsi="Cambria Math"/>
                      </w:rPr>
                      <m:t>τ</m:t>
                    </m:r>
                  </m:e>
                  <m:sub>
                    <m:r>
                      <w:rPr>
                        <w:rFonts w:ascii="Cambria Math" w:eastAsia="Calibri" w:hAnsi="Cambria Math"/>
                      </w:rPr>
                      <m:t>H</m:t>
                    </m:r>
                  </m:sub>
                </m:sSub>
              </m:oMath>
            </m:oMathPara>
          </w:p>
        </w:tc>
        <w:tc>
          <w:tcPr>
            <w:tcW w:w="1935" w:type="dxa"/>
          </w:tcPr>
          <w:p w14:paraId="08511D75" w14:textId="79CBDBAF" w:rsidR="007A46C9" w:rsidRDefault="007A46C9" w:rsidP="007A46C9">
            <w:pPr>
              <w:pStyle w:val="Tabletext"/>
              <w:jc w:val="center"/>
              <w:rPr>
                <w:rFonts w:eastAsia="Calibri"/>
              </w:rPr>
            </w:pPr>
            <w:r>
              <w:rPr>
                <w:rFonts w:eastAsia="Calibri"/>
              </w:rPr>
              <w:t>U[10, 14]</w:t>
            </w:r>
          </w:p>
        </w:tc>
        <w:tc>
          <w:tcPr>
            <w:tcW w:w="1710" w:type="dxa"/>
          </w:tcPr>
          <w:p w14:paraId="2AE3BBB1" w14:textId="6B7491F9" w:rsidR="007A46C9" w:rsidRPr="00D43DC4" w:rsidRDefault="007A46C9" w:rsidP="007A46C9">
            <w:pPr>
              <w:pStyle w:val="Tabletext"/>
            </w:pPr>
            <w:r>
              <w:t>Sensitivity Analysis</w:t>
            </w:r>
            <w:r w:rsidR="006E7609">
              <w:fldChar w:fldCharType="begin"/>
            </w:r>
            <w:r w:rsidR="004876B1">
              <w:instrText xml:space="preserve"> ADDIN ZOTERO_ITEM CSL_CITATION {"citationID":"Rm4LyPp9","properties":{"formattedCitation":"\\super 2\\nosupersub{}","plainCitation":"2","noteIndex":0},"citationItems":[{"id":21604,"uris":["http://zotero.org/groups/2154524/items/2GFYXY7A"],"itemData":{"id":21604,"type":"article-journal","container-title":"The Lancet","DOI":"10.1016/S0140-6736(22)00484-6","issue":"10344","journalAbbreviation":"Lancet","page":"2349-2378","title":"Estimating global, regional, and national daily and cumulative infections with SARS-CoV-2 through Nov 14, 2021: a statistical analysis","volume":"399","author":[{"literal":"Barber, RM"},{"family":"Sorensen","given":"RJD"},{"family":"Pigott","given":"DM"},{"family":"Bisignano","given":"C"},{"family":"Carter","given":"A"},{"family":"Almag","given":"JO"},{"family":"Collins","given":"JA"},{"family":"Abbafati","given":"C"},{"family":"Adolph","given":"C"},{"literal":"et al"}],"issued":{"date-parts":[["2022",4,8]]}}}],"schema":"https://github.com/citation-style-language/schema/raw/master/csl-citation.json"} </w:instrText>
            </w:r>
            <w:r w:rsidR="006E7609">
              <w:fldChar w:fldCharType="separate"/>
            </w:r>
            <w:r w:rsidR="006E7609" w:rsidRPr="006E7609">
              <w:rPr>
                <w:szCs w:val="24"/>
                <w:vertAlign w:val="superscript"/>
              </w:rPr>
              <w:t>2</w:t>
            </w:r>
            <w:r w:rsidR="006E7609">
              <w:fldChar w:fldCharType="end"/>
            </w:r>
          </w:p>
        </w:tc>
        <w:tc>
          <w:tcPr>
            <w:tcW w:w="4445" w:type="dxa"/>
          </w:tcPr>
          <w:p w14:paraId="7DA432E3" w14:textId="474A8A53" w:rsidR="007A46C9" w:rsidRDefault="007A46C9" w:rsidP="007A46C9">
            <w:pPr>
              <w:pStyle w:val="Tabletext"/>
            </w:pPr>
            <w:r>
              <w:t xml:space="preserve">Time from exposure to a </w:t>
            </w:r>
            <w:r w:rsidR="00FD2796">
              <w:t>hospital admission</w:t>
            </w:r>
            <w:r>
              <w:t>.</w:t>
            </w:r>
          </w:p>
        </w:tc>
      </w:tr>
      <w:tr w:rsidR="00FD2796" w:rsidRPr="00D43DC4" w14:paraId="07305879" w14:textId="77777777" w:rsidTr="00C1085B">
        <w:tc>
          <w:tcPr>
            <w:tcW w:w="1260" w:type="dxa"/>
          </w:tcPr>
          <w:p w14:paraId="1B4A9A40" w14:textId="49C860EF" w:rsidR="00FD2796" w:rsidRDefault="00000000" w:rsidP="00FD2796">
            <w:pPr>
              <w:pStyle w:val="Tabletext"/>
              <w:rPr>
                <w:rFonts w:eastAsia="Calibri"/>
              </w:rPr>
            </w:pPr>
            <m:oMathPara>
              <m:oMath>
                <m:sSub>
                  <m:sSubPr>
                    <m:ctrlPr>
                      <w:rPr>
                        <w:rFonts w:ascii="Cambria Math" w:eastAsia="Calibri" w:hAnsi="Cambria Math"/>
                        <w:i/>
                      </w:rPr>
                    </m:ctrlPr>
                  </m:sSubPr>
                  <m:e>
                    <m:r>
                      <w:rPr>
                        <w:rFonts w:ascii="Cambria Math" w:eastAsia="Calibri" w:hAnsi="Cambria Math"/>
                      </w:rPr>
                      <m:t>τ</m:t>
                    </m:r>
                  </m:e>
                  <m:sub>
                    <m:r>
                      <w:rPr>
                        <w:rFonts w:ascii="Cambria Math" w:eastAsia="Calibri" w:hAnsi="Cambria Math"/>
                      </w:rPr>
                      <m:t>D</m:t>
                    </m:r>
                  </m:sub>
                </m:sSub>
              </m:oMath>
            </m:oMathPara>
          </w:p>
        </w:tc>
        <w:tc>
          <w:tcPr>
            <w:tcW w:w="1935" w:type="dxa"/>
          </w:tcPr>
          <w:p w14:paraId="180C535B" w14:textId="709046B4" w:rsidR="00FD2796" w:rsidRDefault="00FD2796" w:rsidP="000A2001">
            <w:pPr>
              <w:pStyle w:val="Tabletext"/>
              <w:jc w:val="center"/>
              <w:rPr>
                <w:rFonts w:eastAsia="Calibri"/>
              </w:rPr>
            </w:pPr>
            <w:r>
              <w:rPr>
                <w:rFonts w:eastAsia="Calibri"/>
              </w:rPr>
              <w:t>U[12, 16]</w:t>
            </w:r>
          </w:p>
        </w:tc>
        <w:tc>
          <w:tcPr>
            <w:tcW w:w="1710" w:type="dxa"/>
          </w:tcPr>
          <w:p w14:paraId="2BE69630" w14:textId="250A59ED" w:rsidR="00FD2796" w:rsidRDefault="00FD2796" w:rsidP="00FD2796">
            <w:pPr>
              <w:pStyle w:val="Tabletext"/>
            </w:pPr>
            <w:r>
              <w:t>Sensitivity Analysis</w:t>
            </w:r>
            <w:r w:rsidR="00950776">
              <w:fldChar w:fldCharType="begin"/>
            </w:r>
            <w:r w:rsidR="004876B1">
              <w:instrText xml:space="preserve"> ADDIN ZOTERO_ITEM CSL_CITATION {"citationID":"ZuXd7BMt","properties":{"formattedCitation":"\\super 2\\nosupersub{}","plainCitation":"2","noteIndex":0},"citationItems":[{"id":21604,"uris":["http://zotero.org/groups/2154524/items/2GFYXY7A"],"itemData":{"id":21604,"type":"article-journal","container-title":"The Lancet","DOI":"10.1016/S0140-6736(22)00484-6","issue":"10344","journalAbbreviation":"Lancet","page":"2349-2378","title":"Estimating global, regional, and national daily and cumulative infections with SARS-CoV-2 through Nov 14, 2021: a statistical analysis","volume":"399","author":[{"literal":"Barber, RM"},{"family":"Sorensen","given":"RJD"},{"family":"Pigott","given":"DM"},{"family":"Bisignano","given":"C"},{"family":"Carter","given":"A"},{"family":"Almag","given":"JO"},{"family":"Collins","given":"JA"},{"family":"Abbafati","given":"C"},{"family":"Adolph","given":"C"},{"literal":"et al"}],"issued":{"date-parts":[["2022",4,8]]}}}],"schema":"https://github.com/citation-style-language/schema/raw/master/csl-citation.json"} </w:instrText>
            </w:r>
            <w:r w:rsidR="00950776">
              <w:fldChar w:fldCharType="separate"/>
            </w:r>
            <w:r w:rsidR="00950776" w:rsidRPr="00950776">
              <w:rPr>
                <w:szCs w:val="24"/>
                <w:vertAlign w:val="superscript"/>
              </w:rPr>
              <w:t>2</w:t>
            </w:r>
            <w:r w:rsidR="00950776">
              <w:fldChar w:fldCharType="end"/>
            </w:r>
          </w:p>
        </w:tc>
        <w:tc>
          <w:tcPr>
            <w:tcW w:w="4445" w:type="dxa"/>
          </w:tcPr>
          <w:p w14:paraId="481C77E5" w14:textId="54FC0138" w:rsidR="00FD2796" w:rsidRDefault="00FD2796" w:rsidP="00FD2796">
            <w:pPr>
              <w:pStyle w:val="Tabletext"/>
            </w:pPr>
            <w:r>
              <w:t>Time from hospital admission to death.</w:t>
            </w:r>
          </w:p>
        </w:tc>
      </w:tr>
      <w:tr w:rsidR="00FD2796" w:rsidRPr="00D43DC4" w14:paraId="1795FAA3" w14:textId="77777777" w:rsidTr="00C1085B">
        <w:tc>
          <w:tcPr>
            <w:tcW w:w="1260" w:type="dxa"/>
          </w:tcPr>
          <w:p w14:paraId="32CC899D" w14:textId="2FF35E06" w:rsidR="00FD2796" w:rsidRDefault="000A2001" w:rsidP="00F8323E">
            <w:pPr>
              <w:pStyle w:val="Tabletext"/>
              <w:rPr>
                <w:rFonts w:eastAsia="Calibri"/>
              </w:rPr>
            </w:pPr>
            <m:oMathPara>
              <m:oMath>
                <m:r>
                  <w:rPr>
                    <w:rFonts w:ascii="Cambria Math" w:eastAsia="Calibri" w:hAnsi="Cambria Math"/>
                  </w:rPr>
                  <m:t xml:space="preserve"> </m:t>
                </m:r>
                <m:sSubSup>
                  <m:sSubSupPr>
                    <m:ctrlPr>
                      <w:rPr>
                        <w:rFonts w:ascii="Cambria Math" w:eastAsia="Calibri" w:hAnsi="Cambria Math"/>
                        <w:i/>
                      </w:rPr>
                    </m:ctrlPr>
                  </m:sSubSupPr>
                  <m:e>
                    <m:r>
                      <w:rPr>
                        <w:rFonts w:ascii="Cambria Math" w:eastAsia="Calibri" w:hAnsi="Cambria Math"/>
                      </w:rPr>
                      <m:t>κ</m:t>
                    </m:r>
                  </m:e>
                  <m:sub>
                    <m:r>
                      <w:rPr>
                        <w:rFonts w:ascii="Cambria Math" w:eastAsia="Calibri" w:hAnsi="Cambria Math"/>
                      </w:rPr>
                      <m:t>x</m:t>
                    </m:r>
                  </m:sub>
                  <m:sup>
                    <m:r>
                      <w:rPr>
                        <w:rFonts w:ascii="Cambria Math" w:eastAsia="Calibri" w:hAnsi="Cambria Math"/>
                      </w:rPr>
                      <m:t>I</m:t>
                    </m:r>
                  </m:sup>
                </m:sSubSup>
              </m:oMath>
            </m:oMathPara>
          </w:p>
        </w:tc>
        <w:tc>
          <w:tcPr>
            <w:tcW w:w="1935" w:type="dxa"/>
          </w:tcPr>
          <w:p w14:paraId="4E8E838F" w14:textId="5F7B0DB9" w:rsidR="00FD2796" w:rsidRDefault="00F8323E" w:rsidP="000A2001">
            <w:pPr>
              <w:pStyle w:val="Tabletext"/>
              <w:jc w:val="center"/>
              <w:rPr>
                <w:rFonts w:eastAsia="Calibri"/>
              </w:rPr>
            </w:pPr>
            <w:r>
              <w:rPr>
                <w:rFonts w:eastAsia="Calibri"/>
              </w:rPr>
              <w:t>1.0 - ancestral</w:t>
            </w:r>
          </w:p>
          <w:p w14:paraId="0ECA4ED2" w14:textId="15F19849" w:rsidR="00F8323E" w:rsidRDefault="00F8323E" w:rsidP="000A2001">
            <w:pPr>
              <w:pStyle w:val="Tabletext"/>
              <w:jc w:val="center"/>
              <w:rPr>
                <w:rFonts w:eastAsia="Calibri"/>
              </w:rPr>
            </w:pPr>
            <w:r>
              <w:rPr>
                <w:rFonts w:eastAsia="Calibri"/>
              </w:rPr>
              <w:t>U[1.2, 1.6] – Alpha</w:t>
            </w:r>
          </w:p>
          <w:p w14:paraId="31B1EC17" w14:textId="640811D8" w:rsidR="00F8323E" w:rsidRDefault="00F8323E" w:rsidP="000A2001">
            <w:pPr>
              <w:pStyle w:val="Tabletext"/>
              <w:jc w:val="center"/>
              <w:rPr>
                <w:rFonts w:eastAsia="Calibri"/>
              </w:rPr>
            </w:pPr>
            <w:r>
              <w:rPr>
                <w:rFonts w:eastAsia="Calibri"/>
              </w:rPr>
              <w:t>U[1.0, 1.4] – Beta</w:t>
            </w:r>
          </w:p>
          <w:p w14:paraId="55B60231" w14:textId="76A7A0E6" w:rsidR="00F8323E" w:rsidRDefault="00F8323E" w:rsidP="000A2001">
            <w:pPr>
              <w:pStyle w:val="Tabletext"/>
              <w:jc w:val="center"/>
              <w:rPr>
                <w:rFonts w:eastAsia="Calibri"/>
              </w:rPr>
            </w:pPr>
            <w:r>
              <w:rPr>
                <w:rFonts w:eastAsia="Calibri"/>
              </w:rPr>
              <w:t>U[1.0, 1.4] – Gamma</w:t>
            </w:r>
          </w:p>
          <w:p w14:paraId="01D1DCD9" w14:textId="3E7CA5A5" w:rsidR="00F8323E" w:rsidRDefault="00F8323E" w:rsidP="000A2001">
            <w:pPr>
              <w:pStyle w:val="Tabletext"/>
              <w:jc w:val="center"/>
              <w:rPr>
                <w:rFonts w:eastAsia="Calibri"/>
              </w:rPr>
            </w:pPr>
            <w:r>
              <w:rPr>
                <w:rFonts w:eastAsia="Calibri"/>
              </w:rPr>
              <w:t>U[1.6, 2.0] – Delta</w:t>
            </w:r>
          </w:p>
          <w:p w14:paraId="6BC81AA2" w14:textId="030746B1" w:rsidR="00F8323E" w:rsidRDefault="00F8323E" w:rsidP="000A2001">
            <w:pPr>
              <w:pStyle w:val="Tabletext"/>
              <w:jc w:val="center"/>
              <w:rPr>
                <w:rFonts w:eastAsia="Calibri"/>
              </w:rPr>
            </w:pPr>
            <w:r>
              <w:rPr>
                <w:rFonts w:eastAsia="Calibri"/>
              </w:rPr>
              <w:t>U[2.5, 3.5] – Omicron</w:t>
            </w:r>
          </w:p>
        </w:tc>
        <w:tc>
          <w:tcPr>
            <w:tcW w:w="1710" w:type="dxa"/>
          </w:tcPr>
          <w:p w14:paraId="76B2A771" w14:textId="49B44AD7" w:rsidR="00FD2796" w:rsidRDefault="00F8323E" w:rsidP="00FD2796">
            <w:pPr>
              <w:pStyle w:val="Tabletext"/>
            </w:pPr>
            <w:r>
              <w:t>Literature</w:t>
            </w:r>
            <w:r w:rsidR="008F1007">
              <w:fldChar w:fldCharType="begin"/>
            </w:r>
            <w:r w:rsidR="00851DCE">
              <w:instrText xml:space="preserve"> ADDIN ZOTERO_ITEM CSL_CITATION {"citationID":"FcPuSiai","properties":{"unsorted":true,"formattedCitation":"\\super 47\\uc0\\u8211{}50\\nosupersub{}","plainCitation":"47–50","noteIndex":0},"citationItems":[{"id":21716,"uris":["http://zotero.org/groups/2154524/items/MZSBMKNV"],"itemData":{"id":21716,"type":"article-journal","container-title":"Science","DOI":"10.1126/science.abh2644","issue":"6544","note":"publisher: American Association for the Advancement of Science","page":"815-821","source":"science.org (Atypon)","title":"Genomics and epidemiology of the P.1 SARS-CoV-2 lineage in Manaus, Brazil","volume":"372","author":[{"family":"Faria","given":"Nuno R."},{"family":"Mellan","given":"Thomas A."},{"family":"Whittaker","given":"Charles"},{"family":"Claro","given":"Ingra M."},{"family":"Candido","given":"Darlan da S."},{"family":"Mishra","given":"Swapnil"},{"family":"Crispim","given":"Myuki A. E."},{"family":"Sales","given":"Flavia C. S."},{"family":"Hawryluk","given":"Iwona"},{"family":"McCrone","given":"John T."},{"family":"Hulswit","given":"Ruben J. G."},{"family":"Franco","given":"Lucas A. M."},{"family":"Ramundo","given":"Mariana S."},{"family":"Jesus","given":"Jaqueline G.","non-dropping-particle":"de"},{"family":"Andrade","given":"Pamela S."},{"family":"Coletti","given":"Thais M."},{"family":"Ferreira","given":"Giulia M."},{"family":"Silva","given":"Camila A. M."},{"family":"Manuli","given":"Erika R."},{"family":"Pereira","given":"Rafael H. M."},{"family":"Peixoto","given":"Pedro S."},{"family":"Kraemer","given":"Moritz U. G."},{"family":"Gaburo","given":"Nelson"},{"family":"Camilo","given":"Cecilia da C."},{"family":"Hoeltgebaum","given":"Henrique"},{"family":"Souza","given":"William M."},{"family":"Rocha","given":"Esmenia C."},{"family":"Souza","given":"Leandro M.","non-dropping-particle":"de"},{"family":"Pinho","given":"Mariana C.","non-dropping-particle":"de"},{"family":"Araujo","given":"Leonardo J. T."},{"family":"Malta","given":"Frederico S. V."},{"family":"Lima","given":"Aline B.","non-dropping-particle":"de"},{"family":"Silva","given":"Joice do P."},{"family":"Zauli","given":"Danielle A. G."},{"family":"Ferreira","given":"Alessandro C. de S."},{"family":"Schnekenberg","given":"Ricardo P."},{"family":"Laydon","given":"Daniel J."},{"family":"Walker","given":"Patrick G. T."},{"family":"Schlüter","given":"Hannah M."},{"family":"Santos","given":"Ana L. P.","non-dropping-particle":"dos"},{"family":"Vidal","given":"Maria S."},{"family":"Del Caro","given":"Valentina S."},{"family":"Filho","given":"Rosinaldo M. F."},{"family":"Santos","given":"Helem M.","non-dropping-particle":"dos"},{"family":"Aguiar","given":"Renato S."},{"family":"Proença-Modena","given":"José L."},{"family":"Nelson","given":"Bruce"},{"family":"Hay","given":"James A."},{"family":"Monod","given":"Mélodie"},{"family":"Miscouridou","given":"Xenia"},{"family":"Coupland","given":"Helen"},{"family":"Sonabend","given":"Raphael"},{"family":"Vollmer","given":"Michaela"},{"family":"Gandy","given":"Axel"},{"family":"Prete","given":"Carlos A."},{"family":"Nascimento","given":"Vitor H."},{"family":"Suchard","given":"Marc A."},{"family":"Bowden","given":"Thomas A."},{"family":"Pond","given":"Sergei L. K."},{"family":"Wu","given":"Chieh-Hsi"},{"family":"Ratmann","given":"Oliver"},{"family":"Ferguson","given":"Neil M."},{"family":"Dye","given":"Christopher"},{"family":"Loman","given":"Nick J."},{"family":"Lemey","given":"Philippe"},{"family":"Rambaut","given":"Andrew"},{"family":"Fraiji","given":"Nelson A."},{"family":"Carvalho","given":"Maria do P. S. S."},{"family":"Pybus","given":"Oliver G."},{"family":"Flaxman","given":"Seth"},{"family":"Bhatt","given":"Samir"},{"family":"Sabino","given":"Ester C."}],"issued":{"date-parts":[["2021",5,21]]}},"label":"page"},{"id":976,"uris":["http://zotero.org/groups/2154524/items/UPPD68M3"],"itemData":{"id":976,"type":"article-journal","abstract":"Using globally available data sources with mathematical models, we analysed the transmissibility and severity of a novel SARS-CoV-2 variant, 501Y.V2, in South Africa.","container-title":"CMMID Repository. Under peer review","language":"en","title":"Estimates of severity and transmissibility of novel SARS-CoV-2 variant 501Y.V2 in South Africa","author":[{"family":"Pearson","given":"CAB"},{"family":"Russell","given":"TW"},{"family":"Davies","given":"N"},{"literal":"et al"}],"issued":{"date-parts":[["2021",1,11]]}},"label":"page"},{"id":21715,"uris":["http://zotero.org/groups/2154524/items/AV2ABI56"],"itemData":{"id":21715,"type":"article-journal","abstract":"The city of Manaus, north Brazil, was stricken by a second epidemic wave of SARS-CoV-2 despite high seroprevalence estimates, coinciding with the emergence of the Gamma (P.1) variant. Reinfections were postulated as a partial explanation for the second surge. However, accurate calculation of reinfection rates is difficult when stringent criteria as two time-separated RT-PCR tests and/or genome sequencing are required. To estimate the proportion of reinfections caused by Gamma during the second wave in Manaus and the protection conferred by previous infection, we identified anti-SARS-CoV-2 antibody boosting in repeat blood donors as a mean to infer reinfection.","container-title":"BMC Infectious Diseases","DOI":"10.1186/s12879-022-07094-y","ISSN":"1471-2334","issue":"1","journalAbbreviation":"BMC Infectious Diseases","page":"127","source":"BioMed Central","title":"Reinfection by the SARS-CoV-2 Gamma variant in blood donors in Manaus, Brazil","volume":"22","author":[{"family":"Prete","given":"Carlos A."},{"family":"Buss","given":"Lewis F."},{"family":"Buccheri","given":"Renata"},{"family":"Abrahim","given":"Claudia M. M."},{"family":"Salomon","given":"Tassila"},{"family":"Crispim","given":"Myuki A. E."},{"family":"Oikawa","given":"Marcio K."},{"family":"Grebe","given":"Eduard"},{"family":"Costa","given":"Allyson G.","non-dropping-particle":"da"},{"family":"Fraiji","given":"Nelson A."},{"family":"P. S. S. Carvalho","given":"Maria","non-dropping-particle":"do"},{"family":"Whittaker","given":"Charles"},{"family":"Alexander","given":"Neal"},{"family":"Faria","given":"Nuno R."},{"family":"Dye","given":"Christopher"},{"family":"Nascimento","given":"Vítor H."},{"family":"Busch","given":"Michael P."},{"family":"Sabino","given":"Ester Cerdeira"}],"issued":{"date-parts":[["2022",2,5]]}},"label":"page"},{"id":972,"uris":["http://zotero.org/groups/2154524/items/H2F24QEK"],"itemData":{"id":972,"type":"report","event-place":"London, UK","publisher":"National Infection Service, Public Health England","publisher-place":"London, UK","title":"Increased household transmission of COVID-19 cases associated with SARS-CoV-2 Variant of Concern B.1.617.2: a national case-control study","author":[{"family":"Allen","given":"H"},{"family":"Vusirikala","given":"A"},{"family":"Flannagan","given":"J"},{"literal":"et al"}],"accessed":{"date-parts":[["2021",7,4]]},"issued":{"date-parts":[["2021"]]}},"label":"page"}],"schema":"https://github.com/citation-style-language/schema/raw/master/csl-citation.json"} </w:instrText>
            </w:r>
            <w:r w:rsidR="008F1007">
              <w:fldChar w:fldCharType="separate"/>
            </w:r>
            <w:r w:rsidR="00851DCE" w:rsidRPr="00851DCE">
              <w:rPr>
                <w:vertAlign w:val="superscript"/>
              </w:rPr>
              <w:t>47–50</w:t>
            </w:r>
            <w:r w:rsidR="008F1007">
              <w:fldChar w:fldCharType="end"/>
            </w:r>
            <w:r w:rsidR="00B879F0">
              <w:t xml:space="preserve"> and model calibration</w:t>
            </w:r>
          </w:p>
        </w:tc>
        <w:tc>
          <w:tcPr>
            <w:tcW w:w="4445" w:type="dxa"/>
          </w:tcPr>
          <w:p w14:paraId="3ECE9E26" w14:textId="58EED64D" w:rsidR="00FD2796" w:rsidRDefault="00F8323E" w:rsidP="00FD2796">
            <w:pPr>
              <w:pStyle w:val="Tabletext"/>
            </w:pPr>
            <w:r>
              <w:t>Increase in transmission intensity relative to the ancestral variant</w:t>
            </w:r>
          </w:p>
        </w:tc>
      </w:tr>
      <w:tr w:rsidR="00F8323E" w:rsidRPr="00D43DC4" w14:paraId="1AA4673D" w14:textId="77777777" w:rsidTr="00C1085B">
        <w:tc>
          <w:tcPr>
            <w:tcW w:w="1260" w:type="dxa"/>
          </w:tcPr>
          <w:p w14:paraId="718C6B7A" w14:textId="71BD6CBB" w:rsidR="00F8323E" w:rsidRPr="00F8323E" w:rsidRDefault="00000000" w:rsidP="00F8323E">
            <w:pPr>
              <w:pStyle w:val="Tabletext"/>
              <w:rPr>
                <w:rFonts w:eastAsia="Calibri"/>
              </w:rPr>
            </w:pPr>
            <m:oMathPara>
              <m:oMath>
                <m:sSub>
                  <m:sSubPr>
                    <m:ctrlPr>
                      <w:rPr>
                        <w:rFonts w:ascii="Cambria Math" w:eastAsia="Calibri" w:hAnsi="Cambria Math"/>
                        <w:i/>
                      </w:rPr>
                    </m:ctrlPr>
                  </m:sSubPr>
                  <m:e>
                    <m:r>
                      <w:rPr>
                        <w:rFonts w:ascii="Cambria Math" w:eastAsia="Calibri" w:hAnsi="Cambria Math"/>
                      </w:rPr>
                      <m:t>ϕ</m:t>
                    </m:r>
                  </m:e>
                  <m:sub>
                    <m:r>
                      <w:rPr>
                        <w:rFonts w:ascii="Cambria Math" w:eastAsia="Calibri" w:hAnsi="Cambria Math"/>
                      </w:rPr>
                      <m:t>x,y</m:t>
                    </m:r>
                  </m:sub>
                </m:sSub>
              </m:oMath>
            </m:oMathPara>
          </w:p>
        </w:tc>
        <w:tc>
          <w:tcPr>
            <w:tcW w:w="1935" w:type="dxa"/>
          </w:tcPr>
          <w:p w14:paraId="535A7C8B" w14:textId="2DF8BD94" w:rsidR="00F8323E" w:rsidRDefault="00F8323E" w:rsidP="000A2001">
            <w:pPr>
              <w:pStyle w:val="Tabletext"/>
              <w:jc w:val="center"/>
              <w:rPr>
                <w:rFonts w:eastAsia="Calibri"/>
              </w:rPr>
            </w:pPr>
            <w:r>
              <w:rPr>
                <w:rFonts w:eastAsia="Calibri"/>
              </w:rPr>
              <w:t>1.0 – unless otherwise noted</w:t>
            </w:r>
          </w:p>
          <w:p w14:paraId="3A8DA5AA" w14:textId="130C46B5" w:rsidR="00F8323E" w:rsidRDefault="00F8323E" w:rsidP="000A2001">
            <w:pPr>
              <w:pStyle w:val="Tabletext"/>
              <w:jc w:val="center"/>
              <w:rPr>
                <w:rFonts w:eastAsia="Calibri"/>
              </w:rPr>
            </w:pPr>
            <w:r>
              <w:rPr>
                <w:rFonts w:eastAsia="Calibri"/>
              </w:rPr>
              <w:t>U[0.7, 0.9] – Beta, Gamma, and Delta vs. Alpha or ancestral</w:t>
            </w:r>
          </w:p>
          <w:p w14:paraId="4F3FCEC2" w14:textId="7DA0BF1A" w:rsidR="00F8323E" w:rsidRDefault="00F8323E" w:rsidP="000A2001">
            <w:pPr>
              <w:pStyle w:val="Tabletext"/>
              <w:jc w:val="center"/>
              <w:rPr>
                <w:rFonts w:eastAsia="Calibri"/>
              </w:rPr>
            </w:pPr>
            <w:proofErr w:type="gramStart"/>
            <w:r>
              <w:rPr>
                <w:rFonts w:eastAsia="Calibri"/>
              </w:rPr>
              <w:t>U[</w:t>
            </w:r>
            <w:proofErr w:type="gramEnd"/>
            <w:r>
              <w:rPr>
                <w:rFonts w:eastAsia="Calibri"/>
              </w:rPr>
              <w:t>0.4, 0.6] – Omicron vs all other variants.</w:t>
            </w:r>
          </w:p>
          <w:p w14:paraId="3304202E" w14:textId="237B60DD" w:rsidR="00F8323E" w:rsidRDefault="00F8323E" w:rsidP="000A2001">
            <w:pPr>
              <w:pStyle w:val="Tabletext"/>
              <w:jc w:val="center"/>
              <w:rPr>
                <w:rFonts w:eastAsia="Calibri"/>
              </w:rPr>
            </w:pPr>
          </w:p>
        </w:tc>
        <w:tc>
          <w:tcPr>
            <w:tcW w:w="1710" w:type="dxa"/>
          </w:tcPr>
          <w:p w14:paraId="40535E1A" w14:textId="1DCCECA8" w:rsidR="00F8323E" w:rsidRDefault="007A2FA2" w:rsidP="007A2FA2">
            <w:pPr>
              <w:pStyle w:val="Tabletext"/>
            </w:pPr>
            <w:r>
              <w:t>Literature</w:t>
            </w:r>
            <w:r w:rsidR="00B879F0">
              <w:fldChar w:fldCharType="begin"/>
            </w:r>
            <w:r w:rsidR="00851DCE">
              <w:instrText xml:space="preserve"> ADDIN ZOTERO_ITEM CSL_CITATION {"citationID":"lBn039gP","properties":{"formattedCitation":"\\super 47\\uc0\\u8211{}49\\nosupersub{}","plainCitation":"47–49","noteIndex":0},"citationItems":[{"id":21716,"uris":["http://zotero.org/groups/2154524/items/MZSBMKNV"],"itemData":{"id":21716,"type":"article-journal","container-title":"Science","DOI":"10.1126/science.abh2644","issue":"6544","note":"publisher: American Association for the Advancement of Science","page":"815-821","source":"science.org (Atypon)","title":"Genomics and epidemiology of the P.1 SARS-CoV-2 lineage in Manaus, Brazil","volume":"372","author":[{"family":"Faria","given":"Nuno R."},{"family":"Mellan","given":"Thomas A."},{"family":"Whittaker","given":"Charles"},{"family":"Claro","given":"Ingra M."},{"family":"Candido","given":"Darlan da S."},{"family":"Mishra","given":"Swapnil"},{"family":"Crispim","given":"Myuki A. E."},{"family":"Sales","given":"Flavia C. S."},{"family":"Hawryluk","given":"Iwona"},{"family":"McCrone","given":"John T."},{"family":"Hulswit","given":"Ruben J. G."},{"family":"Franco","given":"Lucas A. M."},{"family":"Ramundo","given":"Mariana S."},{"family":"Jesus","given":"Jaqueline G.","non-dropping-particle":"de"},{"family":"Andrade","given":"Pamela S."},{"family":"Coletti","given":"Thais M."},{"family":"Ferreira","given":"Giulia M."},{"family":"Silva","given":"Camila A. M."},{"family":"Manuli","given":"Erika R."},{"family":"Pereira","given":"Rafael H. M."},{"family":"Peixoto","given":"Pedro S."},{"family":"Kraemer","given":"Moritz U. G."},{"family":"Gaburo","given":"Nelson"},{"family":"Camilo","given":"Cecilia da C."},{"family":"Hoeltgebaum","given":"Henrique"},{"family":"Souza","given":"William M."},{"family":"Rocha","given":"Esmenia C."},{"family":"Souza","given":"Leandro M.","non-dropping-particle":"de"},{"family":"Pinho","given":"Mariana C.","non-dropping-particle":"de"},{"family":"Araujo","given":"Leonardo J. T."},{"family":"Malta","given":"Frederico S. V."},{"family":"Lima","given":"Aline B.","non-dropping-particle":"de"},{"family":"Silva","given":"Joice do P."},{"family":"Zauli","given":"Danielle A. G."},{"family":"Ferreira","given":"Alessandro C. de S."},{"family":"Schnekenberg","given":"Ricardo P."},{"family":"Laydon","given":"Daniel J."},{"family":"Walker","given":"Patrick G. T."},{"family":"Schlüter","given":"Hannah M."},{"family":"Santos","given":"Ana L. P.","non-dropping-particle":"dos"},{"family":"Vidal","given":"Maria S."},{"family":"Del Caro","given":"Valentina S."},{"family":"Filho","given":"Rosinaldo M. F."},{"family":"Santos","given":"Helem M.","non-dropping-particle":"dos"},{"family":"Aguiar","given":"Renato S."},{"family":"Proença-Modena","given":"José L."},{"family":"Nelson","given":"Bruce"},{"family":"Hay","given":"James A."},{"family":"Monod","given":"Mélodie"},{"family":"Miscouridou","given":"Xenia"},{"family":"Coupland","given":"Helen"},{"family":"Sonabend","given":"Raphael"},{"family":"Vollmer","given":"Michaela"},{"family":"Gandy","given":"Axel"},{"family":"Prete","given":"Carlos A."},{"family":"Nascimento","given":"Vitor H."},{"family":"Suchard","given":"Marc A."},{"family":"Bowden","given":"Thomas A."},{"family":"Pond","given":"Sergei L. K."},{"family":"Wu","given":"Chieh-Hsi"},{"family":"Ratmann","given":"Oliver"},{"family":"Ferguson","given":"Neil M."},{"family":"Dye","given":"Christopher"},{"family":"Loman","given":"Nick J."},{"family":"Lemey","given":"Philippe"},{"family":"Rambaut","given":"Andrew"},{"family":"Fraiji","given":"Nelson A."},{"family":"Carvalho","given":"Maria do P. S. S."},{"family":"Pybus","given":"Oliver G."},{"family":"Flaxman","given":"Seth"},{"family":"Bhatt","given":"Samir"},{"family":"Sabino","given":"Ester C."}],"issued":{"date-parts":[["2021",5,21]]}},"label":"page"},{"id":976,"uris":["http://zotero.org/groups/2154524/items/UPPD68M3"],"itemData":{"id":976,"type":"article-journal","abstract":"Using globally available data sources with mathematical models, we analysed the transmissibility and severity of a novel SARS-CoV-2 variant, 501Y.V2, in South Africa.","container-title":"CMMID Repository. Under peer review","language":"en","title":"Estimates of severity and transmissibility of novel SARS-CoV-2 variant 501Y.V2 in South Africa","author":[{"family":"Pearson","given":"CAB"},{"family":"Russell","given":"TW"},{"family":"Davies","given":"N"},{"literal":"et al"}],"issued":{"date-parts":[["2021",1,11]]}},"label":"page"},{"id":21715,"uris":["http://zotero.org/groups/2154524/items/AV2ABI56"],"itemData":{"id":21715,"type":"article-journal","abstract":"The city of Manaus, north Brazil, was stricken by a second epidemic wave of SARS-CoV-2 despite high seroprevalence estimates, coinciding with the emergence of the Gamma (P.1) variant. Reinfections were postulated as a partial explanation for the second surge. However, accurate calculation of reinfection rates is difficult when stringent criteria as two time-separated RT-PCR tests and/or genome sequencing are required. To estimate the proportion of reinfections caused by Gamma during the second wave in Manaus and the protection conferred by previous infection, we identified anti-SARS-CoV-2 antibody boosting in repeat blood donors as a mean to infer reinfection.","container-title":"BMC Infectious Diseases","DOI":"10.1186/s12879-022-07094-y","ISSN":"1471-2334","issue":"1","journalAbbreviation":"BMC Infectious Diseases","page":"127","source":"BioMed Central","title":"Reinfection by the SARS-CoV-2 Gamma variant in blood donors in Manaus, Brazil","volume":"22","author":[{"family":"Prete","given":"Carlos A."},{"family":"Buss","given":"Lewis F."},{"family":"Buccheri","given":"Renata"},{"family":"Abrahim","given":"Claudia M. M."},{"family":"Salomon","given":"Tassila"},{"family":"Crispim","given":"Myuki A. E."},{"family":"Oikawa","given":"Marcio K."},{"family":"Grebe","given":"Eduard"},{"family":"Costa","given":"Allyson G.","non-dropping-particle":"da"},{"family":"Fraiji","given":"Nelson A."},{"family":"P. S. S. Carvalho","given":"Maria","non-dropping-particle":"do"},{"family":"Whittaker","given":"Charles"},{"family":"Alexander","given":"Neal"},{"family":"Faria","given":"Nuno R."},{"family":"Dye","given":"Christopher"},{"family":"Nascimento","given":"Vítor H."},{"family":"Busch","given":"Michael P."},{"family":"Sabino","given":"Ester Cerdeira"}],"issued":{"date-parts":[["2022",2,5]]}},"label":"page"}],"schema":"https://github.com/citation-style-language/schema/raw/master/csl-citation.json"} </w:instrText>
            </w:r>
            <w:r w:rsidR="00B879F0">
              <w:fldChar w:fldCharType="separate"/>
            </w:r>
            <w:r w:rsidR="00851DCE" w:rsidRPr="00851DCE">
              <w:rPr>
                <w:vertAlign w:val="superscript"/>
              </w:rPr>
              <w:t>47–49</w:t>
            </w:r>
            <w:r w:rsidR="00B879F0">
              <w:fldChar w:fldCharType="end"/>
            </w:r>
            <w:r w:rsidR="00B879F0">
              <w:t xml:space="preserve"> and model calibration</w:t>
            </w:r>
          </w:p>
        </w:tc>
        <w:tc>
          <w:tcPr>
            <w:tcW w:w="4445" w:type="dxa"/>
          </w:tcPr>
          <w:p w14:paraId="594DD9AB" w14:textId="64280D24" w:rsidR="00F8323E" w:rsidRDefault="00F8323E" w:rsidP="00F8323E">
            <w:pPr>
              <w:pStyle w:val="Tabletext"/>
            </w:pPr>
            <w:r>
              <w:t>Maximum cross-variant immunity</w:t>
            </w:r>
          </w:p>
        </w:tc>
      </w:tr>
      <w:tr w:rsidR="00F8323E" w:rsidRPr="00D43DC4" w14:paraId="1D1C3F38" w14:textId="77777777" w:rsidTr="00C1085B">
        <w:tc>
          <w:tcPr>
            <w:tcW w:w="1260" w:type="dxa"/>
          </w:tcPr>
          <w:p w14:paraId="1597012F" w14:textId="18449854" w:rsidR="00F8323E" w:rsidRPr="00F8323E" w:rsidRDefault="00000000" w:rsidP="00F8323E">
            <w:pPr>
              <w:pStyle w:val="Tabletext"/>
              <w:rPr>
                <w:rFonts w:eastAsia="Calibri"/>
              </w:rPr>
            </w:pPr>
            <m:oMathPara>
              <m:oMath>
                <m:sSubSup>
                  <m:sSubSupPr>
                    <m:ctrlPr>
                      <w:rPr>
                        <w:rFonts w:ascii="Cambria Math" w:eastAsia="Calibri" w:hAnsi="Cambria Math"/>
                        <w:i/>
                      </w:rPr>
                    </m:ctrlPr>
                  </m:sSubSupPr>
                  <m:e>
                    <m:r>
                      <w:rPr>
                        <w:rFonts w:ascii="Cambria Math" w:eastAsia="Calibri" w:hAnsi="Cambria Math"/>
                      </w:rPr>
                      <m:t>κ</m:t>
                    </m:r>
                  </m:e>
                  <m:sub>
                    <m:r>
                      <w:rPr>
                        <w:rFonts w:ascii="Cambria Math" w:eastAsia="Calibri" w:hAnsi="Cambria Math"/>
                      </w:rPr>
                      <m:t>x</m:t>
                    </m:r>
                  </m:sub>
                  <m:sup>
                    <m:r>
                      <w:rPr>
                        <w:rFonts w:ascii="Cambria Math" w:eastAsia="Calibri" w:hAnsi="Cambria Math"/>
                      </w:rPr>
                      <m:t>H</m:t>
                    </m:r>
                  </m:sup>
                </m:sSubSup>
                <m:r>
                  <w:rPr>
                    <w:rFonts w:ascii="Cambria Math" w:eastAsia="Calibri" w:hAnsi="Cambria Math"/>
                  </w:rPr>
                  <m:t xml:space="preserve">, </m:t>
                </m:r>
                <m:sSubSup>
                  <m:sSubSupPr>
                    <m:ctrlPr>
                      <w:rPr>
                        <w:rFonts w:ascii="Cambria Math" w:eastAsia="Calibri" w:hAnsi="Cambria Math"/>
                        <w:i/>
                      </w:rPr>
                    </m:ctrlPr>
                  </m:sSubSupPr>
                  <m:e>
                    <m:r>
                      <w:rPr>
                        <w:rFonts w:ascii="Cambria Math" w:eastAsia="Calibri" w:hAnsi="Cambria Math"/>
                      </w:rPr>
                      <m:t>κ</m:t>
                    </m:r>
                  </m:e>
                  <m:sub>
                    <m:r>
                      <w:rPr>
                        <w:rFonts w:ascii="Cambria Math" w:eastAsia="Calibri" w:hAnsi="Cambria Math"/>
                      </w:rPr>
                      <m:t>x</m:t>
                    </m:r>
                  </m:sub>
                  <m:sup>
                    <m:r>
                      <w:rPr>
                        <w:rFonts w:ascii="Cambria Math" w:eastAsia="Calibri" w:hAnsi="Cambria Math"/>
                      </w:rPr>
                      <m:t>D</m:t>
                    </m:r>
                  </m:sup>
                </m:sSubSup>
              </m:oMath>
            </m:oMathPara>
          </w:p>
        </w:tc>
        <w:tc>
          <w:tcPr>
            <w:tcW w:w="1935" w:type="dxa"/>
          </w:tcPr>
          <w:p w14:paraId="5D152810" w14:textId="571DA442" w:rsidR="000A2001" w:rsidRDefault="000A2001" w:rsidP="000A2001">
            <w:pPr>
              <w:pStyle w:val="Tabletext"/>
              <w:jc w:val="center"/>
              <w:rPr>
                <w:rFonts w:eastAsia="Calibri"/>
              </w:rPr>
            </w:pPr>
            <w:r>
              <w:rPr>
                <w:rFonts w:eastAsia="Calibri"/>
              </w:rPr>
              <w:t>1.64 (95% CI 1.32-2.04)</w:t>
            </w:r>
          </w:p>
        </w:tc>
        <w:tc>
          <w:tcPr>
            <w:tcW w:w="1710" w:type="dxa"/>
          </w:tcPr>
          <w:p w14:paraId="0FAECC4D" w14:textId="431305F3" w:rsidR="00F8323E" w:rsidRDefault="000A2001" w:rsidP="00FD2796">
            <w:pPr>
              <w:pStyle w:val="Tabletext"/>
            </w:pPr>
            <w:r>
              <w:t>Literature</w:t>
            </w:r>
            <w:r w:rsidR="0018137F">
              <w:fldChar w:fldCharType="begin"/>
            </w:r>
            <w:r w:rsidR="00851DCE">
              <w:instrText xml:space="preserve"> ADDIN ZOTERO_ITEM CSL_CITATION {"citationID":"AQocJ9AL","properties":{"formattedCitation":"\\super 51\\nosupersub{}","plainCitation":"51","noteIndex":0},"citationItems":[{"id":21717,"uris":["http://zotero.org/groups/2154524/items/7SHKD2Z4"],"itemData":{"id":21717,"type":"article-journal","abstract":"Objective To establish whether there is any change in mortality from infection with a new variant of SARS-CoV-2, designated a variant of concern (VOC-202012/1) in December 2020, compared with circulating SARS-CoV-2 variants.\nDesign Matched cohort study.\nSetting Community based (pillar 2) covid-19 testing centres in the UK using the TaqPath assay (a proxy measure of VOC-202012/1 infection).\nParticipants 54 906 matched pairs of participants who tested positive for SARS-CoV-2 in pillar 2 between 1 October 2020 and 29 January 2021, followed-up until 12 February 2021. Participants were matched on age, sex, ethnicity, index of multiple deprivation, lower tier local authority region, and sample date of positive specimens, and differed only by detectability of the spike protein gene using the TaqPath assay.\nMain outcome measure Death within 28 days of the first positive SARS-CoV-2 test result.\nResults The mortality hazard ratio associated with infection with VOC-202012/1 compared with infection with previously circulating variants was 1.64 (95% confidence interval 1.32 to 2.04) in patients who tested positive for covid-19 in the community. In this comparatively low risk group, this represents an increase in deaths from 2.5 to 4.1 per 1000 detected cases.\nConclusions The probability that the risk of mortality is increased by infection with VOC-202012/01 is high. If this finding is generalisable to other populations, infection with VOC-202012/1 has the potential to cause substantial additional mortality compared with previously circulating variants. Healthcare capacity planning and national and international control policies are all impacted by this finding, with increased mortality lending weight to the argument that further coordinated and stringent measures are justified to reduce deaths from SARS-CoV-2.","container-title":"BMJ","DOI":"10.1136/bmj.n579","ISSN":"1756-1833","journalAbbreviation":"BMJ","language":"en","license":"© Author(s) (or their employer(s)) 2019. Re-use permitted under CC                 BY. No commercial re-use. See rights and permissions. Published by                 BMJ.. http://creativecommons.org/licenses/by/4.0/This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Research\nPMID: 33687922","page":"n579","source":"www.bmj.com","title":"Risk of mortality in patients infected with SARS-CoV-2 variant of concern 202012/1: matched cohort study","title-short":"Risk of mortality in patients infected with SARS-CoV-2 variant of concern 202012/1","volume":"372","author":[{"family":"Challen","given":"Robert"},{"family":"Brooks-Pollock","given":"Ellen"},{"family":"Read","given":"Jonathan M."},{"family":"Dyson","given":"Louise"},{"family":"Tsaneva-Atanasova","given":"Krasimira"},{"family":"Danon","given":"Leon"}],"issued":{"date-parts":[["2021",3,10]]}}}],"schema":"https://github.com/citation-style-language/schema/raw/master/csl-citation.json"} </w:instrText>
            </w:r>
            <w:r w:rsidR="0018137F">
              <w:fldChar w:fldCharType="separate"/>
            </w:r>
            <w:r w:rsidR="00851DCE" w:rsidRPr="00851DCE">
              <w:rPr>
                <w:vertAlign w:val="superscript"/>
              </w:rPr>
              <w:t>51</w:t>
            </w:r>
            <w:r w:rsidR="0018137F">
              <w:fldChar w:fldCharType="end"/>
            </w:r>
          </w:p>
        </w:tc>
        <w:tc>
          <w:tcPr>
            <w:tcW w:w="4445" w:type="dxa"/>
          </w:tcPr>
          <w:p w14:paraId="3FE05B52" w14:textId="24C90E2F" w:rsidR="00F8323E" w:rsidRDefault="000A2001" w:rsidP="00F8323E">
            <w:pPr>
              <w:pStyle w:val="Tabletext"/>
            </w:pPr>
            <w:r>
              <w:t>Increase in risk of hospitalization and death for all non-Omicron variants.</w:t>
            </w:r>
          </w:p>
        </w:tc>
      </w:tr>
      <w:tr w:rsidR="000A2001" w:rsidRPr="00D43DC4" w14:paraId="17EC3F02" w14:textId="77777777" w:rsidTr="00C1085B">
        <w:tc>
          <w:tcPr>
            <w:tcW w:w="1260" w:type="dxa"/>
          </w:tcPr>
          <w:p w14:paraId="1B2F758A" w14:textId="21ABEDBF" w:rsidR="000A2001" w:rsidRPr="000A2001" w:rsidRDefault="00000000" w:rsidP="000A2001">
            <w:pPr>
              <w:pStyle w:val="Tabletext"/>
              <w:rPr>
                <w:rFonts w:eastAsia="Calibri"/>
              </w:rPr>
            </w:pPr>
            <m:oMathPara>
              <m:oMath>
                <m:sSubSup>
                  <m:sSubSupPr>
                    <m:ctrlPr>
                      <w:rPr>
                        <w:rFonts w:ascii="Cambria Math" w:eastAsia="Calibri" w:hAnsi="Cambria Math"/>
                        <w:i/>
                      </w:rPr>
                    </m:ctrlPr>
                  </m:sSubSupPr>
                  <m:e>
                    <m:r>
                      <w:rPr>
                        <w:rFonts w:ascii="Cambria Math" w:eastAsia="Calibri" w:hAnsi="Cambria Math"/>
                      </w:rPr>
                      <m:t>κ</m:t>
                    </m:r>
                  </m:e>
                  <m:sub>
                    <m:r>
                      <w:rPr>
                        <w:rFonts w:ascii="Cambria Math" w:eastAsia="Calibri" w:hAnsi="Cambria Math"/>
                      </w:rPr>
                      <m:t>o</m:t>
                    </m:r>
                  </m:sub>
                  <m:sup>
                    <m:r>
                      <w:rPr>
                        <w:rFonts w:ascii="Cambria Math" w:eastAsia="Calibri" w:hAnsi="Cambria Math"/>
                      </w:rPr>
                      <m:t>H</m:t>
                    </m:r>
                  </m:sup>
                </m:sSubSup>
              </m:oMath>
            </m:oMathPara>
          </w:p>
        </w:tc>
        <w:tc>
          <w:tcPr>
            <w:tcW w:w="1935" w:type="dxa"/>
          </w:tcPr>
          <w:p w14:paraId="33C5310B" w14:textId="5E7DECD0" w:rsidR="000A2001" w:rsidRDefault="000A2001" w:rsidP="000A2001">
            <w:pPr>
              <w:pStyle w:val="Tabletext"/>
              <w:jc w:val="center"/>
              <w:rPr>
                <w:rFonts w:eastAsia="Calibri"/>
              </w:rPr>
            </w:pPr>
            <w:r>
              <w:rPr>
                <w:rFonts w:eastAsia="Calibri"/>
              </w:rPr>
              <w:t>20% of Delta variant</w:t>
            </w:r>
          </w:p>
          <w:p w14:paraId="06BCFC9D" w14:textId="724748EA" w:rsidR="000A2001" w:rsidRDefault="000A2001" w:rsidP="000A2001">
            <w:pPr>
              <w:pStyle w:val="Tabletext"/>
              <w:jc w:val="center"/>
              <w:rPr>
                <w:rFonts w:eastAsia="Calibri"/>
              </w:rPr>
            </w:pPr>
          </w:p>
        </w:tc>
        <w:tc>
          <w:tcPr>
            <w:tcW w:w="1710" w:type="dxa"/>
          </w:tcPr>
          <w:p w14:paraId="1B33BF78" w14:textId="3DAAB34D" w:rsidR="000A2001" w:rsidRDefault="000A2001" w:rsidP="00FD2796">
            <w:pPr>
              <w:pStyle w:val="Tabletext"/>
            </w:pPr>
            <w:r>
              <w:t>Model calibration</w:t>
            </w:r>
          </w:p>
        </w:tc>
        <w:tc>
          <w:tcPr>
            <w:tcW w:w="4445" w:type="dxa"/>
          </w:tcPr>
          <w:p w14:paraId="2B452D6B" w14:textId="3151184D" w:rsidR="000A2001" w:rsidRDefault="000A2001" w:rsidP="00F8323E">
            <w:pPr>
              <w:pStyle w:val="Tabletext"/>
            </w:pPr>
            <w:r>
              <w:t>Reduction in the risk of hospitalization due to an Omicron infection relative to the risk of hospitalization with a Delta infection.</w:t>
            </w:r>
          </w:p>
        </w:tc>
      </w:tr>
      <w:tr w:rsidR="000A2001" w:rsidRPr="00D43DC4" w14:paraId="6BBB1879" w14:textId="77777777" w:rsidTr="00C1085B">
        <w:tc>
          <w:tcPr>
            <w:tcW w:w="1260" w:type="dxa"/>
          </w:tcPr>
          <w:p w14:paraId="271D9888" w14:textId="4C7F9570" w:rsidR="000A2001" w:rsidRPr="000A2001" w:rsidRDefault="00000000" w:rsidP="000A2001">
            <w:pPr>
              <w:pStyle w:val="Tabletext"/>
              <w:rPr>
                <w:rFonts w:eastAsia="Calibri"/>
              </w:rPr>
            </w:pPr>
            <m:oMathPara>
              <m:oMath>
                <m:sSubSup>
                  <m:sSubSupPr>
                    <m:ctrlPr>
                      <w:rPr>
                        <w:rFonts w:ascii="Cambria Math" w:eastAsia="Calibri" w:hAnsi="Cambria Math"/>
                        <w:i/>
                      </w:rPr>
                    </m:ctrlPr>
                  </m:sSubSupPr>
                  <m:e>
                    <m:r>
                      <w:rPr>
                        <w:rFonts w:ascii="Cambria Math" w:eastAsia="Calibri" w:hAnsi="Cambria Math"/>
                      </w:rPr>
                      <m:t>κ</m:t>
                    </m:r>
                  </m:e>
                  <m:sub>
                    <m:r>
                      <w:rPr>
                        <w:rFonts w:ascii="Cambria Math" w:eastAsia="Calibri" w:hAnsi="Cambria Math"/>
                      </w:rPr>
                      <m:t>o</m:t>
                    </m:r>
                  </m:sub>
                  <m:sup>
                    <m:r>
                      <w:rPr>
                        <w:rFonts w:ascii="Cambria Math" w:eastAsia="Calibri" w:hAnsi="Cambria Math"/>
                      </w:rPr>
                      <m:t>D</m:t>
                    </m:r>
                  </m:sup>
                </m:sSubSup>
              </m:oMath>
            </m:oMathPara>
          </w:p>
        </w:tc>
        <w:tc>
          <w:tcPr>
            <w:tcW w:w="1935" w:type="dxa"/>
          </w:tcPr>
          <w:p w14:paraId="35715A55" w14:textId="2C47DA05" w:rsidR="000A2001" w:rsidRDefault="000A2001" w:rsidP="000A2001">
            <w:pPr>
              <w:pStyle w:val="Tabletext"/>
              <w:jc w:val="center"/>
              <w:rPr>
                <w:rFonts w:eastAsia="Calibri"/>
              </w:rPr>
            </w:pPr>
            <w:r>
              <w:rPr>
                <w:rFonts w:eastAsia="Calibri"/>
              </w:rPr>
              <w:t>10% of Delta variant</w:t>
            </w:r>
          </w:p>
        </w:tc>
        <w:tc>
          <w:tcPr>
            <w:tcW w:w="1710" w:type="dxa"/>
          </w:tcPr>
          <w:p w14:paraId="58A3448F" w14:textId="423BC0D9" w:rsidR="000A2001" w:rsidRDefault="000A2001" w:rsidP="00FD2796">
            <w:pPr>
              <w:pStyle w:val="Tabletext"/>
            </w:pPr>
            <w:r>
              <w:t>Model calibration</w:t>
            </w:r>
          </w:p>
        </w:tc>
        <w:tc>
          <w:tcPr>
            <w:tcW w:w="4445" w:type="dxa"/>
          </w:tcPr>
          <w:p w14:paraId="0A8A03A9" w14:textId="24AF6F69" w:rsidR="000A2001" w:rsidRDefault="000A2001" w:rsidP="000A2001">
            <w:pPr>
              <w:pStyle w:val="Tabletext"/>
            </w:pPr>
            <w:r>
              <w:t>Reduction in the risk of death due to an Omicron infection relative to the risk of death with a Delta infection.</w:t>
            </w:r>
          </w:p>
        </w:tc>
      </w:tr>
      <w:tr w:rsidR="00BD5594" w:rsidRPr="00D43DC4" w14:paraId="47E51F95" w14:textId="77777777" w:rsidTr="00C1085B">
        <w:tc>
          <w:tcPr>
            <w:tcW w:w="1260" w:type="dxa"/>
          </w:tcPr>
          <w:p w14:paraId="7A81D684" w14:textId="77777777" w:rsidR="00BD5594" w:rsidRPr="00D43DC4" w:rsidRDefault="00012869" w:rsidP="00E93D6A">
            <w:pPr>
              <w:pStyle w:val="Tabletext"/>
            </w:pPr>
            <m:oMathPara>
              <m:oMath>
                <m:r>
                  <w:rPr>
                    <w:rFonts w:ascii="Cambria Math" w:hAnsi="Cambria Math"/>
                  </w:rPr>
                  <m:t>α</m:t>
                </m:r>
              </m:oMath>
            </m:oMathPara>
          </w:p>
        </w:tc>
        <w:tc>
          <w:tcPr>
            <w:tcW w:w="1935" w:type="dxa"/>
          </w:tcPr>
          <w:p w14:paraId="620F86AE" w14:textId="77777777" w:rsidR="00BD5594" w:rsidRPr="00D43DC4" w:rsidRDefault="00012869" w:rsidP="007A46C9">
            <w:pPr>
              <w:pStyle w:val="Tabletext"/>
              <w:jc w:val="center"/>
            </w:pPr>
            <m:oMathPara>
              <m:oMath>
                <m:r>
                  <w:rPr>
                    <w:rFonts w:ascii="Cambria Math" w:hAnsi="Cambria Math"/>
                  </w:rPr>
                  <m:t>U</m:t>
                </m:r>
                <m:d>
                  <m:dPr>
                    <m:begChr m:val="["/>
                    <m:endChr m:val="]"/>
                    <m:ctrlPr>
                      <w:rPr>
                        <w:rFonts w:ascii="Cambria Math" w:hAnsi="Cambria Math"/>
                      </w:rPr>
                    </m:ctrlPr>
                  </m:dPr>
                  <m:e>
                    <m:r>
                      <m:rPr>
                        <m:sty m:val="p"/>
                      </m:rPr>
                      <w:rPr>
                        <w:rFonts w:ascii="Cambria Math" w:hAnsi="Cambria Math"/>
                      </w:rPr>
                      <m:t>0.9, 1.0</m:t>
                    </m:r>
                  </m:e>
                </m:d>
              </m:oMath>
            </m:oMathPara>
          </w:p>
        </w:tc>
        <w:tc>
          <w:tcPr>
            <w:tcW w:w="1710" w:type="dxa"/>
          </w:tcPr>
          <w:p w14:paraId="08AE9D74" w14:textId="5AFBCDB5" w:rsidR="00BD5594" w:rsidRPr="00D43DC4" w:rsidRDefault="00BD5594" w:rsidP="00E93D6A">
            <w:pPr>
              <w:pStyle w:val="Tabletext"/>
            </w:pPr>
            <w:r w:rsidRPr="00D43DC4">
              <w:t>OOS Fitting</w:t>
            </w:r>
            <w:r w:rsidRPr="00D43DC4">
              <w:rPr>
                <w:color w:val="2B579A"/>
                <w:shd w:val="clear" w:color="auto" w:fill="E6E6E6"/>
              </w:rPr>
              <w:fldChar w:fldCharType="begin"/>
            </w:r>
            <w:r w:rsidR="004876B1">
              <w:instrText xml:space="preserve"> ADDIN ZOTERO_ITEM CSL_CITATION {"citationID":"zoUvDK24","properties":{"formattedCitation":"\\super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Pr="00D43DC4">
              <w:rPr>
                <w:color w:val="2B579A"/>
                <w:shd w:val="clear" w:color="auto" w:fill="E6E6E6"/>
              </w:rPr>
              <w:fldChar w:fldCharType="separate"/>
            </w:r>
            <w:r w:rsidR="00585C9F" w:rsidRPr="00D43DC4">
              <w:rPr>
                <w:vertAlign w:val="superscript"/>
              </w:rPr>
              <w:t>1</w:t>
            </w:r>
            <w:r w:rsidRPr="00D43DC4">
              <w:rPr>
                <w:color w:val="2B579A"/>
                <w:shd w:val="clear" w:color="auto" w:fill="E6E6E6"/>
              </w:rPr>
              <w:fldChar w:fldCharType="end"/>
            </w:r>
            <w:r w:rsidRPr="00D43DC4">
              <w:t xml:space="preserve"> </w:t>
            </w:r>
          </w:p>
        </w:tc>
        <w:tc>
          <w:tcPr>
            <w:tcW w:w="4445" w:type="dxa"/>
          </w:tcPr>
          <w:p w14:paraId="2DDB0F42" w14:textId="77777777" w:rsidR="00BD5594" w:rsidRPr="00D43DC4" w:rsidRDefault="00BD5594" w:rsidP="00E93D6A">
            <w:pPr>
              <w:pStyle w:val="Tabletext"/>
            </w:pPr>
            <w:r w:rsidRPr="00D43DC4">
              <w:t>Adjustment to mitigate well-mixed assumption.</w:t>
            </w:r>
          </w:p>
        </w:tc>
      </w:tr>
      <w:tr w:rsidR="00BD5594" w:rsidRPr="00D43DC4" w14:paraId="195BCCEA" w14:textId="77777777" w:rsidTr="00C1085B">
        <w:tc>
          <w:tcPr>
            <w:tcW w:w="1260" w:type="dxa"/>
          </w:tcPr>
          <w:p w14:paraId="3BF97158" w14:textId="3210EF39" w:rsidR="00BD5594" w:rsidRPr="00D43DC4" w:rsidRDefault="00000000" w:rsidP="00E93D6A">
            <w:pPr>
              <w:pStyle w:val="Tabletext"/>
              <w:rPr>
                <w:rFonts w:eastAsiaTheme="minorEastAsia"/>
              </w:rPr>
            </w:pPr>
            <m:oMathPara>
              <m:oMath>
                <m:sSub>
                  <m:sSubPr>
                    <m:ctrlPr>
                      <w:rPr>
                        <w:rFonts w:ascii="Cambria Math" w:eastAsiaTheme="minorEastAsia" w:hAnsi="Cambria Math"/>
                        <w:i/>
                      </w:rPr>
                    </m:ctrlPr>
                  </m:sSubPr>
                  <m:e>
                    <m:r>
                      <w:rPr>
                        <w:rFonts w:ascii="Cambria Math" w:hAnsi="Cambria Math"/>
                      </w:rPr>
                      <m:t>σ</m:t>
                    </m:r>
                    <m:ctrlPr>
                      <w:rPr>
                        <w:rFonts w:ascii="Cambria Math" w:hAnsi="Cambria Math"/>
                        <w:i/>
                      </w:rPr>
                    </m:ctrlPr>
                  </m:e>
                  <m:sub>
                    <m:r>
                      <w:rPr>
                        <w:rFonts w:ascii="Cambria Math" w:eastAsiaTheme="minorEastAsia" w:hAnsi="Cambria Math"/>
                      </w:rPr>
                      <m:t>x</m:t>
                    </m:r>
                  </m:sub>
                </m:sSub>
              </m:oMath>
            </m:oMathPara>
          </w:p>
          <w:p w14:paraId="6B7E0B1E" w14:textId="77777777" w:rsidR="00BD5594" w:rsidRPr="00D43DC4" w:rsidRDefault="00BD5594" w:rsidP="00E93D6A">
            <w:pPr>
              <w:pStyle w:val="Tabletext"/>
            </w:pPr>
          </w:p>
        </w:tc>
        <w:tc>
          <w:tcPr>
            <w:tcW w:w="1935" w:type="dxa"/>
          </w:tcPr>
          <w:p w14:paraId="02139562" w14:textId="12A66FC1" w:rsidR="000A2001" w:rsidRDefault="000A2001" w:rsidP="000A2001">
            <w:pPr>
              <w:pStyle w:val="Tabletext"/>
              <w:jc w:val="center"/>
              <w:rPr>
                <w:rFonts w:eastAsiaTheme="minorEastAsia"/>
              </w:rPr>
            </w:pPr>
            <m:oMath>
              <m:r>
                <w:rPr>
                  <w:rFonts w:ascii="Cambria Math" w:eastAsiaTheme="minorEastAsia" w:hAnsi="Cambria Math"/>
                </w:rPr>
                <m:t>U[1/4, 1]</m:t>
              </m:r>
            </m:oMath>
            <w:r w:rsidR="00F8323E">
              <w:rPr>
                <w:rFonts w:eastAsiaTheme="minorEastAsia"/>
              </w:rPr>
              <w:t xml:space="preserve"> </w:t>
            </w:r>
            <w:r>
              <w:rPr>
                <w:rFonts w:eastAsiaTheme="minorEastAsia"/>
              </w:rPr>
              <w:t>–</w:t>
            </w:r>
            <w:r w:rsidR="00F8323E">
              <w:rPr>
                <w:rFonts w:eastAsiaTheme="minorEastAsia"/>
              </w:rPr>
              <w:t xml:space="preserve"> Omicron</w:t>
            </w:r>
          </w:p>
          <w:p w14:paraId="2B244011" w14:textId="6F432437" w:rsidR="00FD2796" w:rsidRDefault="00012869" w:rsidP="000A2001">
            <w:pPr>
              <w:pStyle w:val="Tabletext"/>
              <w:jc w:val="center"/>
              <w:rPr>
                <w:rFonts w:eastAsiaTheme="minorEastAsia"/>
              </w:rPr>
            </w:pPr>
            <m:oMath>
              <m:r>
                <w:rPr>
                  <w:rFonts w:ascii="Cambria Math" w:hAnsi="Cambria Math"/>
                </w:rPr>
                <m:t>U</m:t>
              </m:r>
              <m:r>
                <m:rPr>
                  <m:sty m:val="p"/>
                </m:rPr>
                <w:rPr>
                  <w:rFonts w:ascii="Cambria Math" w:hAnsi="Cambria Math"/>
                </w:rPr>
                <m:t>[</m:t>
              </m:r>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t>
              </m:r>
            </m:oMath>
            <w:r w:rsidR="00F8323E">
              <w:rPr>
                <w:rFonts w:eastAsiaTheme="minorEastAsia"/>
              </w:rPr>
              <w:t xml:space="preserve"> </w:t>
            </w:r>
            <w:r w:rsidR="000A2001">
              <w:rPr>
                <w:rFonts w:eastAsiaTheme="minorEastAsia"/>
              </w:rPr>
              <w:t>–</w:t>
            </w:r>
            <w:r w:rsidR="00F8323E">
              <w:rPr>
                <w:rFonts w:eastAsiaTheme="minorEastAsia"/>
              </w:rPr>
              <w:t xml:space="preserve"> </w:t>
            </w:r>
            <w:r w:rsidR="000A2001">
              <w:rPr>
                <w:rFonts w:eastAsiaTheme="minorEastAsia"/>
              </w:rPr>
              <w:t>All other variants</w:t>
            </w:r>
          </w:p>
          <w:p w14:paraId="5D7D690B" w14:textId="3C5F3295" w:rsidR="00BD5594" w:rsidRPr="00D43DC4" w:rsidRDefault="00BD5594" w:rsidP="007A46C9">
            <w:pPr>
              <w:pStyle w:val="Tabletext"/>
              <w:jc w:val="center"/>
            </w:pPr>
          </w:p>
        </w:tc>
        <w:tc>
          <w:tcPr>
            <w:tcW w:w="1710" w:type="dxa"/>
          </w:tcPr>
          <w:p w14:paraId="2F33C19C" w14:textId="6CD5A1CC" w:rsidR="00BD5594" w:rsidRPr="00D43DC4" w:rsidRDefault="00BD5594" w:rsidP="00E93D6A">
            <w:pPr>
              <w:pStyle w:val="Tabletext"/>
            </w:pPr>
            <w:r w:rsidRPr="00D43DC4">
              <w:t>Literature</w:t>
            </w:r>
            <w:r w:rsidRPr="00D43DC4">
              <w:rPr>
                <w:color w:val="2B579A"/>
                <w:shd w:val="clear" w:color="auto" w:fill="E6E6E6"/>
              </w:rPr>
              <w:fldChar w:fldCharType="begin"/>
            </w:r>
            <w:r w:rsidR="004876B1">
              <w:instrText xml:space="preserve"> ADDIN ZOTERO_ITEM CSL_CITATION {"citationID":"ab6on74gku","properties":{"formattedCitation":"\\super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Pr="00D43DC4">
              <w:rPr>
                <w:color w:val="2B579A"/>
                <w:shd w:val="clear" w:color="auto" w:fill="E6E6E6"/>
              </w:rPr>
              <w:fldChar w:fldCharType="separate"/>
            </w:r>
            <w:r w:rsidR="00585C9F" w:rsidRPr="00D43DC4">
              <w:rPr>
                <w:vertAlign w:val="superscript"/>
              </w:rPr>
              <w:t>1</w:t>
            </w:r>
            <w:r w:rsidRPr="00D43DC4">
              <w:rPr>
                <w:color w:val="2B579A"/>
                <w:shd w:val="clear" w:color="auto" w:fill="E6E6E6"/>
              </w:rPr>
              <w:fldChar w:fldCharType="end"/>
            </w:r>
          </w:p>
        </w:tc>
        <w:tc>
          <w:tcPr>
            <w:tcW w:w="4445" w:type="dxa"/>
          </w:tcPr>
          <w:p w14:paraId="6F9745C0" w14:textId="77777777" w:rsidR="00BD5594" w:rsidRPr="00D43DC4" w:rsidRDefault="00BD5594" w:rsidP="00E93D6A">
            <w:pPr>
              <w:pStyle w:val="Tabletext"/>
            </w:pPr>
            <w:r w:rsidRPr="00D43DC4">
              <w:t>Reciprocal of the incubation period.</w:t>
            </w:r>
          </w:p>
        </w:tc>
      </w:tr>
      <w:tr w:rsidR="00BD5594" w:rsidRPr="00D43DC4" w14:paraId="7831D6AB" w14:textId="77777777" w:rsidTr="00C1085B">
        <w:tc>
          <w:tcPr>
            <w:tcW w:w="1260" w:type="dxa"/>
          </w:tcPr>
          <w:p w14:paraId="71D0F1B7" w14:textId="0307F5C4" w:rsidR="00BD5594" w:rsidRPr="00D43DC4" w:rsidRDefault="000A2001" w:rsidP="00E93D6A">
            <w:pPr>
              <w:pStyle w:val="Tabletext"/>
            </w:pPr>
            <m:oMathPara>
              <m:oMath>
                <m:r>
                  <w:rPr>
                    <w:rFonts w:ascii="Cambria Math" w:eastAsiaTheme="minorEastAsia" w:hAnsi="Cambria Math"/>
                  </w:rPr>
                  <m:t>γ</m:t>
                </m:r>
              </m:oMath>
            </m:oMathPara>
          </w:p>
        </w:tc>
        <w:tc>
          <w:tcPr>
            <w:tcW w:w="1935" w:type="dxa"/>
          </w:tcPr>
          <w:p w14:paraId="77D5E8F8" w14:textId="77777777" w:rsidR="00BD5594" w:rsidRPr="00D43DC4" w:rsidRDefault="00BD5594" w:rsidP="007A46C9">
            <w:pPr>
              <w:pStyle w:val="Tabletext"/>
              <w:jc w:val="center"/>
            </w:pPr>
            <w:r w:rsidRPr="00D43DC4">
              <w:t>0.5</w:t>
            </w:r>
          </w:p>
        </w:tc>
        <w:tc>
          <w:tcPr>
            <w:tcW w:w="1710" w:type="dxa"/>
          </w:tcPr>
          <w:p w14:paraId="64577D15" w14:textId="3638CE71" w:rsidR="00BD5594" w:rsidRPr="00D43DC4" w:rsidRDefault="00BD5594" w:rsidP="00E93D6A">
            <w:pPr>
              <w:pStyle w:val="Tabletext"/>
            </w:pPr>
            <w:r w:rsidRPr="00D43DC4">
              <w:t>Literature</w:t>
            </w:r>
            <w:r w:rsidRPr="2444F517">
              <w:rPr>
                <w:color w:val="2B579A"/>
              </w:rPr>
              <w:fldChar w:fldCharType="begin"/>
            </w:r>
            <w:r w:rsidR="00851DCE">
              <w:instrText xml:space="preserve"> ADDIN ZOTERO_ITEM CSL_CITATION {"citationID":"N4iTErzB","properties":{"formattedCitation":"\\super 1,52\\uc0\\u8211{}54\\nosupersub{}","plainCitation":"1,52–54","noteIndex":0},"citationItems":[{"id":980,"uris":["http://zotero.org/groups/2154524/items/VKX9KAWM"],"itemData":{"id":980,"type":"article-journal","abstract":"We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Team"}],"issued":{"date-parts":[["2021",1]]}},"label":"page"},{"id":978,"uris":["http://zotero.org/groups/2154524/items/AQZGDXXW"],"itemData":{"id":978,"type":"article-journal","abstract":"Severe acute respiratory syndrome coronavirus 2 (SARS-CoV-2) has the capacity to generate variants with major genomic changes. The UK variant B.1.1.7 (also known as VOC 202012/01) has many mutations that alter virus attachment and entry into human cells. Using a variety of statistical and dynamic modeling approaches, Davies et al. characterized the spread of the B.1.1.7 variant in the United Kingdom. The authors found that the variant is 43 to 90% more transmissible than the predecessor lineage but saw no clear evidence for a change in disease severity, although enhanced transmission will lead to higher incidence and more hospital admissions. Large resurgences of the virus are likely to occur after the easing of control measures, and it may be necessary to greatly accelerate vaccine roll-out to control the epidemic., Science, this issue p. eabg3055, The major coronavirus variant that emerged at the end of 2020 in the UK is more transmissible than its predecessors and could spark resurgences., A severe acute respiratory syndrome coronavirus 2 (SARS-CoV-2) variant, VOC 202012/01 (lineage B.1.1.7), emerged in southeast England in September 2020 and is rapidly spreading toward fixation. Using a variety of statistical and dynamic modeling approaches, we estimate that this variant has a 43 to 90% (range of 95% credible intervals, 38 to 130%) higher reproduction number than preexisting variants. A fitted two-strain dynamic transmission model shows that VOC 202012/01 will lead to large resurgences of COVID-19 cases. Without stringent control measures, including limited closure of educational institutions and a greatly accelerated vaccine rollout, COVID-19 hospitalizations and deaths across England in the first 6 months of 2021 were projected to exceed those in 2020. VOC 202012/01 has spread globally and exhibits a similar transmission increase (59 to 74%) in Denmark, Switzerland, and the United States.","container-title":"Science (New York, N.y.)","DOI":"10.1126/science.abg3055","ISSN":"0036-8075","issue":"6538","journalAbbreviation":"Science","note":"PMID: 33658326\nPMCID: PMC8128288","page":"eabg3055","source":"PubMed Central","title":"Estimated transmissibility and impact of SARS-CoV-2 lineage B.1.1.7 in England","volume":"372","author":[{"family":"Davies","given":"Nicholas G."},{"family":"Abbott","given":"Sam"},{"family":"Barnard","given":"Rosanna C."},{"family":"Jarvis","given":"Christopher I."},{"family":"Kucharski","given":"Adam J."},{"family":"Munday","given":"James D."},{"family":"Pearson","given":"Carl A. B."},{"family":"Russell","given":"Timothy W."},{"family":"Tully","given":"Damien C."},{"family":"Washburne","given":"Alex D."},{"family":"Wenseleers","given":"Tom"},{"family":"Gimma","given":"Amy"},{"family":"Waites","given":"William"},{"family":"Wong","given":"Kerry L. M."},{"family":"Zandvoort","given":"Kevin","non-dropping-particle":"van"},{"family":"Silverman","given":"Justin D."},{"family":"Diaz-Ordaz","given":"Karla"},{"family":"Keogh","given":"Ruth"},{"family":"Eggo","given":"Rosalind M."},{"family":"Funk","given":"Sebastian"},{"family":"Jit","given":"Mark"},{"family":"Atkins","given":"Katherine E."},{"family":"Edmunds","given":"W. John"}],"issued":{"date-parts":[["2021",4,9]]}},"label":"page"},{"id":21714,"uris":["http://zotero.org/groups/2154524/items/JZB5KLJN"],"itemData":{"id":21714,"type":"article-journal","abstract":"Since its first detection in the UK in September 2020, a highly contagious version of the coronavirus, the alpha or British variant a.k.a. B.1.1.7 SARS-CoV-2 virus lineage, rapidly spread across several countries and became the dominant strain in the outbreak. Here it is shown that a very simple evolutionary model can fit the observed change in frequency of B.1.1.7 for several countries, regions of countries and the whole world with a single parameter, its relative fitness f, which is almost universal f ≈ 1.5. This is consistent with a 50% higher transmissibility than the local wild type and with the fact that the period in which this variant takes over has been in all the studied cases around 22 weeks.","container-title":"Virus Research","DOI":"10.1016/j.virusres.2021.198531","ISSN":"1872-7492","journalAbbreviation":"Virus Res","language":"eng","note":"PMID: 34363849\nPMCID: PMC8339456","page":"198531","source":"PubMed","title":"A very simple model to account for the rapid rise of the alpha variant of SARS-CoV-2 in several countries and the world","volume":"304","author":[{"family":"Fort","given":"Hugo"}],"issued":{"date-parts":[["2021",10,15]]}},"label":"page"},{"id":977,"uris":["http://zotero.org/groups/2154524/items/IQSPEUA7"],"itemData":{"id":977,"type":"article-journal","abstract":"Two new SARS-CoV-2 lineages with the N501Y mutation in the receptor-binding domain of the spike protein spread rapidly in the United Kingdom. We estimated that the earlier 501Y lineage without amino acid deletion Δ69/Δ70, circulating mainly between early September and mid-November, was 10% (6–13%) more transmissible than the 501N lineage, and the 501Y lineage with amino acid deletion Δ69/Δ70, circulating since late September, was 75% (70–80%) more transmissible than the 501N lineage.","container-title":"Eurosurveillance","DOI":"10.2807/1560-7917.ES.2020.26.1.2002106","ISSN":"1025-496X","issue":"1","journalAbbreviation":"Euro Surveill","note":"PMID: 33413740\nPMCID: PMC7791602","page":"2002106","source":"PubMed Central","title":"Early transmissibility assessment of the N501Y mutant strains of SARS-CoV-2 in the United Kingdom, October to November 2020","volume":"26","author":[{"family":"Leung","given":"Kathy"},{"family":"Shum","given":"Marcus HH"},{"family":"Leung","given":"Gabriel M"},{"family":"Lam","given":"Tommy TY"},{"family":"Wu","given":"Joseph T"}],"issued":{"date-parts":[["2021",1,7]]}},"label":"page"}],"schema":"https://github.com/citation-style-language/schema/raw/master/csl-citation.json"} </w:instrText>
            </w:r>
            <w:r w:rsidRPr="2444F517">
              <w:rPr>
                <w:color w:val="2B579A"/>
              </w:rPr>
              <w:fldChar w:fldCharType="separate"/>
            </w:r>
            <w:r w:rsidR="00851DCE" w:rsidRPr="00851DCE">
              <w:rPr>
                <w:vertAlign w:val="superscript"/>
              </w:rPr>
              <w:t>1,52–54</w:t>
            </w:r>
            <w:r w:rsidRPr="2444F517">
              <w:rPr>
                <w:color w:val="2B579A"/>
              </w:rPr>
              <w:fldChar w:fldCharType="end"/>
            </w:r>
            <w:r w:rsidRPr="00D43DC4">
              <w:t xml:space="preserve"> </w:t>
            </w:r>
          </w:p>
        </w:tc>
        <w:tc>
          <w:tcPr>
            <w:tcW w:w="4445" w:type="dxa"/>
          </w:tcPr>
          <w:p w14:paraId="0B668CBD" w14:textId="7815CEDB" w:rsidR="00BD5594" w:rsidRPr="00D43DC4" w:rsidRDefault="00BD5594" w:rsidP="00E93D6A">
            <w:pPr>
              <w:pStyle w:val="Tabletext"/>
            </w:pPr>
            <w:r w:rsidRPr="00D43DC4">
              <w:t xml:space="preserve">Reciprocal of the </w:t>
            </w:r>
            <w:r w:rsidR="000A2001">
              <w:t>infectious</w:t>
            </w:r>
            <w:r w:rsidRPr="00D43DC4">
              <w:t xml:space="preserve"> period.</w:t>
            </w:r>
          </w:p>
        </w:tc>
      </w:tr>
      <w:tr w:rsidR="00BD5594" w:rsidRPr="00D43DC4" w14:paraId="2FC0E20C" w14:textId="77777777" w:rsidTr="00C1085B">
        <w:tc>
          <w:tcPr>
            <w:tcW w:w="1260" w:type="dxa"/>
          </w:tcPr>
          <w:p w14:paraId="7AE5B863" w14:textId="77777777" w:rsidR="00BD5594" w:rsidRPr="00D43DC4" w:rsidRDefault="00012869" w:rsidP="00E93D6A">
            <w:pPr>
              <w:pStyle w:val="Tabletext"/>
              <w:rPr>
                <w:rFonts w:ascii="Calibri" w:hAnsi="Calibri"/>
              </w:rPr>
            </w:pPr>
            <m:oMathPara>
              <m:oMath>
                <m:r>
                  <w:rPr>
                    <w:rFonts w:ascii="Cambria Math" w:hAnsi="Cambria Math"/>
                  </w:rPr>
                  <m:t>π</m:t>
                </m:r>
              </m:oMath>
            </m:oMathPara>
          </w:p>
        </w:tc>
        <w:tc>
          <w:tcPr>
            <w:tcW w:w="1935" w:type="dxa"/>
          </w:tcPr>
          <w:p w14:paraId="59DFAD44" w14:textId="77777777" w:rsidR="00BD5594" w:rsidRPr="00D43DC4" w:rsidRDefault="00012869" w:rsidP="007A46C9">
            <w:pPr>
              <w:pStyle w:val="Tabletext"/>
              <w:jc w:val="center"/>
              <w:rPr>
                <w:rFonts w:ascii="Calibri" w:hAnsi="Calibri"/>
              </w:rPr>
            </w:pPr>
            <m:oMathPara>
              <m:oMath>
                <m:r>
                  <w:rPr>
                    <w:rFonts w:ascii="Cambria Math" w:hAnsi="Cambria Math"/>
                  </w:rPr>
                  <m:t>U</m:t>
                </m:r>
                <m:d>
                  <m:dPr>
                    <m:begChr m:val="["/>
                    <m:endChr m:val="]"/>
                    <m:ctrlPr>
                      <w:rPr>
                        <w:rFonts w:ascii="Cambria Math" w:hAnsi="Cambria Math"/>
                      </w:rPr>
                    </m:ctrlPr>
                  </m:dPr>
                  <m:e>
                    <m:r>
                      <m:rPr>
                        <m:sty m:val="p"/>
                      </m:rPr>
                      <w:rPr>
                        <w:rFonts w:ascii="Cambria Math" w:hAnsi="Cambria Math"/>
                      </w:rPr>
                      <m:t>0.01, 0.1</m:t>
                    </m:r>
                  </m:e>
                </m:d>
              </m:oMath>
            </m:oMathPara>
          </w:p>
        </w:tc>
        <w:tc>
          <w:tcPr>
            <w:tcW w:w="1710" w:type="dxa"/>
          </w:tcPr>
          <w:p w14:paraId="7506FAEB" w14:textId="77777777" w:rsidR="00BD5594" w:rsidRPr="00D43DC4" w:rsidRDefault="00BD5594" w:rsidP="00E93D6A">
            <w:pPr>
              <w:pStyle w:val="Tabletext"/>
            </w:pPr>
            <w:r w:rsidRPr="00D43DC4">
              <w:t>Assumed</w:t>
            </w:r>
          </w:p>
        </w:tc>
        <w:tc>
          <w:tcPr>
            <w:tcW w:w="4445" w:type="dxa"/>
          </w:tcPr>
          <w:p w14:paraId="27D4F4D2" w14:textId="77777777" w:rsidR="00BD5594" w:rsidRPr="00D43DC4" w:rsidRDefault="00BD5594" w:rsidP="00E93D6A">
            <w:pPr>
              <w:pStyle w:val="Tabletext"/>
            </w:pPr>
            <w:r w:rsidRPr="00D43DC4">
              <w:t xml:space="preserve">Proportion of non-escape exposed </w:t>
            </w:r>
            <m:oMath>
              <m:r>
                <w:rPr>
                  <w:rFonts w:ascii="Cambria Math" w:hAnsi="Cambria Math"/>
                </w:rPr>
                <m:t>E</m:t>
              </m:r>
            </m:oMath>
            <w:r w:rsidRPr="00D43DC4">
              <w:t xml:space="preserve"> introduced into escape exposed </w:t>
            </w:r>
            <m:oMath>
              <m:acc>
                <m:accPr>
                  <m:chr m:val="̃"/>
                  <m:ctrlPr>
                    <w:rPr>
                      <w:rFonts w:ascii="Cambria Math" w:hAnsi="Cambria Math"/>
                      <w:i/>
                    </w:rPr>
                  </m:ctrlPr>
                </m:accPr>
                <m:e>
                  <m:r>
                    <w:rPr>
                      <w:rFonts w:ascii="Cambria Math" w:hAnsi="Cambria Math"/>
                    </w:rPr>
                    <m:t>E</m:t>
                  </m:r>
                </m:e>
              </m:acc>
            </m:oMath>
            <w:r w:rsidRPr="00D43DC4">
              <w:t xml:space="preserve"> on the day an escape variant invades a location.</w:t>
            </w:r>
          </w:p>
        </w:tc>
      </w:tr>
      <w:tr w:rsidR="00BD5594" w:rsidRPr="00D43DC4" w14:paraId="282002B5" w14:textId="77777777" w:rsidTr="00C1085B">
        <w:tc>
          <w:tcPr>
            <w:tcW w:w="1260" w:type="dxa"/>
          </w:tcPr>
          <w:p w14:paraId="15ACC453" w14:textId="77777777" w:rsidR="00BD5594" w:rsidRPr="00D43DC4" w:rsidRDefault="00012869" w:rsidP="00E93D6A">
            <w:pPr>
              <w:pStyle w:val="Tabletext"/>
              <w:rPr>
                <w:vertAlign w:val="subscript"/>
              </w:rPr>
            </w:pPr>
            <m:oMathPara>
              <m:oMath>
                <m:r>
                  <w:rPr>
                    <w:rFonts w:ascii="Cambria Math" w:hAnsi="Cambria Math"/>
                  </w:rPr>
                  <m:t>a</m:t>
                </m:r>
              </m:oMath>
            </m:oMathPara>
          </w:p>
        </w:tc>
        <w:tc>
          <w:tcPr>
            <w:tcW w:w="1935" w:type="dxa"/>
          </w:tcPr>
          <w:p w14:paraId="1FF44F17" w14:textId="77777777" w:rsidR="00BD5594" w:rsidRPr="00D43DC4" w:rsidRDefault="00012869" w:rsidP="007A46C9">
            <w:pPr>
              <w:pStyle w:val="Tabletext"/>
              <w:jc w:val="center"/>
              <w:rPr>
                <w:rFonts w:ascii="Calibri" w:hAnsi="Calibri"/>
              </w:rPr>
            </w:pPr>
            <m:oMathPara>
              <m:oMath>
                <m:r>
                  <w:rPr>
                    <w:rFonts w:ascii="Cambria Math" w:hAnsi="Cambria Math"/>
                  </w:rPr>
                  <m:t>U</m:t>
                </m:r>
                <m:r>
                  <m:rPr>
                    <m:sty m:val="p"/>
                  </m:rPr>
                  <w:rPr>
                    <w:rFonts w:ascii="Cambria Math" w:hAnsi="Cambria Math"/>
                  </w:rPr>
                  <m:t>[1, 7]</m:t>
                </m:r>
              </m:oMath>
            </m:oMathPara>
          </w:p>
        </w:tc>
        <w:tc>
          <w:tcPr>
            <w:tcW w:w="1710" w:type="dxa"/>
          </w:tcPr>
          <w:p w14:paraId="7A8ADBE6" w14:textId="35CD2B81" w:rsidR="00BD5594" w:rsidRPr="00D43DC4" w:rsidRDefault="00BD5594" w:rsidP="00E93D6A">
            <w:pPr>
              <w:pStyle w:val="Tabletext"/>
            </w:pPr>
            <w:r w:rsidRPr="00D43DC4">
              <w:t>OOS Fitting</w:t>
            </w:r>
            <w:r w:rsidRPr="00D43DC4">
              <w:rPr>
                <w:color w:val="2B579A"/>
                <w:shd w:val="clear" w:color="auto" w:fill="E6E6E6"/>
              </w:rPr>
              <w:fldChar w:fldCharType="begin"/>
            </w:r>
            <w:r w:rsidR="004876B1">
              <w:instrText xml:space="preserve"> ADDIN ZOTERO_ITEM CSL_CITATION {"citationID":"RLLMYkYP","properties":{"formattedCitation":"\\super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Pr="00D43DC4">
              <w:rPr>
                <w:color w:val="2B579A"/>
                <w:shd w:val="clear" w:color="auto" w:fill="E6E6E6"/>
              </w:rPr>
              <w:fldChar w:fldCharType="separate"/>
            </w:r>
            <w:r w:rsidR="00585C9F" w:rsidRPr="00D43DC4">
              <w:rPr>
                <w:vertAlign w:val="superscript"/>
              </w:rPr>
              <w:t>1</w:t>
            </w:r>
            <w:r w:rsidRPr="00D43DC4">
              <w:rPr>
                <w:color w:val="2B579A"/>
                <w:shd w:val="clear" w:color="auto" w:fill="E6E6E6"/>
              </w:rPr>
              <w:fldChar w:fldCharType="end"/>
            </w:r>
            <w:r w:rsidRPr="00D43DC4">
              <w:t xml:space="preserve"> </w:t>
            </w:r>
          </w:p>
        </w:tc>
        <w:tc>
          <w:tcPr>
            <w:tcW w:w="4445" w:type="dxa"/>
          </w:tcPr>
          <w:p w14:paraId="3C230FC0" w14:textId="77777777" w:rsidR="00BD5594" w:rsidRPr="00D43DC4" w:rsidRDefault="00BD5594" w:rsidP="00E93D6A">
            <w:pPr>
              <w:pStyle w:val="Tabletext"/>
            </w:pPr>
            <w:r w:rsidRPr="00D43DC4">
              <w:t>Lower bound of residual averaging window in the adjustments to predicted transmission intensity.</w:t>
            </w:r>
          </w:p>
        </w:tc>
      </w:tr>
      <w:tr w:rsidR="00BD5594" w:rsidRPr="00D43DC4" w14:paraId="03ED1087" w14:textId="77777777" w:rsidTr="00C1085B">
        <w:tc>
          <w:tcPr>
            <w:tcW w:w="1260" w:type="dxa"/>
          </w:tcPr>
          <w:p w14:paraId="6F1497F1" w14:textId="77777777" w:rsidR="00BD5594" w:rsidRPr="00D43DC4" w:rsidRDefault="00012869" w:rsidP="00E93D6A">
            <w:pPr>
              <w:pStyle w:val="Tabletext"/>
            </w:pPr>
            <m:oMathPara>
              <m:oMath>
                <m:r>
                  <w:rPr>
                    <w:rFonts w:ascii="Cambria Math" w:hAnsi="Cambria Math"/>
                  </w:rPr>
                  <m:t>b</m:t>
                </m:r>
              </m:oMath>
            </m:oMathPara>
          </w:p>
        </w:tc>
        <w:tc>
          <w:tcPr>
            <w:tcW w:w="1935" w:type="dxa"/>
          </w:tcPr>
          <w:p w14:paraId="0415EF9E" w14:textId="77777777" w:rsidR="00BD5594" w:rsidRPr="00D43DC4" w:rsidRDefault="00012869" w:rsidP="007A46C9">
            <w:pPr>
              <w:pStyle w:val="Tabletext"/>
              <w:jc w:val="center"/>
              <w:rPr>
                <w:rFonts w:ascii="Calibri" w:hAnsi="Calibri"/>
              </w:rPr>
            </w:pPr>
            <m:oMathPara>
              <m:oMath>
                <m:r>
                  <w:rPr>
                    <w:rFonts w:ascii="Cambria Math" w:hAnsi="Cambria Math"/>
                  </w:rPr>
                  <m:t>U</m:t>
                </m:r>
                <m:d>
                  <m:dPr>
                    <m:begChr m:val="["/>
                    <m:endChr m:val="]"/>
                    <m:ctrlPr>
                      <w:rPr>
                        <w:rFonts w:ascii="Cambria Math" w:hAnsi="Cambria Math"/>
                      </w:rPr>
                    </m:ctrlPr>
                  </m:dPr>
                  <m:e>
                    <m:r>
                      <w:rPr>
                        <w:rFonts w:ascii="Cambria Math" w:hAnsi="Cambria Math"/>
                      </w:rPr>
                      <m:t>a</m:t>
                    </m:r>
                    <m:r>
                      <m:rPr>
                        <m:sty m:val="p"/>
                      </m:rPr>
                      <w:rPr>
                        <w:rFonts w:ascii="Cambria Math" w:hAnsi="Cambria Math"/>
                      </w:rPr>
                      <m:t>+21, 42</m:t>
                    </m:r>
                  </m:e>
                </m:d>
              </m:oMath>
            </m:oMathPara>
          </w:p>
        </w:tc>
        <w:tc>
          <w:tcPr>
            <w:tcW w:w="1710" w:type="dxa"/>
          </w:tcPr>
          <w:p w14:paraId="589625A3" w14:textId="7848E2E8" w:rsidR="00BD5594" w:rsidRPr="00D43DC4" w:rsidRDefault="00BD5594" w:rsidP="00E93D6A">
            <w:pPr>
              <w:pStyle w:val="Tabletext"/>
            </w:pPr>
            <w:r w:rsidRPr="00D43DC4">
              <w:t>OOS Fitting</w:t>
            </w:r>
            <w:r w:rsidRPr="00D43DC4">
              <w:rPr>
                <w:color w:val="2B579A"/>
                <w:shd w:val="clear" w:color="auto" w:fill="E6E6E6"/>
              </w:rPr>
              <w:fldChar w:fldCharType="begin"/>
            </w:r>
            <w:r w:rsidR="004876B1">
              <w:instrText xml:space="preserve"> ADDIN ZOTERO_ITEM CSL_CITATION {"citationID":"O5rWnB9l","properties":{"formattedCitation":"\\super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Pr="00D43DC4">
              <w:rPr>
                <w:color w:val="2B579A"/>
                <w:shd w:val="clear" w:color="auto" w:fill="E6E6E6"/>
              </w:rPr>
              <w:fldChar w:fldCharType="separate"/>
            </w:r>
            <w:r w:rsidR="00585C9F" w:rsidRPr="00D43DC4">
              <w:rPr>
                <w:vertAlign w:val="superscript"/>
              </w:rPr>
              <w:t>1</w:t>
            </w:r>
            <w:r w:rsidRPr="00D43DC4">
              <w:rPr>
                <w:color w:val="2B579A"/>
                <w:shd w:val="clear" w:color="auto" w:fill="E6E6E6"/>
              </w:rPr>
              <w:fldChar w:fldCharType="end"/>
            </w:r>
            <w:r w:rsidRPr="00D43DC4">
              <w:t xml:space="preserve"> </w:t>
            </w:r>
          </w:p>
        </w:tc>
        <w:tc>
          <w:tcPr>
            <w:tcW w:w="4445" w:type="dxa"/>
          </w:tcPr>
          <w:p w14:paraId="298440DF" w14:textId="43284334" w:rsidR="00BD5594" w:rsidRPr="00D43DC4" w:rsidRDefault="00BD5594" w:rsidP="00E93D6A">
            <w:pPr>
              <w:pStyle w:val="Tabletext"/>
            </w:pPr>
            <w:r w:rsidRPr="00D43DC4">
              <w:t>Upper bound of residual averaging window in the adjustments to predicted transmission intensity.</w:t>
            </w:r>
          </w:p>
          <w:p w14:paraId="132EC29F" w14:textId="43284334" w:rsidR="00B50E29" w:rsidRPr="00D43DC4" w:rsidRDefault="00B50E29" w:rsidP="00E93D6A">
            <w:pPr>
              <w:pStyle w:val="Tabletext"/>
            </w:pPr>
          </w:p>
        </w:tc>
      </w:tr>
      <w:tr w:rsidR="00B50E29" w:rsidRPr="00D43DC4" w14:paraId="1E206FD9" w14:textId="77777777" w:rsidTr="00C1085B">
        <w:tc>
          <w:tcPr>
            <w:tcW w:w="1260" w:type="dxa"/>
          </w:tcPr>
          <w:p w14:paraId="053B1B5B" w14:textId="2C001EAF" w:rsidR="00012869" w:rsidRPr="00D43DC4" w:rsidRDefault="00012869" w:rsidP="00E93D6A">
            <w:pPr>
              <w:pStyle w:val="Tabletext"/>
              <w:rPr>
                <w:rFonts w:ascii="Cambria Math" w:eastAsia="Calibri" w:hAnsi="Cambria Math"/>
                <w:oMath/>
              </w:rPr>
            </w:pPr>
            <m:oMathPara>
              <m:oMath>
                <m:r>
                  <w:rPr>
                    <w:rFonts w:ascii="Cambria Math" w:hAnsi="Cambria Math"/>
                  </w:rPr>
                  <m:t>w</m:t>
                </m:r>
              </m:oMath>
            </m:oMathPara>
          </w:p>
        </w:tc>
        <w:tc>
          <w:tcPr>
            <w:tcW w:w="1935" w:type="dxa"/>
          </w:tcPr>
          <w:p w14:paraId="479519EC" w14:textId="6850BD13" w:rsidR="00B50E29" w:rsidRPr="00D43DC4" w:rsidRDefault="00012869" w:rsidP="007A46C9">
            <w:pPr>
              <w:pStyle w:val="Tabletext"/>
              <w:jc w:val="center"/>
              <w:rPr>
                <w:rFonts w:eastAsia="Calibri"/>
              </w:rPr>
            </w:pPr>
            <m:oMathPara>
              <m:oMath>
                <m:r>
                  <m:rPr>
                    <m:sty m:val="p"/>
                  </m:rPr>
                  <w:rPr>
                    <w:rFonts w:ascii="Cambria Math" w:hAnsi="Cambria Math"/>
                  </w:rPr>
                  <m:t>42</m:t>
                </m:r>
              </m:oMath>
            </m:oMathPara>
          </w:p>
        </w:tc>
        <w:tc>
          <w:tcPr>
            <w:tcW w:w="1710" w:type="dxa"/>
          </w:tcPr>
          <w:p w14:paraId="3E103E7D" w14:textId="2167CBD0" w:rsidR="00B50E29" w:rsidRPr="00D43DC4" w:rsidRDefault="00B50E29" w:rsidP="00E93D6A">
            <w:pPr>
              <w:pStyle w:val="Tabletext"/>
            </w:pPr>
            <w:r w:rsidRPr="00D43DC4">
              <w:t>OOS Fitting</w:t>
            </w:r>
            <w:r w:rsidRPr="00D43DC4">
              <w:rPr>
                <w:color w:val="2B579A"/>
                <w:shd w:val="clear" w:color="auto" w:fill="E6E6E6"/>
              </w:rPr>
              <w:fldChar w:fldCharType="begin"/>
            </w:r>
            <w:r w:rsidR="004876B1">
              <w:instrText xml:space="preserve"> ADDIN ZOTERO_ITEM CSL_CITATION {"citationID":"ufIRktZj","properties":{"formattedCitation":"\\super 1\\nosupersub{}","plainCitation":"1","noteIndex":0},"citationItems":[{"id":980,"uris":["http://zotero.org/groups/2154524/items/VKX9KAWM"],"itemData":{"id":980,"type":"article-journal","abstract":"We use COVID-19 case and mortality data from 1 February 2020 to 21 September 2020 and a deterministic SEIR (susceptible, exposed, infectious and recovered) compartmental framework to model possible trajectories of severe acute respiratory syndrome coronavirus 2 (SARS-CoV-2) infections and the effects of non-pharmaceutical interventions in the United States at the state level from 22 September 2020 through 28 February 2021. Using this SEIR model, and projections of critical driving covariates (pneumonia seasonality, mobility, testing rates and mask use per capita), we assessed scenarios of social distancing mandates and levels of mask use. Projections of current non-pharmaceutical intervention strategies by state—with social distancing mandates reinstated when a threshold of 8 deaths per million population is exceeded (reference scenario)—suggest that, cumulatively, 511,373 (469,578–578,347) lives could be lost to COVID-19 across the United States by 28 February 2021. We find that achieving universal mask use (95% mask use in public) could be sufficient to ameliorate the worst effects of epidemic resurgences in many states. Universal mask use could save an additional 129,574 (85,284–170,867) lives from September 22, 2020 through the end of February 2021, or an additional 95,814 (60,731–133,077) lives assuming a lesser adoption of mask wearing (85%), when compared to the reference scenario.","container-title":"Nature Medicine","DOI":"10.1038/s41591-020-1132-9","ISSN":"1546-170X","issue":"1","journalAbbreviation":"Nat Med","language":"en","license":"2020 The Author(s)","note":"Bandiera_abtest: a\nCc_license_type: cc_by\nCg_type: Nature Research Journals\nnumber: 1\nPrimary_atype: Research\npublisher: Nature Publishing Group\nSubject_term: Health policy;Infectious diseases\nSubject_term_id: health-policy;infectious-diseases","page":"94-105","source":"www.nature.com","title":"Modeling COVID-19 scenarios for the United States","volume":"27","author":[{"family":"Reiner","given":"Robert C."},{"family":"Barber","given":"Ryan M."},{"family":"Collins","given":"James K."},{"family":"Zheng","given":"Peng"},{"family":"Adolph","given":"Christopher"},{"family":"Albright","given":"James"},{"family":"Antony","given":"Catherine M."},{"family":"Aravkin","given":"Aleksandr Y."},{"family":"Bachmeier","given":"Steven D."},{"family":"Bang-Jensen","given":"Bree"},{"family":"Bannick","given":"Marlena S."},{"family":"Bloom","given":"Sabina"},{"family":"Carter","given":"Austin"},{"family":"Castro","given":"Emma"},{"family":"Causey","given":"Kate"},{"family":"Chakrabarti","given":"Suman"},{"family":"Charlson","given":"Fiona J."},{"family":"Cogen","given":"Rebecca M."},{"family":"Combs","given":"Emily"},{"family":"Dai","given":"Xiaochen"},{"family":"Dangel","given":"William James"},{"family":"Earl","given":"Lucas"},{"family":"Ewald","given":"Samuel B."},{"family":"Ezalarab","given":"Maha"},{"family":"Ferrari","given":"Alize J."},{"family":"Flaxman","given":"Abraham"},{"family":"Frostad","given":"Joseph Jon"},{"family":"Fullman","given":"Nancy"},{"family":"Gakidou","given":"Emmanuela"},{"family":"Gallagher","given":"John"},{"family":"Glenn","given":"Scott D."},{"family":"Goosmann","given":"Erik A."},{"family":"He","given":"Jiawei"},{"family":"Henry","given":"Nathaniel J."},{"family":"Hulland","given":"Erin N."},{"family":"Hurst","given":"Benjamin"},{"family":"Johanns","given":"Casey"},{"family":"Kendrick","given":"Parkes J."},{"family":"Khemani","given":"Apurva"},{"family":"Larson","given":"Samantha Leigh"},{"family":"Lazzar-Atwood","given":"Alice"},{"family":"LeGrand","given":"Kate E."},{"family":"Lescinsky","given":"Haley"},{"family":"Lindstrom","given":"Akiaja"},{"family":"Linebarger","given":"Emily"},{"family":"Lozano","given":"Rafael"},{"family":"Ma","given":"Rui"},{"family":"Månsson","given":"Johan"},{"family":"Magistro","given":"Beatrice"},{"family":"Herrera","given":"Ana M. Mantilla"},{"family":"Marczak","given":"Laurie B."},{"family":"Miller-Petrie","given":"Molly K."},{"family":"Mokdad","given":"Ali H."},{"family":"Morgan","given":"Julia Deryn"},{"family":"Naik","given":"Paulami"},{"family":"Odell","given":"Christopher M."},{"family":"O’Halloran","given":"James K."},{"family":"Osgood-Zimmerman","given":"Aaron E."},{"family":"Ostroff","given":"Samuel M."},{"family":"Pasovic","given":"Maja"},{"family":"Penberthy","given":"Louise"},{"family":"Phipps","given":"Geoffrey"},{"family":"Pigott","given":"David M."},{"family":"Pollock","given":"Ian"},{"family":"Ramshaw","given":"Rebecca E."},{"family":"Redford","given":"Sofia Boston"},{"family":"Reinke","given":"Grace"},{"family":"Rolfe","given":"Sam"},{"family":"Santomauro","given":"Damian Francesco"},{"family":"Shackleton","given":"John R."},{"family":"Shaw","given":"David H."},{"family":"Sheena","given":"Brittney S."},{"family":"Sholokhov","given":"Aleksei"},{"family":"Sorensen","given":"Reed J. D."},{"family":"Sparks","given":"Gianna"},{"family":"Spurlock","given":"Emma Elizabeth"},{"family":"Subart","given":"Michelle L."},{"family":"Syailendrawati","given":"Ruri"},{"family":"Torre","given":"Anna E."},{"family":"Troeger","given":"Christopher E."},{"family":"Vos","given":"Theo"},{"family":"Watson","given":"Alexandrea"},{"family":"Watson","given":"Stefanie"},{"family":"Wiens","given":"Kirsten E."},{"family":"Woyczynski","given":"Lauren"},{"family":"Xu","given":"Liming"},{"family":"Zhang","given":"Jize"},{"family":"Hay","given":"Simon I."},{"family":"Lim","given":"Stephen S."},{"family":"Murray","given":"Christopher J. L."},{"literal":"IHME COVID-19 Forecasting Team"}],"issued":{"date-parts":[["2021",1]]}}}],"schema":"https://github.com/citation-style-language/schema/raw/master/csl-citation.json"} </w:instrText>
            </w:r>
            <w:r w:rsidRPr="00D43DC4">
              <w:rPr>
                <w:color w:val="2B579A"/>
                <w:shd w:val="clear" w:color="auto" w:fill="E6E6E6"/>
              </w:rPr>
              <w:fldChar w:fldCharType="separate"/>
            </w:r>
            <w:r w:rsidR="00585C9F" w:rsidRPr="00D43DC4">
              <w:rPr>
                <w:vertAlign w:val="superscript"/>
              </w:rPr>
              <w:t>1</w:t>
            </w:r>
            <w:r w:rsidRPr="00D43DC4">
              <w:rPr>
                <w:color w:val="2B579A"/>
                <w:shd w:val="clear" w:color="auto" w:fill="E6E6E6"/>
              </w:rPr>
              <w:fldChar w:fldCharType="end"/>
            </w:r>
            <w:r w:rsidRPr="00D43DC4">
              <w:t xml:space="preserve"> </w:t>
            </w:r>
          </w:p>
        </w:tc>
        <w:tc>
          <w:tcPr>
            <w:tcW w:w="4445" w:type="dxa"/>
          </w:tcPr>
          <w:p w14:paraId="103A0D64" w14:textId="045E2D65" w:rsidR="00B50E29" w:rsidRPr="00D43DC4" w:rsidRDefault="00B50E29" w:rsidP="00E93D6A">
            <w:pPr>
              <w:pStyle w:val="Tabletext"/>
            </w:pPr>
            <w:r w:rsidRPr="00D43DC4">
              <w:t>Window size for the application of the shift from the transmission intensity on the final reported day to the residual average.</w:t>
            </w:r>
          </w:p>
        </w:tc>
      </w:tr>
    </w:tbl>
    <w:p w14:paraId="2C6A7061" w14:textId="7A41DF04" w:rsidR="00BD5594" w:rsidRPr="00D43DC4" w:rsidRDefault="00BD5594" w:rsidP="00BC3AE0">
      <w:pPr>
        <w:rPr>
          <w:lang w:val="en-GB"/>
        </w:rPr>
      </w:pPr>
    </w:p>
    <w:p w14:paraId="0EA77761" w14:textId="3BD4E84D" w:rsidR="00BD5594" w:rsidRPr="00D43DC4" w:rsidRDefault="00C1099F" w:rsidP="00C1099F">
      <w:pPr>
        <w:pStyle w:val="Table"/>
        <w:rPr>
          <w:lang w:val="en-GB"/>
        </w:rPr>
      </w:pPr>
      <w:bookmarkStart w:id="398" w:name="_Toc124499528"/>
      <w:r>
        <w:rPr>
          <w:lang w:val="en-GB"/>
        </w:rPr>
        <w:t>SEI Regression priors and coefficients</w:t>
      </w:r>
      <w:bookmarkEnd w:id="398"/>
    </w:p>
    <w:tbl>
      <w:tblPr>
        <w:tblStyle w:val="TableGridLight"/>
        <w:tblW w:w="0" w:type="auto"/>
        <w:tblLook w:val="04A0" w:firstRow="1" w:lastRow="0" w:firstColumn="1" w:lastColumn="0" w:noHBand="0" w:noVBand="1"/>
      </w:tblPr>
      <w:tblGrid>
        <w:gridCol w:w="2605"/>
        <w:gridCol w:w="1323"/>
        <w:gridCol w:w="1835"/>
        <w:gridCol w:w="1867"/>
        <w:gridCol w:w="1720"/>
      </w:tblGrid>
      <w:tr w:rsidR="00267AEE" w14:paraId="2452C264" w14:textId="06E4ADB3" w:rsidTr="386F6625">
        <w:trPr>
          <w:trHeight w:val="251"/>
        </w:trPr>
        <w:tc>
          <w:tcPr>
            <w:tcW w:w="2605" w:type="dxa"/>
            <w:shd w:val="clear" w:color="auto" w:fill="D9D9D9" w:themeFill="background1" w:themeFillShade="D9"/>
          </w:tcPr>
          <w:p w14:paraId="7B3289F8" w14:textId="614819FC" w:rsidR="00267AEE" w:rsidRDefault="00267AEE" w:rsidP="00BC3AE0">
            <w:pPr>
              <w:rPr>
                <w:lang w:val="en-GB"/>
              </w:rPr>
            </w:pPr>
            <w:r>
              <w:rPr>
                <w:lang w:val="en-GB"/>
              </w:rPr>
              <w:t>Covariate</w:t>
            </w:r>
          </w:p>
        </w:tc>
        <w:tc>
          <w:tcPr>
            <w:tcW w:w="1323" w:type="dxa"/>
            <w:shd w:val="clear" w:color="auto" w:fill="D9D9D9" w:themeFill="background1" w:themeFillShade="D9"/>
          </w:tcPr>
          <w:p w14:paraId="5CE3E747" w14:textId="0A227FC8" w:rsidR="00267AEE" w:rsidRDefault="00267AEE" w:rsidP="00BC3AE0">
            <w:pPr>
              <w:rPr>
                <w:lang w:val="en-GB"/>
              </w:rPr>
            </w:pPr>
            <w:r>
              <w:rPr>
                <w:lang w:val="en-GB"/>
              </w:rPr>
              <w:t>Constraints</w:t>
            </w:r>
          </w:p>
        </w:tc>
        <w:tc>
          <w:tcPr>
            <w:tcW w:w="1835" w:type="dxa"/>
            <w:shd w:val="clear" w:color="auto" w:fill="D9D9D9" w:themeFill="background1" w:themeFillShade="D9"/>
          </w:tcPr>
          <w:p w14:paraId="2E2C761F" w14:textId="48964FD5" w:rsidR="00267AEE" w:rsidRDefault="00267AEE" w:rsidP="00BC3AE0">
            <w:pPr>
              <w:rPr>
                <w:lang w:val="en-GB"/>
              </w:rPr>
            </w:pPr>
            <w:r>
              <w:rPr>
                <w:lang w:val="en-GB"/>
              </w:rPr>
              <w:t>Prior</w:t>
            </w:r>
            <w:r w:rsidR="00A53AD0">
              <w:rPr>
                <w:lang w:val="en-GB"/>
              </w:rPr>
              <w:t xml:space="preserve"> (mean, </w:t>
            </w:r>
            <w:proofErr w:type="spellStart"/>
            <w:r w:rsidR="00A53AD0">
              <w:rPr>
                <w:lang w:val="en-GB"/>
              </w:rPr>
              <w:t>sd</w:t>
            </w:r>
            <w:proofErr w:type="spellEnd"/>
            <w:r w:rsidR="00A53AD0">
              <w:rPr>
                <w:lang w:val="en-GB"/>
              </w:rPr>
              <w:t>)</w:t>
            </w:r>
          </w:p>
        </w:tc>
        <w:tc>
          <w:tcPr>
            <w:tcW w:w="1867" w:type="dxa"/>
            <w:shd w:val="clear" w:color="auto" w:fill="D9D9D9" w:themeFill="background1" w:themeFillShade="D9"/>
          </w:tcPr>
          <w:p w14:paraId="7ABC493E" w14:textId="3F7FFE1D" w:rsidR="00267AEE" w:rsidRDefault="00267AEE" w:rsidP="00BC3AE0">
            <w:pPr>
              <w:rPr>
                <w:lang w:val="en-GB"/>
              </w:rPr>
            </w:pPr>
            <w:r>
              <w:rPr>
                <w:lang w:val="en-GB"/>
              </w:rPr>
              <w:t>Result</w:t>
            </w:r>
            <w:r w:rsidR="00710F31">
              <w:rPr>
                <w:lang w:val="en-GB"/>
              </w:rPr>
              <w:t xml:space="preserve"> (mean, </w:t>
            </w:r>
            <w:proofErr w:type="spellStart"/>
            <w:r w:rsidR="00710F31">
              <w:rPr>
                <w:lang w:val="en-GB"/>
              </w:rPr>
              <w:t>sd</w:t>
            </w:r>
            <w:proofErr w:type="spellEnd"/>
            <w:r w:rsidR="00710F31">
              <w:rPr>
                <w:lang w:val="en-GB"/>
              </w:rPr>
              <w:t>)</w:t>
            </w:r>
          </w:p>
        </w:tc>
        <w:tc>
          <w:tcPr>
            <w:tcW w:w="1720" w:type="dxa"/>
            <w:shd w:val="clear" w:color="auto" w:fill="D9D9D9" w:themeFill="background1" w:themeFillShade="D9"/>
          </w:tcPr>
          <w:p w14:paraId="0DE86593" w14:textId="40B06ADE" w:rsidR="00267AEE" w:rsidRDefault="00267AEE" w:rsidP="00BC3AE0">
            <w:pPr>
              <w:rPr>
                <w:lang w:val="en-GB"/>
              </w:rPr>
            </w:pPr>
            <w:r>
              <w:rPr>
                <w:lang w:val="en-GB"/>
              </w:rPr>
              <w:t>Note</w:t>
            </w:r>
          </w:p>
        </w:tc>
      </w:tr>
      <w:tr w:rsidR="00267AEE" w14:paraId="1BCB0DBB" w14:textId="74CC418A" w:rsidTr="386F6625">
        <w:trPr>
          <w:trHeight w:val="524"/>
        </w:trPr>
        <w:tc>
          <w:tcPr>
            <w:tcW w:w="2605" w:type="dxa"/>
          </w:tcPr>
          <w:p w14:paraId="11B62483" w14:textId="57CDAB97" w:rsidR="00267AEE" w:rsidRDefault="00267AEE" w:rsidP="00BC3AE0">
            <w:pPr>
              <w:rPr>
                <w:lang w:val="en-GB"/>
              </w:rPr>
            </w:pPr>
            <w:r>
              <w:rPr>
                <w:lang w:val="en-GB"/>
              </w:rPr>
              <w:t>Intercept</w:t>
            </w:r>
          </w:p>
        </w:tc>
        <w:tc>
          <w:tcPr>
            <w:tcW w:w="1323" w:type="dxa"/>
          </w:tcPr>
          <w:p w14:paraId="13A373B5" w14:textId="2AAB4D69" w:rsidR="00267AEE" w:rsidRDefault="00267AEE" w:rsidP="00BC3AE0">
            <w:pPr>
              <w:rPr>
                <w:lang w:val="en-GB"/>
              </w:rPr>
            </w:pPr>
            <w:r>
              <w:rPr>
                <w:lang w:val="en-GB"/>
              </w:rPr>
              <w:t>N/A</w:t>
            </w:r>
          </w:p>
        </w:tc>
        <w:tc>
          <w:tcPr>
            <w:tcW w:w="1835" w:type="dxa"/>
          </w:tcPr>
          <w:p w14:paraId="009AB07D" w14:textId="0CD0E9DE" w:rsidR="00267AEE" w:rsidRDefault="00267AEE" w:rsidP="00BC3AE0">
            <w:pPr>
              <w:rPr>
                <w:lang w:val="en-GB"/>
              </w:rPr>
            </w:pPr>
            <w:r>
              <w:rPr>
                <w:lang w:val="en-GB"/>
              </w:rPr>
              <w:t>N/A</w:t>
            </w:r>
          </w:p>
        </w:tc>
        <w:tc>
          <w:tcPr>
            <w:tcW w:w="1867" w:type="dxa"/>
          </w:tcPr>
          <w:p w14:paraId="497154B2" w14:textId="2274AF2B" w:rsidR="00267AEE" w:rsidRDefault="00A44D3C" w:rsidP="00BC3AE0">
            <w:pPr>
              <w:rPr>
                <w:lang w:val="en-GB"/>
              </w:rPr>
            </w:pPr>
            <w:r>
              <w:rPr>
                <w:lang w:val="en-GB"/>
              </w:rPr>
              <w:t>Location-specific</w:t>
            </w:r>
          </w:p>
        </w:tc>
        <w:tc>
          <w:tcPr>
            <w:tcW w:w="1720" w:type="dxa"/>
          </w:tcPr>
          <w:p w14:paraId="5AFB52FA" w14:textId="5731F007" w:rsidR="00267AEE" w:rsidRDefault="00A44D3C" w:rsidP="00BC3AE0">
            <w:pPr>
              <w:rPr>
                <w:lang w:val="en-GB"/>
              </w:rPr>
            </w:pPr>
            <w:r>
              <w:rPr>
                <w:lang w:val="en-GB"/>
              </w:rPr>
              <w:t>Random effect by location</w:t>
            </w:r>
          </w:p>
        </w:tc>
      </w:tr>
      <w:tr w:rsidR="00A44D3C" w14:paraId="24F74739" w14:textId="77777777" w:rsidTr="386F6625">
        <w:trPr>
          <w:trHeight w:val="545"/>
        </w:trPr>
        <w:tc>
          <w:tcPr>
            <w:tcW w:w="2605" w:type="dxa"/>
          </w:tcPr>
          <w:p w14:paraId="11ECD449" w14:textId="690FC83D" w:rsidR="00A44D3C" w:rsidRPr="00983644" w:rsidRDefault="00825DFA" w:rsidP="00BC3AE0">
            <w:pPr>
              <w:rPr>
                <w:lang w:val="en-GB"/>
              </w:rPr>
            </w:pPr>
            <w:r w:rsidRPr="00983644">
              <w:rPr>
                <w:lang w:val="en-GB"/>
              </w:rPr>
              <w:t>Pneumonia Seasonality (Section 5.4)</w:t>
            </w:r>
          </w:p>
        </w:tc>
        <w:tc>
          <w:tcPr>
            <w:tcW w:w="1323" w:type="dxa"/>
          </w:tcPr>
          <w:p w14:paraId="45989D81" w14:textId="75DFE8BA" w:rsidR="00A44D3C" w:rsidRDefault="00D56A62" w:rsidP="00D56A62">
            <w:pPr>
              <w:rPr>
                <w:lang w:val="en-GB"/>
              </w:rPr>
            </w:pPr>
            <m:oMathPara>
              <m:oMath>
                <m:r>
                  <w:rPr>
                    <w:rFonts w:ascii="Cambria Math" w:hAnsi="Cambria Math"/>
                    <w:lang w:val="en-GB"/>
                  </w:rPr>
                  <m:t>[0.0, +∞)</m:t>
                </m:r>
              </m:oMath>
            </m:oMathPara>
          </w:p>
        </w:tc>
        <w:tc>
          <w:tcPr>
            <w:tcW w:w="1835" w:type="dxa"/>
          </w:tcPr>
          <w:p w14:paraId="0ADF456B" w14:textId="20F152FC" w:rsidR="00A44D3C" w:rsidRDefault="00C16F9F" w:rsidP="00BC3AE0">
            <w:pPr>
              <w:rPr>
                <w:lang w:val="en-GB"/>
              </w:rPr>
            </w:pPr>
            <w:r>
              <w:rPr>
                <w:lang w:val="en-GB"/>
              </w:rPr>
              <w:t>N/A</w:t>
            </w:r>
          </w:p>
        </w:tc>
        <w:tc>
          <w:tcPr>
            <w:tcW w:w="1867" w:type="dxa"/>
          </w:tcPr>
          <w:p w14:paraId="3276CE66" w14:textId="70C9A357" w:rsidR="00A44D3C" w:rsidRDefault="00710F31" w:rsidP="00BC3AE0">
            <w:pPr>
              <w:rPr>
                <w:lang w:val="en-GB"/>
              </w:rPr>
            </w:pPr>
            <w:r>
              <w:rPr>
                <w:lang w:val="en-GB"/>
              </w:rPr>
              <w:t>(0.17, 0.13)</w:t>
            </w:r>
          </w:p>
        </w:tc>
        <w:tc>
          <w:tcPr>
            <w:tcW w:w="1720" w:type="dxa"/>
          </w:tcPr>
          <w:p w14:paraId="12D8DF32" w14:textId="026925F1" w:rsidR="00A44D3C" w:rsidRDefault="0003559D" w:rsidP="00BC3AE0">
            <w:pPr>
              <w:rPr>
                <w:lang w:val="en-GB"/>
              </w:rPr>
            </w:pPr>
            <w:r>
              <w:rPr>
                <w:lang w:val="en-GB"/>
              </w:rPr>
              <w:t>Time-varying</w:t>
            </w:r>
          </w:p>
        </w:tc>
      </w:tr>
      <w:tr w:rsidR="00710F31" w14:paraId="5747CF87" w14:textId="77777777" w:rsidTr="386F6625">
        <w:trPr>
          <w:trHeight w:val="503"/>
        </w:trPr>
        <w:tc>
          <w:tcPr>
            <w:tcW w:w="2605" w:type="dxa"/>
          </w:tcPr>
          <w:p w14:paraId="13E3FC08" w14:textId="77777777" w:rsidR="00E77880" w:rsidRPr="00983644" w:rsidRDefault="00E77880" w:rsidP="00BC3AE0">
            <w:pPr>
              <w:rPr>
                <w:lang w:val="en-GB"/>
              </w:rPr>
            </w:pPr>
            <w:r w:rsidRPr="00983644">
              <w:rPr>
                <w:lang w:val="en-GB"/>
              </w:rPr>
              <w:t>Mandate Index</w:t>
            </w:r>
          </w:p>
          <w:p w14:paraId="3CC86D0D" w14:textId="317F9DBB" w:rsidR="00710F31" w:rsidRPr="00983644" w:rsidRDefault="00E77880" w:rsidP="00BC3AE0">
            <w:pPr>
              <w:rPr>
                <w:lang w:val="en-GB"/>
              </w:rPr>
            </w:pPr>
            <w:r w:rsidRPr="00983644">
              <w:rPr>
                <w:lang w:val="en-GB"/>
              </w:rPr>
              <w:t>(Section 5.7)</w:t>
            </w:r>
          </w:p>
        </w:tc>
        <w:tc>
          <w:tcPr>
            <w:tcW w:w="1323" w:type="dxa"/>
          </w:tcPr>
          <w:p w14:paraId="700C5F1E" w14:textId="6D172210" w:rsidR="00710F31" w:rsidRDefault="005872EA" w:rsidP="005872EA">
            <w:pPr>
              <w:rPr>
                <w:rFonts w:eastAsia="Calibri"/>
                <w:lang w:val="en-GB"/>
              </w:rPr>
            </w:pPr>
            <m:oMathPara>
              <m:oMath>
                <m:r>
                  <w:rPr>
                    <w:rFonts w:ascii="Cambria Math" w:eastAsiaTheme="minorEastAsia" w:hAnsi="Cambria Math"/>
                    <w:lang w:val="en-GB"/>
                  </w:rPr>
                  <m:t>(-</m:t>
                </m:r>
                <m:r>
                  <w:rPr>
                    <w:rFonts w:ascii="Cambria Math" w:hAnsi="Cambria Math"/>
                    <w:lang w:val="en-GB"/>
                  </w:rPr>
                  <m:t>∞, 0.0]</m:t>
                </m:r>
              </m:oMath>
            </m:oMathPara>
          </w:p>
        </w:tc>
        <w:tc>
          <w:tcPr>
            <w:tcW w:w="1835" w:type="dxa"/>
          </w:tcPr>
          <w:p w14:paraId="25A9E21C" w14:textId="6D26E074" w:rsidR="00710F31" w:rsidRDefault="00915362" w:rsidP="00BC3AE0">
            <w:pPr>
              <w:rPr>
                <w:lang w:val="en-GB"/>
              </w:rPr>
            </w:pPr>
            <w:r>
              <w:rPr>
                <w:lang w:val="en-GB"/>
              </w:rPr>
              <w:t>N/A</w:t>
            </w:r>
          </w:p>
        </w:tc>
        <w:tc>
          <w:tcPr>
            <w:tcW w:w="1867" w:type="dxa"/>
          </w:tcPr>
          <w:p w14:paraId="01540858" w14:textId="672A3403" w:rsidR="00710F31" w:rsidRDefault="00915362" w:rsidP="001678A7">
            <w:pPr>
              <w:tabs>
                <w:tab w:val="center" w:pos="825"/>
              </w:tabs>
              <w:rPr>
                <w:lang w:val="en-GB"/>
              </w:rPr>
            </w:pPr>
            <w:r>
              <w:rPr>
                <w:lang w:val="en-GB"/>
              </w:rPr>
              <w:t>(</w:t>
            </w:r>
            <w:r w:rsidR="00524D20">
              <w:rPr>
                <w:lang w:val="en-GB"/>
              </w:rPr>
              <w:t>-0.25, 0.22)</w:t>
            </w:r>
            <w:r w:rsidR="001678A7">
              <w:rPr>
                <w:lang w:val="en-GB"/>
              </w:rPr>
              <w:tab/>
            </w:r>
          </w:p>
        </w:tc>
        <w:tc>
          <w:tcPr>
            <w:tcW w:w="1720" w:type="dxa"/>
          </w:tcPr>
          <w:p w14:paraId="0FD0C5FA" w14:textId="3705B046" w:rsidR="00710F31" w:rsidRDefault="0003559D" w:rsidP="00BC3AE0">
            <w:pPr>
              <w:rPr>
                <w:lang w:val="en-GB"/>
              </w:rPr>
            </w:pPr>
            <w:r>
              <w:rPr>
                <w:lang w:val="en-GB"/>
              </w:rPr>
              <w:t>Time-varying</w:t>
            </w:r>
          </w:p>
        </w:tc>
      </w:tr>
      <w:tr w:rsidR="00524D20" w14:paraId="417220DF" w14:textId="77777777" w:rsidTr="386F6625">
        <w:trPr>
          <w:trHeight w:val="503"/>
        </w:trPr>
        <w:tc>
          <w:tcPr>
            <w:tcW w:w="2605" w:type="dxa"/>
          </w:tcPr>
          <w:p w14:paraId="7AF61A47" w14:textId="79691650" w:rsidR="00524D20" w:rsidRPr="00983644" w:rsidRDefault="00524D20" w:rsidP="00524D20">
            <w:pPr>
              <w:rPr>
                <w:lang w:val="en-GB"/>
              </w:rPr>
            </w:pPr>
            <w:r w:rsidRPr="00983644">
              <w:rPr>
                <w:lang w:val="en-GB"/>
              </w:rPr>
              <w:t>Mask Usage</w:t>
            </w:r>
            <w:r w:rsidRPr="00983644">
              <w:rPr>
                <w:lang w:val="en-GB"/>
              </w:rPr>
              <w:br/>
              <w:t>(Section 5.6)</w:t>
            </w:r>
          </w:p>
        </w:tc>
        <w:tc>
          <w:tcPr>
            <w:tcW w:w="1323" w:type="dxa"/>
          </w:tcPr>
          <w:p w14:paraId="4E5B158C" w14:textId="5500CAB1" w:rsidR="00524D20" w:rsidRDefault="00524D20" w:rsidP="00524D20">
            <w:pPr>
              <w:rPr>
                <w:rFonts w:eastAsia="Calibri"/>
                <w:lang w:val="en-GB"/>
              </w:rPr>
            </w:pPr>
            <m:oMathPara>
              <m:oMath>
                <m:r>
                  <w:rPr>
                    <w:rFonts w:ascii="Cambria Math" w:eastAsiaTheme="minorEastAsia" w:hAnsi="Cambria Math"/>
                    <w:lang w:val="en-GB"/>
                  </w:rPr>
                  <m:t>(-</m:t>
                </m:r>
                <m:r>
                  <w:rPr>
                    <w:rFonts w:ascii="Cambria Math" w:hAnsi="Cambria Math"/>
                    <w:lang w:val="en-GB"/>
                  </w:rPr>
                  <m:t>∞, 0.0]</m:t>
                </m:r>
              </m:oMath>
            </m:oMathPara>
          </w:p>
        </w:tc>
        <w:tc>
          <w:tcPr>
            <w:tcW w:w="1835" w:type="dxa"/>
          </w:tcPr>
          <w:p w14:paraId="17566A2A" w14:textId="167089D5" w:rsidR="00524D20" w:rsidRDefault="00A53AD0" w:rsidP="003E7700">
            <w:pPr>
              <w:rPr>
                <w:lang w:val="en-GB"/>
              </w:rPr>
            </w:pPr>
            <w:r>
              <w:rPr>
                <w:lang w:val="en-GB"/>
              </w:rPr>
              <w:t>(-0.61, 0.01)</w:t>
            </w:r>
            <w:r w:rsidR="003E7700">
              <w:rPr>
                <w:lang w:val="en-GB"/>
              </w:rPr>
              <w:t xml:space="preserve"> </w:t>
            </w:r>
          </w:p>
        </w:tc>
        <w:tc>
          <w:tcPr>
            <w:tcW w:w="1867" w:type="dxa"/>
          </w:tcPr>
          <w:p w14:paraId="6933799D" w14:textId="4F0E5E31" w:rsidR="00524D20" w:rsidRDefault="009A678E" w:rsidP="00524D20">
            <w:pPr>
              <w:tabs>
                <w:tab w:val="center" w:pos="825"/>
              </w:tabs>
              <w:rPr>
                <w:lang w:val="en-GB"/>
              </w:rPr>
            </w:pPr>
            <w:r>
              <w:rPr>
                <w:lang w:val="en-GB"/>
              </w:rPr>
              <w:t>(-0.35, 0.09)</w:t>
            </w:r>
          </w:p>
        </w:tc>
        <w:tc>
          <w:tcPr>
            <w:tcW w:w="1720" w:type="dxa"/>
          </w:tcPr>
          <w:p w14:paraId="76CD6A40" w14:textId="7178CC66" w:rsidR="00524D20" w:rsidRDefault="0003559D" w:rsidP="00524D20">
            <w:pPr>
              <w:rPr>
                <w:lang w:val="en-GB"/>
              </w:rPr>
            </w:pPr>
            <w:r>
              <w:rPr>
                <w:lang w:val="en-GB"/>
              </w:rPr>
              <w:t xml:space="preserve">Time-varying; </w:t>
            </w:r>
            <w:r w:rsidR="009A678E">
              <w:rPr>
                <w:lang w:val="en-GB"/>
              </w:rPr>
              <w:t xml:space="preserve">Prior based on </w:t>
            </w:r>
            <w:r w:rsidR="00B40534">
              <w:rPr>
                <w:lang w:val="en-GB"/>
              </w:rPr>
              <w:t>literature</w:t>
            </w:r>
            <w:r w:rsidR="00851DCE">
              <w:rPr>
                <w:lang w:val="en-GB"/>
              </w:rPr>
              <w:fldChar w:fldCharType="begin"/>
            </w:r>
            <w:r w:rsidR="00851DCE">
              <w:rPr>
                <w:lang w:val="en-GB"/>
              </w:rPr>
              <w:instrText xml:space="preserve"> ADDIN ZOTERO_ITEM CSL_CITATION {"citationID":"dgTPsBmp","properties":{"formattedCitation":"\\super 55\\nosupersub{}","plainCitation":"55","noteIndex":0},"citationItems":[{"id":35725,"uris":["http://zotero.org/groups/2154524/items/N76LIU8R"],"itemData":{"id":35725,"type":"article-journal","abstract":"The aim of this systematic review and network meta-analysis is to evaluate the comparative effectiveness of N95, surgical/medical and non-medical facemasks as personal protective equipment against respiratory virus infection. The study incorporated 35 published and unpublished randomized controlled trials and observational studies investigating specific mask effectiveness against influenza virus, SARS-CoV, MERS-CoV and SARS-CoV-2. We searched PubMed, Google Scholar and medRxiv databases for studies published up to 5 February 2021 (PROSPERO registration: CRD42020214729). The primary outcome of interest was the rate of respiratory viral infection. The quality of evidence was estimated using the GRADE approach. High compliance to mask-wearing conferred a significantly better protection (odds ratio [OR], 0.43; 95% confidence interval [CI], 0.23–0.82) than low compliance. N95 or equivalent masks were the most effective in providing protection against coronavirus infections (OR, 0.30; CI, 0.20–0.44) consistently across subgroup analyses of causative viruses and clinical settings. Evidence supporting the use of medical or surgical masks against influenza or coronavirus infections (SARS, MERS and COVID-19) was weak. Our study confirmed that the use of facemasks provides protection against respiratory viral infections in general; however, the effectiveness may vary according to the type of facemask used. Our findings encourage the use of N95 respirators or their equivalents (e.g., P2) for best personal protection in healthcare settings until more evidence on surgical and medical masks is accrued. This study highlights a substantial lack of evidence on the comparative effectiveness of mask types in community settings.","container-title":"Reviews in Medical Virology","DOI":"10.1002/rmv.2336","ISSN":"1099-1654","issue":"5","language":"en","note":"_eprint: https://onlinelibrary.wiley.com/doi/pdf/10.1002/rmv.2336","page":"e2336","source":"Wiley Online Library","title":"Comparative effectiveness of N95, surgical or medical, and non-medical facemasks in protection against respiratory virus infection: A systematic review and network meta-analysis","title-short":"Comparative effectiveness of N95, surgical or medical, and non-medical facemasks in protection against respiratory virus infection","volume":"32","author":[{"family":"Kim","given":"Min Seo"},{"family":"Seong","given":"Dawon"},{"family":"Li","given":"Han"},{"family":"Chung","given":"Seo Kyoung"},{"family":"Park","given":"Youngjoo"},{"family":"Lee","given":"Minho"},{"family":"Lee","given":"Seung Won"},{"family":"Yon","given":"Dong Keon"},{"family":"Kim","given":"Jae Han"},{"family":"Lee","given":"Keum Hwa"},{"family":"Solmi","given":"Marco"},{"family":"Dragioti","given":"Elena"},{"family":"Koyanagi","given":"Ai"},{"family":"Jacob","given":"Louis"},{"family":"Kronbichler","given":"Andreas"},{"family":"Tizaoui","given":"Kalthoum"},{"family":"Cargnin","given":"Sarah"},{"family":"Terrazzino","given":"Salvatore"},{"family":"Hong","given":"Sung Hwi"},{"family":"Abou Ghayda","given":"Ramy"},{"family":"Radua","given":"Joaquim"},{"family":"Oh","given":"Hans"},{"family":"Kostev","given":"Karel"},{"family":"Ogino","given":"Shuji"},{"family":"Lee","given":"I-Min"},{"family":"Giovannucci","given":"Edward"},{"family":"Barnett","given":"Yvonne"},{"family":"Butler","given":"Laurie"},{"family":"McDermott","given":"Daragh"},{"family":"Ilie","given":"Petre-Cristian"},{"family":"Shin","given":"Jae Il"},{"family":"Smith","given":"Lee"}],"issued":{"date-parts":[["2022"]]}}}],"schema":"https://github.com/citation-style-language/schema/raw/master/csl-citation.json"} </w:instrText>
            </w:r>
            <w:r w:rsidR="00851DCE">
              <w:rPr>
                <w:lang w:val="en-GB"/>
              </w:rPr>
              <w:fldChar w:fldCharType="separate"/>
            </w:r>
            <w:r w:rsidR="00851DCE" w:rsidRPr="00851DCE">
              <w:rPr>
                <w:vertAlign w:val="superscript"/>
              </w:rPr>
              <w:t>55</w:t>
            </w:r>
            <w:r w:rsidR="00851DCE">
              <w:rPr>
                <w:lang w:val="en-GB"/>
              </w:rPr>
              <w:fldChar w:fldCharType="end"/>
            </w:r>
            <w:r w:rsidR="00517309" w:rsidRPr="00517309">
              <w:rPr>
                <w:vertAlign w:val="superscript"/>
                <w:lang w:val="en-GB"/>
              </w:rPr>
              <w:t>,</w:t>
            </w:r>
            <w:r w:rsidR="00851DCE">
              <w:rPr>
                <w:lang w:val="en-GB"/>
              </w:rPr>
              <w:fldChar w:fldCharType="begin"/>
            </w:r>
            <w:r w:rsidR="00517309">
              <w:rPr>
                <w:lang w:val="en-GB"/>
              </w:rPr>
              <w:instrText xml:space="preserve"> ADDIN ZOTERO_ITEM CSL_CITATION {"citationID":"9FwXGkEi","properties":{"formattedCitation":"\\super 56\\nosupersub{}","plainCitation":"56","noteIndex":0},"citationItems":[{"id":35732,"uris":["http://zotero.org/groups/2154524/items/2IUUVVQA"],"itemData":{"id":35732,"type":"article-journal","abstract":"We conducted a cluster-randomized trial to measure the effect of community-level mask distribution and promotion on symptomatic severe acute respiratory syndrome coronavirus 2 (SARS-CoV-2) infections in rural Bangladesh from November 2020 to April 2021 (N = 600 villages, N = 342,183 adults). We cross-randomized mask type (cloth versus surgical) and promotion strategies at the village and household level. Proper mask-wearing increased from 13.3% in the control group to 42.3% in the intervention arm (adjusted percentage point difference = 0.29; 95% confidence interval = [0.26, 0.31]). The intervention reduced symptomatic seroprevalence (adjusted prevalence ratio = 0.91 [0.82, 1.00]), especially among adults ≥60 years old in villages where surgical masks were distributed (adjusted prevalence ratio = 0.65 [0.45, 0.85]). Mask distribution with promotion was a scalable and effective method to reduce symptomatic SARS-CoV-2 infections.","container-title":"Science (New York, N.Y.)","DOI":"10.1126/science.abi9069","ISSN":"1095-9203","issue":"6577","journalAbbreviation":"Science","language":"eng","note":"PMID: 34855513\nPMCID: PMC9036942","page":"eabi9069","source":"PubMed","title":"Impact of community masking on COVID-19: A cluster-randomized trial in Bangladesh","title-short":"Impact of community masking on COVID-19","volume":"375","author":[{"family":"Abaluck","given":"Jason"},{"family":"Kwong","given":"Laura H."},{"family":"Styczynski","given":"Ashley"},{"family":"Haque","given":"Ashraful"},{"family":"Kabir","given":"Md Alamgir"},{"family":"Bates-Jefferys","given":"Ellen"},{"family":"Crawford","given":"Emily"},{"family":"Benjamin-Chung","given":"Jade"},{"family":"Raihan","given":"Shabib"},{"family":"Rahman","given":"Shadman"},{"family":"Benhachmi","given":"Salim"},{"family":"Bintee","given":"Neeti Zaman"},{"family":"Winch","given":"Peter J."},{"family":"Hossain","given":"Maqsud"},{"family":"Reza","given":"Hasan Mahmud"},{"family":"Jaber","given":"Abdullah All"},{"family":"Momen","given":"Shawkee Gulshan"},{"family":"Rahman","given":"Aura"},{"family":"Banti","given":"Faika Laz"},{"family":"Huq","given":"Tahrima Saiha"},{"family":"Luby","given":"Stephen P."},{"family":"Mobarak","given":"Ahmed Mushfiq"}],"issued":{"date-parts":[["2022",1,14]]}}}],"schema":"https://github.com/citation-style-language/schema/raw/master/csl-citation.json"} </w:instrText>
            </w:r>
            <w:r w:rsidR="00851DCE">
              <w:rPr>
                <w:lang w:val="en-GB"/>
              </w:rPr>
              <w:fldChar w:fldCharType="separate"/>
            </w:r>
            <w:r w:rsidR="00517309" w:rsidRPr="00517309">
              <w:rPr>
                <w:vertAlign w:val="superscript"/>
              </w:rPr>
              <w:t>56</w:t>
            </w:r>
            <w:r w:rsidR="00851DCE">
              <w:rPr>
                <w:lang w:val="en-GB"/>
              </w:rPr>
              <w:fldChar w:fldCharType="end"/>
            </w:r>
          </w:p>
        </w:tc>
      </w:tr>
      <w:tr w:rsidR="001524D6" w14:paraId="2A89BC24" w14:textId="77777777" w:rsidTr="386F6625">
        <w:trPr>
          <w:trHeight w:val="503"/>
        </w:trPr>
        <w:tc>
          <w:tcPr>
            <w:tcW w:w="2605" w:type="dxa"/>
          </w:tcPr>
          <w:p w14:paraId="2FCD7DB3" w14:textId="77777777" w:rsidR="001524D6" w:rsidRPr="00983644" w:rsidRDefault="001524D6" w:rsidP="00524D20">
            <w:pPr>
              <w:rPr>
                <w:lang w:val="en-GB"/>
              </w:rPr>
            </w:pPr>
            <w:r w:rsidRPr="00983644">
              <w:rPr>
                <w:lang w:val="en-GB"/>
              </w:rPr>
              <w:t>Air Pollution (P.M. 2.5)</w:t>
            </w:r>
          </w:p>
          <w:p w14:paraId="1067985B" w14:textId="78C7E983" w:rsidR="001524D6" w:rsidRPr="00983644" w:rsidRDefault="001524D6" w:rsidP="00524D20">
            <w:pPr>
              <w:rPr>
                <w:lang w:val="en-GB"/>
              </w:rPr>
            </w:pPr>
            <w:r w:rsidRPr="00983644">
              <w:rPr>
                <w:lang w:val="en-GB"/>
              </w:rPr>
              <w:t>(Section 5.8.4)</w:t>
            </w:r>
          </w:p>
        </w:tc>
        <w:tc>
          <w:tcPr>
            <w:tcW w:w="1323" w:type="dxa"/>
          </w:tcPr>
          <w:p w14:paraId="714C92BA" w14:textId="4EBB68F8" w:rsidR="001524D6" w:rsidRDefault="000710AC" w:rsidP="00524D20">
            <w:pPr>
              <w:rPr>
                <w:rFonts w:eastAsia="Calibri"/>
                <w:lang w:val="en-GB"/>
              </w:rPr>
            </w:pPr>
            <m:oMathPara>
              <m:oMath>
                <m:r>
                  <w:rPr>
                    <w:rFonts w:ascii="Cambria Math" w:hAnsi="Cambria Math"/>
                    <w:lang w:val="en-GB"/>
                  </w:rPr>
                  <m:t>[0.0, +∞)</m:t>
                </m:r>
              </m:oMath>
            </m:oMathPara>
          </w:p>
        </w:tc>
        <w:tc>
          <w:tcPr>
            <w:tcW w:w="1835" w:type="dxa"/>
          </w:tcPr>
          <w:p w14:paraId="21A5E834" w14:textId="7BE56444" w:rsidR="001524D6" w:rsidRDefault="000710AC" w:rsidP="003E7700">
            <w:pPr>
              <w:rPr>
                <w:lang w:val="en-GB"/>
              </w:rPr>
            </w:pPr>
            <w:r>
              <w:rPr>
                <w:lang w:val="en-GB"/>
              </w:rPr>
              <w:t>N/A</w:t>
            </w:r>
          </w:p>
        </w:tc>
        <w:tc>
          <w:tcPr>
            <w:tcW w:w="1867" w:type="dxa"/>
          </w:tcPr>
          <w:p w14:paraId="74C9C577" w14:textId="59E88250" w:rsidR="001524D6" w:rsidRDefault="00D173D9" w:rsidP="00301F8F">
            <w:pPr>
              <w:tabs>
                <w:tab w:val="center" w:pos="825"/>
              </w:tabs>
              <w:rPr>
                <w:lang w:val="en-GB"/>
              </w:rPr>
            </w:pPr>
            <w:r>
              <w:rPr>
                <w:lang w:val="en-GB"/>
              </w:rPr>
              <w:t>(</w:t>
            </w:r>
            <w:r w:rsidR="003F607A">
              <w:rPr>
                <w:lang w:val="en-GB"/>
              </w:rPr>
              <w:t>7.1e-</w:t>
            </w:r>
            <w:r w:rsidR="00301F8F">
              <w:rPr>
                <w:lang w:val="en-GB"/>
              </w:rPr>
              <w:t>5</w:t>
            </w:r>
            <w:r>
              <w:rPr>
                <w:lang w:val="en-GB"/>
              </w:rPr>
              <w:t xml:space="preserve">, </w:t>
            </w:r>
            <w:r w:rsidR="00301F8F">
              <w:rPr>
                <w:lang w:val="en-GB"/>
              </w:rPr>
              <w:t>4.8e-4</w:t>
            </w:r>
            <w:r w:rsidR="0003559D">
              <w:rPr>
                <w:lang w:val="en-GB"/>
              </w:rPr>
              <w:t>)</w:t>
            </w:r>
          </w:p>
        </w:tc>
        <w:tc>
          <w:tcPr>
            <w:tcW w:w="1720" w:type="dxa"/>
          </w:tcPr>
          <w:p w14:paraId="7BA9575E" w14:textId="637AE956" w:rsidR="001524D6" w:rsidRDefault="0003559D" w:rsidP="00524D20">
            <w:pPr>
              <w:rPr>
                <w:lang w:val="en-GB"/>
              </w:rPr>
            </w:pPr>
            <w:r>
              <w:rPr>
                <w:lang w:val="en-GB"/>
              </w:rPr>
              <w:t>Time-invariant</w:t>
            </w:r>
          </w:p>
        </w:tc>
      </w:tr>
      <w:tr w:rsidR="00AE0454" w14:paraId="71A03E3F" w14:textId="77777777" w:rsidTr="386F6625">
        <w:trPr>
          <w:trHeight w:val="503"/>
        </w:trPr>
        <w:tc>
          <w:tcPr>
            <w:tcW w:w="2605" w:type="dxa"/>
          </w:tcPr>
          <w:p w14:paraId="7FA2ACCE" w14:textId="08BA322A" w:rsidR="00AE0454" w:rsidRPr="00983644" w:rsidRDefault="00AE0454" w:rsidP="00AE0454">
            <w:pPr>
              <w:rPr>
                <w:lang w:val="en-GB"/>
              </w:rPr>
            </w:pPr>
            <w:r w:rsidRPr="00983644">
              <w:rPr>
                <w:lang w:val="en-GB"/>
              </w:rPr>
              <w:t>Smoking Prevalence</w:t>
            </w:r>
          </w:p>
          <w:p w14:paraId="668B2B7F" w14:textId="0A2A02CD" w:rsidR="00AE0454" w:rsidRPr="00983644" w:rsidRDefault="00AE0454" w:rsidP="00AE0454">
            <w:pPr>
              <w:rPr>
                <w:lang w:val="en-GB"/>
              </w:rPr>
            </w:pPr>
            <w:r w:rsidRPr="00983644">
              <w:rPr>
                <w:lang w:val="en-GB"/>
              </w:rPr>
              <w:t>(Section 5.8.3)</w:t>
            </w:r>
          </w:p>
        </w:tc>
        <w:tc>
          <w:tcPr>
            <w:tcW w:w="1323" w:type="dxa"/>
          </w:tcPr>
          <w:p w14:paraId="04109908" w14:textId="517DA73C" w:rsidR="00AE0454" w:rsidRDefault="00AE0454" w:rsidP="00AE0454">
            <w:pPr>
              <w:rPr>
                <w:rFonts w:eastAsia="Calibri"/>
                <w:lang w:val="en-GB"/>
              </w:rPr>
            </w:pPr>
            <m:oMathPara>
              <m:oMath>
                <m:r>
                  <w:rPr>
                    <w:rFonts w:ascii="Cambria Math" w:hAnsi="Cambria Math"/>
                    <w:lang w:val="en-GB"/>
                  </w:rPr>
                  <m:t>[0.0, +∞)</m:t>
                </m:r>
              </m:oMath>
            </m:oMathPara>
          </w:p>
        </w:tc>
        <w:tc>
          <w:tcPr>
            <w:tcW w:w="1835" w:type="dxa"/>
          </w:tcPr>
          <w:p w14:paraId="0BCB7EFB" w14:textId="151D083E" w:rsidR="00AE0454" w:rsidRDefault="00AE0454" w:rsidP="00AE0454">
            <w:pPr>
              <w:rPr>
                <w:lang w:val="en-GB"/>
              </w:rPr>
            </w:pPr>
            <w:r>
              <w:rPr>
                <w:lang w:val="en-GB"/>
              </w:rPr>
              <w:t>N/A</w:t>
            </w:r>
          </w:p>
        </w:tc>
        <w:tc>
          <w:tcPr>
            <w:tcW w:w="1867" w:type="dxa"/>
          </w:tcPr>
          <w:p w14:paraId="18D32A12" w14:textId="6ECA64BD" w:rsidR="00AE0454" w:rsidRDefault="00AE0454" w:rsidP="00301F8F">
            <w:pPr>
              <w:tabs>
                <w:tab w:val="center" w:pos="825"/>
              </w:tabs>
              <w:rPr>
                <w:lang w:val="en-GB"/>
              </w:rPr>
            </w:pPr>
            <w:r>
              <w:rPr>
                <w:lang w:val="en-GB"/>
              </w:rPr>
              <w:t>(</w:t>
            </w:r>
            <w:r w:rsidR="00301F8F">
              <w:rPr>
                <w:lang w:val="en-GB"/>
              </w:rPr>
              <w:t>1.6e-3</w:t>
            </w:r>
            <w:r w:rsidR="00F1307E">
              <w:rPr>
                <w:lang w:val="en-GB"/>
              </w:rPr>
              <w:t xml:space="preserve">, </w:t>
            </w:r>
            <w:r w:rsidR="00301F8F">
              <w:rPr>
                <w:lang w:val="en-GB"/>
              </w:rPr>
              <w:t>7.2e-3</w:t>
            </w:r>
            <w:r w:rsidR="00F1307E">
              <w:rPr>
                <w:lang w:val="en-GB"/>
              </w:rPr>
              <w:t>)</w:t>
            </w:r>
          </w:p>
        </w:tc>
        <w:tc>
          <w:tcPr>
            <w:tcW w:w="1720" w:type="dxa"/>
          </w:tcPr>
          <w:p w14:paraId="7801A191" w14:textId="38661435" w:rsidR="00AE0454" w:rsidRDefault="00F1307E" w:rsidP="00AE0454">
            <w:pPr>
              <w:rPr>
                <w:lang w:val="en-GB"/>
              </w:rPr>
            </w:pPr>
            <w:r>
              <w:rPr>
                <w:lang w:val="en-GB"/>
              </w:rPr>
              <w:t>Time-invariant</w:t>
            </w:r>
          </w:p>
        </w:tc>
      </w:tr>
      <w:tr w:rsidR="003F607A" w14:paraId="0E097DD5" w14:textId="77777777" w:rsidTr="386F6625">
        <w:trPr>
          <w:trHeight w:val="503"/>
        </w:trPr>
        <w:tc>
          <w:tcPr>
            <w:tcW w:w="2605" w:type="dxa"/>
          </w:tcPr>
          <w:p w14:paraId="31D247F9" w14:textId="77777777" w:rsidR="003F607A" w:rsidRPr="00983644" w:rsidRDefault="003F607A" w:rsidP="003F607A">
            <w:pPr>
              <w:rPr>
                <w:lang w:val="en-GB"/>
              </w:rPr>
            </w:pPr>
            <w:r w:rsidRPr="00983644">
              <w:rPr>
                <w:lang w:val="en-GB"/>
              </w:rPr>
              <w:t>LRI Mortality</w:t>
            </w:r>
          </w:p>
          <w:p w14:paraId="00804B73" w14:textId="2245C584" w:rsidR="003F607A" w:rsidRPr="00983644" w:rsidRDefault="003F607A" w:rsidP="003F607A">
            <w:pPr>
              <w:rPr>
                <w:lang w:val="en-GB"/>
              </w:rPr>
            </w:pPr>
            <w:r w:rsidRPr="00983644">
              <w:rPr>
                <w:lang w:val="en-GB"/>
              </w:rPr>
              <w:t>(Section 5.8.1)</w:t>
            </w:r>
          </w:p>
        </w:tc>
        <w:tc>
          <w:tcPr>
            <w:tcW w:w="1323" w:type="dxa"/>
          </w:tcPr>
          <w:p w14:paraId="54DB2449" w14:textId="66ECB308" w:rsidR="003F607A" w:rsidRDefault="003F607A" w:rsidP="003F607A">
            <w:pPr>
              <w:rPr>
                <w:rFonts w:eastAsia="Calibri"/>
                <w:lang w:val="en-GB"/>
              </w:rPr>
            </w:pPr>
            <m:oMathPara>
              <m:oMath>
                <m:r>
                  <w:rPr>
                    <w:rFonts w:ascii="Cambria Math" w:hAnsi="Cambria Math"/>
                    <w:lang w:val="en-GB"/>
                  </w:rPr>
                  <m:t>[0.0, +∞)</m:t>
                </m:r>
              </m:oMath>
            </m:oMathPara>
          </w:p>
        </w:tc>
        <w:tc>
          <w:tcPr>
            <w:tcW w:w="1835" w:type="dxa"/>
          </w:tcPr>
          <w:p w14:paraId="760BF67C" w14:textId="4611F724" w:rsidR="003F607A" w:rsidRDefault="003F607A" w:rsidP="003F607A">
            <w:pPr>
              <w:rPr>
                <w:lang w:val="en-GB"/>
              </w:rPr>
            </w:pPr>
            <w:r>
              <w:rPr>
                <w:lang w:val="en-GB"/>
              </w:rPr>
              <w:t>N/A</w:t>
            </w:r>
          </w:p>
        </w:tc>
        <w:tc>
          <w:tcPr>
            <w:tcW w:w="1867" w:type="dxa"/>
          </w:tcPr>
          <w:p w14:paraId="43FBE2EA" w14:textId="62395D07" w:rsidR="003F607A" w:rsidRDefault="003F607A" w:rsidP="0085772D">
            <w:pPr>
              <w:tabs>
                <w:tab w:val="center" w:pos="825"/>
              </w:tabs>
              <w:rPr>
                <w:lang w:val="en-GB"/>
              </w:rPr>
            </w:pPr>
            <w:r>
              <w:rPr>
                <w:lang w:val="en-GB"/>
              </w:rPr>
              <w:t>(</w:t>
            </w:r>
            <w:r w:rsidR="0085772D">
              <w:rPr>
                <w:lang w:val="en-GB"/>
              </w:rPr>
              <w:t>3.6e-5, 1.8e-4)</w:t>
            </w:r>
          </w:p>
        </w:tc>
        <w:tc>
          <w:tcPr>
            <w:tcW w:w="1720" w:type="dxa"/>
          </w:tcPr>
          <w:p w14:paraId="313D0C31" w14:textId="7D4CFD9F" w:rsidR="003F607A" w:rsidRDefault="0085772D" w:rsidP="003F607A">
            <w:pPr>
              <w:rPr>
                <w:lang w:val="en-GB"/>
              </w:rPr>
            </w:pPr>
            <w:r>
              <w:rPr>
                <w:lang w:val="en-GB"/>
              </w:rPr>
              <w:t>Time-invariant</w:t>
            </w:r>
          </w:p>
        </w:tc>
      </w:tr>
      <w:tr w:rsidR="0085772D" w14:paraId="534ABB22" w14:textId="77777777" w:rsidTr="386F6625">
        <w:trPr>
          <w:trHeight w:val="503"/>
        </w:trPr>
        <w:tc>
          <w:tcPr>
            <w:tcW w:w="2605" w:type="dxa"/>
          </w:tcPr>
          <w:p w14:paraId="555BF1DD" w14:textId="77777777" w:rsidR="0085772D" w:rsidRPr="00983644" w:rsidRDefault="0085772D" w:rsidP="003F607A">
            <w:pPr>
              <w:rPr>
                <w:lang w:val="en-GB"/>
              </w:rPr>
            </w:pPr>
            <w:r w:rsidRPr="00983644">
              <w:rPr>
                <w:lang w:val="en-GB"/>
              </w:rPr>
              <w:lastRenderedPageBreak/>
              <w:t>Altitude</w:t>
            </w:r>
          </w:p>
          <w:p w14:paraId="6E99C03E" w14:textId="7D0E6E46" w:rsidR="0085772D" w:rsidRPr="00983644" w:rsidRDefault="0085772D" w:rsidP="003F607A">
            <w:pPr>
              <w:rPr>
                <w:lang w:val="en-GB"/>
              </w:rPr>
            </w:pPr>
            <w:r w:rsidRPr="00983644">
              <w:rPr>
                <w:lang w:val="en-GB"/>
              </w:rPr>
              <w:t>(Section 5.8.2)</w:t>
            </w:r>
          </w:p>
        </w:tc>
        <w:tc>
          <w:tcPr>
            <w:tcW w:w="1323" w:type="dxa"/>
          </w:tcPr>
          <w:p w14:paraId="1B70E9E9" w14:textId="4E1704A7" w:rsidR="0085772D" w:rsidRDefault="0085772D" w:rsidP="003F607A">
            <w:pPr>
              <w:rPr>
                <w:rFonts w:eastAsia="Calibri"/>
                <w:lang w:val="en-GB"/>
              </w:rPr>
            </w:pPr>
            <m:oMathPara>
              <m:oMath>
                <m:r>
                  <w:rPr>
                    <w:rFonts w:ascii="Cambria Math" w:hAnsi="Cambria Math"/>
                    <w:lang w:val="en-GB"/>
                  </w:rPr>
                  <m:t>[0.0, +∞)</m:t>
                </m:r>
              </m:oMath>
            </m:oMathPara>
          </w:p>
        </w:tc>
        <w:tc>
          <w:tcPr>
            <w:tcW w:w="1835" w:type="dxa"/>
          </w:tcPr>
          <w:p w14:paraId="55CA4BF6" w14:textId="6FD13586" w:rsidR="0085772D" w:rsidRDefault="00870D44" w:rsidP="003F607A">
            <w:pPr>
              <w:rPr>
                <w:lang w:val="en-GB"/>
              </w:rPr>
            </w:pPr>
            <w:r>
              <w:rPr>
                <w:lang w:val="en-GB"/>
              </w:rPr>
              <w:t>N/A</w:t>
            </w:r>
          </w:p>
        </w:tc>
        <w:tc>
          <w:tcPr>
            <w:tcW w:w="1867" w:type="dxa"/>
          </w:tcPr>
          <w:p w14:paraId="4CD0FEAC" w14:textId="3ECDDA0D" w:rsidR="0085772D" w:rsidRDefault="00870D44" w:rsidP="0085772D">
            <w:pPr>
              <w:tabs>
                <w:tab w:val="center" w:pos="825"/>
              </w:tabs>
              <w:rPr>
                <w:lang w:val="en-GB"/>
              </w:rPr>
            </w:pPr>
            <w:r>
              <w:rPr>
                <w:lang w:val="en-GB"/>
              </w:rPr>
              <w:t>(6.9e-4, 1.6e-3)</w:t>
            </w:r>
          </w:p>
        </w:tc>
        <w:tc>
          <w:tcPr>
            <w:tcW w:w="1720" w:type="dxa"/>
          </w:tcPr>
          <w:p w14:paraId="08C6F251" w14:textId="6CA7F440" w:rsidR="0085772D" w:rsidRDefault="00870D44" w:rsidP="003F607A">
            <w:pPr>
              <w:rPr>
                <w:lang w:val="en-GB"/>
              </w:rPr>
            </w:pPr>
            <w:r>
              <w:rPr>
                <w:lang w:val="en-GB"/>
              </w:rPr>
              <w:t>Time-invariant</w:t>
            </w:r>
          </w:p>
        </w:tc>
      </w:tr>
      <w:tr w:rsidR="00870D44" w14:paraId="0B4497D7" w14:textId="77777777" w:rsidTr="386F6625">
        <w:trPr>
          <w:trHeight w:val="503"/>
        </w:trPr>
        <w:tc>
          <w:tcPr>
            <w:tcW w:w="2605" w:type="dxa"/>
          </w:tcPr>
          <w:p w14:paraId="5316EEE4" w14:textId="77777777" w:rsidR="00870D44" w:rsidRPr="00983644" w:rsidRDefault="00870D44" w:rsidP="003F607A">
            <w:pPr>
              <w:rPr>
                <w:lang w:val="en-GB"/>
              </w:rPr>
            </w:pPr>
            <w:r w:rsidRPr="00983644">
              <w:rPr>
                <w:lang w:val="en-GB"/>
              </w:rPr>
              <w:t>Population Density</w:t>
            </w:r>
          </w:p>
          <w:p w14:paraId="66118404" w14:textId="2D133F35" w:rsidR="00870D44" w:rsidRPr="00983644" w:rsidRDefault="00870D44" w:rsidP="003F607A">
            <w:pPr>
              <w:rPr>
                <w:lang w:val="en-GB"/>
              </w:rPr>
            </w:pPr>
            <w:r w:rsidRPr="00983644">
              <w:rPr>
                <w:lang w:val="en-GB"/>
              </w:rPr>
              <w:t xml:space="preserve">(Section </w:t>
            </w:r>
            <w:r w:rsidR="00615383" w:rsidRPr="00983644">
              <w:rPr>
                <w:lang w:val="en-GB"/>
              </w:rPr>
              <w:t>5.8.5)</w:t>
            </w:r>
          </w:p>
        </w:tc>
        <w:tc>
          <w:tcPr>
            <w:tcW w:w="1323" w:type="dxa"/>
          </w:tcPr>
          <w:p w14:paraId="49027681" w14:textId="4863DF95" w:rsidR="00870D44" w:rsidRDefault="00000000" w:rsidP="003F607A">
            <w:pPr>
              <w:rPr>
                <w:rFonts w:eastAsia="Calibri"/>
                <w:lang w:val="en-GB"/>
              </w:rPr>
            </w:pPr>
            <m:oMathPara>
              <m:oMath>
                <m:d>
                  <m:dPr>
                    <m:begChr m:val="["/>
                    <m:ctrlPr>
                      <w:rPr>
                        <w:rFonts w:ascii="Cambria Math" w:hAnsi="Cambria Math"/>
                        <w:i/>
                        <w:lang w:val="en-GB"/>
                      </w:rPr>
                    </m:ctrlPr>
                  </m:dPr>
                  <m:e>
                    <m:r>
                      <w:rPr>
                        <w:rFonts w:ascii="Cambria Math" w:hAnsi="Cambria Math"/>
                        <w:lang w:val="en-GB"/>
                      </w:rPr>
                      <m:t>0.0, +∞</m:t>
                    </m:r>
                  </m:e>
                </m:d>
              </m:oMath>
            </m:oMathPara>
          </w:p>
        </w:tc>
        <w:tc>
          <w:tcPr>
            <w:tcW w:w="1835" w:type="dxa"/>
          </w:tcPr>
          <w:p w14:paraId="7E88FFA9" w14:textId="7B5A9C53" w:rsidR="00870D44" w:rsidRDefault="00615383" w:rsidP="003F607A">
            <w:pPr>
              <w:rPr>
                <w:lang w:val="en-GB"/>
              </w:rPr>
            </w:pPr>
            <w:r>
              <w:rPr>
                <w:lang w:val="en-GB"/>
              </w:rPr>
              <w:t>N/A</w:t>
            </w:r>
          </w:p>
        </w:tc>
        <w:tc>
          <w:tcPr>
            <w:tcW w:w="1867" w:type="dxa"/>
          </w:tcPr>
          <w:p w14:paraId="68C4FD90" w14:textId="30D43381" w:rsidR="00870D44" w:rsidRDefault="00615383" w:rsidP="0085772D">
            <w:pPr>
              <w:tabs>
                <w:tab w:val="center" w:pos="825"/>
              </w:tabs>
              <w:rPr>
                <w:lang w:val="en-GB"/>
              </w:rPr>
            </w:pPr>
            <w:r>
              <w:rPr>
                <w:lang w:val="en-GB"/>
              </w:rPr>
              <w:t>(5.0e-6, 2.1e-</w:t>
            </w:r>
            <w:r w:rsidR="00F7127F">
              <w:rPr>
                <w:lang w:val="en-GB"/>
              </w:rPr>
              <w:t>5)</w:t>
            </w:r>
          </w:p>
        </w:tc>
        <w:tc>
          <w:tcPr>
            <w:tcW w:w="1720" w:type="dxa"/>
          </w:tcPr>
          <w:p w14:paraId="68407139" w14:textId="25762BC4" w:rsidR="00870D44" w:rsidRDefault="00F7127F" w:rsidP="003F607A">
            <w:pPr>
              <w:rPr>
                <w:lang w:val="en-GB"/>
              </w:rPr>
            </w:pPr>
            <w:r>
              <w:rPr>
                <w:lang w:val="en-GB"/>
              </w:rPr>
              <w:t>Time-invariant</w:t>
            </w:r>
          </w:p>
        </w:tc>
      </w:tr>
    </w:tbl>
    <w:p w14:paraId="1C72B660" w14:textId="061DAA1F" w:rsidR="386F6625" w:rsidRDefault="386F6625">
      <w:r>
        <w:br w:type="page"/>
      </w:r>
    </w:p>
    <w:p w14:paraId="770F6897" w14:textId="03A54B96" w:rsidR="386F6625" w:rsidRDefault="386F6625" w:rsidP="386F6625">
      <w:pPr>
        <w:rPr>
          <w:lang w:val="en-GB"/>
        </w:rPr>
      </w:pPr>
    </w:p>
    <w:p w14:paraId="0463DB1E" w14:textId="163A3C80" w:rsidR="24B06F8B" w:rsidRDefault="79B2145A" w:rsidP="28EC89D0">
      <w:pPr>
        <w:pStyle w:val="Heading1"/>
        <w:rPr>
          <w:lang w:val="en-GB"/>
        </w:rPr>
      </w:pPr>
      <w:bookmarkStart w:id="399" w:name="_Toc76840536"/>
      <w:bookmarkStart w:id="400" w:name="_Toc104249396"/>
      <w:bookmarkStart w:id="401" w:name="_Toc104252123"/>
      <w:bookmarkStart w:id="402" w:name="_Toc124499529"/>
      <w:r w:rsidRPr="28EC89D0">
        <w:rPr>
          <w:lang w:val="en-GB"/>
        </w:rPr>
        <w:t>Supplementary Figur</w:t>
      </w:r>
      <w:bookmarkEnd w:id="399"/>
      <w:r w:rsidR="7A54397A" w:rsidRPr="28EC89D0">
        <w:rPr>
          <w:lang w:val="en-GB"/>
        </w:rPr>
        <w:t>es</w:t>
      </w:r>
      <w:bookmarkEnd w:id="400"/>
      <w:bookmarkEnd w:id="401"/>
      <w:bookmarkEnd w:id="402"/>
    </w:p>
    <w:p w14:paraId="207FB07A" w14:textId="57E28B82" w:rsidR="788EF9FC" w:rsidRDefault="788EF9FC" w:rsidP="26772768">
      <w:pPr>
        <w:pStyle w:val="Table"/>
        <w:numPr>
          <w:ilvl w:val="1"/>
          <w:numId w:val="0"/>
        </w:numPr>
        <w:rPr>
          <w:rFonts w:eastAsia="Yu Gothic Light"/>
          <w:lang w:val="en-GB"/>
        </w:rPr>
      </w:pPr>
      <w:bookmarkStart w:id="403" w:name="_Toc104249397"/>
      <w:bookmarkStart w:id="404" w:name="_Toc104252124"/>
      <w:bookmarkStart w:id="405" w:name="_Toc124499530"/>
      <w:r w:rsidRPr="386F6625">
        <w:rPr>
          <w:lang w:val="en-GB"/>
        </w:rPr>
        <w:t>Figure S1. SEI model accounting for multiple vaccination rounds and SARS-CoV-2 variants</w:t>
      </w:r>
      <w:bookmarkEnd w:id="403"/>
      <w:bookmarkEnd w:id="404"/>
      <w:bookmarkEnd w:id="405"/>
    </w:p>
    <w:p w14:paraId="47BBD8DC" w14:textId="4C0F08BB" w:rsidR="5684EA45" w:rsidRDefault="5684EA45" w:rsidP="386F6625">
      <w:pPr>
        <w:rPr>
          <w:lang w:val="en-GB"/>
        </w:rPr>
      </w:pPr>
    </w:p>
    <w:p w14:paraId="21AA4685" w14:textId="315B1618" w:rsidR="00517309" w:rsidRDefault="00517309" w:rsidP="386F6625">
      <w:pPr>
        <w:rPr>
          <w:lang w:val="en-GB"/>
        </w:rPr>
      </w:pPr>
      <w:r>
        <w:rPr>
          <w:noProof/>
        </w:rPr>
        <w:drawing>
          <wp:inline distT="0" distB="0" distL="0" distR="0" wp14:anchorId="0E6B5EF4" wp14:editId="010586BF">
            <wp:extent cx="5943600" cy="2682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2682240"/>
                    </a:xfrm>
                    <a:prstGeom prst="rect">
                      <a:avLst/>
                    </a:prstGeom>
                  </pic:spPr>
                </pic:pic>
              </a:graphicData>
            </a:graphic>
          </wp:inline>
        </w:drawing>
      </w:r>
    </w:p>
    <w:p w14:paraId="3A6470FF" w14:textId="67ED46E8" w:rsidR="788EF9FC" w:rsidRDefault="788EF9FC">
      <w:r>
        <w:br w:type="page"/>
      </w:r>
    </w:p>
    <w:p w14:paraId="5E0B81D1" w14:textId="2EEA58AA" w:rsidR="007872F7" w:rsidRDefault="00D73F92" w:rsidP="386F6625">
      <w:pPr>
        <w:pStyle w:val="Table"/>
        <w:numPr>
          <w:ilvl w:val="1"/>
          <w:numId w:val="0"/>
        </w:numPr>
      </w:pPr>
      <w:bookmarkStart w:id="406" w:name="_Toc104249398"/>
      <w:bookmarkStart w:id="407" w:name="_Toc104252125"/>
      <w:bookmarkStart w:id="408" w:name="_Toc124499531"/>
      <w:r>
        <w:rPr>
          <w:shd w:val="clear" w:color="auto" w:fill="FAF9F8"/>
        </w:rPr>
        <w:lastRenderedPageBreak/>
        <w:t>Figure S2. Total COVID-19 hospital admissions, June 1, 2022, through November 30, 2022, across four intervention scenarios, globally and by WHO region</w:t>
      </w:r>
      <w:bookmarkEnd w:id="406"/>
      <w:bookmarkEnd w:id="407"/>
      <w:bookmarkEnd w:id="408"/>
    </w:p>
    <w:p w14:paraId="295CF79A" w14:textId="11BB7E64" w:rsidR="26772768" w:rsidRDefault="26772768"/>
    <w:p w14:paraId="17EBD7D8" w14:textId="7DA9074B" w:rsidR="00517309" w:rsidRPr="00517309" w:rsidRDefault="00517309">
      <w:r>
        <w:rPr>
          <w:noProof/>
        </w:rPr>
        <w:drawing>
          <wp:inline distT="0" distB="0" distL="0" distR="0" wp14:anchorId="5889C321" wp14:editId="6616BF73">
            <wp:extent cx="5943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sectPr w:rsidR="00517309" w:rsidRPr="00517309" w:rsidSect="00D35848">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3D490" w14:textId="77777777" w:rsidR="001E5F81" w:rsidRDefault="001E5F81" w:rsidP="00BC3AE0">
      <w:r>
        <w:separator/>
      </w:r>
    </w:p>
    <w:p w14:paraId="3BBE8B54" w14:textId="77777777" w:rsidR="001E5F81" w:rsidRDefault="001E5F81" w:rsidP="00BC3AE0"/>
  </w:endnote>
  <w:endnote w:type="continuationSeparator" w:id="0">
    <w:p w14:paraId="0326F3C3" w14:textId="77777777" w:rsidR="001E5F81" w:rsidRDefault="001E5F81" w:rsidP="00BC3AE0">
      <w:r>
        <w:continuationSeparator/>
      </w:r>
    </w:p>
    <w:p w14:paraId="0862327F" w14:textId="77777777" w:rsidR="001E5F81" w:rsidRDefault="001E5F81" w:rsidP="00BC3AE0"/>
  </w:endnote>
  <w:endnote w:type="continuationNotice" w:id="1">
    <w:p w14:paraId="0C3A2EAC" w14:textId="77777777" w:rsidR="001E5F81" w:rsidRDefault="001E5F81" w:rsidP="00BC3AE0"/>
    <w:p w14:paraId="2F1D2E3D" w14:textId="77777777" w:rsidR="001E5F81" w:rsidRDefault="001E5F81" w:rsidP="00BC3A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panose1 w:val="020B0604020202020204"/>
    <w:charset w:val="00"/>
    <w:family w:val="roman"/>
    <w:notTrueType/>
    <w:pitch w:val="variable"/>
    <w:sig w:usb0="00000003" w:usb1="00000000" w:usb2="00000000" w:usb3="00000000" w:csb0="00000001" w:csb1="00000000"/>
  </w:font>
  <w:font w:name="Lohit Devanagari">
    <w:panose1 w:val="020B0604020202020204"/>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CC07" w14:textId="4DECFB34" w:rsidR="000C4F20" w:rsidRDefault="000C4F20" w:rsidP="00BC3AE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09CF9CB7" w14:textId="77777777" w:rsidR="000C4F20" w:rsidRDefault="000C4F20" w:rsidP="00BC3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647367"/>
      <w:docPartObj>
        <w:docPartGallery w:val="Page Numbers (Bottom of Page)"/>
        <w:docPartUnique/>
      </w:docPartObj>
    </w:sdtPr>
    <w:sdtContent>
      <w:p w14:paraId="623845EE" w14:textId="7E510CEC" w:rsidR="000C4F20" w:rsidRDefault="000C4F20" w:rsidP="00BC3AE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983644">
          <w:rPr>
            <w:rStyle w:val="PageNumber"/>
            <w:noProof/>
          </w:rPr>
          <w:t>38</w:t>
        </w:r>
        <w:r>
          <w:rPr>
            <w:rStyle w:val="PageNumber"/>
          </w:rPr>
          <w:fldChar w:fldCharType="end"/>
        </w:r>
      </w:p>
    </w:sdtContent>
  </w:sdt>
  <w:p w14:paraId="265C294D" w14:textId="3DB90A04" w:rsidR="000C4F20" w:rsidRDefault="000C4F20" w:rsidP="00BC3AE0">
    <w:pPr>
      <w:pStyle w:val="Footer"/>
    </w:pPr>
  </w:p>
  <w:p w14:paraId="5F325E04" w14:textId="77777777" w:rsidR="000C4F20" w:rsidRDefault="000C4F20" w:rsidP="00BC3A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3D4CA" w14:textId="77777777" w:rsidR="001E5F81" w:rsidRDefault="001E5F81" w:rsidP="00BC3AE0">
      <w:r>
        <w:separator/>
      </w:r>
    </w:p>
    <w:p w14:paraId="15B7191C" w14:textId="77777777" w:rsidR="001E5F81" w:rsidRDefault="001E5F81" w:rsidP="00BC3AE0"/>
  </w:footnote>
  <w:footnote w:type="continuationSeparator" w:id="0">
    <w:p w14:paraId="55057263" w14:textId="77777777" w:rsidR="001E5F81" w:rsidRDefault="001E5F81" w:rsidP="00BC3AE0">
      <w:r>
        <w:continuationSeparator/>
      </w:r>
    </w:p>
    <w:p w14:paraId="4D022857" w14:textId="77777777" w:rsidR="001E5F81" w:rsidRDefault="001E5F81" w:rsidP="00BC3AE0"/>
  </w:footnote>
  <w:footnote w:type="continuationNotice" w:id="1">
    <w:p w14:paraId="31962468" w14:textId="77777777" w:rsidR="001E5F81" w:rsidRDefault="001E5F81" w:rsidP="00BC3AE0"/>
    <w:p w14:paraId="67FF73F5" w14:textId="77777777" w:rsidR="001E5F81" w:rsidRDefault="001E5F81" w:rsidP="00BC3A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D3E2D"/>
    <w:multiLevelType w:val="multilevel"/>
    <w:tmpl w:val="0018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CF5E8F"/>
    <w:multiLevelType w:val="multilevel"/>
    <w:tmpl w:val="A4640B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FC5C5E"/>
    <w:multiLevelType w:val="multilevel"/>
    <w:tmpl w:val="75104A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B0D6A"/>
    <w:multiLevelType w:val="multilevel"/>
    <w:tmpl w:val="C0261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2694C02"/>
    <w:multiLevelType w:val="multilevel"/>
    <w:tmpl w:val="4508C6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D526F3"/>
    <w:multiLevelType w:val="multilevel"/>
    <w:tmpl w:val="8ADED708"/>
    <w:lvl w:ilvl="0">
      <w:start w:val="1"/>
      <w:numFmt w:val="decimal"/>
      <w:lvlText w:val="Section%1"/>
      <w:lvlJc w:val="left"/>
      <w:pPr>
        <w:ind w:left="0" w:firstLine="0"/>
      </w:pPr>
      <w:rPr>
        <w:rFonts w:hint="default"/>
      </w:rPr>
    </w:lvl>
    <w:lvl w:ilvl="1">
      <w:start w:val="1"/>
      <w:numFmt w:val="decimal"/>
      <w:lvlText w:val="Section %2.%1"/>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3ED001A6"/>
    <w:multiLevelType w:val="multilevel"/>
    <w:tmpl w:val="208281FA"/>
    <w:lvl w:ilvl="0">
      <w:start w:val="1"/>
      <w:numFmt w:val="decimal"/>
      <w:lvlText w:val="Section %1"/>
      <w:lvlJc w:val="left"/>
      <w:pPr>
        <w:ind w:left="432" w:hanging="432"/>
      </w:pPr>
    </w:lvl>
    <w:lvl w:ilvl="1">
      <w:start w:val="1"/>
      <w:numFmt w:val="decimal"/>
      <w:pStyle w:val="Table"/>
      <w:lvlText w:val="Table S%2 "/>
      <w:lvlJc w:val="left"/>
      <w:pPr>
        <w:ind w:left="360" w:hanging="360"/>
      </w:pPr>
    </w:lvl>
    <w:lvl w:ilvl="2">
      <w:start w:val="1"/>
      <w:numFmt w:val="decimal"/>
      <w:lvlText w:val="Table S%3"/>
      <w:lvlJc w:val="left"/>
      <w:pPr>
        <w:ind w:left="2340" w:hanging="360"/>
      </w:pPr>
      <w:rPr>
        <w:rFonts w:hint="default"/>
      </w:rPr>
    </w:lvl>
    <w:lvl w:ilvl="3">
      <w:start w:val="1"/>
      <w:numFmt w:val="decimal"/>
      <w:lvlText w:val="Section %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6612BB2"/>
    <w:multiLevelType w:val="multilevel"/>
    <w:tmpl w:val="0E3C8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FA0D27"/>
    <w:multiLevelType w:val="multilevel"/>
    <w:tmpl w:val="6DCEDB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966F06"/>
    <w:multiLevelType w:val="multilevel"/>
    <w:tmpl w:val="27684D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9A1084"/>
    <w:multiLevelType w:val="multilevel"/>
    <w:tmpl w:val="B05C38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F13607"/>
    <w:multiLevelType w:val="multilevel"/>
    <w:tmpl w:val="F4422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712113"/>
    <w:multiLevelType w:val="multilevel"/>
    <w:tmpl w:val="FD8A45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F14EF1"/>
    <w:multiLevelType w:val="multilevel"/>
    <w:tmpl w:val="9EAEF244"/>
    <w:lvl w:ilvl="0">
      <w:start w:val="1"/>
      <w:numFmt w:val="decimal"/>
      <w:pStyle w:val="Heading1"/>
      <w:lvlText w:val="Section %1"/>
      <w:lvlJc w:val="left"/>
      <w:pPr>
        <w:ind w:left="432" w:hanging="432"/>
      </w:pPr>
    </w:lvl>
    <w:lvl w:ilvl="1">
      <w:start w:val="1"/>
      <w:numFmt w:val="decimal"/>
      <w:pStyle w:val="Heading2"/>
      <w:lvlText w:val="Section %1.%2"/>
      <w:lvlJc w:val="left"/>
      <w:pPr>
        <w:ind w:left="576" w:hanging="576"/>
      </w:pPr>
    </w:lvl>
    <w:lvl w:ilvl="2">
      <w:start w:val="1"/>
      <w:numFmt w:val="decimal"/>
      <w:pStyle w:val="Heading3"/>
      <w:lvlText w:val="Section %1.%2.%3"/>
      <w:lvlJc w:val="left"/>
      <w:pPr>
        <w:ind w:left="720" w:hanging="720"/>
      </w:pPr>
    </w:lvl>
    <w:lvl w:ilvl="3">
      <w:start w:val="1"/>
      <w:numFmt w:val="decimal"/>
      <w:pStyle w:val="Heading4"/>
      <w:lvlText w:val="Section %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3F25B60"/>
    <w:multiLevelType w:val="multilevel"/>
    <w:tmpl w:val="845C44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80779090">
    <w:abstractNumId w:val="6"/>
  </w:num>
  <w:num w:numId="2" w16cid:durableId="751585501">
    <w:abstractNumId w:val="5"/>
  </w:num>
  <w:num w:numId="3" w16cid:durableId="2038385239">
    <w:abstractNumId w:val="13"/>
    <w:lvlOverride w:ilvl="0">
      <w:lvl w:ilvl="0">
        <w:start w:val="1"/>
        <w:numFmt w:val="decimal"/>
        <w:pStyle w:val="Heading1"/>
        <w:lvlText w:val="Section %1"/>
        <w:lvlJc w:val="left"/>
        <w:pPr>
          <w:ind w:left="0" w:firstLine="0"/>
        </w:pPr>
        <w:rPr>
          <w:rFonts w:hint="default"/>
        </w:rPr>
      </w:lvl>
    </w:lvlOverride>
    <w:lvlOverride w:ilvl="1">
      <w:lvl w:ilvl="1">
        <w:start w:val="1"/>
        <w:numFmt w:val="decimal"/>
        <w:pStyle w:val="Heading2"/>
        <w:lvlText w:val="Section %1.%2"/>
        <w:lvlJc w:val="left"/>
        <w:pPr>
          <w:ind w:left="0" w:firstLine="0"/>
        </w:pPr>
        <w:rPr>
          <w:rFonts w:hint="default"/>
        </w:rPr>
      </w:lvl>
    </w:lvlOverride>
    <w:lvlOverride w:ilvl="2">
      <w:lvl w:ilvl="2">
        <w:start w:val="1"/>
        <w:numFmt w:val="decimal"/>
        <w:pStyle w:val="Heading3"/>
        <w:lvlText w:val="Section %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
        <w:lvlText w:val="(%4)"/>
        <w:lvlJc w:val="left"/>
        <w:pPr>
          <w:ind w:left="0" w:firstLine="0"/>
        </w:pPr>
        <w:rPr>
          <w:rFonts w:hint="default"/>
        </w:rPr>
      </w:lvl>
    </w:lvlOverride>
    <w:lvlOverride w:ilvl="4">
      <w:lvl w:ilvl="4">
        <w:start w:val="1"/>
        <w:numFmt w:val="lowerLetter"/>
        <w:pStyle w:val="Heading5"/>
        <w:lvlText w:val="(%5)"/>
        <w:lvlJc w:val="left"/>
        <w:pPr>
          <w:ind w:left="0" w:firstLine="0"/>
        </w:pPr>
        <w:rPr>
          <w:rFonts w:hint="default"/>
        </w:rPr>
      </w:lvl>
    </w:lvlOverride>
    <w:lvlOverride w:ilvl="5">
      <w:lvl w:ilvl="5">
        <w:start w:val="1"/>
        <w:numFmt w:val="lowerRoman"/>
        <w:pStyle w:val="Heading6"/>
        <w:lvlText w:val="(%6)"/>
        <w:lvlJc w:val="left"/>
        <w:pPr>
          <w:ind w:left="0" w:firstLine="0"/>
        </w:pPr>
        <w:rPr>
          <w:rFonts w:hint="default"/>
        </w:rPr>
      </w:lvl>
    </w:lvlOverride>
    <w:lvlOverride w:ilvl="6">
      <w:lvl w:ilvl="6">
        <w:start w:val="1"/>
        <w:numFmt w:val="decimal"/>
        <w:pStyle w:val="Heading7"/>
        <w:lvlText w:val="%7."/>
        <w:lvlJc w:val="left"/>
        <w:pPr>
          <w:ind w:left="0" w:firstLine="0"/>
        </w:pPr>
        <w:rPr>
          <w:rFonts w:hint="default"/>
        </w:rPr>
      </w:lvl>
    </w:lvlOverride>
    <w:lvlOverride w:ilvl="7">
      <w:lvl w:ilvl="7">
        <w:start w:val="1"/>
        <w:numFmt w:val="lowerLetter"/>
        <w:pStyle w:val="Heading8"/>
        <w:lvlText w:val="%8."/>
        <w:lvlJc w:val="left"/>
        <w:pPr>
          <w:ind w:left="0" w:firstLine="0"/>
        </w:pPr>
        <w:rPr>
          <w:rFonts w:hint="default"/>
        </w:rPr>
      </w:lvl>
    </w:lvlOverride>
    <w:lvlOverride w:ilvl="8">
      <w:lvl w:ilvl="8">
        <w:start w:val="1"/>
        <w:numFmt w:val="lowerRoman"/>
        <w:pStyle w:val="Heading9"/>
        <w:lvlText w:val="%9."/>
        <w:lvlJc w:val="left"/>
        <w:pPr>
          <w:ind w:left="0" w:firstLine="0"/>
        </w:pPr>
        <w:rPr>
          <w:rFonts w:hint="default"/>
        </w:rPr>
      </w:lvl>
    </w:lvlOverride>
  </w:num>
  <w:num w:numId="4" w16cid:durableId="255287528">
    <w:abstractNumId w:val="12"/>
  </w:num>
  <w:num w:numId="5" w16cid:durableId="370347312">
    <w:abstractNumId w:val="7"/>
  </w:num>
  <w:num w:numId="6" w16cid:durableId="573666124">
    <w:abstractNumId w:val="11"/>
  </w:num>
  <w:num w:numId="7" w16cid:durableId="790167946">
    <w:abstractNumId w:val="4"/>
  </w:num>
  <w:num w:numId="8" w16cid:durableId="1835367939">
    <w:abstractNumId w:val="2"/>
  </w:num>
  <w:num w:numId="9" w16cid:durableId="1562986600">
    <w:abstractNumId w:val="1"/>
  </w:num>
  <w:num w:numId="10" w16cid:durableId="107625817">
    <w:abstractNumId w:val="10"/>
  </w:num>
  <w:num w:numId="11" w16cid:durableId="409078665">
    <w:abstractNumId w:val="9"/>
  </w:num>
  <w:num w:numId="12" w16cid:durableId="1584680278">
    <w:abstractNumId w:val="8"/>
  </w:num>
  <w:num w:numId="13" w16cid:durableId="498471394">
    <w:abstractNumId w:val="3"/>
  </w:num>
  <w:num w:numId="14" w16cid:durableId="1877812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71283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4355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10467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4669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71405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1517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787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6166736">
    <w:abstractNumId w:val="14"/>
  </w:num>
  <w:num w:numId="23" w16cid:durableId="17694219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5309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90426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95953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9409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104535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69103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26376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28667986">
    <w:abstractNumId w:val="13"/>
    <w:lvlOverride w:ilvl="0">
      <w:startOverride w:val="1"/>
      <w:lvl w:ilvl="0">
        <w:start w:val="1"/>
        <w:numFmt w:val="decimal"/>
        <w:pStyle w:val="Heading1"/>
        <w:lvlText w:val="Section %1"/>
        <w:lvlJc w:val="left"/>
        <w:pPr>
          <w:ind w:left="0" w:firstLine="0"/>
        </w:pPr>
        <w:rPr>
          <w:rFonts w:hint="default"/>
        </w:rPr>
      </w:lvl>
    </w:lvlOverride>
    <w:lvlOverride w:ilvl="1">
      <w:startOverride w:val="1"/>
      <w:lvl w:ilvl="1">
        <w:start w:val="1"/>
        <w:numFmt w:val="decimal"/>
        <w:pStyle w:val="Heading2"/>
        <w:lvlText w:val="Section %1.%2"/>
        <w:lvlJc w:val="left"/>
        <w:pPr>
          <w:ind w:left="0" w:firstLine="0"/>
        </w:pPr>
        <w:rPr>
          <w:rFonts w:hint="default"/>
        </w:rPr>
      </w:lvl>
    </w:lvlOverride>
    <w:lvlOverride w:ilvl="2">
      <w:startOverride w:val="1"/>
      <w:lvl w:ilvl="2">
        <w:start w:val="1"/>
        <w:numFmt w:val="decimal"/>
        <w:pStyle w:val="Heading3"/>
        <w:lvlText w:val="Section %1.%2.%3"/>
        <w:lvlJc w:val="left"/>
        <w:pPr>
          <w:ind w:left="63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Heading4"/>
        <w:lvlText w:val="(%4)"/>
        <w:lvlJc w:val="left"/>
        <w:pPr>
          <w:ind w:left="0" w:firstLine="0"/>
        </w:pPr>
        <w:rPr>
          <w:rFonts w:hint="default"/>
        </w:rPr>
      </w:lvl>
    </w:lvlOverride>
    <w:lvlOverride w:ilvl="4">
      <w:startOverride w:val="1"/>
      <w:lvl w:ilvl="4">
        <w:start w:val="1"/>
        <w:numFmt w:val="lowerLetter"/>
        <w:pStyle w:val="Heading5"/>
        <w:lvlText w:val="(%5)"/>
        <w:lvlJc w:val="left"/>
        <w:pPr>
          <w:ind w:left="0" w:firstLine="0"/>
        </w:pPr>
        <w:rPr>
          <w:rFonts w:hint="default"/>
        </w:rPr>
      </w:lvl>
    </w:lvlOverride>
    <w:lvlOverride w:ilvl="5">
      <w:startOverride w:val="1"/>
      <w:lvl w:ilvl="5">
        <w:start w:val="1"/>
        <w:numFmt w:val="lowerRoman"/>
        <w:pStyle w:val="Heading6"/>
        <w:lvlText w:val="(%6)"/>
        <w:lvlJc w:val="left"/>
        <w:pPr>
          <w:ind w:left="0" w:firstLine="0"/>
        </w:pPr>
        <w:rPr>
          <w:rFonts w:hint="default"/>
        </w:rPr>
      </w:lvl>
    </w:lvlOverride>
    <w:lvlOverride w:ilvl="6">
      <w:startOverride w:val="1"/>
      <w:lvl w:ilvl="6">
        <w:start w:val="1"/>
        <w:numFmt w:val="decimal"/>
        <w:pStyle w:val="Heading7"/>
        <w:lvlText w:val="%7."/>
        <w:lvlJc w:val="left"/>
        <w:pPr>
          <w:ind w:left="0" w:firstLine="0"/>
        </w:pPr>
        <w:rPr>
          <w:rFonts w:hint="default"/>
        </w:rPr>
      </w:lvl>
    </w:lvlOverride>
    <w:lvlOverride w:ilvl="7">
      <w:startOverride w:val="1"/>
      <w:lvl w:ilvl="7">
        <w:start w:val="1"/>
        <w:numFmt w:val="lowerLetter"/>
        <w:pStyle w:val="Heading8"/>
        <w:lvlText w:val="%8."/>
        <w:lvlJc w:val="left"/>
        <w:pPr>
          <w:ind w:left="0" w:firstLine="0"/>
        </w:pPr>
        <w:rPr>
          <w:rFonts w:hint="default"/>
        </w:rPr>
      </w:lvl>
    </w:lvlOverride>
    <w:lvlOverride w:ilvl="8">
      <w:startOverride w:val="1"/>
      <w:lvl w:ilvl="8">
        <w:start w:val="1"/>
        <w:numFmt w:val="lowerRoman"/>
        <w:pStyle w:val="Heading9"/>
        <w:lvlText w:val="%9."/>
        <w:lvlJc w:val="left"/>
        <w:pPr>
          <w:ind w:left="0" w:firstLine="0"/>
        </w:pPr>
        <w:rPr>
          <w:rFonts w:hint="default"/>
        </w:rPr>
      </w:lvl>
    </w:lvlOverride>
  </w:num>
  <w:num w:numId="32" w16cid:durableId="106122811">
    <w:abstractNumId w:val="13"/>
    <w:lvlOverride w:ilvl="0">
      <w:startOverride w:val="1"/>
      <w:lvl w:ilvl="0">
        <w:start w:val="1"/>
        <w:numFmt w:val="decimal"/>
        <w:pStyle w:val="Heading1"/>
        <w:lvlText w:val="Section %1"/>
        <w:lvlJc w:val="left"/>
        <w:pPr>
          <w:ind w:left="0" w:firstLine="0"/>
        </w:pPr>
        <w:rPr>
          <w:rFonts w:hint="default"/>
        </w:rPr>
      </w:lvl>
    </w:lvlOverride>
    <w:lvlOverride w:ilvl="1">
      <w:startOverride w:val="1"/>
      <w:lvl w:ilvl="1">
        <w:start w:val="1"/>
        <w:numFmt w:val="decimal"/>
        <w:pStyle w:val="Heading2"/>
        <w:lvlText w:val="Section %1.%2"/>
        <w:lvlJc w:val="left"/>
        <w:pPr>
          <w:ind w:left="0" w:firstLine="0"/>
        </w:pPr>
        <w:rPr>
          <w:rFonts w:hint="default"/>
        </w:rPr>
      </w:lvl>
    </w:lvlOverride>
    <w:lvlOverride w:ilvl="2">
      <w:startOverride w:val="1"/>
      <w:lvl w:ilvl="2">
        <w:start w:val="1"/>
        <w:numFmt w:val="decimal"/>
        <w:pStyle w:val="Heading3"/>
        <w:lvlText w:val="Section %1.%2.%3"/>
        <w:lvlJc w:val="left"/>
        <w:pPr>
          <w:ind w:left="63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Heading4"/>
        <w:lvlText w:val="(%4)"/>
        <w:lvlJc w:val="left"/>
        <w:pPr>
          <w:ind w:left="0" w:firstLine="0"/>
        </w:pPr>
        <w:rPr>
          <w:rFonts w:hint="default"/>
        </w:rPr>
      </w:lvl>
    </w:lvlOverride>
    <w:lvlOverride w:ilvl="4">
      <w:startOverride w:val="1"/>
      <w:lvl w:ilvl="4">
        <w:start w:val="1"/>
        <w:numFmt w:val="lowerLetter"/>
        <w:pStyle w:val="Heading5"/>
        <w:lvlText w:val="(%5)"/>
        <w:lvlJc w:val="left"/>
        <w:pPr>
          <w:ind w:left="0" w:firstLine="0"/>
        </w:pPr>
        <w:rPr>
          <w:rFonts w:hint="default"/>
        </w:rPr>
      </w:lvl>
    </w:lvlOverride>
    <w:lvlOverride w:ilvl="5">
      <w:startOverride w:val="1"/>
      <w:lvl w:ilvl="5">
        <w:start w:val="1"/>
        <w:numFmt w:val="lowerRoman"/>
        <w:pStyle w:val="Heading6"/>
        <w:lvlText w:val="(%6)"/>
        <w:lvlJc w:val="left"/>
        <w:pPr>
          <w:ind w:left="0" w:firstLine="0"/>
        </w:pPr>
        <w:rPr>
          <w:rFonts w:hint="default"/>
        </w:rPr>
      </w:lvl>
    </w:lvlOverride>
    <w:lvlOverride w:ilvl="6">
      <w:startOverride w:val="1"/>
      <w:lvl w:ilvl="6">
        <w:start w:val="1"/>
        <w:numFmt w:val="decimal"/>
        <w:pStyle w:val="Heading7"/>
        <w:lvlText w:val="%7."/>
        <w:lvlJc w:val="left"/>
        <w:pPr>
          <w:ind w:left="0" w:firstLine="0"/>
        </w:pPr>
        <w:rPr>
          <w:rFonts w:hint="default"/>
        </w:rPr>
      </w:lvl>
    </w:lvlOverride>
    <w:lvlOverride w:ilvl="7">
      <w:startOverride w:val="1"/>
      <w:lvl w:ilvl="7">
        <w:start w:val="1"/>
        <w:numFmt w:val="lowerLetter"/>
        <w:pStyle w:val="Heading8"/>
        <w:lvlText w:val="%8."/>
        <w:lvlJc w:val="left"/>
        <w:pPr>
          <w:ind w:left="0" w:firstLine="0"/>
        </w:pPr>
        <w:rPr>
          <w:rFonts w:hint="default"/>
        </w:rPr>
      </w:lvl>
    </w:lvlOverride>
    <w:lvlOverride w:ilvl="8">
      <w:startOverride w:val="1"/>
      <w:lvl w:ilvl="8">
        <w:start w:val="1"/>
        <w:numFmt w:val="lowerRoman"/>
        <w:pStyle w:val="Heading9"/>
        <w:lvlText w:val="%9."/>
        <w:lvlJc w:val="left"/>
        <w:pPr>
          <w:ind w:left="0" w:firstLine="0"/>
        </w:pPr>
        <w:rPr>
          <w:rFonts w:hint="default"/>
        </w:rPr>
      </w:lvl>
    </w:lvlOverride>
  </w:num>
  <w:num w:numId="33" w16cid:durableId="208541109">
    <w:abstractNumId w:val="0"/>
  </w:num>
  <w:num w:numId="34" w16cid:durableId="1879656345">
    <w:abstractNumId w:val="13"/>
    <w:lvlOverride w:ilvl="0">
      <w:startOverride w:val="1"/>
      <w:lvl w:ilvl="0">
        <w:start w:val="1"/>
        <w:numFmt w:val="decimal"/>
        <w:pStyle w:val="Heading1"/>
        <w:lvlText w:val="Section %1"/>
        <w:lvlJc w:val="left"/>
        <w:pPr>
          <w:ind w:left="0" w:firstLine="0"/>
        </w:pPr>
        <w:rPr>
          <w:rFonts w:hint="default"/>
        </w:rPr>
      </w:lvl>
    </w:lvlOverride>
    <w:lvlOverride w:ilvl="1">
      <w:startOverride w:val="1"/>
      <w:lvl w:ilvl="1">
        <w:start w:val="1"/>
        <w:numFmt w:val="decimal"/>
        <w:pStyle w:val="Heading2"/>
        <w:lvlText w:val="Section %1.%2"/>
        <w:lvlJc w:val="left"/>
        <w:pPr>
          <w:ind w:left="0" w:firstLine="0"/>
        </w:pPr>
        <w:rPr>
          <w:rFonts w:hint="default"/>
        </w:rPr>
      </w:lvl>
    </w:lvlOverride>
    <w:lvlOverride w:ilvl="2">
      <w:startOverride w:val="1"/>
      <w:lvl w:ilvl="2">
        <w:start w:val="1"/>
        <w:numFmt w:val="decimal"/>
        <w:pStyle w:val="Heading3"/>
        <w:lvlText w:val="Section %1.%2.%3"/>
        <w:lvlJc w:val="left"/>
        <w:pPr>
          <w:ind w:left="63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Heading4"/>
        <w:lvlText w:val="(%4)"/>
        <w:lvlJc w:val="left"/>
        <w:pPr>
          <w:ind w:left="0" w:firstLine="0"/>
        </w:pPr>
        <w:rPr>
          <w:rFonts w:hint="default"/>
        </w:rPr>
      </w:lvl>
    </w:lvlOverride>
    <w:lvlOverride w:ilvl="4">
      <w:startOverride w:val="1"/>
      <w:lvl w:ilvl="4">
        <w:start w:val="1"/>
        <w:numFmt w:val="lowerLetter"/>
        <w:pStyle w:val="Heading5"/>
        <w:lvlText w:val="(%5)"/>
        <w:lvlJc w:val="left"/>
        <w:pPr>
          <w:ind w:left="0" w:firstLine="0"/>
        </w:pPr>
        <w:rPr>
          <w:rFonts w:hint="default"/>
        </w:rPr>
      </w:lvl>
    </w:lvlOverride>
    <w:lvlOverride w:ilvl="5">
      <w:startOverride w:val="1"/>
      <w:lvl w:ilvl="5">
        <w:start w:val="1"/>
        <w:numFmt w:val="lowerRoman"/>
        <w:pStyle w:val="Heading6"/>
        <w:lvlText w:val="(%6)"/>
        <w:lvlJc w:val="left"/>
        <w:pPr>
          <w:ind w:left="0" w:firstLine="0"/>
        </w:pPr>
        <w:rPr>
          <w:rFonts w:hint="default"/>
        </w:rPr>
      </w:lvl>
    </w:lvlOverride>
    <w:lvlOverride w:ilvl="6">
      <w:startOverride w:val="1"/>
      <w:lvl w:ilvl="6">
        <w:start w:val="1"/>
        <w:numFmt w:val="decimal"/>
        <w:pStyle w:val="Heading7"/>
        <w:lvlText w:val="%7."/>
        <w:lvlJc w:val="left"/>
        <w:pPr>
          <w:ind w:left="0" w:firstLine="0"/>
        </w:pPr>
        <w:rPr>
          <w:rFonts w:hint="default"/>
        </w:rPr>
      </w:lvl>
    </w:lvlOverride>
    <w:lvlOverride w:ilvl="7">
      <w:startOverride w:val="1"/>
      <w:lvl w:ilvl="7">
        <w:start w:val="1"/>
        <w:numFmt w:val="lowerLetter"/>
        <w:pStyle w:val="Heading8"/>
        <w:lvlText w:val="%8."/>
        <w:lvlJc w:val="left"/>
        <w:pPr>
          <w:ind w:left="0" w:firstLine="0"/>
        </w:pPr>
        <w:rPr>
          <w:rFonts w:hint="default"/>
        </w:rPr>
      </w:lvl>
    </w:lvlOverride>
    <w:lvlOverride w:ilvl="8">
      <w:startOverride w:val="1"/>
      <w:lvl w:ilvl="8">
        <w:start w:val="1"/>
        <w:numFmt w:val="lowerRoman"/>
        <w:pStyle w:val="Heading9"/>
        <w:lvlText w:val="%9."/>
        <w:lvlJc w:val="left"/>
        <w:pPr>
          <w:ind w:left="0" w:firstLine="0"/>
        </w:pPr>
        <w:rPr>
          <w:rFonts w:hint="default"/>
        </w:rPr>
      </w:lvl>
    </w:lvlOverride>
  </w:num>
  <w:num w:numId="35" w16cid:durableId="1682850217">
    <w:abstractNumId w:val="13"/>
    <w:lvlOverride w:ilvl="0">
      <w:startOverride w:val="1"/>
      <w:lvl w:ilvl="0">
        <w:start w:val="1"/>
        <w:numFmt w:val="decimal"/>
        <w:pStyle w:val="Heading1"/>
        <w:lvlText w:val="Section %1"/>
        <w:lvlJc w:val="left"/>
        <w:pPr>
          <w:ind w:left="0" w:firstLine="0"/>
        </w:pPr>
        <w:rPr>
          <w:rFonts w:hint="default"/>
        </w:rPr>
      </w:lvl>
    </w:lvlOverride>
    <w:lvlOverride w:ilvl="1">
      <w:startOverride w:val="1"/>
      <w:lvl w:ilvl="1">
        <w:start w:val="1"/>
        <w:numFmt w:val="decimal"/>
        <w:pStyle w:val="Heading2"/>
        <w:lvlText w:val="Section %1.%2"/>
        <w:lvlJc w:val="left"/>
        <w:pPr>
          <w:ind w:left="0" w:firstLine="0"/>
        </w:pPr>
        <w:rPr>
          <w:rFonts w:hint="default"/>
        </w:rPr>
      </w:lvl>
    </w:lvlOverride>
    <w:lvlOverride w:ilvl="2">
      <w:startOverride w:val="1"/>
      <w:lvl w:ilvl="2">
        <w:start w:val="1"/>
        <w:numFmt w:val="decimal"/>
        <w:pStyle w:val="Heading3"/>
        <w:lvlText w:val="Section %1.%2.%3"/>
        <w:lvlJc w:val="left"/>
        <w:pPr>
          <w:ind w:left="63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Heading4"/>
        <w:lvlText w:val="(%4)"/>
        <w:lvlJc w:val="left"/>
        <w:pPr>
          <w:ind w:left="0" w:firstLine="0"/>
        </w:pPr>
        <w:rPr>
          <w:rFonts w:hint="default"/>
        </w:rPr>
      </w:lvl>
    </w:lvlOverride>
    <w:lvlOverride w:ilvl="4">
      <w:startOverride w:val="1"/>
      <w:lvl w:ilvl="4">
        <w:start w:val="1"/>
        <w:numFmt w:val="lowerLetter"/>
        <w:pStyle w:val="Heading5"/>
        <w:lvlText w:val="(%5)"/>
        <w:lvlJc w:val="left"/>
        <w:pPr>
          <w:ind w:left="0" w:firstLine="0"/>
        </w:pPr>
        <w:rPr>
          <w:rFonts w:hint="default"/>
        </w:rPr>
      </w:lvl>
    </w:lvlOverride>
    <w:lvlOverride w:ilvl="5">
      <w:startOverride w:val="1"/>
      <w:lvl w:ilvl="5">
        <w:start w:val="1"/>
        <w:numFmt w:val="lowerRoman"/>
        <w:pStyle w:val="Heading6"/>
        <w:lvlText w:val="(%6)"/>
        <w:lvlJc w:val="left"/>
        <w:pPr>
          <w:ind w:left="0" w:firstLine="0"/>
        </w:pPr>
        <w:rPr>
          <w:rFonts w:hint="default"/>
        </w:rPr>
      </w:lvl>
    </w:lvlOverride>
    <w:lvlOverride w:ilvl="6">
      <w:startOverride w:val="1"/>
      <w:lvl w:ilvl="6">
        <w:start w:val="1"/>
        <w:numFmt w:val="decimal"/>
        <w:pStyle w:val="Heading7"/>
        <w:lvlText w:val="%7."/>
        <w:lvlJc w:val="left"/>
        <w:pPr>
          <w:ind w:left="0" w:firstLine="0"/>
        </w:pPr>
        <w:rPr>
          <w:rFonts w:hint="default"/>
        </w:rPr>
      </w:lvl>
    </w:lvlOverride>
    <w:lvlOverride w:ilvl="7">
      <w:startOverride w:val="1"/>
      <w:lvl w:ilvl="7">
        <w:start w:val="1"/>
        <w:numFmt w:val="lowerLetter"/>
        <w:pStyle w:val="Heading8"/>
        <w:lvlText w:val="%8."/>
        <w:lvlJc w:val="left"/>
        <w:pPr>
          <w:ind w:left="0" w:firstLine="0"/>
        </w:pPr>
        <w:rPr>
          <w:rFonts w:hint="default"/>
        </w:rPr>
      </w:lvl>
    </w:lvlOverride>
    <w:lvlOverride w:ilvl="8">
      <w:startOverride w:val="1"/>
      <w:lvl w:ilvl="8">
        <w:start w:val="1"/>
        <w:numFmt w:val="lowerRoman"/>
        <w:pStyle w:val="Heading9"/>
        <w:lvlText w:val="%9."/>
        <w:lvlJc w:val="left"/>
        <w:pPr>
          <w:ind w:left="0" w:firstLine="0"/>
        </w:pPr>
        <w:rPr>
          <w:rFonts w:hint="default"/>
        </w:rPr>
      </w:lvl>
    </w:lvlOverride>
  </w:num>
  <w:num w:numId="36" w16cid:durableId="208225715">
    <w:abstractNumId w:val="13"/>
    <w:lvlOverride w:ilvl="0">
      <w:startOverride w:val="1"/>
      <w:lvl w:ilvl="0">
        <w:start w:val="1"/>
        <w:numFmt w:val="decimal"/>
        <w:pStyle w:val="Heading1"/>
        <w:lvlText w:val="Section %1"/>
        <w:lvlJc w:val="left"/>
        <w:pPr>
          <w:ind w:left="0" w:firstLine="0"/>
        </w:pPr>
        <w:rPr>
          <w:rFonts w:hint="default"/>
        </w:rPr>
      </w:lvl>
    </w:lvlOverride>
    <w:lvlOverride w:ilvl="1">
      <w:startOverride w:val="1"/>
      <w:lvl w:ilvl="1">
        <w:start w:val="1"/>
        <w:numFmt w:val="decimal"/>
        <w:pStyle w:val="Heading2"/>
        <w:lvlText w:val="Section %1.%2"/>
        <w:lvlJc w:val="left"/>
        <w:pPr>
          <w:ind w:left="0" w:firstLine="0"/>
        </w:pPr>
        <w:rPr>
          <w:rFonts w:hint="default"/>
        </w:rPr>
      </w:lvl>
    </w:lvlOverride>
    <w:lvlOverride w:ilvl="2">
      <w:startOverride w:val="1"/>
      <w:lvl w:ilvl="2">
        <w:start w:val="1"/>
        <w:numFmt w:val="decimal"/>
        <w:pStyle w:val="Heading3"/>
        <w:lvlText w:val="Section %1.%2.%3"/>
        <w:lvlJc w:val="left"/>
        <w:pPr>
          <w:ind w:left="63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Heading4"/>
        <w:lvlText w:val="(%4)"/>
        <w:lvlJc w:val="left"/>
        <w:pPr>
          <w:ind w:left="0" w:firstLine="0"/>
        </w:pPr>
        <w:rPr>
          <w:rFonts w:hint="default"/>
        </w:rPr>
      </w:lvl>
    </w:lvlOverride>
    <w:lvlOverride w:ilvl="4">
      <w:startOverride w:val="1"/>
      <w:lvl w:ilvl="4">
        <w:start w:val="1"/>
        <w:numFmt w:val="lowerLetter"/>
        <w:pStyle w:val="Heading5"/>
        <w:lvlText w:val="(%5)"/>
        <w:lvlJc w:val="left"/>
        <w:pPr>
          <w:ind w:left="0" w:firstLine="0"/>
        </w:pPr>
        <w:rPr>
          <w:rFonts w:hint="default"/>
        </w:rPr>
      </w:lvl>
    </w:lvlOverride>
    <w:lvlOverride w:ilvl="5">
      <w:startOverride w:val="1"/>
      <w:lvl w:ilvl="5">
        <w:start w:val="1"/>
        <w:numFmt w:val="lowerRoman"/>
        <w:pStyle w:val="Heading6"/>
        <w:lvlText w:val="(%6)"/>
        <w:lvlJc w:val="left"/>
        <w:pPr>
          <w:ind w:left="0" w:firstLine="0"/>
        </w:pPr>
        <w:rPr>
          <w:rFonts w:hint="default"/>
        </w:rPr>
      </w:lvl>
    </w:lvlOverride>
    <w:lvlOverride w:ilvl="6">
      <w:startOverride w:val="1"/>
      <w:lvl w:ilvl="6">
        <w:start w:val="1"/>
        <w:numFmt w:val="decimal"/>
        <w:pStyle w:val="Heading7"/>
        <w:lvlText w:val="%7."/>
        <w:lvlJc w:val="left"/>
        <w:pPr>
          <w:ind w:left="0" w:firstLine="0"/>
        </w:pPr>
        <w:rPr>
          <w:rFonts w:hint="default"/>
        </w:rPr>
      </w:lvl>
    </w:lvlOverride>
    <w:lvlOverride w:ilvl="7">
      <w:startOverride w:val="1"/>
      <w:lvl w:ilvl="7">
        <w:start w:val="1"/>
        <w:numFmt w:val="lowerLetter"/>
        <w:pStyle w:val="Heading8"/>
        <w:lvlText w:val="%8."/>
        <w:lvlJc w:val="left"/>
        <w:pPr>
          <w:ind w:left="0" w:firstLine="0"/>
        </w:pPr>
        <w:rPr>
          <w:rFonts w:hint="default"/>
        </w:rPr>
      </w:lvl>
    </w:lvlOverride>
    <w:lvlOverride w:ilvl="8">
      <w:startOverride w:val="1"/>
      <w:lvl w:ilvl="8">
        <w:start w:val="1"/>
        <w:numFmt w:val="lowerRoman"/>
        <w:pStyle w:val="Heading9"/>
        <w:lvlText w:val="%9."/>
        <w:lvlJc w:val="left"/>
        <w:pPr>
          <w:ind w:left="0" w:firstLine="0"/>
        </w:pPr>
        <w:rPr>
          <w:rFonts w:hint="default"/>
        </w:rPr>
      </w:lvl>
    </w:lvlOverride>
  </w:num>
  <w:num w:numId="37" w16cid:durableId="530189614">
    <w:abstractNumId w:val="13"/>
    <w:lvlOverride w:ilvl="0">
      <w:startOverride w:val="1"/>
      <w:lvl w:ilvl="0">
        <w:start w:val="1"/>
        <w:numFmt w:val="decimal"/>
        <w:pStyle w:val="Heading1"/>
        <w:lvlText w:val="Section %1"/>
        <w:lvlJc w:val="left"/>
        <w:pPr>
          <w:ind w:left="0" w:firstLine="0"/>
        </w:pPr>
        <w:rPr>
          <w:rFonts w:hint="default"/>
        </w:rPr>
      </w:lvl>
    </w:lvlOverride>
    <w:lvlOverride w:ilvl="1">
      <w:startOverride w:val="1"/>
      <w:lvl w:ilvl="1">
        <w:start w:val="1"/>
        <w:numFmt w:val="decimal"/>
        <w:pStyle w:val="Heading2"/>
        <w:lvlText w:val="Section %1.%2"/>
        <w:lvlJc w:val="left"/>
        <w:pPr>
          <w:ind w:left="0" w:firstLine="0"/>
        </w:pPr>
        <w:rPr>
          <w:rFonts w:hint="default"/>
        </w:rPr>
      </w:lvl>
    </w:lvlOverride>
    <w:lvlOverride w:ilvl="2">
      <w:startOverride w:val="1"/>
      <w:lvl w:ilvl="2">
        <w:start w:val="1"/>
        <w:numFmt w:val="decimal"/>
        <w:pStyle w:val="Heading3"/>
        <w:lvlText w:val="Section %1.%2.%3"/>
        <w:lvlJc w:val="left"/>
        <w:pPr>
          <w:ind w:left="63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pStyle w:val="Heading4"/>
        <w:lvlText w:val="(%4)"/>
        <w:lvlJc w:val="left"/>
        <w:pPr>
          <w:ind w:left="0" w:firstLine="0"/>
        </w:pPr>
        <w:rPr>
          <w:rFonts w:hint="default"/>
        </w:rPr>
      </w:lvl>
    </w:lvlOverride>
    <w:lvlOverride w:ilvl="4">
      <w:startOverride w:val="1"/>
      <w:lvl w:ilvl="4">
        <w:start w:val="1"/>
        <w:numFmt w:val="lowerLetter"/>
        <w:pStyle w:val="Heading5"/>
        <w:lvlText w:val="(%5)"/>
        <w:lvlJc w:val="left"/>
        <w:pPr>
          <w:ind w:left="0" w:firstLine="0"/>
        </w:pPr>
        <w:rPr>
          <w:rFonts w:hint="default"/>
        </w:rPr>
      </w:lvl>
    </w:lvlOverride>
    <w:lvlOverride w:ilvl="5">
      <w:startOverride w:val="1"/>
      <w:lvl w:ilvl="5">
        <w:start w:val="1"/>
        <w:numFmt w:val="lowerRoman"/>
        <w:pStyle w:val="Heading6"/>
        <w:lvlText w:val="(%6)"/>
        <w:lvlJc w:val="left"/>
        <w:pPr>
          <w:ind w:left="0" w:firstLine="0"/>
        </w:pPr>
        <w:rPr>
          <w:rFonts w:hint="default"/>
        </w:rPr>
      </w:lvl>
    </w:lvlOverride>
    <w:lvlOverride w:ilvl="6">
      <w:startOverride w:val="1"/>
      <w:lvl w:ilvl="6">
        <w:start w:val="1"/>
        <w:numFmt w:val="decimal"/>
        <w:pStyle w:val="Heading7"/>
        <w:lvlText w:val="%7."/>
        <w:lvlJc w:val="left"/>
        <w:pPr>
          <w:ind w:left="0" w:firstLine="0"/>
        </w:pPr>
        <w:rPr>
          <w:rFonts w:hint="default"/>
        </w:rPr>
      </w:lvl>
    </w:lvlOverride>
    <w:lvlOverride w:ilvl="7">
      <w:startOverride w:val="1"/>
      <w:lvl w:ilvl="7">
        <w:start w:val="1"/>
        <w:numFmt w:val="lowerLetter"/>
        <w:pStyle w:val="Heading8"/>
        <w:lvlText w:val="%8."/>
        <w:lvlJc w:val="left"/>
        <w:pPr>
          <w:ind w:left="0" w:firstLine="0"/>
        </w:pPr>
        <w:rPr>
          <w:rFonts w:hint="default"/>
        </w:rPr>
      </w:lvl>
    </w:lvlOverride>
    <w:lvlOverride w:ilvl="8">
      <w:startOverride w:val="1"/>
      <w:lvl w:ilvl="8">
        <w:start w:val="1"/>
        <w:numFmt w:val="lowerRoman"/>
        <w:pStyle w:val="Heading9"/>
        <w:lvlText w:val="%9."/>
        <w:lvlJc w:val="left"/>
        <w:pPr>
          <w:ind w:left="0" w:firstLine="0"/>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679"/>
    <w:rsid w:val="00000013"/>
    <w:rsid w:val="0000193A"/>
    <w:rsid w:val="000019F5"/>
    <w:rsid w:val="00001A7A"/>
    <w:rsid w:val="00001D90"/>
    <w:rsid w:val="00002BA0"/>
    <w:rsid w:val="00002BF0"/>
    <w:rsid w:val="00003028"/>
    <w:rsid w:val="000031B0"/>
    <w:rsid w:val="0000336E"/>
    <w:rsid w:val="000037FB"/>
    <w:rsid w:val="00003D43"/>
    <w:rsid w:val="00003FBC"/>
    <w:rsid w:val="00004011"/>
    <w:rsid w:val="000049B7"/>
    <w:rsid w:val="00004C67"/>
    <w:rsid w:val="00004E18"/>
    <w:rsid w:val="00004F26"/>
    <w:rsid w:val="000058D0"/>
    <w:rsid w:val="00005B83"/>
    <w:rsid w:val="00005C42"/>
    <w:rsid w:val="00005EF4"/>
    <w:rsid w:val="00005F01"/>
    <w:rsid w:val="00006B81"/>
    <w:rsid w:val="00007B86"/>
    <w:rsid w:val="000101A6"/>
    <w:rsid w:val="000104FA"/>
    <w:rsid w:val="00010760"/>
    <w:rsid w:val="0001163E"/>
    <w:rsid w:val="00012467"/>
    <w:rsid w:val="00012660"/>
    <w:rsid w:val="00012869"/>
    <w:rsid w:val="000131EA"/>
    <w:rsid w:val="00013406"/>
    <w:rsid w:val="00013595"/>
    <w:rsid w:val="000136DB"/>
    <w:rsid w:val="00013B18"/>
    <w:rsid w:val="00013B38"/>
    <w:rsid w:val="0001433C"/>
    <w:rsid w:val="000143F8"/>
    <w:rsid w:val="00014F67"/>
    <w:rsid w:val="00015090"/>
    <w:rsid w:val="000151BA"/>
    <w:rsid w:val="000156A2"/>
    <w:rsid w:val="000164E2"/>
    <w:rsid w:val="000168E8"/>
    <w:rsid w:val="000202BB"/>
    <w:rsid w:val="00020C44"/>
    <w:rsid w:val="000210ED"/>
    <w:rsid w:val="00021287"/>
    <w:rsid w:val="00021A51"/>
    <w:rsid w:val="000221EB"/>
    <w:rsid w:val="000226D1"/>
    <w:rsid w:val="00022B1B"/>
    <w:rsid w:val="00022B9F"/>
    <w:rsid w:val="00022D02"/>
    <w:rsid w:val="000232C3"/>
    <w:rsid w:val="0002331B"/>
    <w:rsid w:val="000233E8"/>
    <w:rsid w:val="00023E7E"/>
    <w:rsid w:val="00024461"/>
    <w:rsid w:val="000248C2"/>
    <w:rsid w:val="00024F29"/>
    <w:rsid w:val="00025392"/>
    <w:rsid w:val="00025918"/>
    <w:rsid w:val="000262AE"/>
    <w:rsid w:val="00027382"/>
    <w:rsid w:val="0002747F"/>
    <w:rsid w:val="00027630"/>
    <w:rsid w:val="000302AA"/>
    <w:rsid w:val="00030B81"/>
    <w:rsid w:val="0003146F"/>
    <w:rsid w:val="000317E0"/>
    <w:rsid w:val="00031D73"/>
    <w:rsid w:val="00031F2D"/>
    <w:rsid w:val="000328D7"/>
    <w:rsid w:val="00032E46"/>
    <w:rsid w:val="00032F04"/>
    <w:rsid w:val="000332A5"/>
    <w:rsid w:val="00033699"/>
    <w:rsid w:val="00034C53"/>
    <w:rsid w:val="00034E8E"/>
    <w:rsid w:val="00035003"/>
    <w:rsid w:val="000351F2"/>
    <w:rsid w:val="0003559D"/>
    <w:rsid w:val="000359BB"/>
    <w:rsid w:val="00035ADE"/>
    <w:rsid w:val="00035F3A"/>
    <w:rsid w:val="0003625D"/>
    <w:rsid w:val="000363F2"/>
    <w:rsid w:val="00036594"/>
    <w:rsid w:val="000367FA"/>
    <w:rsid w:val="00037450"/>
    <w:rsid w:val="00037904"/>
    <w:rsid w:val="0003791A"/>
    <w:rsid w:val="000379F0"/>
    <w:rsid w:val="00037E32"/>
    <w:rsid w:val="00040B39"/>
    <w:rsid w:val="00040E79"/>
    <w:rsid w:val="00041903"/>
    <w:rsid w:val="0004225B"/>
    <w:rsid w:val="00042D90"/>
    <w:rsid w:val="00043359"/>
    <w:rsid w:val="00043849"/>
    <w:rsid w:val="0004388C"/>
    <w:rsid w:val="000444D4"/>
    <w:rsid w:val="000447BA"/>
    <w:rsid w:val="00044A6E"/>
    <w:rsid w:val="00044DB0"/>
    <w:rsid w:val="00044F51"/>
    <w:rsid w:val="00045495"/>
    <w:rsid w:val="00045C2F"/>
    <w:rsid w:val="000469BD"/>
    <w:rsid w:val="0005069F"/>
    <w:rsid w:val="00050E9D"/>
    <w:rsid w:val="00050FCE"/>
    <w:rsid w:val="0005139B"/>
    <w:rsid w:val="00051610"/>
    <w:rsid w:val="00051C10"/>
    <w:rsid w:val="00053777"/>
    <w:rsid w:val="00053C30"/>
    <w:rsid w:val="00054AAA"/>
    <w:rsid w:val="00054B44"/>
    <w:rsid w:val="00055896"/>
    <w:rsid w:val="000558B8"/>
    <w:rsid w:val="00055A46"/>
    <w:rsid w:val="000564C8"/>
    <w:rsid w:val="000566CC"/>
    <w:rsid w:val="000566E0"/>
    <w:rsid w:val="000569AA"/>
    <w:rsid w:val="00056AB5"/>
    <w:rsid w:val="00057102"/>
    <w:rsid w:val="0005734E"/>
    <w:rsid w:val="00057820"/>
    <w:rsid w:val="00057866"/>
    <w:rsid w:val="00057B76"/>
    <w:rsid w:val="00057D5B"/>
    <w:rsid w:val="000603F4"/>
    <w:rsid w:val="00060493"/>
    <w:rsid w:val="00060B92"/>
    <w:rsid w:val="0006139E"/>
    <w:rsid w:val="000615D5"/>
    <w:rsid w:val="0006170F"/>
    <w:rsid w:val="00061CB2"/>
    <w:rsid w:val="00061D36"/>
    <w:rsid w:val="00061DB5"/>
    <w:rsid w:val="00062893"/>
    <w:rsid w:val="00063980"/>
    <w:rsid w:val="0006462F"/>
    <w:rsid w:val="0006498A"/>
    <w:rsid w:val="00064C0F"/>
    <w:rsid w:val="00065315"/>
    <w:rsid w:val="0006593D"/>
    <w:rsid w:val="00066D67"/>
    <w:rsid w:val="00067D8E"/>
    <w:rsid w:val="00070D2E"/>
    <w:rsid w:val="00070F90"/>
    <w:rsid w:val="00070FDC"/>
    <w:rsid w:val="000710AC"/>
    <w:rsid w:val="0007118B"/>
    <w:rsid w:val="00071684"/>
    <w:rsid w:val="000717FD"/>
    <w:rsid w:val="00072568"/>
    <w:rsid w:val="00073028"/>
    <w:rsid w:val="000733E7"/>
    <w:rsid w:val="000743A9"/>
    <w:rsid w:val="00074ADF"/>
    <w:rsid w:val="00074E0A"/>
    <w:rsid w:val="00075CA0"/>
    <w:rsid w:val="000761EB"/>
    <w:rsid w:val="0008039D"/>
    <w:rsid w:val="00080445"/>
    <w:rsid w:val="0008094E"/>
    <w:rsid w:val="00082226"/>
    <w:rsid w:val="00082578"/>
    <w:rsid w:val="00082A02"/>
    <w:rsid w:val="000834BB"/>
    <w:rsid w:val="00083573"/>
    <w:rsid w:val="00084648"/>
    <w:rsid w:val="00085C05"/>
    <w:rsid w:val="00086392"/>
    <w:rsid w:val="00086AD7"/>
    <w:rsid w:val="00086BD5"/>
    <w:rsid w:val="0008782C"/>
    <w:rsid w:val="0008CAC3"/>
    <w:rsid w:val="00090A0E"/>
    <w:rsid w:val="00090E52"/>
    <w:rsid w:val="00090FA4"/>
    <w:rsid w:val="00091657"/>
    <w:rsid w:val="00091F4E"/>
    <w:rsid w:val="000920AE"/>
    <w:rsid w:val="0009280A"/>
    <w:rsid w:val="00093666"/>
    <w:rsid w:val="00093C7A"/>
    <w:rsid w:val="000941D8"/>
    <w:rsid w:val="000942E4"/>
    <w:rsid w:val="00094397"/>
    <w:rsid w:val="000945DD"/>
    <w:rsid w:val="00094DD2"/>
    <w:rsid w:val="0009573F"/>
    <w:rsid w:val="0009665E"/>
    <w:rsid w:val="00096BD9"/>
    <w:rsid w:val="00096CCA"/>
    <w:rsid w:val="0009714B"/>
    <w:rsid w:val="000975B3"/>
    <w:rsid w:val="00097704"/>
    <w:rsid w:val="00097735"/>
    <w:rsid w:val="000977B9"/>
    <w:rsid w:val="00097957"/>
    <w:rsid w:val="000A1218"/>
    <w:rsid w:val="000A140F"/>
    <w:rsid w:val="000A1AD7"/>
    <w:rsid w:val="000A2001"/>
    <w:rsid w:val="000A2033"/>
    <w:rsid w:val="000A2C18"/>
    <w:rsid w:val="000A336D"/>
    <w:rsid w:val="000A3E38"/>
    <w:rsid w:val="000A4871"/>
    <w:rsid w:val="000A5B10"/>
    <w:rsid w:val="000A5C2F"/>
    <w:rsid w:val="000A5EE8"/>
    <w:rsid w:val="000A6375"/>
    <w:rsid w:val="000A63DE"/>
    <w:rsid w:val="000A6DC1"/>
    <w:rsid w:val="000A72FE"/>
    <w:rsid w:val="000A786D"/>
    <w:rsid w:val="000A7EDF"/>
    <w:rsid w:val="000B02FA"/>
    <w:rsid w:val="000B0718"/>
    <w:rsid w:val="000B0C4B"/>
    <w:rsid w:val="000B1035"/>
    <w:rsid w:val="000B13D2"/>
    <w:rsid w:val="000B172E"/>
    <w:rsid w:val="000B1B58"/>
    <w:rsid w:val="000B1DD0"/>
    <w:rsid w:val="000B21B1"/>
    <w:rsid w:val="000B21C1"/>
    <w:rsid w:val="000B2E81"/>
    <w:rsid w:val="000B3FE1"/>
    <w:rsid w:val="000B43EF"/>
    <w:rsid w:val="000B452C"/>
    <w:rsid w:val="000B6BB3"/>
    <w:rsid w:val="000B6E83"/>
    <w:rsid w:val="000B6FED"/>
    <w:rsid w:val="000B7422"/>
    <w:rsid w:val="000B7715"/>
    <w:rsid w:val="000B7E55"/>
    <w:rsid w:val="000C02A9"/>
    <w:rsid w:val="000C02E9"/>
    <w:rsid w:val="000C0769"/>
    <w:rsid w:val="000C12FC"/>
    <w:rsid w:val="000C18C7"/>
    <w:rsid w:val="000C2B61"/>
    <w:rsid w:val="000C2C0F"/>
    <w:rsid w:val="000C2E73"/>
    <w:rsid w:val="000C2F20"/>
    <w:rsid w:val="000C34C2"/>
    <w:rsid w:val="000C39B3"/>
    <w:rsid w:val="000C3CFA"/>
    <w:rsid w:val="000C417E"/>
    <w:rsid w:val="000C45AC"/>
    <w:rsid w:val="000C486C"/>
    <w:rsid w:val="000C4BC7"/>
    <w:rsid w:val="000C4F20"/>
    <w:rsid w:val="000C5249"/>
    <w:rsid w:val="000C552A"/>
    <w:rsid w:val="000C564A"/>
    <w:rsid w:val="000C6EA3"/>
    <w:rsid w:val="000C727E"/>
    <w:rsid w:val="000C7427"/>
    <w:rsid w:val="000C74E5"/>
    <w:rsid w:val="000C7873"/>
    <w:rsid w:val="000C7C32"/>
    <w:rsid w:val="000D06C3"/>
    <w:rsid w:val="000D1D92"/>
    <w:rsid w:val="000D37D7"/>
    <w:rsid w:val="000D3A97"/>
    <w:rsid w:val="000D3CD5"/>
    <w:rsid w:val="000D43E1"/>
    <w:rsid w:val="000D4891"/>
    <w:rsid w:val="000D4DAB"/>
    <w:rsid w:val="000D62D5"/>
    <w:rsid w:val="000D6623"/>
    <w:rsid w:val="000D6F08"/>
    <w:rsid w:val="000D76C8"/>
    <w:rsid w:val="000D7785"/>
    <w:rsid w:val="000D7A68"/>
    <w:rsid w:val="000D7EBA"/>
    <w:rsid w:val="000E0F01"/>
    <w:rsid w:val="000E19C5"/>
    <w:rsid w:val="000E1A0A"/>
    <w:rsid w:val="000E1A18"/>
    <w:rsid w:val="000E2684"/>
    <w:rsid w:val="000E2A8E"/>
    <w:rsid w:val="000E2B53"/>
    <w:rsid w:val="000E2B94"/>
    <w:rsid w:val="000E3710"/>
    <w:rsid w:val="000E39BE"/>
    <w:rsid w:val="000E3A40"/>
    <w:rsid w:val="000E40E9"/>
    <w:rsid w:val="000E47ED"/>
    <w:rsid w:val="000E47F2"/>
    <w:rsid w:val="000E495C"/>
    <w:rsid w:val="000E4E20"/>
    <w:rsid w:val="000E54FA"/>
    <w:rsid w:val="000E7515"/>
    <w:rsid w:val="000F01D3"/>
    <w:rsid w:val="000F0295"/>
    <w:rsid w:val="000F0E18"/>
    <w:rsid w:val="000F108B"/>
    <w:rsid w:val="000F152A"/>
    <w:rsid w:val="000F1FB7"/>
    <w:rsid w:val="000F20AB"/>
    <w:rsid w:val="000F20CB"/>
    <w:rsid w:val="000F261D"/>
    <w:rsid w:val="000F2D96"/>
    <w:rsid w:val="000F307B"/>
    <w:rsid w:val="000F311A"/>
    <w:rsid w:val="000F3253"/>
    <w:rsid w:val="000F3817"/>
    <w:rsid w:val="000F4755"/>
    <w:rsid w:val="000F47D1"/>
    <w:rsid w:val="000F4963"/>
    <w:rsid w:val="000F5638"/>
    <w:rsid w:val="000F5AC2"/>
    <w:rsid w:val="000F5B63"/>
    <w:rsid w:val="000F5F6F"/>
    <w:rsid w:val="000F6051"/>
    <w:rsid w:val="000F60D2"/>
    <w:rsid w:val="000F6219"/>
    <w:rsid w:val="000F6323"/>
    <w:rsid w:val="000F69F9"/>
    <w:rsid w:val="000F6D9C"/>
    <w:rsid w:val="000F6FA6"/>
    <w:rsid w:val="000F7223"/>
    <w:rsid w:val="000F7DA2"/>
    <w:rsid w:val="001007AD"/>
    <w:rsid w:val="001021C9"/>
    <w:rsid w:val="00102955"/>
    <w:rsid w:val="00102DC7"/>
    <w:rsid w:val="0010379C"/>
    <w:rsid w:val="001042F6"/>
    <w:rsid w:val="00104A91"/>
    <w:rsid w:val="00104E16"/>
    <w:rsid w:val="00104E9B"/>
    <w:rsid w:val="001050F4"/>
    <w:rsid w:val="00106AB0"/>
    <w:rsid w:val="00106EE8"/>
    <w:rsid w:val="00107F89"/>
    <w:rsid w:val="001100BC"/>
    <w:rsid w:val="00111041"/>
    <w:rsid w:val="001110BC"/>
    <w:rsid w:val="0011160F"/>
    <w:rsid w:val="00112084"/>
    <w:rsid w:val="0011246A"/>
    <w:rsid w:val="00112B91"/>
    <w:rsid w:val="00112ECF"/>
    <w:rsid w:val="0011311B"/>
    <w:rsid w:val="001135A1"/>
    <w:rsid w:val="0011438B"/>
    <w:rsid w:val="0011459A"/>
    <w:rsid w:val="00114959"/>
    <w:rsid w:val="00114E75"/>
    <w:rsid w:val="00114F1A"/>
    <w:rsid w:val="00115AF3"/>
    <w:rsid w:val="00116421"/>
    <w:rsid w:val="00116F46"/>
    <w:rsid w:val="00116F54"/>
    <w:rsid w:val="00117C6B"/>
    <w:rsid w:val="00117EA2"/>
    <w:rsid w:val="00117EF3"/>
    <w:rsid w:val="00120095"/>
    <w:rsid w:val="00121F3D"/>
    <w:rsid w:val="001220FB"/>
    <w:rsid w:val="0012337B"/>
    <w:rsid w:val="00123593"/>
    <w:rsid w:val="001236A9"/>
    <w:rsid w:val="001239B5"/>
    <w:rsid w:val="0012419A"/>
    <w:rsid w:val="001244E3"/>
    <w:rsid w:val="00125DBB"/>
    <w:rsid w:val="00126053"/>
    <w:rsid w:val="0012645C"/>
    <w:rsid w:val="00126638"/>
    <w:rsid w:val="00126DD9"/>
    <w:rsid w:val="0012779A"/>
    <w:rsid w:val="001277CC"/>
    <w:rsid w:val="001279FD"/>
    <w:rsid w:val="00127E49"/>
    <w:rsid w:val="001301A4"/>
    <w:rsid w:val="00130431"/>
    <w:rsid w:val="00130D0F"/>
    <w:rsid w:val="00130DFB"/>
    <w:rsid w:val="00131091"/>
    <w:rsid w:val="001310DE"/>
    <w:rsid w:val="001315BF"/>
    <w:rsid w:val="0013170E"/>
    <w:rsid w:val="00132285"/>
    <w:rsid w:val="00132747"/>
    <w:rsid w:val="00132D38"/>
    <w:rsid w:val="00132E86"/>
    <w:rsid w:val="00133A14"/>
    <w:rsid w:val="00133FD4"/>
    <w:rsid w:val="001340C3"/>
    <w:rsid w:val="001347BF"/>
    <w:rsid w:val="00136280"/>
    <w:rsid w:val="00137668"/>
    <w:rsid w:val="0013778A"/>
    <w:rsid w:val="0014031B"/>
    <w:rsid w:val="001404A4"/>
    <w:rsid w:val="00140604"/>
    <w:rsid w:val="00140FC5"/>
    <w:rsid w:val="00141105"/>
    <w:rsid w:val="00141D2E"/>
    <w:rsid w:val="00142136"/>
    <w:rsid w:val="001428D7"/>
    <w:rsid w:val="00142FA4"/>
    <w:rsid w:val="00143040"/>
    <w:rsid w:val="001431F9"/>
    <w:rsid w:val="001432C1"/>
    <w:rsid w:val="001439FE"/>
    <w:rsid w:val="00143EF3"/>
    <w:rsid w:val="00143F69"/>
    <w:rsid w:val="001442C2"/>
    <w:rsid w:val="00144375"/>
    <w:rsid w:val="00144749"/>
    <w:rsid w:val="001447D9"/>
    <w:rsid w:val="00144DBB"/>
    <w:rsid w:val="00144F46"/>
    <w:rsid w:val="001455E3"/>
    <w:rsid w:val="00145902"/>
    <w:rsid w:val="00146434"/>
    <w:rsid w:val="00146734"/>
    <w:rsid w:val="00146AC0"/>
    <w:rsid w:val="0014705F"/>
    <w:rsid w:val="00147A7E"/>
    <w:rsid w:val="00147E0F"/>
    <w:rsid w:val="00150054"/>
    <w:rsid w:val="00150059"/>
    <w:rsid w:val="00150ABF"/>
    <w:rsid w:val="00150AC8"/>
    <w:rsid w:val="00151339"/>
    <w:rsid w:val="00151BEF"/>
    <w:rsid w:val="00152070"/>
    <w:rsid w:val="0015217C"/>
    <w:rsid w:val="001521CF"/>
    <w:rsid w:val="001524D6"/>
    <w:rsid w:val="001525F0"/>
    <w:rsid w:val="00152A59"/>
    <w:rsid w:val="00153262"/>
    <w:rsid w:val="00153605"/>
    <w:rsid w:val="00153911"/>
    <w:rsid w:val="00153990"/>
    <w:rsid w:val="00153AD3"/>
    <w:rsid w:val="00153D66"/>
    <w:rsid w:val="00154C06"/>
    <w:rsid w:val="00154FE5"/>
    <w:rsid w:val="00156309"/>
    <w:rsid w:val="00156A94"/>
    <w:rsid w:val="00156FA8"/>
    <w:rsid w:val="00157C42"/>
    <w:rsid w:val="00157D91"/>
    <w:rsid w:val="001601F7"/>
    <w:rsid w:val="001601FB"/>
    <w:rsid w:val="0016125C"/>
    <w:rsid w:val="00161959"/>
    <w:rsid w:val="00161C2A"/>
    <w:rsid w:val="001620C1"/>
    <w:rsid w:val="001624D3"/>
    <w:rsid w:val="0016266C"/>
    <w:rsid w:val="00162C72"/>
    <w:rsid w:val="00162FDF"/>
    <w:rsid w:val="0016314B"/>
    <w:rsid w:val="001636CB"/>
    <w:rsid w:val="00164935"/>
    <w:rsid w:val="0016506A"/>
    <w:rsid w:val="001652AD"/>
    <w:rsid w:val="0016781B"/>
    <w:rsid w:val="001678A7"/>
    <w:rsid w:val="00170AFF"/>
    <w:rsid w:val="00170E11"/>
    <w:rsid w:val="00171991"/>
    <w:rsid w:val="001726F4"/>
    <w:rsid w:val="00172842"/>
    <w:rsid w:val="00172FEC"/>
    <w:rsid w:val="00173528"/>
    <w:rsid w:val="00173E39"/>
    <w:rsid w:val="001743C1"/>
    <w:rsid w:val="0017505E"/>
    <w:rsid w:val="00175888"/>
    <w:rsid w:val="00175DD5"/>
    <w:rsid w:val="00176199"/>
    <w:rsid w:val="0017715C"/>
    <w:rsid w:val="00177277"/>
    <w:rsid w:val="00177300"/>
    <w:rsid w:val="0017748C"/>
    <w:rsid w:val="0017773B"/>
    <w:rsid w:val="001778D3"/>
    <w:rsid w:val="0017793D"/>
    <w:rsid w:val="0017A243"/>
    <w:rsid w:val="00180DDC"/>
    <w:rsid w:val="0018137F"/>
    <w:rsid w:val="001819CC"/>
    <w:rsid w:val="00182329"/>
    <w:rsid w:val="00182AF1"/>
    <w:rsid w:val="00182E17"/>
    <w:rsid w:val="001847BF"/>
    <w:rsid w:val="00184AE5"/>
    <w:rsid w:val="00184E14"/>
    <w:rsid w:val="0018631D"/>
    <w:rsid w:val="001865C8"/>
    <w:rsid w:val="00187CB7"/>
    <w:rsid w:val="00187F51"/>
    <w:rsid w:val="00190063"/>
    <w:rsid w:val="00192060"/>
    <w:rsid w:val="00192251"/>
    <w:rsid w:val="00192B47"/>
    <w:rsid w:val="0019357F"/>
    <w:rsid w:val="00193CEC"/>
    <w:rsid w:val="00193FDB"/>
    <w:rsid w:val="001948BA"/>
    <w:rsid w:val="00195073"/>
    <w:rsid w:val="001954AA"/>
    <w:rsid w:val="0019594C"/>
    <w:rsid w:val="00195991"/>
    <w:rsid w:val="00195CF3"/>
    <w:rsid w:val="00195D7B"/>
    <w:rsid w:val="00196087"/>
    <w:rsid w:val="00196243"/>
    <w:rsid w:val="001962DC"/>
    <w:rsid w:val="00196674"/>
    <w:rsid w:val="001A02C1"/>
    <w:rsid w:val="001A039E"/>
    <w:rsid w:val="001A09F0"/>
    <w:rsid w:val="001A0AAF"/>
    <w:rsid w:val="001A10A8"/>
    <w:rsid w:val="001A1B6B"/>
    <w:rsid w:val="001A1DAC"/>
    <w:rsid w:val="001A2223"/>
    <w:rsid w:val="001A269B"/>
    <w:rsid w:val="001A27EF"/>
    <w:rsid w:val="001A302B"/>
    <w:rsid w:val="001A3276"/>
    <w:rsid w:val="001A37B0"/>
    <w:rsid w:val="001A380E"/>
    <w:rsid w:val="001A414C"/>
    <w:rsid w:val="001A5329"/>
    <w:rsid w:val="001A5C9C"/>
    <w:rsid w:val="001A62C3"/>
    <w:rsid w:val="001A68AC"/>
    <w:rsid w:val="001A6A0E"/>
    <w:rsid w:val="001A7C75"/>
    <w:rsid w:val="001B11F7"/>
    <w:rsid w:val="001B26BF"/>
    <w:rsid w:val="001B289D"/>
    <w:rsid w:val="001B2A8C"/>
    <w:rsid w:val="001B2D15"/>
    <w:rsid w:val="001B35BB"/>
    <w:rsid w:val="001B3808"/>
    <w:rsid w:val="001B3B7C"/>
    <w:rsid w:val="001B3EB2"/>
    <w:rsid w:val="001B47A3"/>
    <w:rsid w:val="001B4806"/>
    <w:rsid w:val="001B4BBE"/>
    <w:rsid w:val="001B4D9E"/>
    <w:rsid w:val="001B4DEF"/>
    <w:rsid w:val="001B4FB1"/>
    <w:rsid w:val="001B5405"/>
    <w:rsid w:val="001B5597"/>
    <w:rsid w:val="001B5C36"/>
    <w:rsid w:val="001B5D88"/>
    <w:rsid w:val="001B60B8"/>
    <w:rsid w:val="001B62AB"/>
    <w:rsid w:val="001B6533"/>
    <w:rsid w:val="001B6B7E"/>
    <w:rsid w:val="001B786F"/>
    <w:rsid w:val="001C0832"/>
    <w:rsid w:val="001C0A75"/>
    <w:rsid w:val="001C1F6F"/>
    <w:rsid w:val="001C2497"/>
    <w:rsid w:val="001C25C7"/>
    <w:rsid w:val="001C2D57"/>
    <w:rsid w:val="001C3E59"/>
    <w:rsid w:val="001C435B"/>
    <w:rsid w:val="001C4399"/>
    <w:rsid w:val="001C591E"/>
    <w:rsid w:val="001C61F6"/>
    <w:rsid w:val="001C6DDC"/>
    <w:rsid w:val="001C6F90"/>
    <w:rsid w:val="001C7F01"/>
    <w:rsid w:val="001D1752"/>
    <w:rsid w:val="001D1871"/>
    <w:rsid w:val="001D1AED"/>
    <w:rsid w:val="001D2C55"/>
    <w:rsid w:val="001D353C"/>
    <w:rsid w:val="001D3A4A"/>
    <w:rsid w:val="001D4144"/>
    <w:rsid w:val="001D46CD"/>
    <w:rsid w:val="001D4766"/>
    <w:rsid w:val="001D571D"/>
    <w:rsid w:val="001D60EC"/>
    <w:rsid w:val="001D630B"/>
    <w:rsid w:val="001D686F"/>
    <w:rsid w:val="001D6C8A"/>
    <w:rsid w:val="001D72EC"/>
    <w:rsid w:val="001E0118"/>
    <w:rsid w:val="001E04DA"/>
    <w:rsid w:val="001E0987"/>
    <w:rsid w:val="001E09B2"/>
    <w:rsid w:val="001E0CEB"/>
    <w:rsid w:val="001E1DFE"/>
    <w:rsid w:val="001E2079"/>
    <w:rsid w:val="001E24A0"/>
    <w:rsid w:val="001E25CC"/>
    <w:rsid w:val="001E2644"/>
    <w:rsid w:val="001E3300"/>
    <w:rsid w:val="001E36D3"/>
    <w:rsid w:val="001E3B48"/>
    <w:rsid w:val="001E3F4C"/>
    <w:rsid w:val="001E4292"/>
    <w:rsid w:val="001E4303"/>
    <w:rsid w:val="001E4B16"/>
    <w:rsid w:val="001E4F1E"/>
    <w:rsid w:val="001E50EB"/>
    <w:rsid w:val="001E51D6"/>
    <w:rsid w:val="001E5754"/>
    <w:rsid w:val="001E581A"/>
    <w:rsid w:val="001E5A02"/>
    <w:rsid w:val="001E5E4B"/>
    <w:rsid w:val="001E5F81"/>
    <w:rsid w:val="001E64EF"/>
    <w:rsid w:val="001E66D9"/>
    <w:rsid w:val="001E6777"/>
    <w:rsid w:val="001E7492"/>
    <w:rsid w:val="001E757D"/>
    <w:rsid w:val="001E7BC1"/>
    <w:rsid w:val="001F0B7B"/>
    <w:rsid w:val="001F0BF3"/>
    <w:rsid w:val="001F0EA8"/>
    <w:rsid w:val="001F0F29"/>
    <w:rsid w:val="001F11AD"/>
    <w:rsid w:val="001F1A09"/>
    <w:rsid w:val="001F1AD4"/>
    <w:rsid w:val="001F2403"/>
    <w:rsid w:val="001F2515"/>
    <w:rsid w:val="001F2694"/>
    <w:rsid w:val="001F2698"/>
    <w:rsid w:val="001F27D3"/>
    <w:rsid w:val="001F2807"/>
    <w:rsid w:val="001F2E1E"/>
    <w:rsid w:val="001F33BC"/>
    <w:rsid w:val="001F3A51"/>
    <w:rsid w:val="001F3A95"/>
    <w:rsid w:val="001F3F9D"/>
    <w:rsid w:val="001F44B9"/>
    <w:rsid w:val="001F47FC"/>
    <w:rsid w:val="001F4B48"/>
    <w:rsid w:val="001F4EE0"/>
    <w:rsid w:val="001F514B"/>
    <w:rsid w:val="001F63DB"/>
    <w:rsid w:val="001F6845"/>
    <w:rsid w:val="001F77E1"/>
    <w:rsid w:val="001F7D1B"/>
    <w:rsid w:val="00200012"/>
    <w:rsid w:val="00200468"/>
    <w:rsid w:val="0020061F"/>
    <w:rsid w:val="00200EDC"/>
    <w:rsid w:val="00201D4B"/>
    <w:rsid w:val="00202865"/>
    <w:rsid w:val="00202B1B"/>
    <w:rsid w:val="002031C7"/>
    <w:rsid w:val="00203B6A"/>
    <w:rsid w:val="00203E43"/>
    <w:rsid w:val="002059C5"/>
    <w:rsid w:val="00206D1E"/>
    <w:rsid w:val="00207507"/>
    <w:rsid w:val="00207B92"/>
    <w:rsid w:val="002100D9"/>
    <w:rsid w:val="00210579"/>
    <w:rsid w:val="00210EF3"/>
    <w:rsid w:val="00210FA7"/>
    <w:rsid w:val="00211644"/>
    <w:rsid w:val="00211DAB"/>
    <w:rsid w:val="00211F48"/>
    <w:rsid w:val="00212955"/>
    <w:rsid w:val="0021305C"/>
    <w:rsid w:val="002139D2"/>
    <w:rsid w:val="0021443D"/>
    <w:rsid w:val="002145D0"/>
    <w:rsid w:val="00214A23"/>
    <w:rsid w:val="00214B64"/>
    <w:rsid w:val="0021518A"/>
    <w:rsid w:val="00215631"/>
    <w:rsid w:val="00216B22"/>
    <w:rsid w:val="0021704E"/>
    <w:rsid w:val="00217517"/>
    <w:rsid w:val="0021755E"/>
    <w:rsid w:val="00217560"/>
    <w:rsid w:val="002177CE"/>
    <w:rsid w:val="002177DF"/>
    <w:rsid w:val="00217929"/>
    <w:rsid w:val="002179B8"/>
    <w:rsid w:val="00220028"/>
    <w:rsid w:val="0022011A"/>
    <w:rsid w:val="00220C9C"/>
    <w:rsid w:val="00221C34"/>
    <w:rsid w:val="00221C7E"/>
    <w:rsid w:val="00222AD2"/>
    <w:rsid w:val="00222D0C"/>
    <w:rsid w:val="00222D50"/>
    <w:rsid w:val="00223D89"/>
    <w:rsid w:val="00223E16"/>
    <w:rsid w:val="0022416F"/>
    <w:rsid w:val="00224505"/>
    <w:rsid w:val="0022454B"/>
    <w:rsid w:val="0022462B"/>
    <w:rsid w:val="00224F8F"/>
    <w:rsid w:val="00225C11"/>
    <w:rsid w:val="00226040"/>
    <w:rsid w:val="00226199"/>
    <w:rsid w:val="00227445"/>
    <w:rsid w:val="00227543"/>
    <w:rsid w:val="002275FF"/>
    <w:rsid w:val="002279D4"/>
    <w:rsid w:val="00227BB3"/>
    <w:rsid w:val="00227DC0"/>
    <w:rsid w:val="00227EAB"/>
    <w:rsid w:val="0022CCEF"/>
    <w:rsid w:val="00231901"/>
    <w:rsid w:val="0023201A"/>
    <w:rsid w:val="00232904"/>
    <w:rsid w:val="002329B2"/>
    <w:rsid w:val="00233237"/>
    <w:rsid w:val="002338AF"/>
    <w:rsid w:val="002345B7"/>
    <w:rsid w:val="002346E4"/>
    <w:rsid w:val="0023471E"/>
    <w:rsid w:val="00234753"/>
    <w:rsid w:val="002348FF"/>
    <w:rsid w:val="00234FC1"/>
    <w:rsid w:val="00235286"/>
    <w:rsid w:val="00235327"/>
    <w:rsid w:val="0023626D"/>
    <w:rsid w:val="002362D3"/>
    <w:rsid w:val="002363DA"/>
    <w:rsid w:val="0023655D"/>
    <w:rsid w:val="002368D9"/>
    <w:rsid w:val="0023723E"/>
    <w:rsid w:val="00237755"/>
    <w:rsid w:val="00237ACC"/>
    <w:rsid w:val="00237D67"/>
    <w:rsid w:val="0023AC07"/>
    <w:rsid w:val="0024001E"/>
    <w:rsid w:val="00240A9B"/>
    <w:rsid w:val="00240B20"/>
    <w:rsid w:val="00240EC2"/>
    <w:rsid w:val="00241425"/>
    <w:rsid w:val="00241C74"/>
    <w:rsid w:val="002421F2"/>
    <w:rsid w:val="00242A49"/>
    <w:rsid w:val="0024367B"/>
    <w:rsid w:val="00243685"/>
    <w:rsid w:val="002436A0"/>
    <w:rsid w:val="002445BE"/>
    <w:rsid w:val="002449A6"/>
    <w:rsid w:val="00244CE4"/>
    <w:rsid w:val="00244EC7"/>
    <w:rsid w:val="00244F6C"/>
    <w:rsid w:val="0024642B"/>
    <w:rsid w:val="002479BC"/>
    <w:rsid w:val="00247BF0"/>
    <w:rsid w:val="0025015C"/>
    <w:rsid w:val="00250A4A"/>
    <w:rsid w:val="00250CAB"/>
    <w:rsid w:val="00251334"/>
    <w:rsid w:val="00251581"/>
    <w:rsid w:val="00251592"/>
    <w:rsid w:val="002519C8"/>
    <w:rsid w:val="00252A4F"/>
    <w:rsid w:val="00253429"/>
    <w:rsid w:val="002534E1"/>
    <w:rsid w:val="0025376D"/>
    <w:rsid w:val="00254462"/>
    <w:rsid w:val="00254A4B"/>
    <w:rsid w:val="00255DB2"/>
    <w:rsid w:val="00257501"/>
    <w:rsid w:val="00257802"/>
    <w:rsid w:val="0026021F"/>
    <w:rsid w:val="00260839"/>
    <w:rsid w:val="00260CD2"/>
    <w:rsid w:val="00261865"/>
    <w:rsid w:val="002618AB"/>
    <w:rsid w:val="00262B1E"/>
    <w:rsid w:val="00263854"/>
    <w:rsid w:val="00265343"/>
    <w:rsid w:val="00266103"/>
    <w:rsid w:val="002664A1"/>
    <w:rsid w:val="00266C6E"/>
    <w:rsid w:val="002672C7"/>
    <w:rsid w:val="00267AEE"/>
    <w:rsid w:val="002702A8"/>
    <w:rsid w:val="0027047E"/>
    <w:rsid w:val="00270529"/>
    <w:rsid w:val="0027092A"/>
    <w:rsid w:val="00270DA5"/>
    <w:rsid w:val="00271AD3"/>
    <w:rsid w:val="00272D80"/>
    <w:rsid w:val="00273046"/>
    <w:rsid w:val="0027359A"/>
    <w:rsid w:val="002737CF"/>
    <w:rsid w:val="00273CA6"/>
    <w:rsid w:val="00273ED4"/>
    <w:rsid w:val="00273F09"/>
    <w:rsid w:val="00274793"/>
    <w:rsid w:val="00274AD4"/>
    <w:rsid w:val="00275837"/>
    <w:rsid w:val="00276060"/>
    <w:rsid w:val="002768C2"/>
    <w:rsid w:val="00277BC0"/>
    <w:rsid w:val="0028005B"/>
    <w:rsid w:val="0028045B"/>
    <w:rsid w:val="002804B3"/>
    <w:rsid w:val="0028111D"/>
    <w:rsid w:val="0028269B"/>
    <w:rsid w:val="00282F32"/>
    <w:rsid w:val="002841B5"/>
    <w:rsid w:val="00284757"/>
    <w:rsid w:val="00284C4F"/>
    <w:rsid w:val="0028582F"/>
    <w:rsid w:val="00286E9E"/>
    <w:rsid w:val="00287462"/>
    <w:rsid w:val="00287770"/>
    <w:rsid w:val="002879AB"/>
    <w:rsid w:val="002906B8"/>
    <w:rsid w:val="00291373"/>
    <w:rsid w:val="002917FB"/>
    <w:rsid w:val="00291E14"/>
    <w:rsid w:val="0029300D"/>
    <w:rsid w:val="00293C52"/>
    <w:rsid w:val="00293D74"/>
    <w:rsid w:val="00293F2B"/>
    <w:rsid w:val="002945A1"/>
    <w:rsid w:val="00294FEF"/>
    <w:rsid w:val="00295100"/>
    <w:rsid w:val="002953CB"/>
    <w:rsid w:val="002954A5"/>
    <w:rsid w:val="00295777"/>
    <w:rsid w:val="00295A9E"/>
    <w:rsid w:val="00295E28"/>
    <w:rsid w:val="002964D5"/>
    <w:rsid w:val="002966D6"/>
    <w:rsid w:val="00296756"/>
    <w:rsid w:val="002972DE"/>
    <w:rsid w:val="00297A46"/>
    <w:rsid w:val="00297E36"/>
    <w:rsid w:val="00297FAF"/>
    <w:rsid w:val="002A03D3"/>
    <w:rsid w:val="002A120F"/>
    <w:rsid w:val="002A201E"/>
    <w:rsid w:val="002A28B0"/>
    <w:rsid w:val="002A3E7D"/>
    <w:rsid w:val="002A48A2"/>
    <w:rsid w:val="002A51B3"/>
    <w:rsid w:val="002A5310"/>
    <w:rsid w:val="002A549C"/>
    <w:rsid w:val="002A5616"/>
    <w:rsid w:val="002A5B0E"/>
    <w:rsid w:val="002A64A1"/>
    <w:rsid w:val="002A712D"/>
    <w:rsid w:val="002A7454"/>
    <w:rsid w:val="002A781A"/>
    <w:rsid w:val="002A7A22"/>
    <w:rsid w:val="002B0F4A"/>
    <w:rsid w:val="002B15CE"/>
    <w:rsid w:val="002B1EBE"/>
    <w:rsid w:val="002B1EFD"/>
    <w:rsid w:val="002B228E"/>
    <w:rsid w:val="002B246B"/>
    <w:rsid w:val="002B2505"/>
    <w:rsid w:val="002B2C2A"/>
    <w:rsid w:val="002B2DFF"/>
    <w:rsid w:val="002B2E71"/>
    <w:rsid w:val="002B30BF"/>
    <w:rsid w:val="002B3B0D"/>
    <w:rsid w:val="002B4E0F"/>
    <w:rsid w:val="002B50B1"/>
    <w:rsid w:val="002B5618"/>
    <w:rsid w:val="002B6610"/>
    <w:rsid w:val="002B6CFB"/>
    <w:rsid w:val="002B791A"/>
    <w:rsid w:val="002B7F61"/>
    <w:rsid w:val="002C126A"/>
    <w:rsid w:val="002C1397"/>
    <w:rsid w:val="002C14E1"/>
    <w:rsid w:val="002C1549"/>
    <w:rsid w:val="002C17A8"/>
    <w:rsid w:val="002C17C6"/>
    <w:rsid w:val="002C1E58"/>
    <w:rsid w:val="002C2BBB"/>
    <w:rsid w:val="002C30B6"/>
    <w:rsid w:val="002C3167"/>
    <w:rsid w:val="002C3B56"/>
    <w:rsid w:val="002C3C2D"/>
    <w:rsid w:val="002C3CB2"/>
    <w:rsid w:val="002C4F8F"/>
    <w:rsid w:val="002C50AB"/>
    <w:rsid w:val="002C52DD"/>
    <w:rsid w:val="002C57E0"/>
    <w:rsid w:val="002C6364"/>
    <w:rsid w:val="002C6B39"/>
    <w:rsid w:val="002C74B7"/>
    <w:rsid w:val="002C7777"/>
    <w:rsid w:val="002C77EE"/>
    <w:rsid w:val="002C78BC"/>
    <w:rsid w:val="002C7978"/>
    <w:rsid w:val="002C7E39"/>
    <w:rsid w:val="002D0061"/>
    <w:rsid w:val="002D0A11"/>
    <w:rsid w:val="002D1838"/>
    <w:rsid w:val="002D1893"/>
    <w:rsid w:val="002D1935"/>
    <w:rsid w:val="002D1BA9"/>
    <w:rsid w:val="002D1E1A"/>
    <w:rsid w:val="002D2648"/>
    <w:rsid w:val="002D2BCD"/>
    <w:rsid w:val="002D31CD"/>
    <w:rsid w:val="002D36E7"/>
    <w:rsid w:val="002D3CF2"/>
    <w:rsid w:val="002D42EC"/>
    <w:rsid w:val="002D45EB"/>
    <w:rsid w:val="002D4B35"/>
    <w:rsid w:val="002D524C"/>
    <w:rsid w:val="002D54AF"/>
    <w:rsid w:val="002D5929"/>
    <w:rsid w:val="002D5BFA"/>
    <w:rsid w:val="002D63E8"/>
    <w:rsid w:val="002D6C10"/>
    <w:rsid w:val="002D6CEE"/>
    <w:rsid w:val="002D7E2D"/>
    <w:rsid w:val="002E04A4"/>
    <w:rsid w:val="002E0D77"/>
    <w:rsid w:val="002E11A3"/>
    <w:rsid w:val="002E11DD"/>
    <w:rsid w:val="002E15F7"/>
    <w:rsid w:val="002E194C"/>
    <w:rsid w:val="002E1C98"/>
    <w:rsid w:val="002E24B2"/>
    <w:rsid w:val="002E2958"/>
    <w:rsid w:val="002E2A73"/>
    <w:rsid w:val="002E31D7"/>
    <w:rsid w:val="002E3683"/>
    <w:rsid w:val="002E398F"/>
    <w:rsid w:val="002E3AE5"/>
    <w:rsid w:val="002E40CC"/>
    <w:rsid w:val="002E4A4C"/>
    <w:rsid w:val="002E4AAF"/>
    <w:rsid w:val="002E4DB4"/>
    <w:rsid w:val="002E5636"/>
    <w:rsid w:val="002E5B87"/>
    <w:rsid w:val="002E63C1"/>
    <w:rsid w:val="002E6624"/>
    <w:rsid w:val="002E746B"/>
    <w:rsid w:val="002E7D0B"/>
    <w:rsid w:val="002F0884"/>
    <w:rsid w:val="002F0A70"/>
    <w:rsid w:val="002F17D4"/>
    <w:rsid w:val="002F1B20"/>
    <w:rsid w:val="002F2476"/>
    <w:rsid w:val="002F33E2"/>
    <w:rsid w:val="002F37C3"/>
    <w:rsid w:val="002F46D2"/>
    <w:rsid w:val="002F4AC4"/>
    <w:rsid w:val="002F5FF9"/>
    <w:rsid w:val="002F610A"/>
    <w:rsid w:val="002F6150"/>
    <w:rsid w:val="002F6261"/>
    <w:rsid w:val="002F66D1"/>
    <w:rsid w:val="002F7B5E"/>
    <w:rsid w:val="002F7D0B"/>
    <w:rsid w:val="003002DC"/>
    <w:rsid w:val="00300784"/>
    <w:rsid w:val="003007E3"/>
    <w:rsid w:val="00300D07"/>
    <w:rsid w:val="0030122D"/>
    <w:rsid w:val="00301A44"/>
    <w:rsid w:val="00301F8F"/>
    <w:rsid w:val="003021EE"/>
    <w:rsid w:val="00303351"/>
    <w:rsid w:val="00303929"/>
    <w:rsid w:val="0030434A"/>
    <w:rsid w:val="003045CF"/>
    <w:rsid w:val="003049EC"/>
    <w:rsid w:val="00307730"/>
    <w:rsid w:val="003078F0"/>
    <w:rsid w:val="00307E31"/>
    <w:rsid w:val="00307E6B"/>
    <w:rsid w:val="00310136"/>
    <w:rsid w:val="003103A1"/>
    <w:rsid w:val="00310646"/>
    <w:rsid w:val="00310FA9"/>
    <w:rsid w:val="00311012"/>
    <w:rsid w:val="00311AF3"/>
    <w:rsid w:val="00311E6B"/>
    <w:rsid w:val="003122A0"/>
    <w:rsid w:val="003125FB"/>
    <w:rsid w:val="00312B19"/>
    <w:rsid w:val="00312B1A"/>
    <w:rsid w:val="003135B8"/>
    <w:rsid w:val="003137D2"/>
    <w:rsid w:val="003138A9"/>
    <w:rsid w:val="003147DC"/>
    <w:rsid w:val="003154D4"/>
    <w:rsid w:val="003158FD"/>
    <w:rsid w:val="003164DC"/>
    <w:rsid w:val="00316993"/>
    <w:rsid w:val="00316C75"/>
    <w:rsid w:val="003171FA"/>
    <w:rsid w:val="003172D4"/>
    <w:rsid w:val="003172EB"/>
    <w:rsid w:val="00317E9E"/>
    <w:rsid w:val="003207A8"/>
    <w:rsid w:val="00321280"/>
    <w:rsid w:val="003216E9"/>
    <w:rsid w:val="003218D5"/>
    <w:rsid w:val="00321EA2"/>
    <w:rsid w:val="00321FD2"/>
    <w:rsid w:val="0032312C"/>
    <w:rsid w:val="00323EA5"/>
    <w:rsid w:val="00324C76"/>
    <w:rsid w:val="00325201"/>
    <w:rsid w:val="00325DEB"/>
    <w:rsid w:val="00326CC2"/>
    <w:rsid w:val="00326CE3"/>
    <w:rsid w:val="00326F16"/>
    <w:rsid w:val="00327822"/>
    <w:rsid w:val="00330474"/>
    <w:rsid w:val="0033047D"/>
    <w:rsid w:val="003306BC"/>
    <w:rsid w:val="00330EB4"/>
    <w:rsid w:val="00330FA9"/>
    <w:rsid w:val="0033114B"/>
    <w:rsid w:val="00331792"/>
    <w:rsid w:val="003317CB"/>
    <w:rsid w:val="003317ED"/>
    <w:rsid w:val="00332ADB"/>
    <w:rsid w:val="00332CD5"/>
    <w:rsid w:val="0033360F"/>
    <w:rsid w:val="00333F1A"/>
    <w:rsid w:val="0033413F"/>
    <w:rsid w:val="0033459C"/>
    <w:rsid w:val="00335985"/>
    <w:rsid w:val="00335EBB"/>
    <w:rsid w:val="00335FC7"/>
    <w:rsid w:val="003366D8"/>
    <w:rsid w:val="00336A9A"/>
    <w:rsid w:val="00340206"/>
    <w:rsid w:val="00341D72"/>
    <w:rsid w:val="00342A84"/>
    <w:rsid w:val="00342C3C"/>
    <w:rsid w:val="003430A5"/>
    <w:rsid w:val="0034311B"/>
    <w:rsid w:val="00343B6A"/>
    <w:rsid w:val="00344482"/>
    <w:rsid w:val="00344EB0"/>
    <w:rsid w:val="00344FD4"/>
    <w:rsid w:val="003456C1"/>
    <w:rsid w:val="003458DB"/>
    <w:rsid w:val="0034666A"/>
    <w:rsid w:val="00346713"/>
    <w:rsid w:val="00346761"/>
    <w:rsid w:val="003470C1"/>
    <w:rsid w:val="00347C5E"/>
    <w:rsid w:val="003502E3"/>
    <w:rsid w:val="003518A9"/>
    <w:rsid w:val="00351A82"/>
    <w:rsid w:val="0035200F"/>
    <w:rsid w:val="003520CB"/>
    <w:rsid w:val="0035214F"/>
    <w:rsid w:val="00352C24"/>
    <w:rsid w:val="00352D2D"/>
    <w:rsid w:val="0035350C"/>
    <w:rsid w:val="00353B4D"/>
    <w:rsid w:val="00353EE0"/>
    <w:rsid w:val="0035412C"/>
    <w:rsid w:val="003541BD"/>
    <w:rsid w:val="0035564F"/>
    <w:rsid w:val="003570B1"/>
    <w:rsid w:val="00357925"/>
    <w:rsid w:val="00357954"/>
    <w:rsid w:val="003614EE"/>
    <w:rsid w:val="00361EAB"/>
    <w:rsid w:val="00363108"/>
    <w:rsid w:val="00363253"/>
    <w:rsid w:val="003633B6"/>
    <w:rsid w:val="003635E2"/>
    <w:rsid w:val="00363EEE"/>
    <w:rsid w:val="00363F05"/>
    <w:rsid w:val="00363F40"/>
    <w:rsid w:val="0036417F"/>
    <w:rsid w:val="00364A91"/>
    <w:rsid w:val="00364B14"/>
    <w:rsid w:val="0036548B"/>
    <w:rsid w:val="00365BDE"/>
    <w:rsid w:val="00365D55"/>
    <w:rsid w:val="0036657E"/>
    <w:rsid w:val="0036684F"/>
    <w:rsid w:val="00366ECC"/>
    <w:rsid w:val="00366ED8"/>
    <w:rsid w:val="00367045"/>
    <w:rsid w:val="00370B04"/>
    <w:rsid w:val="00371021"/>
    <w:rsid w:val="0037204E"/>
    <w:rsid w:val="003723F0"/>
    <w:rsid w:val="003724C2"/>
    <w:rsid w:val="003736AE"/>
    <w:rsid w:val="00374598"/>
    <w:rsid w:val="00375139"/>
    <w:rsid w:val="00375D63"/>
    <w:rsid w:val="003763D8"/>
    <w:rsid w:val="003765D3"/>
    <w:rsid w:val="00376CDE"/>
    <w:rsid w:val="0037719A"/>
    <w:rsid w:val="00380B9B"/>
    <w:rsid w:val="003813B4"/>
    <w:rsid w:val="003819A6"/>
    <w:rsid w:val="00381A32"/>
    <w:rsid w:val="003823E0"/>
    <w:rsid w:val="00382A52"/>
    <w:rsid w:val="00383380"/>
    <w:rsid w:val="003837B9"/>
    <w:rsid w:val="0038437E"/>
    <w:rsid w:val="003854C3"/>
    <w:rsid w:val="00386CAA"/>
    <w:rsid w:val="00387A64"/>
    <w:rsid w:val="00387DE5"/>
    <w:rsid w:val="00390284"/>
    <w:rsid w:val="0039035B"/>
    <w:rsid w:val="00390678"/>
    <w:rsid w:val="003915F0"/>
    <w:rsid w:val="00392122"/>
    <w:rsid w:val="00392DD9"/>
    <w:rsid w:val="003934FA"/>
    <w:rsid w:val="003939C1"/>
    <w:rsid w:val="00393A94"/>
    <w:rsid w:val="003948DD"/>
    <w:rsid w:val="00394A79"/>
    <w:rsid w:val="00394B70"/>
    <w:rsid w:val="00395199"/>
    <w:rsid w:val="003952C0"/>
    <w:rsid w:val="00395660"/>
    <w:rsid w:val="00396058"/>
    <w:rsid w:val="003962B3"/>
    <w:rsid w:val="003971AB"/>
    <w:rsid w:val="003978D0"/>
    <w:rsid w:val="00397EB5"/>
    <w:rsid w:val="00397F36"/>
    <w:rsid w:val="0039FDE6"/>
    <w:rsid w:val="003A0437"/>
    <w:rsid w:val="003A0965"/>
    <w:rsid w:val="003A0A7C"/>
    <w:rsid w:val="003A119B"/>
    <w:rsid w:val="003A12BD"/>
    <w:rsid w:val="003A1485"/>
    <w:rsid w:val="003A18CF"/>
    <w:rsid w:val="003A1A55"/>
    <w:rsid w:val="003A1AEB"/>
    <w:rsid w:val="003A1EC3"/>
    <w:rsid w:val="003A3795"/>
    <w:rsid w:val="003A3A0F"/>
    <w:rsid w:val="003A457C"/>
    <w:rsid w:val="003A4C8F"/>
    <w:rsid w:val="003A501D"/>
    <w:rsid w:val="003A527B"/>
    <w:rsid w:val="003A52AF"/>
    <w:rsid w:val="003A5985"/>
    <w:rsid w:val="003A621D"/>
    <w:rsid w:val="003A6367"/>
    <w:rsid w:val="003A66C0"/>
    <w:rsid w:val="003A761A"/>
    <w:rsid w:val="003A77CC"/>
    <w:rsid w:val="003A7DF3"/>
    <w:rsid w:val="003B1681"/>
    <w:rsid w:val="003B1B8E"/>
    <w:rsid w:val="003B20D9"/>
    <w:rsid w:val="003B2299"/>
    <w:rsid w:val="003B2B3F"/>
    <w:rsid w:val="003B435B"/>
    <w:rsid w:val="003B46DE"/>
    <w:rsid w:val="003B53F6"/>
    <w:rsid w:val="003B56C7"/>
    <w:rsid w:val="003B5759"/>
    <w:rsid w:val="003B6081"/>
    <w:rsid w:val="003B6280"/>
    <w:rsid w:val="003B644C"/>
    <w:rsid w:val="003B6F7E"/>
    <w:rsid w:val="003B7142"/>
    <w:rsid w:val="003B7147"/>
    <w:rsid w:val="003B799F"/>
    <w:rsid w:val="003B7E97"/>
    <w:rsid w:val="003C001A"/>
    <w:rsid w:val="003C0456"/>
    <w:rsid w:val="003C17D6"/>
    <w:rsid w:val="003C18B2"/>
    <w:rsid w:val="003C19D4"/>
    <w:rsid w:val="003C1AF5"/>
    <w:rsid w:val="003C2644"/>
    <w:rsid w:val="003C29CC"/>
    <w:rsid w:val="003C2FB9"/>
    <w:rsid w:val="003C39B8"/>
    <w:rsid w:val="003C4648"/>
    <w:rsid w:val="003C5554"/>
    <w:rsid w:val="003C5585"/>
    <w:rsid w:val="003C5824"/>
    <w:rsid w:val="003C5C49"/>
    <w:rsid w:val="003C629B"/>
    <w:rsid w:val="003C6F7F"/>
    <w:rsid w:val="003D00F5"/>
    <w:rsid w:val="003D0C47"/>
    <w:rsid w:val="003D14DB"/>
    <w:rsid w:val="003D251E"/>
    <w:rsid w:val="003D2BD8"/>
    <w:rsid w:val="003D3566"/>
    <w:rsid w:val="003D4150"/>
    <w:rsid w:val="003D41E9"/>
    <w:rsid w:val="003D4651"/>
    <w:rsid w:val="003D4665"/>
    <w:rsid w:val="003D6939"/>
    <w:rsid w:val="003D6E8E"/>
    <w:rsid w:val="003D74CE"/>
    <w:rsid w:val="003E0958"/>
    <w:rsid w:val="003E0A6F"/>
    <w:rsid w:val="003E1021"/>
    <w:rsid w:val="003E10F0"/>
    <w:rsid w:val="003E124F"/>
    <w:rsid w:val="003E17F8"/>
    <w:rsid w:val="003E18EE"/>
    <w:rsid w:val="003E1AFC"/>
    <w:rsid w:val="003E2A30"/>
    <w:rsid w:val="003E3184"/>
    <w:rsid w:val="003E3258"/>
    <w:rsid w:val="003E3762"/>
    <w:rsid w:val="003E37A7"/>
    <w:rsid w:val="003E4598"/>
    <w:rsid w:val="003E4B4C"/>
    <w:rsid w:val="003E4F52"/>
    <w:rsid w:val="003E52DD"/>
    <w:rsid w:val="003E57D7"/>
    <w:rsid w:val="003E5C9A"/>
    <w:rsid w:val="003E69ED"/>
    <w:rsid w:val="003E6B09"/>
    <w:rsid w:val="003E6C97"/>
    <w:rsid w:val="003E6EA7"/>
    <w:rsid w:val="003E6FC5"/>
    <w:rsid w:val="003E740B"/>
    <w:rsid w:val="003E7559"/>
    <w:rsid w:val="003E7700"/>
    <w:rsid w:val="003E7790"/>
    <w:rsid w:val="003F0407"/>
    <w:rsid w:val="003F08A6"/>
    <w:rsid w:val="003F1066"/>
    <w:rsid w:val="003F10D9"/>
    <w:rsid w:val="003F28E1"/>
    <w:rsid w:val="003F2CF7"/>
    <w:rsid w:val="003F2E71"/>
    <w:rsid w:val="003F392F"/>
    <w:rsid w:val="003F3AC0"/>
    <w:rsid w:val="003F5A7B"/>
    <w:rsid w:val="003F607A"/>
    <w:rsid w:val="003F6288"/>
    <w:rsid w:val="003F73AC"/>
    <w:rsid w:val="003F76A2"/>
    <w:rsid w:val="003F78A9"/>
    <w:rsid w:val="00400176"/>
    <w:rsid w:val="0040045D"/>
    <w:rsid w:val="004009A3"/>
    <w:rsid w:val="00400E69"/>
    <w:rsid w:val="0040150A"/>
    <w:rsid w:val="00402392"/>
    <w:rsid w:val="00402544"/>
    <w:rsid w:val="004043E9"/>
    <w:rsid w:val="00404FC1"/>
    <w:rsid w:val="004052B1"/>
    <w:rsid w:val="004055F7"/>
    <w:rsid w:val="00406B0D"/>
    <w:rsid w:val="00406B74"/>
    <w:rsid w:val="00407B53"/>
    <w:rsid w:val="004111C4"/>
    <w:rsid w:val="0041151C"/>
    <w:rsid w:val="00411B19"/>
    <w:rsid w:val="004127F2"/>
    <w:rsid w:val="0041285C"/>
    <w:rsid w:val="00412B17"/>
    <w:rsid w:val="00413103"/>
    <w:rsid w:val="00413B66"/>
    <w:rsid w:val="004141DE"/>
    <w:rsid w:val="00414A53"/>
    <w:rsid w:val="0041530A"/>
    <w:rsid w:val="004154D3"/>
    <w:rsid w:val="00415800"/>
    <w:rsid w:val="00415A12"/>
    <w:rsid w:val="00415BE0"/>
    <w:rsid w:val="00415DD4"/>
    <w:rsid w:val="0041612B"/>
    <w:rsid w:val="00416532"/>
    <w:rsid w:val="00416E19"/>
    <w:rsid w:val="004170B2"/>
    <w:rsid w:val="00417868"/>
    <w:rsid w:val="00417A23"/>
    <w:rsid w:val="00417B42"/>
    <w:rsid w:val="00417E4B"/>
    <w:rsid w:val="004201CE"/>
    <w:rsid w:val="00421298"/>
    <w:rsid w:val="0042156B"/>
    <w:rsid w:val="0042187D"/>
    <w:rsid w:val="004225EB"/>
    <w:rsid w:val="00422656"/>
    <w:rsid w:val="004237D5"/>
    <w:rsid w:val="00423BCD"/>
    <w:rsid w:val="00424184"/>
    <w:rsid w:val="00424430"/>
    <w:rsid w:val="00424645"/>
    <w:rsid w:val="00424D9D"/>
    <w:rsid w:val="00425650"/>
    <w:rsid w:val="00425A90"/>
    <w:rsid w:val="004263E7"/>
    <w:rsid w:val="00426DF0"/>
    <w:rsid w:val="00426E04"/>
    <w:rsid w:val="00426E92"/>
    <w:rsid w:val="00427278"/>
    <w:rsid w:val="00427682"/>
    <w:rsid w:val="00430F40"/>
    <w:rsid w:val="00431BB6"/>
    <w:rsid w:val="004327DC"/>
    <w:rsid w:val="0043353C"/>
    <w:rsid w:val="0043354D"/>
    <w:rsid w:val="00433D91"/>
    <w:rsid w:val="004342D6"/>
    <w:rsid w:val="0043461E"/>
    <w:rsid w:val="004347D0"/>
    <w:rsid w:val="00434C2A"/>
    <w:rsid w:val="00434C77"/>
    <w:rsid w:val="00434F88"/>
    <w:rsid w:val="004357DA"/>
    <w:rsid w:val="00435EDE"/>
    <w:rsid w:val="00435F6A"/>
    <w:rsid w:val="00435F9D"/>
    <w:rsid w:val="004360BF"/>
    <w:rsid w:val="00436D7F"/>
    <w:rsid w:val="00437043"/>
    <w:rsid w:val="00437621"/>
    <w:rsid w:val="00437DEF"/>
    <w:rsid w:val="00440EF1"/>
    <w:rsid w:val="00441558"/>
    <w:rsid w:val="00441B6C"/>
    <w:rsid w:val="00441F16"/>
    <w:rsid w:val="00442165"/>
    <w:rsid w:val="004427BE"/>
    <w:rsid w:val="00442CB4"/>
    <w:rsid w:val="00442F20"/>
    <w:rsid w:val="004434FF"/>
    <w:rsid w:val="00443593"/>
    <w:rsid w:val="004436AC"/>
    <w:rsid w:val="00443B46"/>
    <w:rsid w:val="00443C8D"/>
    <w:rsid w:val="00444467"/>
    <w:rsid w:val="00444560"/>
    <w:rsid w:val="00444FC0"/>
    <w:rsid w:val="004452F8"/>
    <w:rsid w:val="0044694F"/>
    <w:rsid w:val="00446A52"/>
    <w:rsid w:val="004470A9"/>
    <w:rsid w:val="004472F3"/>
    <w:rsid w:val="00450041"/>
    <w:rsid w:val="004501F3"/>
    <w:rsid w:val="004502AD"/>
    <w:rsid w:val="0045055A"/>
    <w:rsid w:val="004506A8"/>
    <w:rsid w:val="00451491"/>
    <w:rsid w:val="00452624"/>
    <w:rsid w:val="00452E63"/>
    <w:rsid w:val="0045329B"/>
    <w:rsid w:val="0045376E"/>
    <w:rsid w:val="00453F1B"/>
    <w:rsid w:val="0045483A"/>
    <w:rsid w:val="00454F2E"/>
    <w:rsid w:val="00455086"/>
    <w:rsid w:val="00456AE6"/>
    <w:rsid w:val="004570F1"/>
    <w:rsid w:val="00457650"/>
    <w:rsid w:val="0045798A"/>
    <w:rsid w:val="00457B3C"/>
    <w:rsid w:val="00460191"/>
    <w:rsid w:val="0046023D"/>
    <w:rsid w:val="00461548"/>
    <w:rsid w:val="004618F4"/>
    <w:rsid w:val="00462220"/>
    <w:rsid w:val="00462C37"/>
    <w:rsid w:val="00463298"/>
    <w:rsid w:val="004635B0"/>
    <w:rsid w:val="004638FC"/>
    <w:rsid w:val="0046403B"/>
    <w:rsid w:val="0046419F"/>
    <w:rsid w:val="004642B5"/>
    <w:rsid w:val="00464588"/>
    <w:rsid w:val="0046469A"/>
    <w:rsid w:val="00465028"/>
    <w:rsid w:val="0046527B"/>
    <w:rsid w:val="004652F8"/>
    <w:rsid w:val="00465C39"/>
    <w:rsid w:val="00466C1B"/>
    <w:rsid w:val="0046763B"/>
    <w:rsid w:val="004677BE"/>
    <w:rsid w:val="00470318"/>
    <w:rsid w:val="004706C0"/>
    <w:rsid w:val="004716CF"/>
    <w:rsid w:val="00471844"/>
    <w:rsid w:val="004727C9"/>
    <w:rsid w:val="004749F3"/>
    <w:rsid w:val="00475A62"/>
    <w:rsid w:val="00475EEC"/>
    <w:rsid w:val="00476C16"/>
    <w:rsid w:val="0047795D"/>
    <w:rsid w:val="0048032C"/>
    <w:rsid w:val="00480599"/>
    <w:rsid w:val="004810E4"/>
    <w:rsid w:val="00481400"/>
    <w:rsid w:val="0048175D"/>
    <w:rsid w:val="004818A1"/>
    <w:rsid w:val="00481A9A"/>
    <w:rsid w:val="004821C2"/>
    <w:rsid w:val="00482DF1"/>
    <w:rsid w:val="004846C4"/>
    <w:rsid w:val="00484A6C"/>
    <w:rsid w:val="004852C9"/>
    <w:rsid w:val="00485330"/>
    <w:rsid w:val="004859E4"/>
    <w:rsid w:val="004864BB"/>
    <w:rsid w:val="00486CAD"/>
    <w:rsid w:val="00486FE3"/>
    <w:rsid w:val="00487295"/>
    <w:rsid w:val="004876B1"/>
    <w:rsid w:val="00487742"/>
    <w:rsid w:val="00487E9C"/>
    <w:rsid w:val="0049013A"/>
    <w:rsid w:val="00490AC5"/>
    <w:rsid w:val="004913B1"/>
    <w:rsid w:val="00491BD4"/>
    <w:rsid w:val="00492C4E"/>
    <w:rsid w:val="0049454E"/>
    <w:rsid w:val="00494608"/>
    <w:rsid w:val="00495A39"/>
    <w:rsid w:val="0049604F"/>
    <w:rsid w:val="004966B3"/>
    <w:rsid w:val="00496A61"/>
    <w:rsid w:val="00496B9B"/>
    <w:rsid w:val="0049716D"/>
    <w:rsid w:val="00497857"/>
    <w:rsid w:val="004A05C0"/>
    <w:rsid w:val="004A1009"/>
    <w:rsid w:val="004A1093"/>
    <w:rsid w:val="004A1D7C"/>
    <w:rsid w:val="004A2131"/>
    <w:rsid w:val="004A2659"/>
    <w:rsid w:val="004A28EE"/>
    <w:rsid w:val="004A3646"/>
    <w:rsid w:val="004A40DA"/>
    <w:rsid w:val="004A5713"/>
    <w:rsid w:val="004A5961"/>
    <w:rsid w:val="004A6AD5"/>
    <w:rsid w:val="004A71E4"/>
    <w:rsid w:val="004A7502"/>
    <w:rsid w:val="004A77AF"/>
    <w:rsid w:val="004A7896"/>
    <w:rsid w:val="004B078B"/>
    <w:rsid w:val="004B1465"/>
    <w:rsid w:val="004B16CF"/>
    <w:rsid w:val="004B1D6D"/>
    <w:rsid w:val="004B1EF7"/>
    <w:rsid w:val="004B2013"/>
    <w:rsid w:val="004B22DB"/>
    <w:rsid w:val="004B290D"/>
    <w:rsid w:val="004B2A82"/>
    <w:rsid w:val="004B2F14"/>
    <w:rsid w:val="004B3342"/>
    <w:rsid w:val="004B3412"/>
    <w:rsid w:val="004B3682"/>
    <w:rsid w:val="004B3949"/>
    <w:rsid w:val="004B40A4"/>
    <w:rsid w:val="004B4440"/>
    <w:rsid w:val="004B46E4"/>
    <w:rsid w:val="004B4980"/>
    <w:rsid w:val="004B49A3"/>
    <w:rsid w:val="004B4CA7"/>
    <w:rsid w:val="004B4D39"/>
    <w:rsid w:val="004B5845"/>
    <w:rsid w:val="004B5AAC"/>
    <w:rsid w:val="004B66E5"/>
    <w:rsid w:val="004B6FBF"/>
    <w:rsid w:val="004B71FC"/>
    <w:rsid w:val="004B737A"/>
    <w:rsid w:val="004B7492"/>
    <w:rsid w:val="004B7547"/>
    <w:rsid w:val="004B7578"/>
    <w:rsid w:val="004C00B2"/>
    <w:rsid w:val="004C0376"/>
    <w:rsid w:val="004C0DCB"/>
    <w:rsid w:val="004C16A8"/>
    <w:rsid w:val="004C2553"/>
    <w:rsid w:val="004C2655"/>
    <w:rsid w:val="004C271A"/>
    <w:rsid w:val="004C2756"/>
    <w:rsid w:val="004C29F3"/>
    <w:rsid w:val="004C2A22"/>
    <w:rsid w:val="004C4E27"/>
    <w:rsid w:val="004C54A9"/>
    <w:rsid w:val="004C5CB2"/>
    <w:rsid w:val="004C672E"/>
    <w:rsid w:val="004C6DCB"/>
    <w:rsid w:val="004C725A"/>
    <w:rsid w:val="004D05B6"/>
    <w:rsid w:val="004D06A4"/>
    <w:rsid w:val="004D0969"/>
    <w:rsid w:val="004D0CCE"/>
    <w:rsid w:val="004D14AA"/>
    <w:rsid w:val="004D16F4"/>
    <w:rsid w:val="004D1C54"/>
    <w:rsid w:val="004D1FE0"/>
    <w:rsid w:val="004D21E1"/>
    <w:rsid w:val="004D2F12"/>
    <w:rsid w:val="004D38C3"/>
    <w:rsid w:val="004D3F60"/>
    <w:rsid w:val="004D430E"/>
    <w:rsid w:val="004D447A"/>
    <w:rsid w:val="004D457C"/>
    <w:rsid w:val="004D5140"/>
    <w:rsid w:val="004D5FA2"/>
    <w:rsid w:val="004D622F"/>
    <w:rsid w:val="004D682B"/>
    <w:rsid w:val="004D75E2"/>
    <w:rsid w:val="004D7628"/>
    <w:rsid w:val="004D7631"/>
    <w:rsid w:val="004D783A"/>
    <w:rsid w:val="004D7D95"/>
    <w:rsid w:val="004E0682"/>
    <w:rsid w:val="004E0C0C"/>
    <w:rsid w:val="004E175A"/>
    <w:rsid w:val="004E1C4D"/>
    <w:rsid w:val="004E2022"/>
    <w:rsid w:val="004E2B57"/>
    <w:rsid w:val="004E3244"/>
    <w:rsid w:val="004E32F4"/>
    <w:rsid w:val="004E38C6"/>
    <w:rsid w:val="004E3CAA"/>
    <w:rsid w:val="004E3E2B"/>
    <w:rsid w:val="004E50CA"/>
    <w:rsid w:val="004E5B5E"/>
    <w:rsid w:val="004E7144"/>
    <w:rsid w:val="004E7475"/>
    <w:rsid w:val="004E7614"/>
    <w:rsid w:val="004E7888"/>
    <w:rsid w:val="004E7D05"/>
    <w:rsid w:val="004ED4A2"/>
    <w:rsid w:val="004F006D"/>
    <w:rsid w:val="004F085B"/>
    <w:rsid w:val="004F19BD"/>
    <w:rsid w:val="004F2130"/>
    <w:rsid w:val="004F2271"/>
    <w:rsid w:val="004F2F0D"/>
    <w:rsid w:val="004F3129"/>
    <w:rsid w:val="004F3465"/>
    <w:rsid w:val="004F353D"/>
    <w:rsid w:val="004F37BE"/>
    <w:rsid w:val="004F3BBB"/>
    <w:rsid w:val="004F3C51"/>
    <w:rsid w:val="004F49B8"/>
    <w:rsid w:val="004F53FA"/>
    <w:rsid w:val="004F5567"/>
    <w:rsid w:val="004F6144"/>
    <w:rsid w:val="004F696B"/>
    <w:rsid w:val="004F6CAF"/>
    <w:rsid w:val="004F750B"/>
    <w:rsid w:val="004F79E6"/>
    <w:rsid w:val="004F7A9B"/>
    <w:rsid w:val="004F7FF6"/>
    <w:rsid w:val="00500504"/>
    <w:rsid w:val="00500A2A"/>
    <w:rsid w:val="0050125F"/>
    <w:rsid w:val="00501CFF"/>
    <w:rsid w:val="00502078"/>
    <w:rsid w:val="00502D62"/>
    <w:rsid w:val="005036DF"/>
    <w:rsid w:val="00503E56"/>
    <w:rsid w:val="00504145"/>
    <w:rsid w:val="005049F2"/>
    <w:rsid w:val="0050526E"/>
    <w:rsid w:val="005052EB"/>
    <w:rsid w:val="0050541E"/>
    <w:rsid w:val="005055DF"/>
    <w:rsid w:val="0050574D"/>
    <w:rsid w:val="00505AC4"/>
    <w:rsid w:val="00505D73"/>
    <w:rsid w:val="00505F6C"/>
    <w:rsid w:val="00506370"/>
    <w:rsid w:val="0050659A"/>
    <w:rsid w:val="005067E6"/>
    <w:rsid w:val="0050681E"/>
    <w:rsid w:val="00507E43"/>
    <w:rsid w:val="00507F13"/>
    <w:rsid w:val="00510046"/>
    <w:rsid w:val="005100C4"/>
    <w:rsid w:val="0051062F"/>
    <w:rsid w:val="00510775"/>
    <w:rsid w:val="00510C1A"/>
    <w:rsid w:val="00510C5D"/>
    <w:rsid w:val="00510FED"/>
    <w:rsid w:val="00511358"/>
    <w:rsid w:val="005120E0"/>
    <w:rsid w:val="00512931"/>
    <w:rsid w:val="00512C13"/>
    <w:rsid w:val="005132C7"/>
    <w:rsid w:val="005132C8"/>
    <w:rsid w:val="0051522B"/>
    <w:rsid w:val="00515655"/>
    <w:rsid w:val="00515743"/>
    <w:rsid w:val="00515C12"/>
    <w:rsid w:val="005161BA"/>
    <w:rsid w:val="00517086"/>
    <w:rsid w:val="00517309"/>
    <w:rsid w:val="005174ED"/>
    <w:rsid w:val="00517888"/>
    <w:rsid w:val="00517951"/>
    <w:rsid w:val="00517C0A"/>
    <w:rsid w:val="00520364"/>
    <w:rsid w:val="00520F2A"/>
    <w:rsid w:val="005213D7"/>
    <w:rsid w:val="00521F49"/>
    <w:rsid w:val="005220A6"/>
    <w:rsid w:val="005224EE"/>
    <w:rsid w:val="00522540"/>
    <w:rsid w:val="00522590"/>
    <w:rsid w:val="005233FD"/>
    <w:rsid w:val="00523444"/>
    <w:rsid w:val="0052377E"/>
    <w:rsid w:val="005238E0"/>
    <w:rsid w:val="0052472B"/>
    <w:rsid w:val="00524961"/>
    <w:rsid w:val="00524B38"/>
    <w:rsid w:val="00524D20"/>
    <w:rsid w:val="00525773"/>
    <w:rsid w:val="00526415"/>
    <w:rsid w:val="0052682D"/>
    <w:rsid w:val="005269B9"/>
    <w:rsid w:val="005270F6"/>
    <w:rsid w:val="0052793B"/>
    <w:rsid w:val="00527CAC"/>
    <w:rsid w:val="005300EA"/>
    <w:rsid w:val="005309F9"/>
    <w:rsid w:val="00530AFF"/>
    <w:rsid w:val="00531179"/>
    <w:rsid w:val="0053173D"/>
    <w:rsid w:val="005318ED"/>
    <w:rsid w:val="005320FB"/>
    <w:rsid w:val="00533F13"/>
    <w:rsid w:val="0053473B"/>
    <w:rsid w:val="00534E50"/>
    <w:rsid w:val="00535BC8"/>
    <w:rsid w:val="00535BCE"/>
    <w:rsid w:val="00535BFA"/>
    <w:rsid w:val="00537155"/>
    <w:rsid w:val="00537D3A"/>
    <w:rsid w:val="00537E1F"/>
    <w:rsid w:val="00540C4E"/>
    <w:rsid w:val="00540C9C"/>
    <w:rsid w:val="005411AE"/>
    <w:rsid w:val="005420A3"/>
    <w:rsid w:val="005420EE"/>
    <w:rsid w:val="00542537"/>
    <w:rsid w:val="00542F30"/>
    <w:rsid w:val="005435FA"/>
    <w:rsid w:val="00544485"/>
    <w:rsid w:val="005446D6"/>
    <w:rsid w:val="00544781"/>
    <w:rsid w:val="005448C5"/>
    <w:rsid w:val="005449CD"/>
    <w:rsid w:val="00545A5F"/>
    <w:rsid w:val="00547917"/>
    <w:rsid w:val="00547EFE"/>
    <w:rsid w:val="00547F0E"/>
    <w:rsid w:val="0055199C"/>
    <w:rsid w:val="00551A78"/>
    <w:rsid w:val="00551E8C"/>
    <w:rsid w:val="005521EF"/>
    <w:rsid w:val="00553B38"/>
    <w:rsid w:val="0055477F"/>
    <w:rsid w:val="00555561"/>
    <w:rsid w:val="005565C4"/>
    <w:rsid w:val="00556EB6"/>
    <w:rsid w:val="0055731D"/>
    <w:rsid w:val="00557691"/>
    <w:rsid w:val="005609B1"/>
    <w:rsid w:val="00561B56"/>
    <w:rsid w:val="00561C89"/>
    <w:rsid w:val="0056272E"/>
    <w:rsid w:val="00562B20"/>
    <w:rsid w:val="00562D60"/>
    <w:rsid w:val="00562F5E"/>
    <w:rsid w:val="0056317E"/>
    <w:rsid w:val="005645B5"/>
    <w:rsid w:val="00564959"/>
    <w:rsid w:val="00564DB5"/>
    <w:rsid w:val="005650D2"/>
    <w:rsid w:val="00565347"/>
    <w:rsid w:val="00565913"/>
    <w:rsid w:val="00565F2F"/>
    <w:rsid w:val="0056675A"/>
    <w:rsid w:val="0056707F"/>
    <w:rsid w:val="005674C0"/>
    <w:rsid w:val="00567C68"/>
    <w:rsid w:val="00570541"/>
    <w:rsid w:val="005705B6"/>
    <w:rsid w:val="00570824"/>
    <w:rsid w:val="00570A1F"/>
    <w:rsid w:val="00570AAB"/>
    <w:rsid w:val="00571614"/>
    <w:rsid w:val="0057175C"/>
    <w:rsid w:val="005725D3"/>
    <w:rsid w:val="00572C5A"/>
    <w:rsid w:val="00573B6A"/>
    <w:rsid w:val="00573D23"/>
    <w:rsid w:val="00573D58"/>
    <w:rsid w:val="00574100"/>
    <w:rsid w:val="00574118"/>
    <w:rsid w:val="0057467C"/>
    <w:rsid w:val="005757BF"/>
    <w:rsid w:val="00575AF8"/>
    <w:rsid w:val="00576BF0"/>
    <w:rsid w:val="00577370"/>
    <w:rsid w:val="00577378"/>
    <w:rsid w:val="0057767D"/>
    <w:rsid w:val="0058024D"/>
    <w:rsid w:val="00580B02"/>
    <w:rsid w:val="00580C88"/>
    <w:rsid w:val="00580CE7"/>
    <w:rsid w:val="0058149C"/>
    <w:rsid w:val="00581DD1"/>
    <w:rsid w:val="00582040"/>
    <w:rsid w:val="00582466"/>
    <w:rsid w:val="0058299C"/>
    <w:rsid w:val="0058307D"/>
    <w:rsid w:val="005835B8"/>
    <w:rsid w:val="00583A96"/>
    <w:rsid w:val="0058406E"/>
    <w:rsid w:val="00584A3E"/>
    <w:rsid w:val="00584C03"/>
    <w:rsid w:val="0058529A"/>
    <w:rsid w:val="00585A93"/>
    <w:rsid w:val="00585C65"/>
    <w:rsid w:val="00585C9F"/>
    <w:rsid w:val="005872EA"/>
    <w:rsid w:val="00587352"/>
    <w:rsid w:val="00587DC0"/>
    <w:rsid w:val="00590027"/>
    <w:rsid w:val="00590276"/>
    <w:rsid w:val="00590A49"/>
    <w:rsid w:val="00590E7B"/>
    <w:rsid w:val="00591182"/>
    <w:rsid w:val="00591680"/>
    <w:rsid w:val="00591C35"/>
    <w:rsid w:val="00592318"/>
    <w:rsid w:val="005926AD"/>
    <w:rsid w:val="005936A9"/>
    <w:rsid w:val="00593744"/>
    <w:rsid w:val="00593B5D"/>
    <w:rsid w:val="00594058"/>
    <w:rsid w:val="00594066"/>
    <w:rsid w:val="0059418E"/>
    <w:rsid w:val="005944CF"/>
    <w:rsid w:val="0059558B"/>
    <w:rsid w:val="00595679"/>
    <w:rsid w:val="005958DB"/>
    <w:rsid w:val="00595C7C"/>
    <w:rsid w:val="0059682D"/>
    <w:rsid w:val="00596844"/>
    <w:rsid w:val="0059701D"/>
    <w:rsid w:val="00597987"/>
    <w:rsid w:val="005A099D"/>
    <w:rsid w:val="005A0A03"/>
    <w:rsid w:val="005A1B04"/>
    <w:rsid w:val="005A2290"/>
    <w:rsid w:val="005A2430"/>
    <w:rsid w:val="005A267E"/>
    <w:rsid w:val="005A2960"/>
    <w:rsid w:val="005A2D63"/>
    <w:rsid w:val="005A2ED9"/>
    <w:rsid w:val="005A3938"/>
    <w:rsid w:val="005A3CC1"/>
    <w:rsid w:val="005A52FC"/>
    <w:rsid w:val="005A5381"/>
    <w:rsid w:val="005A539F"/>
    <w:rsid w:val="005A5673"/>
    <w:rsid w:val="005A620F"/>
    <w:rsid w:val="005A70F3"/>
    <w:rsid w:val="005A7331"/>
    <w:rsid w:val="005A78CD"/>
    <w:rsid w:val="005B05AE"/>
    <w:rsid w:val="005B0E26"/>
    <w:rsid w:val="005B0FA9"/>
    <w:rsid w:val="005B1452"/>
    <w:rsid w:val="005B1BEA"/>
    <w:rsid w:val="005B1C33"/>
    <w:rsid w:val="005B1E97"/>
    <w:rsid w:val="005B1FE1"/>
    <w:rsid w:val="005B22C8"/>
    <w:rsid w:val="005B250B"/>
    <w:rsid w:val="005B31FD"/>
    <w:rsid w:val="005B3698"/>
    <w:rsid w:val="005B3A63"/>
    <w:rsid w:val="005B3B9D"/>
    <w:rsid w:val="005B4638"/>
    <w:rsid w:val="005B4A04"/>
    <w:rsid w:val="005B4CCE"/>
    <w:rsid w:val="005B4D9E"/>
    <w:rsid w:val="005B4E82"/>
    <w:rsid w:val="005B50CC"/>
    <w:rsid w:val="005B5DCC"/>
    <w:rsid w:val="005B5E3F"/>
    <w:rsid w:val="005B5EAC"/>
    <w:rsid w:val="005B61E6"/>
    <w:rsid w:val="005B6A20"/>
    <w:rsid w:val="005C04D8"/>
    <w:rsid w:val="005C19F4"/>
    <w:rsid w:val="005C1A3E"/>
    <w:rsid w:val="005C1A9B"/>
    <w:rsid w:val="005C2550"/>
    <w:rsid w:val="005C2DE6"/>
    <w:rsid w:val="005C3767"/>
    <w:rsid w:val="005C456E"/>
    <w:rsid w:val="005C49AB"/>
    <w:rsid w:val="005C4D3D"/>
    <w:rsid w:val="005C5206"/>
    <w:rsid w:val="005C5232"/>
    <w:rsid w:val="005C52B9"/>
    <w:rsid w:val="005C5E89"/>
    <w:rsid w:val="005C6590"/>
    <w:rsid w:val="005C684B"/>
    <w:rsid w:val="005C6ACC"/>
    <w:rsid w:val="005C7379"/>
    <w:rsid w:val="005D0055"/>
    <w:rsid w:val="005D02F2"/>
    <w:rsid w:val="005D084D"/>
    <w:rsid w:val="005D129C"/>
    <w:rsid w:val="005D165C"/>
    <w:rsid w:val="005D1B42"/>
    <w:rsid w:val="005D25F8"/>
    <w:rsid w:val="005D2F56"/>
    <w:rsid w:val="005D4DA7"/>
    <w:rsid w:val="005D62AF"/>
    <w:rsid w:val="005D69A3"/>
    <w:rsid w:val="005D79C6"/>
    <w:rsid w:val="005E03EB"/>
    <w:rsid w:val="005E0AEC"/>
    <w:rsid w:val="005E0D77"/>
    <w:rsid w:val="005E0DEC"/>
    <w:rsid w:val="005E13A0"/>
    <w:rsid w:val="005E1BE7"/>
    <w:rsid w:val="005E1FDA"/>
    <w:rsid w:val="005E2047"/>
    <w:rsid w:val="005E2DA2"/>
    <w:rsid w:val="005E2FF7"/>
    <w:rsid w:val="005E3989"/>
    <w:rsid w:val="005E3A4F"/>
    <w:rsid w:val="005E3A8E"/>
    <w:rsid w:val="005E40E8"/>
    <w:rsid w:val="005E4244"/>
    <w:rsid w:val="005E467B"/>
    <w:rsid w:val="005E47CD"/>
    <w:rsid w:val="005E5304"/>
    <w:rsid w:val="005E5704"/>
    <w:rsid w:val="005E5AD6"/>
    <w:rsid w:val="005E6ACD"/>
    <w:rsid w:val="005E6DCE"/>
    <w:rsid w:val="005E703A"/>
    <w:rsid w:val="005EAC0E"/>
    <w:rsid w:val="005F005A"/>
    <w:rsid w:val="005F0470"/>
    <w:rsid w:val="005F0516"/>
    <w:rsid w:val="005F14FE"/>
    <w:rsid w:val="005F16C2"/>
    <w:rsid w:val="005F25A9"/>
    <w:rsid w:val="005F3124"/>
    <w:rsid w:val="005F3EBB"/>
    <w:rsid w:val="005F426E"/>
    <w:rsid w:val="005F4A00"/>
    <w:rsid w:val="005F51F6"/>
    <w:rsid w:val="005F5896"/>
    <w:rsid w:val="005F5944"/>
    <w:rsid w:val="005F5956"/>
    <w:rsid w:val="005F5F61"/>
    <w:rsid w:val="005F6172"/>
    <w:rsid w:val="005F6320"/>
    <w:rsid w:val="005F67F2"/>
    <w:rsid w:val="005F6E83"/>
    <w:rsid w:val="005F6ED5"/>
    <w:rsid w:val="005F7073"/>
    <w:rsid w:val="005F74F4"/>
    <w:rsid w:val="005F7FF6"/>
    <w:rsid w:val="006004F8"/>
    <w:rsid w:val="0060051E"/>
    <w:rsid w:val="00601319"/>
    <w:rsid w:val="00601C3A"/>
    <w:rsid w:val="00602AD5"/>
    <w:rsid w:val="0060342A"/>
    <w:rsid w:val="006039D2"/>
    <w:rsid w:val="00603EF9"/>
    <w:rsid w:val="006040B0"/>
    <w:rsid w:val="006041ED"/>
    <w:rsid w:val="00604226"/>
    <w:rsid w:val="00604479"/>
    <w:rsid w:val="00604992"/>
    <w:rsid w:val="00604DE9"/>
    <w:rsid w:val="006051E5"/>
    <w:rsid w:val="00605BD1"/>
    <w:rsid w:val="00606280"/>
    <w:rsid w:val="0060652C"/>
    <w:rsid w:val="006065C9"/>
    <w:rsid w:val="00606C1E"/>
    <w:rsid w:val="006070CC"/>
    <w:rsid w:val="00607953"/>
    <w:rsid w:val="00607990"/>
    <w:rsid w:val="006103BE"/>
    <w:rsid w:val="00610A7E"/>
    <w:rsid w:val="00610F98"/>
    <w:rsid w:val="0061161C"/>
    <w:rsid w:val="00611B85"/>
    <w:rsid w:val="00612693"/>
    <w:rsid w:val="006129B9"/>
    <w:rsid w:val="006134E5"/>
    <w:rsid w:val="00613A04"/>
    <w:rsid w:val="00613F8B"/>
    <w:rsid w:val="006141E7"/>
    <w:rsid w:val="006141EC"/>
    <w:rsid w:val="006148BF"/>
    <w:rsid w:val="0061515B"/>
    <w:rsid w:val="00615383"/>
    <w:rsid w:val="00615978"/>
    <w:rsid w:val="00615B3B"/>
    <w:rsid w:val="006161BE"/>
    <w:rsid w:val="0061630F"/>
    <w:rsid w:val="00616932"/>
    <w:rsid w:val="00616D39"/>
    <w:rsid w:val="00617856"/>
    <w:rsid w:val="00617B18"/>
    <w:rsid w:val="00620022"/>
    <w:rsid w:val="0062054E"/>
    <w:rsid w:val="00621163"/>
    <w:rsid w:val="00621277"/>
    <w:rsid w:val="0062140A"/>
    <w:rsid w:val="0062143A"/>
    <w:rsid w:val="00621643"/>
    <w:rsid w:val="00621DA7"/>
    <w:rsid w:val="0062285B"/>
    <w:rsid w:val="00623C9C"/>
    <w:rsid w:val="00624066"/>
    <w:rsid w:val="00624424"/>
    <w:rsid w:val="00624458"/>
    <w:rsid w:val="00624567"/>
    <w:rsid w:val="00624578"/>
    <w:rsid w:val="0062659E"/>
    <w:rsid w:val="00626D65"/>
    <w:rsid w:val="00627422"/>
    <w:rsid w:val="0062759B"/>
    <w:rsid w:val="00630D0E"/>
    <w:rsid w:val="00630D4F"/>
    <w:rsid w:val="00631BFF"/>
    <w:rsid w:val="00631EE9"/>
    <w:rsid w:val="0063211B"/>
    <w:rsid w:val="0063265C"/>
    <w:rsid w:val="00632824"/>
    <w:rsid w:val="00632E37"/>
    <w:rsid w:val="0063325D"/>
    <w:rsid w:val="00633ADB"/>
    <w:rsid w:val="00635180"/>
    <w:rsid w:val="00635703"/>
    <w:rsid w:val="00635C64"/>
    <w:rsid w:val="00636047"/>
    <w:rsid w:val="006367CA"/>
    <w:rsid w:val="00636899"/>
    <w:rsid w:val="00636B39"/>
    <w:rsid w:val="00637415"/>
    <w:rsid w:val="006408EF"/>
    <w:rsid w:val="006412AC"/>
    <w:rsid w:val="00641A8F"/>
    <w:rsid w:val="00641E1B"/>
    <w:rsid w:val="00642732"/>
    <w:rsid w:val="00642F05"/>
    <w:rsid w:val="00642F6F"/>
    <w:rsid w:val="006433CC"/>
    <w:rsid w:val="00643B9B"/>
    <w:rsid w:val="0064471B"/>
    <w:rsid w:val="00644D5C"/>
    <w:rsid w:val="00645C64"/>
    <w:rsid w:val="00645ED2"/>
    <w:rsid w:val="00646775"/>
    <w:rsid w:val="00646D7F"/>
    <w:rsid w:val="006478A8"/>
    <w:rsid w:val="00650789"/>
    <w:rsid w:val="00650C31"/>
    <w:rsid w:val="00652807"/>
    <w:rsid w:val="00653360"/>
    <w:rsid w:val="006538E8"/>
    <w:rsid w:val="006539A4"/>
    <w:rsid w:val="00653B07"/>
    <w:rsid w:val="00653FD0"/>
    <w:rsid w:val="00654E19"/>
    <w:rsid w:val="0065573B"/>
    <w:rsid w:val="00655F48"/>
    <w:rsid w:val="00655F74"/>
    <w:rsid w:val="0065621D"/>
    <w:rsid w:val="0065636E"/>
    <w:rsid w:val="0065676A"/>
    <w:rsid w:val="00656DAD"/>
    <w:rsid w:val="00656DDF"/>
    <w:rsid w:val="0065794E"/>
    <w:rsid w:val="006602A5"/>
    <w:rsid w:val="00660D10"/>
    <w:rsid w:val="00660D4F"/>
    <w:rsid w:val="0066163C"/>
    <w:rsid w:val="00662310"/>
    <w:rsid w:val="006627B3"/>
    <w:rsid w:val="00663702"/>
    <w:rsid w:val="00663B60"/>
    <w:rsid w:val="00664067"/>
    <w:rsid w:val="00664121"/>
    <w:rsid w:val="006644B0"/>
    <w:rsid w:val="00664BF4"/>
    <w:rsid w:val="00664C51"/>
    <w:rsid w:val="006673B4"/>
    <w:rsid w:val="006673C5"/>
    <w:rsid w:val="006679A5"/>
    <w:rsid w:val="00667E87"/>
    <w:rsid w:val="0066E3F1"/>
    <w:rsid w:val="00670173"/>
    <w:rsid w:val="00672556"/>
    <w:rsid w:val="00672A11"/>
    <w:rsid w:val="00672C3B"/>
    <w:rsid w:val="006731BC"/>
    <w:rsid w:val="00673505"/>
    <w:rsid w:val="0067418D"/>
    <w:rsid w:val="00674785"/>
    <w:rsid w:val="00674A7F"/>
    <w:rsid w:val="00674C34"/>
    <w:rsid w:val="00674E8E"/>
    <w:rsid w:val="00675306"/>
    <w:rsid w:val="00675406"/>
    <w:rsid w:val="0067656A"/>
    <w:rsid w:val="0067677D"/>
    <w:rsid w:val="0067698C"/>
    <w:rsid w:val="00676CA7"/>
    <w:rsid w:val="006773F8"/>
    <w:rsid w:val="00677553"/>
    <w:rsid w:val="00680050"/>
    <w:rsid w:val="006800EB"/>
    <w:rsid w:val="0068040A"/>
    <w:rsid w:val="00681259"/>
    <w:rsid w:val="006813B4"/>
    <w:rsid w:val="00681769"/>
    <w:rsid w:val="00681A93"/>
    <w:rsid w:val="00682625"/>
    <w:rsid w:val="00683872"/>
    <w:rsid w:val="0068544F"/>
    <w:rsid w:val="0068561D"/>
    <w:rsid w:val="00686543"/>
    <w:rsid w:val="00686B03"/>
    <w:rsid w:val="00686B2B"/>
    <w:rsid w:val="0068769F"/>
    <w:rsid w:val="006879C7"/>
    <w:rsid w:val="0069008C"/>
    <w:rsid w:val="00690148"/>
    <w:rsid w:val="0069175E"/>
    <w:rsid w:val="00691CAD"/>
    <w:rsid w:val="00691CC7"/>
    <w:rsid w:val="00692B7A"/>
    <w:rsid w:val="00693478"/>
    <w:rsid w:val="0069452A"/>
    <w:rsid w:val="006946DA"/>
    <w:rsid w:val="00694748"/>
    <w:rsid w:val="00694B5B"/>
    <w:rsid w:val="00694BA1"/>
    <w:rsid w:val="0069528A"/>
    <w:rsid w:val="00695663"/>
    <w:rsid w:val="00695D83"/>
    <w:rsid w:val="00696BD7"/>
    <w:rsid w:val="00697530"/>
    <w:rsid w:val="006978F7"/>
    <w:rsid w:val="00697B4D"/>
    <w:rsid w:val="00697EE9"/>
    <w:rsid w:val="006A01BA"/>
    <w:rsid w:val="006A0823"/>
    <w:rsid w:val="006A0D95"/>
    <w:rsid w:val="006A0E54"/>
    <w:rsid w:val="006A1965"/>
    <w:rsid w:val="006A1E39"/>
    <w:rsid w:val="006A23F6"/>
    <w:rsid w:val="006A2CAE"/>
    <w:rsid w:val="006A39A8"/>
    <w:rsid w:val="006A41F2"/>
    <w:rsid w:val="006A4A45"/>
    <w:rsid w:val="006A5893"/>
    <w:rsid w:val="006A5E47"/>
    <w:rsid w:val="006A65C2"/>
    <w:rsid w:val="006A67D1"/>
    <w:rsid w:val="006A792A"/>
    <w:rsid w:val="006A7B7C"/>
    <w:rsid w:val="006A7F04"/>
    <w:rsid w:val="006B051D"/>
    <w:rsid w:val="006B2018"/>
    <w:rsid w:val="006B2444"/>
    <w:rsid w:val="006B2C8A"/>
    <w:rsid w:val="006B3208"/>
    <w:rsid w:val="006B3571"/>
    <w:rsid w:val="006B3F66"/>
    <w:rsid w:val="006B48D8"/>
    <w:rsid w:val="006B48F3"/>
    <w:rsid w:val="006B4BB1"/>
    <w:rsid w:val="006B51CD"/>
    <w:rsid w:val="006B53B9"/>
    <w:rsid w:val="006B58AE"/>
    <w:rsid w:val="006B64A2"/>
    <w:rsid w:val="006B65F8"/>
    <w:rsid w:val="006B6D2D"/>
    <w:rsid w:val="006B77E5"/>
    <w:rsid w:val="006B7A24"/>
    <w:rsid w:val="006B7D4A"/>
    <w:rsid w:val="006C04BA"/>
    <w:rsid w:val="006C0E2C"/>
    <w:rsid w:val="006C107A"/>
    <w:rsid w:val="006C12EB"/>
    <w:rsid w:val="006C1F84"/>
    <w:rsid w:val="006C2745"/>
    <w:rsid w:val="006C2A27"/>
    <w:rsid w:val="006C2AF1"/>
    <w:rsid w:val="006C2D3E"/>
    <w:rsid w:val="006C3A6D"/>
    <w:rsid w:val="006C4077"/>
    <w:rsid w:val="006C40A9"/>
    <w:rsid w:val="006C482F"/>
    <w:rsid w:val="006C4ECE"/>
    <w:rsid w:val="006C675A"/>
    <w:rsid w:val="006C69F0"/>
    <w:rsid w:val="006C6B47"/>
    <w:rsid w:val="006C74C0"/>
    <w:rsid w:val="006C784F"/>
    <w:rsid w:val="006C7B88"/>
    <w:rsid w:val="006D00C5"/>
    <w:rsid w:val="006D0182"/>
    <w:rsid w:val="006D05CE"/>
    <w:rsid w:val="006D113A"/>
    <w:rsid w:val="006D12BE"/>
    <w:rsid w:val="006D1481"/>
    <w:rsid w:val="006D1F6D"/>
    <w:rsid w:val="006D24B1"/>
    <w:rsid w:val="006D300C"/>
    <w:rsid w:val="006D46F4"/>
    <w:rsid w:val="006D4D9D"/>
    <w:rsid w:val="006D4FAD"/>
    <w:rsid w:val="006D64F3"/>
    <w:rsid w:val="006D6B97"/>
    <w:rsid w:val="006D6E2F"/>
    <w:rsid w:val="006D7429"/>
    <w:rsid w:val="006D7BE8"/>
    <w:rsid w:val="006E0386"/>
    <w:rsid w:val="006E12FA"/>
    <w:rsid w:val="006E1CA3"/>
    <w:rsid w:val="006E1FD4"/>
    <w:rsid w:val="006E20EA"/>
    <w:rsid w:val="006E2FBF"/>
    <w:rsid w:val="006E3213"/>
    <w:rsid w:val="006E5991"/>
    <w:rsid w:val="006E5C6F"/>
    <w:rsid w:val="006E71D7"/>
    <w:rsid w:val="006E73D7"/>
    <w:rsid w:val="006E755F"/>
    <w:rsid w:val="006E7609"/>
    <w:rsid w:val="006E7E86"/>
    <w:rsid w:val="006E7F50"/>
    <w:rsid w:val="006F084C"/>
    <w:rsid w:val="006F0BA6"/>
    <w:rsid w:val="006F0DEB"/>
    <w:rsid w:val="006F2CBC"/>
    <w:rsid w:val="006F2DAE"/>
    <w:rsid w:val="006F35A5"/>
    <w:rsid w:val="006F3EF9"/>
    <w:rsid w:val="006F3F6E"/>
    <w:rsid w:val="006F48A8"/>
    <w:rsid w:val="006F4E79"/>
    <w:rsid w:val="006F539C"/>
    <w:rsid w:val="006F5D36"/>
    <w:rsid w:val="006F5DE5"/>
    <w:rsid w:val="006F5FB0"/>
    <w:rsid w:val="006F6107"/>
    <w:rsid w:val="006F6E22"/>
    <w:rsid w:val="006F7531"/>
    <w:rsid w:val="006F76D2"/>
    <w:rsid w:val="006F7ECB"/>
    <w:rsid w:val="00700B3B"/>
    <w:rsid w:val="0070105F"/>
    <w:rsid w:val="007012DE"/>
    <w:rsid w:val="0070138D"/>
    <w:rsid w:val="007015A6"/>
    <w:rsid w:val="00701793"/>
    <w:rsid w:val="007018DD"/>
    <w:rsid w:val="00701F44"/>
    <w:rsid w:val="007026DF"/>
    <w:rsid w:val="00702738"/>
    <w:rsid w:val="00702753"/>
    <w:rsid w:val="00702D68"/>
    <w:rsid w:val="007036CB"/>
    <w:rsid w:val="00703710"/>
    <w:rsid w:val="00703A48"/>
    <w:rsid w:val="00703B6B"/>
    <w:rsid w:val="00704CCD"/>
    <w:rsid w:val="00704DA0"/>
    <w:rsid w:val="00704F19"/>
    <w:rsid w:val="00704FD9"/>
    <w:rsid w:val="007061DB"/>
    <w:rsid w:val="00706BA7"/>
    <w:rsid w:val="00706D77"/>
    <w:rsid w:val="00706DFD"/>
    <w:rsid w:val="0070766F"/>
    <w:rsid w:val="0070787B"/>
    <w:rsid w:val="00710536"/>
    <w:rsid w:val="00710A14"/>
    <w:rsid w:val="00710BDE"/>
    <w:rsid w:val="00710C6C"/>
    <w:rsid w:val="00710F31"/>
    <w:rsid w:val="007116A9"/>
    <w:rsid w:val="00711B80"/>
    <w:rsid w:val="00711C2C"/>
    <w:rsid w:val="00711EDC"/>
    <w:rsid w:val="00712768"/>
    <w:rsid w:val="0071290A"/>
    <w:rsid w:val="007134B2"/>
    <w:rsid w:val="007134F9"/>
    <w:rsid w:val="007137AA"/>
    <w:rsid w:val="007148D2"/>
    <w:rsid w:val="00715421"/>
    <w:rsid w:val="007158ED"/>
    <w:rsid w:val="007161D8"/>
    <w:rsid w:val="007179D6"/>
    <w:rsid w:val="0072056D"/>
    <w:rsid w:val="00722B80"/>
    <w:rsid w:val="00722F2E"/>
    <w:rsid w:val="0072389C"/>
    <w:rsid w:val="00723B41"/>
    <w:rsid w:val="00723C1D"/>
    <w:rsid w:val="00723D78"/>
    <w:rsid w:val="007244B0"/>
    <w:rsid w:val="007248B4"/>
    <w:rsid w:val="00724FAB"/>
    <w:rsid w:val="00725284"/>
    <w:rsid w:val="00725874"/>
    <w:rsid w:val="007269A3"/>
    <w:rsid w:val="0072763C"/>
    <w:rsid w:val="00727717"/>
    <w:rsid w:val="00731120"/>
    <w:rsid w:val="00731300"/>
    <w:rsid w:val="007314CF"/>
    <w:rsid w:val="007324A8"/>
    <w:rsid w:val="00732861"/>
    <w:rsid w:val="00732A23"/>
    <w:rsid w:val="00732E8A"/>
    <w:rsid w:val="0073343D"/>
    <w:rsid w:val="007342C8"/>
    <w:rsid w:val="00734414"/>
    <w:rsid w:val="00734CEF"/>
    <w:rsid w:val="007350F9"/>
    <w:rsid w:val="007352A8"/>
    <w:rsid w:val="00735417"/>
    <w:rsid w:val="007358BD"/>
    <w:rsid w:val="00735B81"/>
    <w:rsid w:val="00735EAD"/>
    <w:rsid w:val="007363BC"/>
    <w:rsid w:val="00737655"/>
    <w:rsid w:val="007377A8"/>
    <w:rsid w:val="00737BCB"/>
    <w:rsid w:val="00737C0A"/>
    <w:rsid w:val="0073C7B4"/>
    <w:rsid w:val="007403EF"/>
    <w:rsid w:val="00740CCA"/>
    <w:rsid w:val="00740E50"/>
    <w:rsid w:val="00740FB3"/>
    <w:rsid w:val="00741856"/>
    <w:rsid w:val="00741E21"/>
    <w:rsid w:val="007421AC"/>
    <w:rsid w:val="007426E2"/>
    <w:rsid w:val="00742A4F"/>
    <w:rsid w:val="00742E7A"/>
    <w:rsid w:val="00742EB1"/>
    <w:rsid w:val="0074325C"/>
    <w:rsid w:val="00744000"/>
    <w:rsid w:val="007441BC"/>
    <w:rsid w:val="007441BE"/>
    <w:rsid w:val="00744E63"/>
    <w:rsid w:val="00745537"/>
    <w:rsid w:val="00745E1E"/>
    <w:rsid w:val="00745F64"/>
    <w:rsid w:val="00746042"/>
    <w:rsid w:val="00746E27"/>
    <w:rsid w:val="0074721D"/>
    <w:rsid w:val="00747409"/>
    <w:rsid w:val="00747793"/>
    <w:rsid w:val="00747D5B"/>
    <w:rsid w:val="00747FD4"/>
    <w:rsid w:val="00750026"/>
    <w:rsid w:val="007506C7"/>
    <w:rsid w:val="007518C7"/>
    <w:rsid w:val="0075195A"/>
    <w:rsid w:val="00751B70"/>
    <w:rsid w:val="007523E1"/>
    <w:rsid w:val="00752AA8"/>
    <w:rsid w:val="00752FEE"/>
    <w:rsid w:val="0075351E"/>
    <w:rsid w:val="007539B1"/>
    <w:rsid w:val="007546DE"/>
    <w:rsid w:val="00754784"/>
    <w:rsid w:val="00754EF0"/>
    <w:rsid w:val="007554B1"/>
    <w:rsid w:val="00755C09"/>
    <w:rsid w:val="00756201"/>
    <w:rsid w:val="00756347"/>
    <w:rsid w:val="00756646"/>
    <w:rsid w:val="00756B5C"/>
    <w:rsid w:val="00757589"/>
    <w:rsid w:val="00760315"/>
    <w:rsid w:val="0076050F"/>
    <w:rsid w:val="00760664"/>
    <w:rsid w:val="00762A5F"/>
    <w:rsid w:val="00762E50"/>
    <w:rsid w:val="00763E04"/>
    <w:rsid w:val="007641C7"/>
    <w:rsid w:val="00766706"/>
    <w:rsid w:val="007676E9"/>
    <w:rsid w:val="007710EA"/>
    <w:rsid w:val="007713D8"/>
    <w:rsid w:val="00772091"/>
    <w:rsid w:val="00772171"/>
    <w:rsid w:val="00772358"/>
    <w:rsid w:val="0077246C"/>
    <w:rsid w:val="007725CB"/>
    <w:rsid w:val="007726BB"/>
    <w:rsid w:val="00772E3D"/>
    <w:rsid w:val="00772F79"/>
    <w:rsid w:val="007733B1"/>
    <w:rsid w:val="0077376D"/>
    <w:rsid w:val="00773885"/>
    <w:rsid w:val="00773BC4"/>
    <w:rsid w:val="00774550"/>
    <w:rsid w:val="00774F54"/>
    <w:rsid w:val="00775C82"/>
    <w:rsid w:val="0077688F"/>
    <w:rsid w:val="007771C0"/>
    <w:rsid w:val="007774D7"/>
    <w:rsid w:val="00777CA0"/>
    <w:rsid w:val="00780695"/>
    <w:rsid w:val="00781470"/>
    <w:rsid w:val="00781590"/>
    <w:rsid w:val="00782510"/>
    <w:rsid w:val="00782668"/>
    <w:rsid w:val="00782A59"/>
    <w:rsid w:val="007832F9"/>
    <w:rsid w:val="00784114"/>
    <w:rsid w:val="007846B9"/>
    <w:rsid w:val="00784B01"/>
    <w:rsid w:val="00784B20"/>
    <w:rsid w:val="007859E5"/>
    <w:rsid w:val="00785F51"/>
    <w:rsid w:val="00786493"/>
    <w:rsid w:val="0078653B"/>
    <w:rsid w:val="00786FDF"/>
    <w:rsid w:val="007872F7"/>
    <w:rsid w:val="0078754C"/>
    <w:rsid w:val="00787D96"/>
    <w:rsid w:val="0079043F"/>
    <w:rsid w:val="007907FC"/>
    <w:rsid w:val="0079107F"/>
    <w:rsid w:val="0079124F"/>
    <w:rsid w:val="007913A2"/>
    <w:rsid w:val="00791AAD"/>
    <w:rsid w:val="00791CE3"/>
    <w:rsid w:val="0079246E"/>
    <w:rsid w:val="007926EF"/>
    <w:rsid w:val="007928F5"/>
    <w:rsid w:val="00792E62"/>
    <w:rsid w:val="00792FFF"/>
    <w:rsid w:val="007934E8"/>
    <w:rsid w:val="007936E7"/>
    <w:rsid w:val="00794840"/>
    <w:rsid w:val="00795B89"/>
    <w:rsid w:val="007968ED"/>
    <w:rsid w:val="0079734E"/>
    <w:rsid w:val="007A00FC"/>
    <w:rsid w:val="007A0B75"/>
    <w:rsid w:val="007A0FEA"/>
    <w:rsid w:val="007A167F"/>
    <w:rsid w:val="007A1E09"/>
    <w:rsid w:val="007A2006"/>
    <w:rsid w:val="007A2191"/>
    <w:rsid w:val="007A2256"/>
    <w:rsid w:val="007A23E8"/>
    <w:rsid w:val="007A2665"/>
    <w:rsid w:val="007A2D94"/>
    <w:rsid w:val="007A2FA2"/>
    <w:rsid w:val="007A3438"/>
    <w:rsid w:val="007A346B"/>
    <w:rsid w:val="007A3972"/>
    <w:rsid w:val="007A3B55"/>
    <w:rsid w:val="007A3C41"/>
    <w:rsid w:val="007A46C9"/>
    <w:rsid w:val="007A4B64"/>
    <w:rsid w:val="007A5724"/>
    <w:rsid w:val="007A6336"/>
    <w:rsid w:val="007A636F"/>
    <w:rsid w:val="007A6D95"/>
    <w:rsid w:val="007A6F3B"/>
    <w:rsid w:val="007A753C"/>
    <w:rsid w:val="007A7611"/>
    <w:rsid w:val="007A7844"/>
    <w:rsid w:val="007A7EDB"/>
    <w:rsid w:val="007B1A1A"/>
    <w:rsid w:val="007B1FF5"/>
    <w:rsid w:val="007B2316"/>
    <w:rsid w:val="007B3151"/>
    <w:rsid w:val="007B33D3"/>
    <w:rsid w:val="007B416F"/>
    <w:rsid w:val="007B42D6"/>
    <w:rsid w:val="007B440C"/>
    <w:rsid w:val="007B4C49"/>
    <w:rsid w:val="007B59C3"/>
    <w:rsid w:val="007B6091"/>
    <w:rsid w:val="007B66F3"/>
    <w:rsid w:val="007B680A"/>
    <w:rsid w:val="007C079E"/>
    <w:rsid w:val="007C08AB"/>
    <w:rsid w:val="007C0D31"/>
    <w:rsid w:val="007C2900"/>
    <w:rsid w:val="007C2B40"/>
    <w:rsid w:val="007C3903"/>
    <w:rsid w:val="007C4182"/>
    <w:rsid w:val="007C42D3"/>
    <w:rsid w:val="007C45A2"/>
    <w:rsid w:val="007C46E6"/>
    <w:rsid w:val="007C4755"/>
    <w:rsid w:val="007C4813"/>
    <w:rsid w:val="007C4F7E"/>
    <w:rsid w:val="007C5100"/>
    <w:rsid w:val="007C5107"/>
    <w:rsid w:val="007C51F8"/>
    <w:rsid w:val="007C5376"/>
    <w:rsid w:val="007C53F3"/>
    <w:rsid w:val="007C627A"/>
    <w:rsid w:val="007C6429"/>
    <w:rsid w:val="007C68A2"/>
    <w:rsid w:val="007C6B2E"/>
    <w:rsid w:val="007CC853"/>
    <w:rsid w:val="007D11AB"/>
    <w:rsid w:val="007D17A6"/>
    <w:rsid w:val="007D17B7"/>
    <w:rsid w:val="007D2092"/>
    <w:rsid w:val="007D291F"/>
    <w:rsid w:val="007D2950"/>
    <w:rsid w:val="007D2977"/>
    <w:rsid w:val="007D29E7"/>
    <w:rsid w:val="007D2CF5"/>
    <w:rsid w:val="007D2F6E"/>
    <w:rsid w:val="007D31D9"/>
    <w:rsid w:val="007D43F5"/>
    <w:rsid w:val="007D5321"/>
    <w:rsid w:val="007D5335"/>
    <w:rsid w:val="007D5E14"/>
    <w:rsid w:val="007D5FF6"/>
    <w:rsid w:val="007D6AE6"/>
    <w:rsid w:val="007D742F"/>
    <w:rsid w:val="007D7FFC"/>
    <w:rsid w:val="007E0E06"/>
    <w:rsid w:val="007E23E9"/>
    <w:rsid w:val="007E2E0E"/>
    <w:rsid w:val="007E3AA3"/>
    <w:rsid w:val="007E3DC9"/>
    <w:rsid w:val="007E42BB"/>
    <w:rsid w:val="007E46B0"/>
    <w:rsid w:val="007E4858"/>
    <w:rsid w:val="007E5061"/>
    <w:rsid w:val="007E58BB"/>
    <w:rsid w:val="007E5C26"/>
    <w:rsid w:val="007E5F4A"/>
    <w:rsid w:val="007E6345"/>
    <w:rsid w:val="007E697C"/>
    <w:rsid w:val="007E6B2F"/>
    <w:rsid w:val="007F04A8"/>
    <w:rsid w:val="007F061A"/>
    <w:rsid w:val="007F07E4"/>
    <w:rsid w:val="007F1828"/>
    <w:rsid w:val="007F206B"/>
    <w:rsid w:val="007F23D8"/>
    <w:rsid w:val="007F32CF"/>
    <w:rsid w:val="007F3B2F"/>
    <w:rsid w:val="007F4283"/>
    <w:rsid w:val="007F4319"/>
    <w:rsid w:val="007F434C"/>
    <w:rsid w:val="007F4D6A"/>
    <w:rsid w:val="007F5B06"/>
    <w:rsid w:val="007F6B4C"/>
    <w:rsid w:val="007F7BE8"/>
    <w:rsid w:val="007F7BE9"/>
    <w:rsid w:val="007F7ED2"/>
    <w:rsid w:val="008002C6"/>
    <w:rsid w:val="008009C8"/>
    <w:rsid w:val="00803475"/>
    <w:rsid w:val="008039B7"/>
    <w:rsid w:val="0080443E"/>
    <w:rsid w:val="0080481F"/>
    <w:rsid w:val="00804BED"/>
    <w:rsid w:val="00804FD4"/>
    <w:rsid w:val="008051CB"/>
    <w:rsid w:val="008052AB"/>
    <w:rsid w:val="00805387"/>
    <w:rsid w:val="00805823"/>
    <w:rsid w:val="00805873"/>
    <w:rsid w:val="00805F3A"/>
    <w:rsid w:val="00806597"/>
    <w:rsid w:val="008069F1"/>
    <w:rsid w:val="008074C0"/>
    <w:rsid w:val="00807E03"/>
    <w:rsid w:val="00807E21"/>
    <w:rsid w:val="008100F5"/>
    <w:rsid w:val="00810118"/>
    <w:rsid w:val="0081045D"/>
    <w:rsid w:val="00810DBC"/>
    <w:rsid w:val="00810E6F"/>
    <w:rsid w:val="00812049"/>
    <w:rsid w:val="00812DD1"/>
    <w:rsid w:val="008138A3"/>
    <w:rsid w:val="00814427"/>
    <w:rsid w:val="00815838"/>
    <w:rsid w:val="00815C26"/>
    <w:rsid w:val="00816087"/>
    <w:rsid w:val="00816636"/>
    <w:rsid w:val="00816F0C"/>
    <w:rsid w:val="008172F3"/>
    <w:rsid w:val="00817656"/>
    <w:rsid w:val="00817986"/>
    <w:rsid w:val="00820AF7"/>
    <w:rsid w:val="00820D8A"/>
    <w:rsid w:val="00821344"/>
    <w:rsid w:val="00821682"/>
    <w:rsid w:val="00821982"/>
    <w:rsid w:val="00821CAE"/>
    <w:rsid w:val="00822176"/>
    <w:rsid w:val="00822A74"/>
    <w:rsid w:val="00824479"/>
    <w:rsid w:val="00824DB8"/>
    <w:rsid w:val="00824F9A"/>
    <w:rsid w:val="00825700"/>
    <w:rsid w:val="00825B7C"/>
    <w:rsid w:val="00825BE9"/>
    <w:rsid w:val="00825D79"/>
    <w:rsid w:val="00825DFA"/>
    <w:rsid w:val="00825ED8"/>
    <w:rsid w:val="008263B6"/>
    <w:rsid w:val="008270E5"/>
    <w:rsid w:val="00830005"/>
    <w:rsid w:val="00830A63"/>
    <w:rsid w:val="00831636"/>
    <w:rsid w:val="008317E3"/>
    <w:rsid w:val="00831918"/>
    <w:rsid w:val="00831DD3"/>
    <w:rsid w:val="0083231A"/>
    <w:rsid w:val="008326A9"/>
    <w:rsid w:val="00832C32"/>
    <w:rsid w:val="008332E5"/>
    <w:rsid w:val="00833A88"/>
    <w:rsid w:val="00833C62"/>
    <w:rsid w:val="008342B4"/>
    <w:rsid w:val="008345FF"/>
    <w:rsid w:val="00834C6A"/>
    <w:rsid w:val="00835BE6"/>
    <w:rsid w:val="00835F4D"/>
    <w:rsid w:val="008362BD"/>
    <w:rsid w:val="00836664"/>
    <w:rsid w:val="0083695D"/>
    <w:rsid w:val="00836F33"/>
    <w:rsid w:val="0083791C"/>
    <w:rsid w:val="0084038E"/>
    <w:rsid w:val="00840468"/>
    <w:rsid w:val="0084067F"/>
    <w:rsid w:val="00840B9A"/>
    <w:rsid w:val="00841457"/>
    <w:rsid w:val="00841A6B"/>
    <w:rsid w:val="00841B0E"/>
    <w:rsid w:val="0084223F"/>
    <w:rsid w:val="00842BAE"/>
    <w:rsid w:val="0084328A"/>
    <w:rsid w:val="00843A31"/>
    <w:rsid w:val="00843A62"/>
    <w:rsid w:val="00844917"/>
    <w:rsid w:val="00844B75"/>
    <w:rsid w:val="00844C1B"/>
    <w:rsid w:val="00844EEE"/>
    <w:rsid w:val="00844FEE"/>
    <w:rsid w:val="00845429"/>
    <w:rsid w:val="00845FDE"/>
    <w:rsid w:val="0084712A"/>
    <w:rsid w:val="008479BF"/>
    <w:rsid w:val="00850868"/>
    <w:rsid w:val="00850D87"/>
    <w:rsid w:val="0085156A"/>
    <w:rsid w:val="008516A0"/>
    <w:rsid w:val="00851DCE"/>
    <w:rsid w:val="008526DD"/>
    <w:rsid w:val="008531AC"/>
    <w:rsid w:val="0085366F"/>
    <w:rsid w:val="00853874"/>
    <w:rsid w:val="00856698"/>
    <w:rsid w:val="008567FE"/>
    <w:rsid w:val="00857477"/>
    <w:rsid w:val="008576EC"/>
    <w:rsid w:val="0085772D"/>
    <w:rsid w:val="008603A7"/>
    <w:rsid w:val="00860895"/>
    <w:rsid w:val="00860E4C"/>
    <w:rsid w:val="0086147F"/>
    <w:rsid w:val="0086218C"/>
    <w:rsid w:val="008622C7"/>
    <w:rsid w:val="00862E4F"/>
    <w:rsid w:val="00862F37"/>
    <w:rsid w:val="0086327C"/>
    <w:rsid w:val="008632ED"/>
    <w:rsid w:val="00863322"/>
    <w:rsid w:val="00863D19"/>
    <w:rsid w:val="00863DC1"/>
    <w:rsid w:val="0086461E"/>
    <w:rsid w:val="00865288"/>
    <w:rsid w:val="008655DC"/>
    <w:rsid w:val="00865CA3"/>
    <w:rsid w:val="00865F5B"/>
    <w:rsid w:val="00866C83"/>
    <w:rsid w:val="00867069"/>
    <w:rsid w:val="0086762A"/>
    <w:rsid w:val="0087088A"/>
    <w:rsid w:val="00870D44"/>
    <w:rsid w:val="00870ECD"/>
    <w:rsid w:val="00871438"/>
    <w:rsid w:val="00871883"/>
    <w:rsid w:val="008726B7"/>
    <w:rsid w:val="008727C9"/>
    <w:rsid w:val="008729DC"/>
    <w:rsid w:val="00872A5E"/>
    <w:rsid w:val="00872B95"/>
    <w:rsid w:val="00873791"/>
    <w:rsid w:val="00873DB6"/>
    <w:rsid w:val="00873EBA"/>
    <w:rsid w:val="00873EF4"/>
    <w:rsid w:val="00874040"/>
    <w:rsid w:val="00874276"/>
    <w:rsid w:val="0087451F"/>
    <w:rsid w:val="00874763"/>
    <w:rsid w:val="00874881"/>
    <w:rsid w:val="0087492D"/>
    <w:rsid w:val="008757C1"/>
    <w:rsid w:val="00875BBA"/>
    <w:rsid w:val="00875C3D"/>
    <w:rsid w:val="00875F0C"/>
    <w:rsid w:val="008762D4"/>
    <w:rsid w:val="0087635E"/>
    <w:rsid w:val="00876F7F"/>
    <w:rsid w:val="00877004"/>
    <w:rsid w:val="0087712B"/>
    <w:rsid w:val="0087722B"/>
    <w:rsid w:val="00877EA1"/>
    <w:rsid w:val="00877F09"/>
    <w:rsid w:val="00880C74"/>
    <w:rsid w:val="00881476"/>
    <w:rsid w:val="0088210F"/>
    <w:rsid w:val="0088260F"/>
    <w:rsid w:val="00882EF1"/>
    <w:rsid w:val="008830D8"/>
    <w:rsid w:val="00883976"/>
    <w:rsid w:val="00883D0A"/>
    <w:rsid w:val="0088441A"/>
    <w:rsid w:val="0088451B"/>
    <w:rsid w:val="0088452D"/>
    <w:rsid w:val="00884777"/>
    <w:rsid w:val="008848FB"/>
    <w:rsid w:val="00884DB1"/>
    <w:rsid w:val="008853F9"/>
    <w:rsid w:val="00886CD8"/>
    <w:rsid w:val="00887AE1"/>
    <w:rsid w:val="008902F1"/>
    <w:rsid w:val="008909E7"/>
    <w:rsid w:val="0089121D"/>
    <w:rsid w:val="00891223"/>
    <w:rsid w:val="008916C8"/>
    <w:rsid w:val="008929E7"/>
    <w:rsid w:val="00892B5A"/>
    <w:rsid w:val="00892F11"/>
    <w:rsid w:val="00893146"/>
    <w:rsid w:val="00894282"/>
    <w:rsid w:val="008946F0"/>
    <w:rsid w:val="0089549F"/>
    <w:rsid w:val="008958A2"/>
    <w:rsid w:val="00896393"/>
    <w:rsid w:val="00896AD9"/>
    <w:rsid w:val="00896E6A"/>
    <w:rsid w:val="0089779E"/>
    <w:rsid w:val="008A1340"/>
    <w:rsid w:val="008A1373"/>
    <w:rsid w:val="008A156E"/>
    <w:rsid w:val="008A198D"/>
    <w:rsid w:val="008A2047"/>
    <w:rsid w:val="008A2D56"/>
    <w:rsid w:val="008A2F1E"/>
    <w:rsid w:val="008A3432"/>
    <w:rsid w:val="008A3A03"/>
    <w:rsid w:val="008A3A6F"/>
    <w:rsid w:val="008A3C45"/>
    <w:rsid w:val="008A443A"/>
    <w:rsid w:val="008A500A"/>
    <w:rsid w:val="008A510B"/>
    <w:rsid w:val="008A5A4B"/>
    <w:rsid w:val="008A5AE4"/>
    <w:rsid w:val="008A5B0A"/>
    <w:rsid w:val="008A5D2D"/>
    <w:rsid w:val="008A5EF3"/>
    <w:rsid w:val="008A6386"/>
    <w:rsid w:val="008A677E"/>
    <w:rsid w:val="008A6827"/>
    <w:rsid w:val="008A703C"/>
    <w:rsid w:val="008A7195"/>
    <w:rsid w:val="008A729C"/>
    <w:rsid w:val="008A7827"/>
    <w:rsid w:val="008A787D"/>
    <w:rsid w:val="008A79BB"/>
    <w:rsid w:val="008A7A73"/>
    <w:rsid w:val="008B005E"/>
    <w:rsid w:val="008B104F"/>
    <w:rsid w:val="008B1190"/>
    <w:rsid w:val="008B12A1"/>
    <w:rsid w:val="008B1A32"/>
    <w:rsid w:val="008B3000"/>
    <w:rsid w:val="008B3B05"/>
    <w:rsid w:val="008B4C40"/>
    <w:rsid w:val="008B4DAD"/>
    <w:rsid w:val="008B50E6"/>
    <w:rsid w:val="008B511C"/>
    <w:rsid w:val="008B5327"/>
    <w:rsid w:val="008B59C9"/>
    <w:rsid w:val="008B59CC"/>
    <w:rsid w:val="008B5D96"/>
    <w:rsid w:val="008B6DA2"/>
    <w:rsid w:val="008B6E3D"/>
    <w:rsid w:val="008B6FD4"/>
    <w:rsid w:val="008B7542"/>
    <w:rsid w:val="008B759A"/>
    <w:rsid w:val="008B7961"/>
    <w:rsid w:val="008B7A64"/>
    <w:rsid w:val="008C0282"/>
    <w:rsid w:val="008C0430"/>
    <w:rsid w:val="008C0B60"/>
    <w:rsid w:val="008C189A"/>
    <w:rsid w:val="008C1905"/>
    <w:rsid w:val="008C2164"/>
    <w:rsid w:val="008C23DA"/>
    <w:rsid w:val="008C25D9"/>
    <w:rsid w:val="008C2D84"/>
    <w:rsid w:val="008C33D4"/>
    <w:rsid w:val="008C38B2"/>
    <w:rsid w:val="008C3B6B"/>
    <w:rsid w:val="008C3FB0"/>
    <w:rsid w:val="008C4826"/>
    <w:rsid w:val="008C4AFB"/>
    <w:rsid w:val="008C4F48"/>
    <w:rsid w:val="008C515D"/>
    <w:rsid w:val="008C59D7"/>
    <w:rsid w:val="008C5D22"/>
    <w:rsid w:val="008C5DD3"/>
    <w:rsid w:val="008C5FC7"/>
    <w:rsid w:val="008C6124"/>
    <w:rsid w:val="008C620B"/>
    <w:rsid w:val="008C67FF"/>
    <w:rsid w:val="008C70E8"/>
    <w:rsid w:val="008C7816"/>
    <w:rsid w:val="008C7882"/>
    <w:rsid w:val="008C7A92"/>
    <w:rsid w:val="008D0280"/>
    <w:rsid w:val="008D036D"/>
    <w:rsid w:val="008D0848"/>
    <w:rsid w:val="008D09D5"/>
    <w:rsid w:val="008D09DF"/>
    <w:rsid w:val="008D1868"/>
    <w:rsid w:val="008D1CB5"/>
    <w:rsid w:val="008D235C"/>
    <w:rsid w:val="008D247A"/>
    <w:rsid w:val="008D2511"/>
    <w:rsid w:val="008D2C0C"/>
    <w:rsid w:val="008D3CA2"/>
    <w:rsid w:val="008D3D88"/>
    <w:rsid w:val="008D48CD"/>
    <w:rsid w:val="008D49BD"/>
    <w:rsid w:val="008D4B07"/>
    <w:rsid w:val="008D5168"/>
    <w:rsid w:val="008D5BC6"/>
    <w:rsid w:val="008D5CDE"/>
    <w:rsid w:val="008D6291"/>
    <w:rsid w:val="008D73B2"/>
    <w:rsid w:val="008D7904"/>
    <w:rsid w:val="008E0D95"/>
    <w:rsid w:val="008E0F63"/>
    <w:rsid w:val="008E1A48"/>
    <w:rsid w:val="008E2611"/>
    <w:rsid w:val="008E2E0F"/>
    <w:rsid w:val="008E2E72"/>
    <w:rsid w:val="008E2EE2"/>
    <w:rsid w:val="008E3340"/>
    <w:rsid w:val="008E365A"/>
    <w:rsid w:val="008E4115"/>
    <w:rsid w:val="008E418C"/>
    <w:rsid w:val="008E45F1"/>
    <w:rsid w:val="008E67FB"/>
    <w:rsid w:val="008E748E"/>
    <w:rsid w:val="008E7A69"/>
    <w:rsid w:val="008F045F"/>
    <w:rsid w:val="008F0A00"/>
    <w:rsid w:val="008F0B82"/>
    <w:rsid w:val="008F1007"/>
    <w:rsid w:val="008F105E"/>
    <w:rsid w:val="008F1C5E"/>
    <w:rsid w:val="008F246A"/>
    <w:rsid w:val="008F28AE"/>
    <w:rsid w:val="008F301C"/>
    <w:rsid w:val="008F34C0"/>
    <w:rsid w:val="008F42E0"/>
    <w:rsid w:val="008F48E9"/>
    <w:rsid w:val="008F531E"/>
    <w:rsid w:val="008F564E"/>
    <w:rsid w:val="008F5700"/>
    <w:rsid w:val="008F5D9A"/>
    <w:rsid w:val="008F5F1A"/>
    <w:rsid w:val="008F6A41"/>
    <w:rsid w:val="008F6BEF"/>
    <w:rsid w:val="008F6F61"/>
    <w:rsid w:val="008F7D33"/>
    <w:rsid w:val="008F7DDE"/>
    <w:rsid w:val="00900A99"/>
    <w:rsid w:val="00900DAF"/>
    <w:rsid w:val="00901F73"/>
    <w:rsid w:val="0090214F"/>
    <w:rsid w:val="00902449"/>
    <w:rsid w:val="009024EF"/>
    <w:rsid w:val="00902CB6"/>
    <w:rsid w:val="009031C9"/>
    <w:rsid w:val="009040C2"/>
    <w:rsid w:val="00905862"/>
    <w:rsid w:val="00906579"/>
    <w:rsid w:val="00906813"/>
    <w:rsid w:val="00906832"/>
    <w:rsid w:val="00906C77"/>
    <w:rsid w:val="00907714"/>
    <w:rsid w:val="00907820"/>
    <w:rsid w:val="0091027B"/>
    <w:rsid w:val="009104F1"/>
    <w:rsid w:val="00910502"/>
    <w:rsid w:val="009106DF"/>
    <w:rsid w:val="009112E4"/>
    <w:rsid w:val="009117F3"/>
    <w:rsid w:val="009118D6"/>
    <w:rsid w:val="00911A27"/>
    <w:rsid w:val="009124E1"/>
    <w:rsid w:val="009129EF"/>
    <w:rsid w:val="00913D23"/>
    <w:rsid w:val="00915362"/>
    <w:rsid w:val="009156F4"/>
    <w:rsid w:val="00915961"/>
    <w:rsid w:val="00915BB3"/>
    <w:rsid w:val="00915CE9"/>
    <w:rsid w:val="00915E21"/>
    <w:rsid w:val="00916467"/>
    <w:rsid w:val="00916508"/>
    <w:rsid w:val="009172CD"/>
    <w:rsid w:val="00917F03"/>
    <w:rsid w:val="009200F2"/>
    <w:rsid w:val="009209FA"/>
    <w:rsid w:val="00920C12"/>
    <w:rsid w:val="00920EA0"/>
    <w:rsid w:val="009214BF"/>
    <w:rsid w:val="00922259"/>
    <w:rsid w:val="009222BA"/>
    <w:rsid w:val="0092281B"/>
    <w:rsid w:val="00922E7B"/>
    <w:rsid w:val="00922EFA"/>
    <w:rsid w:val="009236E4"/>
    <w:rsid w:val="00923A45"/>
    <w:rsid w:val="00923DDE"/>
    <w:rsid w:val="00923E52"/>
    <w:rsid w:val="0092478D"/>
    <w:rsid w:val="00924A52"/>
    <w:rsid w:val="00925245"/>
    <w:rsid w:val="009271C9"/>
    <w:rsid w:val="00927C05"/>
    <w:rsid w:val="009301AB"/>
    <w:rsid w:val="00930553"/>
    <w:rsid w:val="009305E1"/>
    <w:rsid w:val="0093088F"/>
    <w:rsid w:val="00931126"/>
    <w:rsid w:val="00931B7D"/>
    <w:rsid w:val="00931E69"/>
    <w:rsid w:val="009328DD"/>
    <w:rsid w:val="00932A30"/>
    <w:rsid w:val="00932E52"/>
    <w:rsid w:val="009330A4"/>
    <w:rsid w:val="0093365F"/>
    <w:rsid w:val="00934199"/>
    <w:rsid w:val="0093478A"/>
    <w:rsid w:val="00934D1A"/>
    <w:rsid w:val="00934DF2"/>
    <w:rsid w:val="009350B7"/>
    <w:rsid w:val="0093527F"/>
    <w:rsid w:val="0093545D"/>
    <w:rsid w:val="009362D2"/>
    <w:rsid w:val="009367B2"/>
    <w:rsid w:val="00936EAA"/>
    <w:rsid w:val="009372C5"/>
    <w:rsid w:val="0093784D"/>
    <w:rsid w:val="009378A3"/>
    <w:rsid w:val="00937B52"/>
    <w:rsid w:val="00937D38"/>
    <w:rsid w:val="0094015E"/>
    <w:rsid w:val="009401B5"/>
    <w:rsid w:val="00940920"/>
    <w:rsid w:val="00940AF9"/>
    <w:rsid w:val="009413F9"/>
    <w:rsid w:val="00941F1B"/>
    <w:rsid w:val="00941FB8"/>
    <w:rsid w:val="009420AA"/>
    <w:rsid w:val="0094224D"/>
    <w:rsid w:val="00942521"/>
    <w:rsid w:val="00942E1A"/>
    <w:rsid w:val="00943DEC"/>
    <w:rsid w:val="009442C9"/>
    <w:rsid w:val="009443A3"/>
    <w:rsid w:val="00944D7B"/>
    <w:rsid w:val="00945C62"/>
    <w:rsid w:val="00945D00"/>
    <w:rsid w:val="009467DD"/>
    <w:rsid w:val="00946E76"/>
    <w:rsid w:val="0094755B"/>
    <w:rsid w:val="00947902"/>
    <w:rsid w:val="00947B19"/>
    <w:rsid w:val="009501B7"/>
    <w:rsid w:val="00950571"/>
    <w:rsid w:val="0095071E"/>
    <w:rsid w:val="00950776"/>
    <w:rsid w:val="009507E4"/>
    <w:rsid w:val="00950971"/>
    <w:rsid w:val="00950C20"/>
    <w:rsid w:val="00950C50"/>
    <w:rsid w:val="0095111E"/>
    <w:rsid w:val="009517C8"/>
    <w:rsid w:val="0095223E"/>
    <w:rsid w:val="00952846"/>
    <w:rsid w:val="009539B5"/>
    <w:rsid w:val="0095417F"/>
    <w:rsid w:val="00954AB9"/>
    <w:rsid w:val="00954FFB"/>
    <w:rsid w:val="00955488"/>
    <w:rsid w:val="009557B4"/>
    <w:rsid w:val="00955BD1"/>
    <w:rsid w:val="00955DF2"/>
    <w:rsid w:val="0095678F"/>
    <w:rsid w:val="00957CF2"/>
    <w:rsid w:val="009600E7"/>
    <w:rsid w:val="00960680"/>
    <w:rsid w:val="00960DD0"/>
    <w:rsid w:val="00961170"/>
    <w:rsid w:val="0096150D"/>
    <w:rsid w:val="00961C24"/>
    <w:rsid w:val="00961E7C"/>
    <w:rsid w:val="00962422"/>
    <w:rsid w:val="00962978"/>
    <w:rsid w:val="00963469"/>
    <w:rsid w:val="00963547"/>
    <w:rsid w:val="00963AB0"/>
    <w:rsid w:val="00964512"/>
    <w:rsid w:val="00964771"/>
    <w:rsid w:val="00964D38"/>
    <w:rsid w:val="009653AC"/>
    <w:rsid w:val="009653FD"/>
    <w:rsid w:val="00965617"/>
    <w:rsid w:val="00965A06"/>
    <w:rsid w:val="0096703E"/>
    <w:rsid w:val="00967667"/>
    <w:rsid w:val="009711C3"/>
    <w:rsid w:val="009718A3"/>
    <w:rsid w:val="00972807"/>
    <w:rsid w:val="00972947"/>
    <w:rsid w:val="00972CEE"/>
    <w:rsid w:val="009733FF"/>
    <w:rsid w:val="00973924"/>
    <w:rsid w:val="00973D31"/>
    <w:rsid w:val="00973D5F"/>
    <w:rsid w:val="0097411C"/>
    <w:rsid w:val="009744D8"/>
    <w:rsid w:val="00974733"/>
    <w:rsid w:val="00974A67"/>
    <w:rsid w:val="00974B37"/>
    <w:rsid w:val="00975334"/>
    <w:rsid w:val="00975AB4"/>
    <w:rsid w:val="00975E14"/>
    <w:rsid w:val="00975FE0"/>
    <w:rsid w:val="00977135"/>
    <w:rsid w:val="00977650"/>
    <w:rsid w:val="0097798A"/>
    <w:rsid w:val="00977B56"/>
    <w:rsid w:val="00977EA7"/>
    <w:rsid w:val="00980536"/>
    <w:rsid w:val="00981017"/>
    <w:rsid w:val="00981413"/>
    <w:rsid w:val="00982D89"/>
    <w:rsid w:val="0098349D"/>
    <w:rsid w:val="00983644"/>
    <w:rsid w:val="0098389A"/>
    <w:rsid w:val="00983CAE"/>
    <w:rsid w:val="00983EC5"/>
    <w:rsid w:val="009840F6"/>
    <w:rsid w:val="009843E4"/>
    <w:rsid w:val="00984437"/>
    <w:rsid w:val="00984D54"/>
    <w:rsid w:val="00984E0F"/>
    <w:rsid w:val="00984E4E"/>
    <w:rsid w:val="00985911"/>
    <w:rsid w:val="00985952"/>
    <w:rsid w:val="00985D38"/>
    <w:rsid w:val="009872FD"/>
    <w:rsid w:val="0098795F"/>
    <w:rsid w:val="009903C3"/>
    <w:rsid w:val="00990471"/>
    <w:rsid w:val="00990499"/>
    <w:rsid w:val="009905AB"/>
    <w:rsid w:val="009907AC"/>
    <w:rsid w:val="009911B3"/>
    <w:rsid w:val="00991360"/>
    <w:rsid w:val="00991B78"/>
    <w:rsid w:val="00992A1D"/>
    <w:rsid w:val="00992C3B"/>
    <w:rsid w:val="00993130"/>
    <w:rsid w:val="00993814"/>
    <w:rsid w:val="00993F0C"/>
    <w:rsid w:val="00994068"/>
    <w:rsid w:val="00994246"/>
    <w:rsid w:val="009946CE"/>
    <w:rsid w:val="009949A8"/>
    <w:rsid w:val="00994ACE"/>
    <w:rsid w:val="009959FE"/>
    <w:rsid w:val="00995C7D"/>
    <w:rsid w:val="00996500"/>
    <w:rsid w:val="00996697"/>
    <w:rsid w:val="00996F06"/>
    <w:rsid w:val="00997DAF"/>
    <w:rsid w:val="00997F5B"/>
    <w:rsid w:val="009A000A"/>
    <w:rsid w:val="009A025A"/>
    <w:rsid w:val="009A08D4"/>
    <w:rsid w:val="009A0EC6"/>
    <w:rsid w:val="009A185A"/>
    <w:rsid w:val="009A3151"/>
    <w:rsid w:val="009A318A"/>
    <w:rsid w:val="009A389F"/>
    <w:rsid w:val="009A4230"/>
    <w:rsid w:val="009A425C"/>
    <w:rsid w:val="009A4F2F"/>
    <w:rsid w:val="009A50EA"/>
    <w:rsid w:val="009A5399"/>
    <w:rsid w:val="009A5A4C"/>
    <w:rsid w:val="009A5A63"/>
    <w:rsid w:val="009A678E"/>
    <w:rsid w:val="009A6F47"/>
    <w:rsid w:val="009B0724"/>
    <w:rsid w:val="009B0835"/>
    <w:rsid w:val="009B1C9E"/>
    <w:rsid w:val="009B1EFD"/>
    <w:rsid w:val="009B2248"/>
    <w:rsid w:val="009B22B4"/>
    <w:rsid w:val="009B2352"/>
    <w:rsid w:val="009B2BCD"/>
    <w:rsid w:val="009B2D0E"/>
    <w:rsid w:val="009B411B"/>
    <w:rsid w:val="009B41A5"/>
    <w:rsid w:val="009B47CD"/>
    <w:rsid w:val="009B4CD6"/>
    <w:rsid w:val="009B671E"/>
    <w:rsid w:val="009B689D"/>
    <w:rsid w:val="009B6B07"/>
    <w:rsid w:val="009B7603"/>
    <w:rsid w:val="009B768B"/>
    <w:rsid w:val="009B7D83"/>
    <w:rsid w:val="009B7E04"/>
    <w:rsid w:val="009C017F"/>
    <w:rsid w:val="009C0821"/>
    <w:rsid w:val="009C0A5F"/>
    <w:rsid w:val="009C0D09"/>
    <w:rsid w:val="009C18DB"/>
    <w:rsid w:val="009C19BD"/>
    <w:rsid w:val="009C1B0C"/>
    <w:rsid w:val="009C1B12"/>
    <w:rsid w:val="009C37B7"/>
    <w:rsid w:val="009C4001"/>
    <w:rsid w:val="009C442E"/>
    <w:rsid w:val="009C4704"/>
    <w:rsid w:val="009C4F37"/>
    <w:rsid w:val="009C5637"/>
    <w:rsid w:val="009C6496"/>
    <w:rsid w:val="009C6D14"/>
    <w:rsid w:val="009C747A"/>
    <w:rsid w:val="009C7511"/>
    <w:rsid w:val="009C7DEF"/>
    <w:rsid w:val="009C7E89"/>
    <w:rsid w:val="009D1564"/>
    <w:rsid w:val="009D15A1"/>
    <w:rsid w:val="009D1822"/>
    <w:rsid w:val="009D1C17"/>
    <w:rsid w:val="009D1DB8"/>
    <w:rsid w:val="009D2113"/>
    <w:rsid w:val="009D36FF"/>
    <w:rsid w:val="009D3AD6"/>
    <w:rsid w:val="009D3F71"/>
    <w:rsid w:val="009D404B"/>
    <w:rsid w:val="009D447B"/>
    <w:rsid w:val="009D4E18"/>
    <w:rsid w:val="009D54DB"/>
    <w:rsid w:val="009D5A83"/>
    <w:rsid w:val="009D5E7B"/>
    <w:rsid w:val="009D6967"/>
    <w:rsid w:val="009D6B84"/>
    <w:rsid w:val="009D71B4"/>
    <w:rsid w:val="009D79E6"/>
    <w:rsid w:val="009D7BD6"/>
    <w:rsid w:val="009E060F"/>
    <w:rsid w:val="009E0EB2"/>
    <w:rsid w:val="009E13A5"/>
    <w:rsid w:val="009E150E"/>
    <w:rsid w:val="009E16E8"/>
    <w:rsid w:val="009E1B7C"/>
    <w:rsid w:val="009E2139"/>
    <w:rsid w:val="009E23DA"/>
    <w:rsid w:val="009E288D"/>
    <w:rsid w:val="009E28F0"/>
    <w:rsid w:val="009E37DA"/>
    <w:rsid w:val="009E3E51"/>
    <w:rsid w:val="009E3F6C"/>
    <w:rsid w:val="009E41AC"/>
    <w:rsid w:val="009E4CAF"/>
    <w:rsid w:val="009E4F30"/>
    <w:rsid w:val="009E56EC"/>
    <w:rsid w:val="009E6024"/>
    <w:rsid w:val="009E6404"/>
    <w:rsid w:val="009E7678"/>
    <w:rsid w:val="009E7910"/>
    <w:rsid w:val="009E7F45"/>
    <w:rsid w:val="009F019E"/>
    <w:rsid w:val="009F0223"/>
    <w:rsid w:val="009F0693"/>
    <w:rsid w:val="009F09B6"/>
    <w:rsid w:val="009F108C"/>
    <w:rsid w:val="009F112E"/>
    <w:rsid w:val="009F154A"/>
    <w:rsid w:val="009F17C9"/>
    <w:rsid w:val="009F2476"/>
    <w:rsid w:val="009F262A"/>
    <w:rsid w:val="009F29D6"/>
    <w:rsid w:val="009F2CE4"/>
    <w:rsid w:val="009F40AF"/>
    <w:rsid w:val="009F4211"/>
    <w:rsid w:val="009F4218"/>
    <w:rsid w:val="009F4AE8"/>
    <w:rsid w:val="009F5141"/>
    <w:rsid w:val="009F537D"/>
    <w:rsid w:val="009F55AB"/>
    <w:rsid w:val="009F575B"/>
    <w:rsid w:val="009F5B28"/>
    <w:rsid w:val="009F607A"/>
    <w:rsid w:val="009F6165"/>
    <w:rsid w:val="009F6309"/>
    <w:rsid w:val="009F6657"/>
    <w:rsid w:val="009F7564"/>
    <w:rsid w:val="009F7608"/>
    <w:rsid w:val="009F7AEA"/>
    <w:rsid w:val="009F7E48"/>
    <w:rsid w:val="009F7F5E"/>
    <w:rsid w:val="00A00080"/>
    <w:rsid w:val="00A00465"/>
    <w:rsid w:val="00A00969"/>
    <w:rsid w:val="00A00CED"/>
    <w:rsid w:val="00A01AE1"/>
    <w:rsid w:val="00A01E0A"/>
    <w:rsid w:val="00A03749"/>
    <w:rsid w:val="00A03B04"/>
    <w:rsid w:val="00A0440B"/>
    <w:rsid w:val="00A05FB2"/>
    <w:rsid w:val="00A06169"/>
    <w:rsid w:val="00A07224"/>
    <w:rsid w:val="00A07465"/>
    <w:rsid w:val="00A07672"/>
    <w:rsid w:val="00A07D42"/>
    <w:rsid w:val="00A107E0"/>
    <w:rsid w:val="00A10A2D"/>
    <w:rsid w:val="00A10A57"/>
    <w:rsid w:val="00A11A60"/>
    <w:rsid w:val="00A12B7D"/>
    <w:rsid w:val="00A14452"/>
    <w:rsid w:val="00A14667"/>
    <w:rsid w:val="00A1467D"/>
    <w:rsid w:val="00A1567F"/>
    <w:rsid w:val="00A15B25"/>
    <w:rsid w:val="00A15EC6"/>
    <w:rsid w:val="00A16435"/>
    <w:rsid w:val="00A16582"/>
    <w:rsid w:val="00A169F6"/>
    <w:rsid w:val="00A16DE7"/>
    <w:rsid w:val="00A17988"/>
    <w:rsid w:val="00A17BF8"/>
    <w:rsid w:val="00A2064B"/>
    <w:rsid w:val="00A209F7"/>
    <w:rsid w:val="00A20CBB"/>
    <w:rsid w:val="00A21460"/>
    <w:rsid w:val="00A2200A"/>
    <w:rsid w:val="00A2234E"/>
    <w:rsid w:val="00A226A9"/>
    <w:rsid w:val="00A22950"/>
    <w:rsid w:val="00A22E89"/>
    <w:rsid w:val="00A230AD"/>
    <w:rsid w:val="00A23490"/>
    <w:rsid w:val="00A23597"/>
    <w:rsid w:val="00A235C8"/>
    <w:rsid w:val="00A23A4B"/>
    <w:rsid w:val="00A23BCE"/>
    <w:rsid w:val="00A23ED7"/>
    <w:rsid w:val="00A241D2"/>
    <w:rsid w:val="00A242D5"/>
    <w:rsid w:val="00A24F97"/>
    <w:rsid w:val="00A24FCA"/>
    <w:rsid w:val="00A25104"/>
    <w:rsid w:val="00A2548D"/>
    <w:rsid w:val="00A255D6"/>
    <w:rsid w:val="00A25709"/>
    <w:rsid w:val="00A25B43"/>
    <w:rsid w:val="00A25EA9"/>
    <w:rsid w:val="00A262D1"/>
    <w:rsid w:val="00A262E7"/>
    <w:rsid w:val="00A267AB"/>
    <w:rsid w:val="00A26E80"/>
    <w:rsid w:val="00A272C8"/>
    <w:rsid w:val="00A27F1A"/>
    <w:rsid w:val="00A30411"/>
    <w:rsid w:val="00A3066E"/>
    <w:rsid w:val="00A306E8"/>
    <w:rsid w:val="00A308F6"/>
    <w:rsid w:val="00A30A75"/>
    <w:rsid w:val="00A317D7"/>
    <w:rsid w:val="00A3231C"/>
    <w:rsid w:val="00A32460"/>
    <w:rsid w:val="00A327AA"/>
    <w:rsid w:val="00A32EAB"/>
    <w:rsid w:val="00A33C19"/>
    <w:rsid w:val="00A34303"/>
    <w:rsid w:val="00A3487D"/>
    <w:rsid w:val="00A3488A"/>
    <w:rsid w:val="00A34A0B"/>
    <w:rsid w:val="00A35050"/>
    <w:rsid w:val="00A35554"/>
    <w:rsid w:val="00A3586F"/>
    <w:rsid w:val="00A36ADD"/>
    <w:rsid w:val="00A37BFF"/>
    <w:rsid w:val="00A4040B"/>
    <w:rsid w:val="00A41283"/>
    <w:rsid w:val="00A41C9E"/>
    <w:rsid w:val="00A42655"/>
    <w:rsid w:val="00A42688"/>
    <w:rsid w:val="00A42CA3"/>
    <w:rsid w:val="00A42F26"/>
    <w:rsid w:val="00A435CE"/>
    <w:rsid w:val="00A44C91"/>
    <w:rsid w:val="00A44D3C"/>
    <w:rsid w:val="00A45852"/>
    <w:rsid w:val="00A45F35"/>
    <w:rsid w:val="00A46099"/>
    <w:rsid w:val="00A463D7"/>
    <w:rsid w:val="00A46CA9"/>
    <w:rsid w:val="00A50ECA"/>
    <w:rsid w:val="00A51109"/>
    <w:rsid w:val="00A51614"/>
    <w:rsid w:val="00A5206F"/>
    <w:rsid w:val="00A52092"/>
    <w:rsid w:val="00A52915"/>
    <w:rsid w:val="00A53AD0"/>
    <w:rsid w:val="00A540AC"/>
    <w:rsid w:val="00A547FB"/>
    <w:rsid w:val="00A549B0"/>
    <w:rsid w:val="00A54FF4"/>
    <w:rsid w:val="00A555AF"/>
    <w:rsid w:val="00A55BEE"/>
    <w:rsid w:val="00A55C70"/>
    <w:rsid w:val="00A55E27"/>
    <w:rsid w:val="00A560B9"/>
    <w:rsid w:val="00A56A65"/>
    <w:rsid w:val="00A56C17"/>
    <w:rsid w:val="00A56CE6"/>
    <w:rsid w:val="00A57162"/>
    <w:rsid w:val="00A57928"/>
    <w:rsid w:val="00A6031D"/>
    <w:rsid w:val="00A6050E"/>
    <w:rsid w:val="00A610D4"/>
    <w:rsid w:val="00A6139B"/>
    <w:rsid w:val="00A61D36"/>
    <w:rsid w:val="00A622F8"/>
    <w:rsid w:val="00A62D9D"/>
    <w:rsid w:val="00A634C7"/>
    <w:rsid w:val="00A63999"/>
    <w:rsid w:val="00A63A22"/>
    <w:rsid w:val="00A63ADF"/>
    <w:rsid w:val="00A63E78"/>
    <w:rsid w:val="00A640FD"/>
    <w:rsid w:val="00A645B7"/>
    <w:rsid w:val="00A64C71"/>
    <w:rsid w:val="00A64D58"/>
    <w:rsid w:val="00A65094"/>
    <w:rsid w:val="00A65662"/>
    <w:rsid w:val="00A65B1A"/>
    <w:rsid w:val="00A65C18"/>
    <w:rsid w:val="00A66B9B"/>
    <w:rsid w:val="00A67A22"/>
    <w:rsid w:val="00A67B04"/>
    <w:rsid w:val="00A67C0D"/>
    <w:rsid w:val="00A67F9A"/>
    <w:rsid w:val="00A71449"/>
    <w:rsid w:val="00A71C6C"/>
    <w:rsid w:val="00A72137"/>
    <w:rsid w:val="00A724A7"/>
    <w:rsid w:val="00A72577"/>
    <w:rsid w:val="00A72A46"/>
    <w:rsid w:val="00A73610"/>
    <w:rsid w:val="00A73874"/>
    <w:rsid w:val="00A7395A"/>
    <w:rsid w:val="00A73B6E"/>
    <w:rsid w:val="00A75686"/>
    <w:rsid w:val="00A763DE"/>
    <w:rsid w:val="00A76547"/>
    <w:rsid w:val="00A76769"/>
    <w:rsid w:val="00A7678C"/>
    <w:rsid w:val="00A767EA"/>
    <w:rsid w:val="00A77133"/>
    <w:rsid w:val="00A77968"/>
    <w:rsid w:val="00A802AB"/>
    <w:rsid w:val="00A80887"/>
    <w:rsid w:val="00A81DA1"/>
    <w:rsid w:val="00A81FDE"/>
    <w:rsid w:val="00A8231E"/>
    <w:rsid w:val="00A824C0"/>
    <w:rsid w:val="00A82E27"/>
    <w:rsid w:val="00A82EE5"/>
    <w:rsid w:val="00A83858"/>
    <w:rsid w:val="00A83F45"/>
    <w:rsid w:val="00A85270"/>
    <w:rsid w:val="00A857BD"/>
    <w:rsid w:val="00A858D7"/>
    <w:rsid w:val="00A85F84"/>
    <w:rsid w:val="00A85FA9"/>
    <w:rsid w:val="00A86524"/>
    <w:rsid w:val="00A8667C"/>
    <w:rsid w:val="00A8672C"/>
    <w:rsid w:val="00A86914"/>
    <w:rsid w:val="00A875C9"/>
    <w:rsid w:val="00A87B2F"/>
    <w:rsid w:val="00A92838"/>
    <w:rsid w:val="00A93109"/>
    <w:rsid w:val="00A931FE"/>
    <w:rsid w:val="00A94720"/>
    <w:rsid w:val="00A949E1"/>
    <w:rsid w:val="00A952CC"/>
    <w:rsid w:val="00A952F3"/>
    <w:rsid w:val="00A95B15"/>
    <w:rsid w:val="00A95C16"/>
    <w:rsid w:val="00A95DC4"/>
    <w:rsid w:val="00A96850"/>
    <w:rsid w:val="00A96991"/>
    <w:rsid w:val="00A969D0"/>
    <w:rsid w:val="00A96CF6"/>
    <w:rsid w:val="00A97217"/>
    <w:rsid w:val="00AA0365"/>
    <w:rsid w:val="00AA055E"/>
    <w:rsid w:val="00AA068D"/>
    <w:rsid w:val="00AA06F6"/>
    <w:rsid w:val="00AA0862"/>
    <w:rsid w:val="00AA0F26"/>
    <w:rsid w:val="00AA142B"/>
    <w:rsid w:val="00AA16D5"/>
    <w:rsid w:val="00AA1B23"/>
    <w:rsid w:val="00AA27D5"/>
    <w:rsid w:val="00AA2808"/>
    <w:rsid w:val="00AA280B"/>
    <w:rsid w:val="00AA29F4"/>
    <w:rsid w:val="00AA2D8D"/>
    <w:rsid w:val="00AA3277"/>
    <w:rsid w:val="00AA38B9"/>
    <w:rsid w:val="00AA4F3C"/>
    <w:rsid w:val="00AA56A6"/>
    <w:rsid w:val="00AA59C8"/>
    <w:rsid w:val="00AA5AE4"/>
    <w:rsid w:val="00AA6B1F"/>
    <w:rsid w:val="00AA6D6A"/>
    <w:rsid w:val="00AA6DE1"/>
    <w:rsid w:val="00AA7280"/>
    <w:rsid w:val="00AA7E51"/>
    <w:rsid w:val="00AB0182"/>
    <w:rsid w:val="00AB0472"/>
    <w:rsid w:val="00AB05A5"/>
    <w:rsid w:val="00AB08F4"/>
    <w:rsid w:val="00AB237B"/>
    <w:rsid w:val="00AB2568"/>
    <w:rsid w:val="00AB2DEC"/>
    <w:rsid w:val="00AB2E28"/>
    <w:rsid w:val="00AB369C"/>
    <w:rsid w:val="00AB38DB"/>
    <w:rsid w:val="00AB3F54"/>
    <w:rsid w:val="00AB433D"/>
    <w:rsid w:val="00AB4530"/>
    <w:rsid w:val="00AB49E3"/>
    <w:rsid w:val="00AB4B1A"/>
    <w:rsid w:val="00AB6167"/>
    <w:rsid w:val="00AB67FE"/>
    <w:rsid w:val="00AB759C"/>
    <w:rsid w:val="00AB7614"/>
    <w:rsid w:val="00AB7C04"/>
    <w:rsid w:val="00AC054B"/>
    <w:rsid w:val="00AC0D1D"/>
    <w:rsid w:val="00AC0D91"/>
    <w:rsid w:val="00AC128A"/>
    <w:rsid w:val="00AC24C3"/>
    <w:rsid w:val="00AC2710"/>
    <w:rsid w:val="00AC2897"/>
    <w:rsid w:val="00AC2DD5"/>
    <w:rsid w:val="00AC2EE6"/>
    <w:rsid w:val="00AC3AE3"/>
    <w:rsid w:val="00AC407B"/>
    <w:rsid w:val="00AC4B5F"/>
    <w:rsid w:val="00AC5234"/>
    <w:rsid w:val="00AC541B"/>
    <w:rsid w:val="00AC56C8"/>
    <w:rsid w:val="00AC611B"/>
    <w:rsid w:val="00AC685E"/>
    <w:rsid w:val="00AC6936"/>
    <w:rsid w:val="00AC6F22"/>
    <w:rsid w:val="00AC7D1A"/>
    <w:rsid w:val="00AC9F4B"/>
    <w:rsid w:val="00AD05C9"/>
    <w:rsid w:val="00AD13F3"/>
    <w:rsid w:val="00AD2367"/>
    <w:rsid w:val="00AD299F"/>
    <w:rsid w:val="00AD2A18"/>
    <w:rsid w:val="00AD2CBE"/>
    <w:rsid w:val="00AD46C7"/>
    <w:rsid w:val="00AD4F00"/>
    <w:rsid w:val="00AD57D9"/>
    <w:rsid w:val="00AD6009"/>
    <w:rsid w:val="00AD6081"/>
    <w:rsid w:val="00AD6179"/>
    <w:rsid w:val="00AD61C7"/>
    <w:rsid w:val="00AD623C"/>
    <w:rsid w:val="00AD66FE"/>
    <w:rsid w:val="00AD67AB"/>
    <w:rsid w:val="00AD6C3A"/>
    <w:rsid w:val="00AD6D3A"/>
    <w:rsid w:val="00AD6EC6"/>
    <w:rsid w:val="00AD76EF"/>
    <w:rsid w:val="00AD7A85"/>
    <w:rsid w:val="00AD7D9F"/>
    <w:rsid w:val="00ADE48D"/>
    <w:rsid w:val="00AE0169"/>
    <w:rsid w:val="00AE0454"/>
    <w:rsid w:val="00AE0CEA"/>
    <w:rsid w:val="00AE0F30"/>
    <w:rsid w:val="00AE1558"/>
    <w:rsid w:val="00AE1872"/>
    <w:rsid w:val="00AE1911"/>
    <w:rsid w:val="00AE1D60"/>
    <w:rsid w:val="00AE2577"/>
    <w:rsid w:val="00AE2CA5"/>
    <w:rsid w:val="00AE2EF6"/>
    <w:rsid w:val="00AE3408"/>
    <w:rsid w:val="00AE3493"/>
    <w:rsid w:val="00AE3E9F"/>
    <w:rsid w:val="00AE3F39"/>
    <w:rsid w:val="00AE4B62"/>
    <w:rsid w:val="00AE4BC3"/>
    <w:rsid w:val="00AE4F8D"/>
    <w:rsid w:val="00AE598C"/>
    <w:rsid w:val="00AE5A69"/>
    <w:rsid w:val="00AE5D43"/>
    <w:rsid w:val="00AE63F5"/>
    <w:rsid w:val="00AE7140"/>
    <w:rsid w:val="00AE7D54"/>
    <w:rsid w:val="00AF02FD"/>
    <w:rsid w:val="00AF0681"/>
    <w:rsid w:val="00AF0B68"/>
    <w:rsid w:val="00AF0C09"/>
    <w:rsid w:val="00AF0F83"/>
    <w:rsid w:val="00AF139E"/>
    <w:rsid w:val="00AF29F0"/>
    <w:rsid w:val="00AF2DFE"/>
    <w:rsid w:val="00AF2ED9"/>
    <w:rsid w:val="00AF31D2"/>
    <w:rsid w:val="00AF3503"/>
    <w:rsid w:val="00AF36E8"/>
    <w:rsid w:val="00AF3A3A"/>
    <w:rsid w:val="00AF3C3C"/>
    <w:rsid w:val="00AF3F32"/>
    <w:rsid w:val="00AF47C1"/>
    <w:rsid w:val="00AF4AA3"/>
    <w:rsid w:val="00AF4D53"/>
    <w:rsid w:val="00AF5AEF"/>
    <w:rsid w:val="00AF5B46"/>
    <w:rsid w:val="00AF5B95"/>
    <w:rsid w:val="00AF5D74"/>
    <w:rsid w:val="00AF61E6"/>
    <w:rsid w:val="00AF666F"/>
    <w:rsid w:val="00AF692A"/>
    <w:rsid w:val="00AF6EEF"/>
    <w:rsid w:val="00AF7157"/>
    <w:rsid w:val="00AF76E0"/>
    <w:rsid w:val="00AF7995"/>
    <w:rsid w:val="00AF7AD3"/>
    <w:rsid w:val="00B000B8"/>
    <w:rsid w:val="00B00522"/>
    <w:rsid w:val="00B006DF"/>
    <w:rsid w:val="00B014D7"/>
    <w:rsid w:val="00B01B03"/>
    <w:rsid w:val="00B01D55"/>
    <w:rsid w:val="00B01FF5"/>
    <w:rsid w:val="00B023BE"/>
    <w:rsid w:val="00B028D5"/>
    <w:rsid w:val="00B02F1C"/>
    <w:rsid w:val="00B031F2"/>
    <w:rsid w:val="00B049ED"/>
    <w:rsid w:val="00B04EBB"/>
    <w:rsid w:val="00B0546D"/>
    <w:rsid w:val="00B056BA"/>
    <w:rsid w:val="00B0641A"/>
    <w:rsid w:val="00B06A72"/>
    <w:rsid w:val="00B06DDF"/>
    <w:rsid w:val="00B0716F"/>
    <w:rsid w:val="00B071CF"/>
    <w:rsid w:val="00B079F2"/>
    <w:rsid w:val="00B07AD6"/>
    <w:rsid w:val="00B103DE"/>
    <w:rsid w:val="00B1059A"/>
    <w:rsid w:val="00B10E4C"/>
    <w:rsid w:val="00B126EE"/>
    <w:rsid w:val="00B12A8F"/>
    <w:rsid w:val="00B13E08"/>
    <w:rsid w:val="00B13E0C"/>
    <w:rsid w:val="00B14530"/>
    <w:rsid w:val="00B14780"/>
    <w:rsid w:val="00B15021"/>
    <w:rsid w:val="00B15194"/>
    <w:rsid w:val="00B152EA"/>
    <w:rsid w:val="00B15391"/>
    <w:rsid w:val="00B1677B"/>
    <w:rsid w:val="00B167FD"/>
    <w:rsid w:val="00B16C04"/>
    <w:rsid w:val="00B17390"/>
    <w:rsid w:val="00B200EC"/>
    <w:rsid w:val="00B205B2"/>
    <w:rsid w:val="00B21D87"/>
    <w:rsid w:val="00B22056"/>
    <w:rsid w:val="00B22426"/>
    <w:rsid w:val="00B22585"/>
    <w:rsid w:val="00B22E21"/>
    <w:rsid w:val="00B232C5"/>
    <w:rsid w:val="00B24084"/>
    <w:rsid w:val="00B2427B"/>
    <w:rsid w:val="00B24FBD"/>
    <w:rsid w:val="00B25DD7"/>
    <w:rsid w:val="00B25F75"/>
    <w:rsid w:val="00B25FEC"/>
    <w:rsid w:val="00B260F9"/>
    <w:rsid w:val="00B2631A"/>
    <w:rsid w:val="00B268A9"/>
    <w:rsid w:val="00B26D06"/>
    <w:rsid w:val="00B26FE0"/>
    <w:rsid w:val="00B27636"/>
    <w:rsid w:val="00B304BD"/>
    <w:rsid w:val="00B31AED"/>
    <w:rsid w:val="00B32027"/>
    <w:rsid w:val="00B320D1"/>
    <w:rsid w:val="00B33151"/>
    <w:rsid w:val="00B33A1E"/>
    <w:rsid w:val="00B34F6E"/>
    <w:rsid w:val="00B34FC0"/>
    <w:rsid w:val="00B356C7"/>
    <w:rsid w:val="00B35BA2"/>
    <w:rsid w:val="00B369E9"/>
    <w:rsid w:val="00B377A8"/>
    <w:rsid w:val="00B37823"/>
    <w:rsid w:val="00B37B06"/>
    <w:rsid w:val="00B37E28"/>
    <w:rsid w:val="00B40534"/>
    <w:rsid w:val="00B414A0"/>
    <w:rsid w:val="00B41730"/>
    <w:rsid w:val="00B425B2"/>
    <w:rsid w:val="00B42709"/>
    <w:rsid w:val="00B42AF7"/>
    <w:rsid w:val="00B43C42"/>
    <w:rsid w:val="00B44509"/>
    <w:rsid w:val="00B447C5"/>
    <w:rsid w:val="00B44E9C"/>
    <w:rsid w:val="00B4503C"/>
    <w:rsid w:val="00B45176"/>
    <w:rsid w:val="00B459C3"/>
    <w:rsid w:val="00B45AB7"/>
    <w:rsid w:val="00B45C51"/>
    <w:rsid w:val="00B45FA6"/>
    <w:rsid w:val="00B4671E"/>
    <w:rsid w:val="00B46DC3"/>
    <w:rsid w:val="00B50353"/>
    <w:rsid w:val="00B50367"/>
    <w:rsid w:val="00B50A32"/>
    <w:rsid w:val="00B50CEE"/>
    <w:rsid w:val="00B50E29"/>
    <w:rsid w:val="00B5123C"/>
    <w:rsid w:val="00B5140E"/>
    <w:rsid w:val="00B5157C"/>
    <w:rsid w:val="00B51B32"/>
    <w:rsid w:val="00B524E0"/>
    <w:rsid w:val="00B534FA"/>
    <w:rsid w:val="00B540BE"/>
    <w:rsid w:val="00B54E70"/>
    <w:rsid w:val="00B54EBE"/>
    <w:rsid w:val="00B55792"/>
    <w:rsid w:val="00B55B51"/>
    <w:rsid w:val="00B56F79"/>
    <w:rsid w:val="00B57613"/>
    <w:rsid w:val="00B5768B"/>
    <w:rsid w:val="00B600F6"/>
    <w:rsid w:val="00B60A36"/>
    <w:rsid w:val="00B60A55"/>
    <w:rsid w:val="00B60FFF"/>
    <w:rsid w:val="00B61978"/>
    <w:rsid w:val="00B62770"/>
    <w:rsid w:val="00B6389F"/>
    <w:rsid w:val="00B640E1"/>
    <w:rsid w:val="00B64C36"/>
    <w:rsid w:val="00B656E0"/>
    <w:rsid w:val="00B65A3F"/>
    <w:rsid w:val="00B66152"/>
    <w:rsid w:val="00B6647C"/>
    <w:rsid w:val="00B673C4"/>
    <w:rsid w:val="00B70717"/>
    <w:rsid w:val="00B70F63"/>
    <w:rsid w:val="00B71328"/>
    <w:rsid w:val="00B715CE"/>
    <w:rsid w:val="00B719D7"/>
    <w:rsid w:val="00B72432"/>
    <w:rsid w:val="00B72689"/>
    <w:rsid w:val="00B72914"/>
    <w:rsid w:val="00B72AC6"/>
    <w:rsid w:val="00B749A5"/>
    <w:rsid w:val="00B74BBA"/>
    <w:rsid w:val="00B753A7"/>
    <w:rsid w:val="00B75DDA"/>
    <w:rsid w:val="00B75E8C"/>
    <w:rsid w:val="00B76233"/>
    <w:rsid w:val="00B765E8"/>
    <w:rsid w:val="00B77628"/>
    <w:rsid w:val="00B803DF"/>
    <w:rsid w:val="00B809E2"/>
    <w:rsid w:val="00B81212"/>
    <w:rsid w:val="00B81AF9"/>
    <w:rsid w:val="00B81D1E"/>
    <w:rsid w:val="00B827E2"/>
    <w:rsid w:val="00B82ADC"/>
    <w:rsid w:val="00B82F5A"/>
    <w:rsid w:val="00B83834"/>
    <w:rsid w:val="00B839AD"/>
    <w:rsid w:val="00B83A13"/>
    <w:rsid w:val="00B83D7A"/>
    <w:rsid w:val="00B8403E"/>
    <w:rsid w:val="00B84609"/>
    <w:rsid w:val="00B85FEE"/>
    <w:rsid w:val="00B863C4"/>
    <w:rsid w:val="00B86BE0"/>
    <w:rsid w:val="00B86E02"/>
    <w:rsid w:val="00B87110"/>
    <w:rsid w:val="00B872F6"/>
    <w:rsid w:val="00B879F0"/>
    <w:rsid w:val="00B90C71"/>
    <w:rsid w:val="00B91B04"/>
    <w:rsid w:val="00B924A5"/>
    <w:rsid w:val="00B924BA"/>
    <w:rsid w:val="00B92A42"/>
    <w:rsid w:val="00B931CF"/>
    <w:rsid w:val="00B93965"/>
    <w:rsid w:val="00B93EE4"/>
    <w:rsid w:val="00B95D38"/>
    <w:rsid w:val="00B9632D"/>
    <w:rsid w:val="00B9643B"/>
    <w:rsid w:val="00B978A1"/>
    <w:rsid w:val="00BA0676"/>
    <w:rsid w:val="00BA0B79"/>
    <w:rsid w:val="00BA1AC1"/>
    <w:rsid w:val="00BA1AE9"/>
    <w:rsid w:val="00BA20EE"/>
    <w:rsid w:val="00BA2176"/>
    <w:rsid w:val="00BA21FB"/>
    <w:rsid w:val="00BA2C5B"/>
    <w:rsid w:val="00BA35CB"/>
    <w:rsid w:val="00BA4C3F"/>
    <w:rsid w:val="00BA593F"/>
    <w:rsid w:val="00BA5A9D"/>
    <w:rsid w:val="00BA5B0A"/>
    <w:rsid w:val="00BA5BF9"/>
    <w:rsid w:val="00BA5C31"/>
    <w:rsid w:val="00BA6117"/>
    <w:rsid w:val="00BA61F0"/>
    <w:rsid w:val="00BA677B"/>
    <w:rsid w:val="00BA69DE"/>
    <w:rsid w:val="00BA6AD5"/>
    <w:rsid w:val="00BA7159"/>
    <w:rsid w:val="00BA722C"/>
    <w:rsid w:val="00BA7539"/>
    <w:rsid w:val="00BA7865"/>
    <w:rsid w:val="00BA7AFE"/>
    <w:rsid w:val="00BB0CD9"/>
    <w:rsid w:val="00BB1B57"/>
    <w:rsid w:val="00BB1BD5"/>
    <w:rsid w:val="00BB2065"/>
    <w:rsid w:val="00BB326F"/>
    <w:rsid w:val="00BB39C8"/>
    <w:rsid w:val="00BB4158"/>
    <w:rsid w:val="00BB43E7"/>
    <w:rsid w:val="00BB48A9"/>
    <w:rsid w:val="00BB4F77"/>
    <w:rsid w:val="00BB4FC8"/>
    <w:rsid w:val="00BB636A"/>
    <w:rsid w:val="00BB76F6"/>
    <w:rsid w:val="00BB7FDB"/>
    <w:rsid w:val="00BC0312"/>
    <w:rsid w:val="00BC0CAF"/>
    <w:rsid w:val="00BC10B7"/>
    <w:rsid w:val="00BC1622"/>
    <w:rsid w:val="00BC1AF9"/>
    <w:rsid w:val="00BC2DCF"/>
    <w:rsid w:val="00BC3AE0"/>
    <w:rsid w:val="00BC3D02"/>
    <w:rsid w:val="00BC3E67"/>
    <w:rsid w:val="00BC4400"/>
    <w:rsid w:val="00BC4C2F"/>
    <w:rsid w:val="00BC4CCD"/>
    <w:rsid w:val="00BC546C"/>
    <w:rsid w:val="00BC5782"/>
    <w:rsid w:val="00BC5A0C"/>
    <w:rsid w:val="00BC5C22"/>
    <w:rsid w:val="00BC5EB7"/>
    <w:rsid w:val="00BC692B"/>
    <w:rsid w:val="00BC702D"/>
    <w:rsid w:val="00BD0647"/>
    <w:rsid w:val="00BD0755"/>
    <w:rsid w:val="00BD09DB"/>
    <w:rsid w:val="00BD09EF"/>
    <w:rsid w:val="00BD1272"/>
    <w:rsid w:val="00BD2569"/>
    <w:rsid w:val="00BD298F"/>
    <w:rsid w:val="00BD3099"/>
    <w:rsid w:val="00BD3B54"/>
    <w:rsid w:val="00BD41A1"/>
    <w:rsid w:val="00BD48F1"/>
    <w:rsid w:val="00BD5594"/>
    <w:rsid w:val="00BD6422"/>
    <w:rsid w:val="00BD69A1"/>
    <w:rsid w:val="00BD69F8"/>
    <w:rsid w:val="00BD6A0D"/>
    <w:rsid w:val="00BD756B"/>
    <w:rsid w:val="00BD75CD"/>
    <w:rsid w:val="00BD7F28"/>
    <w:rsid w:val="00BDF3F3"/>
    <w:rsid w:val="00BE05CB"/>
    <w:rsid w:val="00BE0612"/>
    <w:rsid w:val="00BE0A33"/>
    <w:rsid w:val="00BE15FA"/>
    <w:rsid w:val="00BE1E11"/>
    <w:rsid w:val="00BE28B4"/>
    <w:rsid w:val="00BE336B"/>
    <w:rsid w:val="00BE3552"/>
    <w:rsid w:val="00BE3AE1"/>
    <w:rsid w:val="00BE3E97"/>
    <w:rsid w:val="00BE442A"/>
    <w:rsid w:val="00BE47F7"/>
    <w:rsid w:val="00BE49A9"/>
    <w:rsid w:val="00BE4BAA"/>
    <w:rsid w:val="00BE56BC"/>
    <w:rsid w:val="00BE5A38"/>
    <w:rsid w:val="00BE5F8E"/>
    <w:rsid w:val="00BE6BBF"/>
    <w:rsid w:val="00BE71C2"/>
    <w:rsid w:val="00BE7247"/>
    <w:rsid w:val="00BE7AC3"/>
    <w:rsid w:val="00BE7DF0"/>
    <w:rsid w:val="00BF039E"/>
    <w:rsid w:val="00BF21E7"/>
    <w:rsid w:val="00BF2820"/>
    <w:rsid w:val="00BF2B96"/>
    <w:rsid w:val="00BF2D06"/>
    <w:rsid w:val="00BF3EDB"/>
    <w:rsid w:val="00BF4028"/>
    <w:rsid w:val="00BF415A"/>
    <w:rsid w:val="00BF49E8"/>
    <w:rsid w:val="00BF58DE"/>
    <w:rsid w:val="00BF6015"/>
    <w:rsid w:val="00BF6496"/>
    <w:rsid w:val="00BF681C"/>
    <w:rsid w:val="00BF70E0"/>
    <w:rsid w:val="00BF7268"/>
    <w:rsid w:val="00BF7C0B"/>
    <w:rsid w:val="00C007BA"/>
    <w:rsid w:val="00C01231"/>
    <w:rsid w:val="00C016A0"/>
    <w:rsid w:val="00C01B5F"/>
    <w:rsid w:val="00C01D27"/>
    <w:rsid w:val="00C01F13"/>
    <w:rsid w:val="00C021E2"/>
    <w:rsid w:val="00C027A0"/>
    <w:rsid w:val="00C0331A"/>
    <w:rsid w:val="00C03A2F"/>
    <w:rsid w:val="00C03BDB"/>
    <w:rsid w:val="00C048AB"/>
    <w:rsid w:val="00C05409"/>
    <w:rsid w:val="00C0564E"/>
    <w:rsid w:val="00C059C6"/>
    <w:rsid w:val="00C06001"/>
    <w:rsid w:val="00C06132"/>
    <w:rsid w:val="00C067FD"/>
    <w:rsid w:val="00C06DEA"/>
    <w:rsid w:val="00C06E51"/>
    <w:rsid w:val="00C070AC"/>
    <w:rsid w:val="00C07808"/>
    <w:rsid w:val="00C1085B"/>
    <w:rsid w:val="00C1099F"/>
    <w:rsid w:val="00C10B57"/>
    <w:rsid w:val="00C1122A"/>
    <w:rsid w:val="00C11379"/>
    <w:rsid w:val="00C113C1"/>
    <w:rsid w:val="00C1195C"/>
    <w:rsid w:val="00C121D4"/>
    <w:rsid w:val="00C1284C"/>
    <w:rsid w:val="00C134D6"/>
    <w:rsid w:val="00C1369F"/>
    <w:rsid w:val="00C138E2"/>
    <w:rsid w:val="00C14E38"/>
    <w:rsid w:val="00C152B2"/>
    <w:rsid w:val="00C15DF5"/>
    <w:rsid w:val="00C16785"/>
    <w:rsid w:val="00C16852"/>
    <w:rsid w:val="00C16F9F"/>
    <w:rsid w:val="00C17858"/>
    <w:rsid w:val="00C201D9"/>
    <w:rsid w:val="00C2207E"/>
    <w:rsid w:val="00C2242E"/>
    <w:rsid w:val="00C22EA4"/>
    <w:rsid w:val="00C23233"/>
    <w:rsid w:val="00C23C3A"/>
    <w:rsid w:val="00C23D93"/>
    <w:rsid w:val="00C24820"/>
    <w:rsid w:val="00C252D3"/>
    <w:rsid w:val="00C25516"/>
    <w:rsid w:val="00C25708"/>
    <w:rsid w:val="00C25C1F"/>
    <w:rsid w:val="00C25D0C"/>
    <w:rsid w:val="00C26302"/>
    <w:rsid w:val="00C27045"/>
    <w:rsid w:val="00C27336"/>
    <w:rsid w:val="00C27B04"/>
    <w:rsid w:val="00C301AA"/>
    <w:rsid w:val="00C3045B"/>
    <w:rsid w:val="00C30A9A"/>
    <w:rsid w:val="00C31911"/>
    <w:rsid w:val="00C31E9F"/>
    <w:rsid w:val="00C329F4"/>
    <w:rsid w:val="00C32CBF"/>
    <w:rsid w:val="00C3396F"/>
    <w:rsid w:val="00C3409E"/>
    <w:rsid w:val="00C3451D"/>
    <w:rsid w:val="00C3475F"/>
    <w:rsid w:val="00C34A06"/>
    <w:rsid w:val="00C34B72"/>
    <w:rsid w:val="00C34CCB"/>
    <w:rsid w:val="00C35786"/>
    <w:rsid w:val="00C368E3"/>
    <w:rsid w:val="00C36CC8"/>
    <w:rsid w:val="00C371B8"/>
    <w:rsid w:val="00C377F9"/>
    <w:rsid w:val="00C37B2F"/>
    <w:rsid w:val="00C4003C"/>
    <w:rsid w:val="00C40177"/>
    <w:rsid w:val="00C405E2"/>
    <w:rsid w:val="00C40744"/>
    <w:rsid w:val="00C40A48"/>
    <w:rsid w:val="00C41221"/>
    <w:rsid w:val="00C41E3C"/>
    <w:rsid w:val="00C42318"/>
    <w:rsid w:val="00C4329C"/>
    <w:rsid w:val="00C43530"/>
    <w:rsid w:val="00C438D0"/>
    <w:rsid w:val="00C439DC"/>
    <w:rsid w:val="00C43C73"/>
    <w:rsid w:val="00C440C6"/>
    <w:rsid w:val="00C4464E"/>
    <w:rsid w:val="00C45034"/>
    <w:rsid w:val="00C451ED"/>
    <w:rsid w:val="00C452FF"/>
    <w:rsid w:val="00C455E0"/>
    <w:rsid w:val="00C45AC6"/>
    <w:rsid w:val="00C4665A"/>
    <w:rsid w:val="00C46871"/>
    <w:rsid w:val="00C46933"/>
    <w:rsid w:val="00C4703E"/>
    <w:rsid w:val="00C47A4A"/>
    <w:rsid w:val="00C47C4F"/>
    <w:rsid w:val="00C505AA"/>
    <w:rsid w:val="00C512D2"/>
    <w:rsid w:val="00C516F2"/>
    <w:rsid w:val="00C51B2E"/>
    <w:rsid w:val="00C52C7A"/>
    <w:rsid w:val="00C52FC6"/>
    <w:rsid w:val="00C53225"/>
    <w:rsid w:val="00C53252"/>
    <w:rsid w:val="00C53588"/>
    <w:rsid w:val="00C5367F"/>
    <w:rsid w:val="00C539B3"/>
    <w:rsid w:val="00C53DD3"/>
    <w:rsid w:val="00C5418E"/>
    <w:rsid w:val="00C547C3"/>
    <w:rsid w:val="00C54975"/>
    <w:rsid w:val="00C54C8C"/>
    <w:rsid w:val="00C55428"/>
    <w:rsid w:val="00C55435"/>
    <w:rsid w:val="00C55467"/>
    <w:rsid w:val="00C55E04"/>
    <w:rsid w:val="00C562F1"/>
    <w:rsid w:val="00C576D0"/>
    <w:rsid w:val="00C6020A"/>
    <w:rsid w:val="00C60882"/>
    <w:rsid w:val="00C60DC8"/>
    <w:rsid w:val="00C60FA5"/>
    <w:rsid w:val="00C61172"/>
    <w:rsid w:val="00C61C9C"/>
    <w:rsid w:val="00C61D5B"/>
    <w:rsid w:val="00C621A4"/>
    <w:rsid w:val="00C627B6"/>
    <w:rsid w:val="00C62AA2"/>
    <w:rsid w:val="00C62CAC"/>
    <w:rsid w:val="00C6335D"/>
    <w:rsid w:val="00C635AA"/>
    <w:rsid w:val="00C642FF"/>
    <w:rsid w:val="00C64E70"/>
    <w:rsid w:val="00C664BA"/>
    <w:rsid w:val="00C67BD8"/>
    <w:rsid w:val="00C705D5"/>
    <w:rsid w:val="00C71F08"/>
    <w:rsid w:val="00C72D67"/>
    <w:rsid w:val="00C734CA"/>
    <w:rsid w:val="00C73CAA"/>
    <w:rsid w:val="00C7448E"/>
    <w:rsid w:val="00C74A89"/>
    <w:rsid w:val="00C74F86"/>
    <w:rsid w:val="00C7583B"/>
    <w:rsid w:val="00C75E44"/>
    <w:rsid w:val="00C7682D"/>
    <w:rsid w:val="00C76BB6"/>
    <w:rsid w:val="00C76C10"/>
    <w:rsid w:val="00C76F19"/>
    <w:rsid w:val="00C77847"/>
    <w:rsid w:val="00C77F5D"/>
    <w:rsid w:val="00C800C8"/>
    <w:rsid w:val="00C800D7"/>
    <w:rsid w:val="00C80195"/>
    <w:rsid w:val="00C8079D"/>
    <w:rsid w:val="00C808B6"/>
    <w:rsid w:val="00C810A5"/>
    <w:rsid w:val="00C81248"/>
    <w:rsid w:val="00C8243A"/>
    <w:rsid w:val="00C825D5"/>
    <w:rsid w:val="00C82B66"/>
    <w:rsid w:val="00C830A4"/>
    <w:rsid w:val="00C833D0"/>
    <w:rsid w:val="00C83506"/>
    <w:rsid w:val="00C84161"/>
    <w:rsid w:val="00C84294"/>
    <w:rsid w:val="00C84662"/>
    <w:rsid w:val="00C847C2"/>
    <w:rsid w:val="00C84ADA"/>
    <w:rsid w:val="00C84B15"/>
    <w:rsid w:val="00C84C1A"/>
    <w:rsid w:val="00C84CC8"/>
    <w:rsid w:val="00C84D16"/>
    <w:rsid w:val="00C8566D"/>
    <w:rsid w:val="00C86430"/>
    <w:rsid w:val="00C869C0"/>
    <w:rsid w:val="00C86B3E"/>
    <w:rsid w:val="00C870D7"/>
    <w:rsid w:val="00C87A3B"/>
    <w:rsid w:val="00C87E28"/>
    <w:rsid w:val="00C9121E"/>
    <w:rsid w:val="00C91D6F"/>
    <w:rsid w:val="00C92461"/>
    <w:rsid w:val="00C929D6"/>
    <w:rsid w:val="00C93BB5"/>
    <w:rsid w:val="00C94761"/>
    <w:rsid w:val="00C94F07"/>
    <w:rsid w:val="00C95459"/>
    <w:rsid w:val="00C95554"/>
    <w:rsid w:val="00C9676E"/>
    <w:rsid w:val="00C96804"/>
    <w:rsid w:val="00C96915"/>
    <w:rsid w:val="00C96C27"/>
    <w:rsid w:val="00C9728C"/>
    <w:rsid w:val="00C97C24"/>
    <w:rsid w:val="00CA012B"/>
    <w:rsid w:val="00CA08D1"/>
    <w:rsid w:val="00CA0BF4"/>
    <w:rsid w:val="00CA1333"/>
    <w:rsid w:val="00CA1AD6"/>
    <w:rsid w:val="00CA1B0B"/>
    <w:rsid w:val="00CA1E24"/>
    <w:rsid w:val="00CA1EA9"/>
    <w:rsid w:val="00CA216B"/>
    <w:rsid w:val="00CA2A57"/>
    <w:rsid w:val="00CA2F1F"/>
    <w:rsid w:val="00CA3354"/>
    <w:rsid w:val="00CA345A"/>
    <w:rsid w:val="00CA3908"/>
    <w:rsid w:val="00CA3A7A"/>
    <w:rsid w:val="00CA3B2C"/>
    <w:rsid w:val="00CA3FA1"/>
    <w:rsid w:val="00CA42DC"/>
    <w:rsid w:val="00CA44BA"/>
    <w:rsid w:val="00CA44D9"/>
    <w:rsid w:val="00CA4AC9"/>
    <w:rsid w:val="00CA5AE6"/>
    <w:rsid w:val="00CA5BF1"/>
    <w:rsid w:val="00CA5D2B"/>
    <w:rsid w:val="00CA5E26"/>
    <w:rsid w:val="00CA69FD"/>
    <w:rsid w:val="00CA6EFF"/>
    <w:rsid w:val="00CA7262"/>
    <w:rsid w:val="00CA736C"/>
    <w:rsid w:val="00CA7436"/>
    <w:rsid w:val="00CA79E6"/>
    <w:rsid w:val="00CA7D0E"/>
    <w:rsid w:val="00CB0317"/>
    <w:rsid w:val="00CB05A4"/>
    <w:rsid w:val="00CB0740"/>
    <w:rsid w:val="00CB08B0"/>
    <w:rsid w:val="00CB0D0B"/>
    <w:rsid w:val="00CB10D6"/>
    <w:rsid w:val="00CB1330"/>
    <w:rsid w:val="00CB191E"/>
    <w:rsid w:val="00CB3354"/>
    <w:rsid w:val="00CB3E09"/>
    <w:rsid w:val="00CB42D5"/>
    <w:rsid w:val="00CB58FA"/>
    <w:rsid w:val="00CB59C7"/>
    <w:rsid w:val="00CB5A22"/>
    <w:rsid w:val="00CB5A29"/>
    <w:rsid w:val="00CB5ADB"/>
    <w:rsid w:val="00CB5BF4"/>
    <w:rsid w:val="00CB5F29"/>
    <w:rsid w:val="00CB64E9"/>
    <w:rsid w:val="00CB7268"/>
    <w:rsid w:val="00CC051A"/>
    <w:rsid w:val="00CC0D3F"/>
    <w:rsid w:val="00CC0E25"/>
    <w:rsid w:val="00CC0F2F"/>
    <w:rsid w:val="00CC14E1"/>
    <w:rsid w:val="00CC1A44"/>
    <w:rsid w:val="00CC1F82"/>
    <w:rsid w:val="00CC24C5"/>
    <w:rsid w:val="00CC2C8A"/>
    <w:rsid w:val="00CC2DF7"/>
    <w:rsid w:val="00CC393F"/>
    <w:rsid w:val="00CC3CDF"/>
    <w:rsid w:val="00CC3D38"/>
    <w:rsid w:val="00CC4131"/>
    <w:rsid w:val="00CC438F"/>
    <w:rsid w:val="00CC48CC"/>
    <w:rsid w:val="00CC4965"/>
    <w:rsid w:val="00CC4CEF"/>
    <w:rsid w:val="00CC4DD8"/>
    <w:rsid w:val="00CC59B2"/>
    <w:rsid w:val="00CC5B5A"/>
    <w:rsid w:val="00CC5BFB"/>
    <w:rsid w:val="00CC5C12"/>
    <w:rsid w:val="00CC5C78"/>
    <w:rsid w:val="00CC6091"/>
    <w:rsid w:val="00CC6B3F"/>
    <w:rsid w:val="00CC71A9"/>
    <w:rsid w:val="00CD0529"/>
    <w:rsid w:val="00CD0AC8"/>
    <w:rsid w:val="00CD17FD"/>
    <w:rsid w:val="00CD1BFA"/>
    <w:rsid w:val="00CD1EAD"/>
    <w:rsid w:val="00CD29AC"/>
    <w:rsid w:val="00CD2A2B"/>
    <w:rsid w:val="00CD2BD0"/>
    <w:rsid w:val="00CD2C9A"/>
    <w:rsid w:val="00CD347A"/>
    <w:rsid w:val="00CD36C2"/>
    <w:rsid w:val="00CD3C72"/>
    <w:rsid w:val="00CD3CB9"/>
    <w:rsid w:val="00CD47A9"/>
    <w:rsid w:val="00CD4A26"/>
    <w:rsid w:val="00CD4A5B"/>
    <w:rsid w:val="00CD4EA3"/>
    <w:rsid w:val="00CD54A0"/>
    <w:rsid w:val="00CD566B"/>
    <w:rsid w:val="00CD56C9"/>
    <w:rsid w:val="00CD5C6A"/>
    <w:rsid w:val="00CD6640"/>
    <w:rsid w:val="00CD66C3"/>
    <w:rsid w:val="00CD71D5"/>
    <w:rsid w:val="00CD7721"/>
    <w:rsid w:val="00CD77C0"/>
    <w:rsid w:val="00CD789A"/>
    <w:rsid w:val="00CD79FF"/>
    <w:rsid w:val="00CE0599"/>
    <w:rsid w:val="00CE126F"/>
    <w:rsid w:val="00CE1595"/>
    <w:rsid w:val="00CE21CF"/>
    <w:rsid w:val="00CE22C4"/>
    <w:rsid w:val="00CE2FC1"/>
    <w:rsid w:val="00CE303A"/>
    <w:rsid w:val="00CE3C7D"/>
    <w:rsid w:val="00CE4375"/>
    <w:rsid w:val="00CE4FC9"/>
    <w:rsid w:val="00CE5D6D"/>
    <w:rsid w:val="00CE5F4B"/>
    <w:rsid w:val="00CE6193"/>
    <w:rsid w:val="00CE6755"/>
    <w:rsid w:val="00CE7114"/>
    <w:rsid w:val="00CE75E9"/>
    <w:rsid w:val="00CE790B"/>
    <w:rsid w:val="00CE7BD1"/>
    <w:rsid w:val="00CF05DB"/>
    <w:rsid w:val="00CF0B27"/>
    <w:rsid w:val="00CF108A"/>
    <w:rsid w:val="00CF1819"/>
    <w:rsid w:val="00CF190A"/>
    <w:rsid w:val="00CF1D28"/>
    <w:rsid w:val="00CF1EE8"/>
    <w:rsid w:val="00CF21B0"/>
    <w:rsid w:val="00CF2375"/>
    <w:rsid w:val="00CF2928"/>
    <w:rsid w:val="00CF29EF"/>
    <w:rsid w:val="00CF2DA2"/>
    <w:rsid w:val="00CF2DD5"/>
    <w:rsid w:val="00CF3333"/>
    <w:rsid w:val="00CF3928"/>
    <w:rsid w:val="00CF3B90"/>
    <w:rsid w:val="00CF4439"/>
    <w:rsid w:val="00CF50A8"/>
    <w:rsid w:val="00CF6216"/>
    <w:rsid w:val="00CF6939"/>
    <w:rsid w:val="00CF6C42"/>
    <w:rsid w:val="00CF6C9F"/>
    <w:rsid w:val="00CF74BE"/>
    <w:rsid w:val="00CF7C64"/>
    <w:rsid w:val="00D000B2"/>
    <w:rsid w:val="00D0010C"/>
    <w:rsid w:val="00D00FC1"/>
    <w:rsid w:val="00D010C3"/>
    <w:rsid w:val="00D012F1"/>
    <w:rsid w:val="00D018B3"/>
    <w:rsid w:val="00D01BE9"/>
    <w:rsid w:val="00D01C37"/>
    <w:rsid w:val="00D02674"/>
    <w:rsid w:val="00D03389"/>
    <w:rsid w:val="00D03EA0"/>
    <w:rsid w:val="00D0415C"/>
    <w:rsid w:val="00D0437E"/>
    <w:rsid w:val="00D04E70"/>
    <w:rsid w:val="00D05803"/>
    <w:rsid w:val="00D0588D"/>
    <w:rsid w:val="00D065B1"/>
    <w:rsid w:val="00D06DBE"/>
    <w:rsid w:val="00D07C2E"/>
    <w:rsid w:val="00D07C47"/>
    <w:rsid w:val="00D10693"/>
    <w:rsid w:val="00D10BEA"/>
    <w:rsid w:val="00D10CB9"/>
    <w:rsid w:val="00D10F71"/>
    <w:rsid w:val="00D112B6"/>
    <w:rsid w:val="00D11603"/>
    <w:rsid w:val="00D11E0D"/>
    <w:rsid w:val="00D11FE2"/>
    <w:rsid w:val="00D12891"/>
    <w:rsid w:val="00D12E20"/>
    <w:rsid w:val="00D1301C"/>
    <w:rsid w:val="00D138BE"/>
    <w:rsid w:val="00D13C99"/>
    <w:rsid w:val="00D14650"/>
    <w:rsid w:val="00D146F1"/>
    <w:rsid w:val="00D14988"/>
    <w:rsid w:val="00D14D3A"/>
    <w:rsid w:val="00D15116"/>
    <w:rsid w:val="00D1532E"/>
    <w:rsid w:val="00D15414"/>
    <w:rsid w:val="00D1572A"/>
    <w:rsid w:val="00D15932"/>
    <w:rsid w:val="00D15BB9"/>
    <w:rsid w:val="00D16219"/>
    <w:rsid w:val="00D16F88"/>
    <w:rsid w:val="00D172B9"/>
    <w:rsid w:val="00D173D9"/>
    <w:rsid w:val="00D17A8D"/>
    <w:rsid w:val="00D1FD3E"/>
    <w:rsid w:val="00D202C4"/>
    <w:rsid w:val="00D20316"/>
    <w:rsid w:val="00D20A63"/>
    <w:rsid w:val="00D211F8"/>
    <w:rsid w:val="00D22957"/>
    <w:rsid w:val="00D22991"/>
    <w:rsid w:val="00D22A9E"/>
    <w:rsid w:val="00D22BB3"/>
    <w:rsid w:val="00D22FF1"/>
    <w:rsid w:val="00D246D0"/>
    <w:rsid w:val="00D24D5E"/>
    <w:rsid w:val="00D24E8D"/>
    <w:rsid w:val="00D25081"/>
    <w:rsid w:val="00D25147"/>
    <w:rsid w:val="00D257F5"/>
    <w:rsid w:val="00D25A1D"/>
    <w:rsid w:val="00D25C40"/>
    <w:rsid w:val="00D25F72"/>
    <w:rsid w:val="00D25FB6"/>
    <w:rsid w:val="00D26244"/>
    <w:rsid w:val="00D26874"/>
    <w:rsid w:val="00D26D4D"/>
    <w:rsid w:val="00D272D8"/>
    <w:rsid w:val="00D30501"/>
    <w:rsid w:val="00D3056F"/>
    <w:rsid w:val="00D31087"/>
    <w:rsid w:val="00D3176F"/>
    <w:rsid w:val="00D32790"/>
    <w:rsid w:val="00D32A3F"/>
    <w:rsid w:val="00D33606"/>
    <w:rsid w:val="00D337C6"/>
    <w:rsid w:val="00D33EF2"/>
    <w:rsid w:val="00D34B47"/>
    <w:rsid w:val="00D34CA6"/>
    <w:rsid w:val="00D35163"/>
    <w:rsid w:val="00D35627"/>
    <w:rsid w:val="00D35848"/>
    <w:rsid w:val="00D3624A"/>
    <w:rsid w:val="00D372A1"/>
    <w:rsid w:val="00D3738E"/>
    <w:rsid w:val="00D37395"/>
    <w:rsid w:val="00D373F3"/>
    <w:rsid w:val="00D376F0"/>
    <w:rsid w:val="00D37B1A"/>
    <w:rsid w:val="00D40E1F"/>
    <w:rsid w:val="00D41282"/>
    <w:rsid w:val="00D426E8"/>
    <w:rsid w:val="00D42738"/>
    <w:rsid w:val="00D428F3"/>
    <w:rsid w:val="00D42951"/>
    <w:rsid w:val="00D42EEC"/>
    <w:rsid w:val="00D43031"/>
    <w:rsid w:val="00D43953"/>
    <w:rsid w:val="00D43C46"/>
    <w:rsid w:val="00D43DC4"/>
    <w:rsid w:val="00D43E91"/>
    <w:rsid w:val="00D4413A"/>
    <w:rsid w:val="00D44346"/>
    <w:rsid w:val="00D443E8"/>
    <w:rsid w:val="00D44667"/>
    <w:rsid w:val="00D44CD5"/>
    <w:rsid w:val="00D454A2"/>
    <w:rsid w:val="00D45983"/>
    <w:rsid w:val="00D45B2F"/>
    <w:rsid w:val="00D45C75"/>
    <w:rsid w:val="00D46966"/>
    <w:rsid w:val="00D476B5"/>
    <w:rsid w:val="00D47B04"/>
    <w:rsid w:val="00D501B3"/>
    <w:rsid w:val="00D51925"/>
    <w:rsid w:val="00D51A1D"/>
    <w:rsid w:val="00D51B71"/>
    <w:rsid w:val="00D520F6"/>
    <w:rsid w:val="00D5271A"/>
    <w:rsid w:val="00D53047"/>
    <w:rsid w:val="00D536CB"/>
    <w:rsid w:val="00D54791"/>
    <w:rsid w:val="00D548D2"/>
    <w:rsid w:val="00D54FE5"/>
    <w:rsid w:val="00D55BC6"/>
    <w:rsid w:val="00D56016"/>
    <w:rsid w:val="00D561BA"/>
    <w:rsid w:val="00D56434"/>
    <w:rsid w:val="00D5657B"/>
    <w:rsid w:val="00D56A22"/>
    <w:rsid w:val="00D56A62"/>
    <w:rsid w:val="00D56E75"/>
    <w:rsid w:val="00D573C0"/>
    <w:rsid w:val="00D575B4"/>
    <w:rsid w:val="00D578E5"/>
    <w:rsid w:val="00D57E3A"/>
    <w:rsid w:val="00D6005F"/>
    <w:rsid w:val="00D60531"/>
    <w:rsid w:val="00D60871"/>
    <w:rsid w:val="00D614D5"/>
    <w:rsid w:val="00D6215C"/>
    <w:rsid w:val="00D627AC"/>
    <w:rsid w:val="00D62AAE"/>
    <w:rsid w:val="00D6465A"/>
    <w:rsid w:val="00D64A6F"/>
    <w:rsid w:val="00D6536D"/>
    <w:rsid w:val="00D65851"/>
    <w:rsid w:val="00D65F5A"/>
    <w:rsid w:val="00D6650D"/>
    <w:rsid w:val="00D669AE"/>
    <w:rsid w:val="00D66A16"/>
    <w:rsid w:val="00D66FE4"/>
    <w:rsid w:val="00D671AB"/>
    <w:rsid w:val="00D672A0"/>
    <w:rsid w:val="00D677AF"/>
    <w:rsid w:val="00D678E6"/>
    <w:rsid w:val="00D67AD6"/>
    <w:rsid w:val="00D67D9B"/>
    <w:rsid w:val="00D67DB9"/>
    <w:rsid w:val="00D700B7"/>
    <w:rsid w:val="00D70A40"/>
    <w:rsid w:val="00D70E79"/>
    <w:rsid w:val="00D719A8"/>
    <w:rsid w:val="00D71A46"/>
    <w:rsid w:val="00D73B14"/>
    <w:rsid w:val="00D73DED"/>
    <w:rsid w:val="00D73F6A"/>
    <w:rsid w:val="00D73F92"/>
    <w:rsid w:val="00D74A38"/>
    <w:rsid w:val="00D75921"/>
    <w:rsid w:val="00D769E6"/>
    <w:rsid w:val="00D771C9"/>
    <w:rsid w:val="00D77E5C"/>
    <w:rsid w:val="00D77FF3"/>
    <w:rsid w:val="00D803BF"/>
    <w:rsid w:val="00D80A52"/>
    <w:rsid w:val="00D81181"/>
    <w:rsid w:val="00D81428"/>
    <w:rsid w:val="00D81940"/>
    <w:rsid w:val="00D81D5C"/>
    <w:rsid w:val="00D81ED8"/>
    <w:rsid w:val="00D81FA3"/>
    <w:rsid w:val="00D825B7"/>
    <w:rsid w:val="00D82F47"/>
    <w:rsid w:val="00D83556"/>
    <w:rsid w:val="00D83A56"/>
    <w:rsid w:val="00D843F5"/>
    <w:rsid w:val="00D84665"/>
    <w:rsid w:val="00D84AD9"/>
    <w:rsid w:val="00D84D2C"/>
    <w:rsid w:val="00D853B4"/>
    <w:rsid w:val="00D858B8"/>
    <w:rsid w:val="00D858CA"/>
    <w:rsid w:val="00D85992"/>
    <w:rsid w:val="00D85A31"/>
    <w:rsid w:val="00D86471"/>
    <w:rsid w:val="00D86AA1"/>
    <w:rsid w:val="00D86ACE"/>
    <w:rsid w:val="00D87B71"/>
    <w:rsid w:val="00D87E44"/>
    <w:rsid w:val="00D90408"/>
    <w:rsid w:val="00D90768"/>
    <w:rsid w:val="00D90CC0"/>
    <w:rsid w:val="00D90D60"/>
    <w:rsid w:val="00D91376"/>
    <w:rsid w:val="00D94AD4"/>
    <w:rsid w:val="00D94B60"/>
    <w:rsid w:val="00D94CDF"/>
    <w:rsid w:val="00D95153"/>
    <w:rsid w:val="00D953D8"/>
    <w:rsid w:val="00D958C3"/>
    <w:rsid w:val="00D95A16"/>
    <w:rsid w:val="00D96303"/>
    <w:rsid w:val="00D96A44"/>
    <w:rsid w:val="00D96B70"/>
    <w:rsid w:val="00D9785C"/>
    <w:rsid w:val="00DA0693"/>
    <w:rsid w:val="00DA089B"/>
    <w:rsid w:val="00DA1624"/>
    <w:rsid w:val="00DA2550"/>
    <w:rsid w:val="00DA2EBD"/>
    <w:rsid w:val="00DA3109"/>
    <w:rsid w:val="00DA32C6"/>
    <w:rsid w:val="00DA3715"/>
    <w:rsid w:val="00DA41F6"/>
    <w:rsid w:val="00DA4B6E"/>
    <w:rsid w:val="00DA4CF6"/>
    <w:rsid w:val="00DA531D"/>
    <w:rsid w:val="00DA552B"/>
    <w:rsid w:val="00DA57BD"/>
    <w:rsid w:val="00DA60F2"/>
    <w:rsid w:val="00DB0D64"/>
    <w:rsid w:val="00DB12A7"/>
    <w:rsid w:val="00DB3933"/>
    <w:rsid w:val="00DB3974"/>
    <w:rsid w:val="00DB3EE6"/>
    <w:rsid w:val="00DB4874"/>
    <w:rsid w:val="00DB48C5"/>
    <w:rsid w:val="00DB5328"/>
    <w:rsid w:val="00DB587E"/>
    <w:rsid w:val="00DB6D64"/>
    <w:rsid w:val="00DB703D"/>
    <w:rsid w:val="00DB7BF7"/>
    <w:rsid w:val="00DB7E54"/>
    <w:rsid w:val="00DC01F9"/>
    <w:rsid w:val="00DC08D9"/>
    <w:rsid w:val="00DC0A6A"/>
    <w:rsid w:val="00DC1C62"/>
    <w:rsid w:val="00DC1D42"/>
    <w:rsid w:val="00DC2325"/>
    <w:rsid w:val="00DC2BD1"/>
    <w:rsid w:val="00DC3AF4"/>
    <w:rsid w:val="00DC3FFE"/>
    <w:rsid w:val="00DC45A1"/>
    <w:rsid w:val="00DC4E2B"/>
    <w:rsid w:val="00DC584D"/>
    <w:rsid w:val="00DC5B1C"/>
    <w:rsid w:val="00DC768A"/>
    <w:rsid w:val="00DC7793"/>
    <w:rsid w:val="00DC7E56"/>
    <w:rsid w:val="00DD08F3"/>
    <w:rsid w:val="00DD0E68"/>
    <w:rsid w:val="00DD181D"/>
    <w:rsid w:val="00DD237D"/>
    <w:rsid w:val="00DD25BB"/>
    <w:rsid w:val="00DD2B72"/>
    <w:rsid w:val="00DD36E1"/>
    <w:rsid w:val="00DD373C"/>
    <w:rsid w:val="00DD4964"/>
    <w:rsid w:val="00DD4BDA"/>
    <w:rsid w:val="00DD4C79"/>
    <w:rsid w:val="00DD4DD2"/>
    <w:rsid w:val="00DD4ECA"/>
    <w:rsid w:val="00DD5229"/>
    <w:rsid w:val="00DD5C18"/>
    <w:rsid w:val="00DD5D3E"/>
    <w:rsid w:val="00DD5D73"/>
    <w:rsid w:val="00DD5F8E"/>
    <w:rsid w:val="00DD6DCD"/>
    <w:rsid w:val="00DD6DD5"/>
    <w:rsid w:val="00DD6F2C"/>
    <w:rsid w:val="00DD793D"/>
    <w:rsid w:val="00DD7A95"/>
    <w:rsid w:val="00DD7D3E"/>
    <w:rsid w:val="00DE005F"/>
    <w:rsid w:val="00DE0ACD"/>
    <w:rsid w:val="00DE12FF"/>
    <w:rsid w:val="00DE1F71"/>
    <w:rsid w:val="00DE28EB"/>
    <w:rsid w:val="00DE2E83"/>
    <w:rsid w:val="00DE37F7"/>
    <w:rsid w:val="00DE44BA"/>
    <w:rsid w:val="00DE4D55"/>
    <w:rsid w:val="00DE4DC4"/>
    <w:rsid w:val="00DE6AC0"/>
    <w:rsid w:val="00DE7457"/>
    <w:rsid w:val="00DE7DD7"/>
    <w:rsid w:val="00DF0CEE"/>
    <w:rsid w:val="00DF0F13"/>
    <w:rsid w:val="00DF15BF"/>
    <w:rsid w:val="00DF19A8"/>
    <w:rsid w:val="00DF1CB6"/>
    <w:rsid w:val="00DF2335"/>
    <w:rsid w:val="00DF3049"/>
    <w:rsid w:val="00DF3125"/>
    <w:rsid w:val="00DF31E5"/>
    <w:rsid w:val="00DF3782"/>
    <w:rsid w:val="00DF386C"/>
    <w:rsid w:val="00DF3B31"/>
    <w:rsid w:val="00DF3B3E"/>
    <w:rsid w:val="00DF3FB6"/>
    <w:rsid w:val="00DF4224"/>
    <w:rsid w:val="00DF4D36"/>
    <w:rsid w:val="00DF5192"/>
    <w:rsid w:val="00DF5D91"/>
    <w:rsid w:val="00DF6871"/>
    <w:rsid w:val="00DF6925"/>
    <w:rsid w:val="00DF6E6A"/>
    <w:rsid w:val="00DF7413"/>
    <w:rsid w:val="00DF76AE"/>
    <w:rsid w:val="00DF7780"/>
    <w:rsid w:val="00E0183C"/>
    <w:rsid w:val="00E018BF"/>
    <w:rsid w:val="00E01D73"/>
    <w:rsid w:val="00E02D84"/>
    <w:rsid w:val="00E0321B"/>
    <w:rsid w:val="00E03861"/>
    <w:rsid w:val="00E03A65"/>
    <w:rsid w:val="00E041D9"/>
    <w:rsid w:val="00E04517"/>
    <w:rsid w:val="00E047CD"/>
    <w:rsid w:val="00E04926"/>
    <w:rsid w:val="00E04A16"/>
    <w:rsid w:val="00E04FAB"/>
    <w:rsid w:val="00E055F3"/>
    <w:rsid w:val="00E0584D"/>
    <w:rsid w:val="00E05CE8"/>
    <w:rsid w:val="00E06148"/>
    <w:rsid w:val="00E06655"/>
    <w:rsid w:val="00E06C86"/>
    <w:rsid w:val="00E06E33"/>
    <w:rsid w:val="00E06FC6"/>
    <w:rsid w:val="00E07436"/>
    <w:rsid w:val="00E1043B"/>
    <w:rsid w:val="00E11877"/>
    <w:rsid w:val="00E11F83"/>
    <w:rsid w:val="00E12C86"/>
    <w:rsid w:val="00E1303C"/>
    <w:rsid w:val="00E1375D"/>
    <w:rsid w:val="00E13B08"/>
    <w:rsid w:val="00E14B5B"/>
    <w:rsid w:val="00E1513F"/>
    <w:rsid w:val="00E15278"/>
    <w:rsid w:val="00E16DA8"/>
    <w:rsid w:val="00E16F66"/>
    <w:rsid w:val="00E171B3"/>
    <w:rsid w:val="00E1776F"/>
    <w:rsid w:val="00E177DC"/>
    <w:rsid w:val="00E2026B"/>
    <w:rsid w:val="00E2033A"/>
    <w:rsid w:val="00E219AA"/>
    <w:rsid w:val="00E22A85"/>
    <w:rsid w:val="00E22BBD"/>
    <w:rsid w:val="00E22DB1"/>
    <w:rsid w:val="00E23DB1"/>
    <w:rsid w:val="00E2432E"/>
    <w:rsid w:val="00E244FA"/>
    <w:rsid w:val="00E24E2F"/>
    <w:rsid w:val="00E25A28"/>
    <w:rsid w:val="00E25E61"/>
    <w:rsid w:val="00E26134"/>
    <w:rsid w:val="00E27B25"/>
    <w:rsid w:val="00E301BF"/>
    <w:rsid w:val="00E304D4"/>
    <w:rsid w:val="00E3050D"/>
    <w:rsid w:val="00E30B13"/>
    <w:rsid w:val="00E31240"/>
    <w:rsid w:val="00E312D0"/>
    <w:rsid w:val="00E3153D"/>
    <w:rsid w:val="00E325A6"/>
    <w:rsid w:val="00E3304B"/>
    <w:rsid w:val="00E34436"/>
    <w:rsid w:val="00E3489E"/>
    <w:rsid w:val="00E34A3C"/>
    <w:rsid w:val="00E35443"/>
    <w:rsid w:val="00E3585A"/>
    <w:rsid w:val="00E362B7"/>
    <w:rsid w:val="00E36559"/>
    <w:rsid w:val="00E37DBF"/>
    <w:rsid w:val="00E3E2D2"/>
    <w:rsid w:val="00E40251"/>
    <w:rsid w:val="00E40F3E"/>
    <w:rsid w:val="00E41371"/>
    <w:rsid w:val="00E42558"/>
    <w:rsid w:val="00E42809"/>
    <w:rsid w:val="00E42CDB"/>
    <w:rsid w:val="00E42D1F"/>
    <w:rsid w:val="00E42FAF"/>
    <w:rsid w:val="00E43A43"/>
    <w:rsid w:val="00E43B21"/>
    <w:rsid w:val="00E451FA"/>
    <w:rsid w:val="00E45236"/>
    <w:rsid w:val="00E45863"/>
    <w:rsid w:val="00E4692E"/>
    <w:rsid w:val="00E47325"/>
    <w:rsid w:val="00E4777B"/>
    <w:rsid w:val="00E47C6D"/>
    <w:rsid w:val="00E506D6"/>
    <w:rsid w:val="00E50C10"/>
    <w:rsid w:val="00E5100F"/>
    <w:rsid w:val="00E5190A"/>
    <w:rsid w:val="00E52E1E"/>
    <w:rsid w:val="00E5332B"/>
    <w:rsid w:val="00E53407"/>
    <w:rsid w:val="00E54856"/>
    <w:rsid w:val="00E55E17"/>
    <w:rsid w:val="00E55F42"/>
    <w:rsid w:val="00E57474"/>
    <w:rsid w:val="00E57D9F"/>
    <w:rsid w:val="00E60082"/>
    <w:rsid w:val="00E60D3A"/>
    <w:rsid w:val="00E61052"/>
    <w:rsid w:val="00E61C66"/>
    <w:rsid w:val="00E61F72"/>
    <w:rsid w:val="00E62532"/>
    <w:rsid w:val="00E628AE"/>
    <w:rsid w:val="00E6298A"/>
    <w:rsid w:val="00E62F81"/>
    <w:rsid w:val="00E63890"/>
    <w:rsid w:val="00E64308"/>
    <w:rsid w:val="00E64C3D"/>
    <w:rsid w:val="00E64D40"/>
    <w:rsid w:val="00E64F98"/>
    <w:rsid w:val="00E65630"/>
    <w:rsid w:val="00E665A1"/>
    <w:rsid w:val="00E66D9D"/>
    <w:rsid w:val="00E66E61"/>
    <w:rsid w:val="00E673D3"/>
    <w:rsid w:val="00E673DE"/>
    <w:rsid w:val="00E67881"/>
    <w:rsid w:val="00E678BD"/>
    <w:rsid w:val="00E67E6F"/>
    <w:rsid w:val="00E701B6"/>
    <w:rsid w:val="00E703B8"/>
    <w:rsid w:val="00E704B2"/>
    <w:rsid w:val="00E70909"/>
    <w:rsid w:val="00E7171E"/>
    <w:rsid w:val="00E71F3F"/>
    <w:rsid w:val="00E72041"/>
    <w:rsid w:val="00E729B5"/>
    <w:rsid w:val="00E745B8"/>
    <w:rsid w:val="00E74A6F"/>
    <w:rsid w:val="00E75037"/>
    <w:rsid w:val="00E7511D"/>
    <w:rsid w:val="00E753C8"/>
    <w:rsid w:val="00E7584B"/>
    <w:rsid w:val="00E75BAE"/>
    <w:rsid w:val="00E764E8"/>
    <w:rsid w:val="00E76545"/>
    <w:rsid w:val="00E76705"/>
    <w:rsid w:val="00E7696A"/>
    <w:rsid w:val="00E772F8"/>
    <w:rsid w:val="00E77880"/>
    <w:rsid w:val="00E77BF3"/>
    <w:rsid w:val="00E8040B"/>
    <w:rsid w:val="00E8096E"/>
    <w:rsid w:val="00E80C61"/>
    <w:rsid w:val="00E819BF"/>
    <w:rsid w:val="00E81CEC"/>
    <w:rsid w:val="00E82DB9"/>
    <w:rsid w:val="00E82DDE"/>
    <w:rsid w:val="00E8340E"/>
    <w:rsid w:val="00E83539"/>
    <w:rsid w:val="00E83A77"/>
    <w:rsid w:val="00E841D5"/>
    <w:rsid w:val="00E858CF"/>
    <w:rsid w:val="00E8644C"/>
    <w:rsid w:val="00E8648B"/>
    <w:rsid w:val="00E86766"/>
    <w:rsid w:val="00E8681F"/>
    <w:rsid w:val="00E86C04"/>
    <w:rsid w:val="00E86E97"/>
    <w:rsid w:val="00E86FF8"/>
    <w:rsid w:val="00E87330"/>
    <w:rsid w:val="00E876F5"/>
    <w:rsid w:val="00E87EB1"/>
    <w:rsid w:val="00E87F1E"/>
    <w:rsid w:val="00E87F83"/>
    <w:rsid w:val="00E904BF"/>
    <w:rsid w:val="00E90696"/>
    <w:rsid w:val="00E91051"/>
    <w:rsid w:val="00E91181"/>
    <w:rsid w:val="00E912F3"/>
    <w:rsid w:val="00E9173F"/>
    <w:rsid w:val="00E92A76"/>
    <w:rsid w:val="00E9377F"/>
    <w:rsid w:val="00E93D6A"/>
    <w:rsid w:val="00E93E4E"/>
    <w:rsid w:val="00E94DAE"/>
    <w:rsid w:val="00E952FD"/>
    <w:rsid w:val="00E95415"/>
    <w:rsid w:val="00E954C5"/>
    <w:rsid w:val="00E9614F"/>
    <w:rsid w:val="00E967D3"/>
    <w:rsid w:val="00E97268"/>
    <w:rsid w:val="00EA0BD3"/>
    <w:rsid w:val="00EA1608"/>
    <w:rsid w:val="00EA1746"/>
    <w:rsid w:val="00EA1832"/>
    <w:rsid w:val="00EA1DB5"/>
    <w:rsid w:val="00EA266C"/>
    <w:rsid w:val="00EA2B4F"/>
    <w:rsid w:val="00EA2E66"/>
    <w:rsid w:val="00EA340B"/>
    <w:rsid w:val="00EA383B"/>
    <w:rsid w:val="00EA39AE"/>
    <w:rsid w:val="00EA4334"/>
    <w:rsid w:val="00EA50DD"/>
    <w:rsid w:val="00EA510E"/>
    <w:rsid w:val="00EA5801"/>
    <w:rsid w:val="00EA603D"/>
    <w:rsid w:val="00EA6176"/>
    <w:rsid w:val="00EA63E5"/>
    <w:rsid w:val="00EA6A17"/>
    <w:rsid w:val="00EB010E"/>
    <w:rsid w:val="00EB0243"/>
    <w:rsid w:val="00EB025E"/>
    <w:rsid w:val="00EB02B3"/>
    <w:rsid w:val="00EB1157"/>
    <w:rsid w:val="00EB1963"/>
    <w:rsid w:val="00EB1C9E"/>
    <w:rsid w:val="00EB1E5C"/>
    <w:rsid w:val="00EB27B1"/>
    <w:rsid w:val="00EB2B60"/>
    <w:rsid w:val="00EB2EAC"/>
    <w:rsid w:val="00EB2FED"/>
    <w:rsid w:val="00EB3134"/>
    <w:rsid w:val="00EB3B7B"/>
    <w:rsid w:val="00EB4AF3"/>
    <w:rsid w:val="00EB50ED"/>
    <w:rsid w:val="00EB55CA"/>
    <w:rsid w:val="00EB5A58"/>
    <w:rsid w:val="00EB5E8A"/>
    <w:rsid w:val="00EB6B9E"/>
    <w:rsid w:val="00EB70FF"/>
    <w:rsid w:val="00EB7728"/>
    <w:rsid w:val="00EB776D"/>
    <w:rsid w:val="00EC0142"/>
    <w:rsid w:val="00EC03DC"/>
    <w:rsid w:val="00EC08D0"/>
    <w:rsid w:val="00EC0DC6"/>
    <w:rsid w:val="00EC1225"/>
    <w:rsid w:val="00EC12B0"/>
    <w:rsid w:val="00EC165F"/>
    <w:rsid w:val="00EC3565"/>
    <w:rsid w:val="00EC3877"/>
    <w:rsid w:val="00EC43E3"/>
    <w:rsid w:val="00EC44DE"/>
    <w:rsid w:val="00EC4F09"/>
    <w:rsid w:val="00EC587E"/>
    <w:rsid w:val="00EC5D1C"/>
    <w:rsid w:val="00EC633B"/>
    <w:rsid w:val="00EC673C"/>
    <w:rsid w:val="00EC7EBE"/>
    <w:rsid w:val="00ED08F7"/>
    <w:rsid w:val="00ED0EEB"/>
    <w:rsid w:val="00ED1325"/>
    <w:rsid w:val="00ED2146"/>
    <w:rsid w:val="00ED2D56"/>
    <w:rsid w:val="00ED3F55"/>
    <w:rsid w:val="00ED42E6"/>
    <w:rsid w:val="00ED521D"/>
    <w:rsid w:val="00ED54F8"/>
    <w:rsid w:val="00ED6ADB"/>
    <w:rsid w:val="00ED7D49"/>
    <w:rsid w:val="00EE0672"/>
    <w:rsid w:val="00EE0808"/>
    <w:rsid w:val="00EE111A"/>
    <w:rsid w:val="00EE1290"/>
    <w:rsid w:val="00EE2819"/>
    <w:rsid w:val="00EE2892"/>
    <w:rsid w:val="00EE2F54"/>
    <w:rsid w:val="00EE3098"/>
    <w:rsid w:val="00EE30CF"/>
    <w:rsid w:val="00EE3252"/>
    <w:rsid w:val="00EE3D3D"/>
    <w:rsid w:val="00EE4730"/>
    <w:rsid w:val="00EE4DAC"/>
    <w:rsid w:val="00EE52BA"/>
    <w:rsid w:val="00EE5F09"/>
    <w:rsid w:val="00EE5FDD"/>
    <w:rsid w:val="00EE6717"/>
    <w:rsid w:val="00EE7407"/>
    <w:rsid w:val="00EE7A47"/>
    <w:rsid w:val="00EF081C"/>
    <w:rsid w:val="00EF083E"/>
    <w:rsid w:val="00EF0CF7"/>
    <w:rsid w:val="00EF13F9"/>
    <w:rsid w:val="00EF1C33"/>
    <w:rsid w:val="00EF3AB6"/>
    <w:rsid w:val="00EF3C13"/>
    <w:rsid w:val="00EF3C94"/>
    <w:rsid w:val="00EF3F5E"/>
    <w:rsid w:val="00EF4109"/>
    <w:rsid w:val="00EF5CD8"/>
    <w:rsid w:val="00EF5CE8"/>
    <w:rsid w:val="00EF5E12"/>
    <w:rsid w:val="00EF60BA"/>
    <w:rsid w:val="00EF6291"/>
    <w:rsid w:val="00EF6A61"/>
    <w:rsid w:val="00EF6AD4"/>
    <w:rsid w:val="00EF6C97"/>
    <w:rsid w:val="00EF75A7"/>
    <w:rsid w:val="00EF7959"/>
    <w:rsid w:val="00EF7E17"/>
    <w:rsid w:val="00F0022C"/>
    <w:rsid w:val="00F0038D"/>
    <w:rsid w:val="00F0052F"/>
    <w:rsid w:val="00F00F2B"/>
    <w:rsid w:val="00F01361"/>
    <w:rsid w:val="00F0164F"/>
    <w:rsid w:val="00F019AE"/>
    <w:rsid w:val="00F03496"/>
    <w:rsid w:val="00F034AF"/>
    <w:rsid w:val="00F038D7"/>
    <w:rsid w:val="00F03BFD"/>
    <w:rsid w:val="00F03DB9"/>
    <w:rsid w:val="00F048DD"/>
    <w:rsid w:val="00F04C7C"/>
    <w:rsid w:val="00F0511F"/>
    <w:rsid w:val="00F0518B"/>
    <w:rsid w:val="00F05BFD"/>
    <w:rsid w:val="00F060BD"/>
    <w:rsid w:val="00F060FC"/>
    <w:rsid w:val="00F0698F"/>
    <w:rsid w:val="00F06EAF"/>
    <w:rsid w:val="00F07359"/>
    <w:rsid w:val="00F079F0"/>
    <w:rsid w:val="00F07C0D"/>
    <w:rsid w:val="00F07E9E"/>
    <w:rsid w:val="00F0B34E"/>
    <w:rsid w:val="00F101B8"/>
    <w:rsid w:val="00F10870"/>
    <w:rsid w:val="00F10ADA"/>
    <w:rsid w:val="00F10CAD"/>
    <w:rsid w:val="00F1179C"/>
    <w:rsid w:val="00F122B9"/>
    <w:rsid w:val="00F12D14"/>
    <w:rsid w:val="00F1307E"/>
    <w:rsid w:val="00F1320C"/>
    <w:rsid w:val="00F140D1"/>
    <w:rsid w:val="00F15632"/>
    <w:rsid w:val="00F15822"/>
    <w:rsid w:val="00F15948"/>
    <w:rsid w:val="00F16120"/>
    <w:rsid w:val="00F165C9"/>
    <w:rsid w:val="00F16775"/>
    <w:rsid w:val="00F16D61"/>
    <w:rsid w:val="00F16DA3"/>
    <w:rsid w:val="00F1717D"/>
    <w:rsid w:val="00F17EC4"/>
    <w:rsid w:val="00F208C9"/>
    <w:rsid w:val="00F20CE4"/>
    <w:rsid w:val="00F20E47"/>
    <w:rsid w:val="00F21995"/>
    <w:rsid w:val="00F21CCA"/>
    <w:rsid w:val="00F21CF7"/>
    <w:rsid w:val="00F2222D"/>
    <w:rsid w:val="00F22B37"/>
    <w:rsid w:val="00F230FF"/>
    <w:rsid w:val="00F23D55"/>
    <w:rsid w:val="00F24114"/>
    <w:rsid w:val="00F2479B"/>
    <w:rsid w:val="00F25CF8"/>
    <w:rsid w:val="00F26CC4"/>
    <w:rsid w:val="00F26D89"/>
    <w:rsid w:val="00F27371"/>
    <w:rsid w:val="00F27E99"/>
    <w:rsid w:val="00F30003"/>
    <w:rsid w:val="00F30BE8"/>
    <w:rsid w:val="00F30C07"/>
    <w:rsid w:val="00F310D0"/>
    <w:rsid w:val="00F31389"/>
    <w:rsid w:val="00F316EE"/>
    <w:rsid w:val="00F316F8"/>
    <w:rsid w:val="00F32326"/>
    <w:rsid w:val="00F33CAD"/>
    <w:rsid w:val="00F34335"/>
    <w:rsid w:val="00F3458B"/>
    <w:rsid w:val="00F345F2"/>
    <w:rsid w:val="00F359D7"/>
    <w:rsid w:val="00F35C31"/>
    <w:rsid w:val="00F367B5"/>
    <w:rsid w:val="00F36FFB"/>
    <w:rsid w:val="00F379FE"/>
    <w:rsid w:val="00F37BC6"/>
    <w:rsid w:val="00F403E7"/>
    <w:rsid w:val="00F405D6"/>
    <w:rsid w:val="00F43040"/>
    <w:rsid w:val="00F43493"/>
    <w:rsid w:val="00F43499"/>
    <w:rsid w:val="00F43567"/>
    <w:rsid w:val="00F43BD1"/>
    <w:rsid w:val="00F43F1E"/>
    <w:rsid w:val="00F43FDB"/>
    <w:rsid w:val="00F44D48"/>
    <w:rsid w:val="00F4534F"/>
    <w:rsid w:val="00F455F4"/>
    <w:rsid w:val="00F45718"/>
    <w:rsid w:val="00F46012"/>
    <w:rsid w:val="00F477B9"/>
    <w:rsid w:val="00F47E9D"/>
    <w:rsid w:val="00F47F83"/>
    <w:rsid w:val="00F501FD"/>
    <w:rsid w:val="00F50DE6"/>
    <w:rsid w:val="00F51229"/>
    <w:rsid w:val="00F512E0"/>
    <w:rsid w:val="00F5172F"/>
    <w:rsid w:val="00F52186"/>
    <w:rsid w:val="00F52227"/>
    <w:rsid w:val="00F52D30"/>
    <w:rsid w:val="00F5310E"/>
    <w:rsid w:val="00F54775"/>
    <w:rsid w:val="00F552C5"/>
    <w:rsid w:val="00F55677"/>
    <w:rsid w:val="00F5594B"/>
    <w:rsid w:val="00F567F0"/>
    <w:rsid w:val="00F56A81"/>
    <w:rsid w:val="00F56DA0"/>
    <w:rsid w:val="00F56FCE"/>
    <w:rsid w:val="00F57BFF"/>
    <w:rsid w:val="00F57DDB"/>
    <w:rsid w:val="00F60908"/>
    <w:rsid w:val="00F60D79"/>
    <w:rsid w:val="00F60DA9"/>
    <w:rsid w:val="00F6111D"/>
    <w:rsid w:val="00F61D7A"/>
    <w:rsid w:val="00F61F51"/>
    <w:rsid w:val="00F62540"/>
    <w:rsid w:val="00F62F1B"/>
    <w:rsid w:val="00F649A5"/>
    <w:rsid w:val="00F64E9E"/>
    <w:rsid w:val="00F65036"/>
    <w:rsid w:val="00F666A5"/>
    <w:rsid w:val="00F6673F"/>
    <w:rsid w:val="00F6692D"/>
    <w:rsid w:val="00F66BEF"/>
    <w:rsid w:val="00F67041"/>
    <w:rsid w:val="00F678B0"/>
    <w:rsid w:val="00F67E1E"/>
    <w:rsid w:val="00F7073C"/>
    <w:rsid w:val="00F708A2"/>
    <w:rsid w:val="00F70D0B"/>
    <w:rsid w:val="00F7127F"/>
    <w:rsid w:val="00F71628"/>
    <w:rsid w:val="00F7182B"/>
    <w:rsid w:val="00F72058"/>
    <w:rsid w:val="00F7236D"/>
    <w:rsid w:val="00F726AC"/>
    <w:rsid w:val="00F72E4B"/>
    <w:rsid w:val="00F7315D"/>
    <w:rsid w:val="00F73229"/>
    <w:rsid w:val="00F73287"/>
    <w:rsid w:val="00F73DAB"/>
    <w:rsid w:val="00F74192"/>
    <w:rsid w:val="00F7425B"/>
    <w:rsid w:val="00F743BE"/>
    <w:rsid w:val="00F746B2"/>
    <w:rsid w:val="00F746F6"/>
    <w:rsid w:val="00F74A01"/>
    <w:rsid w:val="00F750BA"/>
    <w:rsid w:val="00F7516A"/>
    <w:rsid w:val="00F75306"/>
    <w:rsid w:val="00F75442"/>
    <w:rsid w:val="00F75514"/>
    <w:rsid w:val="00F7557E"/>
    <w:rsid w:val="00F759FF"/>
    <w:rsid w:val="00F75AB6"/>
    <w:rsid w:val="00F75F36"/>
    <w:rsid w:val="00F7753F"/>
    <w:rsid w:val="00F7788B"/>
    <w:rsid w:val="00F77894"/>
    <w:rsid w:val="00F77B73"/>
    <w:rsid w:val="00F80265"/>
    <w:rsid w:val="00F80689"/>
    <w:rsid w:val="00F81165"/>
    <w:rsid w:val="00F816F5"/>
    <w:rsid w:val="00F81773"/>
    <w:rsid w:val="00F81B8A"/>
    <w:rsid w:val="00F82696"/>
    <w:rsid w:val="00F829AF"/>
    <w:rsid w:val="00F82B96"/>
    <w:rsid w:val="00F82C56"/>
    <w:rsid w:val="00F8323E"/>
    <w:rsid w:val="00F83B36"/>
    <w:rsid w:val="00F84A3A"/>
    <w:rsid w:val="00F84E9A"/>
    <w:rsid w:val="00F85501"/>
    <w:rsid w:val="00F86825"/>
    <w:rsid w:val="00F90152"/>
    <w:rsid w:val="00F90951"/>
    <w:rsid w:val="00F90A66"/>
    <w:rsid w:val="00F91285"/>
    <w:rsid w:val="00F9130F"/>
    <w:rsid w:val="00F91A67"/>
    <w:rsid w:val="00F9294B"/>
    <w:rsid w:val="00F92E45"/>
    <w:rsid w:val="00F93131"/>
    <w:rsid w:val="00F936E8"/>
    <w:rsid w:val="00F93E69"/>
    <w:rsid w:val="00F93F84"/>
    <w:rsid w:val="00F94BA3"/>
    <w:rsid w:val="00F9556B"/>
    <w:rsid w:val="00F9569E"/>
    <w:rsid w:val="00F95A94"/>
    <w:rsid w:val="00F968FD"/>
    <w:rsid w:val="00F96F1B"/>
    <w:rsid w:val="00F97082"/>
    <w:rsid w:val="00F9757D"/>
    <w:rsid w:val="00F97981"/>
    <w:rsid w:val="00F97BF3"/>
    <w:rsid w:val="00F97C67"/>
    <w:rsid w:val="00F97F3D"/>
    <w:rsid w:val="00FA1311"/>
    <w:rsid w:val="00FA226F"/>
    <w:rsid w:val="00FA2320"/>
    <w:rsid w:val="00FA2ABA"/>
    <w:rsid w:val="00FA2D1E"/>
    <w:rsid w:val="00FA42EC"/>
    <w:rsid w:val="00FA59A6"/>
    <w:rsid w:val="00FA5CF3"/>
    <w:rsid w:val="00FA651A"/>
    <w:rsid w:val="00FA6574"/>
    <w:rsid w:val="00FA6EB2"/>
    <w:rsid w:val="00FA7C6A"/>
    <w:rsid w:val="00FB0A88"/>
    <w:rsid w:val="00FB0C50"/>
    <w:rsid w:val="00FB0DE6"/>
    <w:rsid w:val="00FB1845"/>
    <w:rsid w:val="00FB1DBD"/>
    <w:rsid w:val="00FB1EA4"/>
    <w:rsid w:val="00FB225C"/>
    <w:rsid w:val="00FB3B8F"/>
    <w:rsid w:val="00FB3D7B"/>
    <w:rsid w:val="00FB5233"/>
    <w:rsid w:val="00FB5B4D"/>
    <w:rsid w:val="00FB6055"/>
    <w:rsid w:val="00FB60A9"/>
    <w:rsid w:val="00FB7402"/>
    <w:rsid w:val="00FB7466"/>
    <w:rsid w:val="00FB7693"/>
    <w:rsid w:val="00FB7E50"/>
    <w:rsid w:val="00FC001F"/>
    <w:rsid w:val="00FC00AD"/>
    <w:rsid w:val="00FC0447"/>
    <w:rsid w:val="00FC10AE"/>
    <w:rsid w:val="00FC22B9"/>
    <w:rsid w:val="00FC269B"/>
    <w:rsid w:val="00FC3567"/>
    <w:rsid w:val="00FC3673"/>
    <w:rsid w:val="00FC4381"/>
    <w:rsid w:val="00FC584A"/>
    <w:rsid w:val="00FC7103"/>
    <w:rsid w:val="00FD0084"/>
    <w:rsid w:val="00FD0342"/>
    <w:rsid w:val="00FD0822"/>
    <w:rsid w:val="00FD0C80"/>
    <w:rsid w:val="00FD1292"/>
    <w:rsid w:val="00FD1E2F"/>
    <w:rsid w:val="00FD2469"/>
    <w:rsid w:val="00FD252D"/>
    <w:rsid w:val="00FD26E4"/>
    <w:rsid w:val="00FD2796"/>
    <w:rsid w:val="00FD28AC"/>
    <w:rsid w:val="00FD2B25"/>
    <w:rsid w:val="00FD2D04"/>
    <w:rsid w:val="00FD3255"/>
    <w:rsid w:val="00FD3713"/>
    <w:rsid w:val="00FD3C3A"/>
    <w:rsid w:val="00FD3CBA"/>
    <w:rsid w:val="00FD42D8"/>
    <w:rsid w:val="00FD4A01"/>
    <w:rsid w:val="00FD4A52"/>
    <w:rsid w:val="00FD4DB7"/>
    <w:rsid w:val="00FD5757"/>
    <w:rsid w:val="00FD5F58"/>
    <w:rsid w:val="00FD64BC"/>
    <w:rsid w:val="00FD6B8F"/>
    <w:rsid w:val="00FD6E31"/>
    <w:rsid w:val="00FD719A"/>
    <w:rsid w:val="00FE1345"/>
    <w:rsid w:val="00FE193B"/>
    <w:rsid w:val="00FE1C85"/>
    <w:rsid w:val="00FE226F"/>
    <w:rsid w:val="00FE2580"/>
    <w:rsid w:val="00FE2CAC"/>
    <w:rsid w:val="00FE2EB6"/>
    <w:rsid w:val="00FE3753"/>
    <w:rsid w:val="00FE3898"/>
    <w:rsid w:val="00FE3B03"/>
    <w:rsid w:val="00FE4387"/>
    <w:rsid w:val="00FE494D"/>
    <w:rsid w:val="00FE4C8A"/>
    <w:rsid w:val="00FE5056"/>
    <w:rsid w:val="00FE5326"/>
    <w:rsid w:val="00FE581F"/>
    <w:rsid w:val="00FE5974"/>
    <w:rsid w:val="00FE5B0D"/>
    <w:rsid w:val="00FE6343"/>
    <w:rsid w:val="00FE70A9"/>
    <w:rsid w:val="00FE7235"/>
    <w:rsid w:val="00FF034B"/>
    <w:rsid w:val="00FF0B9E"/>
    <w:rsid w:val="00FF1973"/>
    <w:rsid w:val="00FF1CE2"/>
    <w:rsid w:val="00FF211B"/>
    <w:rsid w:val="00FF299E"/>
    <w:rsid w:val="00FF35E6"/>
    <w:rsid w:val="00FF39BA"/>
    <w:rsid w:val="00FF4400"/>
    <w:rsid w:val="00FF4407"/>
    <w:rsid w:val="00FF5945"/>
    <w:rsid w:val="00FF59D3"/>
    <w:rsid w:val="00FF5A49"/>
    <w:rsid w:val="00FF5B4B"/>
    <w:rsid w:val="00FF5F90"/>
    <w:rsid w:val="00FF69E8"/>
    <w:rsid w:val="00FF76AB"/>
    <w:rsid w:val="00FF77F6"/>
    <w:rsid w:val="00FF7EFE"/>
    <w:rsid w:val="00FFFE0D"/>
    <w:rsid w:val="010A2E8C"/>
    <w:rsid w:val="0114DC7C"/>
    <w:rsid w:val="0116DEE5"/>
    <w:rsid w:val="011A9886"/>
    <w:rsid w:val="0127BACF"/>
    <w:rsid w:val="01291F77"/>
    <w:rsid w:val="01292F57"/>
    <w:rsid w:val="012F9A94"/>
    <w:rsid w:val="0133EC87"/>
    <w:rsid w:val="0137A131"/>
    <w:rsid w:val="01451ECE"/>
    <w:rsid w:val="01466D6C"/>
    <w:rsid w:val="014AF9BF"/>
    <w:rsid w:val="0152B79F"/>
    <w:rsid w:val="015F216F"/>
    <w:rsid w:val="016617D3"/>
    <w:rsid w:val="016B1672"/>
    <w:rsid w:val="016FECF5"/>
    <w:rsid w:val="0171D8A9"/>
    <w:rsid w:val="017A5E84"/>
    <w:rsid w:val="0181FABB"/>
    <w:rsid w:val="01933DD3"/>
    <w:rsid w:val="0196F4BB"/>
    <w:rsid w:val="019A9612"/>
    <w:rsid w:val="019B2077"/>
    <w:rsid w:val="019BB8D9"/>
    <w:rsid w:val="019CC1CB"/>
    <w:rsid w:val="01B353C9"/>
    <w:rsid w:val="01BA1DC1"/>
    <w:rsid w:val="01BD787B"/>
    <w:rsid w:val="01C7445E"/>
    <w:rsid w:val="01CC7E80"/>
    <w:rsid w:val="01CD7208"/>
    <w:rsid w:val="01D03CB6"/>
    <w:rsid w:val="01DB6561"/>
    <w:rsid w:val="01DD54CD"/>
    <w:rsid w:val="01E867A2"/>
    <w:rsid w:val="01EA7396"/>
    <w:rsid w:val="01F35AD6"/>
    <w:rsid w:val="0204F63C"/>
    <w:rsid w:val="020E93A3"/>
    <w:rsid w:val="02129181"/>
    <w:rsid w:val="021EF206"/>
    <w:rsid w:val="02226BF2"/>
    <w:rsid w:val="022AEDC6"/>
    <w:rsid w:val="022DB762"/>
    <w:rsid w:val="0233C3F1"/>
    <w:rsid w:val="0239C503"/>
    <w:rsid w:val="024386F4"/>
    <w:rsid w:val="024A5E61"/>
    <w:rsid w:val="024D795C"/>
    <w:rsid w:val="024FF869"/>
    <w:rsid w:val="02540366"/>
    <w:rsid w:val="025873AF"/>
    <w:rsid w:val="02589B16"/>
    <w:rsid w:val="025ED723"/>
    <w:rsid w:val="0268D359"/>
    <w:rsid w:val="026D3F5A"/>
    <w:rsid w:val="0271D59E"/>
    <w:rsid w:val="02722761"/>
    <w:rsid w:val="027B95E2"/>
    <w:rsid w:val="027D3BB8"/>
    <w:rsid w:val="028EDC7D"/>
    <w:rsid w:val="028F0999"/>
    <w:rsid w:val="029A70B7"/>
    <w:rsid w:val="029DE136"/>
    <w:rsid w:val="02ADBDF4"/>
    <w:rsid w:val="02B2AF46"/>
    <w:rsid w:val="02BC2162"/>
    <w:rsid w:val="02BEBBF4"/>
    <w:rsid w:val="02C646D7"/>
    <w:rsid w:val="02D2DF56"/>
    <w:rsid w:val="02D36981"/>
    <w:rsid w:val="02DBA026"/>
    <w:rsid w:val="02DFF92A"/>
    <w:rsid w:val="02E175A6"/>
    <w:rsid w:val="02E573BD"/>
    <w:rsid w:val="02EA8467"/>
    <w:rsid w:val="02ED3391"/>
    <w:rsid w:val="02EE2359"/>
    <w:rsid w:val="02F6EEEF"/>
    <w:rsid w:val="02F9926D"/>
    <w:rsid w:val="02FAF5F0"/>
    <w:rsid w:val="0304627D"/>
    <w:rsid w:val="0309EC7F"/>
    <w:rsid w:val="030D4D2A"/>
    <w:rsid w:val="03162BBB"/>
    <w:rsid w:val="031AFE2A"/>
    <w:rsid w:val="031C423F"/>
    <w:rsid w:val="031D3638"/>
    <w:rsid w:val="032302CE"/>
    <w:rsid w:val="033F0AE8"/>
    <w:rsid w:val="03435176"/>
    <w:rsid w:val="034579BE"/>
    <w:rsid w:val="034EBDAC"/>
    <w:rsid w:val="03580B47"/>
    <w:rsid w:val="035A8465"/>
    <w:rsid w:val="03622BEB"/>
    <w:rsid w:val="037155AF"/>
    <w:rsid w:val="0371660A"/>
    <w:rsid w:val="0373FF27"/>
    <w:rsid w:val="03793B78"/>
    <w:rsid w:val="03848DAE"/>
    <w:rsid w:val="03855C56"/>
    <w:rsid w:val="03950684"/>
    <w:rsid w:val="03996EE2"/>
    <w:rsid w:val="039F8221"/>
    <w:rsid w:val="03A8D06D"/>
    <w:rsid w:val="03B50901"/>
    <w:rsid w:val="03BC2C3E"/>
    <w:rsid w:val="03D3EDDE"/>
    <w:rsid w:val="03D50098"/>
    <w:rsid w:val="03DCD0AC"/>
    <w:rsid w:val="03DE35C9"/>
    <w:rsid w:val="03DF4E4B"/>
    <w:rsid w:val="03E7F2B3"/>
    <w:rsid w:val="03ECE109"/>
    <w:rsid w:val="03F44410"/>
    <w:rsid w:val="03FB53FF"/>
    <w:rsid w:val="03FB750F"/>
    <w:rsid w:val="03FB8192"/>
    <w:rsid w:val="03FD4591"/>
    <w:rsid w:val="040206BC"/>
    <w:rsid w:val="0409EFA0"/>
    <w:rsid w:val="040C6FAC"/>
    <w:rsid w:val="041CCF97"/>
    <w:rsid w:val="04289CAF"/>
    <w:rsid w:val="042A4632"/>
    <w:rsid w:val="0434912D"/>
    <w:rsid w:val="043891E9"/>
    <w:rsid w:val="043BCEB6"/>
    <w:rsid w:val="0440FE71"/>
    <w:rsid w:val="0441BB99"/>
    <w:rsid w:val="0442B2E3"/>
    <w:rsid w:val="04525B8A"/>
    <w:rsid w:val="045D6F75"/>
    <w:rsid w:val="045F2C40"/>
    <w:rsid w:val="0466A3B9"/>
    <w:rsid w:val="04683B4A"/>
    <w:rsid w:val="0479B6EC"/>
    <w:rsid w:val="047CC31B"/>
    <w:rsid w:val="0483A434"/>
    <w:rsid w:val="0484AD0C"/>
    <w:rsid w:val="0493D0F9"/>
    <w:rsid w:val="0498E652"/>
    <w:rsid w:val="049BBA5F"/>
    <w:rsid w:val="04A9CE2C"/>
    <w:rsid w:val="04B63ECB"/>
    <w:rsid w:val="04B7162F"/>
    <w:rsid w:val="04B7A55A"/>
    <w:rsid w:val="04BD45CE"/>
    <w:rsid w:val="04C48F9D"/>
    <w:rsid w:val="04C594D1"/>
    <w:rsid w:val="04DF21D7"/>
    <w:rsid w:val="04E68F1B"/>
    <w:rsid w:val="04E8D980"/>
    <w:rsid w:val="04F75BB8"/>
    <w:rsid w:val="04F81070"/>
    <w:rsid w:val="0500F3C2"/>
    <w:rsid w:val="050A3D5B"/>
    <w:rsid w:val="050D95D9"/>
    <w:rsid w:val="0513C90F"/>
    <w:rsid w:val="051432C2"/>
    <w:rsid w:val="0522E382"/>
    <w:rsid w:val="0524F0B9"/>
    <w:rsid w:val="0524FCDB"/>
    <w:rsid w:val="052B9424"/>
    <w:rsid w:val="052D1181"/>
    <w:rsid w:val="0531433B"/>
    <w:rsid w:val="05315985"/>
    <w:rsid w:val="053520CC"/>
    <w:rsid w:val="053CA1D7"/>
    <w:rsid w:val="05402313"/>
    <w:rsid w:val="0541AD94"/>
    <w:rsid w:val="05463465"/>
    <w:rsid w:val="054E7335"/>
    <w:rsid w:val="054EF38C"/>
    <w:rsid w:val="0557FFF6"/>
    <w:rsid w:val="056CF867"/>
    <w:rsid w:val="05766311"/>
    <w:rsid w:val="0580D394"/>
    <w:rsid w:val="0588904D"/>
    <w:rsid w:val="05898E02"/>
    <w:rsid w:val="058D3C8A"/>
    <w:rsid w:val="05A34786"/>
    <w:rsid w:val="05A56351"/>
    <w:rsid w:val="05B139D7"/>
    <w:rsid w:val="05CA8FE0"/>
    <w:rsid w:val="05D6B58F"/>
    <w:rsid w:val="05E3C20D"/>
    <w:rsid w:val="05E4AFDA"/>
    <w:rsid w:val="05EA80A9"/>
    <w:rsid w:val="05EE92A6"/>
    <w:rsid w:val="05F17E5E"/>
    <w:rsid w:val="05F4108E"/>
    <w:rsid w:val="06009261"/>
    <w:rsid w:val="0619A497"/>
    <w:rsid w:val="0627803C"/>
    <w:rsid w:val="0627BC59"/>
    <w:rsid w:val="0629CBCE"/>
    <w:rsid w:val="062C59EC"/>
    <w:rsid w:val="0635494F"/>
    <w:rsid w:val="063B32AF"/>
    <w:rsid w:val="063F6DBD"/>
    <w:rsid w:val="064598D6"/>
    <w:rsid w:val="064B7696"/>
    <w:rsid w:val="065C01F3"/>
    <w:rsid w:val="065FA656"/>
    <w:rsid w:val="066A6744"/>
    <w:rsid w:val="06741A69"/>
    <w:rsid w:val="067810C6"/>
    <w:rsid w:val="0679CAD0"/>
    <w:rsid w:val="067AED1D"/>
    <w:rsid w:val="068547D2"/>
    <w:rsid w:val="068CBCBF"/>
    <w:rsid w:val="0691A950"/>
    <w:rsid w:val="06923DBB"/>
    <w:rsid w:val="069E9B59"/>
    <w:rsid w:val="06A0B82A"/>
    <w:rsid w:val="06A1BD3C"/>
    <w:rsid w:val="06A43A5D"/>
    <w:rsid w:val="06A8DF61"/>
    <w:rsid w:val="06A98DE9"/>
    <w:rsid w:val="06ADD566"/>
    <w:rsid w:val="06B423A0"/>
    <w:rsid w:val="06C8321C"/>
    <w:rsid w:val="06D091C5"/>
    <w:rsid w:val="06D7B0A0"/>
    <w:rsid w:val="06DA7292"/>
    <w:rsid w:val="06DAA7FA"/>
    <w:rsid w:val="06DAE9DC"/>
    <w:rsid w:val="06DD1725"/>
    <w:rsid w:val="06F27BAB"/>
    <w:rsid w:val="07041B0C"/>
    <w:rsid w:val="0709C325"/>
    <w:rsid w:val="07189746"/>
    <w:rsid w:val="0719370B"/>
    <w:rsid w:val="071D5EA7"/>
    <w:rsid w:val="072B30DB"/>
    <w:rsid w:val="0733E67D"/>
    <w:rsid w:val="07340D90"/>
    <w:rsid w:val="073893A2"/>
    <w:rsid w:val="073F834C"/>
    <w:rsid w:val="0758220C"/>
    <w:rsid w:val="07594AED"/>
    <w:rsid w:val="076ADD33"/>
    <w:rsid w:val="076D7959"/>
    <w:rsid w:val="0776F4EB"/>
    <w:rsid w:val="0779B08F"/>
    <w:rsid w:val="07822724"/>
    <w:rsid w:val="0789B514"/>
    <w:rsid w:val="078BE37E"/>
    <w:rsid w:val="0790A580"/>
    <w:rsid w:val="07944942"/>
    <w:rsid w:val="079B10FD"/>
    <w:rsid w:val="07AF72AE"/>
    <w:rsid w:val="07BD6176"/>
    <w:rsid w:val="07C263BF"/>
    <w:rsid w:val="07C2819E"/>
    <w:rsid w:val="07C70144"/>
    <w:rsid w:val="07CAD2F0"/>
    <w:rsid w:val="07D5F781"/>
    <w:rsid w:val="07EC8E2D"/>
    <w:rsid w:val="07F7B741"/>
    <w:rsid w:val="07FC98BF"/>
    <w:rsid w:val="07FD52BE"/>
    <w:rsid w:val="07FE77BC"/>
    <w:rsid w:val="0805008C"/>
    <w:rsid w:val="08187802"/>
    <w:rsid w:val="081F2D0F"/>
    <w:rsid w:val="08200C49"/>
    <w:rsid w:val="082171AB"/>
    <w:rsid w:val="082A5457"/>
    <w:rsid w:val="08321091"/>
    <w:rsid w:val="083D74A0"/>
    <w:rsid w:val="08437225"/>
    <w:rsid w:val="0857A926"/>
    <w:rsid w:val="08619675"/>
    <w:rsid w:val="086A51A7"/>
    <w:rsid w:val="086CF056"/>
    <w:rsid w:val="08778E47"/>
    <w:rsid w:val="087C98DE"/>
    <w:rsid w:val="087D9CFD"/>
    <w:rsid w:val="089528E1"/>
    <w:rsid w:val="0895A41D"/>
    <w:rsid w:val="0899AABD"/>
    <w:rsid w:val="08AB7622"/>
    <w:rsid w:val="08B515DB"/>
    <w:rsid w:val="08B969AD"/>
    <w:rsid w:val="08BBB58A"/>
    <w:rsid w:val="08BF2B58"/>
    <w:rsid w:val="08C2D6BF"/>
    <w:rsid w:val="08C32FB5"/>
    <w:rsid w:val="08D17079"/>
    <w:rsid w:val="08D5048B"/>
    <w:rsid w:val="08D53272"/>
    <w:rsid w:val="08D57E7A"/>
    <w:rsid w:val="08D9DBF5"/>
    <w:rsid w:val="08DBEFFA"/>
    <w:rsid w:val="08DFBBF4"/>
    <w:rsid w:val="08EF2788"/>
    <w:rsid w:val="08EFFB4E"/>
    <w:rsid w:val="08FB55DE"/>
    <w:rsid w:val="09072587"/>
    <w:rsid w:val="090D2A80"/>
    <w:rsid w:val="090EBBD8"/>
    <w:rsid w:val="0913865B"/>
    <w:rsid w:val="0917E16B"/>
    <w:rsid w:val="092BBDD5"/>
    <w:rsid w:val="09432E3F"/>
    <w:rsid w:val="0945FF51"/>
    <w:rsid w:val="094C604E"/>
    <w:rsid w:val="0952826E"/>
    <w:rsid w:val="09548C06"/>
    <w:rsid w:val="0955B747"/>
    <w:rsid w:val="095CE695"/>
    <w:rsid w:val="0962FE68"/>
    <w:rsid w:val="096C2498"/>
    <w:rsid w:val="096F9449"/>
    <w:rsid w:val="0971FE24"/>
    <w:rsid w:val="097D2758"/>
    <w:rsid w:val="098146A8"/>
    <w:rsid w:val="098A66CF"/>
    <w:rsid w:val="0992CFC7"/>
    <w:rsid w:val="0992EEC7"/>
    <w:rsid w:val="09975576"/>
    <w:rsid w:val="09A871E8"/>
    <w:rsid w:val="09AF5838"/>
    <w:rsid w:val="09B0E66B"/>
    <w:rsid w:val="09B1121C"/>
    <w:rsid w:val="09B9495B"/>
    <w:rsid w:val="09BA6145"/>
    <w:rsid w:val="09BCE72E"/>
    <w:rsid w:val="09BEFBFF"/>
    <w:rsid w:val="09C2A4F7"/>
    <w:rsid w:val="09C2A5B8"/>
    <w:rsid w:val="09C44CF1"/>
    <w:rsid w:val="09C596E8"/>
    <w:rsid w:val="09CC6C0F"/>
    <w:rsid w:val="09DAA2E6"/>
    <w:rsid w:val="09E04091"/>
    <w:rsid w:val="09E88B79"/>
    <w:rsid w:val="09EA49D0"/>
    <w:rsid w:val="09ED4193"/>
    <w:rsid w:val="09EF3713"/>
    <w:rsid w:val="09F7AE43"/>
    <w:rsid w:val="0A00A3B5"/>
    <w:rsid w:val="0A119BF9"/>
    <w:rsid w:val="0A1469F6"/>
    <w:rsid w:val="0A216750"/>
    <w:rsid w:val="0A24C4C9"/>
    <w:rsid w:val="0A2920CE"/>
    <w:rsid w:val="0A363203"/>
    <w:rsid w:val="0A36A464"/>
    <w:rsid w:val="0A5EBF3C"/>
    <w:rsid w:val="0A64C247"/>
    <w:rsid w:val="0A6639E7"/>
    <w:rsid w:val="0A752A9A"/>
    <w:rsid w:val="0A77B9F7"/>
    <w:rsid w:val="0A9095F2"/>
    <w:rsid w:val="0A96511B"/>
    <w:rsid w:val="0AB7AC90"/>
    <w:rsid w:val="0ABA2145"/>
    <w:rsid w:val="0AC95803"/>
    <w:rsid w:val="0AD0F281"/>
    <w:rsid w:val="0AD37E87"/>
    <w:rsid w:val="0AD9BE82"/>
    <w:rsid w:val="0ADF4EAE"/>
    <w:rsid w:val="0AE3F559"/>
    <w:rsid w:val="0AE4D11C"/>
    <w:rsid w:val="0AEB4650"/>
    <w:rsid w:val="0AEF6F44"/>
    <w:rsid w:val="0AF0C15E"/>
    <w:rsid w:val="0AF2D708"/>
    <w:rsid w:val="0AF70B18"/>
    <w:rsid w:val="0AF80658"/>
    <w:rsid w:val="0B10371F"/>
    <w:rsid w:val="0B172145"/>
    <w:rsid w:val="0B178B00"/>
    <w:rsid w:val="0B1C139C"/>
    <w:rsid w:val="0B1C5134"/>
    <w:rsid w:val="0B288C67"/>
    <w:rsid w:val="0B2D5A10"/>
    <w:rsid w:val="0B350107"/>
    <w:rsid w:val="0B37A376"/>
    <w:rsid w:val="0B39C01C"/>
    <w:rsid w:val="0B3EE6AC"/>
    <w:rsid w:val="0B4942F4"/>
    <w:rsid w:val="0B4E1F55"/>
    <w:rsid w:val="0B591F64"/>
    <w:rsid w:val="0B5B594E"/>
    <w:rsid w:val="0B603D5B"/>
    <w:rsid w:val="0B6AB1E4"/>
    <w:rsid w:val="0B6D2F7E"/>
    <w:rsid w:val="0B7F6D2A"/>
    <w:rsid w:val="0B895E59"/>
    <w:rsid w:val="0B91C3F6"/>
    <w:rsid w:val="0B921776"/>
    <w:rsid w:val="0B9268C0"/>
    <w:rsid w:val="0B949941"/>
    <w:rsid w:val="0B9B1242"/>
    <w:rsid w:val="0B9EC704"/>
    <w:rsid w:val="0BA1510A"/>
    <w:rsid w:val="0BA48C5C"/>
    <w:rsid w:val="0BA53CD3"/>
    <w:rsid w:val="0BA75BEC"/>
    <w:rsid w:val="0BA98525"/>
    <w:rsid w:val="0BAE191D"/>
    <w:rsid w:val="0BB43629"/>
    <w:rsid w:val="0BB45EA2"/>
    <w:rsid w:val="0BB46A05"/>
    <w:rsid w:val="0BC14279"/>
    <w:rsid w:val="0BC24EFE"/>
    <w:rsid w:val="0BC47009"/>
    <w:rsid w:val="0BC92522"/>
    <w:rsid w:val="0BCB5276"/>
    <w:rsid w:val="0BD2BCFD"/>
    <w:rsid w:val="0BD49A25"/>
    <w:rsid w:val="0BDD21B8"/>
    <w:rsid w:val="0BE25480"/>
    <w:rsid w:val="0BE62D98"/>
    <w:rsid w:val="0C0AC754"/>
    <w:rsid w:val="0C0B65CD"/>
    <w:rsid w:val="0C14DAA7"/>
    <w:rsid w:val="0C17F1E2"/>
    <w:rsid w:val="0C25B26D"/>
    <w:rsid w:val="0C2B14A8"/>
    <w:rsid w:val="0C2B1A8A"/>
    <w:rsid w:val="0C2D0D4F"/>
    <w:rsid w:val="0C300AD3"/>
    <w:rsid w:val="0C3A3B83"/>
    <w:rsid w:val="0C3F05A7"/>
    <w:rsid w:val="0C48C002"/>
    <w:rsid w:val="0C4AEA63"/>
    <w:rsid w:val="0C59D8DF"/>
    <w:rsid w:val="0C5FFEBA"/>
    <w:rsid w:val="0C67A27B"/>
    <w:rsid w:val="0C6987A4"/>
    <w:rsid w:val="0C6D1155"/>
    <w:rsid w:val="0C75DEE1"/>
    <w:rsid w:val="0C76AFF8"/>
    <w:rsid w:val="0C7C4B81"/>
    <w:rsid w:val="0C7FA220"/>
    <w:rsid w:val="0C80A0FC"/>
    <w:rsid w:val="0C891DFA"/>
    <w:rsid w:val="0C95D9F4"/>
    <w:rsid w:val="0CA0032D"/>
    <w:rsid w:val="0CA03963"/>
    <w:rsid w:val="0CA739C3"/>
    <w:rsid w:val="0CAF6B57"/>
    <w:rsid w:val="0CC020E7"/>
    <w:rsid w:val="0CD83971"/>
    <w:rsid w:val="0CDD8483"/>
    <w:rsid w:val="0CE7524A"/>
    <w:rsid w:val="0CE9C907"/>
    <w:rsid w:val="0CF0E570"/>
    <w:rsid w:val="0CF110DE"/>
    <w:rsid w:val="0CF1F186"/>
    <w:rsid w:val="0CF2CF9B"/>
    <w:rsid w:val="0CF81F2C"/>
    <w:rsid w:val="0CFBB717"/>
    <w:rsid w:val="0D067F3E"/>
    <w:rsid w:val="0D079E49"/>
    <w:rsid w:val="0D0FF9AE"/>
    <w:rsid w:val="0D11F343"/>
    <w:rsid w:val="0D2AE86E"/>
    <w:rsid w:val="0D36D788"/>
    <w:rsid w:val="0D3D929F"/>
    <w:rsid w:val="0D3FD349"/>
    <w:rsid w:val="0D529C48"/>
    <w:rsid w:val="0D52D158"/>
    <w:rsid w:val="0D5536C6"/>
    <w:rsid w:val="0D62AFE9"/>
    <w:rsid w:val="0D64FC84"/>
    <w:rsid w:val="0D67E649"/>
    <w:rsid w:val="0D7EDF37"/>
    <w:rsid w:val="0D85E08C"/>
    <w:rsid w:val="0D90F0EC"/>
    <w:rsid w:val="0D9B2656"/>
    <w:rsid w:val="0D9E323D"/>
    <w:rsid w:val="0DA03BB4"/>
    <w:rsid w:val="0DA491B8"/>
    <w:rsid w:val="0DA9F1DB"/>
    <w:rsid w:val="0DAB764E"/>
    <w:rsid w:val="0DB23BFE"/>
    <w:rsid w:val="0DBFC783"/>
    <w:rsid w:val="0DC3AB4C"/>
    <w:rsid w:val="0DC66C81"/>
    <w:rsid w:val="0DCD5BF9"/>
    <w:rsid w:val="0DD5E4BD"/>
    <w:rsid w:val="0DD82A23"/>
    <w:rsid w:val="0DE44411"/>
    <w:rsid w:val="0DEB6C63"/>
    <w:rsid w:val="0DEC3644"/>
    <w:rsid w:val="0DF097B0"/>
    <w:rsid w:val="0DF603FD"/>
    <w:rsid w:val="0DFB0B0F"/>
    <w:rsid w:val="0E07EE61"/>
    <w:rsid w:val="0E1B4875"/>
    <w:rsid w:val="0E2EABBA"/>
    <w:rsid w:val="0E33F6B3"/>
    <w:rsid w:val="0E34192E"/>
    <w:rsid w:val="0E36F3CC"/>
    <w:rsid w:val="0E3AE053"/>
    <w:rsid w:val="0E3B6BD6"/>
    <w:rsid w:val="0E42D419"/>
    <w:rsid w:val="0E4BD7E8"/>
    <w:rsid w:val="0E4D3C1E"/>
    <w:rsid w:val="0E5094BA"/>
    <w:rsid w:val="0E50987B"/>
    <w:rsid w:val="0E544073"/>
    <w:rsid w:val="0E5C82BB"/>
    <w:rsid w:val="0E6473A2"/>
    <w:rsid w:val="0E768A5F"/>
    <w:rsid w:val="0E76AFF9"/>
    <w:rsid w:val="0E79EB32"/>
    <w:rsid w:val="0E7AF484"/>
    <w:rsid w:val="0E865979"/>
    <w:rsid w:val="0E86FBC3"/>
    <w:rsid w:val="0E905517"/>
    <w:rsid w:val="0E906725"/>
    <w:rsid w:val="0E977C10"/>
    <w:rsid w:val="0E9E8377"/>
    <w:rsid w:val="0EA7E5F3"/>
    <w:rsid w:val="0EA8078E"/>
    <w:rsid w:val="0EABCA0F"/>
    <w:rsid w:val="0EAEAC08"/>
    <w:rsid w:val="0EB086D9"/>
    <w:rsid w:val="0EB363C0"/>
    <w:rsid w:val="0EBA4D26"/>
    <w:rsid w:val="0EBAB84B"/>
    <w:rsid w:val="0EC9A0D5"/>
    <w:rsid w:val="0ED144F2"/>
    <w:rsid w:val="0ED3B624"/>
    <w:rsid w:val="0ED3C4CB"/>
    <w:rsid w:val="0EDF0020"/>
    <w:rsid w:val="0EDF7B15"/>
    <w:rsid w:val="0EE330F4"/>
    <w:rsid w:val="0EE371BD"/>
    <w:rsid w:val="0EE40409"/>
    <w:rsid w:val="0EE93154"/>
    <w:rsid w:val="0EED16AB"/>
    <w:rsid w:val="0EEDFFC8"/>
    <w:rsid w:val="0EFC08B2"/>
    <w:rsid w:val="0EFDBBA1"/>
    <w:rsid w:val="0F00EEFA"/>
    <w:rsid w:val="0F01D16F"/>
    <w:rsid w:val="0F03C505"/>
    <w:rsid w:val="0F0FFC93"/>
    <w:rsid w:val="0F2792B2"/>
    <w:rsid w:val="0F28D38B"/>
    <w:rsid w:val="0F2C6C55"/>
    <w:rsid w:val="0F2D03E1"/>
    <w:rsid w:val="0F31A894"/>
    <w:rsid w:val="0F3BEE43"/>
    <w:rsid w:val="0F440D78"/>
    <w:rsid w:val="0F4690FE"/>
    <w:rsid w:val="0F4A9BF0"/>
    <w:rsid w:val="0F547CBC"/>
    <w:rsid w:val="0F592E3E"/>
    <w:rsid w:val="0F5AE6E9"/>
    <w:rsid w:val="0F636112"/>
    <w:rsid w:val="0F639310"/>
    <w:rsid w:val="0F686890"/>
    <w:rsid w:val="0F68C3EB"/>
    <w:rsid w:val="0F76C75C"/>
    <w:rsid w:val="0F7B217B"/>
    <w:rsid w:val="0F8D8B4E"/>
    <w:rsid w:val="0F939809"/>
    <w:rsid w:val="0F9643F8"/>
    <w:rsid w:val="0FA4B9E7"/>
    <w:rsid w:val="0FB473C8"/>
    <w:rsid w:val="0FB63B9E"/>
    <w:rsid w:val="0FC66918"/>
    <w:rsid w:val="0FCB7ADB"/>
    <w:rsid w:val="0FD1C795"/>
    <w:rsid w:val="0FD32D44"/>
    <w:rsid w:val="0FD9F1D8"/>
    <w:rsid w:val="0FDAED2C"/>
    <w:rsid w:val="0FDD705D"/>
    <w:rsid w:val="0FE2C540"/>
    <w:rsid w:val="0FE6E056"/>
    <w:rsid w:val="0FEAE813"/>
    <w:rsid w:val="0FEB6A41"/>
    <w:rsid w:val="0FF0B5E6"/>
    <w:rsid w:val="0FF234D9"/>
    <w:rsid w:val="0FF4F89A"/>
    <w:rsid w:val="0FFDF558"/>
    <w:rsid w:val="100185D6"/>
    <w:rsid w:val="1003EA83"/>
    <w:rsid w:val="100416D8"/>
    <w:rsid w:val="10073351"/>
    <w:rsid w:val="10082D82"/>
    <w:rsid w:val="1008DE62"/>
    <w:rsid w:val="100D865A"/>
    <w:rsid w:val="10130F29"/>
    <w:rsid w:val="10177D8D"/>
    <w:rsid w:val="101D53E2"/>
    <w:rsid w:val="102227B3"/>
    <w:rsid w:val="10256723"/>
    <w:rsid w:val="1026AEB7"/>
    <w:rsid w:val="1028F6C0"/>
    <w:rsid w:val="10324548"/>
    <w:rsid w:val="103246FC"/>
    <w:rsid w:val="1035FAAD"/>
    <w:rsid w:val="10399D21"/>
    <w:rsid w:val="104B9F31"/>
    <w:rsid w:val="104F5AD7"/>
    <w:rsid w:val="1064A91E"/>
    <w:rsid w:val="1077740B"/>
    <w:rsid w:val="107C581F"/>
    <w:rsid w:val="10931903"/>
    <w:rsid w:val="109F98DA"/>
    <w:rsid w:val="10AE3C5B"/>
    <w:rsid w:val="10B15B81"/>
    <w:rsid w:val="10B1E287"/>
    <w:rsid w:val="10BE8C32"/>
    <w:rsid w:val="10C13E5F"/>
    <w:rsid w:val="10CE5FB5"/>
    <w:rsid w:val="10D3C980"/>
    <w:rsid w:val="10D538B4"/>
    <w:rsid w:val="10DE7745"/>
    <w:rsid w:val="10E4DA3B"/>
    <w:rsid w:val="10EE1638"/>
    <w:rsid w:val="10F5EDE4"/>
    <w:rsid w:val="10F7A8BC"/>
    <w:rsid w:val="10F80E5E"/>
    <w:rsid w:val="10F98967"/>
    <w:rsid w:val="10F9C559"/>
    <w:rsid w:val="10FDF34B"/>
    <w:rsid w:val="111A030E"/>
    <w:rsid w:val="11213117"/>
    <w:rsid w:val="11224F42"/>
    <w:rsid w:val="1123EE81"/>
    <w:rsid w:val="1126A3E6"/>
    <w:rsid w:val="1134221F"/>
    <w:rsid w:val="113EC957"/>
    <w:rsid w:val="11467F21"/>
    <w:rsid w:val="114EDF30"/>
    <w:rsid w:val="11573BEB"/>
    <w:rsid w:val="115B6A99"/>
    <w:rsid w:val="11749260"/>
    <w:rsid w:val="117CA9FF"/>
    <w:rsid w:val="117E1A2B"/>
    <w:rsid w:val="118B6907"/>
    <w:rsid w:val="11955867"/>
    <w:rsid w:val="11967652"/>
    <w:rsid w:val="119F1DEB"/>
    <w:rsid w:val="11A15954"/>
    <w:rsid w:val="11A267E1"/>
    <w:rsid w:val="11AAED1B"/>
    <w:rsid w:val="11AD1316"/>
    <w:rsid w:val="11AE36FF"/>
    <w:rsid w:val="11B08D55"/>
    <w:rsid w:val="11B19C5F"/>
    <w:rsid w:val="11C0039C"/>
    <w:rsid w:val="11CF18DA"/>
    <w:rsid w:val="11D2013C"/>
    <w:rsid w:val="11D54ACC"/>
    <w:rsid w:val="11E5D611"/>
    <w:rsid w:val="11E5D974"/>
    <w:rsid w:val="11E9893D"/>
    <w:rsid w:val="11EB2B38"/>
    <w:rsid w:val="11EB8D0E"/>
    <w:rsid w:val="11FAEBB1"/>
    <w:rsid w:val="11FB907C"/>
    <w:rsid w:val="11FC009E"/>
    <w:rsid w:val="11FEE0BF"/>
    <w:rsid w:val="1204B621"/>
    <w:rsid w:val="1208825D"/>
    <w:rsid w:val="120D7952"/>
    <w:rsid w:val="1213D29C"/>
    <w:rsid w:val="1217B044"/>
    <w:rsid w:val="1224F843"/>
    <w:rsid w:val="12272BCF"/>
    <w:rsid w:val="12294B78"/>
    <w:rsid w:val="123E3B2B"/>
    <w:rsid w:val="124C88FD"/>
    <w:rsid w:val="125AA5D2"/>
    <w:rsid w:val="125DD05A"/>
    <w:rsid w:val="1268DD8B"/>
    <w:rsid w:val="126C18A5"/>
    <w:rsid w:val="126E12AD"/>
    <w:rsid w:val="12700EF3"/>
    <w:rsid w:val="1295BA89"/>
    <w:rsid w:val="12981C65"/>
    <w:rsid w:val="129BCB4A"/>
    <w:rsid w:val="12A27C09"/>
    <w:rsid w:val="12A4505C"/>
    <w:rsid w:val="12A50BCE"/>
    <w:rsid w:val="12AF36F9"/>
    <w:rsid w:val="12AFA8F4"/>
    <w:rsid w:val="12B37EE5"/>
    <w:rsid w:val="12C92D21"/>
    <w:rsid w:val="12CD328F"/>
    <w:rsid w:val="12CF3C39"/>
    <w:rsid w:val="12D28105"/>
    <w:rsid w:val="12D443FF"/>
    <w:rsid w:val="12F73AFA"/>
    <w:rsid w:val="12F9807B"/>
    <w:rsid w:val="130746E1"/>
    <w:rsid w:val="130D1960"/>
    <w:rsid w:val="13164F51"/>
    <w:rsid w:val="1318482B"/>
    <w:rsid w:val="131BB02F"/>
    <w:rsid w:val="131C380B"/>
    <w:rsid w:val="131FE25E"/>
    <w:rsid w:val="132F9A73"/>
    <w:rsid w:val="133DCF98"/>
    <w:rsid w:val="1340AD6A"/>
    <w:rsid w:val="13452051"/>
    <w:rsid w:val="1351E0DB"/>
    <w:rsid w:val="13539BAB"/>
    <w:rsid w:val="136957C9"/>
    <w:rsid w:val="136F9112"/>
    <w:rsid w:val="136FA76B"/>
    <w:rsid w:val="136FB9BA"/>
    <w:rsid w:val="1374FB05"/>
    <w:rsid w:val="1374FB8E"/>
    <w:rsid w:val="1378D3E3"/>
    <w:rsid w:val="13835688"/>
    <w:rsid w:val="1386829C"/>
    <w:rsid w:val="138CBF30"/>
    <w:rsid w:val="13924A76"/>
    <w:rsid w:val="13992821"/>
    <w:rsid w:val="13A08D61"/>
    <w:rsid w:val="13A3B75B"/>
    <w:rsid w:val="13A9C3FE"/>
    <w:rsid w:val="13AF4CF7"/>
    <w:rsid w:val="13B0ADBD"/>
    <w:rsid w:val="13B57644"/>
    <w:rsid w:val="13BE1E4A"/>
    <w:rsid w:val="13C4784A"/>
    <w:rsid w:val="13CC599E"/>
    <w:rsid w:val="13D2535F"/>
    <w:rsid w:val="13D33A2A"/>
    <w:rsid w:val="13D4601D"/>
    <w:rsid w:val="13D70C50"/>
    <w:rsid w:val="13DC4DA3"/>
    <w:rsid w:val="13E35DA3"/>
    <w:rsid w:val="13EA0F47"/>
    <w:rsid w:val="13F0ECCB"/>
    <w:rsid w:val="13F921E0"/>
    <w:rsid w:val="13FAB5C6"/>
    <w:rsid w:val="13FDFF2C"/>
    <w:rsid w:val="14045820"/>
    <w:rsid w:val="140D2EEE"/>
    <w:rsid w:val="14108F47"/>
    <w:rsid w:val="14143AA5"/>
    <w:rsid w:val="1419AB49"/>
    <w:rsid w:val="141DB498"/>
    <w:rsid w:val="141DCE30"/>
    <w:rsid w:val="142AE9CD"/>
    <w:rsid w:val="142C87A1"/>
    <w:rsid w:val="1440BDA7"/>
    <w:rsid w:val="14478A69"/>
    <w:rsid w:val="144FE476"/>
    <w:rsid w:val="145590EF"/>
    <w:rsid w:val="1456AD6B"/>
    <w:rsid w:val="145F629D"/>
    <w:rsid w:val="146050C4"/>
    <w:rsid w:val="14637165"/>
    <w:rsid w:val="14679A64"/>
    <w:rsid w:val="1472473A"/>
    <w:rsid w:val="147B231A"/>
    <w:rsid w:val="148F7B51"/>
    <w:rsid w:val="149A8068"/>
    <w:rsid w:val="149AEA3A"/>
    <w:rsid w:val="14C93962"/>
    <w:rsid w:val="14DD6EDB"/>
    <w:rsid w:val="14E0F77D"/>
    <w:rsid w:val="14E3EDC5"/>
    <w:rsid w:val="14EBC42E"/>
    <w:rsid w:val="14F26214"/>
    <w:rsid w:val="14F4DFFF"/>
    <w:rsid w:val="14F7E842"/>
    <w:rsid w:val="15040944"/>
    <w:rsid w:val="1509E704"/>
    <w:rsid w:val="150BC1F9"/>
    <w:rsid w:val="150D66CF"/>
    <w:rsid w:val="1526F84F"/>
    <w:rsid w:val="1527A782"/>
    <w:rsid w:val="152D7935"/>
    <w:rsid w:val="15361A1C"/>
    <w:rsid w:val="15363A18"/>
    <w:rsid w:val="1538AB28"/>
    <w:rsid w:val="153A85DD"/>
    <w:rsid w:val="154B086F"/>
    <w:rsid w:val="155123E6"/>
    <w:rsid w:val="155785A5"/>
    <w:rsid w:val="155CA4E0"/>
    <w:rsid w:val="155F7F5D"/>
    <w:rsid w:val="156E23C0"/>
    <w:rsid w:val="159406DB"/>
    <w:rsid w:val="159D76A2"/>
    <w:rsid w:val="15A06EC3"/>
    <w:rsid w:val="15AE82C9"/>
    <w:rsid w:val="15B519AB"/>
    <w:rsid w:val="15BB4E1D"/>
    <w:rsid w:val="15C5DD8A"/>
    <w:rsid w:val="15CA13AB"/>
    <w:rsid w:val="15D8C71F"/>
    <w:rsid w:val="15DA6A92"/>
    <w:rsid w:val="15E4D899"/>
    <w:rsid w:val="15F09707"/>
    <w:rsid w:val="15F9285C"/>
    <w:rsid w:val="15FCB9B8"/>
    <w:rsid w:val="15FD8DCE"/>
    <w:rsid w:val="15FF23F1"/>
    <w:rsid w:val="15FFD94F"/>
    <w:rsid w:val="1602D8D5"/>
    <w:rsid w:val="160AB426"/>
    <w:rsid w:val="16182E68"/>
    <w:rsid w:val="1618E822"/>
    <w:rsid w:val="1619D5E2"/>
    <w:rsid w:val="16255984"/>
    <w:rsid w:val="162E84A7"/>
    <w:rsid w:val="16363FA8"/>
    <w:rsid w:val="1637E431"/>
    <w:rsid w:val="16488FEE"/>
    <w:rsid w:val="164BB971"/>
    <w:rsid w:val="16554242"/>
    <w:rsid w:val="16557EFC"/>
    <w:rsid w:val="165D32AC"/>
    <w:rsid w:val="1663D15C"/>
    <w:rsid w:val="16668787"/>
    <w:rsid w:val="166BAAFC"/>
    <w:rsid w:val="166FC1EA"/>
    <w:rsid w:val="16721410"/>
    <w:rsid w:val="1675D87E"/>
    <w:rsid w:val="16772A23"/>
    <w:rsid w:val="168E0A1A"/>
    <w:rsid w:val="168F6E1F"/>
    <w:rsid w:val="1697E6B7"/>
    <w:rsid w:val="1698E553"/>
    <w:rsid w:val="16A12DD3"/>
    <w:rsid w:val="16A38E9B"/>
    <w:rsid w:val="16A55DBE"/>
    <w:rsid w:val="16B3D681"/>
    <w:rsid w:val="16C27007"/>
    <w:rsid w:val="16C7505E"/>
    <w:rsid w:val="16CDE3D0"/>
    <w:rsid w:val="16D25BB0"/>
    <w:rsid w:val="16D872A1"/>
    <w:rsid w:val="16DED6B0"/>
    <w:rsid w:val="16DEF27F"/>
    <w:rsid w:val="16EA3066"/>
    <w:rsid w:val="16EE10F6"/>
    <w:rsid w:val="16F1D18D"/>
    <w:rsid w:val="16F9CD9B"/>
    <w:rsid w:val="17097652"/>
    <w:rsid w:val="1709DB28"/>
    <w:rsid w:val="170A3256"/>
    <w:rsid w:val="170B5BA5"/>
    <w:rsid w:val="17208119"/>
    <w:rsid w:val="17221106"/>
    <w:rsid w:val="172D89B9"/>
    <w:rsid w:val="172F09E6"/>
    <w:rsid w:val="17316BE5"/>
    <w:rsid w:val="17392370"/>
    <w:rsid w:val="173A2C5C"/>
    <w:rsid w:val="174FFFF4"/>
    <w:rsid w:val="17541319"/>
    <w:rsid w:val="1757D661"/>
    <w:rsid w:val="175CD06E"/>
    <w:rsid w:val="1771FA7B"/>
    <w:rsid w:val="1772DA36"/>
    <w:rsid w:val="17769D13"/>
    <w:rsid w:val="177C1F19"/>
    <w:rsid w:val="177C61B5"/>
    <w:rsid w:val="177EEF40"/>
    <w:rsid w:val="1780585C"/>
    <w:rsid w:val="17833957"/>
    <w:rsid w:val="17879E5B"/>
    <w:rsid w:val="178940B3"/>
    <w:rsid w:val="178C38A0"/>
    <w:rsid w:val="178DB2FE"/>
    <w:rsid w:val="178F391E"/>
    <w:rsid w:val="1793D6F7"/>
    <w:rsid w:val="179AE025"/>
    <w:rsid w:val="179DA6A2"/>
    <w:rsid w:val="17A0954C"/>
    <w:rsid w:val="17AB50A7"/>
    <w:rsid w:val="17BCEDDB"/>
    <w:rsid w:val="17BED1DE"/>
    <w:rsid w:val="17D34E5C"/>
    <w:rsid w:val="17D5FC7C"/>
    <w:rsid w:val="17E355A4"/>
    <w:rsid w:val="17E66109"/>
    <w:rsid w:val="17E712A8"/>
    <w:rsid w:val="17F22FB7"/>
    <w:rsid w:val="18004BAA"/>
    <w:rsid w:val="1806E241"/>
    <w:rsid w:val="1807E42A"/>
    <w:rsid w:val="180AAA15"/>
    <w:rsid w:val="1819EE6D"/>
    <w:rsid w:val="1827BC73"/>
    <w:rsid w:val="182B2A93"/>
    <w:rsid w:val="182E117D"/>
    <w:rsid w:val="18339817"/>
    <w:rsid w:val="1843FC09"/>
    <w:rsid w:val="185C1F98"/>
    <w:rsid w:val="185D8F8A"/>
    <w:rsid w:val="185E3F35"/>
    <w:rsid w:val="185F7FD8"/>
    <w:rsid w:val="18619E45"/>
    <w:rsid w:val="18640359"/>
    <w:rsid w:val="187DAA96"/>
    <w:rsid w:val="187DF7C2"/>
    <w:rsid w:val="18835F99"/>
    <w:rsid w:val="188469FB"/>
    <w:rsid w:val="188798BA"/>
    <w:rsid w:val="18970067"/>
    <w:rsid w:val="1897201F"/>
    <w:rsid w:val="189CA383"/>
    <w:rsid w:val="18A93129"/>
    <w:rsid w:val="18B80C78"/>
    <w:rsid w:val="18C56CB5"/>
    <w:rsid w:val="18D1C041"/>
    <w:rsid w:val="18D47DB8"/>
    <w:rsid w:val="18DFFFC0"/>
    <w:rsid w:val="18E59E2E"/>
    <w:rsid w:val="18E679F3"/>
    <w:rsid w:val="18EC1E0B"/>
    <w:rsid w:val="18FE9EB1"/>
    <w:rsid w:val="18FEA1EA"/>
    <w:rsid w:val="18FEA7C9"/>
    <w:rsid w:val="18FF1AF5"/>
    <w:rsid w:val="191391E0"/>
    <w:rsid w:val="191861C1"/>
    <w:rsid w:val="191B8376"/>
    <w:rsid w:val="191DBA42"/>
    <w:rsid w:val="1923052F"/>
    <w:rsid w:val="1929835F"/>
    <w:rsid w:val="192B0C5E"/>
    <w:rsid w:val="192F3F29"/>
    <w:rsid w:val="1935A42C"/>
    <w:rsid w:val="19360FBD"/>
    <w:rsid w:val="193E4052"/>
    <w:rsid w:val="194072ED"/>
    <w:rsid w:val="195541A7"/>
    <w:rsid w:val="1955681C"/>
    <w:rsid w:val="195C22B8"/>
    <w:rsid w:val="197093BE"/>
    <w:rsid w:val="1972894E"/>
    <w:rsid w:val="1975281A"/>
    <w:rsid w:val="1975617E"/>
    <w:rsid w:val="19882B20"/>
    <w:rsid w:val="198B3AC7"/>
    <w:rsid w:val="198CA802"/>
    <w:rsid w:val="19909B05"/>
    <w:rsid w:val="1991F9C9"/>
    <w:rsid w:val="19945D3C"/>
    <w:rsid w:val="19972D45"/>
    <w:rsid w:val="199C4F87"/>
    <w:rsid w:val="19A04FFB"/>
    <w:rsid w:val="19A41D5F"/>
    <w:rsid w:val="19B0EF2D"/>
    <w:rsid w:val="19BEDB98"/>
    <w:rsid w:val="19C114DD"/>
    <w:rsid w:val="19C14D6E"/>
    <w:rsid w:val="19C5E6A9"/>
    <w:rsid w:val="19D6E9F4"/>
    <w:rsid w:val="19E8639D"/>
    <w:rsid w:val="19EF654B"/>
    <w:rsid w:val="19F9EC6F"/>
    <w:rsid w:val="1A053C9B"/>
    <w:rsid w:val="1A1431BF"/>
    <w:rsid w:val="1A1A480B"/>
    <w:rsid w:val="1A222004"/>
    <w:rsid w:val="1A231629"/>
    <w:rsid w:val="1A2C394C"/>
    <w:rsid w:val="1A2D93AB"/>
    <w:rsid w:val="1A3A033B"/>
    <w:rsid w:val="1A3ADD0B"/>
    <w:rsid w:val="1A420048"/>
    <w:rsid w:val="1A4439E2"/>
    <w:rsid w:val="1A4762B0"/>
    <w:rsid w:val="1A4AD767"/>
    <w:rsid w:val="1A50EE20"/>
    <w:rsid w:val="1A5E95FC"/>
    <w:rsid w:val="1A6250FB"/>
    <w:rsid w:val="1A6387F3"/>
    <w:rsid w:val="1A6D077B"/>
    <w:rsid w:val="1A6E7146"/>
    <w:rsid w:val="1A7BB371"/>
    <w:rsid w:val="1A7BD8F7"/>
    <w:rsid w:val="1A7D3AB8"/>
    <w:rsid w:val="1A9321F3"/>
    <w:rsid w:val="1A96D1DA"/>
    <w:rsid w:val="1A96F3CF"/>
    <w:rsid w:val="1A98AF4D"/>
    <w:rsid w:val="1A99CCA7"/>
    <w:rsid w:val="1A9C403F"/>
    <w:rsid w:val="1A9C8A03"/>
    <w:rsid w:val="1A9D776F"/>
    <w:rsid w:val="1A9ED85E"/>
    <w:rsid w:val="1AA047BB"/>
    <w:rsid w:val="1AA924FE"/>
    <w:rsid w:val="1AADEEEC"/>
    <w:rsid w:val="1AB1BF1F"/>
    <w:rsid w:val="1AB5A8D0"/>
    <w:rsid w:val="1AB61949"/>
    <w:rsid w:val="1ABA9471"/>
    <w:rsid w:val="1ABB8658"/>
    <w:rsid w:val="1AC359EB"/>
    <w:rsid w:val="1AC6DC36"/>
    <w:rsid w:val="1AC72CA3"/>
    <w:rsid w:val="1AC86AA4"/>
    <w:rsid w:val="1AD22B10"/>
    <w:rsid w:val="1ADF4A51"/>
    <w:rsid w:val="1AE1F773"/>
    <w:rsid w:val="1AE74CAC"/>
    <w:rsid w:val="1AEB76E9"/>
    <w:rsid w:val="1AEBE28D"/>
    <w:rsid w:val="1AEF403F"/>
    <w:rsid w:val="1B02BDDF"/>
    <w:rsid w:val="1B0E118F"/>
    <w:rsid w:val="1B1878AF"/>
    <w:rsid w:val="1B1DA20F"/>
    <w:rsid w:val="1B2027AE"/>
    <w:rsid w:val="1B29F824"/>
    <w:rsid w:val="1B302027"/>
    <w:rsid w:val="1B35AFD2"/>
    <w:rsid w:val="1B3EEDD8"/>
    <w:rsid w:val="1B4CFC93"/>
    <w:rsid w:val="1B4FC7D1"/>
    <w:rsid w:val="1B50AF95"/>
    <w:rsid w:val="1B53C635"/>
    <w:rsid w:val="1B59B764"/>
    <w:rsid w:val="1B5DC6A1"/>
    <w:rsid w:val="1B5F9252"/>
    <w:rsid w:val="1B6C2087"/>
    <w:rsid w:val="1B726E87"/>
    <w:rsid w:val="1B741C37"/>
    <w:rsid w:val="1B7E5FC2"/>
    <w:rsid w:val="1B95F3ED"/>
    <w:rsid w:val="1B98ACAB"/>
    <w:rsid w:val="1B9E2FE9"/>
    <w:rsid w:val="1BAF3BD7"/>
    <w:rsid w:val="1BB59884"/>
    <w:rsid w:val="1BCF62F1"/>
    <w:rsid w:val="1BD0A010"/>
    <w:rsid w:val="1BD240EF"/>
    <w:rsid w:val="1BD4BEC0"/>
    <w:rsid w:val="1BDC9299"/>
    <w:rsid w:val="1BEFE332"/>
    <w:rsid w:val="1BF58229"/>
    <w:rsid w:val="1BF63955"/>
    <w:rsid w:val="1BF6BE31"/>
    <w:rsid w:val="1BFB06BE"/>
    <w:rsid w:val="1BFEC709"/>
    <w:rsid w:val="1C0C41B2"/>
    <w:rsid w:val="1C1EA775"/>
    <w:rsid w:val="1C21BC3F"/>
    <w:rsid w:val="1C230F15"/>
    <w:rsid w:val="1C263482"/>
    <w:rsid w:val="1C26E9F2"/>
    <w:rsid w:val="1C27C80E"/>
    <w:rsid w:val="1C2BFF6D"/>
    <w:rsid w:val="1C39552F"/>
    <w:rsid w:val="1C3A6227"/>
    <w:rsid w:val="1C3A8C72"/>
    <w:rsid w:val="1C3B61AC"/>
    <w:rsid w:val="1C3CB029"/>
    <w:rsid w:val="1C411ABB"/>
    <w:rsid w:val="1C4519FD"/>
    <w:rsid w:val="1C4CA1E7"/>
    <w:rsid w:val="1C4DF327"/>
    <w:rsid w:val="1C559E13"/>
    <w:rsid w:val="1C668311"/>
    <w:rsid w:val="1C6AAFD6"/>
    <w:rsid w:val="1C7B4909"/>
    <w:rsid w:val="1C88B8CB"/>
    <w:rsid w:val="1C89C433"/>
    <w:rsid w:val="1C8E0661"/>
    <w:rsid w:val="1C8E8617"/>
    <w:rsid w:val="1C98B22A"/>
    <w:rsid w:val="1C9F2BAB"/>
    <w:rsid w:val="1CA01830"/>
    <w:rsid w:val="1CA5BE17"/>
    <w:rsid w:val="1CA699B2"/>
    <w:rsid w:val="1CB1487B"/>
    <w:rsid w:val="1CC52717"/>
    <w:rsid w:val="1CCB19F4"/>
    <w:rsid w:val="1CCD39E4"/>
    <w:rsid w:val="1CCECF1D"/>
    <w:rsid w:val="1CD0A215"/>
    <w:rsid w:val="1CD2829C"/>
    <w:rsid w:val="1CEDE7C8"/>
    <w:rsid w:val="1CFEAAB7"/>
    <w:rsid w:val="1D071802"/>
    <w:rsid w:val="1D086CCC"/>
    <w:rsid w:val="1D0C7792"/>
    <w:rsid w:val="1D19574B"/>
    <w:rsid w:val="1D21D89F"/>
    <w:rsid w:val="1D2782F1"/>
    <w:rsid w:val="1D2FD161"/>
    <w:rsid w:val="1D3125D0"/>
    <w:rsid w:val="1D37BEE7"/>
    <w:rsid w:val="1D39F408"/>
    <w:rsid w:val="1D46EE48"/>
    <w:rsid w:val="1D53F52F"/>
    <w:rsid w:val="1D562F3D"/>
    <w:rsid w:val="1D5F4083"/>
    <w:rsid w:val="1D6154C5"/>
    <w:rsid w:val="1D67FACE"/>
    <w:rsid w:val="1D7A5A32"/>
    <w:rsid w:val="1D80DAD4"/>
    <w:rsid w:val="1D80EA61"/>
    <w:rsid w:val="1D90B9D9"/>
    <w:rsid w:val="1D916D95"/>
    <w:rsid w:val="1D9831D8"/>
    <w:rsid w:val="1D9EB3A4"/>
    <w:rsid w:val="1DA2EDDF"/>
    <w:rsid w:val="1DA8A25D"/>
    <w:rsid w:val="1DB4F167"/>
    <w:rsid w:val="1DDB109A"/>
    <w:rsid w:val="1DE1D818"/>
    <w:rsid w:val="1DE65CCA"/>
    <w:rsid w:val="1DF315CD"/>
    <w:rsid w:val="1DF5121F"/>
    <w:rsid w:val="1DF97A4D"/>
    <w:rsid w:val="1E06D4FB"/>
    <w:rsid w:val="1E1262B0"/>
    <w:rsid w:val="1E14760E"/>
    <w:rsid w:val="1E15807C"/>
    <w:rsid w:val="1E1E8ED4"/>
    <w:rsid w:val="1E2A8281"/>
    <w:rsid w:val="1E302857"/>
    <w:rsid w:val="1E368689"/>
    <w:rsid w:val="1E48AC09"/>
    <w:rsid w:val="1E54F8B1"/>
    <w:rsid w:val="1E572FA2"/>
    <w:rsid w:val="1E58A06B"/>
    <w:rsid w:val="1E5C9773"/>
    <w:rsid w:val="1E5C9C1C"/>
    <w:rsid w:val="1E636BD7"/>
    <w:rsid w:val="1E641AF0"/>
    <w:rsid w:val="1E6A963C"/>
    <w:rsid w:val="1E72BC59"/>
    <w:rsid w:val="1E83DBF5"/>
    <w:rsid w:val="1E916761"/>
    <w:rsid w:val="1E9613B4"/>
    <w:rsid w:val="1E98FF59"/>
    <w:rsid w:val="1E9EA695"/>
    <w:rsid w:val="1EA0BA00"/>
    <w:rsid w:val="1EA2110C"/>
    <w:rsid w:val="1EA86BB6"/>
    <w:rsid w:val="1EA871AF"/>
    <w:rsid w:val="1EA9C1F3"/>
    <w:rsid w:val="1EAC1C61"/>
    <w:rsid w:val="1EC79003"/>
    <w:rsid w:val="1EC8E883"/>
    <w:rsid w:val="1ECF3973"/>
    <w:rsid w:val="1EDAFDD1"/>
    <w:rsid w:val="1EDFAB33"/>
    <w:rsid w:val="1EEB00C9"/>
    <w:rsid w:val="1EEE43D9"/>
    <w:rsid w:val="1EEEBA8E"/>
    <w:rsid w:val="1EF08776"/>
    <w:rsid w:val="1EF255A4"/>
    <w:rsid w:val="1EFC794C"/>
    <w:rsid w:val="1EFF65D5"/>
    <w:rsid w:val="1F0656D2"/>
    <w:rsid w:val="1F0B062C"/>
    <w:rsid w:val="1F1D57BE"/>
    <w:rsid w:val="1F207078"/>
    <w:rsid w:val="1F29E40C"/>
    <w:rsid w:val="1F2D20E9"/>
    <w:rsid w:val="1F2E62D7"/>
    <w:rsid w:val="1F3AA53C"/>
    <w:rsid w:val="1F466BB5"/>
    <w:rsid w:val="1F4B6C63"/>
    <w:rsid w:val="1F4F1E57"/>
    <w:rsid w:val="1F52ADA5"/>
    <w:rsid w:val="1F61E597"/>
    <w:rsid w:val="1F61E7DD"/>
    <w:rsid w:val="1F642CDC"/>
    <w:rsid w:val="1F64BD3D"/>
    <w:rsid w:val="1F6676FE"/>
    <w:rsid w:val="1F67136C"/>
    <w:rsid w:val="1F6B3BB5"/>
    <w:rsid w:val="1F74E33E"/>
    <w:rsid w:val="1F75D2E6"/>
    <w:rsid w:val="1F78D296"/>
    <w:rsid w:val="1F7E169D"/>
    <w:rsid w:val="1F7F599A"/>
    <w:rsid w:val="1F925061"/>
    <w:rsid w:val="1FB38AFF"/>
    <w:rsid w:val="1FB734F6"/>
    <w:rsid w:val="1FBEA6C4"/>
    <w:rsid w:val="1FC00B11"/>
    <w:rsid w:val="1FC44050"/>
    <w:rsid w:val="1FC811C1"/>
    <w:rsid w:val="1FC851F8"/>
    <w:rsid w:val="1FC9E2E1"/>
    <w:rsid w:val="1FCAA37A"/>
    <w:rsid w:val="1FCC8973"/>
    <w:rsid w:val="1FCCC172"/>
    <w:rsid w:val="1FCF15C1"/>
    <w:rsid w:val="1FD07EF7"/>
    <w:rsid w:val="1FD0A29F"/>
    <w:rsid w:val="1FD55432"/>
    <w:rsid w:val="1FDDD50B"/>
    <w:rsid w:val="1FE1F08B"/>
    <w:rsid w:val="1FEC3CC7"/>
    <w:rsid w:val="1FF18444"/>
    <w:rsid w:val="1FF6EF7D"/>
    <w:rsid w:val="2005E7E2"/>
    <w:rsid w:val="2006D764"/>
    <w:rsid w:val="2007CBDF"/>
    <w:rsid w:val="201C3171"/>
    <w:rsid w:val="201C3F3C"/>
    <w:rsid w:val="20212EA8"/>
    <w:rsid w:val="2024C6C8"/>
    <w:rsid w:val="202A11B7"/>
    <w:rsid w:val="202B6B98"/>
    <w:rsid w:val="202D6F25"/>
    <w:rsid w:val="202F762B"/>
    <w:rsid w:val="203BBAD4"/>
    <w:rsid w:val="2044B365"/>
    <w:rsid w:val="2057E993"/>
    <w:rsid w:val="205CE106"/>
    <w:rsid w:val="2064B8E4"/>
    <w:rsid w:val="20660DF0"/>
    <w:rsid w:val="206E493F"/>
    <w:rsid w:val="207571EB"/>
    <w:rsid w:val="207689F0"/>
    <w:rsid w:val="2082494F"/>
    <w:rsid w:val="2084CADC"/>
    <w:rsid w:val="2085E5A3"/>
    <w:rsid w:val="208D995F"/>
    <w:rsid w:val="208EF5CE"/>
    <w:rsid w:val="2097DE60"/>
    <w:rsid w:val="209C4E98"/>
    <w:rsid w:val="209C5CEC"/>
    <w:rsid w:val="20A2FDCE"/>
    <w:rsid w:val="20B31746"/>
    <w:rsid w:val="20B410D1"/>
    <w:rsid w:val="20D8B405"/>
    <w:rsid w:val="20E843B1"/>
    <w:rsid w:val="20F96A81"/>
    <w:rsid w:val="2101B3DE"/>
    <w:rsid w:val="21025A6C"/>
    <w:rsid w:val="210B113D"/>
    <w:rsid w:val="210BF792"/>
    <w:rsid w:val="2110BD65"/>
    <w:rsid w:val="21138A84"/>
    <w:rsid w:val="212AF673"/>
    <w:rsid w:val="2132836B"/>
    <w:rsid w:val="21339AE8"/>
    <w:rsid w:val="213454EA"/>
    <w:rsid w:val="213D819F"/>
    <w:rsid w:val="214F9B81"/>
    <w:rsid w:val="21514C08"/>
    <w:rsid w:val="2152865A"/>
    <w:rsid w:val="215C577D"/>
    <w:rsid w:val="2166A0BE"/>
    <w:rsid w:val="2167B56F"/>
    <w:rsid w:val="21696269"/>
    <w:rsid w:val="21805FD8"/>
    <w:rsid w:val="218AD13E"/>
    <w:rsid w:val="219AF578"/>
    <w:rsid w:val="21A53695"/>
    <w:rsid w:val="21AE381D"/>
    <w:rsid w:val="21B3A71D"/>
    <w:rsid w:val="21B4FF4D"/>
    <w:rsid w:val="21B62051"/>
    <w:rsid w:val="21BEE4DF"/>
    <w:rsid w:val="21C2378F"/>
    <w:rsid w:val="21C71BA2"/>
    <w:rsid w:val="21CB641A"/>
    <w:rsid w:val="21D10C60"/>
    <w:rsid w:val="21D3CF9D"/>
    <w:rsid w:val="21DA33BF"/>
    <w:rsid w:val="21E0CA40"/>
    <w:rsid w:val="21E3C6AD"/>
    <w:rsid w:val="21E8BAA8"/>
    <w:rsid w:val="21EC14D0"/>
    <w:rsid w:val="21F4111E"/>
    <w:rsid w:val="21FD7389"/>
    <w:rsid w:val="2202F406"/>
    <w:rsid w:val="220496F3"/>
    <w:rsid w:val="220A19A0"/>
    <w:rsid w:val="220F3E7B"/>
    <w:rsid w:val="2218564A"/>
    <w:rsid w:val="22190459"/>
    <w:rsid w:val="2221339E"/>
    <w:rsid w:val="22232E53"/>
    <w:rsid w:val="22295D7E"/>
    <w:rsid w:val="222D2EFF"/>
    <w:rsid w:val="222DA5B8"/>
    <w:rsid w:val="223B5524"/>
    <w:rsid w:val="223B639E"/>
    <w:rsid w:val="224C9107"/>
    <w:rsid w:val="22591426"/>
    <w:rsid w:val="2265E802"/>
    <w:rsid w:val="226ECA00"/>
    <w:rsid w:val="2274FA9B"/>
    <w:rsid w:val="227725D1"/>
    <w:rsid w:val="22809176"/>
    <w:rsid w:val="2286663E"/>
    <w:rsid w:val="2286CF38"/>
    <w:rsid w:val="22895ADC"/>
    <w:rsid w:val="228AC055"/>
    <w:rsid w:val="2292564A"/>
    <w:rsid w:val="2293E1A3"/>
    <w:rsid w:val="229AE84D"/>
    <w:rsid w:val="22A539A0"/>
    <w:rsid w:val="22AB6FD6"/>
    <w:rsid w:val="22AC6ECE"/>
    <w:rsid w:val="22AF5AE5"/>
    <w:rsid w:val="22BE3974"/>
    <w:rsid w:val="22C4F9CD"/>
    <w:rsid w:val="22DBA064"/>
    <w:rsid w:val="22EAB3E5"/>
    <w:rsid w:val="22EE12C9"/>
    <w:rsid w:val="22EF3642"/>
    <w:rsid w:val="22F3ADDD"/>
    <w:rsid w:val="230F6D2D"/>
    <w:rsid w:val="23101A04"/>
    <w:rsid w:val="23130A47"/>
    <w:rsid w:val="2315BA34"/>
    <w:rsid w:val="2319EE33"/>
    <w:rsid w:val="232168AB"/>
    <w:rsid w:val="23292349"/>
    <w:rsid w:val="232EE291"/>
    <w:rsid w:val="23375C40"/>
    <w:rsid w:val="2339870B"/>
    <w:rsid w:val="233C7B68"/>
    <w:rsid w:val="2340C708"/>
    <w:rsid w:val="23427679"/>
    <w:rsid w:val="2343CEFC"/>
    <w:rsid w:val="2344A69F"/>
    <w:rsid w:val="234D5CBC"/>
    <w:rsid w:val="234EB922"/>
    <w:rsid w:val="23504A77"/>
    <w:rsid w:val="23628248"/>
    <w:rsid w:val="23699065"/>
    <w:rsid w:val="236C2E0C"/>
    <w:rsid w:val="237BF0E3"/>
    <w:rsid w:val="238255E9"/>
    <w:rsid w:val="2385FE21"/>
    <w:rsid w:val="238A87E3"/>
    <w:rsid w:val="238FE1BB"/>
    <w:rsid w:val="23945F17"/>
    <w:rsid w:val="239DC26C"/>
    <w:rsid w:val="23A01CDF"/>
    <w:rsid w:val="23A7006B"/>
    <w:rsid w:val="23AC103A"/>
    <w:rsid w:val="23B04DBC"/>
    <w:rsid w:val="23B877FD"/>
    <w:rsid w:val="23BA3DB8"/>
    <w:rsid w:val="23C88C9C"/>
    <w:rsid w:val="23E1E38A"/>
    <w:rsid w:val="23FA0DFB"/>
    <w:rsid w:val="23FB2CF7"/>
    <w:rsid w:val="240D3621"/>
    <w:rsid w:val="240D9A61"/>
    <w:rsid w:val="24168326"/>
    <w:rsid w:val="241AC22C"/>
    <w:rsid w:val="241E70B2"/>
    <w:rsid w:val="242355E6"/>
    <w:rsid w:val="24271096"/>
    <w:rsid w:val="24310B43"/>
    <w:rsid w:val="24318D6F"/>
    <w:rsid w:val="24368C83"/>
    <w:rsid w:val="2436902A"/>
    <w:rsid w:val="243A3504"/>
    <w:rsid w:val="2444F517"/>
    <w:rsid w:val="244503B6"/>
    <w:rsid w:val="244E9258"/>
    <w:rsid w:val="24505DB0"/>
    <w:rsid w:val="24546BBA"/>
    <w:rsid w:val="2454BB74"/>
    <w:rsid w:val="2455BAFE"/>
    <w:rsid w:val="245D81C6"/>
    <w:rsid w:val="2461C355"/>
    <w:rsid w:val="2468BEC6"/>
    <w:rsid w:val="246E4AC3"/>
    <w:rsid w:val="2470C602"/>
    <w:rsid w:val="24728556"/>
    <w:rsid w:val="2473CFBC"/>
    <w:rsid w:val="247B34B8"/>
    <w:rsid w:val="2487F232"/>
    <w:rsid w:val="24883D9D"/>
    <w:rsid w:val="248E550F"/>
    <w:rsid w:val="248F1DEF"/>
    <w:rsid w:val="2493D4FC"/>
    <w:rsid w:val="2494E768"/>
    <w:rsid w:val="249B59F1"/>
    <w:rsid w:val="24A2F0A3"/>
    <w:rsid w:val="24A5BC50"/>
    <w:rsid w:val="24A75F1B"/>
    <w:rsid w:val="24A95988"/>
    <w:rsid w:val="24AA242B"/>
    <w:rsid w:val="24AA9436"/>
    <w:rsid w:val="24ADD139"/>
    <w:rsid w:val="24B066E0"/>
    <w:rsid w:val="24B06F8B"/>
    <w:rsid w:val="24B08F02"/>
    <w:rsid w:val="24B12E46"/>
    <w:rsid w:val="24B4109C"/>
    <w:rsid w:val="24BD2B2E"/>
    <w:rsid w:val="24C21D07"/>
    <w:rsid w:val="24C66840"/>
    <w:rsid w:val="24D0D0C8"/>
    <w:rsid w:val="24D1D96A"/>
    <w:rsid w:val="24D87960"/>
    <w:rsid w:val="24DB8129"/>
    <w:rsid w:val="24DF78D2"/>
    <w:rsid w:val="24E3BD4D"/>
    <w:rsid w:val="24EC8D54"/>
    <w:rsid w:val="24EDEF9F"/>
    <w:rsid w:val="24F6129F"/>
    <w:rsid w:val="24F90B8E"/>
    <w:rsid w:val="24FF9012"/>
    <w:rsid w:val="25062609"/>
    <w:rsid w:val="251FF486"/>
    <w:rsid w:val="25210F35"/>
    <w:rsid w:val="252B0BD6"/>
    <w:rsid w:val="253D27A7"/>
    <w:rsid w:val="253F26D4"/>
    <w:rsid w:val="25454650"/>
    <w:rsid w:val="25541B21"/>
    <w:rsid w:val="25644017"/>
    <w:rsid w:val="2565334C"/>
    <w:rsid w:val="256B1F2D"/>
    <w:rsid w:val="25700B8D"/>
    <w:rsid w:val="2583C9BB"/>
    <w:rsid w:val="258E41CE"/>
    <w:rsid w:val="25A17F1E"/>
    <w:rsid w:val="25AA1149"/>
    <w:rsid w:val="25AA54F6"/>
    <w:rsid w:val="25AA905E"/>
    <w:rsid w:val="25AE2F1D"/>
    <w:rsid w:val="25B1B967"/>
    <w:rsid w:val="25B4F16B"/>
    <w:rsid w:val="25B9BFF3"/>
    <w:rsid w:val="25BAB208"/>
    <w:rsid w:val="25CC27BC"/>
    <w:rsid w:val="25CC7A4E"/>
    <w:rsid w:val="25D0C765"/>
    <w:rsid w:val="25D0CD1B"/>
    <w:rsid w:val="25DA80F7"/>
    <w:rsid w:val="25DC887B"/>
    <w:rsid w:val="25E2D7A0"/>
    <w:rsid w:val="25EC32A9"/>
    <w:rsid w:val="25F06709"/>
    <w:rsid w:val="25F0D492"/>
    <w:rsid w:val="25F53449"/>
    <w:rsid w:val="260017D5"/>
    <w:rsid w:val="2607680D"/>
    <w:rsid w:val="26099DEE"/>
    <w:rsid w:val="260AF8D5"/>
    <w:rsid w:val="26177D75"/>
    <w:rsid w:val="26219D93"/>
    <w:rsid w:val="2629A0B9"/>
    <w:rsid w:val="26318E3F"/>
    <w:rsid w:val="264AE3C9"/>
    <w:rsid w:val="264F8CE4"/>
    <w:rsid w:val="2653E019"/>
    <w:rsid w:val="2658FB8F"/>
    <w:rsid w:val="2659D1DC"/>
    <w:rsid w:val="26741C2A"/>
    <w:rsid w:val="26747FC8"/>
    <w:rsid w:val="26759149"/>
    <w:rsid w:val="26772768"/>
    <w:rsid w:val="267E3551"/>
    <w:rsid w:val="2694DBEF"/>
    <w:rsid w:val="26965F7C"/>
    <w:rsid w:val="269A855B"/>
    <w:rsid w:val="269BF342"/>
    <w:rsid w:val="269ED8FE"/>
    <w:rsid w:val="269F26D3"/>
    <w:rsid w:val="26A4CA1F"/>
    <w:rsid w:val="26A4E6E0"/>
    <w:rsid w:val="26A9AE4B"/>
    <w:rsid w:val="26B18AC6"/>
    <w:rsid w:val="26BDBD25"/>
    <w:rsid w:val="26CCE140"/>
    <w:rsid w:val="26D593D6"/>
    <w:rsid w:val="26DBC6BC"/>
    <w:rsid w:val="26E37AC4"/>
    <w:rsid w:val="26E4AD64"/>
    <w:rsid w:val="26FCD959"/>
    <w:rsid w:val="2711DA07"/>
    <w:rsid w:val="271AC1D4"/>
    <w:rsid w:val="271ADCA2"/>
    <w:rsid w:val="271F9A1C"/>
    <w:rsid w:val="2722CEDF"/>
    <w:rsid w:val="272AC113"/>
    <w:rsid w:val="2732A71D"/>
    <w:rsid w:val="2735A9C1"/>
    <w:rsid w:val="273867B3"/>
    <w:rsid w:val="27393A91"/>
    <w:rsid w:val="273AAB5B"/>
    <w:rsid w:val="27419284"/>
    <w:rsid w:val="27420715"/>
    <w:rsid w:val="2745377F"/>
    <w:rsid w:val="275A4646"/>
    <w:rsid w:val="27617814"/>
    <w:rsid w:val="27689A93"/>
    <w:rsid w:val="277BE92F"/>
    <w:rsid w:val="2781774C"/>
    <w:rsid w:val="278BC45F"/>
    <w:rsid w:val="27913C77"/>
    <w:rsid w:val="279544E0"/>
    <w:rsid w:val="279E224D"/>
    <w:rsid w:val="27B17AC3"/>
    <w:rsid w:val="27C1B02C"/>
    <w:rsid w:val="27C32E29"/>
    <w:rsid w:val="27C534FD"/>
    <w:rsid w:val="27CB1E57"/>
    <w:rsid w:val="27D0D52C"/>
    <w:rsid w:val="27DEE8A1"/>
    <w:rsid w:val="27E30901"/>
    <w:rsid w:val="27EBD0B8"/>
    <w:rsid w:val="27EE715A"/>
    <w:rsid w:val="27F125C0"/>
    <w:rsid w:val="27F4EFC1"/>
    <w:rsid w:val="27F58848"/>
    <w:rsid w:val="27FE68E3"/>
    <w:rsid w:val="2808718A"/>
    <w:rsid w:val="28091F7F"/>
    <w:rsid w:val="2815C587"/>
    <w:rsid w:val="2816EBBF"/>
    <w:rsid w:val="281BF992"/>
    <w:rsid w:val="283E35B4"/>
    <w:rsid w:val="2843FBAF"/>
    <w:rsid w:val="28455CFD"/>
    <w:rsid w:val="2853506F"/>
    <w:rsid w:val="28562D5B"/>
    <w:rsid w:val="2857E656"/>
    <w:rsid w:val="285D669E"/>
    <w:rsid w:val="28633D90"/>
    <w:rsid w:val="28687B8E"/>
    <w:rsid w:val="28749025"/>
    <w:rsid w:val="28771DAD"/>
    <w:rsid w:val="287B9059"/>
    <w:rsid w:val="287B94D7"/>
    <w:rsid w:val="2884D8F3"/>
    <w:rsid w:val="288C28C6"/>
    <w:rsid w:val="2890980A"/>
    <w:rsid w:val="2891145C"/>
    <w:rsid w:val="2893972E"/>
    <w:rsid w:val="289B88BD"/>
    <w:rsid w:val="289E9EFA"/>
    <w:rsid w:val="28A38DC4"/>
    <w:rsid w:val="28B4BB11"/>
    <w:rsid w:val="28BB5667"/>
    <w:rsid w:val="28E2B6CD"/>
    <w:rsid w:val="28E40220"/>
    <w:rsid w:val="28E94B3B"/>
    <w:rsid w:val="28E982F8"/>
    <w:rsid w:val="28EC449D"/>
    <w:rsid w:val="28EC89D0"/>
    <w:rsid w:val="28F163E3"/>
    <w:rsid w:val="28F616A7"/>
    <w:rsid w:val="2903AF7E"/>
    <w:rsid w:val="2906BA8F"/>
    <w:rsid w:val="29086714"/>
    <w:rsid w:val="29096CFD"/>
    <w:rsid w:val="290CFCF7"/>
    <w:rsid w:val="2914C0EF"/>
    <w:rsid w:val="2921BA51"/>
    <w:rsid w:val="29237D92"/>
    <w:rsid w:val="2925F13D"/>
    <w:rsid w:val="292B0574"/>
    <w:rsid w:val="292F7C51"/>
    <w:rsid w:val="2943D23D"/>
    <w:rsid w:val="29443BCC"/>
    <w:rsid w:val="2944F7D9"/>
    <w:rsid w:val="29455008"/>
    <w:rsid w:val="29533FE0"/>
    <w:rsid w:val="295420A5"/>
    <w:rsid w:val="2958D558"/>
    <w:rsid w:val="295D7311"/>
    <w:rsid w:val="296317FA"/>
    <w:rsid w:val="29686772"/>
    <w:rsid w:val="296DEB3A"/>
    <w:rsid w:val="29771AA5"/>
    <w:rsid w:val="29772E9A"/>
    <w:rsid w:val="29774C4A"/>
    <w:rsid w:val="297A69D8"/>
    <w:rsid w:val="297D58FF"/>
    <w:rsid w:val="298505E6"/>
    <w:rsid w:val="29909C51"/>
    <w:rsid w:val="29986D8B"/>
    <w:rsid w:val="29A39A2B"/>
    <w:rsid w:val="29A3BA44"/>
    <w:rsid w:val="29AD3532"/>
    <w:rsid w:val="29B11F46"/>
    <w:rsid w:val="29B6859A"/>
    <w:rsid w:val="29D44C96"/>
    <w:rsid w:val="29DC60A4"/>
    <w:rsid w:val="29E02361"/>
    <w:rsid w:val="29E2EB87"/>
    <w:rsid w:val="29E34CDA"/>
    <w:rsid w:val="29EF20D0"/>
    <w:rsid w:val="2A00DCF4"/>
    <w:rsid w:val="2A023808"/>
    <w:rsid w:val="2A0B78EE"/>
    <w:rsid w:val="2A0DEFD3"/>
    <w:rsid w:val="2A12C87C"/>
    <w:rsid w:val="2A141B10"/>
    <w:rsid w:val="2A1DBD4A"/>
    <w:rsid w:val="2A1DC6AB"/>
    <w:rsid w:val="2A1F8F40"/>
    <w:rsid w:val="2A290DA3"/>
    <w:rsid w:val="2A2B0934"/>
    <w:rsid w:val="2A2BD08D"/>
    <w:rsid w:val="2A409377"/>
    <w:rsid w:val="2A6041C7"/>
    <w:rsid w:val="2A60C530"/>
    <w:rsid w:val="2A65DDAC"/>
    <w:rsid w:val="2A692327"/>
    <w:rsid w:val="2A6DAA75"/>
    <w:rsid w:val="2A6F29D2"/>
    <w:rsid w:val="2A70C957"/>
    <w:rsid w:val="2A749DBC"/>
    <w:rsid w:val="2A76537C"/>
    <w:rsid w:val="2A7740BC"/>
    <w:rsid w:val="2A77C318"/>
    <w:rsid w:val="2A78E73E"/>
    <w:rsid w:val="2A80FEBF"/>
    <w:rsid w:val="2A869CE9"/>
    <w:rsid w:val="2A90F151"/>
    <w:rsid w:val="2A9401F7"/>
    <w:rsid w:val="2A9B8864"/>
    <w:rsid w:val="2AA86D33"/>
    <w:rsid w:val="2AA98066"/>
    <w:rsid w:val="2AAE8C6F"/>
    <w:rsid w:val="2AC138F8"/>
    <w:rsid w:val="2ACFB927"/>
    <w:rsid w:val="2AD0883E"/>
    <w:rsid w:val="2AD09B03"/>
    <w:rsid w:val="2AD20CE2"/>
    <w:rsid w:val="2AD4FB72"/>
    <w:rsid w:val="2ADD506D"/>
    <w:rsid w:val="2ADDD60F"/>
    <w:rsid w:val="2AE6BB43"/>
    <w:rsid w:val="2AF56044"/>
    <w:rsid w:val="2B023A80"/>
    <w:rsid w:val="2B047225"/>
    <w:rsid w:val="2B05FE8F"/>
    <w:rsid w:val="2B19278F"/>
    <w:rsid w:val="2B290CB2"/>
    <w:rsid w:val="2B2C0BA5"/>
    <w:rsid w:val="2B2EE7F9"/>
    <w:rsid w:val="2B3A5DCE"/>
    <w:rsid w:val="2B3C4D87"/>
    <w:rsid w:val="2B4DEAED"/>
    <w:rsid w:val="2B4E017F"/>
    <w:rsid w:val="2B5322BA"/>
    <w:rsid w:val="2B625EFD"/>
    <w:rsid w:val="2B64D3E3"/>
    <w:rsid w:val="2B68E6AB"/>
    <w:rsid w:val="2B6BF836"/>
    <w:rsid w:val="2B70A57A"/>
    <w:rsid w:val="2B74B978"/>
    <w:rsid w:val="2B806D77"/>
    <w:rsid w:val="2B82A99C"/>
    <w:rsid w:val="2B853726"/>
    <w:rsid w:val="2B95D6DE"/>
    <w:rsid w:val="2B95E508"/>
    <w:rsid w:val="2B9C0A6B"/>
    <w:rsid w:val="2BA84D4F"/>
    <w:rsid w:val="2BA9E66B"/>
    <w:rsid w:val="2BAC692B"/>
    <w:rsid w:val="2BAEFD84"/>
    <w:rsid w:val="2BB19686"/>
    <w:rsid w:val="2BB1ABB8"/>
    <w:rsid w:val="2BB28BB0"/>
    <w:rsid w:val="2BB8A44D"/>
    <w:rsid w:val="2BBA4ECA"/>
    <w:rsid w:val="2BBD1D12"/>
    <w:rsid w:val="2BC5DAE5"/>
    <w:rsid w:val="2BDD6F33"/>
    <w:rsid w:val="2BEE7060"/>
    <w:rsid w:val="2BF1E5CE"/>
    <w:rsid w:val="2C077F3F"/>
    <w:rsid w:val="2C1051E5"/>
    <w:rsid w:val="2C12DECA"/>
    <w:rsid w:val="2C184FFD"/>
    <w:rsid w:val="2C1BC53E"/>
    <w:rsid w:val="2C1CDB6C"/>
    <w:rsid w:val="2C1FBDAC"/>
    <w:rsid w:val="2C2612DF"/>
    <w:rsid w:val="2C293014"/>
    <w:rsid w:val="2C366FA3"/>
    <w:rsid w:val="2C393BB6"/>
    <w:rsid w:val="2C3B76FF"/>
    <w:rsid w:val="2C438282"/>
    <w:rsid w:val="2C441D99"/>
    <w:rsid w:val="2C4E43A7"/>
    <w:rsid w:val="2C517478"/>
    <w:rsid w:val="2C600D98"/>
    <w:rsid w:val="2C67AD5E"/>
    <w:rsid w:val="2C6AEC85"/>
    <w:rsid w:val="2C8613CF"/>
    <w:rsid w:val="2CA3251E"/>
    <w:rsid w:val="2CA8F692"/>
    <w:rsid w:val="2CA9EE4C"/>
    <w:rsid w:val="2CAC9942"/>
    <w:rsid w:val="2CAF9C46"/>
    <w:rsid w:val="2CB2AFD5"/>
    <w:rsid w:val="2CB3EDE0"/>
    <w:rsid w:val="2CBFBCAA"/>
    <w:rsid w:val="2CC5B881"/>
    <w:rsid w:val="2CC7FF6E"/>
    <w:rsid w:val="2CC85C2C"/>
    <w:rsid w:val="2CD2A97F"/>
    <w:rsid w:val="2CD71E78"/>
    <w:rsid w:val="2CD78C31"/>
    <w:rsid w:val="2CDAF218"/>
    <w:rsid w:val="2CE99A2C"/>
    <w:rsid w:val="2CF3C408"/>
    <w:rsid w:val="2D04256A"/>
    <w:rsid w:val="2D044DA3"/>
    <w:rsid w:val="2D052F07"/>
    <w:rsid w:val="2D0A43CD"/>
    <w:rsid w:val="2D0DC326"/>
    <w:rsid w:val="2D249F2D"/>
    <w:rsid w:val="2D2577BB"/>
    <w:rsid w:val="2D2819C2"/>
    <w:rsid w:val="2D2A138F"/>
    <w:rsid w:val="2D3E3980"/>
    <w:rsid w:val="2D43B84D"/>
    <w:rsid w:val="2D490878"/>
    <w:rsid w:val="2D4B982E"/>
    <w:rsid w:val="2D5BBDA6"/>
    <w:rsid w:val="2D61CE5D"/>
    <w:rsid w:val="2D631A47"/>
    <w:rsid w:val="2D66900F"/>
    <w:rsid w:val="2D683F18"/>
    <w:rsid w:val="2D6E5DA0"/>
    <w:rsid w:val="2D6F72D0"/>
    <w:rsid w:val="2D738E65"/>
    <w:rsid w:val="2D78549C"/>
    <w:rsid w:val="2DA2C98F"/>
    <w:rsid w:val="2DA2E587"/>
    <w:rsid w:val="2DA38D9F"/>
    <w:rsid w:val="2DA56BF4"/>
    <w:rsid w:val="2DA5C637"/>
    <w:rsid w:val="2DB050CB"/>
    <w:rsid w:val="2DB1BF7A"/>
    <w:rsid w:val="2DB47BE3"/>
    <w:rsid w:val="2DBB6BE5"/>
    <w:rsid w:val="2DC55C6F"/>
    <w:rsid w:val="2DDE1C31"/>
    <w:rsid w:val="2DEAC66A"/>
    <w:rsid w:val="2DF60552"/>
    <w:rsid w:val="2DFD8028"/>
    <w:rsid w:val="2DFFDE77"/>
    <w:rsid w:val="2E05F078"/>
    <w:rsid w:val="2E160B3E"/>
    <w:rsid w:val="2E2ADB38"/>
    <w:rsid w:val="2E2BE79A"/>
    <w:rsid w:val="2E35FB63"/>
    <w:rsid w:val="2E38F37C"/>
    <w:rsid w:val="2E3FD88A"/>
    <w:rsid w:val="2E412B44"/>
    <w:rsid w:val="2E582F02"/>
    <w:rsid w:val="2E629AF1"/>
    <w:rsid w:val="2E6C87DA"/>
    <w:rsid w:val="2E73EE49"/>
    <w:rsid w:val="2E76DC85"/>
    <w:rsid w:val="2E786095"/>
    <w:rsid w:val="2E7A59F8"/>
    <w:rsid w:val="2E81FD05"/>
    <w:rsid w:val="2E8358D0"/>
    <w:rsid w:val="2E8703F3"/>
    <w:rsid w:val="2E8FBD3C"/>
    <w:rsid w:val="2E9232E8"/>
    <w:rsid w:val="2E9A2B0C"/>
    <w:rsid w:val="2E9F17A1"/>
    <w:rsid w:val="2E9F53BB"/>
    <w:rsid w:val="2E9FF5CB"/>
    <w:rsid w:val="2EA89D55"/>
    <w:rsid w:val="2EB1C1C5"/>
    <w:rsid w:val="2EB56765"/>
    <w:rsid w:val="2EBC9CAB"/>
    <w:rsid w:val="2EC198DE"/>
    <w:rsid w:val="2EC3F663"/>
    <w:rsid w:val="2EC58760"/>
    <w:rsid w:val="2EC8BC1F"/>
    <w:rsid w:val="2EC8CC20"/>
    <w:rsid w:val="2ED4C0DA"/>
    <w:rsid w:val="2EDA09E1"/>
    <w:rsid w:val="2EDCF4A8"/>
    <w:rsid w:val="2EE46889"/>
    <w:rsid w:val="2EE4D8D9"/>
    <w:rsid w:val="2EE76814"/>
    <w:rsid w:val="2EF245F9"/>
    <w:rsid w:val="2EF311D2"/>
    <w:rsid w:val="2EF92536"/>
    <w:rsid w:val="2EFCE627"/>
    <w:rsid w:val="2F0F9415"/>
    <w:rsid w:val="2F125A76"/>
    <w:rsid w:val="2F1A38E1"/>
    <w:rsid w:val="2F262EFD"/>
    <w:rsid w:val="2F264C7C"/>
    <w:rsid w:val="2F2C6A6C"/>
    <w:rsid w:val="2F2E20BA"/>
    <w:rsid w:val="2F346A7F"/>
    <w:rsid w:val="2F3B01DA"/>
    <w:rsid w:val="2F5E8EF5"/>
    <w:rsid w:val="2F65AB9A"/>
    <w:rsid w:val="2F70D40C"/>
    <w:rsid w:val="2F72F102"/>
    <w:rsid w:val="2F75DEE4"/>
    <w:rsid w:val="2F764DA0"/>
    <w:rsid w:val="2F806635"/>
    <w:rsid w:val="2F8A37C2"/>
    <w:rsid w:val="2F910D43"/>
    <w:rsid w:val="2F91C080"/>
    <w:rsid w:val="2F95CB73"/>
    <w:rsid w:val="2F98B2BE"/>
    <w:rsid w:val="2FA52405"/>
    <w:rsid w:val="2FA54598"/>
    <w:rsid w:val="2FAF88C2"/>
    <w:rsid w:val="2FB51DCB"/>
    <w:rsid w:val="2FBA4FFA"/>
    <w:rsid w:val="2FBAC222"/>
    <w:rsid w:val="2FC3A8BE"/>
    <w:rsid w:val="2FC95D77"/>
    <w:rsid w:val="2FD19CE9"/>
    <w:rsid w:val="2FD735E7"/>
    <w:rsid w:val="2FDB114E"/>
    <w:rsid w:val="2FE286B2"/>
    <w:rsid w:val="2FEBA05D"/>
    <w:rsid w:val="2FEC3560"/>
    <w:rsid w:val="2FF558A6"/>
    <w:rsid w:val="2FF6964D"/>
    <w:rsid w:val="2FF72003"/>
    <w:rsid w:val="3002C2AA"/>
    <w:rsid w:val="3005B6D1"/>
    <w:rsid w:val="30066406"/>
    <w:rsid w:val="300A9F7B"/>
    <w:rsid w:val="300E7760"/>
    <w:rsid w:val="3015C5B2"/>
    <w:rsid w:val="3023FE83"/>
    <w:rsid w:val="302C9E0A"/>
    <w:rsid w:val="3036FE20"/>
    <w:rsid w:val="303CCC31"/>
    <w:rsid w:val="3043E0DB"/>
    <w:rsid w:val="30470E75"/>
    <w:rsid w:val="305DC52A"/>
    <w:rsid w:val="306027E3"/>
    <w:rsid w:val="3061B451"/>
    <w:rsid w:val="3063A3B9"/>
    <w:rsid w:val="306791AA"/>
    <w:rsid w:val="306B44AC"/>
    <w:rsid w:val="308041D6"/>
    <w:rsid w:val="3090DCE2"/>
    <w:rsid w:val="30930EF8"/>
    <w:rsid w:val="30952506"/>
    <w:rsid w:val="309A3CCD"/>
    <w:rsid w:val="30A0035E"/>
    <w:rsid w:val="30A2ABA0"/>
    <w:rsid w:val="30AD9619"/>
    <w:rsid w:val="30B55D68"/>
    <w:rsid w:val="30BFBBE8"/>
    <w:rsid w:val="30C65026"/>
    <w:rsid w:val="30C81AC0"/>
    <w:rsid w:val="30D1B72E"/>
    <w:rsid w:val="30E25506"/>
    <w:rsid w:val="30EEB60C"/>
    <w:rsid w:val="30F1C74A"/>
    <w:rsid w:val="30F8A247"/>
    <w:rsid w:val="30FC9F76"/>
    <w:rsid w:val="30FF9620"/>
    <w:rsid w:val="30FFD07A"/>
    <w:rsid w:val="3106309D"/>
    <w:rsid w:val="3109D30F"/>
    <w:rsid w:val="310A2EE7"/>
    <w:rsid w:val="3115FC68"/>
    <w:rsid w:val="311A83FB"/>
    <w:rsid w:val="31319BD4"/>
    <w:rsid w:val="313B1E81"/>
    <w:rsid w:val="313EB295"/>
    <w:rsid w:val="3140D7D6"/>
    <w:rsid w:val="31439A16"/>
    <w:rsid w:val="314676B8"/>
    <w:rsid w:val="3147499C"/>
    <w:rsid w:val="314EE5D3"/>
    <w:rsid w:val="314FD35B"/>
    <w:rsid w:val="315454C8"/>
    <w:rsid w:val="315AFF68"/>
    <w:rsid w:val="31632D69"/>
    <w:rsid w:val="316ECAA3"/>
    <w:rsid w:val="317480BC"/>
    <w:rsid w:val="317668AF"/>
    <w:rsid w:val="317BCBD8"/>
    <w:rsid w:val="317C771C"/>
    <w:rsid w:val="3186F118"/>
    <w:rsid w:val="31886534"/>
    <w:rsid w:val="318BF100"/>
    <w:rsid w:val="319D520F"/>
    <w:rsid w:val="319D685B"/>
    <w:rsid w:val="31A1EE6A"/>
    <w:rsid w:val="31A25A6C"/>
    <w:rsid w:val="31A8D387"/>
    <w:rsid w:val="31C212F5"/>
    <w:rsid w:val="31C7DA06"/>
    <w:rsid w:val="31CA85ED"/>
    <w:rsid w:val="31CAC20A"/>
    <w:rsid w:val="31D153D7"/>
    <w:rsid w:val="31D35B19"/>
    <w:rsid w:val="31E400F9"/>
    <w:rsid w:val="31ED9327"/>
    <w:rsid w:val="31F43077"/>
    <w:rsid w:val="32006FCC"/>
    <w:rsid w:val="32019358"/>
    <w:rsid w:val="320EBD74"/>
    <w:rsid w:val="3213ED96"/>
    <w:rsid w:val="321C4E54"/>
    <w:rsid w:val="321CB5B5"/>
    <w:rsid w:val="322250A5"/>
    <w:rsid w:val="322830E4"/>
    <w:rsid w:val="322B46AD"/>
    <w:rsid w:val="322C52B1"/>
    <w:rsid w:val="322D2F19"/>
    <w:rsid w:val="32341EB2"/>
    <w:rsid w:val="324074AE"/>
    <w:rsid w:val="32476AE6"/>
    <w:rsid w:val="3252066F"/>
    <w:rsid w:val="325340EE"/>
    <w:rsid w:val="3259EF1F"/>
    <w:rsid w:val="325F4EC4"/>
    <w:rsid w:val="3265883C"/>
    <w:rsid w:val="32788DEA"/>
    <w:rsid w:val="327C04F1"/>
    <w:rsid w:val="327E43B6"/>
    <w:rsid w:val="328120A3"/>
    <w:rsid w:val="328469A7"/>
    <w:rsid w:val="32860AB5"/>
    <w:rsid w:val="3286BB3E"/>
    <w:rsid w:val="328852A1"/>
    <w:rsid w:val="328A8FD1"/>
    <w:rsid w:val="32929C8D"/>
    <w:rsid w:val="329A3D0E"/>
    <w:rsid w:val="329CF8ED"/>
    <w:rsid w:val="329D0A8C"/>
    <w:rsid w:val="32A5A26F"/>
    <w:rsid w:val="32CD1637"/>
    <w:rsid w:val="32DA9F7C"/>
    <w:rsid w:val="32DCA837"/>
    <w:rsid w:val="32DEDA4D"/>
    <w:rsid w:val="32E7E483"/>
    <w:rsid w:val="32E8A484"/>
    <w:rsid w:val="32ED46B7"/>
    <w:rsid w:val="32F94347"/>
    <w:rsid w:val="32F9D19D"/>
    <w:rsid w:val="32FC9BAD"/>
    <w:rsid w:val="33029A61"/>
    <w:rsid w:val="330EE098"/>
    <w:rsid w:val="3311CE10"/>
    <w:rsid w:val="3313F0E7"/>
    <w:rsid w:val="33142CB7"/>
    <w:rsid w:val="331A2696"/>
    <w:rsid w:val="331AB4C6"/>
    <w:rsid w:val="3320FE39"/>
    <w:rsid w:val="332D6BBE"/>
    <w:rsid w:val="33333EA4"/>
    <w:rsid w:val="33343ED6"/>
    <w:rsid w:val="3337F3AE"/>
    <w:rsid w:val="333B0AF8"/>
    <w:rsid w:val="334D5370"/>
    <w:rsid w:val="3351E108"/>
    <w:rsid w:val="33522BB9"/>
    <w:rsid w:val="335311B7"/>
    <w:rsid w:val="33535D84"/>
    <w:rsid w:val="3358BB21"/>
    <w:rsid w:val="336A746C"/>
    <w:rsid w:val="3375F220"/>
    <w:rsid w:val="3388DFF9"/>
    <w:rsid w:val="33897319"/>
    <w:rsid w:val="3392BD7A"/>
    <w:rsid w:val="33961167"/>
    <w:rsid w:val="3399CF62"/>
    <w:rsid w:val="339F219F"/>
    <w:rsid w:val="33A5D353"/>
    <w:rsid w:val="33A7D071"/>
    <w:rsid w:val="33ACBA76"/>
    <w:rsid w:val="33BD5572"/>
    <w:rsid w:val="33CABE5D"/>
    <w:rsid w:val="33DFE805"/>
    <w:rsid w:val="33E7738F"/>
    <w:rsid w:val="33FA531D"/>
    <w:rsid w:val="340585A0"/>
    <w:rsid w:val="3407B724"/>
    <w:rsid w:val="3407D017"/>
    <w:rsid w:val="340FE7F5"/>
    <w:rsid w:val="34154D43"/>
    <w:rsid w:val="34206BC2"/>
    <w:rsid w:val="3420E295"/>
    <w:rsid w:val="34256BA0"/>
    <w:rsid w:val="342A093E"/>
    <w:rsid w:val="343494C2"/>
    <w:rsid w:val="3438FF48"/>
    <w:rsid w:val="344B4D53"/>
    <w:rsid w:val="344D46EA"/>
    <w:rsid w:val="345A88C9"/>
    <w:rsid w:val="346B0A56"/>
    <w:rsid w:val="3474B85C"/>
    <w:rsid w:val="3487A0D9"/>
    <w:rsid w:val="3487BB31"/>
    <w:rsid w:val="3494B1D8"/>
    <w:rsid w:val="3494EFBB"/>
    <w:rsid w:val="349B6EFC"/>
    <w:rsid w:val="34A30727"/>
    <w:rsid w:val="34A605C3"/>
    <w:rsid w:val="34A626E0"/>
    <w:rsid w:val="34B62F21"/>
    <w:rsid w:val="34B6BFDB"/>
    <w:rsid w:val="34C70DA4"/>
    <w:rsid w:val="34CE2107"/>
    <w:rsid w:val="34D0AAA7"/>
    <w:rsid w:val="34D855F4"/>
    <w:rsid w:val="34EED331"/>
    <w:rsid w:val="34F9157B"/>
    <w:rsid w:val="34FA5D42"/>
    <w:rsid w:val="350741B9"/>
    <w:rsid w:val="350AE4CD"/>
    <w:rsid w:val="350D94F7"/>
    <w:rsid w:val="350DCF6F"/>
    <w:rsid w:val="350FDF62"/>
    <w:rsid w:val="35151D06"/>
    <w:rsid w:val="3518A6BA"/>
    <w:rsid w:val="35191D13"/>
    <w:rsid w:val="3520D91B"/>
    <w:rsid w:val="35226EE6"/>
    <w:rsid w:val="3534964F"/>
    <w:rsid w:val="353583A0"/>
    <w:rsid w:val="353D8B5A"/>
    <w:rsid w:val="35535905"/>
    <w:rsid w:val="355C78AC"/>
    <w:rsid w:val="35604BCF"/>
    <w:rsid w:val="357AB224"/>
    <w:rsid w:val="35898738"/>
    <w:rsid w:val="35939CCC"/>
    <w:rsid w:val="3596EF86"/>
    <w:rsid w:val="35A6ED8D"/>
    <w:rsid w:val="35B11DA4"/>
    <w:rsid w:val="35B7E9B3"/>
    <w:rsid w:val="35B8A6B0"/>
    <w:rsid w:val="35BC4574"/>
    <w:rsid w:val="35DF0DF5"/>
    <w:rsid w:val="35F01207"/>
    <w:rsid w:val="35F53D65"/>
    <w:rsid w:val="35FFAF70"/>
    <w:rsid w:val="360099FB"/>
    <w:rsid w:val="36022CD7"/>
    <w:rsid w:val="360CA66F"/>
    <w:rsid w:val="360EADC6"/>
    <w:rsid w:val="3612A423"/>
    <w:rsid w:val="3615F8E2"/>
    <w:rsid w:val="3619C274"/>
    <w:rsid w:val="3624F68A"/>
    <w:rsid w:val="3647ABFC"/>
    <w:rsid w:val="364DDF37"/>
    <w:rsid w:val="3651B189"/>
    <w:rsid w:val="3654A800"/>
    <w:rsid w:val="365B3A85"/>
    <w:rsid w:val="365D0DE2"/>
    <w:rsid w:val="365DE609"/>
    <w:rsid w:val="366D7167"/>
    <w:rsid w:val="36855A1F"/>
    <w:rsid w:val="368BB83A"/>
    <w:rsid w:val="36974194"/>
    <w:rsid w:val="36A7B18F"/>
    <w:rsid w:val="36AC5C1F"/>
    <w:rsid w:val="36B106DA"/>
    <w:rsid w:val="36B5D3AB"/>
    <w:rsid w:val="36BAC6DB"/>
    <w:rsid w:val="36BB6629"/>
    <w:rsid w:val="36BDED64"/>
    <w:rsid w:val="36C35E0A"/>
    <w:rsid w:val="36CE13A5"/>
    <w:rsid w:val="36D0E456"/>
    <w:rsid w:val="36D474CC"/>
    <w:rsid w:val="36ECDAA6"/>
    <w:rsid w:val="36F1D133"/>
    <w:rsid w:val="36FF62C9"/>
    <w:rsid w:val="3706ACCE"/>
    <w:rsid w:val="37073C6E"/>
    <w:rsid w:val="370B1E44"/>
    <w:rsid w:val="371686DE"/>
    <w:rsid w:val="3718796A"/>
    <w:rsid w:val="3720CD03"/>
    <w:rsid w:val="372182DC"/>
    <w:rsid w:val="37285CDC"/>
    <w:rsid w:val="372AF656"/>
    <w:rsid w:val="374800A2"/>
    <w:rsid w:val="374A7E39"/>
    <w:rsid w:val="375398B5"/>
    <w:rsid w:val="3754687B"/>
    <w:rsid w:val="376E32ED"/>
    <w:rsid w:val="3773DEBF"/>
    <w:rsid w:val="377AE835"/>
    <w:rsid w:val="3780EB0B"/>
    <w:rsid w:val="37829116"/>
    <w:rsid w:val="3786BD55"/>
    <w:rsid w:val="3791BC0B"/>
    <w:rsid w:val="3791D10E"/>
    <w:rsid w:val="37A183E1"/>
    <w:rsid w:val="37B6A93C"/>
    <w:rsid w:val="37B7254A"/>
    <w:rsid w:val="37B78B9F"/>
    <w:rsid w:val="37BF266D"/>
    <w:rsid w:val="37C9B668"/>
    <w:rsid w:val="37CE4923"/>
    <w:rsid w:val="37D300E8"/>
    <w:rsid w:val="37D46F5C"/>
    <w:rsid w:val="37D680E7"/>
    <w:rsid w:val="37D98EA8"/>
    <w:rsid w:val="37EE609D"/>
    <w:rsid w:val="37F07314"/>
    <w:rsid w:val="37F833BF"/>
    <w:rsid w:val="37FB1A95"/>
    <w:rsid w:val="3801688D"/>
    <w:rsid w:val="3801B713"/>
    <w:rsid w:val="3816A3D1"/>
    <w:rsid w:val="38172C71"/>
    <w:rsid w:val="381D67CB"/>
    <w:rsid w:val="381FB1EF"/>
    <w:rsid w:val="38274D77"/>
    <w:rsid w:val="384C0440"/>
    <w:rsid w:val="38507D1E"/>
    <w:rsid w:val="38527556"/>
    <w:rsid w:val="38596C88"/>
    <w:rsid w:val="385A9B8C"/>
    <w:rsid w:val="38616AC3"/>
    <w:rsid w:val="38697439"/>
    <w:rsid w:val="386B6C77"/>
    <w:rsid w:val="386DFD79"/>
    <w:rsid w:val="386F6625"/>
    <w:rsid w:val="3879B791"/>
    <w:rsid w:val="387BEBA6"/>
    <w:rsid w:val="38909558"/>
    <w:rsid w:val="389413DB"/>
    <w:rsid w:val="38953996"/>
    <w:rsid w:val="38A0E4EC"/>
    <w:rsid w:val="38AF8021"/>
    <w:rsid w:val="38B39DC3"/>
    <w:rsid w:val="38BA2124"/>
    <w:rsid w:val="38BA6B0F"/>
    <w:rsid w:val="38BF41A9"/>
    <w:rsid w:val="38C2F235"/>
    <w:rsid w:val="38C72EA8"/>
    <w:rsid w:val="38CAC929"/>
    <w:rsid w:val="38CCC8EA"/>
    <w:rsid w:val="38CD5F6A"/>
    <w:rsid w:val="38CEE5AE"/>
    <w:rsid w:val="38DA6945"/>
    <w:rsid w:val="38ED9BA1"/>
    <w:rsid w:val="38F4DAC7"/>
    <w:rsid w:val="390033E9"/>
    <w:rsid w:val="3900C3CE"/>
    <w:rsid w:val="3909ACFF"/>
    <w:rsid w:val="3909F5A4"/>
    <w:rsid w:val="390D2AE9"/>
    <w:rsid w:val="3914DA02"/>
    <w:rsid w:val="391A14D9"/>
    <w:rsid w:val="391A4781"/>
    <w:rsid w:val="391C4BBE"/>
    <w:rsid w:val="39386E0B"/>
    <w:rsid w:val="39392FFA"/>
    <w:rsid w:val="393D36FD"/>
    <w:rsid w:val="393E67BD"/>
    <w:rsid w:val="3940A0C0"/>
    <w:rsid w:val="39474A0D"/>
    <w:rsid w:val="394B4957"/>
    <w:rsid w:val="39513EF3"/>
    <w:rsid w:val="39533084"/>
    <w:rsid w:val="39574E40"/>
    <w:rsid w:val="39593AC8"/>
    <w:rsid w:val="39597001"/>
    <w:rsid w:val="395FD7E7"/>
    <w:rsid w:val="396B8916"/>
    <w:rsid w:val="3971C1EB"/>
    <w:rsid w:val="3974BB8E"/>
    <w:rsid w:val="39772E14"/>
    <w:rsid w:val="3977ABF6"/>
    <w:rsid w:val="397DAC09"/>
    <w:rsid w:val="397F2C7E"/>
    <w:rsid w:val="39826255"/>
    <w:rsid w:val="398A4C77"/>
    <w:rsid w:val="398CCAA6"/>
    <w:rsid w:val="3994034C"/>
    <w:rsid w:val="39985C1B"/>
    <w:rsid w:val="39AA4C7C"/>
    <w:rsid w:val="39AFE9D4"/>
    <w:rsid w:val="39B51FFC"/>
    <w:rsid w:val="39B8F7D8"/>
    <w:rsid w:val="39C220B4"/>
    <w:rsid w:val="39C732DA"/>
    <w:rsid w:val="39F8B8AC"/>
    <w:rsid w:val="3A252796"/>
    <w:rsid w:val="3A29C055"/>
    <w:rsid w:val="3A2BA2DE"/>
    <w:rsid w:val="3A2C1533"/>
    <w:rsid w:val="3A44FA9A"/>
    <w:rsid w:val="3A4F34D7"/>
    <w:rsid w:val="3A578CDF"/>
    <w:rsid w:val="3A64C278"/>
    <w:rsid w:val="3A7639A6"/>
    <w:rsid w:val="3A78DD99"/>
    <w:rsid w:val="3A791B8E"/>
    <w:rsid w:val="3A7C8E56"/>
    <w:rsid w:val="3A87D5E3"/>
    <w:rsid w:val="3A90BE71"/>
    <w:rsid w:val="3A92C525"/>
    <w:rsid w:val="3A951E48"/>
    <w:rsid w:val="3A9F23D0"/>
    <w:rsid w:val="3AABCEBD"/>
    <w:rsid w:val="3AB37DFC"/>
    <w:rsid w:val="3AB682D5"/>
    <w:rsid w:val="3AB7B7D5"/>
    <w:rsid w:val="3ABA76A3"/>
    <w:rsid w:val="3AC42BFA"/>
    <w:rsid w:val="3AC7C0DC"/>
    <w:rsid w:val="3ACCF069"/>
    <w:rsid w:val="3ACD159F"/>
    <w:rsid w:val="3ACFFF83"/>
    <w:rsid w:val="3AD05C44"/>
    <w:rsid w:val="3AE5ED52"/>
    <w:rsid w:val="3AE92021"/>
    <w:rsid w:val="3AF63052"/>
    <w:rsid w:val="3B01FACF"/>
    <w:rsid w:val="3B050811"/>
    <w:rsid w:val="3B093A56"/>
    <w:rsid w:val="3B0F20B4"/>
    <w:rsid w:val="3B178C10"/>
    <w:rsid w:val="3B1D6586"/>
    <w:rsid w:val="3B201EC1"/>
    <w:rsid w:val="3B246F31"/>
    <w:rsid w:val="3B285390"/>
    <w:rsid w:val="3B373809"/>
    <w:rsid w:val="3B42A700"/>
    <w:rsid w:val="3B431255"/>
    <w:rsid w:val="3B433D1E"/>
    <w:rsid w:val="3B4365ED"/>
    <w:rsid w:val="3B46DF13"/>
    <w:rsid w:val="3B5D6229"/>
    <w:rsid w:val="3B5EDF98"/>
    <w:rsid w:val="3B61053C"/>
    <w:rsid w:val="3B663B75"/>
    <w:rsid w:val="3B6948C4"/>
    <w:rsid w:val="3B79A422"/>
    <w:rsid w:val="3B7AC210"/>
    <w:rsid w:val="3B81F0AE"/>
    <w:rsid w:val="3B832AEB"/>
    <w:rsid w:val="3B89B93E"/>
    <w:rsid w:val="3B89E4DC"/>
    <w:rsid w:val="3B91A3F8"/>
    <w:rsid w:val="3B9EC200"/>
    <w:rsid w:val="3BA6512B"/>
    <w:rsid w:val="3BA8216C"/>
    <w:rsid w:val="3BB7D96C"/>
    <w:rsid w:val="3BB9EA46"/>
    <w:rsid w:val="3BC0BB2C"/>
    <w:rsid w:val="3BC8361A"/>
    <w:rsid w:val="3BD373B2"/>
    <w:rsid w:val="3BDE1AE0"/>
    <w:rsid w:val="3BE140D5"/>
    <w:rsid w:val="3BE57C07"/>
    <w:rsid w:val="3BE921D3"/>
    <w:rsid w:val="3BF4E74C"/>
    <w:rsid w:val="3BF7F009"/>
    <w:rsid w:val="3C09178C"/>
    <w:rsid w:val="3C09829D"/>
    <w:rsid w:val="3C0B8CE9"/>
    <w:rsid w:val="3C11D6CC"/>
    <w:rsid w:val="3C1383E6"/>
    <w:rsid w:val="3C173490"/>
    <w:rsid w:val="3C18D649"/>
    <w:rsid w:val="3C18FB6E"/>
    <w:rsid w:val="3C362EDB"/>
    <w:rsid w:val="3C37E30F"/>
    <w:rsid w:val="3C4DF9D4"/>
    <w:rsid w:val="3C52AB27"/>
    <w:rsid w:val="3C61E726"/>
    <w:rsid w:val="3C6B694F"/>
    <w:rsid w:val="3C6FA122"/>
    <w:rsid w:val="3C727609"/>
    <w:rsid w:val="3C75C11E"/>
    <w:rsid w:val="3C7F8711"/>
    <w:rsid w:val="3C82871D"/>
    <w:rsid w:val="3C82D6FC"/>
    <w:rsid w:val="3C836EA6"/>
    <w:rsid w:val="3C8670B0"/>
    <w:rsid w:val="3C9908E1"/>
    <w:rsid w:val="3C9D278B"/>
    <w:rsid w:val="3CA1CF3A"/>
    <w:rsid w:val="3CA4D399"/>
    <w:rsid w:val="3CA6A255"/>
    <w:rsid w:val="3CA7EF26"/>
    <w:rsid w:val="3CAEF03E"/>
    <w:rsid w:val="3CBAB16E"/>
    <w:rsid w:val="3CC69ACD"/>
    <w:rsid w:val="3CC9C357"/>
    <w:rsid w:val="3CD06DC9"/>
    <w:rsid w:val="3CD24F6C"/>
    <w:rsid w:val="3CD5841C"/>
    <w:rsid w:val="3CD8C72B"/>
    <w:rsid w:val="3CDB850F"/>
    <w:rsid w:val="3CDC5610"/>
    <w:rsid w:val="3CE64E63"/>
    <w:rsid w:val="3CF32A3E"/>
    <w:rsid w:val="3CF64290"/>
    <w:rsid w:val="3CF68DDD"/>
    <w:rsid w:val="3CF9DBB9"/>
    <w:rsid w:val="3CFAAFF9"/>
    <w:rsid w:val="3D04CB9C"/>
    <w:rsid w:val="3D1163DB"/>
    <w:rsid w:val="3D25650C"/>
    <w:rsid w:val="3D2D0599"/>
    <w:rsid w:val="3D2FBACE"/>
    <w:rsid w:val="3D330A30"/>
    <w:rsid w:val="3D3569CF"/>
    <w:rsid w:val="3D597463"/>
    <w:rsid w:val="3D64C6A3"/>
    <w:rsid w:val="3D74E9A1"/>
    <w:rsid w:val="3D753374"/>
    <w:rsid w:val="3D81F338"/>
    <w:rsid w:val="3D91A852"/>
    <w:rsid w:val="3D92CB55"/>
    <w:rsid w:val="3D939777"/>
    <w:rsid w:val="3D96A3C6"/>
    <w:rsid w:val="3DA0718B"/>
    <w:rsid w:val="3DA35CE5"/>
    <w:rsid w:val="3DB1C80E"/>
    <w:rsid w:val="3DB3DFFD"/>
    <w:rsid w:val="3DB48CCB"/>
    <w:rsid w:val="3DC97096"/>
    <w:rsid w:val="3DCDAD9F"/>
    <w:rsid w:val="3DCFEDA6"/>
    <w:rsid w:val="3DDB0F1A"/>
    <w:rsid w:val="3DDF471D"/>
    <w:rsid w:val="3DEBDE38"/>
    <w:rsid w:val="3DECAD37"/>
    <w:rsid w:val="3DEFF9D2"/>
    <w:rsid w:val="3DF31D67"/>
    <w:rsid w:val="3DF436D6"/>
    <w:rsid w:val="3DFC69EF"/>
    <w:rsid w:val="3DFDB787"/>
    <w:rsid w:val="3E0A0DD8"/>
    <w:rsid w:val="3E273187"/>
    <w:rsid w:val="3E2A428B"/>
    <w:rsid w:val="3E33633F"/>
    <w:rsid w:val="3E360025"/>
    <w:rsid w:val="3E42ADC0"/>
    <w:rsid w:val="3E4336F6"/>
    <w:rsid w:val="3E4470A8"/>
    <w:rsid w:val="3E553E71"/>
    <w:rsid w:val="3E5A8245"/>
    <w:rsid w:val="3E61CB35"/>
    <w:rsid w:val="3E72AE27"/>
    <w:rsid w:val="3E73E086"/>
    <w:rsid w:val="3E79BD40"/>
    <w:rsid w:val="3E7DAA71"/>
    <w:rsid w:val="3E89DA1F"/>
    <w:rsid w:val="3E9212F1"/>
    <w:rsid w:val="3E97F558"/>
    <w:rsid w:val="3E9D3D38"/>
    <w:rsid w:val="3EA0A13C"/>
    <w:rsid w:val="3EA4D6C7"/>
    <w:rsid w:val="3EA7E50B"/>
    <w:rsid w:val="3EB6CA17"/>
    <w:rsid w:val="3EC08ED8"/>
    <w:rsid w:val="3EC36460"/>
    <w:rsid w:val="3EC6A31B"/>
    <w:rsid w:val="3EC88101"/>
    <w:rsid w:val="3ED9464A"/>
    <w:rsid w:val="3EEDE519"/>
    <w:rsid w:val="3EF93DC5"/>
    <w:rsid w:val="3F080B4B"/>
    <w:rsid w:val="3F0C1794"/>
    <w:rsid w:val="3F185028"/>
    <w:rsid w:val="3F19138C"/>
    <w:rsid w:val="3F1CFF09"/>
    <w:rsid w:val="3F257BD9"/>
    <w:rsid w:val="3F2693C3"/>
    <w:rsid w:val="3F2C388F"/>
    <w:rsid w:val="3F2E832D"/>
    <w:rsid w:val="3F2EFA8E"/>
    <w:rsid w:val="3F330745"/>
    <w:rsid w:val="3F34381E"/>
    <w:rsid w:val="3F3B946C"/>
    <w:rsid w:val="3F3C02B7"/>
    <w:rsid w:val="3F420DE5"/>
    <w:rsid w:val="3F42548E"/>
    <w:rsid w:val="3F4BF4C9"/>
    <w:rsid w:val="3F5307BC"/>
    <w:rsid w:val="3F55F3C6"/>
    <w:rsid w:val="3F56312F"/>
    <w:rsid w:val="3F570B1E"/>
    <w:rsid w:val="3F5F244E"/>
    <w:rsid w:val="3F621873"/>
    <w:rsid w:val="3F631F3D"/>
    <w:rsid w:val="3F6621EE"/>
    <w:rsid w:val="3F6D1FCF"/>
    <w:rsid w:val="3F785F5F"/>
    <w:rsid w:val="3F9170F5"/>
    <w:rsid w:val="3F936787"/>
    <w:rsid w:val="3FA49BE6"/>
    <w:rsid w:val="3FA5B90E"/>
    <w:rsid w:val="3FA65386"/>
    <w:rsid w:val="3FADBCFD"/>
    <w:rsid w:val="3FB27888"/>
    <w:rsid w:val="3FB320D6"/>
    <w:rsid w:val="3FB46879"/>
    <w:rsid w:val="3FCED8CC"/>
    <w:rsid w:val="3FDE4187"/>
    <w:rsid w:val="3FE13D0B"/>
    <w:rsid w:val="3FE52E43"/>
    <w:rsid w:val="3FED0277"/>
    <w:rsid w:val="3FF4B966"/>
    <w:rsid w:val="3FF62F61"/>
    <w:rsid w:val="3FFB3F6B"/>
    <w:rsid w:val="3FFCA2A3"/>
    <w:rsid w:val="40005275"/>
    <w:rsid w:val="40057BF2"/>
    <w:rsid w:val="40066583"/>
    <w:rsid w:val="40073412"/>
    <w:rsid w:val="40091DF1"/>
    <w:rsid w:val="400DCFD3"/>
    <w:rsid w:val="401235B2"/>
    <w:rsid w:val="40129CBD"/>
    <w:rsid w:val="4014C6E8"/>
    <w:rsid w:val="40186C62"/>
    <w:rsid w:val="401CF855"/>
    <w:rsid w:val="402B4A80"/>
    <w:rsid w:val="403F1FC5"/>
    <w:rsid w:val="40401CD4"/>
    <w:rsid w:val="404944BD"/>
    <w:rsid w:val="404A5328"/>
    <w:rsid w:val="405C116A"/>
    <w:rsid w:val="405CB537"/>
    <w:rsid w:val="4067E671"/>
    <w:rsid w:val="406BC3C2"/>
    <w:rsid w:val="4076627F"/>
    <w:rsid w:val="407DAF3F"/>
    <w:rsid w:val="40836EA8"/>
    <w:rsid w:val="408B11C7"/>
    <w:rsid w:val="408DC812"/>
    <w:rsid w:val="4095CC6C"/>
    <w:rsid w:val="4096AF8B"/>
    <w:rsid w:val="40A31973"/>
    <w:rsid w:val="40A72D9B"/>
    <w:rsid w:val="40AF3891"/>
    <w:rsid w:val="40B2578C"/>
    <w:rsid w:val="40BD4AF5"/>
    <w:rsid w:val="40C09DBA"/>
    <w:rsid w:val="40CEAD47"/>
    <w:rsid w:val="40D5B93F"/>
    <w:rsid w:val="40D62EB4"/>
    <w:rsid w:val="40D72ED0"/>
    <w:rsid w:val="40EA10FC"/>
    <w:rsid w:val="40EB6B33"/>
    <w:rsid w:val="40F0EC1F"/>
    <w:rsid w:val="40F32AE2"/>
    <w:rsid w:val="40F34FCB"/>
    <w:rsid w:val="40F8F1FC"/>
    <w:rsid w:val="410B4F20"/>
    <w:rsid w:val="4112F2BE"/>
    <w:rsid w:val="4118E598"/>
    <w:rsid w:val="41261F41"/>
    <w:rsid w:val="413279D4"/>
    <w:rsid w:val="413A476E"/>
    <w:rsid w:val="413AE4C5"/>
    <w:rsid w:val="414D8F5E"/>
    <w:rsid w:val="4159050D"/>
    <w:rsid w:val="415DC64C"/>
    <w:rsid w:val="415E6DE5"/>
    <w:rsid w:val="416D8691"/>
    <w:rsid w:val="417A2906"/>
    <w:rsid w:val="417B51A2"/>
    <w:rsid w:val="417B90A2"/>
    <w:rsid w:val="417C16AC"/>
    <w:rsid w:val="41906D7A"/>
    <w:rsid w:val="419B4443"/>
    <w:rsid w:val="419C22D6"/>
    <w:rsid w:val="419CF5B5"/>
    <w:rsid w:val="41B14A19"/>
    <w:rsid w:val="41B6C86F"/>
    <w:rsid w:val="41BFE35B"/>
    <w:rsid w:val="41D0CA98"/>
    <w:rsid w:val="41D0E8CD"/>
    <w:rsid w:val="41DB2CB7"/>
    <w:rsid w:val="41DDD5AE"/>
    <w:rsid w:val="41E77B2B"/>
    <w:rsid w:val="41F1F11A"/>
    <w:rsid w:val="41F94BB2"/>
    <w:rsid w:val="41F96B4B"/>
    <w:rsid w:val="4204500D"/>
    <w:rsid w:val="42110C34"/>
    <w:rsid w:val="42112D1F"/>
    <w:rsid w:val="4211F158"/>
    <w:rsid w:val="42181594"/>
    <w:rsid w:val="42284362"/>
    <w:rsid w:val="422D2DDA"/>
    <w:rsid w:val="42350D64"/>
    <w:rsid w:val="4239BFA7"/>
    <w:rsid w:val="424295C6"/>
    <w:rsid w:val="4258AAC7"/>
    <w:rsid w:val="425AA2B9"/>
    <w:rsid w:val="427103E2"/>
    <w:rsid w:val="42744895"/>
    <w:rsid w:val="42768B81"/>
    <w:rsid w:val="4280C86C"/>
    <w:rsid w:val="42869B29"/>
    <w:rsid w:val="428A7F79"/>
    <w:rsid w:val="428E2A4A"/>
    <w:rsid w:val="428E38EE"/>
    <w:rsid w:val="42913264"/>
    <w:rsid w:val="42A94822"/>
    <w:rsid w:val="42AD662D"/>
    <w:rsid w:val="42AE29C5"/>
    <w:rsid w:val="42AE4494"/>
    <w:rsid w:val="42B0188B"/>
    <w:rsid w:val="42C13F84"/>
    <w:rsid w:val="42CB08AB"/>
    <w:rsid w:val="42D20BA0"/>
    <w:rsid w:val="42D35CDF"/>
    <w:rsid w:val="42D5F861"/>
    <w:rsid w:val="42D62C80"/>
    <w:rsid w:val="42DB1AE7"/>
    <w:rsid w:val="42E0582F"/>
    <w:rsid w:val="42E59006"/>
    <w:rsid w:val="42E71DA4"/>
    <w:rsid w:val="42E776C4"/>
    <w:rsid w:val="42EAC0FE"/>
    <w:rsid w:val="42EFD2A8"/>
    <w:rsid w:val="42F067BF"/>
    <w:rsid w:val="42F206D0"/>
    <w:rsid w:val="42F28094"/>
    <w:rsid w:val="42F586EB"/>
    <w:rsid w:val="42FA39E6"/>
    <w:rsid w:val="42FB8871"/>
    <w:rsid w:val="4307AAAB"/>
    <w:rsid w:val="4316D335"/>
    <w:rsid w:val="431F0F89"/>
    <w:rsid w:val="4325E498"/>
    <w:rsid w:val="4325F8F4"/>
    <w:rsid w:val="43273BD8"/>
    <w:rsid w:val="432B4648"/>
    <w:rsid w:val="432CF68D"/>
    <w:rsid w:val="43332237"/>
    <w:rsid w:val="4339772F"/>
    <w:rsid w:val="4339D1E2"/>
    <w:rsid w:val="43407538"/>
    <w:rsid w:val="43440C76"/>
    <w:rsid w:val="43445AD9"/>
    <w:rsid w:val="434B3A10"/>
    <w:rsid w:val="434DBFD4"/>
    <w:rsid w:val="43651CCC"/>
    <w:rsid w:val="436804D2"/>
    <w:rsid w:val="4368FE6D"/>
    <w:rsid w:val="436DC4C3"/>
    <w:rsid w:val="436EE568"/>
    <w:rsid w:val="43762321"/>
    <w:rsid w:val="437AFCAB"/>
    <w:rsid w:val="437F0FF1"/>
    <w:rsid w:val="4385D3F5"/>
    <w:rsid w:val="43888D1A"/>
    <w:rsid w:val="43904DDF"/>
    <w:rsid w:val="439D5932"/>
    <w:rsid w:val="43A772BE"/>
    <w:rsid w:val="43A90A47"/>
    <w:rsid w:val="43B16EBA"/>
    <w:rsid w:val="43BE3BE8"/>
    <w:rsid w:val="43C0CC37"/>
    <w:rsid w:val="43D3E34F"/>
    <w:rsid w:val="43DB41DB"/>
    <w:rsid w:val="43DC967E"/>
    <w:rsid w:val="43DE13FA"/>
    <w:rsid w:val="44093016"/>
    <w:rsid w:val="440F5CC3"/>
    <w:rsid w:val="4411D34D"/>
    <w:rsid w:val="4419CB0E"/>
    <w:rsid w:val="441CF77A"/>
    <w:rsid w:val="4423C04C"/>
    <w:rsid w:val="4426AFE7"/>
    <w:rsid w:val="4429D988"/>
    <w:rsid w:val="4437890B"/>
    <w:rsid w:val="444272D5"/>
    <w:rsid w:val="444B36AF"/>
    <w:rsid w:val="44505713"/>
    <w:rsid w:val="4450C28A"/>
    <w:rsid w:val="445CF715"/>
    <w:rsid w:val="446AB2FE"/>
    <w:rsid w:val="446B78C4"/>
    <w:rsid w:val="446C08AE"/>
    <w:rsid w:val="446CDDCE"/>
    <w:rsid w:val="446DD6F1"/>
    <w:rsid w:val="4474479A"/>
    <w:rsid w:val="4475C668"/>
    <w:rsid w:val="448266FA"/>
    <w:rsid w:val="4492C6B6"/>
    <w:rsid w:val="4498EE45"/>
    <w:rsid w:val="44A33A06"/>
    <w:rsid w:val="44A478AF"/>
    <w:rsid w:val="44AA3970"/>
    <w:rsid w:val="44B0BD4E"/>
    <w:rsid w:val="44B26378"/>
    <w:rsid w:val="44B3010B"/>
    <w:rsid w:val="44B44127"/>
    <w:rsid w:val="44B7DBCF"/>
    <w:rsid w:val="44BC5724"/>
    <w:rsid w:val="44BEED21"/>
    <w:rsid w:val="44CC1AC1"/>
    <w:rsid w:val="44CF7A19"/>
    <w:rsid w:val="44E2F2EA"/>
    <w:rsid w:val="44E7F6AB"/>
    <w:rsid w:val="44EBDC8F"/>
    <w:rsid w:val="44EC7ECC"/>
    <w:rsid w:val="44EEB0F0"/>
    <w:rsid w:val="44F5417E"/>
    <w:rsid w:val="44F61C5C"/>
    <w:rsid w:val="44FBF60B"/>
    <w:rsid w:val="45021CE2"/>
    <w:rsid w:val="450505E2"/>
    <w:rsid w:val="4508AB6E"/>
    <w:rsid w:val="4509AD4E"/>
    <w:rsid w:val="45198467"/>
    <w:rsid w:val="451E19CA"/>
    <w:rsid w:val="45225FF6"/>
    <w:rsid w:val="452BA7B2"/>
    <w:rsid w:val="4530F7A8"/>
    <w:rsid w:val="453E2DB2"/>
    <w:rsid w:val="45502108"/>
    <w:rsid w:val="4550DFE4"/>
    <w:rsid w:val="4551C722"/>
    <w:rsid w:val="455E0FBB"/>
    <w:rsid w:val="455FB504"/>
    <w:rsid w:val="45679F01"/>
    <w:rsid w:val="456C1D56"/>
    <w:rsid w:val="456F1860"/>
    <w:rsid w:val="45829181"/>
    <w:rsid w:val="4586B631"/>
    <w:rsid w:val="458E7DE1"/>
    <w:rsid w:val="459853CF"/>
    <w:rsid w:val="45A20B3B"/>
    <w:rsid w:val="45A879D9"/>
    <w:rsid w:val="45B5CB73"/>
    <w:rsid w:val="45B6C0D4"/>
    <w:rsid w:val="45D68243"/>
    <w:rsid w:val="45DC7001"/>
    <w:rsid w:val="45DD78D3"/>
    <w:rsid w:val="45DDC230"/>
    <w:rsid w:val="45DF1CD8"/>
    <w:rsid w:val="45E289CA"/>
    <w:rsid w:val="45F1F75B"/>
    <w:rsid w:val="45F9CE96"/>
    <w:rsid w:val="45FE9107"/>
    <w:rsid w:val="4602EEC3"/>
    <w:rsid w:val="46049D16"/>
    <w:rsid w:val="4609BA99"/>
    <w:rsid w:val="46196ED2"/>
    <w:rsid w:val="46208C17"/>
    <w:rsid w:val="46238DE1"/>
    <w:rsid w:val="46256C08"/>
    <w:rsid w:val="463156F7"/>
    <w:rsid w:val="4631CCE6"/>
    <w:rsid w:val="4644F73B"/>
    <w:rsid w:val="4646A9BD"/>
    <w:rsid w:val="464BCD55"/>
    <w:rsid w:val="464CC9DE"/>
    <w:rsid w:val="464EC2C5"/>
    <w:rsid w:val="464F0C85"/>
    <w:rsid w:val="4662188A"/>
    <w:rsid w:val="466C4699"/>
    <w:rsid w:val="46702C7F"/>
    <w:rsid w:val="46736015"/>
    <w:rsid w:val="46839531"/>
    <w:rsid w:val="469397E5"/>
    <w:rsid w:val="46A094B8"/>
    <w:rsid w:val="46A0CA3D"/>
    <w:rsid w:val="46A1D8F0"/>
    <w:rsid w:val="46A3E02C"/>
    <w:rsid w:val="46A74FFF"/>
    <w:rsid w:val="46B75E52"/>
    <w:rsid w:val="46B9DB56"/>
    <w:rsid w:val="46D48509"/>
    <w:rsid w:val="46E62096"/>
    <w:rsid w:val="46E71C15"/>
    <w:rsid w:val="46E87B14"/>
    <w:rsid w:val="46F14025"/>
    <w:rsid w:val="46F1C335"/>
    <w:rsid w:val="46F92EA3"/>
    <w:rsid w:val="46FD1DD1"/>
    <w:rsid w:val="46FE5374"/>
    <w:rsid w:val="47019572"/>
    <w:rsid w:val="4706052E"/>
    <w:rsid w:val="47060EDF"/>
    <w:rsid w:val="47187334"/>
    <w:rsid w:val="471CF8D6"/>
    <w:rsid w:val="471D6291"/>
    <w:rsid w:val="4724BF98"/>
    <w:rsid w:val="4725BB61"/>
    <w:rsid w:val="4726F277"/>
    <w:rsid w:val="47318E3F"/>
    <w:rsid w:val="47327F2A"/>
    <w:rsid w:val="4732E427"/>
    <w:rsid w:val="4736706C"/>
    <w:rsid w:val="4736D7D2"/>
    <w:rsid w:val="473EB1CF"/>
    <w:rsid w:val="4743B735"/>
    <w:rsid w:val="474494C0"/>
    <w:rsid w:val="4745BAC1"/>
    <w:rsid w:val="47502819"/>
    <w:rsid w:val="475E67AE"/>
    <w:rsid w:val="4760940A"/>
    <w:rsid w:val="47626C66"/>
    <w:rsid w:val="47647295"/>
    <w:rsid w:val="47672A0C"/>
    <w:rsid w:val="476A3295"/>
    <w:rsid w:val="477521F0"/>
    <w:rsid w:val="477B09FE"/>
    <w:rsid w:val="477B9CD4"/>
    <w:rsid w:val="4780D750"/>
    <w:rsid w:val="47841949"/>
    <w:rsid w:val="478E4096"/>
    <w:rsid w:val="4798312C"/>
    <w:rsid w:val="47986083"/>
    <w:rsid w:val="479B2030"/>
    <w:rsid w:val="479E4C03"/>
    <w:rsid w:val="47A97128"/>
    <w:rsid w:val="47AB4A5E"/>
    <w:rsid w:val="47ADB5C2"/>
    <w:rsid w:val="47B13F1B"/>
    <w:rsid w:val="47B4FBD2"/>
    <w:rsid w:val="47B85FFA"/>
    <w:rsid w:val="47BDA713"/>
    <w:rsid w:val="47BF667B"/>
    <w:rsid w:val="47CC78FE"/>
    <w:rsid w:val="47D213E5"/>
    <w:rsid w:val="47D4C575"/>
    <w:rsid w:val="47E11378"/>
    <w:rsid w:val="47E447DE"/>
    <w:rsid w:val="47F38A77"/>
    <w:rsid w:val="4803FC43"/>
    <w:rsid w:val="480C1998"/>
    <w:rsid w:val="480FE68B"/>
    <w:rsid w:val="4811CB3C"/>
    <w:rsid w:val="48183ABE"/>
    <w:rsid w:val="4821D436"/>
    <w:rsid w:val="4822CC0C"/>
    <w:rsid w:val="4828530C"/>
    <w:rsid w:val="48293D78"/>
    <w:rsid w:val="482D5805"/>
    <w:rsid w:val="483027E1"/>
    <w:rsid w:val="4834A778"/>
    <w:rsid w:val="483D55FD"/>
    <w:rsid w:val="48423175"/>
    <w:rsid w:val="4849C0C3"/>
    <w:rsid w:val="4851F991"/>
    <w:rsid w:val="48550BFD"/>
    <w:rsid w:val="485F082A"/>
    <w:rsid w:val="4863B96A"/>
    <w:rsid w:val="4868986A"/>
    <w:rsid w:val="4877506E"/>
    <w:rsid w:val="487DBF88"/>
    <w:rsid w:val="4882E7EB"/>
    <w:rsid w:val="488AD786"/>
    <w:rsid w:val="488C2EE1"/>
    <w:rsid w:val="48B4CD7B"/>
    <w:rsid w:val="48B99A76"/>
    <w:rsid w:val="48BD3CC7"/>
    <w:rsid w:val="48C09E46"/>
    <w:rsid w:val="48CB92F6"/>
    <w:rsid w:val="48CEBBE7"/>
    <w:rsid w:val="48DAB19F"/>
    <w:rsid w:val="48DDF7E7"/>
    <w:rsid w:val="48DE8E43"/>
    <w:rsid w:val="48E31E32"/>
    <w:rsid w:val="48E391C1"/>
    <w:rsid w:val="48E5BBE2"/>
    <w:rsid w:val="48ED8BA9"/>
    <w:rsid w:val="48F2539C"/>
    <w:rsid w:val="48F440B5"/>
    <w:rsid w:val="48F6D482"/>
    <w:rsid w:val="48F7C09B"/>
    <w:rsid w:val="4916486C"/>
    <w:rsid w:val="491846FB"/>
    <w:rsid w:val="491AEA11"/>
    <w:rsid w:val="492A3415"/>
    <w:rsid w:val="4934A796"/>
    <w:rsid w:val="4936C32E"/>
    <w:rsid w:val="4948C951"/>
    <w:rsid w:val="49524EF8"/>
    <w:rsid w:val="49589A59"/>
    <w:rsid w:val="495F34FE"/>
    <w:rsid w:val="4961134C"/>
    <w:rsid w:val="49684FB7"/>
    <w:rsid w:val="496D262A"/>
    <w:rsid w:val="496F5BE0"/>
    <w:rsid w:val="497270EC"/>
    <w:rsid w:val="4978F769"/>
    <w:rsid w:val="49921CA0"/>
    <w:rsid w:val="49972C97"/>
    <w:rsid w:val="499F59B2"/>
    <w:rsid w:val="499F8BE4"/>
    <w:rsid w:val="49A57A57"/>
    <w:rsid w:val="49ADF35E"/>
    <w:rsid w:val="49B2D579"/>
    <w:rsid w:val="49BFDA1A"/>
    <w:rsid w:val="49C6C9A9"/>
    <w:rsid w:val="49E3A3CF"/>
    <w:rsid w:val="49E455F7"/>
    <w:rsid w:val="49E4D3C6"/>
    <w:rsid w:val="49E79DE8"/>
    <w:rsid w:val="49E9DA69"/>
    <w:rsid w:val="49EDC9F2"/>
    <w:rsid w:val="49F2539A"/>
    <w:rsid w:val="49F4D592"/>
    <w:rsid w:val="49F73B46"/>
    <w:rsid w:val="49FC5313"/>
    <w:rsid w:val="4A04C44D"/>
    <w:rsid w:val="4A0A4671"/>
    <w:rsid w:val="4A0B85BD"/>
    <w:rsid w:val="4A0CF3E3"/>
    <w:rsid w:val="4A107881"/>
    <w:rsid w:val="4A17D248"/>
    <w:rsid w:val="4A1EB84C"/>
    <w:rsid w:val="4A1F2490"/>
    <w:rsid w:val="4A2AE353"/>
    <w:rsid w:val="4A313301"/>
    <w:rsid w:val="4A356D39"/>
    <w:rsid w:val="4A3B00F3"/>
    <w:rsid w:val="4A533149"/>
    <w:rsid w:val="4A6D4F6D"/>
    <w:rsid w:val="4A780CB6"/>
    <w:rsid w:val="4A7E8DFD"/>
    <w:rsid w:val="4A8D7332"/>
    <w:rsid w:val="4A8E192D"/>
    <w:rsid w:val="4A944AF6"/>
    <w:rsid w:val="4A95281C"/>
    <w:rsid w:val="4A97D14E"/>
    <w:rsid w:val="4A999949"/>
    <w:rsid w:val="4AB17C42"/>
    <w:rsid w:val="4AB376E3"/>
    <w:rsid w:val="4AB80A23"/>
    <w:rsid w:val="4ABC8186"/>
    <w:rsid w:val="4ABD15A8"/>
    <w:rsid w:val="4AC033BD"/>
    <w:rsid w:val="4AC2EFF3"/>
    <w:rsid w:val="4ACE20AC"/>
    <w:rsid w:val="4ACFB00F"/>
    <w:rsid w:val="4AD7949D"/>
    <w:rsid w:val="4AD7BBFA"/>
    <w:rsid w:val="4AE25C47"/>
    <w:rsid w:val="4AE505E4"/>
    <w:rsid w:val="4AEEA690"/>
    <w:rsid w:val="4AF67BDD"/>
    <w:rsid w:val="4AFDC97E"/>
    <w:rsid w:val="4B06A424"/>
    <w:rsid w:val="4B0869E3"/>
    <w:rsid w:val="4B1228B3"/>
    <w:rsid w:val="4B12BFAB"/>
    <w:rsid w:val="4B13BED4"/>
    <w:rsid w:val="4B1B727E"/>
    <w:rsid w:val="4B1DF8A4"/>
    <w:rsid w:val="4B1EFB94"/>
    <w:rsid w:val="4B264C90"/>
    <w:rsid w:val="4B3507A8"/>
    <w:rsid w:val="4B3D189B"/>
    <w:rsid w:val="4B40C9B2"/>
    <w:rsid w:val="4B415710"/>
    <w:rsid w:val="4B43051C"/>
    <w:rsid w:val="4B444719"/>
    <w:rsid w:val="4B468607"/>
    <w:rsid w:val="4B544819"/>
    <w:rsid w:val="4B57312E"/>
    <w:rsid w:val="4B5BC69F"/>
    <w:rsid w:val="4B5BE695"/>
    <w:rsid w:val="4B5EF7E1"/>
    <w:rsid w:val="4B67EFE1"/>
    <w:rsid w:val="4B6B3E58"/>
    <w:rsid w:val="4B6E6CFB"/>
    <w:rsid w:val="4B752EAD"/>
    <w:rsid w:val="4B806A2C"/>
    <w:rsid w:val="4B82363E"/>
    <w:rsid w:val="4B8BEC23"/>
    <w:rsid w:val="4B91BB1D"/>
    <w:rsid w:val="4B92A76F"/>
    <w:rsid w:val="4B98D360"/>
    <w:rsid w:val="4B9AD434"/>
    <w:rsid w:val="4B9B6B69"/>
    <w:rsid w:val="4BA0C39B"/>
    <w:rsid w:val="4BA7E4E8"/>
    <w:rsid w:val="4BAF1C77"/>
    <w:rsid w:val="4BAFB49B"/>
    <w:rsid w:val="4BB77DE6"/>
    <w:rsid w:val="4BB9B034"/>
    <w:rsid w:val="4BC0E69B"/>
    <w:rsid w:val="4BC53086"/>
    <w:rsid w:val="4BC7E25C"/>
    <w:rsid w:val="4BC87B7F"/>
    <w:rsid w:val="4BD0FAAD"/>
    <w:rsid w:val="4BD12E4B"/>
    <w:rsid w:val="4BD23D8A"/>
    <w:rsid w:val="4BD3B231"/>
    <w:rsid w:val="4BD614AD"/>
    <w:rsid w:val="4BD7F09B"/>
    <w:rsid w:val="4BD9D43F"/>
    <w:rsid w:val="4BE3778E"/>
    <w:rsid w:val="4BECC9ED"/>
    <w:rsid w:val="4BFAAD18"/>
    <w:rsid w:val="4C1326F7"/>
    <w:rsid w:val="4C157A55"/>
    <w:rsid w:val="4C1C6A60"/>
    <w:rsid w:val="4C1F8FFB"/>
    <w:rsid w:val="4C23081A"/>
    <w:rsid w:val="4C2FAC56"/>
    <w:rsid w:val="4C30CED6"/>
    <w:rsid w:val="4C42C7E0"/>
    <w:rsid w:val="4C468FCF"/>
    <w:rsid w:val="4C4B67CD"/>
    <w:rsid w:val="4C5F3CCC"/>
    <w:rsid w:val="4C61604D"/>
    <w:rsid w:val="4C68D1E8"/>
    <w:rsid w:val="4C6B8070"/>
    <w:rsid w:val="4C6FABB9"/>
    <w:rsid w:val="4C7375F4"/>
    <w:rsid w:val="4C743AEE"/>
    <w:rsid w:val="4C75021A"/>
    <w:rsid w:val="4C7C8E11"/>
    <w:rsid w:val="4C7EC126"/>
    <w:rsid w:val="4C7FBA57"/>
    <w:rsid w:val="4C84CF10"/>
    <w:rsid w:val="4C8B85C8"/>
    <w:rsid w:val="4C9B20F9"/>
    <w:rsid w:val="4CA0F104"/>
    <w:rsid w:val="4CB202EA"/>
    <w:rsid w:val="4CB532BC"/>
    <w:rsid w:val="4CC2FE74"/>
    <w:rsid w:val="4CCCB51F"/>
    <w:rsid w:val="4CD7F58A"/>
    <w:rsid w:val="4CDCBE97"/>
    <w:rsid w:val="4CDCC956"/>
    <w:rsid w:val="4CE8C34D"/>
    <w:rsid w:val="4CE91FD0"/>
    <w:rsid w:val="4CEF9A57"/>
    <w:rsid w:val="4CF30890"/>
    <w:rsid w:val="4CF68AC3"/>
    <w:rsid w:val="4D04B669"/>
    <w:rsid w:val="4D0577AD"/>
    <w:rsid w:val="4D0EE718"/>
    <w:rsid w:val="4D1F9DC3"/>
    <w:rsid w:val="4D264088"/>
    <w:rsid w:val="4D2935E0"/>
    <w:rsid w:val="4D34A3C1"/>
    <w:rsid w:val="4D3C93FC"/>
    <w:rsid w:val="4D3D5C81"/>
    <w:rsid w:val="4D4583CC"/>
    <w:rsid w:val="4D471714"/>
    <w:rsid w:val="4D495D34"/>
    <w:rsid w:val="4D508002"/>
    <w:rsid w:val="4D57F9CA"/>
    <w:rsid w:val="4D6C3396"/>
    <w:rsid w:val="4D6DBA51"/>
    <w:rsid w:val="4D6F492A"/>
    <w:rsid w:val="4D816B94"/>
    <w:rsid w:val="4D831DF5"/>
    <w:rsid w:val="4D85CC83"/>
    <w:rsid w:val="4D919B8E"/>
    <w:rsid w:val="4D92A1FB"/>
    <w:rsid w:val="4D944AD7"/>
    <w:rsid w:val="4D95D371"/>
    <w:rsid w:val="4DA05E5E"/>
    <w:rsid w:val="4DA15266"/>
    <w:rsid w:val="4DB06BCF"/>
    <w:rsid w:val="4DB2FB29"/>
    <w:rsid w:val="4DB84A9C"/>
    <w:rsid w:val="4DBA42F2"/>
    <w:rsid w:val="4DC82F5D"/>
    <w:rsid w:val="4DC923F2"/>
    <w:rsid w:val="4DCF3E8A"/>
    <w:rsid w:val="4DD2A3C2"/>
    <w:rsid w:val="4DD3449B"/>
    <w:rsid w:val="4DD3DBDA"/>
    <w:rsid w:val="4DE26030"/>
    <w:rsid w:val="4DF7D22D"/>
    <w:rsid w:val="4DFB5FF5"/>
    <w:rsid w:val="4DFE0AF1"/>
    <w:rsid w:val="4DFE3EAC"/>
    <w:rsid w:val="4E0C09F9"/>
    <w:rsid w:val="4E0F4569"/>
    <w:rsid w:val="4E106736"/>
    <w:rsid w:val="4E16D58F"/>
    <w:rsid w:val="4E19F8E3"/>
    <w:rsid w:val="4E226DE5"/>
    <w:rsid w:val="4E281A69"/>
    <w:rsid w:val="4E296059"/>
    <w:rsid w:val="4E2B3466"/>
    <w:rsid w:val="4E2BB616"/>
    <w:rsid w:val="4E41EF70"/>
    <w:rsid w:val="4E41F87A"/>
    <w:rsid w:val="4E44583F"/>
    <w:rsid w:val="4E47FF32"/>
    <w:rsid w:val="4E51DC2B"/>
    <w:rsid w:val="4E57351A"/>
    <w:rsid w:val="4E588136"/>
    <w:rsid w:val="4E59D4AA"/>
    <w:rsid w:val="4E5E969B"/>
    <w:rsid w:val="4E629D4E"/>
    <w:rsid w:val="4E73B752"/>
    <w:rsid w:val="4E8ED8F1"/>
    <w:rsid w:val="4E9E6834"/>
    <w:rsid w:val="4EA0ECA2"/>
    <w:rsid w:val="4EA56EFF"/>
    <w:rsid w:val="4EA84602"/>
    <w:rsid w:val="4EA996CB"/>
    <w:rsid w:val="4EB695ED"/>
    <w:rsid w:val="4EBABE01"/>
    <w:rsid w:val="4EC2708A"/>
    <w:rsid w:val="4EC28123"/>
    <w:rsid w:val="4EC288AD"/>
    <w:rsid w:val="4ED5C1CD"/>
    <w:rsid w:val="4EDA7A90"/>
    <w:rsid w:val="4EE12D93"/>
    <w:rsid w:val="4EE8377F"/>
    <w:rsid w:val="4EEA4717"/>
    <w:rsid w:val="4EEEDD95"/>
    <w:rsid w:val="4F0D9B24"/>
    <w:rsid w:val="4F13F5DF"/>
    <w:rsid w:val="4F1596EF"/>
    <w:rsid w:val="4F15C613"/>
    <w:rsid w:val="4F20F353"/>
    <w:rsid w:val="4F21A578"/>
    <w:rsid w:val="4F3F03E2"/>
    <w:rsid w:val="4F41EEB7"/>
    <w:rsid w:val="4F434B1D"/>
    <w:rsid w:val="4F477EFE"/>
    <w:rsid w:val="4F48DEED"/>
    <w:rsid w:val="4F5081BE"/>
    <w:rsid w:val="4F51D51F"/>
    <w:rsid w:val="4F568A69"/>
    <w:rsid w:val="4F624893"/>
    <w:rsid w:val="4F62DE4A"/>
    <w:rsid w:val="4F630E48"/>
    <w:rsid w:val="4F66F824"/>
    <w:rsid w:val="4F687DC5"/>
    <w:rsid w:val="4F6ACEFD"/>
    <w:rsid w:val="4F6BE6DC"/>
    <w:rsid w:val="4F6CAF08"/>
    <w:rsid w:val="4F6DCC46"/>
    <w:rsid w:val="4F6E7BFF"/>
    <w:rsid w:val="4F708739"/>
    <w:rsid w:val="4F7AD073"/>
    <w:rsid w:val="4F7FBB7A"/>
    <w:rsid w:val="4F8A3300"/>
    <w:rsid w:val="4F92BC1E"/>
    <w:rsid w:val="4FA5524F"/>
    <w:rsid w:val="4FB063EC"/>
    <w:rsid w:val="4FB2A5F0"/>
    <w:rsid w:val="4FBBD2DC"/>
    <w:rsid w:val="4FBCCD1C"/>
    <w:rsid w:val="4FBE765D"/>
    <w:rsid w:val="4FC69399"/>
    <w:rsid w:val="4FCC18D2"/>
    <w:rsid w:val="4FCF6609"/>
    <w:rsid w:val="4FD3A5AC"/>
    <w:rsid w:val="4FDA0936"/>
    <w:rsid w:val="4FDB293A"/>
    <w:rsid w:val="4FF682FD"/>
    <w:rsid w:val="4FFF04C7"/>
    <w:rsid w:val="500688B7"/>
    <w:rsid w:val="500BA1B3"/>
    <w:rsid w:val="50191938"/>
    <w:rsid w:val="5020D123"/>
    <w:rsid w:val="502609B8"/>
    <w:rsid w:val="50311699"/>
    <w:rsid w:val="50333B30"/>
    <w:rsid w:val="5036D97E"/>
    <w:rsid w:val="5036E800"/>
    <w:rsid w:val="5039BE4A"/>
    <w:rsid w:val="503F2622"/>
    <w:rsid w:val="503FBD41"/>
    <w:rsid w:val="50440A97"/>
    <w:rsid w:val="50497887"/>
    <w:rsid w:val="5054EC78"/>
    <w:rsid w:val="5056D2E9"/>
    <w:rsid w:val="505E1527"/>
    <w:rsid w:val="50671E40"/>
    <w:rsid w:val="50688793"/>
    <w:rsid w:val="506B147B"/>
    <w:rsid w:val="506C85CC"/>
    <w:rsid w:val="508767D3"/>
    <w:rsid w:val="508D5DF2"/>
    <w:rsid w:val="5099F719"/>
    <w:rsid w:val="50A77694"/>
    <w:rsid w:val="50B1DE93"/>
    <w:rsid w:val="50B21AD2"/>
    <w:rsid w:val="50B28B0C"/>
    <w:rsid w:val="50B4BC84"/>
    <w:rsid w:val="50B80593"/>
    <w:rsid w:val="50B81EE2"/>
    <w:rsid w:val="50B9BDAC"/>
    <w:rsid w:val="50C7E44E"/>
    <w:rsid w:val="50C806D6"/>
    <w:rsid w:val="50CCAC55"/>
    <w:rsid w:val="50CDBF43"/>
    <w:rsid w:val="50CE561A"/>
    <w:rsid w:val="50F0096D"/>
    <w:rsid w:val="50F30037"/>
    <w:rsid w:val="50F4AE88"/>
    <w:rsid w:val="510C9128"/>
    <w:rsid w:val="5111041B"/>
    <w:rsid w:val="51123112"/>
    <w:rsid w:val="5115A18B"/>
    <w:rsid w:val="511B4E4E"/>
    <w:rsid w:val="5122A8AA"/>
    <w:rsid w:val="51241258"/>
    <w:rsid w:val="5126AA8C"/>
    <w:rsid w:val="5136B08E"/>
    <w:rsid w:val="51467262"/>
    <w:rsid w:val="514807F8"/>
    <w:rsid w:val="515EEDA7"/>
    <w:rsid w:val="515FD872"/>
    <w:rsid w:val="5167EEA2"/>
    <w:rsid w:val="516F0123"/>
    <w:rsid w:val="51814145"/>
    <w:rsid w:val="518FE829"/>
    <w:rsid w:val="5192AA5E"/>
    <w:rsid w:val="5194B6A2"/>
    <w:rsid w:val="5197075D"/>
    <w:rsid w:val="519E4512"/>
    <w:rsid w:val="519E6079"/>
    <w:rsid w:val="51AAD1DD"/>
    <w:rsid w:val="51B33E47"/>
    <w:rsid w:val="51B50D01"/>
    <w:rsid w:val="51B6C8D1"/>
    <w:rsid w:val="51BBA07B"/>
    <w:rsid w:val="51C48028"/>
    <w:rsid w:val="51DF1977"/>
    <w:rsid w:val="51E3EE41"/>
    <w:rsid w:val="51E8CCA2"/>
    <w:rsid w:val="51EBBF61"/>
    <w:rsid w:val="51EF0C39"/>
    <w:rsid w:val="5210A487"/>
    <w:rsid w:val="521351CC"/>
    <w:rsid w:val="52139CFA"/>
    <w:rsid w:val="521D643E"/>
    <w:rsid w:val="5227899E"/>
    <w:rsid w:val="5229A482"/>
    <w:rsid w:val="523550C5"/>
    <w:rsid w:val="523EF687"/>
    <w:rsid w:val="524E8BF1"/>
    <w:rsid w:val="52586763"/>
    <w:rsid w:val="52694494"/>
    <w:rsid w:val="526C3A86"/>
    <w:rsid w:val="526E7994"/>
    <w:rsid w:val="526F4E6C"/>
    <w:rsid w:val="5271104A"/>
    <w:rsid w:val="52738AE2"/>
    <w:rsid w:val="5274BD50"/>
    <w:rsid w:val="528E168D"/>
    <w:rsid w:val="52919BA3"/>
    <w:rsid w:val="52999C68"/>
    <w:rsid w:val="529FAAD1"/>
    <w:rsid w:val="52A2664F"/>
    <w:rsid w:val="52A69793"/>
    <w:rsid w:val="52A7E475"/>
    <w:rsid w:val="52A92841"/>
    <w:rsid w:val="52B5E3AE"/>
    <w:rsid w:val="52B8EF38"/>
    <w:rsid w:val="52B9AFAB"/>
    <w:rsid w:val="52BE541D"/>
    <w:rsid w:val="52D4FF66"/>
    <w:rsid w:val="52E7C607"/>
    <w:rsid w:val="52F73324"/>
    <w:rsid w:val="52FB8973"/>
    <w:rsid w:val="52FEDD7E"/>
    <w:rsid w:val="530810AC"/>
    <w:rsid w:val="53089894"/>
    <w:rsid w:val="5314D80C"/>
    <w:rsid w:val="53168F11"/>
    <w:rsid w:val="531A4626"/>
    <w:rsid w:val="53348AA5"/>
    <w:rsid w:val="53356B7D"/>
    <w:rsid w:val="53357C39"/>
    <w:rsid w:val="53375A32"/>
    <w:rsid w:val="533AE055"/>
    <w:rsid w:val="533DC272"/>
    <w:rsid w:val="533F26C3"/>
    <w:rsid w:val="53435699"/>
    <w:rsid w:val="534DFAA2"/>
    <w:rsid w:val="53512CC2"/>
    <w:rsid w:val="5354D59B"/>
    <w:rsid w:val="5354E730"/>
    <w:rsid w:val="5356EFF8"/>
    <w:rsid w:val="536C21AC"/>
    <w:rsid w:val="5370DBEC"/>
    <w:rsid w:val="5372D184"/>
    <w:rsid w:val="537552E4"/>
    <w:rsid w:val="537A7375"/>
    <w:rsid w:val="537E76A8"/>
    <w:rsid w:val="5385026D"/>
    <w:rsid w:val="5385265A"/>
    <w:rsid w:val="538BEBB4"/>
    <w:rsid w:val="538FFAE6"/>
    <w:rsid w:val="53978B66"/>
    <w:rsid w:val="539CB9F8"/>
    <w:rsid w:val="53A0020E"/>
    <w:rsid w:val="53AD10D2"/>
    <w:rsid w:val="53B17F98"/>
    <w:rsid w:val="53B71009"/>
    <w:rsid w:val="53C3DC42"/>
    <w:rsid w:val="53D29708"/>
    <w:rsid w:val="53DA9164"/>
    <w:rsid w:val="53E0A019"/>
    <w:rsid w:val="53E213BE"/>
    <w:rsid w:val="53ED532C"/>
    <w:rsid w:val="53EE8A3F"/>
    <w:rsid w:val="5400DD12"/>
    <w:rsid w:val="54297FBA"/>
    <w:rsid w:val="5432CA56"/>
    <w:rsid w:val="5433C811"/>
    <w:rsid w:val="5439211E"/>
    <w:rsid w:val="545B8404"/>
    <w:rsid w:val="545BB005"/>
    <w:rsid w:val="545DDBE4"/>
    <w:rsid w:val="545F307F"/>
    <w:rsid w:val="5473E6DB"/>
    <w:rsid w:val="547F0B84"/>
    <w:rsid w:val="54877CD5"/>
    <w:rsid w:val="548B0A5B"/>
    <w:rsid w:val="548E0952"/>
    <w:rsid w:val="54937175"/>
    <w:rsid w:val="5499E556"/>
    <w:rsid w:val="549F0E04"/>
    <w:rsid w:val="54A19352"/>
    <w:rsid w:val="54A54C5C"/>
    <w:rsid w:val="54A59A7F"/>
    <w:rsid w:val="54A603C9"/>
    <w:rsid w:val="54A7C232"/>
    <w:rsid w:val="54BACE6A"/>
    <w:rsid w:val="54C065D2"/>
    <w:rsid w:val="54C5DDDA"/>
    <w:rsid w:val="54C79E30"/>
    <w:rsid w:val="54C807A8"/>
    <w:rsid w:val="54D2E86F"/>
    <w:rsid w:val="54D54136"/>
    <w:rsid w:val="54DA0AA3"/>
    <w:rsid w:val="54DA5520"/>
    <w:rsid w:val="54DEF1B8"/>
    <w:rsid w:val="54E60C63"/>
    <w:rsid w:val="54E9A524"/>
    <w:rsid w:val="54E9DDC3"/>
    <w:rsid w:val="54EAD7E6"/>
    <w:rsid w:val="54EEBBA4"/>
    <w:rsid w:val="54F16DC4"/>
    <w:rsid w:val="54F26963"/>
    <w:rsid w:val="54F39582"/>
    <w:rsid w:val="5501DEF2"/>
    <w:rsid w:val="5512553C"/>
    <w:rsid w:val="551C4E58"/>
    <w:rsid w:val="551EF128"/>
    <w:rsid w:val="55258586"/>
    <w:rsid w:val="553717A5"/>
    <w:rsid w:val="553F910F"/>
    <w:rsid w:val="553FB5A6"/>
    <w:rsid w:val="55487763"/>
    <w:rsid w:val="554EEDA2"/>
    <w:rsid w:val="5553690F"/>
    <w:rsid w:val="5562E672"/>
    <w:rsid w:val="556A5CB7"/>
    <w:rsid w:val="5587C1F8"/>
    <w:rsid w:val="5588F8DF"/>
    <w:rsid w:val="558B15EA"/>
    <w:rsid w:val="5590A833"/>
    <w:rsid w:val="5590E88B"/>
    <w:rsid w:val="5593DD07"/>
    <w:rsid w:val="5598BD4C"/>
    <w:rsid w:val="559D8A8B"/>
    <w:rsid w:val="55A07870"/>
    <w:rsid w:val="55AB1E9B"/>
    <w:rsid w:val="55B9EB39"/>
    <w:rsid w:val="55CBB24C"/>
    <w:rsid w:val="55D26EEA"/>
    <w:rsid w:val="55DB3814"/>
    <w:rsid w:val="55DF2791"/>
    <w:rsid w:val="55E4EC50"/>
    <w:rsid w:val="55F1AB8D"/>
    <w:rsid w:val="5603E9FF"/>
    <w:rsid w:val="56061BE9"/>
    <w:rsid w:val="5615E27F"/>
    <w:rsid w:val="5627FC17"/>
    <w:rsid w:val="563C7554"/>
    <w:rsid w:val="56402A94"/>
    <w:rsid w:val="5641C006"/>
    <w:rsid w:val="56458224"/>
    <w:rsid w:val="564E5DA6"/>
    <w:rsid w:val="565727B8"/>
    <w:rsid w:val="5663DBA8"/>
    <w:rsid w:val="566A4E66"/>
    <w:rsid w:val="56720860"/>
    <w:rsid w:val="5684EA45"/>
    <w:rsid w:val="568A4B63"/>
    <w:rsid w:val="568DA05D"/>
    <w:rsid w:val="569E5D22"/>
    <w:rsid w:val="56A02105"/>
    <w:rsid w:val="56A83C8D"/>
    <w:rsid w:val="56AD5CDE"/>
    <w:rsid w:val="56ADD886"/>
    <w:rsid w:val="56AFF2A4"/>
    <w:rsid w:val="56BB898C"/>
    <w:rsid w:val="56BE6C98"/>
    <w:rsid w:val="56CD01C5"/>
    <w:rsid w:val="56CE7A9D"/>
    <w:rsid w:val="56CF140A"/>
    <w:rsid w:val="56D4CC93"/>
    <w:rsid w:val="56D58BD9"/>
    <w:rsid w:val="56DA759B"/>
    <w:rsid w:val="56DF04F1"/>
    <w:rsid w:val="56E4C92B"/>
    <w:rsid w:val="56E5A89C"/>
    <w:rsid w:val="56E60B89"/>
    <w:rsid w:val="56EAE87A"/>
    <w:rsid w:val="570160F1"/>
    <w:rsid w:val="5712E6E7"/>
    <w:rsid w:val="572C77DB"/>
    <w:rsid w:val="573B1ADC"/>
    <w:rsid w:val="5747DDD4"/>
    <w:rsid w:val="574D0AA0"/>
    <w:rsid w:val="574D67FD"/>
    <w:rsid w:val="574DCD93"/>
    <w:rsid w:val="57609531"/>
    <w:rsid w:val="576C6438"/>
    <w:rsid w:val="576E72A1"/>
    <w:rsid w:val="57708A3D"/>
    <w:rsid w:val="577DB3EB"/>
    <w:rsid w:val="577E2BFD"/>
    <w:rsid w:val="57808574"/>
    <w:rsid w:val="578366B2"/>
    <w:rsid w:val="578ECCD7"/>
    <w:rsid w:val="579063F4"/>
    <w:rsid w:val="579194A3"/>
    <w:rsid w:val="5791F6B4"/>
    <w:rsid w:val="5792DE7E"/>
    <w:rsid w:val="579D55A6"/>
    <w:rsid w:val="579E4CB6"/>
    <w:rsid w:val="57AAA41B"/>
    <w:rsid w:val="57AE3439"/>
    <w:rsid w:val="57B1F73F"/>
    <w:rsid w:val="57B5B3E6"/>
    <w:rsid w:val="57B94419"/>
    <w:rsid w:val="57B9C565"/>
    <w:rsid w:val="57C2263E"/>
    <w:rsid w:val="57C65775"/>
    <w:rsid w:val="57C83EC6"/>
    <w:rsid w:val="57CF7B3D"/>
    <w:rsid w:val="57D8AC5D"/>
    <w:rsid w:val="57DD8E2E"/>
    <w:rsid w:val="57DE40E4"/>
    <w:rsid w:val="57F66A70"/>
    <w:rsid w:val="57F698FA"/>
    <w:rsid w:val="57FF50EB"/>
    <w:rsid w:val="58029579"/>
    <w:rsid w:val="58056F79"/>
    <w:rsid w:val="58109EDC"/>
    <w:rsid w:val="5810CE03"/>
    <w:rsid w:val="5816CC9A"/>
    <w:rsid w:val="581961AF"/>
    <w:rsid w:val="581EE129"/>
    <w:rsid w:val="58212723"/>
    <w:rsid w:val="582172EC"/>
    <w:rsid w:val="582366CF"/>
    <w:rsid w:val="58285853"/>
    <w:rsid w:val="5829D31A"/>
    <w:rsid w:val="582AF7BE"/>
    <w:rsid w:val="58343594"/>
    <w:rsid w:val="5835BB37"/>
    <w:rsid w:val="5839EE5E"/>
    <w:rsid w:val="584CAC02"/>
    <w:rsid w:val="5858977D"/>
    <w:rsid w:val="586331B3"/>
    <w:rsid w:val="5864ABB9"/>
    <w:rsid w:val="58679BA9"/>
    <w:rsid w:val="586A9259"/>
    <w:rsid w:val="586BB648"/>
    <w:rsid w:val="586D3B7F"/>
    <w:rsid w:val="58747722"/>
    <w:rsid w:val="58865D57"/>
    <w:rsid w:val="589A71F2"/>
    <w:rsid w:val="589ECB5E"/>
    <w:rsid w:val="58A882DE"/>
    <w:rsid w:val="58BE9A00"/>
    <w:rsid w:val="58CA4B3F"/>
    <w:rsid w:val="58CB14C1"/>
    <w:rsid w:val="58CE192A"/>
    <w:rsid w:val="58CED7C8"/>
    <w:rsid w:val="58CF63FF"/>
    <w:rsid w:val="58D8AEB7"/>
    <w:rsid w:val="58DAC3E1"/>
    <w:rsid w:val="58DEA6E9"/>
    <w:rsid w:val="58E1DB67"/>
    <w:rsid w:val="58E45EAE"/>
    <w:rsid w:val="58E9C17D"/>
    <w:rsid w:val="58EB8781"/>
    <w:rsid w:val="58F16CFD"/>
    <w:rsid w:val="58F9584D"/>
    <w:rsid w:val="58FCD9BC"/>
    <w:rsid w:val="590533C3"/>
    <w:rsid w:val="590E1ED1"/>
    <w:rsid w:val="590E289A"/>
    <w:rsid w:val="590FCE57"/>
    <w:rsid w:val="59107A04"/>
    <w:rsid w:val="592312A2"/>
    <w:rsid w:val="59294C4F"/>
    <w:rsid w:val="592A94BF"/>
    <w:rsid w:val="592F2510"/>
    <w:rsid w:val="594CC023"/>
    <w:rsid w:val="5954B123"/>
    <w:rsid w:val="59565D2E"/>
    <w:rsid w:val="595B7A99"/>
    <w:rsid w:val="595C91F3"/>
    <w:rsid w:val="59635E0C"/>
    <w:rsid w:val="597AE142"/>
    <w:rsid w:val="597B123E"/>
    <w:rsid w:val="597E6A5B"/>
    <w:rsid w:val="5981372B"/>
    <w:rsid w:val="59842F91"/>
    <w:rsid w:val="5984782E"/>
    <w:rsid w:val="598B8DD9"/>
    <w:rsid w:val="599002D0"/>
    <w:rsid w:val="599698D7"/>
    <w:rsid w:val="599879CA"/>
    <w:rsid w:val="599925AB"/>
    <w:rsid w:val="599E5A63"/>
    <w:rsid w:val="59A5D2F9"/>
    <w:rsid w:val="59B3AA61"/>
    <w:rsid w:val="59B8CC74"/>
    <w:rsid w:val="59BBC7D3"/>
    <w:rsid w:val="59BCADF5"/>
    <w:rsid w:val="59C22B3B"/>
    <w:rsid w:val="59CECC93"/>
    <w:rsid w:val="59F7FB26"/>
    <w:rsid w:val="5A04DED3"/>
    <w:rsid w:val="5A078D15"/>
    <w:rsid w:val="5A0F0D26"/>
    <w:rsid w:val="5A1254AE"/>
    <w:rsid w:val="5A1647A6"/>
    <w:rsid w:val="5A1809C2"/>
    <w:rsid w:val="5A242ABF"/>
    <w:rsid w:val="5A320D53"/>
    <w:rsid w:val="5A37D716"/>
    <w:rsid w:val="5A5272C2"/>
    <w:rsid w:val="5A5A39CA"/>
    <w:rsid w:val="5A5D0270"/>
    <w:rsid w:val="5A5DB0A3"/>
    <w:rsid w:val="5A5E973C"/>
    <w:rsid w:val="5A65440A"/>
    <w:rsid w:val="5A69CE27"/>
    <w:rsid w:val="5A7019DA"/>
    <w:rsid w:val="5A77D4CD"/>
    <w:rsid w:val="5A78A415"/>
    <w:rsid w:val="5A79A3F1"/>
    <w:rsid w:val="5A7A4B26"/>
    <w:rsid w:val="5A7CCDAD"/>
    <w:rsid w:val="5A7F2B8D"/>
    <w:rsid w:val="5A82FBA5"/>
    <w:rsid w:val="5A85FDC4"/>
    <w:rsid w:val="5A88098C"/>
    <w:rsid w:val="5A975848"/>
    <w:rsid w:val="5A9EAD94"/>
    <w:rsid w:val="5AABC0BE"/>
    <w:rsid w:val="5AAF9CA1"/>
    <w:rsid w:val="5ABC5D75"/>
    <w:rsid w:val="5AC1762E"/>
    <w:rsid w:val="5ACB1FD9"/>
    <w:rsid w:val="5AD420EA"/>
    <w:rsid w:val="5AD64AA4"/>
    <w:rsid w:val="5AD94DEB"/>
    <w:rsid w:val="5ADE6A5B"/>
    <w:rsid w:val="5AE6FDDD"/>
    <w:rsid w:val="5AFCE42B"/>
    <w:rsid w:val="5B01AD91"/>
    <w:rsid w:val="5B01DBCF"/>
    <w:rsid w:val="5B02B2F9"/>
    <w:rsid w:val="5B09EBEB"/>
    <w:rsid w:val="5B0E9334"/>
    <w:rsid w:val="5B11050F"/>
    <w:rsid w:val="5B192472"/>
    <w:rsid w:val="5B19CFDA"/>
    <w:rsid w:val="5B2055F9"/>
    <w:rsid w:val="5B22A327"/>
    <w:rsid w:val="5B2904A7"/>
    <w:rsid w:val="5B362884"/>
    <w:rsid w:val="5B389BF2"/>
    <w:rsid w:val="5B3B1FF4"/>
    <w:rsid w:val="5B423020"/>
    <w:rsid w:val="5B43E031"/>
    <w:rsid w:val="5B49D401"/>
    <w:rsid w:val="5B4EC9B8"/>
    <w:rsid w:val="5B4FEEC3"/>
    <w:rsid w:val="5B54012B"/>
    <w:rsid w:val="5B75C67B"/>
    <w:rsid w:val="5B7888A5"/>
    <w:rsid w:val="5B7BD743"/>
    <w:rsid w:val="5B7F9BBF"/>
    <w:rsid w:val="5B80B925"/>
    <w:rsid w:val="5B863A9C"/>
    <w:rsid w:val="5B8BFD1A"/>
    <w:rsid w:val="5B9992F5"/>
    <w:rsid w:val="5B9A9AB0"/>
    <w:rsid w:val="5BA31C2C"/>
    <w:rsid w:val="5BA69A12"/>
    <w:rsid w:val="5BA84E1C"/>
    <w:rsid w:val="5BAA758A"/>
    <w:rsid w:val="5BB31E39"/>
    <w:rsid w:val="5BC25ECF"/>
    <w:rsid w:val="5BC2BDC0"/>
    <w:rsid w:val="5BC9108F"/>
    <w:rsid w:val="5BCD0280"/>
    <w:rsid w:val="5BCFEB33"/>
    <w:rsid w:val="5BD698CD"/>
    <w:rsid w:val="5BE78D94"/>
    <w:rsid w:val="5BEB0633"/>
    <w:rsid w:val="5BFAC3E0"/>
    <w:rsid w:val="5C03E8D4"/>
    <w:rsid w:val="5C096929"/>
    <w:rsid w:val="5C0B023B"/>
    <w:rsid w:val="5C102A2C"/>
    <w:rsid w:val="5C121EFF"/>
    <w:rsid w:val="5C2936CB"/>
    <w:rsid w:val="5C2A2009"/>
    <w:rsid w:val="5C2B188E"/>
    <w:rsid w:val="5C2BD3E2"/>
    <w:rsid w:val="5C2F7E15"/>
    <w:rsid w:val="5C3461F2"/>
    <w:rsid w:val="5C352AEC"/>
    <w:rsid w:val="5C4B7C59"/>
    <w:rsid w:val="5C593166"/>
    <w:rsid w:val="5C5A0EEA"/>
    <w:rsid w:val="5C63D24B"/>
    <w:rsid w:val="5C65BCDD"/>
    <w:rsid w:val="5C78599E"/>
    <w:rsid w:val="5C7EF5B2"/>
    <w:rsid w:val="5C8308BC"/>
    <w:rsid w:val="5C90F78C"/>
    <w:rsid w:val="5C92224C"/>
    <w:rsid w:val="5C93DD30"/>
    <w:rsid w:val="5C9B8B15"/>
    <w:rsid w:val="5C9E835A"/>
    <w:rsid w:val="5CAF0508"/>
    <w:rsid w:val="5CB621FA"/>
    <w:rsid w:val="5CBD6485"/>
    <w:rsid w:val="5CC04979"/>
    <w:rsid w:val="5CC1DD3D"/>
    <w:rsid w:val="5CC38ABD"/>
    <w:rsid w:val="5CC5141B"/>
    <w:rsid w:val="5CD16ABB"/>
    <w:rsid w:val="5CD2B05C"/>
    <w:rsid w:val="5CD79817"/>
    <w:rsid w:val="5CD9E7C6"/>
    <w:rsid w:val="5CDE5CAB"/>
    <w:rsid w:val="5CE3E64A"/>
    <w:rsid w:val="5CE9995D"/>
    <w:rsid w:val="5CEB119D"/>
    <w:rsid w:val="5CEE1954"/>
    <w:rsid w:val="5CF185B5"/>
    <w:rsid w:val="5CFF8134"/>
    <w:rsid w:val="5D017FC1"/>
    <w:rsid w:val="5D019DB8"/>
    <w:rsid w:val="5D06DFBF"/>
    <w:rsid w:val="5D0C49AF"/>
    <w:rsid w:val="5D14DBBD"/>
    <w:rsid w:val="5D1C19C1"/>
    <w:rsid w:val="5D2A848A"/>
    <w:rsid w:val="5D3A1D39"/>
    <w:rsid w:val="5D3DBD39"/>
    <w:rsid w:val="5D4067EB"/>
    <w:rsid w:val="5D43E44A"/>
    <w:rsid w:val="5D5AF1EC"/>
    <w:rsid w:val="5D69F620"/>
    <w:rsid w:val="5D745F6A"/>
    <w:rsid w:val="5D748288"/>
    <w:rsid w:val="5D7BDDA3"/>
    <w:rsid w:val="5D84E398"/>
    <w:rsid w:val="5D91567E"/>
    <w:rsid w:val="5D9347F5"/>
    <w:rsid w:val="5D94D50D"/>
    <w:rsid w:val="5DA5D642"/>
    <w:rsid w:val="5DAA5C60"/>
    <w:rsid w:val="5DB4E0E6"/>
    <w:rsid w:val="5DC2185D"/>
    <w:rsid w:val="5DC43165"/>
    <w:rsid w:val="5DC925B7"/>
    <w:rsid w:val="5DD086CC"/>
    <w:rsid w:val="5DD74022"/>
    <w:rsid w:val="5DD8EF4B"/>
    <w:rsid w:val="5DDB4679"/>
    <w:rsid w:val="5DDDFF23"/>
    <w:rsid w:val="5DE21215"/>
    <w:rsid w:val="5DE7CFFF"/>
    <w:rsid w:val="5DF61E76"/>
    <w:rsid w:val="5DFC31F0"/>
    <w:rsid w:val="5DFCD0CF"/>
    <w:rsid w:val="5E07E594"/>
    <w:rsid w:val="5E0B4932"/>
    <w:rsid w:val="5E0C422F"/>
    <w:rsid w:val="5E0CB519"/>
    <w:rsid w:val="5E1885BA"/>
    <w:rsid w:val="5E26CB3E"/>
    <w:rsid w:val="5E32F0CA"/>
    <w:rsid w:val="5E3484ED"/>
    <w:rsid w:val="5E37C937"/>
    <w:rsid w:val="5E38892F"/>
    <w:rsid w:val="5E3B4888"/>
    <w:rsid w:val="5E3E1B28"/>
    <w:rsid w:val="5E5072DF"/>
    <w:rsid w:val="5E526525"/>
    <w:rsid w:val="5E5BB0B7"/>
    <w:rsid w:val="5E6410D6"/>
    <w:rsid w:val="5E64D3A5"/>
    <w:rsid w:val="5E650055"/>
    <w:rsid w:val="5E673953"/>
    <w:rsid w:val="5E6D6BB7"/>
    <w:rsid w:val="5E740420"/>
    <w:rsid w:val="5E905705"/>
    <w:rsid w:val="5E920A8D"/>
    <w:rsid w:val="5E9F73D3"/>
    <w:rsid w:val="5EA19EBF"/>
    <w:rsid w:val="5EA36E4B"/>
    <w:rsid w:val="5EAD4289"/>
    <w:rsid w:val="5EB37805"/>
    <w:rsid w:val="5EBADD8D"/>
    <w:rsid w:val="5EBBDB8B"/>
    <w:rsid w:val="5EC6376F"/>
    <w:rsid w:val="5ED07BED"/>
    <w:rsid w:val="5ED4DFB7"/>
    <w:rsid w:val="5EDB47A0"/>
    <w:rsid w:val="5EF90083"/>
    <w:rsid w:val="5EFF6A3A"/>
    <w:rsid w:val="5EFFD993"/>
    <w:rsid w:val="5F01BA3E"/>
    <w:rsid w:val="5F021457"/>
    <w:rsid w:val="5F133B75"/>
    <w:rsid w:val="5F2E16AE"/>
    <w:rsid w:val="5F30A3CE"/>
    <w:rsid w:val="5F321087"/>
    <w:rsid w:val="5F323C8F"/>
    <w:rsid w:val="5F3FB5A3"/>
    <w:rsid w:val="5F42D46A"/>
    <w:rsid w:val="5F61A1C7"/>
    <w:rsid w:val="5F6596AF"/>
    <w:rsid w:val="5F6C8A81"/>
    <w:rsid w:val="5F721C72"/>
    <w:rsid w:val="5F722668"/>
    <w:rsid w:val="5F7D76BA"/>
    <w:rsid w:val="5F859308"/>
    <w:rsid w:val="5F85D5C6"/>
    <w:rsid w:val="5F89AA2F"/>
    <w:rsid w:val="5F8D0E9C"/>
    <w:rsid w:val="5F8DEE84"/>
    <w:rsid w:val="5F941F9E"/>
    <w:rsid w:val="5F9A9EDC"/>
    <w:rsid w:val="5F9C3F24"/>
    <w:rsid w:val="5FA2EB74"/>
    <w:rsid w:val="5FB0DCC3"/>
    <w:rsid w:val="5FB415B6"/>
    <w:rsid w:val="5FBC964B"/>
    <w:rsid w:val="5FBE3AE5"/>
    <w:rsid w:val="5FC18757"/>
    <w:rsid w:val="5FCAAD62"/>
    <w:rsid w:val="5FD498B1"/>
    <w:rsid w:val="5FD5B2C1"/>
    <w:rsid w:val="5FE334CD"/>
    <w:rsid w:val="5FE3F83D"/>
    <w:rsid w:val="5FEEE518"/>
    <w:rsid w:val="5FF23D82"/>
    <w:rsid w:val="5FF3B7FD"/>
    <w:rsid w:val="600E27CA"/>
    <w:rsid w:val="6014DBFC"/>
    <w:rsid w:val="6025BA16"/>
    <w:rsid w:val="602FB130"/>
    <w:rsid w:val="60461B43"/>
    <w:rsid w:val="604D75FA"/>
    <w:rsid w:val="605059B8"/>
    <w:rsid w:val="6062EC02"/>
    <w:rsid w:val="606867B1"/>
    <w:rsid w:val="606DBD5B"/>
    <w:rsid w:val="60743EFB"/>
    <w:rsid w:val="607E96F0"/>
    <w:rsid w:val="607F2DE2"/>
    <w:rsid w:val="6080FB60"/>
    <w:rsid w:val="6092147D"/>
    <w:rsid w:val="609321BE"/>
    <w:rsid w:val="6096F286"/>
    <w:rsid w:val="609A2BE9"/>
    <w:rsid w:val="609B1E05"/>
    <w:rsid w:val="609CEBDC"/>
    <w:rsid w:val="609D8B9D"/>
    <w:rsid w:val="60ABF858"/>
    <w:rsid w:val="60AE20FE"/>
    <w:rsid w:val="60B6D89C"/>
    <w:rsid w:val="60B844D7"/>
    <w:rsid w:val="60BCA3E5"/>
    <w:rsid w:val="60BFCF9F"/>
    <w:rsid w:val="60C30A88"/>
    <w:rsid w:val="60C4C893"/>
    <w:rsid w:val="60C83B95"/>
    <w:rsid w:val="60C886B7"/>
    <w:rsid w:val="60CCE7EF"/>
    <w:rsid w:val="60D2936D"/>
    <w:rsid w:val="60D2DB0C"/>
    <w:rsid w:val="60E43BA2"/>
    <w:rsid w:val="60E917BA"/>
    <w:rsid w:val="60EE50F1"/>
    <w:rsid w:val="60F12EC4"/>
    <w:rsid w:val="60F53F48"/>
    <w:rsid w:val="60FA7BF9"/>
    <w:rsid w:val="6104B9EE"/>
    <w:rsid w:val="610CB4DA"/>
    <w:rsid w:val="611B89C7"/>
    <w:rsid w:val="611D176A"/>
    <w:rsid w:val="611FD0E3"/>
    <w:rsid w:val="612D1D77"/>
    <w:rsid w:val="612F12CE"/>
    <w:rsid w:val="613AF031"/>
    <w:rsid w:val="613CB302"/>
    <w:rsid w:val="613EF787"/>
    <w:rsid w:val="6142D4C5"/>
    <w:rsid w:val="6142FBDD"/>
    <w:rsid w:val="614F3D6C"/>
    <w:rsid w:val="615434BF"/>
    <w:rsid w:val="615D13EE"/>
    <w:rsid w:val="616099DD"/>
    <w:rsid w:val="61625716"/>
    <w:rsid w:val="616C4331"/>
    <w:rsid w:val="617BE995"/>
    <w:rsid w:val="617C91A1"/>
    <w:rsid w:val="617CD89E"/>
    <w:rsid w:val="617D84F3"/>
    <w:rsid w:val="6183920F"/>
    <w:rsid w:val="61873CD2"/>
    <w:rsid w:val="6193C414"/>
    <w:rsid w:val="619771E9"/>
    <w:rsid w:val="61BA21EE"/>
    <w:rsid w:val="61BC7BDC"/>
    <w:rsid w:val="61C68BFC"/>
    <w:rsid w:val="61CAABFA"/>
    <w:rsid w:val="61D067D8"/>
    <w:rsid w:val="61D40222"/>
    <w:rsid w:val="61E87BB2"/>
    <w:rsid w:val="61F893E5"/>
    <w:rsid w:val="61FED2F7"/>
    <w:rsid w:val="62046568"/>
    <w:rsid w:val="620F24C4"/>
    <w:rsid w:val="621398F0"/>
    <w:rsid w:val="621B6650"/>
    <w:rsid w:val="62208A91"/>
    <w:rsid w:val="62209621"/>
    <w:rsid w:val="62233AF0"/>
    <w:rsid w:val="622B395D"/>
    <w:rsid w:val="6231A053"/>
    <w:rsid w:val="623780A0"/>
    <w:rsid w:val="62383837"/>
    <w:rsid w:val="62473FA3"/>
    <w:rsid w:val="624AEC1E"/>
    <w:rsid w:val="625AB526"/>
    <w:rsid w:val="626D56FB"/>
    <w:rsid w:val="6288C982"/>
    <w:rsid w:val="6294462E"/>
    <w:rsid w:val="6299C353"/>
    <w:rsid w:val="629BD8BA"/>
    <w:rsid w:val="62A352DF"/>
    <w:rsid w:val="62CE8F25"/>
    <w:rsid w:val="62D17BAD"/>
    <w:rsid w:val="62D4A80B"/>
    <w:rsid w:val="62D673A8"/>
    <w:rsid w:val="62D87538"/>
    <w:rsid w:val="62E02047"/>
    <w:rsid w:val="62E17850"/>
    <w:rsid w:val="62E2C1E0"/>
    <w:rsid w:val="62E4DD40"/>
    <w:rsid w:val="62FCC60A"/>
    <w:rsid w:val="62FED9D3"/>
    <w:rsid w:val="631BAE62"/>
    <w:rsid w:val="6321A781"/>
    <w:rsid w:val="632685DA"/>
    <w:rsid w:val="632F4890"/>
    <w:rsid w:val="63347C77"/>
    <w:rsid w:val="633D8A53"/>
    <w:rsid w:val="63485FBF"/>
    <w:rsid w:val="6352D409"/>
    <w:rsid w:val="6352FFF4"/>
    <w:rsid w:val="63634E27"/>
    <w:rsid w:val="6366E8B6"/>
    <w:rsid w:val="637233F4"/>
    <w:rsid w:val="637E7275"/>
    <w:rsid w:val="638758DA"/>
    <w:rsid w:val="6389E3BB"/>
    <w:rsid w:val="6394B41B"/>
    <w:rsid w:val="639C24B9"/>
    <w:rsid w:val="63B8DF32"/>
    <w:rsid w:val="63B98CD5"/>
    <w:rsid w:val="63BCB4B2"/>
    <w:rsid w:val="63C21BEA"/>
    <w:rsid w:val="63CCA8CB"/>
    <w:rsid w:val="63D0361C"/>
    <w:rsid w:val="63D808D2"/>
    <w:rsid w:val="63D81465"/>
    <w:rsid w:val="63D9A6D0"/>
    <w:rsid w:val="63E1FA5D"/>
    <w:rsid w:val="63ED6425"/>
    <w:rsid w:val="63F29492"/>
    <w:rsid w:val="63F814E8"/>
    <w:rsid w:val="63FC667A"/>
    <w:rsid w:val="6400290D"/>
    <w:rsid w:val="64019BB1"/>
    <w:rsid w:val="64043DFE"/>
    <w:rsid w:val="64071860"/>
    <w:rsid w:val="64082B93"/>
    <w:rsid w:val="641138B3"/>
    <w:rsid w:val="64115AFE"/>
    <w:rsid w:val="641B05EE"/>
    <w:rsid w:val="641C9E28"/>
    <w:rsid w:val="641D9A47"/>
    <w:rsid w:val="641E9761"/>
    <w:rsid w:val="641EF712"/>
    <w:rsid w:val="642CDEE0"/>
    <w:rsid w:val="642E3F06"/>
    <w:rsid w:val="643372E9"/>
    <w:rsid w:val="64362CD6"/>
    <w:rsid w:val="6438A73B"/>
    <w:rsid w:val="643A8BE2"/>
    <w:rsid w:val="643FA840"/>
    <w:rsid w:val="6452261B"/>
    <w:rsid w:val="645B40A0"/>
    <w:rsid w:val="6465C227"/>
    <w:rsid w:val="64759B3B"/>
    <w:rsid w:val="648165F3"/>
    <w:rsid w:val="6481EAAE"/>
    <w:rsid w:val="648273B0"/>
    <w:rsid w:val="6487901F"/>
    <w:rsid w:val="64895594"/>
    <w:rsid w:val="648CB61F"/>
    <w:rsid w:val="64981E4E"/>
    <w:rsid w:val="649F891F"/>
    <w:rsid w:val="64A194E5"/>
    <w:rsid w:val="64A92F70"/>
    <w:rsid w:val="64AB682B"/>
    <w:rsid w:val="64B0DEAB"/>
    <w:rsid w:val="64B0EF8A"/>
    <w:rsid w:val="64B38A57"/>
    <w:rsid w:val="64B46AC1"/>
    <w:rsid w:val="64B6B2C2"/>
    <w:rsid w:val="64BBB1ED"/>
    <w:rsid w:val="64BDAE65"/>
    <w:rsid w:val="64CD43F9"/>
    <w:rsid w:val="64D5C8E6"/>
    <w:rsid w:val="64DB1060"/>
    <w:rsid w:val="64DB3682"/>
    <w:rsid w:val="64E7FF73"/>
    <w:rsid w:val="64ED28AB"/>
    <w:rsid w:val="64F168B6"/>
    <w:rsid w:val="64F75256"/>
    <w:rsid w:val="65014C11"/>
    <w:rsid w:val="650A0588"/>
    <w:rsid w:val="6520DA2E"/>
    <w:rsid w:val="652D1666"/>
    <w:rsid w:val="652F1484"/>
    <w:rsid w:val="6538FEF3"/>
    <w:rsid w:val="653EA01E"/>
    <w:rsid w:val="65467609"/>
    <w:rsid w:val="654BD3DF"/>
    <w:rsid w:val="6556A8FB"/>
    <w:rsid w:val="655B86D8"/>
    <w:rsid w:val="655DB4AE"/>
    <w:rsid w:val="65640B3B"/>
    <w:rsid w:val="656981D2"/>
    <w:rsid w:val="6572512F"/>
    <w:rsid w:val="65764F65"/>
    <w:rsid w:val="6576D573"/>
    <w:rsid w:val="657D7447"/>
    <w:rsid w:val="65829EDF"/>
    <w:rsid w:val="6587AA36"/>
    <w:rsid w:val="658BB5FA"/>
    <w:rsid w:val="658C8BA4"/>
    <w:rsid w:val="658D0676"/>
    <w:rsid w:val="658F9020"/>
    <w:rsid w:val="65950443"/>
    <w:rsid w:val="65999F67"/>
    <w:rsid w:val="659DEFD9"/>
    <w:rsid w:val="65A49964"/>
    <w:rsid w:val="65A68DE5"/>
    <w:rsid w:val="65B28BF7"/>
    <w:rsid w:val="65B2D13D"/>
    <w:rsid w:val="65B3855A"/>
    <w:rsid w:val="65B760D3"/>
    <w:rsid w:val="65B80593"/>
    <w:rsid w:val="65BCFE3F"/>
    <w:rsid w:val="65C59CCC"/>
    <w:rsid w:val="65C63171"/>
    <w:rsid w:val="65E7F680"/>
    <w:rsid w:val="65EA4E9E"/>
    <w:rsid w:val="65ECC98C"/>
    <w:rsid w:val="66050B11"/>
    <w:rsid w:val="660A2AEC"/>
    <w:rsid w:val="66142C8C"/>
    <w:rsid w:val="6616B9A3"/>
    <w:rsid w:val="6616CB3E"/>
    <w:rsid w:val="661B7124"/>
    <w:rsid w:val="66200C81"/>
    <w:rsid w:val="662331FE"/>
    <w:rsid w:val="66278B63"/>
    <w:rsid w:val="662860A7"/>
    <w:rsid w:val="662BA9D8"/>
    <w:rsid w:val="662C787F"/>
    <w:rsid w:val="66328256"/>
    <w:rsid w:val="664AF93F"/>
    <w:rsid w:val="664CF276"/>
    <w:rsid w:val="6666C29C"/>
    <w:rsid w:val="666777F6"/>
    <w:rsid w:val="66680E1F"/>
    <w:rsid w:val="66762E14"/>
    <w:rsid w:val="66795235"/>
    <w:rsid w:val="667F808F"/>
    <w:rsid w:val="668A5CBB"/>
    <w:rsid w:val="668BB530"/>
    <w:rsid w:val="669F3FA7"/>
    <w:rsid w:val="66AB26D7"/>
    <w:rsid w:val="66ABE2A1"/>
    <w:rsid w:val="66B247DE"/>
    <w:rsid w:val="66B525B9"/>
    <w:rsid w:val="66B61C32"/>
    <w:rsid w:val="66B7135F"/>
    <w:rsid w:val="66BC3D63"/>
    <w:rsid w:val="66BE21A6"/>
    <w:rsid w:val="66C5B81D"/>
    <w:rsid w:val="66CCB353"/>
    <w:rsid w:val="66CCFD48"/>
    <w:rsid w:val="66CF36D8"/>
    <w:rsid w:val="66D4AD6C"/>
    <w:rsid w:val="66DB4EA2"/>
    <w:rsid w:val="66DB7B20"/>
    <w:rsid w:val="66DDB7ED"/>
    <w:rsid w:val="66E1172E"/>
    <w:rsid w:val="66E1B633"/>
    <w:rsid w:val="66E2BDDD"/>
    <w:rsid w:val="66EB9AE8"/>
    <w:rsid w:val="66ECEAE8"/>
    <w:rsid w:val="66FF3AB4"/>
    <w:rsid w:val="67073BB9"/>
    <w:rsid w:val="670AE75D"/>
    <w:rsid w:val="6718A97C"/>
    <w:rsid w:val="6718BA77"/>
    <w:rsid w:val="67200D9B"/>
    <w:rsid w:val="6722B3AB"/>
    <w:rsid w:val="6729A815"/>
    <w:rsid w:val="672BA170"/>
    <w:rsid w:val="672C8233"/>
    <w:rsid w:val="672DDAEF"/>
    <w:rsid w:val="67307D63"/>
    <w:rsid w:val="67333157"/>
    <w:rsid w:val="67387BA3"/>
    <w:rsid w:val="673EA97B"/>
    <w:rsid w:val="6741BD70"/>
    <w:rsid w:val="6745F2B5"/>
    <w:rsid w:val="674A50BF"/>
    <w:rsid w:val="674EBAD7"/>
    <w:rsid w:val="6750B502"/>
    <w:rsid w:val="675665D9"/>
    <w:rsid w:val="67607C06"/>
    <w:rsid w:val="6761C469"/>
    <w:rsid w:val="6771F49A"/>
    <w:rsid w:val="677747F0"/>
    <w:rsid w:val="6778CB02"/>
    <w:rsid w:val="677EF824"/>
    <w:rsid w:val="67819709"/>
    <w:rsid w:val="678DDD87"/>
    <w:rsid w:val="6790B1AA"/>
    <w:rsid w:val="679B0CD0"/>
    <w:rsid w:val="67A0DB72"/>
    <w:rsid w:val="67A8499E"/>
    <w:rsid w:val="67A899D1"/>
    <w:rsid w:val="67A9C47E"/>
    <w:rsid w:val="67B19F80"/>
    <w:rsid w:val="67B2D5C8"/>
    <w:rsid w:val="67CA55B5"/>
    <w:rsid w:val="67CC3A39"/>
    <w:rsid w:val="67D1DF87"/>
    <w:rsid w:val="67D9AB36"/>
    <w:rsid w:val="67E364BA"/>
    <w:rsid w:val="67E3782B"/>
    <w:rsid w:val="67F49F6B"/>
    <w:rsid w:val="680955B3"/>
    <w:rsid w:val="680C205E"/>
    <w:rsid w:val="680EB4C9"/>
    <w:rsid w:val="6823DC55"/>
    <w:rsid w:val="682BEB7E"/>
    <w:rsid w:val="682D237A"/>
    <w:rsid w:val="682E29FD"/>
    <w:rsid w:val="682F6C55"/>
    <w:rsid w:val="682F738E"/>
    <w:rsid w:val="683A124B"/>
    <w:rsid w:val="68411AD9"/>
    <w:rsid w:val="684595ED"/>
    <w:rsid w:val="68489140"/>
    <w:rsid w:val="684A6971"/>
    <w:rsid w:val="684DCD03"/>
    <w:rsid w:val="685698F7"/>
    <w:rsid w:val="685DAB0C"/>
    <w:rsid w:val="685F47C8"/>
    <w:rsid w:val="68618040"/>
    <w:rsid w:val="6866CDC1"/>
    <w:rsid w:val="686B0739"/>
    <w:rsid w:val="686BA197"/>
    <w:rsid w:val="686C13F8"/>
    <w:rsid w:val="686F69C1"/>
    <w:rsid w:val="6873C6DA"/>
    <w:rsid w:val="68775AD7"/>
    <w:rsid w:val="6878D120"/>
    <w:rsid w:val="68842F96"/>
    <w:rsid w:val="688BE374"/>
    <w:rsid w:val="688E079C"/>
    <w:rsid w:val="688FC643"/>
    <w:rsid w:val="68950EEF"/>
    <w:rsid w:val="68A9A48F"/>
    <w:rsid w:val="68AA1645"/>
    <w:rsid w:val="68AA74FD"/>
    <w:rsid w:val="68B8574C"/>
    <w:rsid w:val="68BFEB9F"/>
    <w:rsid w:val="68CC1D68"/>
    <w:rsid w:val="68CF619D"/>
    <w:rsid w:val="68D2A349"/>
    <w:rsid w:val="68DC987F"/>
    <w:rsid w:val="68E58FA6"/>
    <w:rsid w:val="68EE3CFC"/>
    <w:rsid w:val="68EEA9E2"/>
    <w:rsid w:val="68EF8EB6"/>
    <w:rsid w:val="68F3EE14"/>
    <w:rsid w:val="68FFB68B"/>
    <w:rsid w:val="690BED3D"/>
    <w:rsid w:val="69207BAD"/>
    <w:rsid w:val="6926010A"/>
    <w:rsid w:val="6929178F"/>
    <w:rsid w:val="6937218B"/>
    <w:rsid w:val="693CF8EC"/>
    <w:rsid w:val="694FE35F"/>
    <w:rsid w:val="6950B658"/>
    <w:rsid w:val="69511D88"/>
    <w:rsid w:val="6958ABEC"/>
    <w:rsid w:val="695AF658"/>
    <w:rsid w:val="696DD83B"/>
    <w:rsid w:val="6986D884"/>
    <w:rsid w:val="698C4107"/>
    <w:rsid w:val="698FAFAF"/>
    <w:rsid w:val="6993DBA3"/>
    <w:rsid w:val="6999BBE3"/>
    <w:rsid w:val="69A014D7"/>
    <w:rsid w:val="69AC94B8"/>
    <w:rsid w:val="69B1A1B1"/>
    <w:rsid w:val="69B708DC"/>
    <w:rsid w:val="69C02A92"/>
    <w:rsid w:val="69C701F2"/>
    <w:rsid w:val="69CC521B"/>
    <w:rsid w:val="69CC543F"/>
    <w:rsid w:val="69D36E1A"/>
    <w:rsid w:val="69DE3036"/>
    <w:rsid w:val="69E5E4B9"/>
    <w:rsid w:val="69EC509D"/>
    <w:rsid w:val="69EC5D53"/>
    <w:rsid w:val="69F02F5B"/>
    <w:rsid w:val="69F6E668"/>
    <w:rsid w:val="69F73BFE"/>
    <w:rsid w:val="69FC5FFA"/>
    <w:rsid w:val="6A0AC2EA"/>
    <w:rsid w:val="6A0CF80A"/>
    <w:rsid w:val="6A1678FE"/>
    <w:rsid w:val="6A1E2364"/>
    <w:rsid w:val="6A250829"/>
    <w:rsid w:val="6A25AE58"/>
    <w:rsid w:val="6A38828F"/>
    <w:rsid w:val="6A4269AF"/>
    <w:rsid w:val="6A5084D8"/>
    <w:rsid w:val="6A6194F8"/>
    <w:rsid w:val="6A6B53CD"/>
    <w:rsid w:val="6A6CBE57"/>
    <w:rsid w:val="6A6D605A"/>
    <w:rsid w:val="6A86062D"/>
    <w:rsid w:val="6AA6889F"/>
    <w:rsid w:val="6AA778D4"/>
    <w:rsid w:val="6AA935E3"/>
    <w:rsid w:val="6AAA79E4"/>
    <w:rsid w:val="6AAF8851"/>
    <w:rsid w:val="6ABC30DF"/>
    <w:rsid w:val="6AC26C0D"/>
    <w:rsid w:val="6AC8C91F"/>
    <w:rsid w:val="6ACFD6B8"/>
    <w:rsid w:val="6AD80470"/>
    <w:rsid w:val="6AE61111"/>
    <w:rsid w:val="6AE7C261"/>
    <w:rsid w:val="6AEC2E4D"/>
    <w:rsid w:val="6AFCCF77"/>
    <w:rsid w:val="6AFFEDCA"/>
    <w:rsid w:val="6B01F677"/>
    <w:rsid w:val="6B0D0544"/>
    <w:rsid w:val="6B0E61F4"/>
    <w:rsid w:val="6B1B1BA7"/>
    <w:rsid w:val="6B2C0388"/>
    <w:rsid w:val="6B2DC579"/>
    <w:rsid w:val="6B2EBB5F"/>
    <w:rsid w:val="6B3189BF"/>
    <w:rsid w:val="6B3B8091"/>
    <w:rsid w:val="6B439FED"/>
    <w:rsid w:val="6B46C5E2"/>
    <w:rsid w:val="6B484D61"/>
    <w:rsid w:val="6B4B4F0F"/>
    <w:rsid w:val="6B54D7B6"/>
    <w:rsid w:val="6B6B16F4"/>
    <w:rsid w:val="6B6F2B6A"/>
    <w:rsid w:val="6B72C87F"/>
    <w:rsid w:val="6B817A11"/>
    <w:rsid w:val="6B8772DD"/>
    <w:rsid w:val="6B8B53AF"/>
    <w:rsid w:val="6B938046"/>
    <w:rsid w:val="6B9B2D20"/>
    <w:rsid w:val="6BA6220E"/>
    <w:rsid w:val="6BA96C59"/>
    <w:rsid w:val="6BAE7B22"/>
    <w:rsid w:val="6BB00EE7"/>
    <w:rsid w:val="6BB25C5C"/>
    <w:rsid w:val="6BBC2B57"/>
    <w:rsid w:val="6BBC8184"/>
    <w:rsid w:val="6BC16EC6"/>
    <w:rsid w:val="6BDD3D93"/>
    <w:rsid w:val="6BDDC764"/>
    <w:rsid w:val="6BE86013"/>
    <w:rsid w:val="6BEB4CFC"/>
    <w:rsid w:val="6BEFCA43"/>
    <w:rsid w:val="6BF04869"/>
    <w:rsid w:val="6BF6CA62"/>
    <w:rsid w:val="6BFAF77E"/>
    <w:rsid w:val="6C027A4B"/>
    <w:rsid w:val="6C0412A3"/>
    <w:rsid w:val="6C084583"/>
    <w:rsid w:val="6C10D7EA"/>
    <w:rsid w:val="6C19A7F7"/>
    <w:rsid w:val="6C2EF1C8"/>
    <w:rsid w:val="6C374D38"/>
    <w:rsid w:val="6C3EFB5A"/>
    <w:rsid w:val="6C425900"/>
    <w:rsid w:val="6C4E8CE4"/>
    <w:rsid w:val="6C54C727"/>
    <w:rsid w:val="6C559CC6"/>
    <w:rsid w:val="6C572CD1"/>
    <w:rsid w:val="6C58A942"/>
    <w:rsid w:val="6C6987DE"/>
    <w:rsid w:val="6C75F548"/>
    <w:rsid w:val="6C7FEF97"/>
    <w:rsid w:val="6C806D42"/>
    <w:rsid w:val="6C8D6C2F"/>
    <w:rsid w:val="6C8F0B04"/>
    <w:rsid w:val="6C9BB3C8"/>
    <w:rsid w:val="6C9FB58A"/>
    <w:rsid w:val="6CA1F776"/>
    <w:rsid w:val="6CA2F98C"/>
    <w:rsid w:val="6CA75ADC"/>
    <w:rsid w:val="6CCA3F10"/>
    <w:rsid w:val="6CCB2EC4"/>
    <w:rsid w:val="6CCDA933"/>
    <w:rsid w:val="6CD26149"/>
    <w:rsid w:val="6CD59214"/>
    <w:rsid w:val="6CE1D5B5"/>
    <w:rsid w:val="6CE3F616"/>
    <w:rsid w:val="6CEAF1FC"/>
    <w:rsid w:val="6CFD0662"/>
    <w:rsid w:val="6D0D0A43"/>
    <w:rsid w:val="6D159BDD"/>
    <w:rsid w:val="6D1FCAF6"/>
    <w:rsid w:val="6D22921D"/>
    <w:rsid w:val="6D3038EC"/>
    <w:rsid w:val="6D310F15"/>
    <w:rsid w:val="6D36398C"/>
    <w:rsid w:val="6D3D59B8"/>
    <w:rsid w:val="6D4549F0"/>
    <w:rsid w:val="6D49E8C5"/>
    <w:rsid w:val="6D52B39F"/>
    <w:rsid w:val="6D55F4C3"/>
    <w:rsid w:val="6D5DAF78"/>
    <w:rsid w:val="6D61F2E0"/>
    <w:rsid w:val="6D632C76"/>
    <w:rsid w:val="6D85F399"/>
    <w:rsid w:val="6D8BC50D"/>
    <w:rsid w:val="6D8F559A"/>
    <w:rsid w:val="6D960631"/>
    <w:rsid w:val="6D9B718E"/>
    <w:rsid w:val="6D9CB4A2"/>
    <w:rsid w:val="6DA8E83A"/>
    <w:rsid w:val="6DADC29E"/>
    <w:rsid w:val="6DB202C2"/>
    <w:rsid w:val="6DB7A0FC"/>
    <w:rsid w:val="6DB8E744"/>
    <w:rsid w:val="6DBE9DB5"/>
    <w:rsid w:val="6DC01EE4"/>
    <w:rsid w:val="6DC21B05"/>
    <w:rsid w:val="6DC2BEAA"/>
    <w:rsid w:val="6DC7DE2D"/>
    <w:rsid w:val="6DCA499C"/>
    <w:rsid w:val="6DD22B8F"/>
    <w:rsid w:val="6DD6ADC4"/>
    <w:rsid w:val="6DE019F0"/>
    <w:rsid w:val="6DF3FA00"/>
    <w:rsid w:val="6DFDD194"/>
    <w:rsid w:val="6E00A4CF"/>
    <w:rsid w:val="6E020DAD"/>
    <w:rsid w:val="6E1B360A"/>
    <w:rsid w:val="6E1C0287"/>
    <w:rsid w:val="6E1E6FEE"/>
    <w:rsid w:val="6E2BBDCF"/>
    <w:rsid w:val="6E33D966"/>
    <w:rsid w:val="6E34CE32"/>
    <w:rsid w:val="6E3B8D5C"/>
    <w:rsid w:val="6E3E6671"/>
    <w:rsid w:val="6E3F9F93"/>
    <w:rsid w:val="6E4061F6"/>
    <w:rsid w:val="6E4648AA"/>
    <w:rsid w:val="6E6E83B7"/>
    <w:rsid w:val="6E7127C6"/>
    <w:rsid w:val="6E7840BF"/>
    <w:rsid w:val="6E7878B9"/>
    <w:rsid w:val="6E7EA285"/>
    <w:rsid w:val="6E840AB5"/>
    <w:rsid w:val="6E8CB596"/>
    <w:rsid w:val="6E90BE47"/>
    <w:rsid w:val="6E92EEA3"/>
    <w:rsid w:val="6E97B5D4"/>
    <w:rsid w:val="6E9C6954"/>
    <w:rsid w:val="6EA14B3D"/>
    <w:rsid w:val="6ED0E951"/>
    <w:rsid w:val="6EDD102A"/>
    <w:rsid w:val="6EDD5183"/>
    <w:rsid w:val="6EE8E962"/>
    <w:rsid w:val="6EEDEDB3"/>
    <w:rsid w:val="6EEE9738"/>
    <w:rsid w:val="6EF81C09"/>
    <w:rsid w:val="6F07D1AB"/>
    <w:rsid w:val="6F0B8473"/>
    <w:rsid w:val="6F227F63"/>
    <w:rsid w:val="6F232946"/>
    <w:rsid w:val="6F379418"/>
    <w:rsid w:val="6F40B845"/>
    <w:rsid w:val="6F473518"/>
    <w:rsid w:val="6F481A92"/>
    <w:rsid w:val="6F4E94D9"/>
    <w:rsid w:val="6F5A5E53"/>
    <w:rsid w:val="6F5E8F0B"/>
    <w:rsid w:val="6F652568"/>
    <w:rsid w:val="6F720052"/>
    <w:rsid w:val="6F7834CE"/>
    <w:rsid w:val="6F7878A8"/>
    <w:rsid w:val="6F7BFC41"/>
    <w:rsid w:val="6F7C92BE"/>
    <w:rsid w:val="6F8259D5"/>
    <w:rsid w:val="6F837A1E"/>
    <w:rsid w:val="6F9037FB"/>
    <w:rsid w:val="6F92B933"/>
    <w:rsid w:val="6F9D8EC5"/>
    <w:rsid w:val="6FA6B0BB"/>
    <w:rsid w:val="6FAD294B"/>
    <w:rsid w:val="6FB7066B"/>
    <w:rsid w:val="6FCF4120"/>
    <w:rsid w:val="6FE97088"/>
    <w:rsid w:val="6FFF0DA7"/>
    <w:rsid w:val="70060076"/>
    <w:rsid w:val="7006AA12"/>
    <w:rsid w:val="70085B57"/>
    <w:rsid w:val="700C7BD4"/>
    <w:rsid w:val="70160EFF"/>
    <w:rsid w:val="7017CFC6"/>
    <w:rsid w:val="701928C2"/>
    <w:rsid w:val="70232A36"/>
    <w:rsid w:val="703983B0"/>
    <w:rsid w:val="703A4D43"/>
    <w:rsid w:val="7054A835"/>
    <w:rsid w:val="705575E6"/>
    <w:rsid w:val="7057BD31"/>
    <w:rsid w:val="7057D5F7"/>
    <w:rsid w:val="70587880"/>
    <w:rsid w:val="70650EBD"/>
    <w:rsid w:val="70682DBE"/>
    <w:rsid w:val="706A65BF"/>
    <w:rsid w:val="706B2182"/>
    <w:rsid w:val="706B6B18"/>
    <w:rsid w:val="707A7BA6"/>
    <w:rsid w:val="707AAD10"/>
    <w:rsid w:val="707F6546"/>
    <w:rsid w:val="7087C6B7"/>
    <w:rsid w:val="708868DE"/>
    <w:rsid w:val="709E91FD"/>
    <w:rsid w:val="709FCFFE"/>
    <w:rsid w:val="70A2DBD8"/>
    <w:rsid w:val="70A33184"/>
    <w:rsid w:val="70A42E6F"/>
    <w:rsid w:val="70AC8B1C"/>
    <w:rsid w:val="70B430D1"/>
    <w:rsid w:val="70B56650"/>
    <w:rsid w:val="70B6603C"/>
    <w:rsid w:val="70B9E11D"/>
    <w:rsid w:val="70BBA44C"/>
    <w:rsid w:val="70CB20B0"/>
    <w:rsid w:val="70D61BCC"/>
    <w:rsid w:val="70D9934E"/>
    <w:rsid w:val="70D9FD37"/>
    <w:rsid w:val="70F07175"/>
    <w:rsid w:val="70FA3A00"/>
    <w:rsid w:val="7103719B"/>
    <w:rsid w:val="71047DD8"/>
    <w:rsid w:val="71114E3D"/>
    <w:rsid w:val="7119E4D7"/>
    <w:rsid w:val="711C8D19"/>
    <w:rsid w:val="712352E5"/>
    <w:rsid w:val="712DD218"/>
    <w:rsid w:val="713196D9"/>
    <w:rsid w:val="713A4DFA"/>
    <w:rsid w:val="714233EB"/>
    <w:rsid w:val="7149230A"/>
    <w:rsid w:val="714A2F9F"/>
    <w:rsid w:val="714A6852"/>
    <w:rsid w:val="714E8CF1"/>
    <w:rsid w:val="714F591E"/>
    <w:rsid w:val="715502E9"/>
    <w:rsid w:val="71571679"/>
    <w:rsid w:val="71580F9E"/>
    <w:rsid w:val="715DABCA"/>
    <w:rsid w:val="715F1F6E"/>
    <w:rsid w:val="71610CC7"/>
    <w:rsid w:val="716728DE"/>
    <w:rsid w:val="7168F57E"/>
    <w:rsid w:val="716D28BE"/>
    <w:rsid w:val="7172A12A"/>
    <w:rsid w:val="7174D4E2"/>
    <w:rsid w:val="719A7B74"/>
    <w:rsid w:val="719B55F9"/>
    <w:rsid w:val="719B9CAD"/>
    <w:rsid w:val="71A57560"/>
    <w:rsid w:val="71ACFB29"/>
    <w:rsid w:val="71B20036"/>
    <w:rsid w:val="71B2D12D"/>
    <w:rsid w:val="71C85E13"/>
    <w:rsid w:val="71CB789C"/>
    <w:rsid w:val="71D0FB92"/>
    <w:rsid w:val="71E10614"/>
    <w:rsid w:val="71E5010F"/>
    <w:rsid w:val="71E5FDA8"/>
    <w:rsid w:val="71E68EE8"/>
    <w:rsid w:val="71EB401C"/>
    <w:rsid w:val="71EE0337"/>
    <w:rsid w:val="71EF59E9"/>
    <w:rsid w:val="71F10234"/>
    <w:rsid w:val="720EBC1B"/>
    <w:rsid w:val="720F0476"/>
    <w:rsid w:val="721518A7"/>
    <w:rsid w:val="721E398D"/>
    <w:rsid w:val="72208B81"/>
    <w:rsid w:val="722A43B9"/>
    <w:rsid w:val="723A625E"/>
    <w:rsid w:val="72490C61"/>
    <w:rsid w:val="7249A594"/>
    <w:rsid w:val="724B10C6"/>
    <w:rsid w:val="724FEBBC"/>
    <w:rsid w:val="726C26A8"/>
    <w:rsid w:val="72845D0A"/>
    <w:rsid w:val="728854E4"/>
    <w:rsid w:val="728A2D55"/>
    <w:rsid w:val="7295234B"/>
    <w:rsid w:val="72962FCD"/>
    <w:rsid w:val="7297546F"/>
    <w:rsid w:val="729F351D"/>
    <w:rsid w:val="72A0451C"/>
    <w:rsid w:val="72A5B5E2"/>
    <w:rsid w:val="72A5D70D"/>
    <w:rsid w:val="72B3F61A"/>
    <w:rsid w:val="72B6B0A7"/>
    <w:rsid w:val="72B9F438"/>
    <w:rsid w:val="72CCF23D"/>
    <w:rsid w:val="72CEF9B2"/>
    <w:rsid w:val="72D87C97"/>
    <w:rsid w:val="72DB1C75"/>
    <w:rsid w:val="72E9A089"/>
    <w:rsid w:val="72EE522D"/>
    <w:rsid w:val="72FFB732"/>
    <w:rsid w:val="7302FBF9"/>
    <w:rsid w:val="730A7C1F"/>
    <w:rsid w:val="731D8F8A"/>
    <w:rsid w:val="731F3440"/>
    <w:rsid w:val="7323E9D5"/>
    <w:rsid w:val="732604D4"/>
    <w:rsid w:val="73280A36"/>
    <w:rsid w:val="732CD694"/>
    <w:rsid w:val="732E5BF7"/>
    <w:rsid w:val="73331245"/>
    <w:rsid w:val="7333EC89"/>
    <w:rsid w:val="733C535B"/>
    <w:rsid w:val="733D41AA"/>
    <w:rsid w:val="73411487"/>
    <w:rsid w:val="73469AB1"/>
    <w:rsid w:val="7348349B"/>
    <w:rsid w:val="734E04B7"/>
    <w:rsid w:val="734EF8EC"/>
    <w:rsid w:val="7363787E"/>
    <w:rsid w:val="736CC2D3"/>
    <w:rsid w:val="7375A6B4"/>
    <w:rsid w:val="737CFA3E"/>
    <w:rsid w:val="738F8E7D"/>
    <w:rsid w:val="738FB3F3"/>
    <w:rsid w:val="73984591"/>
    <w:rsid w:val="739BD622"/>
    <w:rsid w:val="73A79B44"/>
    <w:rsid w:val="73A7EF72"/>
    <w:rsid w:val="73A8A23E"/>
    <w:rsid w:val="73AB1820"/>
    <w:rsid w:val="73AD8A64"/>
    <w:rsid w:val="73AFAEBE"/>
    <w:rsid w:val="73B06627"/>
    <w:rsid w:val="73B3EEBD"/>
    <w:rsid w:val="73BBB4EC"/>
    <w:rsid w:val="73C6141A"/>
    <w:rsid w:val="73C7C553"/>
    <w:rsid w:val="73C9F104"/>
    <w:rsid w:val="73CC91D7"/>
    <w:rsid w:val="73E07BA3"/>
    <w:rsid w:val="73E2ED43"/>
    <w:rsid w:val="73EF5B1C"/>
    <w:rsid w:val="73F51683"/>
    <w:rsid w:val="73F54270"/>
    <w:rsid w:val="73F55E7A"/>
    <w:rsid w:val="73FC22E2"/>
    <w:rsid w:val="73FEF453"/>
    <w:rsid w:val="740A79D5"/>
    <w:rsid w:val="740F443E"/>
    <w:rsid w:val="7413FC49"/>
    <w:rsid w:val="7417285D"/>
    <w:rsid w:val="7419148C"/>
    <w:rsid w:val="742445BB"/>
    <w:rsid w:val="74252AC9"/>
    <w:rsid w:val="742958A5"/>
    <w:rsid w:val="742B68D6"/>
    <w:rsid w:val="74340437"/>
    <w:rsid w:val="7439DDC1"/>
    <w:rsid w:val="7439FD26"/>
    <w:rsid w:val="743F7ACA"/>
    <w:rsid w:val="7441846B"/>
    <w:rsid w:val="74477034"/>
    <w:rsid w:val="7448F4F7"/>
    <w:rsid w:val="744DEB69"/>
    <w:rsid w:val="745EC193"/>
    <w:rsid w:val="7462175C"/>
    <w:rsid w:val="746D7359"/>
    <w:rsid w:val="746DF044"/>
    <w:rsid w:val="7470C875"/>
    <w:rsid w:val="747427A4"/>
    <w:rsid w:val="748595BB"/>
    <w:rsid w:val="748D12B3"/>
    <w:rsid w:val="74913E1C"/>
    <w:rsid w:val="7495CA9F"/>
    <w:rsid w:val="74AAC76F"/>
    <w:rsid w:val="74AE16D1"/>
    <w:rsid w:val="74AED4E9"/>
    <w:rsid w:val="74AF0C02"/>
    <w:rsid w:val="74B2CA0C"/>
    <w:rsid w:val="74C9A71A"/>
    <w:rsid w:val="74CF9826"/>
    <w:rsid w:val="74D19656"/>
    <w:rsid w:val="74E34253"/>
    <w:rsid w:val="74E4F069"/>
    <w:rsid w:val="74E76C33"/>
    <w:rsid w:val="74EA779B"/>
    <w:rsid w:val="74F5B825"/>
    <w:rsid w:val="74F96025"/>
    <w:rsid w:val="750D4E8D"/>
    <w:rsid w:val="750E3169"/>
    <w:rsid w:val="750F9AAE"/>
    <w:rsid w:val="75101150"/>
    <w:rsid w:val="75117715"/>
    <w:rsid w:val="75131924"/>
    <w:rsid w:val="75243625"/>
    <w:rsid w:val="7541FB86"/>
    <w:rsid w:val="7543588B"/>
    <w:rsid w:val="7548229A"/>
    <w:rsid w:val="75498EFD"/>
    <w:rsid w:val="754A395A"/>
    <w:rsid w:val="754B5453"/>
    <w:rsid w:val="754CA4BC"/>
    <w:rsid w:val="754D3E4F"/>
    <w:rsid w:val="754E9557"/>
    <w:rsid w:val="75594D31"/>
    <w:rsid w:val="755CDB80"/>
    <w:rsid w:val="755DA85A"/>
    <w:rsid w:val="75607164"/>
    <w:rsid w:val="75621C16"/>
    <w:rsid w:val="7568B4AA"/>
    <w:rsid w:val="756DC6B7"/>
    <w:rsid w:val="7571EDD9"/>
    <w:rsid w:val="75739E34"/>
    <w:rsid w:val="7579DE1B"/>
    <w:rsid w:val="75840267"/>
    <w:rsid w:val="75840CB9"/>
    <w:rsid w:val="75856D7A"/>
    <w:rsid w:val="758991B3"/>
    <w:rsid w:val="758F76EB"/>
    <w:rsid w:val="75945F6D"/>
    <w:rsid w:val="75A290C2"/>
    <w:rsid w:val="75AA2BEE"/>
    <w:rsid w:val="75AC8649"/>
    <w:rsid w:val="75B2AC3B"/>
    <w:rsid w:val="75B46703"/>
    <w:rsid w:val="75BFDF75"/>
    <w:rsid w:val="75CA1A47"/>
    <w:rsid w:val="75D1C620"/>
    <w:rsid w:val="75D8FAF8"/>
    <w:rsid w:val="75DABDCF"/>
    <w:rsid w:val="75DC8531"/>
    <w:rsid w:val="75E410E6"/>
    <w:rsid w:val="75EBD442"/>
    <w:rsid w:val="75F66959"/>
    <w:rsid w:val="7618BC51"/>
    <w:rsid w:val="7620EB02"/>
    <w:rsid w:val="7624151F"/>
    <w:rsid w:val="762CEF60"/>
    <w:rsid w:val="7632384E"/>
    <w:rsid w:val="76337C8C"/>
    <w:rsid w:val="763AA81E"/>
    <w:rsid w:val="763DF598"/>
    <w:rsid w:val="765021AB"/>
    <w:rsid w:val="765048D2"/>
    <w:rsid w:val="7650521B"/>
    <w:rsid w:val="76541AC9"/>
    <w:rsid w:val="766807BA"/>
    <w:rsid w:val="766EF9D4"/>
    <w:rsid w:val="767775F6"/>
    <w:rsid w:val="7681542F"/>
    <w:rsid w:val="7688F7D6"/>
    <w:rsid w:val="76890552"/>
    <w:rsid w:val="768F8050"/>
    <w:rsid w:val="76947944"/>
    <w:rsid w:val="7696EA4F"/>
    <w:rsid w:val="76A3B33B"/>
    <w:rsid w:val="76A635A4"/>
    <w:rsid w:val="76AC8573"/>
    <w:rsid w:val="76ACF722"/>
    <w:rsid w:val="76AD1CAB"/>
    <w:rsid w:val="76B70F58"/>
    <w:rsid w:val="76BBEE28"/>
    <w:rsid w:val="76C212D4"/>
    <w:rsid w:val="76C36D89"/>
    <w:rsid w:val="76C52AB8"/>
    <w:rsid w:val="76C99680"/>
    <w:rsid w:val="76CA32C0"/>
    <w:rsid w:val="76D0F96F"/>
    <w:rsid w:val="76D92BAD"/>
    <w:rsid w:val="76E334CE"/>
    <w:rsid w:val="76F78008"/>
    <w:rsid w:val="76F78C70"/>
    <w:rsid w:val="76FBE629"/>
    <w:rsid w:val="7715F887"/>
    <w:rsid w:val="771BDEF8"/>
    <w:rsid w:val="771FA887"/>
    <w:rsid w:val="7726CA78"/>
    <w:rsid w:val="772EDE41"/>
    <w:rsid w:val="77381581"/>
    <w:rsid w:val="773975C2"/>
    <w:rsid w:val="77438E24"/>
    <w:rsid w:val="77499AB8"/>
    <w:rsid w:val="77519141"/>
    <w:rsid w:val="7752A3A2"/>
    <w:rsid w:val="7752ECF2"/>
    <w:rsid w:val="775765E1"/>
    <w:rsid w:val="775C1010"/>
    <w:rsid w:val="775D2B73"/>
    <w:rsid w:val="7773B63F"/>
    <w:rsid w:val="7777F2B5"/>
    <w:rsid w:val="777BD41A"/>
    <w:rsid w:val="779E23F8"/>
    <w:rsid w:val="77A5A991"/>
    <w:rsid w:val="77A7E4D9"/>
    <w:rsid w:val="77AE7C47"/>
    <w:rsid w:val="77AFF34D"/>
    <w:rsid w:val="77B0B1DA"/>
    <w:rsid w:val="77BDAFB6"/>
    <w:rsid w:val="77BF4C51"/>
    <w:rsid w:val="77CE539F"/>
    <w:rsid w:val="77D0EB3D"/>
    <w:rsid w:val="77DA1CFA"/>
    <w:rsid w:val="77DE02CC"/>
    <w:rsid w:val="77F69C21"/>
    <w:rsid w:val="780877B9"/>
    <w:rsid w:val="780ACA35"/>
    <w:rsid w:val="780DA908"/>
    <w:rsid w:val="781130BB"/>
    <w:rsid w:val="781EC9A5"/>
    <w:rsid w:val="78294324"/>
    <w:rsid w:val="782C33CA"/>
    <w:rsid w:val="782F4C51"/>
    <w:rsid w:val="7831C27E"/>
    <w:rsid w:val="78332CA5"/>
    <w:rsid w:val="783C68E9"/>
    <w:rsid w:val="784234EA"/>
    <w:rsid w:val="78457AFC"/>
    <w:rsid w:val="784B3F88"/>
    <w:rsid w:val="784D336D"/>
    <w:rsid w:val="785300EF"/>
    <w:rsid w:val="7861B016"/>
    <w:rsid w:val="7869F290"/>
    <w:rsid w:val="78721ABB"/>
    <w:rsid w:val="7876D144"/>
    <w:rsid w:val="7879A539"/>
    <w:rsid w:val="787B840D"/>
    <w:rsid w:val="78821246"/>
    <w:rsid w:val="7882C085"/>
    <w:rsid w:val="788612C9"/>
    <w:rsid w:val="78865007"/>
    <w:rsid w:val="7888A93F"/>
    <w:rsid w:val="788AFBEB"/>
    <w:rsid w:val="788B1991"/>
    <w:rsid w:val="788EF9FC"/>
    <w:rsid w:val="7890FB2C"/>
    <w:rsid w:val="78935281"/>
    <w:rsid w:val="78962AEB"/>
    <w:rsid w:val="789A705A"/>
    <w:rsid w:val="789BB409"/>
    <w:rsid w:val="789BDABF"/>
    <w:rsid w:val="789DB973"/>
    <w:rsid w:val="78A9AD14"/>
    <w:rsid w:val="78AC7686"/>
    <w:rsid w:val="78AD8414"/>
    <w:rsid w:val="78B5C2F3"/>
    <w:rsid w:val="78C3F6AA"/>
    <w:rsid w:val="78CEF488"/>
    <w:rsid w:val="78D0F049"/>
    <w:rsid w:val="78D3628C"/>
    <w:rsid w:val="78D62DD9"/>
    <w:rsid w:val="78DE8ACE"/>
    <w:rsid w:val="78E0D511"/>
    <w:rsid w:val="78E7BCA0"/>
    <w:rsid w:val="78ED662B"/>
    <w:rsid w:val="78FB45A7"/>
    <w:rsid w:val="78FCBD8B"/>
    <w:rsid w:val="7901D506"/>
    <w:rsid w:val="79041B20"/>
    <w:rsid w:val="7904CDAC"/>
    <w:rsid w:val="79053534"/>
    <w:rsid w:val="7911BB95"/>
    <w:rsid w:val="791710B9"/>
    <w:rsid w:val="791ADF14"/>
    <w:rsid w:val="7924F6BC"/>
    <w:rsid w:val="79252DCC"/>
    <w:rsid w:val="79327EE3"/>
    <w:rsid w:val="793A95F2"/>
    <w:rsid w:val="793F8F40"/>
    <w:rsid w:val="79460CFD"/>
    <w:rsid w:val="794B7877"/>
    <w:rsid w:val="795A4A0A"/>
    <w:rsid w:val="795F0492"/>
    <w:rsid w:val="796E146E"/>
    <w:rsid w:val="797D8785"/>
    <w:rsid w:val="797F2385"/>
    <w:rsid w:val="79828A1E"/>
    <w:rsid w:val="798A6B53"/>
    <w:rsid w:val="7991A037"/>
    <w:rsid w:val="799978DE"/>
    <w:rsid w:val="799A033D"/>
    <w:rsid w:val="79A0F9DC"/>
    <w:rsid w:val="79A14968"/>
    <w:rsid w:val="79A6C432"/>
    <w:rsid w:val="79B2145A"/>
    <w:rsid w:val="79B22D81"/>
    <w:rsid w:val="79B32CDF"/>
    <w:rsid w:val="79BC9793"/>
    <w:rsid w:val="79C29381"/>
    <w:rsid w:val="79C4DF43"/>
    <w:rsid w:val="79C8A7A1"/>
    <w:rsid w:val="79CA3682"/>
    <w:rsid w:val="79D21AF2"/>
    <w:rsid w:val="79E3D071"/>
    <w:rsid w:val="79EA4BBA"/>
    <w:rsid w:val="79FDA96B"/>
    <w:rsid w:val="7A0D0981"/>
    <w:rsid w:val="7A189040"/>
    <w:rsid w:val="7A198B5F"/>
    <w:rsid w:val="7A21FE3E"/>
    <w:rsid w:val="7A278444"/>
    <w:rsid w:val="7A2892B4"/>
    <w:rsid w:val="7A2B10B5"/>
    <w:rsid w:val="7A2D47A2"/>
    <w:rsid w:val="7A35661B"/>
    <w:rsid w:val="7A3C25CD"/>
    <w:rsid w:val="7A42F6EA"/>
    <w:rsid w:val="7A4CE1C2"/>
    <w:rsid w:val="7A54397A"/>
    <w:rsid w:val="7A56190D"/>
    <w:rsid w:val="7A68B0E9"/>
    <w:rsid w:val="7A6BF82B"/>
    <w:rsid w:val="7A6F6944"/>
    <w:rsid w:val="7A7E8605"/>
    <w:rsid w:val="7A85B4A0"/>
    <w:rsid w:val="7A892E59"/>
    <w:rsid w:val="7A90151D"/>
    <w:rsid w:val="7A937D67"/>
    <w:rsid w:val="7A9E59AC"/>
    <w:rsid w:val="7A9E861C"/>
    <w:rsid w:val="7AA64732"/>
    <w:rsid w:val="7AA853E9"/>
    <w:rsid w:val="7AA90F95"/>
    <w:rsid w:val="7AA9C5B5"/>
    <w:rsid w:val="7AB2A77C"/>
    <w:rsid w:val="7AB34686"/>
    <w:rsid w:val="7AB6FA0C"/>
    <w:rsid w:val="7AB9F76C"/>
    <w:rsid w:val="7AC2A949"/>
    <w:rsid w:val="7ACB19C5"/>
    <w:rsid w:val="7ACBAEE4"/>
    <w:rsid w:val="7AD2B1F8"/>
    <w:rsid w:val="7AE4D280"/>
    <w:rsid w:val="7AE84D5B"/>
    <w:rsid w:val="7AEFDFEA"/>
    <w:rsid w:val="7AF82A7B"/>
    <w:rsid w:val="7B0F41DE"/>
    <w:rsid w:val="7B187235"/>
    <w:rsid w:val="7B2798A1"/>
    <w:rsid w:val="7B31D124"/>
    <w:rsid w:val="7B445077"/>
    <w:rsid w:val="7B4FD638"/>
    <w:rsid w:val="7B4FE57D"/>
    <w:rsid w:val="7B55E39A"/>
    <w:rsid w:val="7B5AFA2E"/>
    <w:rsid w:val="7B5F09E2"/>
    <w:rsid w:val="7B5FDFE0"/>
    <w:rsid w:val="7B643B90"/>
    <w:rsid w:val="7B64ADDD"/>
    <w:rsid w:val="7B715412"/>
    <w:rsid w:val="7B756A58"/>
    <w:rsid w:val="7B763798"/>
    <w:rsid w:val="7B78DC58"/>
    <w:rsid w:val="7B818834"/>
    <w:rsid w:val="7B8FE146"/>
    <w:rsid w:val="7B908BA9"/>
    <w:rsid w:val="7B976498"/>
    <w:rsid w:val="7B9A6137"/>
    <w:rsid w:val="7B9B7E75"/>
    <w:rsid w:val="7BB41A8B"/>
    <w:rsid w:val="7BBC7FD3"/>
    <w:rsid w:val="7BC0560A"/>
    <w:rsid w:val="7BD4ABD8"/>
    <w:rsid w:val="7BDBBE79"/>
    <w:rsid w:val="7BDFD2D2"/>
    <w:rsid w:val="7BE04193"/>
    <w:rsid w:val="7BE99048"/>
    <w:rsid w:val="7C051C13"/>
    <w:rsid w:val="7C0812C9"/>
    <w:rsid w:val="7C09F0BF"/>
    <w:rsid w:val="7C0B258A"/>
    <w:rsid w:val="7C0D063D"/>
    <w:rsid w:val="7C0F5677"/>
    <w:rsid w:val="7C1600FD"/>
    <w:rsid w:val="7C23D849"/>
    <w:rsid w:val="7C24DE4B"/>
    <w:rsid w:val="7C397A31"/>
    <w:rsid w:val="7C3EE6B1"/>
    <w:rsid w:val="7C4719EF"/>
    <w:rsid w:val="7C49799C"/>
    <w:rsid w:val="7C5535CC"/>
    <w:rsid w:val="7C6D8789"/>
    <w:rsid w:val="7C7E2D86"/>
    <w:rsid w:val="7C7FC22B"/>
    <w:rsid w:val="7C802231"/>
    <w:rsid w:val="7C99367E"/>
    <w:rsid w:val="7C9B1D65"/>
    <w:rsid w:val="7C9EA002"/>
    <w:rsid w:val="7CA354D5"/>
    <w:rsid w:val="7CA4944F"/>
    <w:rsid w:val="7CA8A9EA"/>
    <w:rsid w:val="7CAC9CA6"/>
    <w:rsid w:val="7CACFC8F"/>
    <w:rsid w:val="7CB5BC95"/>
    <w:rsid w:val="7CB6BFA4"/>
    <w:rsid w:val="7CBA2017"/>
    <w:rsid w:val="7CE56580"/>
    <w:rsid w:val="7CE7E1AE"/>
    <w:rsid w:val="7CF4268E"/>
    <w:rsid w:val="7CF7C989"/>
    <w:rsid w:val="7D19E319"/>
    <w:rsid w:val="7D1A955C"/>
    <w:rsid w:val="7D1B59E0"/>
    <w:rsid w:val="7D200074"/>
    <w:rsid w:val="7D355B37"/>
    <w:rsid w:val="7D374F4B"/>
    <w:rsid w:val="7D379E31"/>
    <w:rsid w:val="7D39EB68"/>
    <w:rsid w:val="7D3AD275"/>
    <w:rsid w:val="7D45008A"/>
    <w:rsid w:val="7D46A644"/>
    <w:rsid w:val="7D48E94F"/>
    <w:rsid w:val="7D5C5004"/>
    <w:rsid w:val="7D635589"/>
    <w:rsid w:val="7D739951"/>
    <w:rsid w:val="7D84CF77"/>
    <w:rsid w:val="7D90C21D"/>
    <w:rsid w:val="7D943812"/>
    <w:rsid w:val="7D9C38CF"/>
    <w:rsid w:val="7DB444D2"/>
    <w:rsid w:val="7DB7BF96"/>
    <w:rsid w:val="7DBEAE99"/>
    <w:rsid w:val="7DC4344E"/>
    <w:rsid w:val="7DC50051"/>
    <w:rsid w:val="7DD4C192"/>
    <w:rsid w:val="7DD74EDD"/>
    <w:rsid w:val="7DD8AB43"/>
    <w:rsid w:val="7DDFEADD"/>
    <w:rsid w:val="7DE746B4"/>
    <w:rsid w:val="7DED20F4"/>
    <w:rsid w:val="7E0063B2"/>
    <w:rsid w:val="7E056171"/>
    <w:rsid w:val="7E079679"/>
    <w:rsid w:val="7E1C06CE"/>
    <w:rsid w:val="7E28AA78"/>
    <w:rsid w:val="7E29CBE2"/>
    <w:rsid w:val="7E2EA35D"/>
    <w:rsid w:val="7E2F669A"/>
    <w:rsid w:val="7E3AA725"/>
    <w:rsid w:val="7E3EE0FE"/>
    <w:rsid w:val="7E46D0B4"/>
    <w:rsid w:val="7E4DB2D2"/>
    <w:rsid w:val="7E5AE6D5"/>
    <w:rsid w:val="7E5BB666"/>
    <w:rsid w:val="7E799ACF"/>
    <w:rsid w:val="7E7D27ED"/>
    <w:rsid w:val="7E828E35"/>
    <w:rsid w:val="7E838171"/>
    <w:rsid w:val="7E88E0F0"/>
    <w:rsid w:val="7E8A2BAB"/>
    <w:rsid w:val="7E9075A3"/>
    <w:rsid w:val="7E98162D"/>
    <w:rsid w:val="7EA5D014"/>
    <w:rsid w:val="7EA8F93C"/>
    <w:rsid w:val="7EABA1EE"/>
    <w:rsid w:val="7EB28C6B"/>
    <w:rsid w:val="7EB4B778"/>
    <w:rsid w:val="7EB65E52"/>
    <w:rsid w:val="7EB9A8C2"/>
    <w:rsid w:val="7EBEA807"/>
    <w:rsid w:val="7EBF4E5E"/>
    <w:rsid w:val="7EC39316"/>
    <w:rsid w:val="7EC7C523"/>
    <w:rsid w:val="7ED259A5"/>
    <w:rsid w:val="7EF1B23D"/>
    <w:rsid w:val="7EF719F9"/>
    <w:rsid w:val="7EF79F18"/>
    <w:rsid w:val="7EF8A33A"/>
    <w:rsid w:val="7F073B6F"/>
    <w:rsid w:val="7F0A50DD"/>
    <w:rsid w:val="7F0B4DC8"/>
    <w:rsid w:val="7F0E26E4"/>
    <w:rsid w:val="7F208454"/>
    <w:rsid w:val="7F2A385C"/>
    <w:rsid w:val="7F2B5F4A"/>
    <w:rsid w:val="7F2EF7B9"/>
    <w:rsid w:val="7F3746D8"/>
    <w:rsid w:val="7F4025E5"/>
    <w:rsid w:val="7F465007"/>
    <w:rsid w:val="7F4C8611"/>
    <w:rsid w:val="7F5B4E5B"/>
    <w:rsid w:val="7F699F19"/>
    <w:rsid w:val="7F6BB69B"/>
    <w:rsid w:val="7F6D2837"/>
    <w:rsid w:val="7F6E1B7D"/>
    <w:rsid w:val="7F7F9108"/>
    <w:rsid w:val="7F91178D"/>
    <w:rsid w:val="7F939524"/>
    <w:rsid w:val="7F95329E"/>
    <w:rsid w:val="7F9D5A39"/>
    <w:rsid w:val="7F9F2C44"/>
    <w:rsid w:val="7FA2AA28"/>
    <w:rsid w:val="7FA48D69"/>
    <w:rsid w:val="7FA79A0C"/>
    <w:rsid w:val="7FAC09FE"/>
    <w:rsid w:val="7FB6F026"/>
    <w:rsid w:val="7FB7E66A"/>
    <w:rsid w:val="7FBCD3DB"/>
    <w:rsid w:val="7FBF39F0"/>
    <w:rsid w:val="7FC50928"/>
    <w:rsid w:val="7FC52B9C"/>
    <w:rsid w:val="7FCD2884"/>
    <w:rsid w:val="7FE00BF7"/>
    <w:rsid w:val="7FE276D1"/>
    <w:rsid w:val="7FE521F1"/>
    <w:rsid w:val="7FE75DA9"/>
    <w:rsid w:val="7FF48DA4"/>
    <w:rsid w:val="7FF7E490"/>
    <w:rsid w:val="7FFBBE02"/>
    <w:rsid w:val="7FFC8105"/>
    <w:rsid w:val="7FFD7D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558B6"/>
  <w15:chartTrackingRefBased/>
  <w15:docId w15:val="{DC816ECC-F36E-4E7F-9F19-06F435C4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AE0"/>
    <w:rPr>
      <w:rFonts w:ascii="Times New Roman" w:hAnsi="Times New Roman" w:cs="Times New Roman"/>
      <w:sz w:val="20"/>
      <w:szCs w:val="20"/>
    </w:rPr>
  </w:style>
  <w:style w:type="paragraph" w:styleId="Heading1">
    <w:name w:val="heading 1"/>
    <w:basedOn w:val="Normal"/>
    <w:next w:val="Normal"/>
    <w:link w:val="Heading1Char"/>
    <w:uiPriority w:val="9"/>
    <w:qFormat/>
    <w:rsid w:val="00626D65"/>
    <w:pPr>
      <w:keepNext/>
      <w:keepLines/>
      <w:numPr>
        <w:numId w:val="3"/>
      </w:numPr>
      <w:spacing w:before="240" w:after="240"/>
      <w:outlineLvl w:val="0"/>
    </w:pPr>
    <w:rPr>
      <w:rFonts w:eastAsiaTheme="majorEastAsia"/>
      <w:color w:val="2E74B5" w:themeColor="accent1" w:themeShade="BF"/>
      <w:sz w:val="24"/>
      <w:szCs w:val="32"/>
    </w:rPr>
  </w:style>
  <w:style w:type="paragraph" w:styleId="Heading2">
    <w:name w:val="heading 2"/>
    <w:basedOn w:val="Normal"/>
    <w:next w:val="Normal"/>
    <w:link w:val="Heading2Char"/>
    <w:uiPriority w:val="9"/>
    <w:unhideWhenUsed/>
    <w:qFormat/>
    <w:rsid w:val="00FD3CBA"/>
    <w:pPr>
      <w:keepNext/>
      <w:keepLines/>
      <w:numPr>
        <w:ilvl w:val="1"/>
        <w:numId w:val="3"/>
      </w:numPr>
      <w:spacing w:before="40" w:after="0" w:line="240" w:lineRule="auto"/>
      <w:outlineLvl w:val="1"/>
    </w:pPr>
    <w:rPr>
      <w:rFonts w:eastAsiaTheme="majorEastAsia"/>
      <w:b/>
      <w:color w:val="2F5496"/>
    </w:rPr>
  </w:style>
  <w:style w:type="paragraph" w:styleId="Heading3">
    <w:name w:val="heading 3"/>
    <w:basedOn w:val="Normal"/>
    <w:next w:val="Normal"/>
    <w:link w:val="Heading3Char"/>
    <w:uiPriority w:val="9"/>
    <w:unhideWhenUsed/>
    <w:qFormat/>
    <w:rsid w:val="00AF0B68"/>
    <w:pPr>
      <w:keepNext/>
      <w:keepLines/>
      <w:numPr>
        <w:ilvl w:val="2"/>
        <w:numId w:val="3"/>
      </w:numPr>
      <w:spacing w:before="40" w:after="0"/>
      <w:outlineLvl w:val="2"/>
    </w:pPr>
    <w:rPr>
      <w:rFonts w:eastAsiaTheme="majorEastAsia"/>
      <w:color w:val="2E74B5" w:themeColor="accent1" w:themeShade="BF"/>
    </w:rPr>
  </w:style>
  <w:style w:type="paragraph" w:styleId="Heading4">
    <w:name w:val="heading 4"/>
    <w:basedOn w:val="Normal"/>
    <w:next w:val="Normal"/>
    <w:link w:val="Heading4Char"/>
    <w:uiPriority w:val="9"/>
    <w:unhideWhenUsed/>
    <w:qFormat/>
    <w:rsid w:val="00FD3CBA"/>
    <w:pPr>
      <w:keepNext/>
      <w:keepLines/>
      <w:numPr>
        <w:ilvl w:val="3"/>
        <w:numId w:val="3"/>
      </w:numPr>
      <w:spacing w:before="40" w:after="0"/>
      <w:outlineLvl w:val="3"/>
    </w:pPr>
    <w:rPr>
      <w:rFonts w:eastAsiaTheme="majorEastAsia"/>
      <w:i/>
      <w:iCs/>
      <w:color w:val="2E74B5" w:themeColor="accent1" w:themeShade="BF"/>
    </w:rPr>
  </w:style>
  <w:style w:type="paragraph" w:styleId="Heading5">
    <w:name w:val="heading 5"/>
    <w:basedOn w:val="Normal"/>
    <w:next w:val="Normal"/>
    <w:link w:val="Heading5Char"/>
    <w:uiPriority w:val="9"/>
    <w:semiHidden/>
    <w:unhideWhenUsed/>
    <w:qFormat/>
    <w:rsid w:val="00877F0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77F0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77F0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77F0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7F0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679"/>
    <w:rPr>
      <w:rFonts w:ascii="Times New Roman" w:eastAsiaTheme="majorEastAsia" w:hAnsi="Times New Roman" w:cs="Times New Roman"/>
      <w:color w:val="2E74B5" w:themeColor="accent1" w:themeShade="BF"/>
      <w:sz w:val="24"/>
      <w:szCs w:val="32"/>
    </w:rPr>
  </w:style>
  <w:style w:type="character" w:customStyle="1" w:styleId="Heading2Char">
    <w:name w:val="Heading 2 Char"/>
    <w:basedOn w:val="DefaultParagraphFont"/>
    <w:link w:val="Heading2"/>
    <w:uiPriority w:val="9"/>
    <w:rsid w:val="00595679"/>
    <w:rPr>
      <w:rFonts w:ascii="Times New Roman" w:eastAsiaTheme="majorEastAsia" w:hAnsi="Times New Roman" w:cs="Times New Roman"/>
      <w:b/>
      <w:color w:val="2F5496"/>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LineNumber">
    <w:name w:val="line number"/>
    <w:basedOn w:val="DefaultParagraphFont"/>
    <w:uiPriority w:val="99"/>
    <w:semiHidden/>
    <w:unhideWhenUsed/>
    <w:rsid w:val="008C5D22"/>
  </w:style>
  <w:style w:type="paragraph" w:customStyle="1" w:styleId="paragraph">
    <w:name w:val="paragraph"/>
    <w:basedOn w:val="Normal"/>
    <w:rsid w:val="0049013A"/>
    <w:pPr>
      <w:spacing w:before="100" w:beforeAutospacing="1" w:after="100" w:afterAutospacing="1" w:line="240" w:lineRule="auto"/>
    </w:pPr>
    <w:rPr>
      <w:rFonts w:eastAsia="Times New Roman"/>
      <w:sz w:val="24"/>
      <w:szCs w:val="24"/>
    </w:rPr>
  </w:style>
  <w:style w:type="character" w:customStyle="1" w:styleId="normaltextrun">
    <w:name w:val="normaltextrun"/>
    <w:basedOn w:val="DefaultParagraphFont"/>
    <w:rsid w:val="0049013A"/>
  </w:style>
  <w:style w:type="character" w:customStyle="1" w:styleId="eop">
    <w:name w:val="eop"/>
    <w:basedOn w:val="DefaultParagraphFont"/>
    <w:rsid w:val="0049013A"/>
  </w:style>
  <w:style w:type="character" w:styleId="CommentReference">
    <w:name w:val="annotation reference"/>
    <w:basedOn w:val="DefaultParagraphFont"/>
    <w:uiPriority w:val="99"/>
    <w:semiHidden/>
    <w:unhideWhenUsed/>
    <w:rsid w:val="0049013A"/>
    <w:rPr>
      <w:sz w:val="16"/>
      <w:szCs w:val="16"/>
    </w:rPr>
  </w:style>
  <w:style w:type="paragraph" w:styleId="CommentText">
    <w:name w:val="annotation text"/>
    <w:basedOn w:val="Normal"/>
    <w:link w:val="CommentTextChar"/>
    <w:uiPriority w:val="99"/>
    <w:unhideWhenUsed/>
    <w:rsid w:val="0049013A"/>
    <w:pPr>
      <w:spacing w:line="240" w:lineRule="auto"/>
    </w:pPr>
  </w:style>
  <w:style w:type="character" w:customStyle="1" w:styleId="CommentTextChar">
    <w:name w:val="Comment Text Char"/>
    <w:basedOn w:val="DefaultParagraphFont"/>
    <w:link w:val="CommentText"/>
    <w:uiPriority w:val="99"/>
    <w:rsid w:val="0049013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013A"/>
    <w:rPr>
      <w:b/>
      <w:bCs/>
    </w:rPr>
  </w:style>
  <w:style w:type="character" w:customStyle="1" w:styleId="CommentSubjectChar">
    <w:name w:val="Comment Subject Char"/>
    <w:basedOn w:val="CommentTextChar"/>
    <w:link w:val="CommentSubject"/>
    <w:uiPriority w:val="99"/>
    <w:semiHidden/>
    <w:rsid w:val="0049013A"/>
    <w:rPr>
      <w:rFonts w:ascii="Times New Roman" w:hAnsi="Times New Roman" w:cs="Times New Roman"/>
      <w:b/>
      <w:bCs/>
      <w:sz w:val="20"/>
      <w:szCs w:val="20"/>
    </w:rPr>
  </w:style>
  <w:style w:type="paragraph" w:styleId="ListParagraph">
    <w:name w:val="List Paragraph"/>
    <w:basedOn w:val="Normal"/>
    <w:uiPriority w:val="34"/>
    <w:qFormat/>
    <w:rsid w:val="0049013A"/>
    <w:pPr>
      <w:ind w:left="720"/>
      <w:contextualSpacing/>
    </w:pPr>
    <w:rPr>
      <w:rFonts w:eastAsiaTheme="minorEastAsia"/>
      <w:lang w:eastAsia="zh-CN"/>
    </w:rPr>
  </w:style>
  <w:style w:type="character" w:styleId="Hyperlink">
    <w:name w:val="Hyperlink"/>
    <w:basedOn w:val="DefaultParagraphFont"/>
    <w:uiPriority w:val="99"/>
    <w:unhideWhenUsed/>
    <w:rsid w:val="0049013A"/>
    <w:rPr>
      <w:color w:val="0000FF"/>
      <w:u w:val="single"/>
    </w:rPr>
  </w:style>
  <w:style w:type="character" w:customStyle="1" w:styleId="Heading3Char">
    <w:name w:val="Heading 3 Char"/>
    <w:basedOn w:val="DefaultParagraphFont"/>
    <w:link w:val="Heading3"/>
    <w:uiPriority w:val="9"/>
    <w:rsid w:val="00AF0B68"/>
    <w:rPr>
      <w:rFonts w:ascii="Times New Roman" w:eastAsiaTheme="majorEastAsia" w:hAnsi="Times New Roman" w:cs="Times New Roman"/>
      <w:color w:val="2E74B5" w:themeColor="accent1" w:themeShade="BF"/>
      <w:sz w:val="20"/>
      <w:szCs w:val="20"/>
    </w:rPr>
  </w:style>
  <w:style w:type="character" w:customStyle="1" w:styleId="UnresolvedMention1">
    <w:name w:val="Unresolved Mention1"/>
    <w:basedOn w:val="DefaultParagraphFont"/>
    <w:uiPriority w:val="99"/>
    <w:semiHidden/>
    <w:unhideWhenUsed/>
    <w:rsid w:val="00A93109"/>
    <w:rPr>
      <w:color w:val="605E5C"/>
      <w:shd w:val="clear" w:color="auto" w:fill="E1DFDD"/>
    </w:rPr>
  </w:style>
  <w:style w:type="paragraph" w:styleId="BalloonText">
    <w:name w:val="Balloon Text"/>
    <w:basedOn w:val="Normal"/>
    <w:link w:val="BalloonTextChar"/>
    <w:uiPriority w:val="99"/>
    <w:semiHidden/>
    <w:unhideWhenUsed/>
    <w:rsid w:val="00F01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361"/>
    <w:rPr>
      <w:rFonts w:ascii="Segoe UI" w:hAnsi="Segoe UI" w:cs="Segoe UI"/>
      <w:sz w:val="18"/>
      <w:szCs w:val="18"/>
    </w:rPr>
  </w:style>
  <w:style w:type="character" w:styleId="FollowedHyperlink">
    <w:name w:val="FollowedHyperlink"/>
    <w:basedOn w:val="DefaultParagraphFont"/>
    <w:uiPriority w:val="99"/>
    <w:semiHidden/>
    <w:unhideWhenUsed/>
    <w:rsid w:val="0056675A"/>
    <w:rPr>
      <w:color w:val="954F72" w:themeColor="followedHyperlink"/>
      <w:u w:val="single"/>
    </w:rPr>
  </w:style>
  <w:style w:type="paragraph" w:styleId="TOCHeading">
    <w:name w:val="TOC Heading"/>
    <w:basedOn w:val="Heading1"/>
    <w:next w:val="Normal"/>
    <w:uiPriority w:val="39"/>
    <w:unhideWhenUsed/>
    <w:qFormat/>
    <w:rsid w:val="001E2079"/>
    <w:pPr>
      <w:outlineLvl w:val="9"/>
    </w:pPr>
  </w:style>
  <w:style w:type="paragraph" w:styleId="TOC2">
    <w:name w:val="toc 2"/>
    <w:basedOn w:val="Normal"/>
    <w:next w:val="Normal"/>
    <w:autoRedefine/>
    <w:uiPriority w:val="39"/>
    <w:unhideWhenUsed/>
    <w:rsid w:val="001E2079"/>
    <w:pPr>
      <w:spacing w:before="120" w:after="0"/>
      <w:ind w:left="220"/>
    </w:pPr>
    <w:rPr>
      <w:rFonts w:asciiTheme="minorHAnsi" w:hAnsiTheme="minorHAnsi" w:cstheme="minorHAnsi"/>
      <w:b/>
      <w:bCs/>
    </w:rPr>
  </w:style>
  <w:style w:type="paragraph" w:styleId="TOC1">
    <w:name w:val="toc 1"/>
    <w:basedOn w:val="Normal"/>
    <w:next w:val="Normal"/>
    <w:autoRedefine/>
    <w:uiPriority w:val="39"/>
    <w:unhideWhenUsed/>
    <w:rsid w:val="001E2079"/>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1E2079"/>
    <w:pPr>
      <w:spacing w:after="0"/>
      <w:ind w:left="440"/>
    </w:pPr>
    <w:rPr>
      <w:rFonts w:asciiTheme="minorHAnsi" w:hAnsiTheme="minorHAnsi" w:cstheme="minorHAnsi"/>
    </w:rPr>
  </w:style>
  <w:style w:type="paragraph" w:styleId="Title">
    <w:name w:val="Title"/>
    <w:basedOn w:val="Normal"/>
    <w:next w:val="Normal"/>
    <w:link w:val="TitleChar"/>
    <w:uiPriority w:val="10"/>
    <w:qFormat/>
    <w:rsid w:val="00981017"/>
    <w:rPr>
      <w:rFonts w:ascii="Palatino Linotype" w:eastAsia="Times New Roman" w:hAnsi="Palatino Linotype" w:cs="Calibri"/>
      <w:color w:val="2E74B5" w:themeColor="accent1" w:themeShade="BF"/>
      <w:sz w:val="32"/>
      <w:szCs w:val="32"/>
      <w:lang w:val="en-GB"/>
    </w:rPr>
  </w:style>
  <w:style w:type="character" w:customStyle="1" w:styleId="TitleChar">
    <w:name w:val="Title Char"/>
    <w:basedOn w:val="DefaultParagraphFont"/>
    <w:link w:val="Title"/>
    <w:uiPriority w:val="10"/>
    <w:rsid w:val="00981017"/>
    <w:rPr>
      <w:rFonts w:ascii="Palatino Linotype" w:eastAsia="Times New Roman" w:hAnsi="Palatino Linotype" w:cs="Calibri"/>
      <w:color w:val="2E74B5" w:themeColor="accent1" w:themeShade="BF"/>
      <w:sz w:val="32"/>
      <w:szCs w:val="32"/>
      <w:lang w:val="en-GB"/>
    </w:rPr>
  </w:style>
  <w:style w:type="character" w:customStyle="1" w:styleId="Heading4Char">
    <w:name w:val="Heading 4 Char"/>
    <w:basedOn w:val="DefaultParagraphFont"/>
    <w:link w:val="Heading4"/>
    <w:uiPriority w:val="9"/>
    <w:rsid w:val="00877F09"/>
    <w:rPr>
      <w:rFonts w:ascii="Times New Roman" w:eastAsiaTheme="majorEastAsia" w:hAnsi="Times New Roman" w:cs="Times New Roman"/>
      <w:i/>
      <w:iCs/>
      <w:color w:val="2E74B5" w:themeColor="accent1" w:themeShade="BF"/>
      <w:sz w:val="20"/>
      <w:szCs w:val="20"/>
    </w:rPr>
  </w:style>
  <w:style w:type="character" w:customStyle="1" w:styleId="Heading5Char">
    <w:name w:val="Heading 5 Char"/>
    <w:basedOn w:val="DefaultParagraphFont"/>
    <w:link w:val="Heading5"/>
    <w:uiPriority w:val="9"/>
    <w:semiHidden/>
    <w:rsid w:val="00877F09"/>
    <w:rPr>
      <w:rFonts w:asciiTheme="majorHAnsi" w:eastAsiaTheme="majorEastAsia" w:hAnsiTheme="majorHAnsi" w:cstheme="majorBidi"/>
      <w:color w:val="2E74B5" w:themeColor="accent1" w:themeShade="BF"/>
      <w:sz w:val="20"/>
      <w:szCs w:val="20"/>
    </w:rPr>
  </w:style>
  <w:style w:type="character" w:customStyle="1" w:styleId="Heading6Char">
    <w:name w:val="Heading 6 Char"/>
    <w:basedOn w:val="DefaultParagraphFont"/>
    <w:link w:val="Heading6"/>
    <w:uiPriority w:val="9"/>
    <w:semiHidden/>
    <w:rsid w:val="00877F09"/>
    <w:rPr>
      <w:rFonts w:asciiTheme="majorHAnsi" w:eastAsiaTheme="majorEastAsia" w:hAnsiTheme="majorHAnsi" w:cstheme="majorBidi"/>
      <w:color w:val="1F4D78" w:themeColor="accent1" w:themeShade="7F"/>
      <w:sz w:val="20"/>
      <w:szCs w:val="20"/>
    </w:rPr>
  </w:style>
  <w:style w:type="character" w:customStyle="1" w:styleId="Heading7Char">
    <w:name w:val="Heading 7 Char"/>
    <w:basedOn w:val="DefaultParagraphFont"/>
    <w:link w:val="Heading7"/>
    <w:uiPriority w:val="9"/>
    <w:semiHidden/>
    <w:rsid w:val="00877F09"/>
    <w:rPr>
      <w:rFonts w:asciiTheme="majorHAnsi" w:eastAsiaTheme="majorEastAsia" w:hAnsiTheme="majorHAnsi" w:cstheme="majorBidi"/>
      <w:i/>
      <w:iCs/>
      <w:color w:val="1F4D78" w:themeColor="accent1" w:themeShade="7F"/>
      <w:sz w:val="20"/>
      <w:szCs w:val="20"/>
    </w:rPr>
  </w:style>
  <w:style w:type="character" w:customStyle="1" w:styleId="Heading8Char">
    <w:name w:val="Heading 8 Char"/>
    <w:basedOn w:val="DefaultParagraphFont"/>
    <w:link w:val="Heading8"/>
    <w:uiPriority w:val="9"/>
    <w:semiHidden/>
    <w:rsid w:val="00877F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7F09"/>
    <w:rPr>
      <w:rFonts w:asciiTheme="majorHAnsi" w:eastAsiaTheme="majorEastAsia" w:hAnsiTheme="majorHAnsi" w:cstheme="majorBidi"/>
      <w:i/>
      <w:iCs/>
      <w:color w:val="272727" w:themeColor="text1" w:themeTint="D8"/>
      <w:sz w:val="21"/>
      <w:szCs w:val="21"/>
    </w:rPr>
  </w:style>
  <w:style w:type="character" w:customStyle="1" w:styleId="scxw223372243">
    <w:name w:val="scxw223372243"/>
    <w:basedOn w:val="DefaultParagraphFont"/>
    <w:rsid w:val="00CC4CEF"/>
  </w:style>
  <w:style w:type="character" w:customStyle="1" w:styleId="mi">
    <w:name w:val="mi"/>
    <w:basedOn w:val="DefaultParagraphFont"/>
    <w:rsid w:val="00CC4CEF"/>
  </w:style>
  <w:style w:type="character" w:customStyle="1" w:styleId="mo">
    <w:name w:val="mo"/>
    <w:basedOn w:val="DefaultParagraphFont"/>
    <w:rsid w:val="00CC4CEF"/>
  </w:style>
  <w:style w:type="character" w:customStyle="1" w:styleId="mn">
    <w:name w:val="mn"/>
    <w:basedOn w:val="DefaultParagraphFont"/>
    <w:rsid w:val="00CC4CEF"/>
  </w:style>
  <w:style w:type="character" w:customStyle="1" w:styleId="mjxassistivemathml">
    <w:name w:val="mjx_assistive_mathml"/>
    <w:basedOn w:val="DefaultParagraphFont"/>
    <w:rsid w:val="00CC4CEF"/>
  </w:style>
  <w:style w:type="character" w:styleId="PlaceholderText">
    <w:name w:val="Placeholder Text"/>
    <w:basedOn w:val="DefaultParagraphFont"/>
    <w:uiPriority w:val="99"/>
    <w:semiHidden/>
    <w:rsid w:val="00E219AA"/>
    <w:rPr>
      <w:color w:val="808080"/>
    </w:rPr>
  </w:style>
  <w:style w:type="paragraph" w:styleId="Bibliography">
    <w:name w:val="Bibliography"/>
    <w:basedOn w:val="Normal"/>
    <w:next w:val="Normal"/>
    <w:uiPriority w:val="37"/>
    <w:unhideWhenUsed/>
    <w:rsid w:val="00D0437E"/>
    <w:pPr>
      <w:tabs>
        <w:tab w:val="left" w:pos="264"/>
      </w:tabs>
      <w:spacing w:after="240" w:line="240" w:lineRule="auto"/>
      <w:ind w:left="264" w:hanging="264"/>
    </w:pPr>
  </w:style>
  <w:style w:type="character" w:customStyle="1" w:styleId="mathspan">
    <w:name w:val="mathspan"/>
    <w:basedOn w:val="DefaultParagraphFont"/>
    <w:rsid w:val="00CD2BD0"/>
  </w:style>
  <w:style w:type="character" w:customStyle="1" w:styleId="scxw125768466">
    <w:name w:val="scxw125768466"/>
    <w:basedOn w:val="DefaultParagraphFont"/>
    <w:rsid w:val="00CD2BD0"/>
  </w:style>
  <w:style w:type="character" w:customStyle="1" w:styleId="scxw200527007">
    <w:name w:val="scxw200527007"/>
    <w:basedOn w:val="DefaultParagraphFont"/>
    <w:rsid w:val="006B2018"/>
  </w:style>
  <w:style w:type="character" w:customStyle="1" w:styleId="equationplaceholdertext">
    <w:name w:val="equationplaceholdertext"/>
    <w:basedOn w:val="DefaultParagraphFont"/>
    <w:rsid w:val="006B2018"/>
  </w:style>
  <w:style w:type="character" w:styleId="HTMLCite">
    <w:name w:val="HTML Cite"/>
    <w:basedOn w:val="DefaultParagraphFont"/>
    <w:uiPriority w:val="99"/>
    <w:semiHidden/>
    <w:unhideWhenUsed/>
    <w:rsid w:val="000F5B63"/>
    <w:rPr>
      <w:i/>
      <w:iCs/>
    </w:rPr>
  </w:style>
  <w:style w:type="character" w:customStyle="1" w:styleId="cs1-kern-right">
    <w:name w:val="cs1-kern-right"/>
    <w:basedOn w:val="DefaultParagraphFont"/>
    <w:rsid w:val="000F5B63"/>
  </w:style>
  <w:style w:type="character" w:styleId="Strong">
    <w:name w:val="Strong"/>
    <w:basedOn w:val="DefaultParagraphFont"/>
    <w:uiPriority w:val="22"/>
    <w:qFormat/>
    <w:rsid w:val="000F5B63"/>
    <w:rPr>
      <w:b/>
      <w:bCs/>
    </w:rPr>
  </w:style>
  <w:style w:type="character" w:styleId="Emphasis">
    <w:name w:val="Emphasis"/>
    <w:basedOn w:val="DefaultParagraphFont"/>
    <w:uiPriority w:val="20"/>
    <w:qFormat/>
    <w:rsid w:val="000F5B63"/>
    <w:rPr>
      <w:i/>
      <w:iCs/>
    </w:rPr>
  </w:style>
  <w:style w:type="character" w:customStyle="1" w:styleId="UnresolvedMention10">
    <w:name w:val="Unresolved Mention10"/>
    <w:basedOn w:val="DefaultParagraphFont"/>
    <w:uiPriority w:val="99"/>
    <w:semiHidden/>
    <w:unhideWhenUsed/>
    <w:rsid w:val="00BC4C2F"/>
    <w:rPr>
      <w:color w:val="605E5C"/>
      <w:shd w:val="clear" w:color="auto" w:fill="E1DFDD"/>
    </w:rPr>
  </w:style>
  <w:style w:type="character" w:customStyle="1" w:styleId="Mention1">
    <w:name w:val="Mention1"/>
    <w:basedOn w:val="DefaultParagraphFont"/>
    <w:uiPriority w:val="99"/>
    <w:unhideWhenUsed/>
    <w:rsid w:val="00BC4C2F"/>
    <w:rPr>
      <w:color w:val="2B579A"/>
      <w:shd w:val="clear" w:color="auto" w:fill="E6E6E6"/>
    </w:rPr>
  </w:style>
  <w:style w:type="paragraph" w:styleId="NormalWeb">
    <w:name w:val="Normal (Web)"/>
    <w:basedOn w:val="Normal"/>
    <w:uiPriority w:val="99"/>
    <w:unhideWhenUsed/>
    <w:rsid w:val="00BC4C2F"/>
    <w:pPr>
      <w:spacing w:before="100" w:beforeAutospacing="1" w:after="100" w:afterAutospacing="1" w:line="240" w:lineRule="auto"/>
    </w:pPr>
    <w:rPr>
      <w:rFonts w:eastAsia="Times New Roman"/>
      <w:sz w:val="24"/>
      <w:szCs w:val="24"/>
    </w:rPr>
  </w:style>
  <w:style w:type="paragraph" w:styleId="Revision">
    <w:name w:val="Revision"/>
    <w:hidden/>
    <w:uiPriority w:val="99"/>
    <w:semiHidden/>
    <w:rsid w:val="00BA7539"/>
    <w:pPr>
      <w:spacing w:after="0" w:line="240" w:lineRule="auto"/>
    </w:pPr>
  </w:style>
  <w:style w:type="character" w:customStyle="1" w:styleId="Mention2">
    <w:name w:val="Mention2"/>
    <w:basedOn w:val="DefaultParagraphFont"/>
    <w:uiPriority w:val="99"/>
    <w:unhideWhenUsed/>
    <w:rsid w:val="000232C3"/>
    <w:rPr>
      <w:color w:val="2B579A"/>
      <w:shd w:val="clear" w:color="auto" w:fill="E6E6E6"/>
    </w:rPr>
  </w:style>
  <w:style w:type="table" w:styleId="GridTable1Light">
    <w:name w:val="Grid Table 1 Light"/>
    <w:basedOn w:val="TableNormal"/>
    <w:uiPriority w:val="46"/>
    <w:rsid w:val="008E67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8E67F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E67FB"/>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GridLight">
    <w:name w:val="Grid Table Light"/>
    <w:basedOn w:val="TableNormal"/>
    <w:uiPriority w:val="40"/>
    <w:rsid w:val="008E67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E67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
    <w:name w:val="Table"/>
    <w:basedOn w:val="Heading3"/>
    <w:link w:val="TableChar"/>
    <w:qFormat/>
    <w:rsid w:val="00E93D6A"/>
    <w:pPr>
      <w:numPr>
        <w:ilvl w:val="1"/>
        <w:numId w:val="1"/>
      </w:numPr>
    </w:pPr>
  </w:style>
  <w:style w:type="character" w:customStyle="1" w:styleId="TableChar">
    <w:name w:val="Table Char"/>
    <w:basedOn w:val="Heading2Char"/>
    <w:link w:val="Table"/>
    <w:rsid w:val="00E93D6A"/>
    <w:rPr>
      <w:rFonts w:ascii="Times New Roman" w:eastAsiaTheme="majorEastAsia" w:hAnsi="Times New Roman" w:cs="Times New Roman"/>
      <w:b w:val="0"/>
      <w:color w:val="2E74B5" w:themeColor="accent1" w:themeShade="BF"/>
      <w:sz w:val="20"/>
      <w:szCs w:val="20"/>
    </w:rPr>
  </w:style>
  <w:style w:type="paragraph" w:customStyle="1" w:styleId="Figure">
    <w:name w:val="Figure"/>
    <w:link w:val="FigureChar"/>
    <w:qFormat/>
    <w:rsid w:val="00434C2A"/>
    <w:rPr>
      <w:rFonts w:ascii="Times New Roman" w:eastAsiaTheme="majorEastAsia" w:hAnsi="Times New Roman" w:cs="Times New Roman"/>
      <w:color w:val="2E74B5" w:themeColor="accent1" w:themeShade="BF"/>
      <w:sz w:val="20"/>
      <w:szCs w:val="20"/>
      <w:lang w:val="en-GB"/>
    </w:rPr>
  </w:style>
  <w:style w:type="character" w:customStyle="1" w:styleId="FigureChar">
    <w:name w:val="Figure Char"/>
    <w:basedOn w:val="TableChar"/>
    <w:link w:val="Figure"/>
    <w:rsid w:val="00434C2A"/>
    <w:rPr>
      <w:rFonts w:ascii="Times New Roman" w:eastAsiaTheme="majorEastAsia" w:hAnsi="Times New Roman" w:cs="Times New Roman"/>
      <w:b/>
      <w:color w:val="2E74B5" w:themeColor="accent1" w:themeShade="BF"/>
      <w:sz w:val="20"/>
      <w:szCs w:val="20"/>
      <w:lang w:val="en-GB"/>
    </w:rPr>
  </w:style>
  <w:style w:type="character" w:customStyle="1" w:styleId="findhit">
    <w:name w:val="findhit"/>
    <w:basedOn w:val="DefaultParagraphFont"/>
    <w:rsid w:val="004570F1"/>
  </w:style>
  <w:style w:type="paragraph" w:styleId="TOC4">
    <w:name w:val="toc 4"/>
    <w:basedOn w:val="Normal"/>
    <w:next w:val="Normal"/>
    <w:autoRedefine/>
    <w:uiPriority w:val="39"/>
    <w:semiHidden/>
    <w:unhideWhenUsed/>
    <w:rsid w:val="00834C6A"/>
    <w:pPr>
      <w:spacing w:after="0"/>
      <w:ind w:left="660"/>
    </w:pPr>
    <w:rPr>
      <w:rFonts w:asciiTheme="minorHAnsi" w:hAnsiTheme="minorHAnsi" w:cstheme="minorHAnsi"/>
    </w:rPr>
  </w:style>
  <w:style w:type="character" w:customStyle="1" w:styleId="UnresolvedMention2">
    <w:name w:val="Unresolved Mention2"/>
    <w:basedOn w:val="DefaultParagraphFont"/>
    <w:uiPriority w:val="99"/>
    <w:semiHidden/>
    <w:unhideWhenUsed/>
    <w:rsid w:val="00AB2E28"/>
    <w:rPr>
      <w:color w:val="605E5C"/>
      <w:shd w:val="clear" w:color="auto" w:fill="E1DFDD"/>
    </w:rPr>
  </w:style>
  <w:style w:type="character" w:customStyle="1" w:styleId="Mention3">
    <w:name w:val="Mention3"/>
    <w:basedOn w:val="DefaultParagraphFont"/>
    <w:uiPriority w:val="99"/>
    <w:unhideWhenUsed/>
    <w:rsid w:val="000B7715"/>
    <w:rPr>
      <w:color w:val="2B579A"/>
      <w:shd w:val="clear" w:color="auto" w:fill="E6E6E6"/>
    </w:rPr>
  </w:style>
  <w:style w:type="paragraph" w:styleId="TOC5">
    <w:name w:val="toc 5"/>
    <w:basedOn w:val="Normal"/>
    <w:next w:val="Normal"/>
    <w:autoRedefine/>
    <w:uiPriority w:val="39"/>
    <w:semiHidden/>
    <w:unhideWhenUsed/>
    <w:rsid w:val="00834C6A"/>
    <w:pPr>
      <w:spacing w:after="0"/>
      <w:ind w:left="880"/>
    </w:pPr>
    <w:rPr>
      <w:rFonts w:asciiTheme="minorHAnsi" w:hAnsiTheme="minorHAnsi" w:cstheme="minorHAnsi"/>
    </w:rPr>
  </w:style>
  <w:style w:type="character" w:styleId="PageNumber">
    <w:name w:val="page number"/>
    <w:basedOn w:val="DefaultParagraphFont"/>
    <w:uiPriority w:val="99"/>
    <w:semiHidden/>
    <w:unhideWhenUsed/>
    <w:rsid w:val="003135B8"/>
  </w:style>
  <w:style w:type="character" w:customStyle="1" w:styleId="UnresolvedMention3">
    <w:name w:val="Unresolved Mention3"/>
    <w:basedOn w:val="DefaultParagraphFont"/>
    <w:uiPriority w:val="99"/>
    <w:unhideWhenUsed/>
    <w:rsid w:val="00B81AF9"/>
    <w:rPr>
      <w:color w:val="605E5C"/>
      <w:shd w:val="clear" w:color="auto" w:fill="E1DFDD"/>
    </w:rPr>
  </w:style>
  <w:style w:type="character" w:customStyle="1" w:styleId="Mention4">
    <w:name w:val="Mention4"/>
    <w:basedOn w:val="DefaultParagraphFont"/>
    <w:uiPriority w:val="99"/>
    <w:unhideWhenUsed/>
    <w:rsid w:val="00B81AF9"/>
    <w:rPr>
      <w:color w:val="2B579A"/>
      <w:shd w:val="clear" w:color="auto" w:fill="E1DFDD"/>
    </w:rPr>
  </w:style>
  <w:style w:type="paragraph" w:styleId="TOC6">
    <w:name w:val="toc 6"/>
    <w:basedOn w:val="Normal"/>
    <w:next w:val="Normal"/>
    <w:autoRedefine/>
    <w:uiPriority w:val="39"/>
    <w:semiHidden/>
    <w:unhideWhenUsed/>
    <w:rsid w:val="00834C6A"/>
    <w:pPr>
      <w:spacing w:after="0"/>
      <w:ind w:left="1100"/>
    </w:pPr>
    <w:rPr>
      <w:rFonts w:asciiTheme="minorHAnsi" w:hAnsiTheme="minorHAnsi" w:cstheme="minorHAnsi"/>
    </w:rPr>
  </w:style>
  <w:style w:type="paragraph" w:styleId="TOC7">
    <w:name w:val="toc 7"/>
    <w:basedOn w:val="Normal"/>
    <w:next w:val="Normal"/>
    <w:autoRedefine/>
    <w:uiPriority w:val="39"/>
    <w:semiHidden/>
    <w:unhideWhenUsed/>
    <w:rsid w:val="00834C6A"/>
    <w:pPr>
      <w:spacing w:after="0"/>
      <w:ind w:left="1320"/>
    </w:pPr>
    <w:rPr>
      <w:rFonts w:asciiTheme="minorHAnsi" w:hAnsiTheme="minorHAnsi" w:cstheme="minorHAnsi"/>
    </w:rPr>
  </w:style>
  <w:style w:type="paragraph" w:styleId="TOC8">
    <w:name w:val="toc 8"/>
    <w:basedOn w:val="Normal"/>
    <w:next w:val="Normal"/>
    <w:autoRedefine/>
    <w:uiPriority w:val="39"/>
    <w:semiHidden/>
    <w:unhideWhenUsed/>
    <w:rsid w:val="00834C6A"/>
    <w:pPr>
      <w:spacing w:after="0"/>
      <w:ind w:left="1540"/>
    </w:pPr>
    <w:rPr>
      <w:rFonts w:asciiTheme="minorHAnsi" w:hAnsiTheme="minorHAnsi" w:cstheme="minorHAnsi"/>
    </w:rPr>
  </w:style>
  <w:style w:type="paragraph" w:styleId="TOC9">
    <w:name w:val="toc 9"/>
    <w:basedOn w:val="Normal"/>
    <w:next w:val="Normal"/>
    <w:autoRedefine/>
    <w:uiPriority w:val="39"/>
    <w:semiHidden/>
    <w:unhideWhenUsed/>
    <w:rsid w:val="00834C6A"/>
    <w:pPr>
      <w:spacing w:after="0"/>
      <w:ind w:left="1760"/>
    </w:pPr>
    <w:rPr>
      <w:rFonts w:asciiTheme="minorHAnsi" w:hAnsiTheme="minorHAnsi" w:cstheme="minorHAnsi"/>
    </w:rPr>
  </w:style>
  <w:style w:type="character" w:customStyle="1" w:styleId="Mention5">
    <w:name w:val="Mention5"/>
    <w:basedOn w:val="DefaultParagraphFont"/>
    <w:uiPriority w:val="99"/>
    <w:unhideWhenUsed/>
    <w:rsid w:val="00686543"/>
    <w:rPr>
      <w:color w:val="2B579A"/>
      <w:shd w:val="clear" w:color="auto" w:fill="E6E6E6"/>
    </w:rPr>
  </w:style>
  <w:style w:type="character" w:customStyle="1" w:styleId="UnresolvedMention4">
    <w:name w:val="Unresolved Mention4"/>
    <w:basedOn w:val="DefaultParagraphFont"/>
    <w:uiPriority w:val="99"/>
    <w:unhideWhenUsed/>
    <w:rsid w:val="00686543"/>
    <w:rPr>
      <w:color w:val="605E5C"/>
      <w:shd w:val="clear" w:color="auto" w:fill="E1DFDD"/>
    </w:rPr>
  </w:style>
  <w:style w:type="character" w:customStyle="1" w:styleId="Mention6">
    <w:name w:val="Mention6"/>
    <w:basedOn w:val="DefaultParagraphFont"/>
    <w:uiPriority w:val="99"/>
    <w:unhideWhenUsed/>
    <w:rPr>
      <w:color w:val="2B579A"/>
      <w:shd w:val="clear" w:color="auto" w:fill="E6E6E6"/>
    </w:rPr>
  </w:style>
  <w:style w:type="character" w:customStyle="1" w:styleId="UnresolvedMention5">
    <w:name w:val="Unresolved Mention5"/>
    <w:basedOn w:val="DefaultParagraphFont"/>
    <w:uiPriority w:val="99"/>
    <w:semiHidden/>
    <w:unhideWhenUsed/>
    <w:rsid w:val="00774550"/>
    <w:rPr>
      <w:color w:val="605E5C"/>
      <w:shd w:val="clear" w:color="auto" w:fill="E1DFDD"/>
    </w:rPr>
  </w:style>
  <w:style w:type="character" w:customStyle="1" w:styleId="Mention7">
    <w:name w:val="Mention7"/>
    <w:basedOn w:val="DefaultParagraphFont"/>
    <w:uiPriority w:val="99"/>
    <w:unhideWhenUsed/>
    <w:rPr>
      <w:color w:val="2B579A"/>
      <w:shd w:val="clear" w:color="auto" w:fill="E6E6E6"/>
    </w:rPr>
  </w:style>
  <w:style w:type="character" w:customStyle="1" w:styleId="tabchar">
    <w:name w:val="tabchar"/>
    <w:basedOn w:val="DefaultParagraphFont"/>
    <w:rsid w:val="00AF02FD"/>
  </w:style>
  <w:style w:type="character" w:customStyle="1" w:styleId="Mention8">
    <w:name w:val="Mention8"/>
    <w:basedOn w:val="DefaultParagraphFont"/>
    <w:uiPriority w:val="99"/>
    <w:unhideWhenUsed/>
    <w:rsid w:val="00E83539"/>
    <w:rPr>
      <w:color w:val="2B579A"/>
      <w:shd w:val="clear" w:color="auto" w:fill="E1DFDD"/>
    </w:rPr>
  </w:style>
  <w:style w:type="paragraph" w:customStyle="1" w:styleId="Tabletext">
    <w:name w:val="Table text"/>
    <w:basedOn w:val="Normal"/>
    <w:link w:val="TabletextChar"/>
    <w:qFormat/>
    <w:rsid w:val="00BC3AE0"/>
    <w:pPr>
      <w:spacing w:after="0" w:line="240" w:lineRule="auto"/>
    </w:pPr>
    <w:rPr>
      <w:sz w:val="16"/>
      <w:szCs w:val="16"/>
      <w:lang w:val="en-GB"/>
    </w:rPr>
  </w:style>
  <w:style w:type="character" w:customStyle="1" w:styleId="TabletextChar">
    <w:name w:val="Table text Char"/>
    <w:basedOn w:val="DefaultParagraphFont"/>
    <w:link w:val="Tabletext"/>
    <w:rsid w:val="00BC3AE0"/>
    <w:rPr>
      <w:rFonts w:ascii="Times New Roman" w:hAnsi="Times New Roman" w:cs="Times New Roman"/>
      <w:sz w:val="16"/>
      <w:szCs w:val="16"/>
      <w:lang w:val="en-GB"/>
    </w:rPr>
  </w:style>
  <w:style w:type="character" w:customStyle="1" w:styleId="UnresolvedMention6">
    <w:name w:val="Unresolved Mention6"/>
    <w:basedOn w:val="DefaultParagraphFont"/>
    <w:uiPriority w:val="99"/>
    <w:unhideWhenUsed/>
    <w:rsid w:val="00E83539"/>
    <w:rPr>
      <w:color w:val="605E5C"/>
      <w:shd w:val="clear" w:color="auto" w:fill="E1DFDD"/>
    </w:rPr>
  </w:style>
  <w:style w:type="character" w:customStyle="1" w:styleId="Mention80">
    <w:name w:val="Mention80"/>
    <w:basedOn w:val="DefaultParagraphFont"/>
    <w:uiPriority w:val="99"/>
    <w:unhideWhenUsed/>
    <w:rsid w:val="00E83539"/>
    <w:rPr>
      <w:color w:val="2B579A"/>
      <w:shd w:val="clear" w:color="auto" w:fill="E1DFDD"/>
    </w:rPr>
  </w:style>
  <w:style w:type="character" w:customStyle="1" w:styleId="Mention800">
    <w:name w:val="Mention800"/>
    <w:basedOn w:val="DefaultParagraphFont"/>
    <w:uiPriority w:val="99"/>
    <w:unhideWhenUsed/>
    <w:rsid w:val="00540C4E"/>
    <w:rPr>
      <w:color w:val="2B579A"/>
      <w:shd w:val="clear" w:color="auto" w:fill="E1DFDD"/>
    </w:rPr>
  </w:style>
  <w:style w:type="character" w:customStyle="1" w:styleId="Mention8000">
    <w:name w:val="Mention8000"/>
    <w:basedOn w:val="DefaultParagraphFont"/>
    <w:uiPriority w:val="99"/>
    <w:unhideWhenUsed/>
    <w:rsid w:val="00BC0CAF"/>
    <w:rPr>
      <w:color w:val="2B579A"/>
      <w:shd w:val="clear" w:color="auto" w:fill="E1DFDD"/>
    </w:rPr>
  </w:style>
  <w:style w:type="character" w:customStyle="1" w:styleId="Mention8000000">
    <w:name w:val="Mention8000000"/>
    <w:basedOn w:val="DefaultParagraphFont"/>
    <w:uiPriority w:val="99"/>
    <w:unhideWhenUsed/>
    <w:rsid w:val="00863D19"/>
    <w:rPr>
      <w:color w:val="2B579A"/>
      <w:shd w:val="clear" w:color="auto" w:fill="E1DFDD"/>
    </w:rPr>
  </w:style>
  <w:style w:type="character" w:customStyle="1" w:styleId="Mention8000001">
    <w:name w:val="Mention8000001"/>
    <w:basedOn w:val="DefaultParagraphFont"/>
    <w:uiPriority w:val="99"/>
    <w:unhideWhenUsed/>
    <w:rsid w:val="001A039E"/>
    <w:rPr>
      <w:color w:val="2B579A"/>
      <w:shd w:val="clear" w:color="auto" w:fill="E1DFDD"/>
    </w:rPr>
  </w:style>
  <w:style w:type="character" w:customStyle="1" w:styleId="Mention80000">
    <w:name w:val="Mention80000"/>
    <w:basedOn w:val="DefaultParagraphFont"/>
    <w:uiPriority w:val="99"/>
    <w:unhideWhenUsed/>
    <w:rsid w:val="00AD05C9"/>
    <w:rPr>
      <w:color w:val="2B579A"/>
      <w:shd w:val="clear" w:color="auto" w:fill="E1DFDD"/>
    </w:rPr>
  </w:style>
  <w:style w:type="character" w:customStyle="1" w:styleId="Mention800000">
    <w:name w:val="Mention800000"/>
    <w:basedOn w:val="DefaultParagraphFont"/>
    <w:uiPriority w:val="99"/>
    <w:unhideWhenUsed/>
    <w:rsid w:val="00542537"/>
    <w:rPr>
      <w:color w:val="2B579A"/>
      <w:shd w:val="clear" w:color="auto" w:fill="E1DFDD"/>
    </w:rPr>
  </w:style>
  <w:style w:type="character" w:customStyle="1" w:styleId="Mention8000002">
    <w:name w:val="Mention8000002"/>
    <w:basedOn w:val="DefaultParagraphFont"/>
    <w:uiPriority w:val="99"/>
    <w:unhideWhenUsed/>
    <w:rsid w:val="00B0641A"/>
    <w:rPr>
      <w:color w:val="2B579A"/>
      <w:shd w:val="clear" w:color="auto" w:fill="E1DFDD"/>
    </w:rPr>
  </w:style>
  <w:style w:type="character" w:customStyle="1" w:styleId="Mention9">
    <w:name w:val="Mention9"/>
    <w:basedOn w:val="DefaultParagraphFont"/>
    <w:uiPriority w:val="99"/>
    <w:unhideWhenUsed/>
    <w:rsid w:val="00F140D1"/>
    <w:rPr>
      <w:color w:val="2B579A"/>
      <w:shd w:val="clear" w:color="auto" w:fill="E6E6E6"/>
    </w:rPr>
  </w:style>
  <w:style w:type="character" w:customStyle="1" w:styleId="UnresolvedMention7">
    <w:name w:val="Unresolved Mention7"/>
    <w:basedOn w:val="DefaultParagraphFont"/>
    <w:uiPriority w:val="99"/>
    <w:unhideWhenUsed/>
    <w:rsid w:val="00F140D1"/>
    <w:rPr>
      <w:color w:val="605E5C"/>
      <w:shd w:val="clear" w:color="auto" w:fill="E1DFDD"/>
    </w:rPr>
  </w:style>
  <w:style w:type="character" w:customStyle="1" w:styleId="Mention80000020">
    <w:name w:val="Mention80000020"/>
    <w:basedOn w:val="DefaultParagraphFont"/>
    <w:uiPriority w:val="99"/>
    <w:unhideWhenUsed/>
    <w:rsid w:val="00D669AE"/>
    <w:rPr>
      <w:color w:val="2B579A"/>
      <w:shd w:val="clear" w:color="auto" w:fill="E1DFDD"/>
    </w:rPr>
  </w:style>
  <w:style w:type="character" w:customStyle="1" w:styleId="Mention800000200">
    <w:name w:val="Mention800000200"/>
    <w:basedOn w:val="DefaultParagraphFont"/>
    <w:uiPriority w:val="99"/>
    <w:unhideWhenUsed/>
    <w:rsid w:val="004F49B8"/>
    <w:rPr>
      <w:color w:val="2B579A"/>
      <w:shd w:val="clear" w:color="auto" w:fill="E1DFDD"/>
    </w:rPr>
  </w:style>
  <w:style w:type="character" w:customStyle="1" w:styleId="Mention8000002000">
    <w:name w:val="Mention8000002000"/>
    <w:basedOn w:val="DefaultParagraphFont"/>
    <w:uiPriority w:val="99"/>
    <w:unhideWhenUsed/>
    <w:rsid w:val="001B11F7"/>
    <w:rPr>
      <w:color w:val="2B579A"/>
      <w:shd w:val="clear" w:color="auto" w:fill="E1DFDD"/>
    </w:rPr>
  </w:style>
  <w:style w:type="character" w:customStyle="1" w:styleId="UnresolvedMention8">
    <w:name w:val="Unresolved Mention8"/>
    <w:basedOn w:val="DefaultParagraphFont"/>
    <w:uiPriority w:val="99"/>
    <w:unhideWhenUsed/>
    <w:rsid w:val="000049B7"/>
    <w:rPr>
      <w:color w:val="605E5C"/>
      <w:shd w:val="clear" w:color="auto" w:fill="E1DFDD"/>
    </w:rPr>
  </w:style>
  <w:style w:type="character" w:customStyle="1" w:styleId="Mention10">
    <w:name w:val="Mention10"/>
    <w:basedOn w:val="DefaultParagraphFont"/>
    <w:uiPriority w:val="99"/>
    <w:unhideWhenUsed/>
    <w:rsid w:val="000049B7"/>
    <w:rPr>
      <w:color w:val="2B579A"/>
      <w:shd w:val="clear" w:color="auto" w:fill="E1DFDD"/>
    </w:rPr>
  </w:style>
  <w:style w:type="character" w:customStyle="1" w:styleId="Mention80000020000">
    <w:name w:val="Mention80000020000"/>
    <w:basedOn w:val="DefaultParagraphFont"/>
    <w:uiPriority w:val="99"/>
    <w:unhideWhenUsed/>
    <w:rsid w:val="00B879F0"/>
    <w:rPr>
      <w:color w:val="2B579A"/>
      <w:shd w:val="clear" w:color="auto" w:fill="E1DFDD"/>
    </w:rPr>
  </w:style>
  <w:style w:type="character" w:customStyle="1" w:styleId="Mention800000200000">
    <w:name w:val="Mention800000200000"/>
    <w:basedOn w:val="DefaultParagraphFont"/>
    <w:uiPriority w:val="99"/>
    <w:unhideWhenUsed/>
    <w:rsid w:val="00CE6193"/>
    <w:rPr>
      <w:color w:val="2B579A"/>
      <w:shd w:val="clear" w:color="auto" w:fill="E1DFDD"/>
    </w:rPr>
  </w:style>
  <w:style w:type="character" w:customStyle="1" w:styleId="scxw100904999">
    <w:name w:val="scxw100904999"/>
    <w:basedOn w:val="DefaultParagraphFont"/>
    <w:rsid w:val="00A2548D"/>
  </w:style>
  <w:style w:type="character" w:styleId="HTMLCode">
    <w:name w:val="HTML Code"/>
    <w:basedOn w:val="DefaultParagraphFont"/>
    <w:uiPriority w:val="99"/>
    <w:semiHidden/>
    <w:unhideWhenUsed/>
    <w:rsid w:val="007C5107"/>
    <w:rPr>
      <w:rFonts w:ascii="Courier New" w:eastAsia="Times New Roman" w:hAnsi="Courier New" w:cs="Courier New"/>
      <w:sz w:val="20"/>
      <w:szCs w:val="20"/>
    </w:rPr>
  </w:style>
  <w:style w:type="character" w:customStyle="1" w:styleId="markq5akav2es">
    <w:name w:val="markq5akav2es"/>
    <w:basedOn w:val="DefaultParagraphFont"/>
    <w:rsid w:val="007C5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5168">
      <w:bodyDiv w:val="1"/>
      <w:marLeft w:val="0"/>
      <w:marRight w:val="0"/>
      <w:marTop w:val="0"/>
      <w:marBottom w:val="0"/>
      <w:divBdr>
        <w:top w:val="none" w:sz="0" w:space="0" w:color="auto"/>
        <w:left w:val="none" w:sz="0" w:space="0" w:color="auto"/>
        <w:bottom w:val="none" w:sz="0" w:space="0" w:color="auto"/>
        <w:right w:val="none" w:sz="0" w:space="0" w:color="auto"/>
      </w:divBdr>
    </w:div>
    <w:div w:id="161817343">
      <w:bodyDiv w:val="1"/>
      <w:marLeft w:val="0"/>
      <w:marRight w:val="0"/>
      <w:marTop w:val="0"/>
      <w:marBottom w:val="0"/>
      <w:divBdr>
        <w:top w:val="none" w:sz="0" w:space="0" w:color="auto"/>
        <w:left w:val="none" w:sz="0" w:space="0" w:color="auto"/>
        <w:bottom w:val="none" w:sz="0" w:space="0" w:color="auto"/>
        <w:right w:val="none" w:sz="0" w:space="0" w:color="auto"/>
      </w:divBdr>
      <w:divsChild>
        <w:div w:id="399719825">
          <w:marLeft w:val="0"/>
          <w:marRight w:val="0"/>
          <w:marTop w:val="0"/>
          <w:marBottom w:val="0"/>
          <w:divBdr>
            <w:top w:val="none" w:sz="0" w:space="0" w:color="auto"/>
            <w:left w:val="none" w:sz="0" w:space="0" w:color="auto"/>
            <w:bottom w:val="none" w:sz="0" w:space="0" w:color="auto"/>
            <w:right w:val="none" w:sz="0" w:space="0" w:color="auto"/>
          </w:divBdr>
        </w:div>
        <w:div w:id="1310594440">
          <w:marLeft w:val="0"/>
          <w:marRight w:val="0"/>
          <w:marTop w:val="0"/>
          <w:marBottom w:val="0"/>
          <w:divBdr>
            <w:top w:val="none" w:sz="0" w:space="0" w:color="auto"/>
            <w:left w:val="none" w:sz="0" w:space="0" w:color="auto"/>
            <w:bottom w:val="none" w:sz="0" w:space="0" w:color="auto"/>
            <w:right w:val="none" w:sz="0" w:space="0" w:color="auto"/>
          </w:divBdr>
        </w:div>
      </w:divsChild>
    </w:div>
    <w:div w:id="224529996">
      <w:bodyDiv w:val="1"/>
      <w:marLeft w:val="0"/>
      <w:marRight w:val="0"/>
      <w:marTop w:val="0"/>
      <w:marBottom w:val="0"/>
      <w:divBdr>
        <w:top w:val="none" w:sz="0" w:space="0" w:color="auto"/>
        <w:left w:val="none" w:sz="0" w:space="0" w:color="auto"/>
        <w:bottom w:val="none" w:sz="0" w:space="0" w:color="auto"/>
        <w:right w:val="none" w:sz="0" w:space="0" w:color="auto"/>
      </w:divBdr>
      <w:divsChild>
        <w:div w:id="241640924">
          <w:marLeft w:val="0"/>
          <w:marRight w:val="0"/>
          <w:marTop w:val="0"/>
          <w:marBottom w:val="0"/>
          <w:divBdr>
            <w:top w:val="none" w:sz="0" w:space="0" w:color="auto"/>
            <w:left w:val="none" w:sz="0" w:space="0" w:color="auto"/>
            <w:bottom w:val="none" w:sz="0" w:space="0" w:color="auto"/>
            <w:right w:val="none" w:sz="0" w:space="0" w:color="auto"/>
          </w:divBdr>
        </w:div>
        <w:div w:id="214514482">
          <w:marLeft w:val="0"/>
          <w:marRight w:val="0"/>
          <w:marTop w:val="0"/>
          <w:marBottom w:val="0"/>
          <w:divBdr>
            <w:top w:val="none" w:sz="0" w:space="0" w:color="auto"/>
            <w:left w:val="none" w:sz="0" w:space="0" w:color="auto"/>
            <w:bottom w:val="none" w:sz="0" w:space="0" w:color="auto"/>
            <w:right w:val="none" w:sz="0" w:space="0" w:color="auto"/>
          </w:divBdr>
        </w:div>
        <w:div w:id="39477450">
          <w:marLeft w:val="0"/>
          <w:marRight w:val="0"/>
          <w:marTop w:val="0"/>
          <w:marBottom w:val="0"/>
          <w:divBdr>
            <w:top w:val="none" w:sz="0" w:space="0" w:color="auto"/>
            <w:left w:val="none" w:sz="0" w:space="0" w:color="auto"/>
            <w:bottom w:val="none" w:sz="0" w:space="0" w:color="auto"/>
            <w:right w:val="none" w:sz="0" w:space="0" w:color="auto"/>
          </w:divBdr>
        </w:div>
        <w:div w:id="587932513">
          <w:marLeft w:val="0"/>
          <w:marRight w:val="0"/>
          <w:marTop w:val="0"/>
          <w:marBottom w:val="0"/>
          <w:divBdr>
            <w:top w:val="none" w:sz="0" w:space="0" w:color="auto"/>
            <w:left w:val="none" w:sz="0" w:space="0" w:color="auto"/>
            <w:bottom w:val="none" w:sz="0" w:space="0" w:color="auto"/>
            <w:right w:val="none" w:sz="0" w:space="0" w:color="auto"/>
          </w:divBdr>
        </w:div>
        <w:div w:id="1269118111">
          <w:marLeft w:val="0"/>
          <w:marRight w:val="0"/>
          <w:marTop w:val="0"/>
          <w:marBottom w:val="0"/>
          <w:divBdr>
            <w:top w:val="none" w:sz="0" w:space="0" w:color="auto"/>
            <w:left w:val="none" w:sz="0" w:space="0" w:color="auto"/>
            <w:bottom w:val="none" w:sz="0" w:space="0" w:color="auto"/>
            <w:right w:val="none" w:sz="0" w:space="0" w:color="auto"/>
          </w:divBdr>
        </w:div>
        <w:div w:id="1634559462">
          <w:marLeft w:val="0"/>
          <w:marRight w:val="0"/>
          <w:marTop w:val="0"/>
          <w:marBottom w:val="0"/>
          <w:divBdr>
            <w:top w:val="none" w:sz="0" w:space="0" w:color="auto"/>
            <w:left w:val="none" w:sz="0" w:space="0" w:color="auto"/>
            <w:bottom w:val="none" w:sz="0" w:space="0" w:color="auto"/>
            <w:right w:val="none" w:sz="0" w:space="0" w:color="auto"/>
          </w:divBdr>
        </w:div>
        <w:div w:id="1461530934">
          <w:marLeft w:val="0"/>
          <w:marRight w:val="0"/>
          <w:marTop w:val="0"/>
          <w:marBottom w:val="0"/>
          <w:divBdr>
            <w:top w:val="none" w:sz="0" w:space="0" w:color="auto"/>
            <w:left w:val="none" w:sz="0" w:space="0" w:color="auto"/>
            <w:bottom w:val="none" w:sz="0" w:space="0" w:color="auto"/>
            <w:right w:val="none" w:sz="0" w:space="0" w:color="auto"/>
          </w:divBdr>
        </w:div>
        <w:div w:id="1858348541">
          <w:marLeft w:val="0"/>
          <w:marRight w:val="0"/>
          <w:marTop w:val="0"/>
          <w:marBottom w:val="0"/>
          <w:divBdr>
            <w:top w:val="none" w:sz="0" w:space="0" w:color="auto"/>
            <w:left w:val="none" w:sz="0" w:space="0" w:color="auto"/>
            <w:bottom w:val="none" w:sz="0" w:space="0" w:color="auto"/>
            <w:right w:val="none" w:sz="0" w:space="0" w:color="auto"/>
          </w:divBdr>
        </w:div>
        <w:div w:id="380373488">
          <w:marLeft w:val="0"/>
          <w:marRight w:val="0"/>
          <w:marTop w:val="0"/>
          <w:marBottom w:val="0"/>
          <w:divBdr>
            <w:top w:val="none" w:sz="0" w:space="0" w:color="auto"/>
            <w:left w:val="none" w:sz="0" w:space="0" w:color="auto"/>
            <w:bottom w:val="none" w:sz="0" w:space="0" w:color="auto"/>
            <w:right w:val="none" w:sz="0" w:space="0" w:color="auto"/>
          </w:divBdr>
        </w:div>
        <w:div w:id="1487822736">
          <w:marLeft w:val="0"/>
          <w:marRight w:val="0"/>
          <w:marTop w:val="0"/>
          <w:marBottom w:val="0"/>
          <w:divBdr>
            <w:top w:val="none" w:sz="0" w:space="0" w:color="auto"/>
            <w:left w:val="none" w:sz="0" w:space="0" w:color="auto"/>
            <w:bottom w:val="none" w:sz="0" w:space="0" w:color="auto"/>
            <w:right w:val="none" w:sz="0" w:space="0" w:color="auto"/>
          </w:divBdr>
        </w:div>
        <w:div w:id="775827608">
          <w:marLeft w:val="0"/>
          <w:marRight w:val="0"/>
          <w:marTop w:val="0"/>
          <w:marBottom w:val="0"/>
          <w:divBdr>
            <w:top w:val="none" w:sz="0" w:space="0" w:color="auto"/>
            <w:left w:val="none" w:sz="0" w:space="0" w:color="auto"/>
            <w:bottom w:val="none" w:sz="0" w:space="0" w:color="auto"/>
            <w:right w:val="none" w:sz="0" w:space="0" w:color="auto"/>
          </w:divBdr>
        </w:div>
        <w:div w:id="1439564076">
          <w:marLeft w:val="0"/>
          <w:marRight w:val="0"/>
          <w:marTop w:val="0"/>
          <w:marBottom w:val="0"/>
          <w:divBdr>
            <w:top w:val="none" w:sz="0" w:space="0" w:color="auto"/>
            <w:left w:val="none" w:sz="0" w:space="0" w:color="auto"/>
            <w:bottom w:val="none" w:sz="0" w:space="0" w:color="auto"/>
            <w:right w:val="none" w:sz="0" w:space="0" w:color="auto"/>
          </w:divBdr>
        </w:div>
        <w:div w:id="1846705792">
          <w:marLeft w:val="0"/>
          <w:marRight w:val="0"/>
          <w:marTop w:val="0"/>
          <w:marBottom w:val="0"/>
          <w:divBdr>
            <w:top w:val="none" w:sz="0" w:space="0" w:color="auto"/>
            <w:left w:val="none" w:sz="0" w:space="0" w:color="auto"/>
            <w:bottom w:val="none" w:sz="0" w:space="0" w:color="auto"/>
            <w:right w:val="none" w:sz="0" w:space="0" w:color="auto"/>
          </w:divBdr>
        </w:div>
        <w:div w:id="466819797">
          <w:marLeft w:val="0"/>
          <w:marRight w:val="0"/>
          <w:marTop w:val="0"/>
          <w:marBottom w:val="0"/>
          <w:divBdr>
            <w:top w:val="none" w:sz="0" w:space="0" w:color="auto"/>
            <w:left w:val="none" w:sz="0" w:space="0" w:color="auto"/>
            <w:bottom w:val="none" w:sz="0" w:space="0" w:color="auto"/>
            <w:right w:val="none" w:sz="0" w:space="0" w:color="auto"/>
          </w:divBdr>
        </w:div>
        <w:div w:id="1771047809">
          <w:marLeft w:val="0"/>
          <w:marRight w:val="0"/>
          <w:marTop w:val="0"/>
          <w:marBottom w:val="0"/>
          <w:divBdr>
            <w:top w:val="none" w:sz="0" w:space="0" w:color="auto"/>
            <w:left w:val="none" w:sz="0" w:space="0" w:color="auto"/>
            <w:bottom w:val="none" w:sz="0" w:space="0" w:color="auto"/>
            <w:right w:val="none" w:sz="0" w:space="0" w:color="auto"/>
          </w:divBdr>
        </w:div>
        <w:div w:id="1471627151">
          <w:marLeft w:val="0"/>
          <w:marRight w:val="0"/>
          <w:marTop w:val="0"/>
          <w:marBottom w:val="0"/>
          <w:divBdr>
            <w:top w:val="none" w:sz="0" w:space="0" w:color="auto"/>
            <w:left w:val="none" w:sz="0" w:space="0" w:color="auto"/>
            <w:bottom w:val="none" w:sz="0" w:space="0" w:color="auto"/>
            <w:right w:val="none" w:sz="0" w:space="0" w:color="auto"/>
          </w:divBdr>
        </w:div>
        <w:div w:id="872808528">
          <w:marLeft w:val="0"/>
          <w:marRight w:val="0"/>
          <w:marTop w:val="0"/>
          <w:marBottom w:val="0"/>
          <w:divBdr>
            <w:top w:val="none" w:sz="0" w:space="0" w:color="auto"/>
            <w:left w:val="none" w:sz="0" w:space="0" w:color="auto"/>
            <w:bottom w:val="none" w:sz="0" w:space="0" w:color="auto"/>
            <w:right w:val="none" w:sz="0" w:space="0" w:color="auto"/>
          </w:divBdr>
          <w:divsChild>
            <w:div w:id="2074962396">
              <w:marLeft w:val="-75"/>
              <w:marRight w:val="0"/>
              <w:marTop w:val="30"/>
              <w:marBottom w:val="30"/>
              <w:divBdr>
                <w:top w:val="none" w:sz="0" w:space="0" w:color="auto"/>
                <w:left w:val="none" w:sz="0" w:space="0" w:color="auto"/>
                <w:bottom w:val="none" w:sz="0" w:space="0" w:color="auto"/>
                <w:right w:val="none" w:sz="0" w:space="0" w:color="auto"/>
              </w:divBdr>
              <w:divsChild>
                <w:div w:id="1824160964">
                  <w:marLeft w:val="0"/>
                  <w:marRight w:val="0"/>
                  <w:marTop w:val="0"/>
                  <w:marBottom w:val="0"/>
                  <w:divBdr>
                    <w:top w:val="none" w:sz="0" w:space="0" w:color="auto"/>
                    <w:left w:val="none" w:sz="0" w:space="0" w:color="auto"/>
                    <w:bottom w:val="none" w:sz="0" w:space="0" w:color="auto"/>
                    <w:right w:val="none" w:sz="0" w:space="0" w:color="auto"/>
                  </w:divBdr>
                  <w:divsChild>
                    <w:div w:id="1727022444">
                      <w:marLeft w:val="0"/>
                      <w:marRight w:val="0"/>
                      <w:marTop w:val="0"/>
                      <w:marBottom w:val="0"/>
                      <w:divBdr>
                        <w:top w:val="none" w:sz="0" w:space="0" w:color="auto"/>
                        <w:left w:val="none" w:sz="0" w:space="0" w:color="auto"/>
                        <w:bottom w:val="none" w:sz="0" w:space="0" w:color="auto"/>
                        <w:right w:val="none" w:sz="0" w:space="0" w:color="auto"/>
                      </w:divBdr>
                    </w:div>
                  </w:divsChild>
                </w:div>
                <w:div w:id="1289897376">
                  <w:marLeft w:val="0"/>
                  <w:marRight w:val="0"/>
                  <w:marTop w:val="0"/>
                  <w:marBottom w:val="0"/>
                  <w:divBdr>
                    <w:top w:val="none" w:sz="0" w:space="0" w:color="auto"/>
                    <w:left w:val="none" w:sz="0" w:space="0" w:color="auto"/>
                    <w:bottom w:val="none" w:sz="0" w:space="0" w:color="auto"/>
                    <w:right w:val="none" w:sz="0" w:space="0" w:color="auto"/>
                  </w:divBdr>
                  <w:divsChild>
                    <w:div w:id="274101038">
                      <w:marLeft w:val="0"/>
                      <w:marRight w:val="0"/>
                      <w:marTop w:val="0"/>
                      <w:marBottom w:val="0"/>
                      <w:divBdr>
                        <w:top w:val="none" w:sz="0" w:space="0" w:color="auto"/>
                        <w:left w:val="none" w:sz="0" w:space="0" w:color="auto"/>
                        <w:bottom w:val="none" w:sz="0" w:space="0" w:color="auto"/>
                        <w:right w:val="none" w:sz="0" w:space="0" w:color="auto"/>
                      </w:divBdr>
                    </w:div>
                  </w:divsChild>
                </w:div>
                <w:div w:id="559246729">
                  <w:marLeft w:val="0"/>
                  <w:marRight w:val="0"/>
                  <w:marTop w:val="0"/>
                  <w:marBottom w:val="0"/>
                  <w:divBdr>
                    <w:top w:val="none" w:sz="0" w:space="0" w:color="auto"/>
                    <w:left w:val="none" w:sz="0" w:space="0" w:color="auto"/>
                    <w:bottom w:val="none" w:sz="0" w:space="0" w:color="auto"/>
                    <w:right w:val="none" w:sz="0" w:space="0" w:color="auto"/>
                  </w:divBdr>
                  <w:divsChild>
                    <w:div w:id="590895044">
                      <w:marLeft w:val="0"/>
                      <w:marRight w:val="0"/>
                      <w:marTop w:val="0"/>
                      <w:marBottom w:val="0"/>
                      <w:divBdr>
                        <w:top w:val="none" w:sz="0" w:space="0" w:color="auto"/>
                        <w:left w:val="none" w:sz="0" w:space="0" w:color="auto"/>
                        <w:bottom w:val="none" w:sz="0" w:space="0" w:color="auto"/>
                        <w:right w:val="none" w:sz="0" w:space="0" w:color="auto"/>
                      </w:divBdr>
                    </w:div>
                  </w:divsChild>
                </w:div>
                <w:div w:id="2145658568">
                  <w:marLeft w:val="0"/>
                  <w:marRight w:val="0"/>
                  <w:marTop w:val="0"/>
                  <w:marBottom w:val="0"/>
                  <w:divBdr>
                    <w:top w:val="none" w:sz="0" w:space="0" w:color="auto"/>
                    <w:left w:val="none" w:sz="0" w:space="0" w:color="auto"/>
                    <w:bottom w:val="none" w:sz="0" w:space="0" w:color="auto"/>
                    <w:right w:val="none" w:sz="0" w:space="0" w:color="auto"/>
                  </w:divBdr>
                  <w:divsChild>
                    <w:div w:id="1070078170">
                      <w:marLeft w:val="0"/>
                      <w:marRight w:val="0"/>
                      <w:marTop w:val="0"/>
                      <w:marBottom w:val="0"/>
                      <w:divBdr>
                        <w:top w:val="none" w:sz="0" w:space="0" w:color="auto"/>
                        <w:left w:val="none" w:sz="0" w:space="0" w:color="auto"/>
                        <w:bottom w:val="none" w:sz="0" w:space="0" w:color="auto"/>
                        <w:right w:val="none" w:sz="0" w:space="0" w:color="auto"/>
                      </w:divBdr>
                    </w:div>
                  </w:divsChild>
                </w:div>
                <w:div w:id="160005651">
                  <w:marLeft w:val="0"/>
                  <w:marRight w:val="0"/>
                  <w:marTop w:val="0"/>
                  <w:marBottom w:val="0"/>
                  <w:divBdr>
                    <w:top w:val="none" w:sz="0" w:space="0" w:color="auto"/>
                    <w:left w:val="none" w:sz="0" w:space="0" w:color="auto"/>
                    <w:bottom w:val="none" w:sz="0" w:space="0" w:color="auto"/>
                    <w:right w:val="none" w:sz="0" w:space="0" w:color="auto"/>
                  </w:divBdr>
                  <w:divsChild>
                    <w:div w:id="1516186110">
                      <w:marLeft w:val="0"/>
                      <w:marRight w:val="0"/>
                      <w:marTop w:val="0"/>
                      <w:marBottom w:val="0"/>
                      <w:divBdr>
                        <w:top w:val="none" w:sz="0" w:space="0" w:color="auto"/>
                        <w:left w:val="none" w:sz="0" w:space="0" w:color="auto"/>
                        <w:bottom w:val="none" w:sz="0" w:space="0" w:color="auto"/>
                        <w:right w:val="none" w:sz="0" w:space="0" w:color="auto"/>
                      </w:divBdr>
                    </w:div>
                  </w:divsChild>
                </w:div>
                <w:div w:id="421881364">
                  <w:marLeft w:val="0"/>
                  <w:marRight w:val="0"/>
                  <w:marTop w:val="0"/>
                  <w:marBottom w:val="0"/>
                  <w:divBdr>
                    <w:top w:val="none" w:sz="0" w:space="0" w:color="auto"/>
                    <w:left w:val="none" w:sz="0" w:space="0" w:color="auto"/>
                    <w:bottom w:val="none" w:sz="0" w:space="0" w:color="auto"/>
                    <w:right w:val="none" w:sz="0" w:space="0" w:color="auto"/>
                  </w:divBdr>
                  <w:divsChild>
                    <w:div w:id="1224147685">
                      <w:marLeft w:val="0"/>
                      <w:marRight w:val="0"/>
                      <w:marTop w:val="0"/>
                      <w:marBottom w:val="0"/>
                      <w:divBdr>
                        <w:top w:val="none" w:sz="0" w:space="0" w:color="auto"/>
                        <w:left w:val="none" w:sz="0" w:space="0" w:color="auto"/>
                        <w:bottom w:val="none" w:sz="0" w:space="0" w:color="auto"/>
                        <w:right w:val="none" w:sz="0" w:space="0" w:color="auto"/>
                      </w:divBdr>
                    </w:div>
                  </w:divsChild>
                </w:div>
                <w:div w:id="1962835630">
                  <w:marLeft w:val="0"/>
                  <w:marRight w:val="0"/>
                  <w:marTop w:val="0"/>
                  <w:marBottom w:val="0"/>
                  <w:divBdr>
                    <w:top w:val="none" w:sz="0" w:space="0" w:color="auto"/>
                    <w:left w:val="none" w:sz="0" w:space="0" w:color="auto"/>
                    <w:bottom w:val="none" w:sz="0" w:space="0" w:color="auto"/>
                    <w:right w:val="none" w:sz="0" w:space="0" w:color="auto"/>
                  </w:divBdr>
                  <w:divsChild>
                    <w:div w:id="569660995">
                      <w:marLeft w:val="0"/>
                      <w:marRight w:val="0"/>
                      <w:marTop w:val="0"/>
                      <w:marBottom w:val="0"/>
                      <w:divBdr>
                        <w:top w:val="none" w:sz="0" w:space="0" w:color="auto"/>
                        <w:left w:val="none" w:sz="0" w:space="0" w:color="auto"/>
                        <w:bottom w:val="none" w:sz="0" w:space="0" w:color="auto"/>
                        <w:right w:val="none" w:sz="0" w:space="0" w:color="auto"/>
                      </w:divBdr>
                    </w:div>
                  </w:divsChild>
                </w:div>
                <w:div w:id="398483344">
                  <w:marLeft w:val="0"/>
                  <w:marRight w:val="0"/>
                  <w:marTop w:val="0"/>
                  <w:marBottom w:val="0"/>
                  <w:divBdr>
                    <w:top w:val="none" w:sz="0" w:space="0" w:color="auto"/>
                    <w:left w:val="none" w:sz="0" w:space="0" w:color="auto"/>
                    <w:bottom w:val="none" w:sz="0" w:space="0" w:color="auto"/>
                    <w:right w:val="none" w:sz="0" w:space="0" w:color="auto"/>
                  </w:divBdr>
                  <w:divsChild>
                    <w:div w:id="2045328782">
                      <w:marLeft w:val="0"/>
                      <w:marRight w:val="0"/>
                      <w:marTop w:val="0"/>
                      <w:marBottom w:val="0"/>
                      <w:divBdr>
                        <w:top w:val="none" w:sz="0" w:space="0" w:color="auto"/>
                        <w:left w:val="none" w:sz="0" w:space="0" w:color="auto"/>
                        <w:bottom w:val="none" w:sz="0" w:space="0" w:color="auto"/>
                        <w:right w:val="none" w:sz="0" w:space="0" w:color="auto"/>
                      </w:divBdr>
                    </w:div>
                  </w:divsChild>
                </w:div>
                <w:div w:id="1972443895">
                  <w:marLeft w:val="0"/>
                  <w:marRight w:val="0"/>
                  <w:marTop w:val="0"/>
                  <w:marBottom w:val="0"/>
                  <w:divBdr>
                    <w:top w:val="none" w:sz="0" w:space="0" w:color="auto"/>
                    <w:left w:val="none" w:sz="0" w:space="0" w:color="auto"/>
                    <w:bottom w:val="none" w:sz="0" w:space="0" w:color="auto"/>
                    <w:right w:val="none" w:sz="0" w:space="0" w:color="auto"/>
                  </w:divBdr>
                  <w:divsChild>
                    <w:div w:id="968780881">
                      <w:marLeft w:val="0"/>
                      <w:marRight w:val="0"/>
                      <w:marTop w:val="0"/>
                      <w:marBottom w:val="0"/>
                      <w:divBdr>
                        <w:top w:val="none" w:sz="0" w:space="0" w:color="auto"/>
                        <w:left w:val="none" w:sz="0" w:space="0" w:color="auto"/>
                        <w:bottom w:val="none" w:sz="0" w:space="0" w:color="auto"/>
                        <w:right w:val="none" w:sz="0" w:space="0" w:color="auto"/>
                      </w:divBdr>
                    </w:div>
                  </w:divsChild>
                </w:div>
                <w:div w:id="110976916">
                  <w:marLeft w:val="0"/>
                  <w:marRight w:val="0"/>
                  <w:marTop w:val="0"/>
                  <w:marBottom w:val="0"/>
                  <w:divBdr>
                    <w:top w:val="none" w:sz="0" w:space="0" w:color="auto"/>
                    <w:left w:val="none" w:sz="0" w:space="0" w:color="auto"/>
                    <w:bottom w:val="none" w:sz="0" w:space="0" w:color="auto"/>
                    <w:right w:val="none" w:sz="0" w:space="0" w:color="auto"/>
                  </w:divBdr>
                  <w:divsChild>
                    <w:div w:id="358239167">
                      <w:marLeft w:val="0"/>
                      <w:marRight w:val="0"/>
                      <w:marTop w:val="0"/>
                      <w:marBottom w:val="0"/>
                      <w:divBdr>
                        <w:top w:val="none" w:sz="0" w:space="0" w:color="auto"/>
                        <w:left w:val="none" w:sz="0" w:space="0" w:color="auto"/>
                        <w:bottom w:val="none" w:sz="0" w:space="0" w:color="auto"/>
                        <w:right w:val="none" w:sz="0" w:space="0" w:color="auto"/>
                      </w:divBdr>
                    </w:div>
                  </w:divsChild>
                </w:div>
                <w:div w:id="1857766252">
                  <w:marLeft w:val="0"/>
                  <w:marRight w:val="0"/>
                  <w:marTop w:val="0"/>
                  <w:marBottom w:val="0"/>
                  <w:divBdr>
                    <w:top w:val="none" w:sz="0" w:space="0" w:color="auto"/>
                    <w:left w:val="none" w:sz="0" w:space="0" w:color="auto"/>
                    <w:bottom w:val="none" w:sz="0" w:space="0" w:color="auto"/>
                    <w:right w:val="none" w:sz="0" w:space="0" w:color="auto"/>
                  </w:divBdr>
                  <w:divsChild>
                    <w:div w:id="1197081840">
                      <w:marLeft w:val="0"/>
                      <w:marRight w:val="0"/>
                      <w:marTop w:val="0"/>
                      <w:marBottom w:val="0"/>
                      <w:divBdr>
                        <w:top w:val="none" w:sz="0" w:space="0" w:color="auto"/>
                        <w:left w:val="none" w:sz="0" w:space="0" w:color="auto"/>
                        <w:bottom w:val="none" w:sz="0" w:space="0" w:color="auto"/>
                        <w:right w:val="none" w:sz="0" w:space="0" w:color="auto"/>
                      </w:divBdr>
                    </w:div>
                  </w:divsChild>
                </w:div>
                <w:div w:id="1797286513">
                  <w:marLeft w:val="0"/>
                  <w:marRight w:val="0"/>
                  <w:marTop w:val="0"/>
                  <w:marBottom w:val="0"/>
                  <w:divBdr>
                    <w:top w:val="none" w:sz="0" w:space="0" w:color="auto"/>
                    <w:left w:val="none" w:sz="0" w:space="0" w:color="auto"/>
                    <w:bottom w:val="none" w:sz="0" w:space="0" w:color="auto"/>
                    <w:right w:val="none" w:sz="0" w:space="0" w:color="auto"/>
                  </w:divBdr>
                  <w:divsChild>
                    <w:div w:id="496266724">
                      <w:marLeft w:val="0"/>
                      <w:marRight w:val="0"/>
                      <w:marTop w:val="0"/>
                      <w:marBottom w:val="0"/>
                      <w:divBdr>
                        <w:top w:val="none" w:sz="0" w:space="0" w:color="auto"/>
                        <w:left w:val="none" w:sz="0" w:space="0" w:color="auto"/>
                        <w:bottom w:val="none" w:sz="0" w:space="0" w:color="auto"/>
                        <w:right w:val="none" w:sz="0" w:space="0" w:color="auto"/>
                      </w:divBdr>
                    </w:div>
                  </w:divsChild>
                </w:div>
                <w:div w:id="1401754606">
                  <w:marLeft w:val="0"/>
                  <w:marRight w:val="0"/>
                  <w:marTop w:val="0"/>
                  <w:marBottom w:val="0"/>
                  <w:divBdr>
                    <w:top w:val="none" w:sz="0" w:space="0" w:color="auto"/>
                    <w:left w:val="none" w:sz="0" w:space="0" w:color="auto"/>
                    <w:bottom w:val="none" w:sz="0" w:space="0" w:color="auto"/>
                    <w:right w:val="none" w:sz="0" w:space="0" w:color="auto"/>
                  </w:divBdr>
                  <w:divsChild>
                    <w:div w:id="662316030">
                      <w:marLeft w:val="0"/>
                      <w:marRight w:val="0"/>
                      <w:marTop w:val="0"/>
                      <w:marBottom w:val="0"/>
                      <w:divBdr>
                        <w:top w:val="none" w:sz="0" w:space="0" w:color="auto"/>
                        <w:left w:val="none" w:sz="0" w:space="0" w:color="auto"/>
                        <w:bottom w:val="none" w:sz="0" w:space="0" w:color="auto"/>
                        <w:right w:val="none" w:sz="0" w:space="0" w:color="auto"/>
                      </w:divBdr>
                    </w:div>
                  </w:divsChild>
                </w:div>
                <w:div w:id="530001595">
                  <w:marLeft w:val="0"/>
                  <w:marRight w:val="0"/>
                  <w:marTop w:val="0"/>
                  <w:marBottom w:val="0"/>
                  <w:divBdr>
                    <w:top w:val="none" w:sz="0" w:space="0" w:color="auto"/>
                    <w:left w:val="none" w:sz="0" w:space="0" w:color="auto"/>
                    <w:bottom w:val="none" w:sz="0" w:space="0" w:color="auto"/>
                    <w:right w:val="none" w:sz="0" w:space="0" w:color="auto"/>
                  </w:divBdr>
                  <w:divsChild>
                    <w:div w:id="513879945">
                      <w:marLeft w:val="0"/>
                      <w:marRight w:val="0"/>
                      <w:marTop w:val="0"/>
                      <w:marBottom w:val="0"/>
                      <w:divBdr>
                        <w:top w:val="none" w:sz="0" w:space="0" w:color="auto"/>
                        <w:left w:val="none" w:sz="0" w:space="0" w:color="auto"/>
                        <w:bottom w:val="none" w:sz="0" w:space="0" w:color="auto"/>
                        <w:right w:val="none" w:sz="0" w:space="0" w:color="auto"/>
                      </w:divBdr>
                    </w:div>
                  </w:divsChild>
                </w:div>
                <w:div w:id="59210276">
                  <w:marLeft w:val="0"/>
                  <w:marRight w:val="0"/>
                  <w:marTop w:val="0"/>
                  <w:marBottom w:val="0"/>
                  <w:divBdr>
                    <w:top w:val="none" w:sz="0" w:space="0" w:color="auto"/>
                    <w:left w:val="none" w:sz="0" w:space="0" w:color="auto"/>
                    <w:bottom w:val="none" w:sz="0" w:space="0" w:color="auto"/>
                    <w:right w:val="none" w:sz="0" w:space="0" w:color="auto"/>
                  </w:divBdr>
                  <w:divsChild>
                    <w:div w:id="1523982375">
                      <w:marLeft w:val="0"/>
                      <w:marRight w:val="0"/>
                      <w:marTop w:val="0"/>
                      <w:marBottom w:val="0"/>
                      <w:divBdr>
                        <w:top w:val="none" w:sz="0" w:space="0" w:color="auto"/>
                        <w:left w:val="none" w:sz="0" w:space="0" w:color="auto"/>
                        <w:bottom w:val="none" w:sz="0" w:space="0" w:color="auto"/>
                        <w:right w:val="none" w:sz="0" w:space="0" w:color="auto"/>
                      </w:divBdr>
                    </w:div>
                  </w:divsChild>
                </w:div>
                <w:div w:id="295109832">
                  <w:marLeft w:val="0"/>
                  <w:marRight w:val="0"/>
                  <w:marTop w:val="0"/>
                  <w:marBottom w:val="0"/>
                  <w:divBdr>
                    <w:top w:val="none" w:sz="0" w:space="0" w:color="auto"/>
                    <w:left w:val="none" w:sz="0" w:space="0" w:color="auto"/>
                    <w:bottom w:val="none" w:sz="0" w:space="0" w:color="auto"/>
                    <w:right w:val="none" w:sz="0" w:space="0" w:color="auto"/>
                  </w:divBdr>
                  <w:divsChild>
                    <w:div w:id="1924219625">
                      <w:marLeft w:val="0"/>
                      <w:marRight w:val="0"/>
                      <w:marTop w:val="0"/>
                      <w:marBottom w:val="0"/>
                      <w:divBdr>
                        <w:top w:val="none" w:sz="0" w:space="0" w:color="auto"/>
                        <w:left w:val="none" w:sz="0" w:space="0" w:color="auto"/>
                        <w:bottom w:val="none" w:sz="0" w:space="0" w:color="auto"/>
                        <w:right w:val="none" w:sz="0" w:space="0" w:color="auto"/>
                      </w:divBdr>
                    </w:div>
                  </w:divsChild>
                </w:div>
                <w:div w:id="1845590285">
                  <w:marLeft w:val="0"/>
                  <w:marRight w:val="0"/>
                  <w:marTop w:val="0"/>
                  <w:marBottom w:val="0"/>
                  <w:divBdr>
                    <w:top w:val="none" w:sz="0" w:space="0" w:color="auto"/>
                    <w:left w:val="none" w:sz="0" w:space="0" w:color="auto"/>
                    <w:bottom w:val="none" w:sz="0" w:space="0" w:color="auto"/>
                    <w:right w:val="none" w:sz="0" w:space="0" w:color="auto"/>
                  </w:divBdr>
                  <w:divsChild>
                    <w:div w:id="16196143">
                      <w:marLeft w:val="0"/>
                      <w:marRight w:val="0"/>
                      <w:marTop w:val="0"/>
                      <w:marBottom w:val="0"/>
                      <w:divBdr>
                        <w:top w:val="none" w:sz="0" w:space="0" w:color="auto"/>
                        <w:left w:val="none" w:sz="0" w:space="0" w:color="auto"/>
                        <w:bottom w:val="none" w:sz="0" w:space="0" w:color="auto"/>
                        <w:right w:val="none" w:sz="0" w:space="0" w:color="auto"/>
                      </w:divBdr>
                    </w:div>
                  </w:divsChild>
                </w:div>
                <w:div w:id="523708779">
                  <w:marLeft w:val="0"/>
                  <w:marRight w:val="0"/>
                  <w:marTop w:val="0"/>
                  <w:marBottom w:val="0"/>
                  <w:divBdr>
                    <w:top w:val="none" w:sz="0" w:space="0" w:color="auto"/>
                    <w:left w:val="none" w:sz="0" w:space="0" w:color="auto"/>
                    <w:bottom w:val="none" w:sz="0" w:space="0" w:color="auto"/>
                    <w:right w:val="none" w:sz="0" w:space="0" w:color="auto"/>
                  </w:divBdr>
                  <w:divsChild>
                    <w:div w:id="269823862">
                      <w:marLeft w:val="0"/>
                      <w:marRight w:val="0"/>
                      <w:marTop w:val="0"/>
                      <w:marBottom w:val="0"/>
                      <w:divBdr>
                        <w:top w:val="none" w:sz="0" w:space="0" w:color="auto"/>
                        <w:left w:val="none" w:sz="0" w:space="0" w:color="auto"/>
                        <w:bottom w:val="none" w:sz="0" w:space="0" w:color="auto"/>
                        <w:right w:val="none" w:sz="0" w:space="0" w:color="auto"/>
                      </w:divBdr>
                    </w:div>
                    <w:div w:id="14059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6898">
          <w:marLeft w:val="0"/>
          <w:marRight w:val="0"/>
          <w:marTop w:val="0"/>
          <w:marBottom w:val="0"/>
          <w:divBdr>
            <w:top w:val="none" w:sz="0" w:space="0" w:color="auto"/>
            <w:left w:val="none" w:sz="0" w:space="0" w:color="auto"/>
            <w:bottom w:val="none" w:sz="0" w:space="0" w:color="auto"/>
            <w:right w:val="none" w:sz="0" w:space="0" w:color="auto"/>
          </w:divBdr>
        </w:div>
        <w:div w:id="1473209412">
          <w:marLeft w:val="0"/>
          <w:marRight w:val="0"/>
          <w:marTop w:val="0"/>
          <w:marBottom w:val="0"/>
          <w:divBdr>
            <w:top w:val="none" w:sz="0" w:space="0" w:color="auto"/>
            <w:left w:val="none" w:sz="0" w:space="0" w:color="auto"/>
            <w:bottom w:val="none" w:sz="0" w:space="0" w:color="auto"/>
            <w:right w:val="none" w:sz="0" w:space="0" w:color="auto"/>
          </w:divBdr>
        </w:div>
        <w:div w:id="458911684">
          <w:marLeft w:val="0"/>
          <w:marRight w:val="0"/>
          <w:marTop w:val="0"/>
          <w:marBottom w:val="0"/>
          <w:divBdr>
            <w:top w:val="none" w:sz="0" w:space="0" w:color="auto"/>
            <w:left w:val="none" w:sz="0" w:space="0" w:color="auto"/>
            <w:bottom w:val="none" w:sz="0" w:space="0" w:color="auto"/>
            <w:right w:val="none" w:sz="0" w:space="0" w:color="auto"/>
          </w:divBdr>
        </w:div>
        <w:div w:id="1234193060">
          <w:marLeft w:val="0"/>
          <w:marRight w:val="0"/>
          <w:marTop w:val="0"/>
          <w:marBottom w:val="0"/>
          <w:divBdr>
            <w:top w:val="none" w:sz="0" w:space="0" w:color="auto"/>
            <w:left w:val="none" w:sz="0" w:space="0" w:color="auto"/>
            <w:bottom w:val="none" w:sz="0" w:space="0" w:color="auto"/>
            <w:right w:val="none" w:sz="0" w:space="0" w:color="auto"/>
          </w:divBdr>
        </w:div>
        <w:div w:id="1233082274">
          <w:marLeft w:val="0"/>
          <w:marRight w:val="0"/>
          <w:marTop w:val="0"/>
          <w:marBottom w:val="0"/>
          <w:divBdr>
            <w:top w:val="none" w:sz="0" w:space="0" w:color="auto"/>
            <w:left w:val="none" w:sz="0" w:space="0" w:color="auto"/>
            <w:bottom w:val="none" w:sz="0" w:space="0" w:color="auto"/>
            <w:right w:val="none" w:sz="0" w:space="0" w:color="auto"/>
          </w:divBdr>
        </w:div>
        <w:div w:id="1971663092">
          <w:marLeft w:val="0"/>
          <w:marRight w:val="0"/>
          <w:marTop w:val="0"/>
          <w:marBottom w:val="0"/>
          <w:divBdr>
            <w:top w:val="none" w:sz="0" w:space="0" w:color="auto"/>
            <w:left w:val="none" w:sz="0" w:space="0" w:color="auto"/>
            <w:bottom w:val="none" w:sz="0" w:space="0" w:color="auto"/>
            <w:right w:val="none" w:sz="0" w:space="0" w:color="auto"/>
          </w:divBdr>
        </w:div>
        <w:div w:id="228422315">
          <w:marLeft w:val="0"/>
          <w:marRight w:val="0"/>
          <w:marTop w:val="0"/>
          <w:marBottom w:val="0"/>
          <w:divBdr>
            <w:top w:val="none" w:sz="0" w:space="0" w:color="auto"/>
            <w:left w:val="none" w:sz="0" w:space="0" w:color="auto"/>
            <w:bottom w:val="none" w:sz="0" w:space="0" w:color="auto"/>
            <w:right w:val="none" w:sz="0" w:space="0" w:color="auto"/>
          </w:divBdr>
        </w:div>
        <w:div w:id="809596157">
          <w:marLeft w:val="0"/>
          <w:marRight w:val="0"/>
          <w:marTop w:val="0"/>
          <w:marBottom w:val="0"/>
          <w:divBdr>
            <w:top w:val="none" w:sz="0" w:space="0" w:color="auto"/>
            <w:left w:val="none" w:sz="0" w:space="0" w:color="auto"/>
            <w:bottom w:val="none" w:sz="0" w:space="0" w:color="auto"/>
            <w:right w:val="none" w:sz="0" w:space="0" w:color="auto"/>
          </w:divBdr>
        </w:div>
        <w:div w:id="668027307">
          <w:marLeft w:val="0"/>
          <w:marRight w:val="0"/>
          <w:marTop w:val="0"/>
          <w:marBottom w:val="0"/>
          <w:divBdr>
            <w:top w:val="none" w:sz="0" w:space="0" w:color="auto"/>
            <w:left w:val="none" w:sz="0" w:space="0" w:color="auto"/>
            <w:bottom w:val="none" w:sz="0" w:space="0" w:color="auto"/>
            <w:right w:val="none" w:sz="0" w:space="0" w:color="auto"/>
          </w:divBdr>
        </w:div>
        <w:div w:id="1217814033">
          <w:marLeft w:val="0"/>
          <w:marRight w:val="0"/>
          <w:marTop w:val="0"/>
          <w:marBottom w:val="0"/>
          <w:divBdr>
            <w:top w:val="none" w:sz="0" w:space="0" w:color="auto"/>
            <w:left w:val="none" w:sz="0" w:space="0" w:color="auto"/>
            <w:bottom w:val="none" w:sz="0" w:space="0" w:color="auto"/>
            <w:right w:val="none" w:sz="0" w:space="0" w:color="auto"/>
          </w:divBdr>
        </w:div>
        <w:div w:id="1283221816">
          <w:marLeft w:val="0"/>
          <w:marRight w:val="0"/>
          <w:marTop w:val="0"/>
          <w:marBottom w:val="0"/>
          <w:divBdr>
            <w:top w:val="none" w:sz="0" w:space="0" w:color="auto"/>
            <w:left w:val="none" w:sz="0" w:space="0" w:color="auto"/>
            <w:bottom w:val="none" w:sz="0" w:space="0" w:color="auto"/>
            <w:right w:val="none" w:sz="0" w:space="0" w:color="auto"/>
          </w:divBdr>
        </w:div>
        <w:div w:id="1007515308">
          <w:marLeft w:val="0"/>
          <w:marRight w:val="0"/>
          <w:marTop w:val="0"/>
          <w:marBottom w:val="0"/>
          <w:divBdr>
            <w:top w:val="none" w:sz="0" w:space="0" w:color="auto"/>
            <w:left w:val="none" w:sz="0" w:space="0" w:color="auto"/>
            <w:bottom w:val="none" w:sz="0" w:space="0" w:color="auto"/>
            <w:right w:val="none" w:sz="0" w:space="0" w:color="auto"/>
          </w:divBdr>
        </w:div>
        <w:div w:id="68045836">
          <w:marLeft w:val="0"/>
          <w:marRight w:val="0"/>
          <w:marTop w:val="0"/>
          <w:marBottom w:val="0"/>
          <w:divBdr>
            <w:top w:val="none" w:sz="0" w:space="0" w:color="auto"/>
            <w:left w:val="none" w:sz="0" w:space="0" w:color="auto"/>
            <w:bottom w:val="none" w:sz="0" w:space="0" w:color="auto"/>
            <w:right w:val="none" w:sz="0" w:space="0" w:color="auto"/>
          </w:divBdr>
        </w:div>
        <w:div w:id="2011639716">
          <w:marLeft w:val="0"/>
          <w:marRight w:val="0"/>
          <w:marTop w:val="0"/>
          <w:marBottom w:val="0"/>
          <w:divBdr>
            <w:top w:val="none" w:sz="0" w:space="0" w:color="auto"/>
            <w:left w:val="none" w:sz="0" w:space="0" w:color="auto"/>
            <w:bottom w:val="none" w:sz="0" w:space="0" w:color="auto"/>
            <w:right w:val="none" w:sz="0" w:space="0" w:color="auto"/>
          </w:divBdr>
        </w:div>
        <w:div w:id="995108722">
          <w:marLeft w:val="0"/>
          <w:marRight w:val="0"/>
          <w:marTop w:val="0"/>
          <w:marBottom w:val="0"/>
          <w:divBdr>
            <w:top w:val="none" w:sz="0" w:space="0" w:color="auto"/>
            <w:left w:val="none" w:sz="0" w:space="0" w:color="auto"/>
            <w:bottom w:val="none" w:sz="0" w:space="0" w:color="auto"/>
            <w:right w:val="none" w:sz="0" w:space="0" w:color="auto"/>
          </w:divBdr>
        </w:div>
        <w:div w:id="1433239433">
          <w:marLeft w:val="0"/>
          <w:marRight w:val="0"/>
          <w:marTop w:val="0"/>
          <w:marBottom w:val="0"/>
          <w:divBdr>
            <w:top w:val="none" w:sz="0" w:space="0" w:color="auto"/>
            <w:left w:val="none" w:sz="0" w:space="0" w:color="auto"/>
            <w:bottom w:val="none" w:sz="0" w:space="0" w:color="auto"/>
            <w:right w:val="none" w:sz="0" w:space="0" w:color="auto"/>
          </w:divBdr>
        </w:div>
        <w:div w:id="997614921">
          <w:marLeft w:val="0"/>
          <w:marRight w:val="0"/>
          <w:marTop w:val="0"/>
          <w:marBottom w:val="0"/>
          <w:divBdr>
            <w:top w:val="none" w:sz="0" w:space="0" w:color="auto"/>
            <w:left w:val="none" w:sz="0" w:space="0" w:color="auto"/>
            <w:bottom w:val="none" w:sz="0" w:space="0" w:color="auto"/>
            <w:right w:val="none" w:sz="0" w:space="0" w:color="auto"/>
          </w:divBdr>
        </w:div>
        <w:div w:id="1368409385">
          <w:marLeft w:val="0"/>
          <w:marRight w:val="0"/>
          <w:marTop w:val="0"/>
          <w:marBottom w:val="0"/>
          <w:divBdr>
            <w:top w:val="none" w:sz="0" w:space="0" w:color="auto"/>
            <w:left w:val="none" w:sz="0" w:space="0" w:color="auto"/>
            <w:bottom w:val="none" w:sz="0" w:space="0" w:color="auto"/>
            <w:right w:val="none" w:sz="0" w:space="0" w:color="auto"/>
          </w:divBdr>
        </w:div>
        <w:div w:id="1456827601">
          <w:marLeft w:val="0"/>
          <w:marRight w:val="0"/>
          <w:marTop w:val="0"/>
          <w:marBottom w:val="0"/>
          <w:divBdr>
            <w:top w:val="none" w:sz="0" w:space="0" w:color="auto"/>
            <w:left w:val="none" w:sz="0" w:space="0" w:color="auto"/>
            <w:bottom w:val="none" w:sz="0" w:space="0" w:color="auto"/>
            <w:right w:val="none" w:sz="0" w:space="0" w:color="auto"/>
          </w:divBdr>
        </w:div>
        <w:div w:id="910040690">
          <w:marLeft w:val="0"/>
          <w:marRight w:val="0"/>
          <w:marTop w:val="0"/>
          <w:marBottom w:val="0"/>
          <w:divBdr>
            <w:top w:val="none" w:sz="0" w:space="0" w:color="auto"/>
            <w:left w:val="none" w:sz="0" w:space="0" w:color="auto"/>
            <w:bottom w:val="none" w:sz="0" w:space="0" w:color="auto"/>
            <w:right w:val="none" w:sz="0" w:space="0" w:color="auto"/>
          </w:divBdr>
        </w:div>
        <w:div w:id="2073113294">
          <w:marLeft w:val="0"/>
          <w:marRight w:val="0"/>
          <w:marTop w:val="0"/>
          <w:marBottom w:val="0"/>
          <w:divBdr>
            <w:top w:val="none" w:sz="0" w:space="0" w:color="auto"/>
            <w:left w:val="none" w:sz="0" w:space="0" w:color="auto"/>
            <w:bottom w:val="none" w:sz="0" w:space="0" w:color="auto"/>
            <w:right w:val="none" w:sz="0" w:space="0" w:color="auto"/>
          </w:divBdr>
        </w:div>
        <w:div w:id="517499157">
          <w:marLeft w:val="0"/>
          <w:marRight w:val="0"/>
          <w:marTop w:val="0"/>
          <w:marBottom w:val="0"/>
          <w:divBdr>
            <w:top w:val="none" w:sz="0" w:space="0" w:color="auto"/>
            <w:left w:val="none" w:sz="0" w:space="0" w:color="auto"/>
            <w:bottom w:val="none" w:sz="0" w:space="0" w:color="auto"/>
            <w:right w:val="none" w:sz="0" w:space="0" w:color="auto"/>
          </w:divBdr>
        </w:div>
        <w:div w:id="1829785676">
          <w:marLeft w:val="0"/>
          <w:marRight w:val="0"/>
          <w:marTop w:val="0"/>
          <w:marBottom w:val="0"/>
          <w:divBdr>
            <w:top w:val="none" w:sz="0" w:space="0" w:color="auto"/>
            <w:left w:val="none" w:sz="0" w:space="0" w:color="auto"/>
            <w:bottom w:val="none" w:sz="0" w:space="0" w:color="auto"/>
            <w:right w:val="none" w:sz="0" w:space="0" w:color="auto"/>
          </w:divBdr>
        </w:div>
        <w:div w:id="588737951">
          <w:marLeft w:val="0"/>
          <w:marRight w:val="0"/>
          <w:marTop w:val="0"/>
          <w:marBottom w:val="0"/>
          <w:divBdr>
            <w:top w:val="none" w:sz="0" w:space="0" w:color="auto"/>
            <w:left w:val="none" w:sz="0" w:space="0" w:color="auto"/>
            <w:bottom w:val="none" w:sz="0" w:space="0" w:color="auto"/>
            <w:right w:val="none" w:sz="0" w:space="0" w:color="auto"/>
          </w:divBdr>
        </w:div>
        <w:div w:id="647827884">
          <w:marLeft w:val="0"/>
          <w:marRight w:val="0"/>
          <w:marTop w:val="0"/>
          <w:marBottom w:val="0"/>
          <w:divBdr>
            <w:top w:val="none" w:sz="0" w:space="0" w:color="auto"/>
            <w:left w:val="none" w:sz="0" w:space="0" w:color="auto"/>
            <w:bottom w:val="none" w:sz="0" w:space="0" w:color="auto"/>
            <w:right w:val="none" w:sz="0" w:space="0" w:color="auto"/>
          </w:divBdr>
        </w:div>
        <w:div w:id="1991640384">
          <w:marLeft w:val="0"/>
          <w:marRight w:val="0"/>
          <w:marTop w:val="0"/>
          <w:marBottom w:val="0"/>
          <w:divBdr>
            <w:top w:val="none" w:sz="0" w:space="0" w:color="auto"/>
            <w:left w:val="none" w:sz="0" w:space="0" w:color="auto"/>
            <w:bottom w:val="none" w:sz="0" w:space="0" w:color="auto"/>
            <w:right w:val="none" w:sz="0" w:space="0" w:color="auto"/>
          </w:divBdr>
        </w:div>
        <w:div w:id="1675298789">
          <w:marLeft w:val="0"/>
          <w:marRight w:val="0"/>
          <w:marTop w:val="0"/>
          <w:marBottom w:val="0"/>
          <w:divBdr>
            <w:top w:val="none" w:sz="0" w:space="0" w:color="auto"/>
            <w:left w:val="none" w:sz="0" w:space="0" w:color="auto"/>
            <w:bottom w:val="none" w:sz="0" w:space="0" w:color="auto"/>
            <w:right w:val="none" w:sz="0" w:space="0" w:color="auto"/>
          </w:divBdr>
        </w:div>
        <w:div w:id="1834877017">
          <w:marLeft w:val="0"/>
          <w:marRight w:val="0"/>
          <w:marTop w:val="0"/>
          <w:marBottom w:val="0"/>
          <w:divBdr>
            <w:top w:val="none" w:sz="0" w:space="0" w:color="auto"/>
            <w:left w:val="none" w:sz="0" w:space="0" w:color="auto"/>
            <w:bottom w:val="none" w:sz="0" w:space="0" w:color="auto"/>
            <w:right w:val="none" w:sz="0" w:space="0" w:color="auto"/>
          </w:divBdr>
        </w:div>
        <w:div w:id="1736735602">
          <w:marLeft w:val="0"/>
          <w:marRight w:val="0"/>
          <w:marTop w:val="0"/>
          <w:marBottom w:val="0"/>
          <w:divBdr>
            <w:top w:val="none" w:sz="0" w:space="0" w:color="auto"/>
            <w:left w:val="none" w:sz="0" w:space="0" w:color="auto"/>
            <w:bottom w:val="none" w:sz="0" w:space="0" w:color="auto"/>
            <w:right w:val="none" w:sz="0" w:space="0" w:color="auto"/>
          </w:divBdr>
        </w:div>
        <w:div w:id="1879968817">
          <w:marLeft w:val="0"/>
          <w:marRight w:val="0"/>
          <w:marTop w:val="0"/>
          <w:marBottom w:val="0"/>
          <w:divBdr>
            <w:top w:val="none" w:sz="0" w:space="0" w:color="auto"/>
            <w:left w:val="none" w:sz="0" w:space="0" w:color="auto"/>
            <w:bottom w:val="none" w:sz="0" w:space="0" w:color="auto"/>
            <w:right w:val="none" w:sz="0" w:space="0" w:color="auto"/>
          </w:divBdr>
        </w:div>
        <w:div w:id="846018765">
          <w:marLeft w:val="0"/>
          <w:marRight w:val="0"/>
          <w:marTop w:val="0"/>
          <w:marBottom w:val="0"/>
          <w:divBdr>
            <w:top w:val="none" w:sz="0" w:space="0" w:color="auto"/>
            <w:left w:val="none" w:sz="0" w:space="0" w:color="auto"/>
            <w:bottom w:val="none" w:sz="0" w:space="0" w:color="auto"/>
            <w:right w:val="none" w:sz="0" w:space="0" w:color="auto"/>
          </w:divBdr>
        </w:div>
        <w:div w:id="777914829">
          <w:marLeft w:val="0"/>
          <w:marRight w:val="0"/>
          <w:marTop w:val="0"/>
          <w:marBottom w:val="0"/>
          <w:divBdr>
            <w:top w:val="none" w:sz="0" w:space="0" w:color="auto"/>
            <w:left w:val="none" w:sz="0" w:space="0" w:color="auto"/>
            <w:bottom w:val="none" w:sz="0" w:space="0" w:color="auto"/>
            <w:right w:val="none" w:sz="0" w:space="0" w:color="auto"/>
          </w:divBdr>
        </w:div>
        <w:div w:id="431707475">
          <w:marLeft w:val="0"/>
          <w:marRight w:val="0"/>
          <w:marTop w:val="0"/>
          <w:marBottom w:val="0"/>
          <w:divBdr>
            <w:top w:val="none" w:sz="0" w:space="0" w:color="auto"/>
            <w:left w:val="none" w:sz="0" w:space="0" w:color="auto"/>
            <w:bottom w:val="none" w:sz="0" w:space="0" w:color="auto"/>
            <w:right w:val="none" w:sz="0" w:space="0" w:color="auto"/>
          </w:divBdr>
        </w:div>
        <w:div w:id="1892693185">
          <w:marLeft w:val="0"/>
          <w:marRight w:val="0"/>
          <w:marTop w:val="0"/>
          <w:marBottom w:val="0"/>
          <w:divBdr>
            <w:top w:val="none" w:sz="0" w:space="0" w:color="auto"/>
            <w:left w:val="none" w:sz="0" w:space="0" w:color="auto"/>
            <w:bottom w:val="none" w:sz="0" w:space="0" w:color="auto"/>
            <w:right w:val="none" w:sz="0" w:space="0" w:color="auto"/>
          </w:divBdr>
        </w:div>
        <w:div w:id="1889612505">
          <w:marLeft w:val="0"/>
          <w:marRight w:val="0"/>
          <w:marTop w:val="0"/>
          <w:marBottom w:val="0"/>
          <w:divBdr>
            <w:top w:val="none" w:sz="0" w:space="0" w:color="auto"/>
            <w:left w:val="none" w:sz="0" w:space="0" w:color="auto"/>
            <w:bottom w:val="none" w:sz="0" w:space="0" w:color="auto"/>
            <w:right w:val="none" w:sz="0" w:space="0" w:color="auto"/>
          </w:divBdr>
        </w:div>
        <w:div w:id="1615870410">
          <w:marLeft w:val="0"/>
          <w:marRight w:val="0"/>
          <w:marTop w:val="0"/>
          <w:marBottom w:val="0"/>
          <w:divBdr>
            <w:top w:val="none" w:sz="0" w:space="0" w:color="auto"/>
            <w:left w:val="none" w:sz="0" w:space="0" w:color="auto"/>
            <w:bottom w:val="none" w:sz="0" w:space="0" w:color="auto"/>
            <w:right w:val="none" w:sz="0" w:space="0" w:color="auto"/>
          </w:divBdr>
        </w:div>
        <w:div w:id="618221834">
          <w:marLeft w:val="0"/>
          <w:marRight w:val="0"/>
          <w:marTop w:val="0"/>
          <w:marBottom w:val="0"/>
          <w:divBdr>
            <w:top w:val="none" w:sz="0" w:space="0" w:color="auto"/>
            <w:left w:val="none" w:sz="0" w:space="0" w:color="auto"/>
            <w:bottom w:val="none" w:sz="0" w:space="0" w:color="auto"/>
            <w:right w:val="none" w:sz="0" w:space="0" w:color="auto"/>
          </w:divBdr>
        </w:div>
      </w:divsChild>
    </w:div>
    <w:div w:id="257719126">
      <w:bodyDiv w:val="1"/>
      <w:marLeft w:val="0"/>
      <w:marRight w:val="0"/>
      <w:marTop w:val="0"/>
      <w:marBottom w:val="0"/>
      <w:divBdr>
        <w:top w:val="none" w:sz="0" w:space="0" w:color="auto"/>
        <w:left w:val="none" w:sz="0" w:space="0" w:color="auto"/>
        <w:bottom w:val="none" w:sz="0" w:space="0" w:color="auto"/>
        <w:right w:val="none" w:sz="0" w:space="0" w:color="auto"/>
      </w:divBdr>
    </w:div>
    <w:div w:id="281032462">
      <w:bodyDiv w:val="1"/>
      <w:marLeft w:val="0"/>
      <w:marRight w:val="0"/>
      <w:marTop w:val="0"/>
      <w:marBottom w:val="0"/>
      <w:divBdr>
        <w:top w:val="none" w:sz="0" w:space="0" w:color="auto"/>
        <w:left w:val="none" w:sz="0" w:space="0" w:color="auto"/>
        <w:bottom w:val="none" w:sz="0" w:space="0" w:color="auto"/>
        <w:right w:val="none" w:sz="0" w:space="0" w:color="auto"/>
      </w:divBdr>
    </w:div>
    <w:div w:id="339280977">
      <w:bodyDiv w:val="1"/>
      <w:marLeft w:val="0"/>
      <w:marRight w:val="0"/>
      <w:marTop w:val="0"/>
      <w:marBottom w:val="0"/>
      <w:divBdr>
        <w:top w:val="none" w:sz="0" w:space="0" w:color="auto"/>
        <w:left w:val="none" w:sz="0" w:space="0" w:color="auto"/>
        <w:bottom w:val="none" w:sz="0" w:space="0" w:color="auto"/>
        <w:right w:val="none" w:sz="0" w:space="0" w:color="auto"/>
      </w:divBdr>
    </w:div>
    <w:div w:id="436022538">
      <w:bodyDiv w:val="1"/>
      <w:marLeft w:val="0"/>
      <w:marRight w:val="0"/>
      <w:marTop w:val="0"/>
      <w:marBottom w:val="0"/>
      <w:divBdr>
        <w:top w:val="none" w:sz="0" w:space="0" w:color="auto"/>
        <w:left w:val="none" w:sz="0" w:space="0" w:color="auto"/>
        <w:bottom w:val="none" w:sz="0" w:space="0" w:color="auto"/>
        <w:right w:val="none" w:sz="0" w:space="0" w:color="auto"/>
      </w:divBdr>
      <w:divsChild>
        <w:div w:id="120613375">
          <w:marLeft w:val="0"/>
          <w:marRight w:val="0"/>
          <w:marTop w:val="0"/>
          <w:marBottom w:val="0"/>
          <w:divBdr>
            <w:top w:val="none" w:sz="0" w:space="0" w:color="auto"/>
            <w:left w:val="none" w:sz="0" w:space="0" w:color="auto"/>
            <w:bottom w:val="none" w:sz="0" w:space="0" w:color="auto"/>
            <w:right w:val="none" w:sz="0" w:space="0" w:color="auto"/>
          </w:divBdr>
          <w:divsChild>
            <w:div w:id="182204966">
              <w:marLeft w:val="0"/>
              <w:marRight w:val="0"/>
              <w:marTop w:val="0"/>
              <w:marBottom w:val="0"/>
              <w:divBdr>
                <w:top w:val="none" w:sz="0" w:space="0" w:color="auto"/>
                <w:left w:val="none" w:sz="0" w:space="0" w:color="auto"/>
                <w:bottom w:val="none" w:sz="0" w:space="0" w:color="auto"/>
                <w:right w:val="none" w:sz="0" w:space="0" w:color="auto"/>
              </w:divBdr>
            </w:div>
            <w:div w:id="415831326">
              <w:marLeft w:val="0"/>
              <w:marRight w:val="0"/>
              <w:marTop w:val="0"/>
              <w:marBottom w:val="0"/>
              <w:divBdr>
                <w:top w:val="none" w:sz="0" w:space="0" w:color="auto"/>
                <w:left w:val="none" w:sz="0" w:space="0" w:color="auto"/>
                <w:bottom w:val="none" w:sz="0" w:space="0" w:color="auto"/>
                <w:right w:val="none" w:sz="0" w:space="0" w:color="auto"/>
              </w:divBdr>
            </w:div>
            <w:div w:id="536628877">
              <w:marLeft w:val="0"/>
              <w:marRight w:val="0"/>
              <w:marTop w:val="0"/>
              <w:marBottom w:val="0"/>
              <w:divBdr>
                <w:top w:val="none" w:sz="0" w:space="0" w:color="auto"/>
                <w:left w:val="none" w:sz="0" w:space="0" w:color="auto"/>
                <w:bottom w:val="none" w:sz="0" w:space="0" w:color="auto"/>
                <w:right w:val="none" w:sz="0" w:space="0" w:color="auto"/>
              </w:divBdr>
            </w:div>
            <w:div w:id="1966933672">
              <w:marLeft w:val="0"/>
              <w:marRight w:val="0"/>
              <w:marTop w:val="0"/>
              <w:marBottom w:val="0"/>
              <w:divBdr>
                <w:top w:val="none" w:sz="0" w:space="0" w:color="auto"/>
                <w:left w:val="none" w:sz="0" w:space="0" w:color="auto"/>
                <w:bottom w:val="none" w:sz="0" w:space="0" w:color="auto"/>
                <w:right w:val="none" w:sz="0" w:space="0" w:color="auto"/>
              </w:divBdr>
            </w:div>
          </w:divsChild>
        </w:div>
        <w:div w:id="1348018186">
          <w:marLeft w:val="0"/>
          <w:marRight w:val="0"/>
          <w:marTop w:val="0"/>
          <w:marBottom w:val="0"/>
          <w:divBdr>
            <w:top w:val="none" w:sz="0" w:space="0" w:color="auto"/>
            <w:left w:val="none" w:sz="0" w:space="0" w:color="auto"/>
            <w:bottom w:val="none" w:sz="0" w:space="0" w:color="auto"/>
            <w:right w:val="none" w:sz="0" w:space="0" w:color="auto"/>
          </w:divBdr>
          <w:divsChild>
            <w:div w:id="41105334">
              <w:marLeft w:val="0"/>
              <w:marRight w:val="0"/>
              <w:marTop w:val="0"/>
              <w:marBottom w:val="0"/>
              <w:divBdr>
                <w:top w:val="none" w:sz="0" w:space="0" w:color="auto"/>
                <w:left w:val="none" w:sz="0" w:space="0" w:color="auto"/>
                <w:bottom w:val="none" w:sz="0" w:space="0" w:color="auto"/>
                <w:right w:val="none" w:sz="0" w:space="0" w:color="auto"/>
              </w:divBdr>
            </w:div>
            <w:div w:id="886986903">
              <w:marLeft w:val="0"/>
              <w:marRight w:val="0"/>
              <w:marTop w:val="0"/>
              <w:marBottom w:val="0"/>
              <w:divBdr>
                <w:top w:val="none" w:sz="0" w:space="0" w:color="auto"/>
                <w:left w:val="none" w:sz="0" w:space="0" w:color="auto"/>
                <w:bottom w:val="none" w:sz="0" w:space="0" w:color="auto"/>
                <w:right w:val="none" w:sz="0" w:space="0" w:color="auto"/>
              </w:divBdr>
            </w:div>
            <w:div w:id="914708081">
              <w:marLeft w:val="0"/>
              <w:marRight w:val="0"/>
              <w:marTop w:val="0"/>
              <w:marBottom w:val="0"/>
              <w:divBdr>
                <w:top w:val="none" w:sz="0" w:space="0" w:color="auto"/>
                <w:left w:val="none" w:sz="0" w:space="0" w:color="auto"/>
                <w:bottom w:val="none" w:sz="0" w:space="0" w:color="auto"/>
                <w:right w:val="none" w:sz="0" w:space="0" w:color="auto"/>
              </w:divBdr>
            </w:div>
            <w:div w:id="2027973228">
              <w:marLeft w:val="0"/>
              <w:marRight w:val="0"/>
              <w:marTop w:val="0"/>
              <w:marBottom w:val="0"/>
              <w:divBdr>
                <w:top w:val="none" w:sz="0" w:space="0" w:color="auto"/>
                <w:left w:val="none" w:sz="0" w:space="0" w:color="auto"/>
                <w:bottom w:val="none" w:sz="0" w:space="0" w:color="auto"/>
                <w:right w:val="none" w:sz="0" w:space="0" w:color="auto"/>
              </w:divBdr>
            </w:div>
            <w:div w:id="2116897400">
              <w:marLeft w:val="0"/>
              <w:marRight w:val="0"/>
              <w:marTop w:val="0"/>
              <w:marBottom w:val="0"/>
              <w:divBdr>
                <w:top w:val="none" w:sz="0" w:space="0" w:color="auto"/>
                <w:left w:val="none" w:sz="0" w:space="0" w:color="auto"/>
                <w:bottom w:val="none" w:sz="0" w:space="0" w:color="auto"/>
                <w:right w:val="none" w:sz="0" w:space="0" w:color="auto"/>
              </w:divBdr>
            </w:div>
          </w:divsChild>
        </w:div>
        <w:div w:id="1992171359">
          <w:marLeft w:val="0"/>
          <w:marRight w:val="0"/>
          <w:marTop w:val="0"/>
          <w:marBottom w:val="0"/>
          <w:divBdr>
            <w:top w:val="none" w:sz="0" w:space="0" w:color="auto"/>
            <w:left w:val="none" w:sz="0" w:space="0" w:color="auto"/>
            <w:bottom w:val="none" w:sz="0" w:space="0" w:color="auto"/>
            <w:right w:val="none" w:sz="0" w:space="0" w:color="auto"/>
          </w:divBdr>
          <w:divsChild>
            <w:div w:id="1725175092">
              <w:marLeft w:val="0"/>
              <w:marRight w:val="0"/>
              <w:marTop w:val="0"/>
              <w:marBottom w:val="0"/>
              <w:divBdr>
                <w:top w:val="none" w:sz="0" w:space="0" w:color="auto"/>
                <w:left w:val="none" w:sz="0" w:space="0" w:color="auto"/>
                <w:bottom w:val="none" w:sz="0" w:space="0" w:color="auto"/>
                <w:right w:val="none" w:sz="0" w:space="0" w:color="auto"/>
              </w:divBdr>
            </w:div>
            <w:div w:id="1884563130">
              <w:marLeft w:val="0"/>
              <w:marRight w:val="0"/>
              <w:marTop w:val="0"/>
              <w:marBottom w:val="0"/>
              <w:divBdr>
                <w:top w:val="none" w:sz="0" w:space="0" w:color="auto"/>
                <w:left w:val="none" w:sz="0" w:space="0" w:color="auto"/>
                <w:bottom w:val="none" w:sz="0" w:space="0" w:color="auto"/>
                <w:right w:val="none" w:sz="0" w:space="0" w:color="auto"/>
              </w:divBdr>
            </w:div>
            <w:div w:id="21016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5769">
      <w:bodyDiv w:val="1"/>
      <w:marLeft w:val="0"/>
      <w:marRight w:val="0"/>
      <w:marTop w:val="0"/>
      <w:marBottom w:val="0"/>
      <w:divBdr>
        <w:top w:val="none" w:sz="0" w:space="0" w:color="auto"/>
        <w:left w:val="none" w:sz="0" w:space="0" w:color="auto"/>
        <w:bottom w:val="none" w:sz="0" w:space="0" w:color="auto"/>
        <w:right w:val="none" w:sz="0" w:space="0" w:color="auto"/>
      </w:divBdr>
      <w:divsChild>
        <w:div w:id="516890117">
          <w:marLeft w:val="0"/>
          <w:marRight w:val="0"/>
          <w:marTop w:val="0"/>
          <w:marBottom w:val="0"/>
          <w:divBdr>
            <w:top w:val="none" w:sz="0" w:space="0" w:color="auto"/>
            <w:left w:val="none" w:sz="0" w:space="0" w:color="auto"/>
            <w:bottom w:val="none" w:sz="0" w:space="0" w:color="auto"/>
            <w:right w:val="none" w:sz="0" w:space="0" w:color="auto"/>
          </w:divBdr>
        </w:div>
        <w:div w:id="533808225">
          <w:marLeft w:val="0"/>
          <w:marRight w:val="0"/>
          <w:marTop w:val="0"/>
          <w:marBottom w:val="0"/>
          <w:divBdr>
            <w:top w:val="none" w:sz="0" w:space="0" w:color="auto"/>
            <w:left w:val="none" w:sz="0" w:space="0" w:color="auto"/>
            <w:bottom w:val="none" w:sz="0" w:space="0" w:color="auto"/>
            <w:right w:val="none" w:sz="0" w:space="0" w:color="auto"/>
          </w:divBdr>
        </w:div>
        <w:div w:id="713818264">
          <w:marLeft w:val="0"/>
          <w:marRight w:val="0"/>
          <w:marTop w:val="0"/>
          <w:marBottom w:val="0"/>
          <w:divBdr>
            <w:top w:val="none" w:sz="0" w:space="0" w:color="auto"/>
            <w:left w:val="none" w:sz="0" w:space="0" w:color="auto"/>
            <w:bottom w:val="none" w:sz="0" w:space="0" w:color="auto"/>
            <w:right w:val="none" w:sz="0" w:space="0" w:color="auto"/>
          </w:divBdr>
        </w:div>
        <w:div w:id="1012024791">
          <w:marLeft w:val="0"/>
          <w:marRight w:val="0"/>
          <w:marTop w:val="0"/>
          <w:marBottom w:val="0"/>
          <w:divBdr>
            <w:top w:val="none" w:sz="0" w:space="0" w:color="auto"/>
            <w:left w:val="none" w:sz="0" w:space="0" w:color="auto"/>
            <w:bottom w:val="none" w:sz="0" w:space="0" w:color="auto"/>
            <w:right w:val="none" w:sz="0" w:space="0" w:color="auto"/>
          </w:divBdr>
        </w:div>
        <w:div w:id="1153259949">
          <w:marLeft w:val="0"/>
          <w:marRight w:val="0"/>
          <w:marTop w:val="0"/>
          <w:marBottom w:val="0"/>
          <w:divBdr>
            <w:top w:val="none" w:sz="0" w:space="0" w:color="auto"/>
            <w:left w:val="none" w:sz="0" w:space="0" w:color="auto"/>
            <w:bottom w:val="none" w:sz="0" w:space="0" w:color="auto"/>
            <w:right w:val="none" w:sz="0" w:space="0" w:color="auto"/>
          </w:divBdr>
        </w:div>
        <w:div w:id="1243030168">
          <w:marLeft w:val="0"/>
          <w:marRight w:val="0"/>
          <w:marTop w:val="0"/>
          <w:marBottom w:val="0"/>
          <w:divBdr>
            <w:top w:val="none" w:sz="0" w:space="0" w:color="auto"/>
            <w:left w:val="none" w:sz="0" w:space="0" w:color="auto"/>
            <w:bottom w:val="none" w:sz="0" w:space="0" w:color="auto"/>
            <w:right w:val="none" w:sz="0" w:space="0" w:color="auto"/>
          </w:divBdr>
        </w:div>
        <w:div w:id="1303734072">
          <w:marLeft w:val="0"/>
          <w:marRight w:val="0"/>
          <w:marTop w:val="0"/>
          <w:marBottom w:val="0"/>
          <w:divBdr>
            <w:top w:val="none" w:sz="0" w:space="0" w:color="auto"/>
            <w:left w:val="none" w:sz="0" w:space="0" w:color="auto"/>
            <w:bottom w:val="none" w:sz="0" w:space="0" w:color="auto"/>
            <w:right w:val="none" w:sz="0" w:space="0" w:color="auto"/>
          </w:divBdr>
        </w:div>
        <w:div w:id="1405451981">
          <w:marLeft w:val="0"/>
          <w:marRight w:val="0"/>
          <w:marTop w:val="0"/>
          <w:marBottom w:val="0"/>
          <w:divBdr>
            <w:top w:val="none" w:sz="0" w:space="0" w:color="auto"/>
            <w:left w:val="none" w:sz="0" w:space="0" w:color="auto"/>
            <w:bottom w:val="none" w:sz="0" w:space="0" w:color="auto"/>
            <w:right w:val="none" w:sz="0" w:space="0" w:color="auto"/>
          </w:divBdr>
        </w:div>
        <w:div w:id="1567648179">
          <w:marLeft w:val="0"/>
          <w:marRight w:val="0"/>
          <w:marTop w:val="0"/>
          <w:marBottom w:val="0"/>
          <w:divBdr>
            <w:top w:val="none" w:sz="0" w:space="0" w:color="auto"/>
            <w:left w:val="none" w:sz="0" w:space="0" w:color="auto"/>
            <w:bottom w:val="none" w:sz="0" w:space="0" w:color="auto"/>
            <w:right w:val="none" w:sz="0" w:space="0" w:color="auto"/>
          </w:divBdr>
        </w:div>
        <w:div w:id="1959335541">
          <w:marLeft w:val="0"/>
          <w:marRight w:val="0"/>
          <w:marTop w:val="0"/>
          <w:marBottom w:val="0"/>
          <w:divBdr>
            <w:top w:val="none" w:sz="0" w:space="0" w:color="auto"/>
            <w:left w:val="none" w:sz="0" w:space="0" w:color="auto"/>
            <w:bottom w:val="none" w:sz="0" w:space="0" w:color="auto"/>
            <w:right w:val="none" w:sz="0" w:space="0" w:color="auto"/>
          </w:divBdr>
        </w:div>
      </w:divsChild>
    </w:div>
    <w:div w:id="618493413">
      <w:bodyDiv w:val="1"/>
      <w:marLeft w:val="0"/>
      <w:marRight w:val="0"/>
      <w:marTop w:val="0"/>
      <w:marBottom w:val="0"/>
      <w:divBdr>
        <w:top w:val="none" w:sz="0" w:space="0" w:color="auto"/>
        <w:left w:val="none" w:sz="0" w:space="0" w:color="auto"/>
        <w:bottom w:val="none" w:sz="0" w:space="0" w:color="auto"/>
        <w:right w:val="none" w:sz="0" w:space="0" w:color="auto"/>
      </w:divBdr>
    </w:div>
    <w:div w:id="765879374">
      <w:bodyDiv w:val="1"/>
      <w:marLeft w:val="0"/>
      <w:marRight w:val="0"/>
      <w:marTop w:val="0"/>
      <w:marBottom w:val="0"/>
      <w:divBdr>
        <w:top w:val="none" w:sz="0" w:space="0" w:color="auto"/>
        <w:left w:val="none" w:sz="0" w:space="0" w:color="auto"/>
        <w:bottom w:val="none" w:sz="0" w:space="0" w:color="auto"/>
        <w:right w:val="none" w:sz="0" w:space="0" w:color="auto"/>
      </w:divBdr>
      <w:divsChild>
        <w:div w:id="44915910">
          <w:marLeft w:val="0"/>
          <w:marRight w:val="0"/>
          <w:marTop w:val="0"/>
          <w:marBottom w:val="0"/>
          <w:divBdr>
            <w:top w:val="none" w:sz="0" w:space="0" w:color="auto"/>
            <w:left w:val="none" w:sz="0" w:space="0" w:color="auto"/>
            <w:bottom w:val="none" w:sz="0" w:space="0" w:color="auto"/>
            <w:right w:val="none" w:sz="0" w:space="0" w:color="auto"/>
          </w:divBdr>
        </w:div>
        <w:div w:id="336426769">
          <w:marLeft w:val="0"/>
          <w:marRight w:val="0"/>
          <w:marTop w:val="0"/>
          <w:marBottom w:val="0"/>
          <w:divBdr>
            <w:top w:val="none" w:sz="0" w:space="0" w:color="auto"/>
            <w:left w:val="none" w:sz="0" w:space="0" w:color="auto"/>
            <w:bottom w:val="none" w:sz="0" w:space="0" w:color="auto"/>
            <w:right w:val="none" w:sz="0" w:space="0" w:color="auto"/>
          </w:divBdr>
        </w:div>
        <w:div w:id="401105981">
          <w:marLeft w:val="0"/>
          <w:marRight w:val="0"/>
          <w:marTop w:val="0"/>
          <w:marBottom w:val="0"/>
          <w:divBdr>
            <w:top w:val="none" w:sz="0" w:space="0" w:color="auto"/>
            <w:left w:val="none" w:sz="0" w:space="0" w:color="auto"/>
            <w:bottom w:val="none" w:sz="0" w:space="0" w:color="auto"/>
            <w:right w:val="none" w:sz="0" w:space="0" w:color="auto"/>
          </w:divBdr>
        </w:div>
        <w:div w:id="604577652">
          <w:marLeft w:val="0"/>
          <w:marRight w:val="0"/>
          <w:marTop w:val="0"/>
          <w:marBottom w:val="0"/>
          <w:divBdr>
            <w:top w:val="none" w:sz="0" w:space="0" w:color="auto"/>
            <w:left w:val="none" w:sz="0" w:space="0" w:color="auto"/>
            <w:bottom w:val="none" w:sz="0" w:space="0" w:color="auto"/>
            <w:right w:val="none" w:sz="0" w:space="0" w:color="auto"/>
          </w:divBdr>
        </w:div>
        <w:div w:id="790441565">
          <w:marLeft w:val="0"/>
          <w:marRight w:val="0"/>
          <w:marTop w:val="0"/>
          <w:marBottom w:val="0"/>
          <w:divBdr>
            <w:top w:val="none" w:sz="0" w:space="0" w:color="auto"/>
            <w:left w:val="none" w:sz="0" w:space="0" w:color="auto"/>
            <w:bottom w:val="none" w:sz="0" w:space="0" w:color="auto"/>
            <w:right w:val="none" w:sz="0" w:space="0" w:color="auto"/>
          </w:divBdr>
        </w:div>
        <w:div w:id="965089796">
          <w:marLeft w:val="0"/>
          <w:marRight w:val="0"/>
          <w:marTop w:val="0"/>
          <w:marBottom w:val="0"/>
          <w:divBdr>
            <w:top w:val="none" w:sz="0" w:space="0" w:color="auto"/>
            <w:left w:val="none" w:sz="0" w:space="0" w:color="auto"/>
            <w:bottom w:val="none" w:sz="0" w:space="0" w:color="auto"/>
            <w:right w:val="none" w:sz="0" w:space="0" w:color="auto"/>
          </w:divBdr>
        </w:div>
        <w:div w:id="1055356848">
          <w:marLeft w:val="0"/>
          <w:marRight w:val="0"/>
          <w:marTop w:val="0"/>
          <w:marBottom w:val="0"/>
          <w:divBdr>
            <w:top w:val="none" w:sz="0" w:space="0" w:color="auto"/>
            <w:left w:val="none" w:sz="0" w:space="0" w:color="auto"/>
            <w:bottom w:val="none" w:sz="0" w:space="0" w:color="auto"/>
            <w:right w:val="none" w:sz="0" w:space="0" w:color="auto"/>
          </w:divBdr>
        </w:div>
        <w:div w:id="1091201309">
          <w:marLeft w:val="0"/>
          <w:marRight w:val="0"/>
          <w:marTop w:val="0"/>
          <w:marBottom w:val="0"/>
          <w:divBdr>
            <w:top w:val="none" w:sz="0" w:space="0" w:color="auto"/>
            <w:left w:val="none" w:sz="0" w:space="0" w:color="auto"/>
            <w:bottom w:val="none" w:sz="0" w:space="0" w:color="auto"/>
            <w:right w:val="none" w:sz="0" w:space="0" w:color="auto"/>
          </w:divBdr>
        </w:div>
        <w:div w:id="1910263368">
          <w:marLeft w:val="0"/>
          <w:marRight w:val="0"/>
          <w:marTop w:val="0"/>
          <w:marBottom w:val="0"/>
          <w:divBdr>
            <w:top w:val="none" w:sz="0" w:space="0" w:color="auto"/>
            <w:left w:val="none" w:sz="0" w:space="0" w:color="auto"/>
            <w:bottom w:val="none" w:sz="0" w:space="0" w:color="auto"/>
            <w:right w:val="none" w:sz="0" w:space="0" w:color="auto"/>
          </w:divBdr>
        </w:div>
      </w:divsChild>
    </w:div>
    <w:div w:id="784739058">
      <w:bodyDiv w:val="1"/>
      <w:marLeft w:val="0"/>
      <w:marRight w:val="0"/>
      <w:marTop w:val="0"/>
      <w:marBottom w:val="0"/>
      <w:divBdr>
        <w:top w:val="none" w:sz="0" w:space="0" w:color="auto"/>
        <w:left w:val="none" w:sz="0" w:space="0" w:color="auto"/>
        <w:bottom w:val="none" w:sz="0" w:space="0" w:color="auto"/>
        <w:right w:val="none" w:sz="0" w:space="0" w:color="auto"/>
      </w:divBdr>
    </w:div>
    <w:div w:id="792988032">
      <w:bodyDiv w:val="1"/>
      <w:marLeft w:val="0"/>
      <w:marRight w:val="0"/>
      <w:marTop w:val="0"/>
      <w:marBottom w:val="0"/>
      <w:divBdr>
        <w:top w:val="none" w:sz="0" w:space="0" w:color="auto"/>
        <w:left w:val="none" w:sz="0" w:space="0" w:color="auto"/>
        <w:bottom w:val="none" w:sz="0" w:space="0" w:color="auto"/>
        <w:right w:val="none" w:sz="0" w:space="0" w:color="auto"/>
      </w:divBdr>
    </w:div>
    <w:div w:id="1003700633">
      <w:bodyDiv w:val="1"/>
      <w:marLeft w:val="0"/>
      <w:marRight w:val="0"/>
      <w:marTop w:val="0"/>
      <w:marBottom w:val="0"/>
      <w:divBdr>
        <w:top w:val="none" w:sz="0" w:space="0" w:color="auto"/>
        <w:left w:val="none" w:sz="0" w:space="0" w:color="auto"/>
        <w:bottom w:val="none" w:sz="0" w:space="0" w:color="auto"/>
        <w:right w:val="none" w:sz="0" w:space="0" w:color="auto"/>
      </w:divBdr>
      <w:divsChild>
        <w:div w:id="272983346">
          <w:marLeft w:val="0"/>
          <w:marRight w:val="0"/>
          <w:marTop w:val="0"/>
          <w:marBottom w:val="0"/>
          <w:divBdr>
            <w:top w:val="none" w:sz="0" w:space="0" w:color="auto"/>
            <w:left w:val="none" w:sz="0" w:space="0" w:color="auto"/>
            <w:bottom w:val="none" w:sz="0" w:space="0" w:color="auto"/>
            <w:right w:val="none" w:sz="0" w:space="0" w:color="auto"/>
          </w:divBdr>
        </w:div>
        <w:div w:id="1534148714">
          <w:marLeft w:val="0"/>
          <w:marRight w:val="0"/>
          <w:marTop w:val="0"/>
          <w:marBottom w:val="0"/>
          <w:divBdr>
            <w:top w:val="none" w:sz="0" w:space="0" w:color="auto"/>
            <w:left w:val="none" w:sz="0" w:space="0" w:color="auto"/>
            <w:bottom w:val="none" w:sz="0" w:space="0" w:color="auto"/>
            <w:right w:val="none" w:sz="0" w:space="0" w:color="auto"/>
          </w:divBdr>
        </w:div>
      </w:divsChild>
    </w:div>
    <w:div w:id="1086806550">
      <w:bodyDiv w:val="1"/>
      <w:marLeft w:val="0"/>
      <w:marRight w:val="0"/>
      <w:marTop w:val="0"/>
      <w:marBottom w:val="0"/>
      <w:divBdr>
        <w:top w:val="none" w:sz="0" w:space="0" w:color="auto"/>
        <w:left w:val="none" w:sz="0" w:space="0" w:color="auto"/>
        <w:bottom w:val="none" w:sz="0" w:space="0" w:color="auto"/>
        <w:right w:val="none" w:sz="0" w:space="0" w:color="auto"/>
      </w:divBdr>
      <w:divsChild>
        <w:div w:id="22874380">
          <w:marLeft w:val="0"/>
          <w:marRight w:val="0"/>
          <w:marTop w:val="0"/>
          <w:marBottom w:val="0"/>
          <w:divBdr>
            <w:top w:val="none" w:sz="0" w:space="0" w:color="auto"/>
            <w:left w:val="none" w:sz="0" w:space="0" w:color="auto"/>
            <w:bottom w:val="none" w:sz="0" w:space="0" w:color="auto"/>
            <w:right w:val="none" w:sz="0" w:space="0" w:color="auto"/>
          </w:divBdr>
          <w:divsChild>
            <w:div w:id="845632501">
              <w:marLeft w:val="0"/>
              <w:marRight w:val="0"/>
              <w:marTop w:val="0"/>
              <w:marBottom w:val="0"/>
              <w:divBdr>
                <w:top w:val="none" w:sz="0" w:space="0" w:color="auto"/>
                <w:left w:val="none" w:sz="0" w:space="0" w:color="auto"/>
                <w:bottom w:val="none" w:sz="0" w:space="0" w:color="auto"/>
                <w:right w:val="none" w:sz="0" w:space="0" w:color="auto"/>
              </w:divBdr>
            </w:div>
          </w:divsChild>
        </w:div>
        <w:div w:id="249043903">
          <w:marLeft w:val="0"/>
          <w:marRight w:val="0"/>
          <w:marTop w:val="0"/>
          <w:marBottom w:val="0"/>
          <w:divBdr>
            <w:top w:val="none" w:sz="0" w:space="0" w:color="auto"/>
            <w:left w:val="none" w:sz="0" w:space="0" w:color="auto"/>
            <w:bottom w:val="none" w:sz="0" w:space="0" w:color="auto"/>
            <w:right w:val="none" w:sz="0" w:space="0" w:color="auto"/>
          </w:divBdr>
          <w:divsChild>
            <w:div w:id="1886523600">
              <w:marLeft w:val="0"/>
              <w:marRight w:val="0"/>
              <w:marTop w:val="0"/>
              <w:marBottom w:val="0"/>
              <w:divBdr>
                <w:top w:val="none" w:sz="0" w:space="0" w:color="auto"/>
                <w:left w:val="none" w:sz="0" w:space="0" w:color="auto"/>
                <w:bottom w:val="none" w:sz="0" w:space="0" w:color="auto"/>
                <w:right w:val="none" w:sz="0" w:space="0" w:color="auto"/>
              </w:divBdr>
            </w:div>
          </w:divsChild>
        </w:div>
        <w:div w:id="358942422">
          <w:marLeft w:val="0"/>
          <w:marRight w:val="0"/>
          <w:marTop w:val="0"/>
          <w:marBottom w:val="0"/>
          <w:divBdr>
            <w:top w:val="none" w:sz="0" w:space="0" w:color="auto"/>
            <w:left w:val="none" w:sz="0" w:space="0" w:color="auto"/>
            <w:bottom w:val="none" w:sz="0" w:space="0" w:color="auto"/>
            <w:right w:val="none" w:sz="0" w:space="0" w:color="auto"/>
          </w:divBdr>
          <w:divsChild>
            <w:div w:id="408432694">
              <w:marLeft w:val="0"/>
              <w:marRight w:val="0"/>
              <w:marTop w:val="0"/>
              <w:marBottom w:val="0"/>
              <w:divBdr>
                <w:top w:val="none" w:sz="0" w:space="0" w:color="auto"/>
                <w:left w:val="none" w:sz="0" w:space="0" w:color="auto"/>
                <w:bottom w:val="none" w:sz="0" w:space="0" w:color="auto"/>
                <w:right w:val="none" w:sz="0" w:space="0" w:color="auto"/>
              </w:divBdr>
            </w:div>
          </w:divsChild>
        </w:div>
        <w:div w:id="372850541">
          <w:marLeft w:val="0"/>
          <w:marRight w:val="0"/>
          <w:marTop w:val="0"/>
          <w:marBottom w:val="0"/>
          <w:divBdr>
            <w:top w:val="none" w:sz="0" w:space="0" w:color="auto"/>
            <w:left w:val="none" w:sz="0" w:space="0" w:color="auto"/>
            <w:bottom w:val="none" w:sz="0" w:space="0" w:color="auto"/>
            <w:right w:val="none" w:sz="0" w:space="0" w:color="auto"/>
          </w:divBdr>
          <w:divsChild>
            <w:div w:id="1957062800">
              <w:marLeft w:val="0"/>
              <w:marRight w:val="0"/>
              <w:marTop w:val="0"/>
              <w:marBottom w:val="0"/>
              <w:divBdr>
                <w:top w:val="none" w:sz="0" w:space="0" w:color="auto"/>
                <w:left w:val="none" w:sz="0" w:space="0" w:color="auto"/>
                <w:bottom w:val="none" w:sz="0" w:space="0" w:color="auto"/>
                <w:right w:val="none" w:sz="0" w:space="0" w:color="auto"/>
              </w:divBdr>
            </w:div>
          </w:divsChild>
        </w:div>
        <w:div w:id="375088923">
          <w:marLeft w:val="0"/>
          <w:marRight w:val="0"/>
          <w:marTop w:val="0"/>
          <w:marBottom w:val="0"/>
          <w:divBdr>
            <w:top w:val="none" w:sz="0" w:space="0" w:color="auto"/>
            <w:left w:val="none" w:sz="0" w:space="0" w:color="auto"/>
            <w:bottom w:val="none" w:sz="0" w:space="0" w:color="auto"/>
            <w:right w:val="none" w:sz="0" w:space="0" w:color="auto"/>
          </w:divBdr>
          <w:divsChild>
            <w:div w:id="174150189">
              <w:marLeft w:val="0"/>
              <w:marRight w:val="0"/>
              <w:marTop w:val="0"/>
              <w:marBottom w:val="0"/>
              <w:divBdr>
                <w:top w:val="none" w:sz="0" w:space="0" w:color="auto"/>
                <w:left w:val="none" w:sz="0" w:space="0" w:color="auto"/>
                <w:bottom w:val="none" w:sz="0" w:space="0" w:color="auto"/>
                <w:right w:val="none" w:sz="0" w:space="0" w:color="auto"/>
              </w:divBdr>
            </w:div>
          </w:divsChild>
        </w:div>
        <w:div w:id="449515680">
          <w:marLeft w:val="0"/>
          <w:marRight w:val="0"/>
          <w:marTop w:val="0"/>
          <w:marBottom w:val="0"/>
          <w:divBdr>
            <w:top w:val="none" w:sz="0" w:space="0" w:color="auto"/>
            <w:left w:val="none" w:sz="0" w:space="0" w:color="auto"/>
            <w:bottom w:val="none" w:sz="0" w:space="0" w:color="auto"/>
            <w:right w:val="none" w:sz="0" w:space="0" w:color="auto"/>
          </w:divBdr>
          <w:divsChild>
            <w:div w:id="1481507614">
              <w:marLeft w:val="0"/>
              <w:marRight w:val="0"/>
              <w:marTop w:val="0"/>
              <w:marBottom w:val="0"/>
              <w:divBdr>
                <w:top w:val="none" w:sz="0" w:space="0" w:color="auto"/>
                <w:left w:val="none" w:sz="0" w:space="0" w:color="auto"/>
                <w:bottom w:val="none" w:sz="0" w:space="0" w:color="auto"/>
                <w:right w:val="none" w:sz="0" w:space="0" w:color="auto"/>
              </w:divBdr>
            </w:div>
          </w:divsChild>
        </w:div>
        <w:div w:id="535772893">
          <w:marLeft w:val="0"/>
          <w:marRight w:val="0"/>
          <w:marTop w:val="0"/>
          <w:marBottom w:val="0"/>
          <w:divBdr>
            <w:top w:val="none" w:sz="0" w:space="0" w:color="auto"/>
            <w:left w:val="none" w:sz="0" w:space="0" w:color="auto"/>
            <w:bottom w:val="none" w:sz="0" w:space="0" w:color="auto"/>
            <w:right w:val="none" w:sz="0" w:space="0" w:color="auto"/>
          </w:divBdr>
          <w:divsChild>
            <w:div w:id="1356614649">
              <w:marLeft w:val="0"/>
              <w:marRight w:val="0"/>
              <w:marTop w:val="0"/>
              <w:marBottom w:val="0"/>
              <w:divBdr>
                <w:top w:val="none" w:sz="0" w:space="0" w:color="auto"/>
                <w:left w:val="none" w:sz="0" w:space="0" w:color="auto"/>
                <w:bottom w:val="none" w:sz="0" w:space="0" w:color="auto"/>
                <w:right w:val="none" w:sz="0" w:space="0" w:color="auto"/>
              </w:divBdr>
            </w:div>
          </w:divsChild>
        </w:div>
        <w:div w:id="596401513">
          <w:marLeft w:val="0"/>
          <w:marRight w:val="0"/>
          <w:marTop w:val="0"/>
          <w:marBottom w:val="0"/>
          <w:divBdr>
            <w:top w:val="none" w:sz="0" w:space="0" w:color="auto"/>
            <w:left w:val="none" w:sz="0" w:space="0" w:color="auto"/>
            <w:bottom w:val="none" w:sz="0" w:space="0" w:color="auto"/>
            <w:right w:val="none" w:sz="0" w:space="0" w:color="auto"/>
          </w:divBdr>
          <w:divsChild>
            <w:div w:id="437213084">
              <w:marLeft w:val="0"/>
              <w:marRight w:val="0"/>
              <w:marTop w:val="0"/>
              <w:marBottom w:val="0"/>
              <w:divBdr>
                <w:top w:val="none" w:sz="0" w:space="0" w:color="auto"/>
                <w:left w:val="none" w:sz="0" w:space="0" w:color="auto"/>
                <w:bottom w:val="none" w:sz="0" w:space="0" w:color="auto"/>
                <w:right w:val="none" w:sz="0" w:space="0" w:color="auto"/>
              </w:divBdr>
            </w:div>
          </w:divsChild>
        </w:div>
        <w:div w:id="673191033">
          <w:marLeft w:val="0"/>
          <w:marRight w:val="0"/>
          <w:marTop w:val="0"/>
          <w:marBottom w:val="0"/>
          <w:divBdr>
            <w:top w:val="none" w:sz="0" w:space="0" w:color="auto"/>
            <w:left w:val="none" w:sz="0" w:space="0" w:color="auto"/>
            <w:bottom w:val="none" w:sz="0" w:space="0" w:color="auto"/>
            <w:right w:val="none" w:sz="0" w:space="0" w:color="auto"/>
          </w:divBdr>
          <w:divsChild>
            <w:div w:id="282542946">
              <w:marLeft w:val="0"/>
              <w:marRight w:val="0"/>
              <w:marTop w:val="0"/>
              <w:marBottom w:val="0"/>
              <w:divBdr>
                <w:top w:val="none" w:sz="0" w:space="0" w:color="auto"/>
                <w:left w:val="none" w:sz="0" w:space="0" w:color="auto"/>
                <w:bottom w:val="none" w:sz="0" w:space="0" w:color="auto"/>
                <w:right w:val="none" w:sz="0" w:space="0" w:color="auto"/>
              </w:divBdr>
            </w:div>
          </w:divsChild>
        </w:div>
        <w:div w:id="708535865">
          <w:marLeft w:val="0"/>
          <w:marRight w:val="0"/>
          <w:marTop w:val="0"/>
          <w:marBottom w:val="0"/>
          <w:divBdr>
            <w:top w:val="none" w:sz="0" w:space="0" w:color="auto"/>
            <w:left w:val="none" w:sz="0" w:space="0" w:color="auto"/>
            <w:bottom w:val="none" w:sz="0" w:space="0" w:color="auto"/>
            <w:right w:val="none" w:sz="0" w:space="0" w:color="auto"/>
          </w:divBdr>
          <w:divsChild>
            <w:div w:id="1997412688">
              <w:marLeft w:val="0"/>
              <w:marRight w:val="0"/>
              <w:marTop w:val="0"/>
              <w:marBottom w:val="0"/>
              <w:divBdr>
                <w:top w:val="none" w:sz="0" w:space="0" w:color="auto"/>
                <w:left w:val="none" w:sz="0" w:space="0" w:color="auto"/>
                <w:bottom w:val="none" w:sz="0" w:space="0" w:color="auto"/>
                <w:right w:val="none" w:sz="0" w:space="0" w:color="auto"/>
              </w:divBdr>
            </w:div>
          </w:divsChild>
        </w:div>
        <w:div w:id="806050732">
          <w:marLeft w:val="0"/>
          <w:marRight w:val="0"/>
          <w:marTop w:val="0"/>
          <w:marBottom w:val="0"/>
          <w:divBdr>
            <w:top w:val="none" w:sz="0" w:space="0" w:color="auto"/>
            <w:left w:val="none" w:sz="0" w:space="0" w:color="auto"/>
            <w:bottom w:val="none" w:sz="0" w:space="0" w:color="auto"/>
            <w:right w:val="none" w:sz="0" w:space="0" w:color="auto"/>
          </w:divBdr>
          <w:divsChild>
            <w:div w:id="1470586050">
              <w:marLeft w:val="0"/>
              <w:marRight w:val="0"/>
              <w:marTop w:val="0"/>
              <w:marBottom w:val="0"/>
              <w:divBdr>
                <w:top w:val="none" w:sz="0" w:space="0" w:color="auto"/>
                <w:left w:val="none" w:sz="0" w:space="0" w:color="auto"/>
                <w:bottom w:val="none" w:sz="0" w:space="0" w:color="auto"/>
                <w:right w:val="none" w:sz="0" w:space="0" w:color="auto"/>
              </w:divBdr>
            </w:div>
          </w:divsChild>
        </w:div>
        <w:div w:id="873810018">
          <w:marLeft w:val="0"/>
          <w:marRight w:val="0"/>
          <w:marTop w:val="0"/>
          <w:marBottom w:val="0"/>
          <w:divBdr>
            <w:top w:val="none" w:sz="0" w:space="0" w:color="auto"/>
            <w:left w:val="none" w:sz="0" w:space="0" w:color="auto"/>
            <w:bottom w:val="none" w:sz="0" w:space="0" w:color="auto"/>
            <w:right w:val="none" w:sz="0" w:space="0" w:color="auto"/>
          </w:divBdr>
          <w:divsChild>
            <w:div w:id="1021125072">
              <w:marLeft w:val="0"/>
              <w:marRight w:val="0"/>
              <w:marTop w:val="0"/>
              <w:marBottom w:val="0"/>
              <w:divBdr>
                <w:top w:val="none" w:sz="0" w:space="0" w:color="auto"/>
                <w:left w:val="none" w:sz="0" w:space="0" w:color="auto"/>
                <w:bottom w:val="none" w:sz="0" w:space="0" w:color="auto"/>
                <w:right w:val="none" w:sz="0" w:space="0" w:color="auto"/>
              </w:divBdr>
            </w:div>
          </w:divsChild>
        </w:div>
        <w:div w:id="934171904">
          <w:marLeft w:val="0"/>
          <w:marRight w:val="0"/>
          <w:marTop w:val="0"/>
          <w:marBottom w:val="0"/>
          <w:divBdr>
            <w:top w:val="none" w:sz="0" w:space="0" w:color="auto"/>
            <w:left w:val="none" w:sz="0" w:space="0" w:color="auto"/>
            <w:bottom w:val="none" w:sz="0" w:space="0" w:color="auto"/>
            <w:right w:val="none" w:sz="0" w:space="0" w:color="auto"/>
          </w:divBdr>
          <w:divsChild>
            <w:div w:id="1377047511">
              <w:marLeft w:val="0"/>
              <w:marRight w:val="0"/>
              <w:marTop w:val="0"/>
              <w:marBottom w:val="0"/>
              <w:divBdr>
                <w:top w:val="none" w:sz="0" w:space="0" w:color="auto"/>
                <w:left w:val="none" w:sz="0" w:space="0" w:color="auto"/>
                <w:bottom w:val="none" w:sz="0" w:space="0" w:color="auto"/>
                <w:right w:val="none" w:sz="0" w:space="0" w:color="auto"/>
              </w:divBdr>
            </w:div>
          </w:divsChild>
        </w:div>
        <w:div w:id="980698688">
          <w:marLeft w:val="0"/>
          <w:marRight w:val="0"/>
          <w:marTop w:val="0"/>
          <w:marBottom w:val="0"/>
          <w:divBdr>
            <w:top w:val="none" w:sz="0" w:space="0" w:color="auto"/>
            <w:left w:val="none" w:sz="0" w:space="0" w:color="auto"/>
            <w:bottom w:val="none" w:sz="0" w:space="0" w:color="auto"/>
            <w:right w:val="none" w:sz="0" w:space="0" w:color="auto"/>
          </w:divBdr>
          <w:divsChild>
            <w:div w:id="697854925">
              <w:marLeft w:val="0"/>
              <w:marRight w:val="0"/>
              <w:marTop w:val="0"/>
              <w:marBottom w:val="0"/>
              <w:divBdr>
                <w:top w:val="none" w:sz="0" w:space="0" w:color="auto"/>
                <w:left w:val="none" w:sz="0" w:space="0" w:color="auto"/>
                <w:bottom w:val="none" w:sz="0" w:space="0" w:color="auto"/>
                <w:right w:val="none" w:sz="0" w:space="0" w:color="auto"/>
              </w:divBdr>
            </w:div>
          </w:divsChild>
        </w:div>
        <w:div w:id="1055080992">
          <w:marLeft w:val="0"/>
          <w:marRight w:val="0"/>
          <w:marTop w:val="0"/>
          <w:marBottom w:val="0"/>
          <w:divBdr>
            <w:top w:val="none" w:sz="0" w:space="0" w:color="auto"/>
            <w:left w:val="none" w:sz="0" w:space="0" w:color="auto"/>
            <w:bottom w:val="none" w:sz="0" w:space="0" w:color="auto"/>
            <w:right w:val="none" w:sz="0" w:space="0" w:color="auto"/>
          </w:divBdr>
          <w:divsChild>
            <w:div w:id="2033605944">
              <w:marLeft w:val="0"/>
              <w:marRight w:val="0"/>
              <w:marTop w:val="0"/>
              <w:marBottom w:val="0"/>
              <w:divBdr>
                <w:top w:val="none" w:sz="0" w:space="0" w:color="auto"/>
                <w:left w:val="none" w:sz="0" w:space="0" w:color="auto"/>
                <w:bottom w:val="none" w:sz="0" w:space="0" w:color="auto"/>
                <w:right w:val="none" w:sz="0" w:space="0" w:color="auto"/>
              </w:divBdr>
            </w:div>
          </w:divsChild>
        </w:div>
        <w:div w:id="1201670579">
          <w:marLeft w:val="0"/>
          <w:marRight w:val="0"/>
          <w:marTop w:val="0"/>
          <w:marBottom w:val="0"/>
          <w:divBdr>
            <w:top w:val="none" w:sz="0" w:space="0" w:color="auto"/>
            <w:left w:val="none" w:sz="0" w:space="0" w:color="auto"/>
            <w:bottom w:val="none" w:sz="0" w:space="0" w:color="auto"/>
            <w:right w:val="none" w:sz="0" w:space="0" w:color="auto"/>
          </w:divBdr>
          <w:divsChild>
            <w:div w:id="495657494">
              <w:marLeft w:val="0"/>
              <w:marRight w:val="0"/>
              <w:marTop w:val="0"/>
              <w:marBottom w:val="0"/>
              <w:divBdr>
                <w:top w:val="none" w:sz="0" w:space="0" w:color="auto"/>
                <w:left w:val="none" w:sz="0" w:space="0" w:color="auto"/>
                <w:bottom w:val="none" w:sz="0" w:space="0" w:color="auto"/>
                <w:right w:val="none" w:sz="0" w:space="0" w:color="auto"/>
              </w:divBdr>
            </w:div>
          </w:divsChild>
        </w:div>
        <w:div w:id="1263756033">
          <w:marLeft w:val="0"/>
          <w:marRight w:val="0"/>
          <w:marTop w:val="0"/>
          <w:marBottom w:val="0"/>
          <w:divBdr>
            <w:top w:val="none" w:sz="0" w:space="0" w:color="auto"/>
            <w:left w:val="none" w:sz="0" w:space="0" w:color="auto"/>
            <w:bottom w:val="none" w:sz="0" w:space="0" w:color="auto"/>
            <w:right w:val="none" w:sz="0" w:space="0" w:color="auto"/>
          </w:divBdr>
          <w:divsChild>
            <w:div w:id="2025279248">
              <w:marLeft w:val="0"/>
              <w:marRight w:val="0"/>
              <w:marTop w:val="0"/>
              <w:marBottom w:val="0"/>
              <w:divBdr>
                <w:top w:val="none" w:sz="0" w:space="0" w:color="auto"/>
                <w:left w:val="none" w:sz="0" w:space="0" w:color="auto"/>
                <w:bottom w:val="none" w:sz="0" w:space="0" w:color="auto"/>
                <w:right w:val="none" w:sz="0" w:space="0" w:color="auto"/>
              </w:divBdr>
            </w:div>
          </w:divsChild>
        </w:div>
        <w:div w:id="1266691371">
          <w:marLeft w:val="0"/>
          <w:marRight w:val="0"/>
          <w:marTop w:val="0"/>
          <w:marBottom w:val="0"/>
          <w:divBdr>
            <w:top w:val="none" w:sz="0" w:space="0" w:color="auto"/>
            <w:left w:val="none" w:sz="0" w:space="0" w:color="auto"/>
            <w:bottom w:val="none" w:sz="0" w:space="0" w:color="auto"/>
            <w:right w:val="none" w:sz="0" w:space="0" w:color="auto"/>
          </w:divBdr>
          <w:divsChild>
            <w:div w:id="1415473822">
              <w:marLeft w:val="0"/>
              <w:marRight w:val="0"/>
              <w:marTop w:val="0"/>
              <w:marBottom w:val="0"/>
              <w:divBdr>
                <w:top w:val="none" w:sz="0" w:space="0" w:color="auto"/>
                <w:left w:val="none" w:sz="0" w:space="0" w:color="auto"/>
                <w:bottom w:val="none" w:sz="0" w:space="0" w:color="auto"/>
                <w:right w:val="none" w:sz="0" w:space="0" w:color="auto"/>
              </w:divBdr>
            </w:div>
          </w:divsChild>
        </w:div>
        <w:div w:id="1316568442">
          <w:marLeft w:val="0"/>
          <w:marRight w:val="0"/>
          <w:marTop w:val="0"/>
          <w:marBottom w:val="0"/>
          <w:divBdr>
            <w:top w:val="none" w:sz="0" w:space="0" w:color="auto"/>
            <w:left w:val="none" w:sz="0" w:space="0" w:color="auto"/>
            <w:bottom w:val="none" w:sz="0" w:space="0" w:color="auto"/>
            <w:right w:val="none" w:sz="0" w:space="0" w:color="auto"/>
          </w:divBdr>
          <w:divsChild>
            <w:div w:id="2053529679">
              <w:marLeft w:val="0"/>
              <w:marRight w:val="0"/>
              <w:marTop w:val="0"/>
              <w:marBottom w:val="0"/>
              <w:divBdr>
                <w:top w:val="none" w:sz="0" w:space="0" w:color="auto"/>
                <w:left w:val="none" w:sz="0" w:space="0" w:color="auto"/>
                <w:bottom w:val="none" w:sz="0" w:space="0" w:color="auto"/>
                <w:right w:val="none" w:sz="0" w:space="0" w:color="auto"/>
              </w:divBdr>
            </w:div>
          </w:divsChild>
        </w:div>
        <w:div w:id="1574925036">
          <w:marLeft w:val="0"/>
          <w:marRight w:val="0"/>
          <w:marTop w:val="0"/>
          <w:marBottom w:val="0"/>
          <w:divBdr>
            <w:top w:val="none" w:sz="0" w:space="0" w:color="auto"/>
            <w:left w:val="none" w:sz="0" w:space="0" w:color="auto"/>
            <w:bottom w:val="none" w:sz="0" w:space="0" w:color="auto"/>
            <w:right w:val="none" w:sz="0" w:space="0" w:color="auto"/>
          </w:divBdr>
          <w:divsChild>
            <w:div w:id="900407120">
              <w:marLeft w:val="0"/>
              <w:marRight w:val="0"/>
              <w:marTop w:val="0"/>
              <w:marBottom w:val="0"/>
              <w:divBdr>
                <w:top w:val="none" w:sz="0" w:space="0" w:color="auto"/>
                <w:left w:val="none" w:sz="0" w:space="0" w:color="auto"/>
                <w:bottom w:val="none" w:sz="0" w:space="0" w:color="auto"/>
                <w:right w:val="none" w:sz="0" w:space="0" w:color="auto"/>
              </w:divBdr>
            </w:div>
          </w:divsChild>
        </w:div>
        <w:div w:id="1631738435">
          <w:marLeft w:val="0"/>
          <w:marRight w:val="0"/>
          <w:marTop w:val="0"/>
          <w:marBottom w:val="0"/>
          <w:divBdr>
            <w:top w:val="none" w:sz="0" w:space="0" w:color="auto"/>
            <w:left w:val="none" w:sz="0" w:space="0" w:color="auto"/>
            <w:bottom w:val="none" w:sz="0" w:space="0" w:color="auto"/>
            <w:right w:val="none" w:sz="0" w:space="0" w:color="auto"/>
          </w:divBdr>
          <w:divsChild>
            <w:div w:id="1803766305">
              <w:marLeft w:val="0"/>
              <w:marRight w:val="0"/>
              <w:marTop w:val="0"/>
              <w:marBottom w:val="0"/>
              <w:divBdr>
                <w:top w:val="none" w:sz="0" w:space="0" w:color="auto"/>
                <w:left w:val="none" w:sz="0" w:space="0" w:color="auto"/>
                <w:bottom w:val="none" w:sz="0" w:space="0" w:color="auto"/>
                <w:right w:val="none" w:sz="0" w:space="0" w:color="auto"/>
              </w:divBdr>
            </w:div>
          </w:divsChild>
        </w:div>
        <w:div w:id="1642537969">
          <w:marLeft w:val="0"/>
          <w:marRight w:val="0"/>
          <w:marTop w:val="0"/>
          <w:marBottom w:val="0"/>
          <w:divBdr>
            <w:top w:val="none" w:sz="0" w:space="0" w:color="auto"/>
            <w:left w:val="none" w:sz="0" w:space="0" w:color="auto"/>
            <w:bottom w:val="none" w:sz="0" w:space="0" w:color="auto"/>
            <w:right w:val="none" w:sz="0" w:space="0" w:color="auto"/>
          </w:divBdr>
          <w:divsChild>
            <w:div w:id="867715773">
              <w:marLeft w:val="0"/>
              <w:marRight w:val="0"/>
              <w:marTop w:val="0"/>
              <w:marBottom w:val="0"/>
              <w:divBdr>
                <w:top w:val="none" w:sz="0" w:space="0" w:color="auto"/>
                <w:left w:val="none" w:sz="0" w:space="0" w:color="auto"/>
                <w:bottom w:val="none" w:sz="0" w:space="0" w:color="auto"/>
                <w:right w:val="none" w:sz="0" w:space="0" w:color="auto"/>
              </w:divBdr>
            </w:div>
          </w:divsChild>
        </w:div>
        <w:div w:id="1704400086">
          <w:marLeft w:val="0"/>
          <w:marRight w:val="0"/>
          <w:marTop w:val="0"/>
          <w:marBottom w:val="0"/>
          <w:divBdr>
            <w:top w:val="none" w:sz="0" w:space="0" w:color="auto"/>
            <w:left w:val="none" w:sz="0" w:space="0" w:color="auto"/>
            <w:bottom w:val="none" w:sz="0" w:space="0" w:color="auto"/>
            <w:right w:val="none" w:sz="0" w:space="0" w:color="auto"/>
          </w:divBdr>
          <w:divsChild>
            <w:div w:id="1556434622">
              <w:marLeft w:val="0"/>
              <w:marRight w:val="0"/>
              <w:marTop w:val="0"/>
              <w:marBottom w:val="0"/>
              <w:divBdr>
                <w:top w:val="none" w:sz="0" w:space="0" w:color="auto"/>
                <w:left w:val="none" w:sz="0" w:space="0" w:color="auto"/>
                <w:bottom w:val="none" w:sz="0" w:space="0" w:color="auto"/>
                <w:right w:val="none" w:sz="0" w:space="0" w:color="auto"/>
              </w:divBdr>
            </w:div>
          </w:divsChild>
        </w:div>
        <w:div w:id="1705255391">
          <w:marLeft w:val="0"/>
          <w:marRight w:val="0"/>
          <w:marTop w:val="0"/>
          <w:marBottom w:val="0"/>
          <w:divBdr>
            <w:top w:val="none" w:sz="0" w:space="0" w:color="auto"/>
            <w:left w:val="none" w:sz="0" w:space="0" w:color="auto"/>
            <w:bottom w:val="none" w:sz="0" w:space="0" w:color="auto"/>
            <w:right w:val="none" w:sz="0" w:space="0" w:color="auto"/>
          </w:divBdr>
          <w:divsChild>
            <w:div w:id="316881226">
              <w:marLeft w:val="0"/>
              <w:marRight w:val="0"/>
              <w:marTop w:val="0"/>
              <w:marBottom w:val="0"/>
              <w:divBdr>
                <w:top w:val="none" w:sz="0" w:space="0" w:color="auto"/>
                <w:left w:val="none" w:sz="0" w:space="0" w:color="auto"/>
                <w:bottom w:val="none" w:sz="0" w:space="0" w:color="auto"/>
                <w:right w:val="none" w:sz="0" w:space="0" w:color="auto"/>
              </w:divBdr>
            </w:div>
          </w:divsChild>
        </w:div>
        <w:div w:id="1887136112">
          <w:marLeft w:val="0"/>
          <w:marRight w:val="0"/>
          <w:marTop w:val="0"/>
          <w:marBottom w:val="0"/>
          <w:divBdr>
            <w:top w:val="none" w:sz="0" w:space="0" w:color="auto"/>
            <w:left w:val="none" w:sz="0" w:space="0" w:color="auto"/>
            <w:bottom w:val="none" w:sz="0" w:space="0" w:color="auto"/>
            <w:right w:val="none" w:sz="0" w:space="0" w:color="auto"/>
          </w:divBdr>
          <w:divsChild>
            <w:div w:id="1507329314">
              <w:marLeft w:val="0"/>
              <w:marRight w:val="0"/>
              <w:marTop w:val="0"/>
              <w:marBottom w:val="0"/>
              <w:divBdr>
                <w:top w:val="none" w:sz="0" w:space="0" w:color="auto"/>
                <w:left w:val="none" w:sz="0" w:space="0" w:color="auto"/>
                <w:bottom w:val="none" w:sz="0" w:space="0" w:color="auto"/>
                <w:right w:val="none" w:sz="0" w:space="0" w:color="auto"/>
              </w:divBdr>
            </w:div>
          </w:divsChild>
        </w:div>
        <w:div w:id="1920556029">
          <w:marLeft w:val="0"/>
          <w:marRight w:val="0"/>
          <w:marTop w:val="0"/>
          <w:marBottom w:val="0"/>
          <w:divBdr>
            <w:top w:val="none" w:sz="0" w:space="0" w:color="auto"/>
            <w:left w:val="none" w:sz="0" w:space="0" w:color="auto"/>
            <w:bottom w:val="none" w:sz="0" w:space="0" w:color="auto"/>
            <w:right w:val="none" w:sz="0" w:space="0" w:color="auto"/>
          </w:divBdr>
          <w:divsChild>
            <w:div w:id="1966887734">
              <w:marLeft w:val="0"/>
              <w:marRight w:val="0"/>
              <w:marTop w:val="0"/>
              <w:marBottom w:val="0"/>
              <w:divBdr>
                <w:top w:val="none" w:sz="0" w:space="0" w:color="auto"/>
                <w:left w:val="none" w:sz="0" w:space="0" w:color="auto"/>
                <w:bottom w:val="none" w:sz="0" w:space="0" w:color="auto"/>
                <w:right w:val="none" w:sz="0" w:space="0" w:color="auto"/>
              </w:divBdr>
            </w:div>
          </w:divsChild>
        </w:div>
        <w:div w:id="1945456203">
          <w:marLeft w:val="0"/>
          <w:marRight w:val="0"/>
          <w:marTop w:val="0"/>
          <w:marBottom w:val="0"/>
          <w:divBdr>
            <w:top w:val="none" w:sz="0" w:space="0" w:color="auto"/>
            <w:left w:val="none" w:sz="0" w:space="0" w:color="auto"/>
            <w:bottom w:val="none" w:sz="0" w:space="0" w:color="auto"/>
            <w:right w:val="none" w:sz="0" w:space="0" w:color="auto"/>
          </w:divBdr>
          <w:divsChild>
            <w:div w:id="1588147203">
              <w:marLeft w:val="0"/>
              <w:marRight w:val="0"/>
              <w:marTop w:val="0"/>
              <w:marBottom w:val="0"/>
              <w:divBdr>
                <w:top w:val="none" w:sz="0" w:space="0" w:color="auto"/>
                <w:left w:val="none" w:sz="0" w:space="0" w:color="auto"/>
                <w:bottom w:val="none" w:sz="0" w:space="0" w:color="auto"/>
                <w:right w:val="none" w:sz="0" w:space="0" w:color="auto"/>
              </w:divBdr>
            </w:div>
          </w:divsChild>
        </w:div>
        <w:div w:id="1973094431">
          <w:marLeft w:val="0"/>
          <w:marRight w:val="0"/>
          <w:marTop w:val="0"/>
          <w:marBottom w:val="0"/>
          <w:divBdr>
            <w:top w:val="none" w:sz="0" w:space="0" w:color="auto"/>
            <w:left w:val="none" w:sz="0" w:space="0" w:color="auto"/>
            <w:bottom w:val="none" w:sz="0" w:space="0" w:color="auto"/>
            <w:right w:val="none" w:sz="0" w:space="0" w:color="auto"/>
          </w:divBdr>
          <w:divsChild>
            <w:div w:id="1084842724">
              <w:marLeft w:val="0"/>
              <w:marRight w:val="0"/>
              <w:marTop w:val="0"/>
              <w:marBottom w:val="0"/>
              <w:divBdr>
                <w:top w:val="none" w:sz="0" w:space="0" w:color="auto"/>
                <w:left w:val="none" w:sz="0" w:space="0" w:color="auto"/>
                <w:bottom w:val="none" w:sz="0" w:space="0" w:color="auto"/>
                <w:right w:val="none" w:sz="0" w:space="0" w:color="auto"/>
              </w:divBdr>
            </w:div>
          </w:divsChild>
        </w:div>
        <w:div w:id="2026516055">
          <w:marLeft w:val="0"/>
          <w:marRight w:val="0"/>
          <w:marTop w:val="0"/>
          <w:marBottom w:val="0"/>
          <w:divBdr>
            <w:top w:val="none" w:sz="0" w:space="0" w:color="auto"/>
            <w:left w:val="none" w:sz="0" w:space="0" w:color="auto"/>
            <w:bottom w:val="none" w:sz="0" w:space="0" w:color="auto"/>
            <w:right w:val="none" w:sz="0" w:space="0" w:color="auto"/>
          </w:divBdr>
          <w:divsChild>
            <w:div w:id="2086225431">
              <w:marLeft w:val="0"/>
              <w:marRight w:val="0"/>
              <w:marTop w:val="0"/>
              <w:marBottom w:val="0"/>
              <w:divBdr>
                <w:top w:val="none" w:sz="0" w:space="0" w:color="auto"/>
                <w:left w:val="none" w:sz="0" w:space="0" w:color="auto"/>
                <w:bottom w:val="none" w:sz="0" w:space="0" w:color="auto"/>
                <w:right w:val="none" w:sz="0" w:space="0" w:color="auto"/>
              </w:divBdr>
            </w:div>
          </w:divsChild>
        </w:div>
        <w:div w:id="2040660106">
          <w:marLeft w:val="0"/>
          <w:marRight w:val="0"/>
          <w:marTop w:val="0"/>
          <w:marBottom w:val="0"/>
          <w:divBdr>
            <w:top w:val="none" w:sz="0" w:space="0" w:color="auto"/>
            <w:left w:val="none" w:sz="0" w:space="0" w:color="auto"/>
            <w:bottom w:val="none" w:sz="0" w:space="0" w:color="auto"/>
            <w:right w:val="none" w:sz="0" w:space="0" w:color="auto"/>
          </w:divBdr>
          <w:divsChild>
            <w:div w:id="1641882309">
              <w:marLeft w:val="0"/>
              <w:marRight w:val="0"/>
              <w:marTop w:val="0"/>
              <w:marBottom w:val="0"/>
              <w:divBdr>
                <w:top w:val="none" w:sz="0" w:space="0" w:color="auto"/>
                <w:left w:val="none" w:sz="0" w:space="0" w:color="auto"/>
                <w:bottom w:val="none" w:sz="0" w:space="0" w:color="auto"/>
                <w:right w:val="none" w:sz="0" w:space="0" w:color="auto"/>
              </w:divBdr>
            </w:div>
          </w:divsChild>
        </w:div>
        <w:div w:id="2062170942">
          <w:marLeft w:val="0"/>
          <w:marRight w:val="0"/>
          <w:marTop w:val="0"/>
          <w:marBottom w:val="0"/>
          <w:divBdr>
            <w:top w:val="none" w:sz="0" w:space="0" w:color="auto"/>
            <w:left w:val="none" w:sz="0" w:space="0" w:color="auto"/>
            <w:bottom w:val="none" w:sz="0" w:space="0" w:color="auto"/>
            <w:right w:val="none" w:sz="0" w:space="0" w:color="auto"/>
          </w:divBdr>
          <w:divsChild>
            <w:div w:id="2027437170">
              <w:marLeft w:val="0"/>
              <w:marRight w:val="0"/>
              <w:marTop w:val="0"/>
              <w:marBottom w:val="0"/>
              <w:divBdr>
                <w:top w:val="none" w:sz="0" w:space="0" w:color="auto"/>
                <w:left w:val="none" w:sz="0" w:space="0" w:color="auto"/>
                <w:bottom w:val="none" w:sz="0" w:space="0" w:color="auto"/>
                <w:right w:val="none" w:sz="0" w:space="0" w:color="auto"/>
              </w:divBdr>
            </w:div>
          </w:divsChild>
        </w:div>
        <w:div w:id="2090692835">
          <w:marLeft w:val="0"/>
          <w:marRight w:val="0"/>
          <w:marTop w:val="0"/>
          <w:marBottom w:val="0"/>
          <w:divBdr>
            <w:top w:val="none" w:sz="0" w:space="0" w:color="auto"/>
            <w:left w:val="none" w:sz="0" w:space="0" w:color="auto"/>
            <w:bottom w:val="none" w:sz="0" w:space="0" w:color="auto"/>
            <w:right w:val="none" w:sz="0" w:space="0" w:color="auto"/>
          </w:divBdr>
          <w:divsChild>
            <w:div w:id="976373401">
              <w:marLeft w:val="0"/>
              <w:marRight w:val="0"/>
              <w:marTop w:val="0"/>
              <w:marBottom w:val="0"/>
              <w:divBdr>
                <w:top w:val="none" w:sz="0" w:space="0" w:color="auto"/>
                <w:left w:val="none" w:sz="0" w:space="0" w:color="auto"/>
                <w:bottom w:val="none" w:sz="0" w:space="0" w:color="auto"/>
                <w:right w:val="none" w:sz="0" w:space="0" w:color="auto"/>
              </w:divBdr>
            </w:div>
          </w:divsChild>
        </w:div>
        <w:div w:id="2096512587">
          <w:marLeft w:val="0"/>
          <w:marRight w:val="0"/>
          <w:marTop w:val="0"/>
          <w:marBottom w:val="0"/>
          <w:divBdr>
            <w:top w:val="none" w:sz="0" w:space="0" w:color="auto"/>
            <w:left w:val="none" w:sz="0" w:space="0" w:color="auto"/>
            <w:bottom w:val="none" w:sz="0" w:space="0" w:color="auto"/>
            <w:right w:val="none" w:sz="0" w:space="0" w:color="auto"/>
          </w:divBdr>
          <w:divsChild>
            <w:div w:id="971057391">
              <w:marLeft w:val="0"/>
              <w:marRight w:val="0"/>
              <w:marTop w:val="0"/>
              <w:marBottom w:val="0"/>
              <w:divBdr>
                <w:top w:val="none" w:sz="0" w:space="0" w:color="auto"/>
                <w:left w:val="none" w:sz="0" w:space="0" w:color="auto"/>
                <w:bottom w:val="none" w:sz="0" w:space="0" w:color="auto"/>
                <w:right w:val="none" w:sz="0" w:space="0" w:color="auto"/>
              </w:divBdr>
            </w:div>
          </w:divsChild>
        </w:div>
        <w:div w:id="2104913257">
          <w:marLeft w:val="0"/>
          <w:marRight w:val="0"/>
          <w:marTop w:val="0"/>
          <w:marBottom w:val="0"/>
          <w:divBdr>
            <w:top w:val="none" w:sz="0" w:space="0" w:color="auto"/>
            <w:left w:val="none" w:sz="0" w:space="0" w:color="auto"/>
            <w:bottom w:val="none" w:sz="0" w:space="0" w:color="auto"/>
            <w:right w:val="none" w:sz="0" w:space="0" w:color="auto"/>
          </w:divBdr>
          <w:divsChild>
            <w:div w:id="11415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1971">
      <w:bodyDiv w:val="1"/>
      <w:marLeft w:val="0"/>
      <w:marRight w:val="0"/>
      <w:marTop w:val="0"/>
      <w:marBottom w:val="0"/>
      <w:divBdr>
        <w:top w:val="none" w:sz="0" w:space="0" w:color="auto"/>
        <w:left w:val="none" w:sz="0" w:space="0" w:color="auto"/>
        <w:bottom w:val="none" w:sz="0" w:space="0" w:color="auto"/>
        <w:right w:val="none" w:sz="0" w:space="0" w:color="auto"/>
      </w:divBdr>
      <w:divsChild>
        <w:div w:id="515392346">
          <w:marLeft w:val="0"/>
          <w:marRight w:val="0"/>
          <w:marTop w:val="0"/>
          <w:marBottom w:val="0"/>
          <w:divBdr>
            <w:top w:val="none" w:sz="0" w:space="0" w:color="auto"/>
            <w:left w:val="none" w:sz="0" w:space="0" w:color="auto"/>
            <w:bottom w:val="none" w:sz="0" w:space="0" w:color="auto"/>
            <w:right w:val="none" w:sz="0" w:space="0" w:color="auto"/>
          </w:divBdr>
        </w:div>
        <w:div w:id="856432740">
          <w:marLeft w:val="0"/>
          <w:marRight w:val="0"/>
          <w:marTop w:val="0"/>
          <w:marBottom w:val="0"/>
          <w:divBdr>
            <w:top w:val="none" w:sz="0" w:space="0" w:color="auto"/>
            <w:left w:val="none" w:sz="0" w:space="0" w:color="auto"/>
            <w:bottom w:val="none" w:sz="0" w:space="0" w:color="auto"/>
            <w:right w:val="none" w:sz="0" w:space="0" w:color="auto"/>
          </w:divBdr>
        </w:div>
        <w:div w:id="1185754961">
          <w:marLeft w:val="0"/>
          <w:marRight w:val="0"/>
          <w:marTop w:val="0"/>
          <w:marBottom w:val="0"/>
          <w:divBdr>
            <w:top w:val="none" w:sz="0" w:space="0" w:color="auto"/>
            <w:left w:val="none" w:sz="0" w:space="0" w:color="auto"/>
            <w:bottom w:val="none" w:sz="0" w:space="0" w:color="auto"/>
            <w:right w:val="none" w:sz="0" w:space="0" w:color="auto"/>
          </w:divBdr>
        </w:div>
        <w:div w:id="1802110404">
          <w:marLeft w:val="0"/>
          <w:marRight w:val="0"/>
          <w:marTop w:val="0"/>
          <w:marBottom w:val="0"/>
          <w:divBdr>
            <w:top w:val="none" w:sz="0" w:space="0" w:color="auto"/>
            <w:left w:val="none" w:sz="0" w:space="0" w:color="auto"/>
            <w:bottom w:val="none" w:sz="0" w:space="0" w:color="auto"/>
            <w:right w:val="none" w:sz="0" w:space="0" w:color="auto"/>
          </w:divBdr>
        </w:div>
        <w:div w:id="1845244070">
          <w:marLeft w:val="0"/>
          <w:marRight w:val="0"/>
          <w:marTop w:val="0"/>
          <w:marBottom w:val="0"/>
          <w:divBdr>
            <w:top w:val="none" w:sz="0" w:space="0" w:color="auto"/>
            <w:left w:val="none" w:sz="0" w:space="0" w:color="auto"/>
            <w:bottom w:val="none" w:sz="0" w:space="0" w:color="auto"/>
            <w:right w:val="none" w:sz="0" w:space="0" w:color="auto"/>
          </w:divBdr>
        </w:div>
        <w:div w:id="2138639079">
          <w:marLeft w:val="0"/>
          <w:marRight w:val="0"/>
          <w:marTop w:val="0"/>
          <w:marBottom w:val="0"/>
          <w:divBdr>
            <w:top w:val="none" w:sz="0" w:space="0" w:color="auto"/>
            <w:left w:val="none" w:sz="0" w:space="0" w:color="auto"/>
            <w:bottom w:val="none" w:sz="0" w:space="0" w:color="auto"/>
            <w:right w:val="none" w:sz="0" w:space="0" w:color="auto"/>
          </w:divBdr>
        </w:div>
      </w:divsChild>
    </w:div>
    <w:div w:id="1279683331">
      <w:bodyDiv w:val="1"/>
      <w:marLeft w:val="0"/>
      <w:marRight w:val="0"/>
      <w:marTop w:val="0"/>
      <w:marBottom w:val="0"/>
      <w:divBdr>
        <w:top w:val="none" w:sz="0" w:space="0" w:color="auto"/>
        <w:left w:val="none" w:sz="0" w:space="0" w:color="auto"/>
        <w:bottom w:val="none" w:sz="0" w:space="0" w:color="auto"/>
        <w:right w:val="none" w:sz="0" w:space="0" w:color="auto"/>
      </w:divBdr>
      <w:divsChild>
        <w:div w:id="123237029">
          <w:marLeft w:val="0"/>
          <w:marRight w:val="0"/>
          <w:marTop w:val="0"/>
          <w:marBottom w:val="0"/>
          <w:divBdr>
            <w:top w:val="none" w:sz="0" w:space="0" w:color="auto"/>
            <w:left w:val="none" w:sz="0" w:space="0" w:color="auto"/>
            <w:bottom w:val="none" w:sz="0" w:space="0" w:color="auto"/>
            <w:right w:val="none" w:sz="0" w:space="0" w:color="auto"/>
          </w:divBdr>
        </w:div>
        <w:div w:id="1648895733">
          <w:marLeft w:val="0"/>
          <w:marRight w:val="0"/>
          <w:marTop w:val="0"/>
          <w:marBottom w:val="0"/>
          <w:divBdr>
            <w:top w:val="none" w:sz="0" w:space="0" w:color="auto"/>
            <w:left w:val="none" w:sz="0" w:space="0" w:color="auto"/>
            <w:bottom w:val="none" w:sz="0" w:space="0" w:color="auto"/>
            <w:right w:val="none" w:sz="0" w:space="0" w:color="auto"/>
          </w:divBdr>
        </w:div>
      </w:divsChild>
    </w:div>
    <w:div w:id="1316764115">
      <w:bodyDiv w:val="1"/>
      <w:marLeft w:val="0"/>
      <w:marRight w:val="0"/>
      <w:marTop w:val="0"/>
      <w:marBottom w:val="0"/>
      <w:divBdr>
        <w:top w:val="none" w:sz="0" w:space="0" w:color="auto"/>
        <w:left w:val="none" w:sz="0" w:space="0" w:color="auto"/>
        <w:bottom w:val="none" w:sz="0" w:space="0" w:color="auto"/>
        <w:right w:val="none" w:sz="0" w:space="0" w:color="auto"/>
      </w:divBdr>
    </w:div>
    <w:div w:id="1461269559">
      <w:bodyDiv w:val="1"/>
      <w:marLeft w:val="0"/>
      <w:marRight w:val="0"/>
      <w:marTop w:val="0"/>
      <w:marBottom w:val="0"/>
      <w:divBdr>
        <w:top w:val="none" w:sz="0" w:space="0" w:color="auto"/>
        <w:left w:val="none" w:sz="0" w:space="0" w:color="auto"/>
        <w:bottom w:val="none" w:sz="0" w:space="0" w:color="auto"/>
        <w:right w:val="none" w:sz="0" w:space="0" w:color="auto"/>
      </w:divBdr>
    </w:div>
    <w:div w:id="1470896790">
      <w:bodyDiv w:val="1"/>
      <w:marLeft w:val="0"/>
      <w:marRight w:val="0"/>
      <w:marTop w:val="0"/>
      <w:marBottom w:val="0"/>
      <w:divBdr>
        <w:top w:val="none" w:sz="0" w:space="0" w:color="auto"/>
        <w:left w:val="none" w:sz="0" w:space="0" w:color="auto"/>
        <w:bottom w:val="none" w:sz="0" w:space="0" w:color="auto"/>
        <w:right w:val="none" w:sz="0" w:space="0" w:color="auto"/>
      </w:divBdr>
      <w:divsChild>
        <w:div w:id="184177465">
          <w:marLeft w:val="0"/>
          <w:marRight w:val="0"/>
          <w:marTop w:val="0"/>
          <w:marBottom w:val="0"/>
          <w:divBdr>
            <w:top w:val="none" w:sz="0" w:space="0" w:color="auto"/>
            <w:left w:val="none" w:sz="0" w:space="0" w:color="auto"/>
            <w:bottom w:val="none" w:sz="0" w:space="0" w:color="auto"/>
            <w:right w:val="none" w:sz="0" w:space="0" w:color="auto"/>
          </w:divBdr>
        </w:div>
      </w:divsChild>
    </w:div>
    <w:div w:id="1479952261">
      <w:bodyDiv w:val="1"/>
      <w:marLeft w:val="0"/>
      <w:marRight w:val="0"/>
      <w:marTop w:val="0"/>
      <w:marBottom w:val="0"/>
      <w:divBdr>
        <w:top w:val="none" w:sz="0" w:space="0" w:color="auto"/>
        <w:left w:val="none" w:sz="0" w:space="0" w:color="auto"/>
        <w:bottom w:val="none" w:sz="0" w:space="0" w:color="auto"/>
        <w:right w:val="none" w:sz="0" w:space="0" w:color="auto"/>
      </w:divBdr>
      <w:divsChild>
        <w:div w:id="1464079347">
          <w:marLeft w:val="0"/>
          <w:marRight w:val="0"/>
          <w:marTop w:val="0"/>
          <w:marBottom w:val="0"/>
          <w:divBdr>
            <w:top w:val="none" w:sz="0" w:space="0" w:color="auto"/>
            <w:left w:val="none" w:sz="0" w:space="0" w:color="auto"/>
            <w:bottom w:val="none" w:sz="0" w:space="0" w:color="auto"/>
            <w:right w:val="none" w:sz="0" w:space="0" w:color="auto"/>
          </w:divBdr>
        </w:div>
      </w:divsChild>
    </w:div>
    <w:div w:id="1585147675">
      <w:bodyDiv w:val="1"/>
      <w:marLeft w:val="0"/>
      <w:marRight w:val="0"/>
      <w:marTop w:val="0"/>
      <w:marBottom w:val="0"/>
      <w:divBdr>
        <w:top w:val="none" w:sz="0" w:space="0" w:color="auto"/>
        <w:left w:val="none" w:sz="0" w:space="0" w:color="auto"/>
        <w:bottom w:val="none" w:sz="0" w:space="0" w:color="auto"/>
        <w:right w:val="none" w:sz="0" w:space="0" w:color="auto"/>
      </w:divBdr>
      <w:divsChild>
        <w:div w:id="574433174">
          <w:marLeft w:val="0"/>
          <w:marRight w:val="0"/>
          <w:marTop w:val="0"/>
          <w:marBottom w:val="0"/>
          <w:divBdr>
            <w:top w:val="none" w:sz="0" w:space="0" w:color="auto"/>
            <w:left w:val="none" w:sz="0" w:space="0" w:color="auto"/>
            <w:bottom w:val="none" w:sz="0" w:space="0" w:color="auto"/>
            <w:right w:val="none" w:sz="0" w:space="0" w:color="auto"/>
          </w:divBdr>
        </w:div>
        <w:div w:id="1100024785">
          <w:marLeft w:val="0"/>
          <w:marRight w:val="0"/>
          <w:marTop w:val="0"/>
          <w:marBottom w:val="0"/>
          <w:divBdr>
            <w:top w:val="none" w:sz="0" w:space="0" w:color="auto"/>
            <w:left w:val="none" w:sz="0" w:space="0" w:color="auto"/>
            <w:bottom w:val="none" w:sz="0" w:space="0" w:color="auto"/>
            <w:right w:val="none" w:sz="0" w:space="0" w:color="auto"/>
          </w:divBdr>
        </w:div>
        <w:div w:id="1132018249">
          <w:marLeft w:val="0"/>
          <w:marRight w:val="0"/>
          <w:marTop w:val="0"/>
          <w:marBottom w:val="0"/>
          <w:divBdr>
            <w:top w:val="none" w:sz="0" w:space="0" w:color="auto"/>
            <w:left w:val="none" w:sz="0" w:space="0" w:color="auto"/>
            <w:bottom w:val="none" w:sz="0" w:space="0" w:color="auto"/>
            <w:right w:val="none" w:sz="0" w:space="0" w:color="auto"/>
          </w:divBdr>
        </w:div>
      </w:divsChild>
    </w:div>
    <w:div w:id="1650942256">
      <w:bodyDiv w:val="1"/>
      <w:marLeft w:val="0"/>
      <w:marRight w:val="0"/>
      <w:marTop w:val="0"/>
      <w:marBottom w:val="0"/>
      <w:divBdr>
        <w:top w:val="none" w:sz="0" w:space="0" w:color="auto"/>
        <w:left w:val="none" w:sz="0" w:space="0" w:color="auto"/>
        <w:bottom w:val="none" w:sz="0" w:space="0" w:color="auto"/>
        <w:right w:val="none" w:sz="0" w:space="0" w:color="auto"/>
      </w:divBdr>
    </w:div>
    <w:div w:id="1869559160">
      <w:bodyDiv w:val="1"/>
      <w:marLeft w:val="0"/>
      <w:marRight w:val="0"/>
      <w:marTop w:val="0"/>
      <w:marBottom w:val="0"/>
      <w:divBdr>
        <w:top w:val="none" w:sz="0" w:space="0" w:color="auto"/>
        <w:left w:val="none" w:sz="0" w:space="0" w:color="auto"/>
        <w:bottom w:val="none" w:sz="0" w:space="0" w:color="auto"/>
        <w:right w:val="none" w:sz="0" w:space="0" w:color="auto"/>
      </w:divBdr>
    </w:div>
    <w:div w:id="1893466761">
      <w:bodyDiv w:val="1"/>
      <w:marLeft w:val="0"/>
      <w:marRight w:val="0"/>
      <w:marTop w:val="0"/>
      <w:marBottom w:val="0"/>
      <w:divBdr>
        <w:top w:val="none" w:sz="0" w:space="0" w:color="auto"/>
        <w:left w:val="none" w:sz="0" w:space="0" w:color="auto"/>
        <w:bottom w:val="none" w:sz="0" w:space="0" w:color="auto"/>
        <w:right w:val="none" w:sz="0" w:space="0" w:color="auto"/>
      </w:divBdr>
    </w:div>
    <w:div w:id="2044014166">
      <w:bodyDiv w:val="1"/>
      <w:marLeft w:val="0"/>
      <w:marRight w:val="0"/>
      <w:marTop w:val="0"/>
      <w:marBottom w:val="0"/>
      <w:divBdr>
        <w:top w:val="none" w:sz="0" w:space="0" w:color="auto"/>
        <w:left w:val="none" w:sz="0" w:space="0" w:color="auto"/>
        <w:bottom w:val="none" w:sz="0" w:space="0" w:color="auto"/>
        <w:right w:val="none" w:sz="0" w:space="0" w:color="auto"/>
      </w:divBdr>
    </w:div>
    <w:div w:id="2080906201">
      <w:bodyDiv w:val="1"/>
      <w:marLeft w:val="0"/>
      <w:marRight w:val="0"/>
      <w:marTop w:val="0"/>
      <w:marBottom w:val="0"/>
      <w:divBdr>
        <w:top w:val="none" w:sz="0" w:space="0" w:color="auto"/>
        <w:left w:val="none" w:sz="0" w:space="0" w:color="auto"/>
        <w:bottom w:val="none" w:sz="0" w:space="0" w:color="auto"/>
        <w:right w:val="none" w:sz="0" w:space="0" w:color="auto"/>
      </w:divBdr>
    </w:div>
    <w:div w:id="2142258705">
      <w:bodyDiv w:val="1"/>
      <w:marLeft w:val="0"/>
      <w:marRight w:val="0"/>
      <w:marTop w:val="0"/>
      <w:marBottom w:val="0"/>
      <w:divBdr>
        <w:top w:val="none" w:sz="0" w:space="0" w:color="auto"/>
        <w:left w:val="none" w:sz="0" w:space="0" w:color="auto"/>
        <w:bottom w:val="none" w:sz="0" w:space="0" w:color="auto"/>
        <w:right w:val="none" w:sz="0" w:space="0" w:color="auto"/>
      </w:divBdr>
      <w:divsChild>
        <w:div w:id="1601527448">
          <w:marLeft w:val="-75"/>
          <w:marRight w:val="0"/>
          <w:marTop w:val="30"/>
          <w:marBottom w:val="30"/>
          <w:divBdr>
            <w:top w:val="none" w:sz="0" w:space="0" w:color="auto"/>
            <w:left w:val="none" w:sz="0" w:space="0" w:color="auto"/>
            <w:bottom w:val="none" w:sz="0" w:space="0" w:color="auto"/>
            <w:right w:val="none" w:sz="0" w:space="0" w:color="auto"/>
          </w:divBdr>
          <w:divsChild>
            <w:div w:id="258295421">
              <w:marLeft w:val="0"/>
              <w:marRight w:val="0"/>
              <w:marTop w:val="0"/>
              <w:marBottom w:val="0"/>
              <w:divBdr>
                <w:top w:val="none" w:sz="0" w:space="0" w:color="auto"/>
                <w:left w:val="none" w:sz="0" w:space="0" w:color="auto"/>
                <w:bottom w:val="none" w:sz="0" w:space="0" w:color="auto"/>
                <w:right w:val="none" w:sz="0" w:space="0" w:color="auto"/>
              </w:divBdr>
              <w:divsChild>
                <w:div w:id="862396862">
                  <w:marLeft w:val="0"/>
                  <w:marRight w:val="0"/>
                  <w:marTop w:val="0"/>
                  <w:marBottom w:val="0"/>
                  <w:divBdr>
                    <w:top w:val="none" w:sz="0" w:space="0" w:color="auto"/>
                    <w:left w:val="none" w:sz="0" w:space="0" w:color="auto"/>
                    <w:bottom w:val="none" w:sz="0" w:space="0" w:color="auto"/>
                    <w:right w:val="none" w:sz="0" w:space="0" w:color="auto"/>
                  </w:divBdr>
                </w:div>
              </w:divsChild>
            </w:div>
            <w:div w:id="1045065846">
              <w:marLeft w:val="0"/>
              <w:marRight w:val="0"/>
              <w:marTop w:val="0"/>
              <w:marBottom w:val="0"/>
              <w:divBdr>
                <w:top w:val="none" w:sz="0" w:space="0" w:color="auto"/>
                <w:left w:val="none" w:sz="0" w:space="0" w:color="auto"/>
                <w:bottom w:val="none" w:sz="0" w:space="0" w:color="auto"/>
                <w:right w:val="none" w:sz="0" w:space="0" w:color="auto"/>
              </w:divBdr>
              <w:divsChild>
                <w:div w:id="1349605073">
                  <w:marLeft w:val="0"/>
                  <w:marRight w:val="0"/>
                  <w:marTop w:val="0"/>
                  <w:marBottom w:val="0"/>
                  <w:divBdr>
                    <w:top w:val="none" w:sz="0" w:space="0" w:color="auto"/>
                    <w:left w:val="none" w:sz="0" w:space="0" w:color="auto"/>
                    <w:bottom w:val="none" w:sz="0" w:space="0" w:color="auto"/>
                    <w:right w:val="none" w:sz="0" w:space="0" w:color="auto"/>
                  </w:divBdr>
                </w:div>
              </w:divsChild>
            </w:div>
            <w:div w:id="1814519580">
              <w:marLeft w:val="0"/>
              <w:marRight w:val="0"/>
              <w:marTop w:val="0"/>
              <w:marBottom w:val="0"/>
              <w:divBdr>
                <w:top w:val="none" w:sz="0" w:space="0" w:color="auto"/>
                <w:left w:val="none" w:sz="0" w:space="0" w:color="auto"/>
                <w:bottom w:val="none" w:sz="0" w:space="0" w:color="auto"/>
                <w:right w:val="none" w:sz="0" w:space="0" w:color="auto"/>
              </w:divBdr>
              <w:divsChild>
                <w:div w:id="379793207">
                  <w:marLeft w:val="0"/>
                  <w:marRight w:val="0"/>
                  <w:marTop w:val="0"/>
                  <w:marBottom w:val="0"/>
                  <w:divBdr>
                    <w:top w:val="none" w:sz="0" w:space="0" w:color="auto"/>
                    <w:left w:val="none" w:sz="0" w:space="0" w:color="auto"/>
                    <w:bottom w:val="none" w:sz="0" w:space="0" w:color="auto"/>
                    <w:right w:val="none" w:sz="0" w:space="0" w:color="auto"/>
                  </w:divBdr>
                </w:div>
              </w:divsChild>
            </w:div>
            <w:div w:id="644435632">
              <w:marLeft w:val="0"/>
              <w:marRight w:val="0"/>
              <w:marTop w:val="0"/>
              <w:marBottom w:val="0"/>
              <w:divBdr>
                <w:top w:val="none" w:sz="0" w:space="0" w:color="auto"/>
                <w:left w:val="none" w:sz="0" w:space="0" w:color="auto"/>
                <w:bottom w:val="none" w:sz="0" w:space="0" w:color="auto"/>
                <w:right w:val="none" w:sz="0" w:space="0" w:color="auto"/>
              </w:divBdr>
              <w:divsChild>
                <w:div w:id="1234779134">
                  <w:marLeft w:val="0"/>
                  <w:marRight w:val="0"/>
                  <w:marTop w:val="0"/>
                  <w:marBottom w:val="0"/>
                  <w:divBdr>
                    <w:top w:val="none" w:sz="0" w:space="0" w:color="auto"/>
                    <w:left w:val="none" w:sz="0" w:space="0" w:color="auto"/>
                    <w:bottom w:val="none" w:sz="0" w:space="0" w:color="auto"/>
                    <w:right w:val="none" w:sz="0" w:space="0" w:color="auto"/>
                  </w:divBdr>
                </w:div>
              </w:divsChild>
            </w:div>
            <w:div w:id="1033338413">
              <w:marLeft w:val="0"/>
              <w:marRight w:val="0"/>
              <w:marTop w:val="0"/>
              <w:marBottom w:val="0"/>
              <w:divBdr>
                <w:top w:val="none" w:sz="0" w:space="0" w:color="auto"/>
                <w:left w:val="none" w:sz="0" w:space="0" w:color="auto"/>
                <w:bottom w:val="none" w:sz="0" w:space="0" w:color="auto"/>
                <w:right w:val="none" w:sz="0" w:space="0" w:color="auto"/>
              </w:divBdr>
              <w:divsChild>
                <w:div w:id="1208494708">
                  <w:marLeft w:val="0"/>
                  <w:marRight w:val="0"/>
                  <w:marTop w:val="0"/>
                  <w:marBottom w:val="0"/>
                  <w:divBdr>
                    <w:top w:val="none" w:sz="0" w:space="0" w:color="auto"/>
                    <w:left w:val="none" w:sz="0" w:space="0" w:color="auto"/>
                    <w:bottom w:val="none" w:sz="0" w:space="0" w:color="auto"/>
                    <w:right w:val="none" w:sz="0" w:space="0" w:color="auto"/>
                  </w:divBdr>
                </w:div>
              </w:divsChild>
            </w:div>
            <w:div w:id="1411540412">
              <w:marLeft w:val="0"/>
              <w:marRight w:val="0"/>
              <w:marTop w:val="0"/>
              <w:marBottom w:val="0"/>
              <w:divBdr>
                <w:top w:val="none" w:sz="0" w:space="0" w:color="auto"/>
                <w:left w:val="none" w:sz="0" w:space="0" w:color="auto"/>
                <w:bottom w:val="none" w:sz="0" w:space="0" w:color="auto"/>
                <w:right w:val="none" w:sz="0" w:space="0" w:color="auto"/>
              </w:divBdr>
              <w:divsChild>
                <w:div w:id="1095634610">
                  <w:marLeft w:val="0"/>
                  <w:marRight w:val="0"/>
                  <w:marTop w:val="0"/>
                  <w:marBottom w:val="0"/>
                  <w:divBdr>
                    <w:top w:val="none" w:sz="0" w:space="0" w:color="auto"/>
                    <w:left w:val="none" w:sz="0" w:space="0" w:color="auto"/>
                    <w:bottom w:val="none" w:sz="0" w:space="0" w:color="auto"/>
                    <w:right w:val="none" w:sz="0" w:space="0" w:color="auto"/>
                  </w:divBdr>
                </w:div>
              </w:divsChild>
            </w:div>
            <w:div w:id="1673801027">
              <w:marLeft w:val="0"/>
              <w:marRight w:val="0"/>
              <w:marTop w:val="0"/>
              <w:marBottom w:val="0"/>
              <w:divBdr>
                <w:top w:val="none" w:sz="0" w:space="0" w:color="auto"/>
                <w:left w:val="none" w:sz="0" w:space="0" w:color="auto"/>
                <w:bottom w:val="none" w:sz="0" w:space="0" w:color="auto"/>
                <w:right w:val="none" w:sz="0" w:space="0" w:color="auto"/>
              </w:divBdr>
              <w:divsChild>
                <w:div w:id="2031832489">
                  <w:marLeft w:val="0"/>
                  <w:marRight w:val="0"/>
                  <w:marTop w:val="0"/>
                  <w:marBottom w:val="0"/>
                  <w:divBdr>
                    <w:top w:val="none" w:sz="0" w:space="0" w:color="auto"/>
                    <w:left w:val="none" w:sz="0" w:space="0" w:color="auto"/>
                    <w:bottom w:val="none" w:sz="0" w:space="0" w:color="auto"/>
                    <w:right w:val="none" w:sz="0" w:space="0" w:color="auto"/>
                  </w:divBdr>
                </w:div>
              </w:divsChild>
            </w:div>
            <w:div w:id="1256212267">
              <w:marLeft w:val="0"/>
              <w:marRight w:val="0"/>
              <w:marTop w:val="0"/>
              <w:marBottom w:val="0"/>
              <w:divBdr>
                <w:top w:val="none" w:sz="0" w:space="0" w:color="auto"/>
                <w:left w:val="none" w:sz="0" w:space="0" w:color="auto"/>
                <w:bottom w:val="none" w:sz="0" w:space="0" w:color="auto"/>
                <w:right w:val="none" w:sz="0" w:space="0" w:color="auto"/>
              </w:divBdr>
              <w:divsChild>
                <w:div w:id="1992102495">
                  <w:marLeft w:val="0"/>
                  <w:marRight w:val="0"/>
                  <w:marTop w:val="0"/>
                  <w:marBottom w:val="0"/>
                  <w:divBdr>
                    <w:top w:val="none" w:sz="0" w:space="0" w:color="auto"/>
                    <w:left w:val="none" w:sz="0" w:space="0" w:color="auto"/>
                    <w:bottom w:val="none" w:sz="0" w:space="0" w:color="auto"/>
                    <w:right w:val="none" w:sz="0" w:space="0" w:color="auto"/>
                  </w:divBdr>
                </w:div>
              </w:divsChild>
            </w:div>
            <w:div w:id="907501032">
              <w:marLeft w:val="0"/>
              <w:marRight w:val="0"/>
              <w:marTop w:val="0"/>
              <w:marBottom w:val="0"/>
              <w:divBdr>
                <w:top w:val="none" w:sz="0" w:space="0" w:color="auto"/>
                <w:left w:val="none" w:sz="0" w:space="0" w:color="auto"/>
                <w:bottom w:val="none" w:sz="0" w:space="0" w:color="auto"/>
                <w:right w:val="none" w:sz="0" w:space="0" w:color="auto"/>
              </w:divBdr>
              <w:divsChild>
                <w:div w:id="1561407729">
                  <w:marLeft w:val="0"/>
                  <w:marRight w:val="0"/>
                  <w:marTop w:val="0"/>
                  <w:marBottom w:val="0"/>
                  <w:divBdr>
                    <w:top w:val="none" w:sz="0" w:space="0" w:color="auto"/>
                    <w:left w:val="none" w:sz="0" w:space="0" w:color="auto"/>
                    <w:bottom w:val="none" w:sz="0" w:space="0" w:color="auto"/>
                    <w:right w:val="none" w:sz="0" w:space="0" w:color="auto"/>
                  </w:divBdr>
                </w:div>
              </w:divsChild>
            </w:div>
            <w:div w:id="20976124">
              <w:marLeft w:val="0"/>
              <w:marRight w:val="0"/>
              <w:marTop w:val="0"/>
              <w:marBottom w:val="0"/>
              <w:divBdr>
                <w:top w:val="none" w:sz="0" w:space="0" w:color="auto"/>
                <w:left w:val="none" w:sz="0" w:space="0" w:color="auto"/>
                <w:bottom w:val="none" w:sz="0" w:space="0" w:color="auto"/>
                <w:right w:val="none" w:sz="0" w:space="0" w:color="auto"/>
              </w:divBdr>
              <w:divsChild>
                <w:div w:id="984892154">
                  <w:marLeft w:val="0"/>
                  <w:marRight w:val="0"/>
                  <w:marTop w:val="0"/>
                  <w:marBottom w:val="0"/>
                  <w:divBdr>
                    <w:top w:val="none" w:sz="0" w:space="0" w:color="auto"/>
                    <w:left w:val="none" w:sz="0" w:space="0" w:color="auto"/>
                    <w:bottom w:val="none" w:sz="0" w:space="0" w:color="auto"/>
                    <w:right w:val="none" w:sz="0" w:space="0" w:color="auto"/>
                  </w:divBdr>
                </w:div>
              </w:divsChild>
            </w:div>
            <w:div w:id="862061725">
              <w:marLeft w:val="0"/>
              <w:marRight w:val="0"/>
              <w:marTop w:val="0"/>
              <w:marBottom w:val="0"/>
              <w:divBdr>
                <w:top w:val="none" w:sz="0" w:space="0" w:color="auto"/>
                <w:left w:val="none" w:sz="0" w:space="0" w:color="auto"/>
                <w:bottom w:val="none" w:sz="0" w:space="0" w:color="auto"/>
                <w:right w:val="none" w:sz="0" w:space="0" w:color="auto"/>
              </w:divBdr>
              <w:divsChild>
                <w:div w:id="177433542">
                  <w:marLeft w:val="0"/>
                  <w:marRight w:val="0"/>
                  <w:marTop w:val="0"/>
                  <w:marBottom w:val="0"/>
                  <w:divBdr>
                    <w:top w:val="none" w:sz="0" w:space="0" w:color="auto"/>
                    <w:left w:val="none" w:sz="0" w:space="0" w:color="auto"/>
                    <w:bottom w:val="none" w:sz="0" w:space="0" w:color="auto"/>
                    <w:right w:val="none" w:sz="0" w:space="0" w:color="auto"/>
                  </w:divBdr>
                </w:div>
              </w:divsChild>
            </w:div>
            <w:div w:id="246574493">
              <w:marLeft w:val="0"/>
              <w:marRight w:val="0"/>
              <w:marTop w:val="0"/>
              <w:marBottom w:val="0"/>
              <w:divBdr>
                <w:top w:val="none" w:sz="0" w:space="0" w:color="auto"/>
                <w:left w:val="none" w:sz="0" w:space="0" w:color="auto"/>
                <w:bottom w:val="none" w:sz="0" w:space="0" w:color="auto"/>
                <w:right w:val="none" w:sz="0" w:space="0" w:color="auto"/>
              </w:divBdr>
              <w:divsChild>
                <w:div w:id="44305219">
                  <w:marLeft w:val="0"/>
                  <w:marRight w:val="0"/>
                  <w:marTop w:val="0"/>
                  <w:marBottom w:val="0"/>
                  <w:divBdr>
                    <w:top w:val="none" w:sz="0" w:space="0" w:color="auto"/>
                    <w:left w:val="none" w:sz="0" w:space="0" w:color="auto"/>
                    <w:bottom w:val="none" w:sz="0" w:space="0" w:color="auto"/>
                    <w:right w:val="none" w:sz="0" w:space="0" w:color="auto"/>
                  </w:divBdr>
                </w:div>
              </w:divsChild>
            </w:div>
            <w:div w:id="1558008153">
              <w:marLeft w:val="0"/>
              <w:marRight w:val="0"/>
              <w:marTop w:val="0"/>
              <w:marBottom w:val="0"/>
              <w:divBdr>
                <w:top w:val="none" w:sz="0" w:space="0" w:color="auto"/>
                <w:left w:val="none" w:sz="0" w:space="0" w:color="auto"/>
                <w:bottom w:val="none" w:sz="0" w:space="0" w:color="auto"/>
                <w:right w:val="none" w:sz="0" w:space="0" w:color="auto"/>
              </w:divBdr>
              <w:divsChild>
                <w:div w:id="1178153846">
                  <w:marLeft w:val="0"/>
                  <w:marRight w:val="0"/>
                  <w:marTop w:val="0"/>
                  <w:marBottom w:val="0"/>
                  <w:divBdr>
                    <w:top w:val="none" w:sz="0" w:space="0" w:color="auto"/>
                    <w:left w:val="none" w:sz="0" w:space="0" w:color="auto"/>
                    <w:bottom w:val="none" w:sz="0" w:space="0" w:color="auto"/>
                    <w:right w:val="none" w:sz="0" w:space="0" w:color="auto"/>
                  </w:divBdr>
                </w:div>
              </w:divsChild>
            </w:div>
            <w:div w:id="689450548">
              <w:marLeft w:val="0"/>
              <w:marRight w:val="0"/>
              <w:marTop w:val="0"/>
              <w:marBottom w:val="0"/>
              <w:divBdr>
                <w:top w:val="none" w:sz="0" w:space="0" w:color="auto"/>
                <w:left w:val="none" w:sz="0" w:space="0" w:color="auto"/>
                <w:bottom w:val="none" w:sz="0" w:space="0" w:color="auto"/>
                <w:right w:val="none" w:sz="0" w:space="0" w:color="auto"/>
              </w:divBdr>
              <w:divsChild>
                <w:div w:id="1849902576">
                  <w:marLeft w:val="0"/>
                  <w:marRight w:val="0"/>
                  <w:marTop w:val="0"/>
                  <w:marBottom w:val="0"/>
                  <w:divBdr>
                    <w:top w:val="none" w:sz="0" w:space="0" w:color="auto"/>
                    <w:left w:val="none" w:sz="0" w:space="0" w:color="auto"/>
                    <w:bottom w:val="none" w:sz="0" w:space="0" w:color="auto"/>
                    <w:right w:val="none" w:sz="0" w:space="0" w:color="auto"/>
                  </w:divBdr>
                </w:div>
              </w:divsChild>
            </w:div>
            <w:div w:id="1884095887">
              <w:marLeft w:val="0"/>
              <w:marRight w:val="0"/>
              <w:marTop w:val="0"/>
              <w:marBottom w:val="0"/>
              <w:divBdr>
                <w:top w:val="none" w:sz="0" w:space="0" w:color="auto"/>
                <w:left w:val="none" w:sz="0" w:space="0" w:color="auto"/>
                <w:bottom w:val="none" w:sz="0" w:space="0" w:color="auto"/>
                <w:right w:val="none" w:sz="0" w:space="0" w:color="auto"/>
              </w:divBdr>
              <w:divsChild>
                <w:div w:id="231698376">
                  <w:marLeft w:val="0"/>
                  <w:marRight w:val="0"/>
                  <w:marTop w:val="0"/>
                  <w:marBottom w:val="0"/>
                  <w:divBdr>
                    <w:top w:val="none" w:sz="0" w:space="0" w:color="auto"/>
                    <w:left w:val="none" w:sz="0" w:space="0" w:color="auto"/>
                    <w:bottom w:val="none" w:sz="0" w:space="0" w:color="auto"/>
                    <w:right w:val="none" w:sz="0" w:space="0" w:color="auto"/>
                  </w:divBdr>
                </w:div>
              </w:divsChild>
            </w:div>
            <w:div w:id="509149554">
              <w:marLeft w:val="0"/>
              <w:marRight w:val="0"/>
              <w:marTop w:val="0"/>
              <w:marBottom w:val="0"/>
              <w:divBdr>
                <w:top w:val="none" w:sz="0" w:space="0" w:color="auto"/>
                <w:left w:val="none" w:sz="0" w:space="0" w:color="auto"/>
                <w:bottom w:val="none" w:sz="0" w:space="0" w:color="auto"/>
                <w:right w:val="none" w:sz="0" w:space="0" w:color="auto"/>
              </w:divBdr>
              <w:divsChild>
                <w:div w:id="953289853">
                  <w:marLeft w:val="0"/>
                  <w:marRight w:val="0"/>
                  <w:marTop w:val="0"/>
                  <w:marBottom w:val="0"/>
                  <w:divBdr>
                    <w:top w:val="none" w:sz="0" w:space="0" w:color="auto"/>
                    <w:left w:val="none" w:sz="0" w:space="0" w:color="auto"/>
                    <w:bottom w:val="none" w:sz="0" w:space="0" w:color="auto"/>
                    <w:right w:val="none" w:sz="0" w:space="0" w:color="auto"/>
                  </w:divBdr>
                </w:div>
              </w:divsChild>
            </w:div>
            <w:div w:id="968631979">
              <w:marLeft w:val="0"/>
              <w:marRight w:val="0"/>
              <w:marTop w:val="0"/>
              <w:marBottom w:val="0"/>
              <w:divBdr>
                <w:top w:val="none" w:sz="0" w:space="0" w:color="auto"/>
                <w:left w:val="none" w:sz="0" w:space="0" w:color="auto"/>
                <w:bottom w:val="none" w:sz="0" w:space="0" w:color="auto"/>
                <w:right w:val="none" w:sz="0" w:space="0" w:color="auto"/>
              </w:divBdr>
              <w:divsChild>
                <w:div w:id="1968121059">
                  <w:marLeft w:val="0"/>
                  <w:marRight w:val="0"/>
                  <w:marTop w:val="0"/>
                  <w:marBottom w:val="0"/>
                  <w:divBdr>
                    <w:top w:val="none" w:sz="0" w:space="0" w:color="auto"/>
                    <w:left w:val="none" w:sz="0" w:space="0" w:color="auto"/>
                    <w:bottom w:val="none" w:sz="0" w:space="0" w:color="auto"/>
                    <w:right w:val="none" w:sz="0" w:space="0" w:color="auto"/>
                  </w:divBdr>
                </w:div>
              </w:divsChild>
            </w:div>
            <w:div w:id="1249071545">
              <w:marLeft w:val="0"/>
              <w:marRight w:val="0"/>
              <w:marTop w:val="0"/>
              <w:marBottom w:val="0"/>
              <w:divBdr>
                <w:top w:val="none" w:sz="0" w:space="0" w:color="auto"/>
                <w:left w:val="none" w:sz="0" w:space="0" w:color="auto"/>
                <w:bottom w:val="none" w:sz="0" w:space="0" w:color="auto"/>
                <w:right w:val="none" w:sz="0" w:space="0" w:color="auto"/>
              </w:divBdr>
              <w:divsChild>
                <w:div w:id="2091728573">
                  <w:marLeft w:val="0"/>
                  <w:marRight w:val="0"/>
                  <w:marTop w:val="0"/>
                  <w:marBottom w:val="0"/>
                  <w:divBdr>
                    <w:top w:val="none" w:sz="0" w:space="0" w:color="auto"/>
                    <w:left w:val="none" w:sz="0" w:space="0" w:color="auto"/>
                    <w:bottom w:val="none" w:sz="0" w:space="0" w:color="auto"/>
                    <w:right w:val="none" w:sz="0" w:space="0" w:color="auto"/>
                  </w:divBdr>
                </w:div>
                <w:div w:id="17124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aunchandscalefaster.org/COVID-19" TargetMode="External"/><Relationship Id="rId18" Type="http://schemas.openxmlformats.org/officeDocument/2006/relationships/hyperlink" Target="https://delphi.cmu.edu/covidcast/survey-resul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tash.ihme.washington.edu/projects/CVD19/repos/covid-beta-inputs/browse/src/covid_beta_inputs/vaccine_coverage/spline_fit_scaleup.R" TargetMode="External"/><Relationship Id="rId17" Type="http://schemas.openxmlformats.org/officeDocument/2006/relationships/hyperlink" Target="https://covidmap.umd.edu/"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healthdata.org/covid/covid-19-vaccine-efficacy-summary)"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ather-statement.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vid.cdc.gov/covid-data-tracke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rworldindata.org/covid-vaccinations" TargetMode="External"/><Relationship Id="rId22"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99F85D67-39F0-4508-9BE4-47CC57A776A2}">
    <t:Anchor>
      <t:Comment id="263715077"/>
    </t:Anchor>
    <t:History>
      <t:Event id="{07F7257E-81D1-4228-BD06-6A0EE55C7CFF}" time="2022-05-24T06:34:02.852Z">
        <t:Attribution userId="S::collijk@uw.edu::572ac146-cfda-4cf9-959a-ddff032cbc0e" userProvider="AD" userName="James K. Collins"/>
        <t:Anchor>
          <t:Comment id="263715077"/>
        </t:Anchor>
        <t:Create/>
      </t:Event>
      <t:Event id="{E9C7E1CC-D4FE-4D9E-AAAE-E12E668B1195}" time="2022-05-24T06:34:02.852Z">
        <t:Attribution userId="S::collijk@uw.edu::572ac146-cfda-4cf9-959a-ddff032cbc0e" userProvider="AD" userName="James K. Collins"/>
        <t:Anchor>
          <t:Comment id="263715077"/>
        </t:Anchor>
        <t:Assign userId="S::bisignan@uw.edu::6acff1ef-cc6b-40d9-8099-4f4e42fa04ed" userProvider="AD" userName="Catherine Bisignano"/>
      </t:Event>
      <t:Event id="{8C4C743D-5013-40E2-ABD9-D4B894279DD7}" time="2022-05-24T06:34:02.852Z">
        <t:Attribution userId="S::collijk@uw.edu::572ac146-cfda-4cf9-959a-ddff032cbc0e" userProvider="AD" userName="James K. Collins"/>
        <t:Anchor>
          <t:Comment id="263715077"/>
        </t:Anchor>
        <t:SetTitle title="@Catherine Bisignano hel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9E839565169E478D770D4E87BA551F" ma:contentTypeVersion="14" ma:contentTypeDescription="Create a new document." ma:contentTypeScope="" ma:versionID="716caa3c68b95bf932ed2c794d727fc5">
  <xsd:schema xmlns:xsd="http://www.w3.org/2001/XMLSchema" xmlns:xs="http://www.w3.org/2001/XMLSchema" xmlns:p="http://schemas.microsoft.com/office/2006/metadata/properties" xmlns:ns3="ed9335b6-8ef3-422c-a4a9-052c4501a0b6" xmlns:ns4="602f596c-0114-423f-968c-792823abb8f4" targetNamespace="http://schemas.microsoft.com/office/2006/metadata/properties" ma:root="true" ma:fieldsID="802c680abe053a9e211c5ee4efb47037" ns3:_="" ns4:_="">
    <xsd:import namespace="ed9335b6-8ef3-422c-a4a9-052c4501a0b6"/>
    <xsd:import namespace="602f596c-0114-423f-968c-792823abb8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9335b6-8ef3-422c-a4a9-052c4501a0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2f596c-0114-423f-968c-792823abb8f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998064-CB43-4B2E-A194-90A34D55B7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BBD21A-18CC-48D2-8889-1BA5085B5BCF}">
  <ds:schemaRefs>
    <ds:schemaRef ds:uri="http://schemas.openxmlformats.org/officeDocument/2006/bibliography"/>
  </ds:schemaRefs>
</ds:datastoreItem>
</file>

<file path=customXml/itemProps3.xml><?xml version="1.0" encoding="utf-8"?>
<ds:datastoreItem xmlns:ds="http://schemas.openxmlformats.org/officeDocument/2006/customXml" ds:itemID="{D7DF3EEB-4E4C-47E6-89C4-8F2EA7B0F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9335b6-8ef3-422c-a4a9-052c4501a0b6"/>
    <ds:schemaRef ds:uri="602f596c-0114-423f-968c-792823abb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50BED-54D3-4499-9049-92ACFE42B5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38</Pages>
  <Words>123855</Words>
  <Characters>705976</Characters>
  <Application>Microsoft Office Word</Application>
  <DocSecurity>0</DocSecurity>
  <Lines>5883</Lines>
  <Paragraphs>1656</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828175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Miller-Petrie</dc:creator>
  <cp:keywords/>
  <dc:description/>
  <cp:lastModifiedBy>Max Mehlman</cp:lastModifiedBy>
  <cp:revision>1117</cp:revision>
  <dcterms:created xsi:type="dcterms:W3CDTF">2021-07-11T05:59:00Z</dcterms:created>
  <dcterms:modified xsi:type="dcterms:W3CDTF">2023-01-13T18:25:00Z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iations" value="true"/&gt;&lt;pref name="dontAskDelayCitationUpdates" value="true"/&gt;&lt;/prefs&gt;&lt;/data&gt;</vt:lpwstr>
  </property>
  <property fmtid="{D5CDD505-2E9C-101B-9397-08002B2CF9AE}" pid="3" name="ZOTERO_PREF_1">
    <vt:lpwstr>&lt;data data-version="3" zotero-version="6.0.19"&gt;&lt;session id="bGeoScaP"/&gt;&lt;style id="http://www.zotero.org/styles/the-lancet" hasBibliography="1" bibliographyStyleHasBeenSet="1"/&gt;&lt;prefs&gt;&lt;pref name="fieldType" value="Field"/&gt;&lt;pref name="automaticJournalAbbrev</vt:lpwstr>
  </property>
  <property fmtid="{D5CDD505-2E9C-101B-9397-08002B2CF9AE}" pid="4" name="grammarly_documentId">
    <vt:lpwstr>documentId_9174</vt:lpwstr>
  </property>
  <property fmtid="{D5CDD505-2E9C-101B-9397-08002B2CF9AE}" pid="5" name="grammarly_documentContext">
    <vt:lpwstr>{"goals":[],"domain":"general","emotions":[],"dialect":"american"}</vt:lpwstr>
  </property>
  <property fmtid="{D5CDD505-2E9C-101B-9397-08002B2CF9AE}" pid="6" name="ContentTypeId">
    <vt:lpwstr>0x010100D09E839565169E478D770D4E87BA551F</vt:lpwstr>
  </property>
</Properties>
</file>