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F6430A" w14:textId="169B9E42" w:rsidR="00393F4C" w:rsidRPr="008350A6" w:rsidRDefault="00393F4C" w:rsidP="00393F4C">
      <w:pPr>
        <w:spacing w:line="480" w:lineRule="auto"/>
        <w:rPr>
          <w:b/>
          <w:sz w:val="22"/>
          <w:szCs w:val="22"/>
        </w:rPr>
      </w:pPr>
      <w:r w:rsidRPr="008350A6">
        <w:rPr>
          <w:b/>
          <w:sz w:val="22"/>
          <w:szCs w:val="22"/>
        </w:rPr>
        <w:t>Supplementary file 1</w:t>
      </w:r>
    </w:p>
    <w:p w14:paraId="27C4FF6E" w14:textId="77777777" w:rsidR="008350A6" w:rsidRPr="008350A6" w:rsidRDefault="008350A6" w:rsidP="008350A6">
      <w:pPr>
        <w:spacing w:line="480" w:lineRule="auto"/>
        <w:rPr>
          <w:b/>
          <w:sz w:val="22"/>
          <w:szCs w:val="22"/>
        </w:rPr>
      </w:pPr>
      <w:r w:rsidRPr="008350A6">
        <w:rPr>
          <w:b/>
          <w:sz w:val="22"/>
          <w:szCs w:val="22"/>
        </w:rPr>
        <w:t>Coding system for events of different levels of pain/stress in NISS assessment</w:t>
      </w:r>
    </w:p>
    <w:p w14:paraId="37627ECE" w14:textId="0F318A65" w:rsidR="00393F4C" w:rsidRPr="008350A6" w:rsidRDefault="00393F4C" w:rsidP="00393F4C">
      <w:pPr>
        <w:spacing w:line="480" w:lineRule="auto"/>
        <w:rPr>
          <w:sz w:val="22"/>
          <w:szCs w:val="22"/>
        </w:rPr>
      </w:pPr>
      <w:r w:rsidRPr="008350A6">
        <w:rPr>
          <w:color w:val="000000" w:themeColor="text1"/>
          <w:sz w:val="22"/>
          <w:szCs w:val="22"/>
        </w:rPr>
        <w:t xml:space="preserve">The </w:t>
      </w:r>
      <w:r w:rsidRPr="008350A6">
        <w:rPr>
          <w:iCs/>
          <w:color w:val="000000" w:themeColor="text1"/>
          <w:sz w:val="22"/>
          <w:szCs w:val="22"/>
        </w:rPr>
        <w:t>Neonatal Infant Stressor Scale</w:t>
      </w:r>
      <w:r w:rsidRPr="008350A6">
        <w:rPr>
          <w:color w:val="000000" w:themeColor="text1"/>
          <w:sz w:val="22"/>
          <w:szCs w:val="22"/>
        </w:rPr>
        <w:t xml:space="preserve"> (NISS) was used to assess daily painful/stress experiences (47 acute and 23 chronic procedures or events) in early life, which was modified from the Australia version in our previous study based on the NICU practice in the U.S. </w:t>
      </w:r>
      <w:r w:rsidRPr="008350A6">
        <w:rPr>
          <w:color w:val="000000" w:themeColor="text1"/>
          <w:sz w:val="22"/>
          <w:szCs w:val="22"/>
        </w:rPr>
        <w:fldChar w:fldCharType="begin" w:fldLock="1"/>
      </w:r>
      <w:r w:rsidRPr="008350A6">
        <w:rPr>
          <w:color w:val="000000" w:themeColor="text1"/>
          <w:sz w:val="22"/>
          <w:szCs w:val="22"/>
        </w:rPr>
        <w:instrText>ADDIN CSL_CITATION {"citationItems":[{"id":"ITEM-1","itemData":{"DOI":"10.1038/s41390-022-02021-y","ISSN":"0031-3998","PMID":"35338349","abstract":"BACKGROUND The aim of this study was to investigate the influence of early-life pain/stress and medical characteristics on neurobehavioral outcomes in preterm infants. METHODS A prospective cohort study was conducted with 92 preterm infants (28-32 weeks gestational age [GA]). Early-life pain/stress was measured via the Neonatal Infant Stressor Scale (NISS) during the first 28 days of NICU hospitalization. Neurobehavioral outcomes were evaluated using the NICU Network Neurobehavioral Scale at 36-38 weeks post-menstrual age. Functional regression and machine learning models were performed to investigate the predictors of neurobehavioral outcomes. RESULTS Infants experienced daily acute pain/stress (24.99 ± 7.13 frequencies) and chronic events (41.13 ± 17.81 h). Up to 12 days after birth, both higher acute and chronic NISS scores were associated with higher stress scores; and higher chronic NISS scores were also related to lower self-regulation and quality of movement. Younger GA predicted worse neurobehavioral outcomes; GA &lt; 31.57 weeks predicted worse stress/abstinence, self-regulation, and excitability; GA &lt; 30.57 weeks predicted poor quality of movement. A higher proportion of maternal breastmilk intake predicted better self-regulation, excitability, and quality of movement in older GA infants. CONCLUSIONS Preterm infants are vulnerable to the impact of early-life pain/stress. Neurobehavioral outcomes are positively associated with increased GA and higher maternal breastmilk intake. IMPACT During the first 12 days of life, preterm infant neurobehavioral outcomes were vulnerable to the negative impact of acute and chronic pain/stress. Future research is warranted to investigate the long-term effects of early-life pain/stress on neurobehavioral outcomes. Gestational age remains one of the critical factors to predict neurobehavioral outcomes in preterm infants; older gestational age significantly predicted better neurobehavioral outcomes. Feeding with a higher proportion of maternal breastmilk predicted better neurobehavioral outcomes. Future research is warranted to investigate how maternal breastmilk may buffer the negative effects of early-life pain/stress on neurobehavioral outcomes.","author":[{"dropping-particle":"","family":"Zhao","given":"Tingting","non-dropping-particle":"","parse-names":false,"suffix":""},{"dropping-particle":"","family":"Griffith","given":"Thao","non-dropping-particle":"","parse-names":false,"suffix":""},{"dropping-particle":"","family":"Zhang","given":"Yiming","non-dropping-particle":"","parse-names":false,"suffix":""},{"dropping-particle":"","family":"Li","given":"Hongfei","non-dropping-particle":"","parse-names":false,"suffix":""},{"dropping-particle":"","family":"Hussain","given":"Naveed","non-dropping-particle":"","parse-names":false,"suffix":""},{"dropping-particle":"","family":"Lester","given":"Barry","non-dropping-particle":"","parse-names":false,"suffix":""},{"dropping-particle":"","family":"Cong","given":"Xiaomei","non-dropping-particle":"","parse-names":false,"suffix":""}],"container-title":"Pediatric Research","id":"ITEM-1","issued":{"date-parts":[["2022","3","25"]]},"title":"Early-life factors associated with neurobehavioral outcomes in preterm infants during NICU hospitalization","type":"article-journal"},"uris":["http://www.mendeley.com/documents/?uuid=eb7507d9-b500-47a9-9596-5e2a93819caf"]}],"mendeley":{"formattedCitation":"(Zhao et al., 2022)","plainTextFormattedCitation":"(Zhao et al., 2022)","previouslyFormattedCitation":"(Zhao et al., 2022)"},"properties":{"noteIndex":0},"schema":"https://github.com/citation-style-language/schema/raw/master/csl-citation.json"}</w:instrText>
      </w:r>
      <w:r w:rsidRPr="008350A6">
        <w:rPr>
          <w:color w:val="000000" w:themeColor="text1"/>
          <w:sz w:val="22"/>
          <w:szCs w:val="22"/>
        </w:rPr>
        <w:fldChar w:fldCharType="separate"/>
      </w:r>
      <w:r w:rsidRPr="008350A6">
        <w:rPr>
          <w:noProof/>
          <w:color w:val="000000" w:themeColor="text1"/>
          <w:sz w:val="22"/>
          <w:szCs w:val="22"/>
        </w:rPr>
        <w:t>(Zhao et al., 2022)</w:t>
      </w:r>
      <w:r w:rsidRPr="008350A6">
        <w:rPr>
          <w:color w:val="000000" w:themeColor="text1"/>
          <w:sz w:val="22"/>
          <w:szCs w:val="22"/>
        </w:rPr>
        <w:fldChar w:fldCharType="end"/>
      </w:r>
      <w:r w:rsidRPr="008350A6">
        <w:rPr>
          <w:color w:val="000000" w:themeColor="text1"/>
          <w:sz w:val="22"/>
          <w:szCs w:val="22"/>
        </w:rPr>
        <w:t>.</w:t>
      </w:r>
    </w:p>
    <w:p w14:paraId="2916C012" w14:textId="77777777" w:rsidR="00BC4E67" w:rsidRPr="008350A6" w:rsidRDefault="00AA2F48" w:rsidP="00393F4C">
      <w:pPr>
        <w:spacing w:line="480" w:lineRule="auto"/>
        <w:rPr>
          <w:sz w:val="22"/>
          <w:szCs w:val="22"/>
        </w:rPr>
      </w:pPr>
      <w:r w:rsidRPr="008350A6">
        <w:rPr>
          <w:sz w:val="22"/>
          <w:szCs w:val="22"/>
        </w:rPr>
        <w:t xml:space="preserve">Levels for pain/stress severity: Level 2=a little; Level 3=moderate; Level 4= very; Level 5=extremely. </w:t>
      </w:r>
    </w:p>
    <w:p w14:paraId="07CAD49A" w14:textId="77777777" w:rsidR="00BC4E67" w:rsidRPr="008350A6" w:rsidRDefault="00AA2F48" w:rsidP="00393F4C">
      <w:pPr>
        <w:spacing w:line="480" w:lineRule="auto"/>
        <w:rPr>
          <w:sz w:val="22"/>
          <w:szCs w:val="22"/>
        </w:rPr>
      </w:pPr>
      <w:r w:rsidRPr="008350A6">
        <w:rPr>
          <w:sz w:val="22"/>
          <w:szCs w:val="22"/>
        </w:rPr>
        <w:t xml:space="preserve">Acute pain/stress events include level 2 (mouth care, learn bottle, nasal suction, learn breastfeeding); level 3 (position change, diaper change, continuous positive airway pressure manipulation, remove infant from incubator wrapped/unwrapped, being weighted, tape removal); level 4 (heel stick and suctioning); level 5 (intubation and multiple intravenous infusion). </w:t>
      </w:r>
    </w:p>
    <w:p w14:paraId="3BA1F110" w14:textId="68D328A3" w:rsidR="00AA2F48" w:rsidRPr="008350A6" w:rsidRDefault="00AA2F48" w:rsidP="00393F4C">
      <w:pPr>
        <w:spacing w:line="480" w:lineRule="auto"/>
        <w:rPr>
          <w:sz w:val="22"/>
          <w:szCs w:val="22"/>
        </w:rPr>
      </w:pPr>
      <w:r w:rsidRPr="008350A6">
        <w:rPr>
          <w:sz w:val="22"/>
          <w:szCs w:val="22"/>
        </w:rPr>
        <w:t>Chronic pain/stress events include level 2 (nasogastric and orogastric tube in situ, intravenous in situ, peripherally inserted central catheter line in situ, umbilical venous and arterial catheter in situ, high-flow nasal cannula oxygen, phototherapy, replogle tube in situ, intranasal and head box oxygen); level 3 (continuous positive airway pressure manipulation, nothing by mouth, conventional ventilation with/without sedation, high-flow humidified nasal cannula oxygen, local infection, recovery from surgery, high-frequency oscillatory/Jet ventilation with sedation, chest tube placed on water seal); level 4 (having confirmed systemic infection, high-frequency oscillatory/Jet ventilation without sedation, and chest tube placed on wall suction).</w:t>
      </w:r>
    </w:p>
    <w:p w14:paraId="7DC96A95" w14:textId="330ACE9D" w:rsidR="000F690E" w:rsidRPr="008350A6" w:rsidRDefault="000F690E" w:rsidP="00393F4C">
      <w:pPr>
        <w:spacing w:line="480" w:lineRule="auto"/>
        <w:rPr>
          <w:sz w:val="22"/>
          <w:szCs w:val="22"/>
        </w:rPr>
      </w:pPr>
    </w:p>
    <w:p w14:paraId="2286DA00" w14:textId="68670005" w:rsidR="000F690E" w:rsidRPr="008350A6" w:rsidRDefault="000F690E" w:rsidP="00393F4C">
      <w:pPr>
        <w:spacing w:line="480" w:lineRule="auto"/>
        <w:rPr>
          <w:sz w:val="22"/>
          <w:szCs w:val="22"/>
        </w:rPr>
      </w:pPr>
      <w:r w:rsidRPr="008350A6">
        <w:rPr>
          <w:sz w:val="22"/>
          <w:szCs w:val="22"/>
        </w:rPr>
        <w:t>Reference:</w:t>
      </w:r>
    </w:p>
    <w:p w14:paraId="24647C6A" w14:textId="77777777" w:rsidR="000F690E" w:rsidRPr="008350A6" w:rsidRDefault="000F690E" w:rsidP="00393F4C">
      <w:pPr>
        <w:spacing w:line="480" w:lineRule="auto"/>
        <w:rPr>
          <w:sz w:val="22"/>
          <w:szCs w:val="22"/>
        </w:rPr>
      </w:pPr>
      <w:r w:rsidRPr="008350A6">
        <w:rPr>
          <w:sz w:val="22"/>
          <w:szCs w:val="22"/>
        </w:rPr>
        <w:t>Zhao T, Griffith T, Zhang Y, Li H, Hussain N, Lester B, Cong X. Early-life factors associated with neurobehavioral outcomes in preterm infants during NICU hospitalization. Pediatr Res. 2022 Mar 25:10.1038/s41390-022-02021-y. doi: 10.1038/s41390-022-02021-y. Epub ahead of print. PMID: 35338349; PMCID: PMC9509490.</w:t>
      </w:r>
    </w:p>
    <w:sectPr w:rsidR="000F690E" w:rsidRPr="008350A6" w:rsidSect="00061DA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4"/>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2F48"/>
    <w:rsid w:val="00050F6B"/>
    <w:rsid w:val="00061DA3"/>
    <w:rsid w:val="00073DC9"/>
    <w:rsid w:val="0008584C"/>
    <w:rsid w:val="00096091"/>
    <w:rsid w:val="000A0CF0"/>
    <w:rsid w:val="000B1188"/>
    <w:rsid w:val="000F690E"/>
    <w:rsid w:val="00102EE8"/>
    <w:rsid w:val="00110C80"/>
    <w:rsid w:val="001347F0"/>
    <w:rsid w:val="00155452"/>
    <w:rsid w:val="001725B0"/>
    <w:rsid w:val="001C05F5"/>
    <w:rsid w:val="001D2F4D"/>
    <w:rsid w:val="001E2F18"/>
    <w:rsid w:val="001E5E87"/>
    <w:rsid w:val="001F2B34"/>
    <w:rsid w:val="00223F6A"/>
    <w:rsid w:val="002413C0"/>
    <w:rsid w:val="002609D9"/>
    <w:rsid w:val="002D5FB8"/>
    <w:rsid w:val="002D7AAB"/>
    <w:rsid w:val="002F5F7F"/>
    <w:rsid w:val="0030510F"/>
    <w:rsid w:val="00306C89"/>
    <w:rsid w:val="00334DDB"/>
    <w:rsid w:val="00357661"/>
    <w:rsid w:val="00381D6E"/>
    <w:rsid w:val="00390171"/>
    <w:rsid w:val="00393F4C"/>
    <w:rsid w:val="003C1FFF"/>
    <w:rsid w:val="003E0522"/>
    <w:rsid w:val="003F2376"/>
    <w:rsid w:val="003F5468"/>
    <w:rsid w:val="004165E0"/>
    <w:rsid w:val="00441BED"/>
    <w:rsid w:val="004E6944"/>
    <w:rsid w:val="00516BFE"/>
    <w:rsid w:val="00551C60"/>
    <w:rsid w:val="00553C38"/>
    <w:rsid w:val="005574E5"/>
    <w:rsid w:val="00560A84"/>
    <w:rsid w:val="00593F2B"/>
    <w:rsid w:val="00597C3D"/>
    <w:rsid w:val="005C21B4"/>
    <w:rsid w:val="005D19B6"/>
    <w:rsid w:val="005E7C7D"/>
    <w:rsid w:val="0062396A"/>
    <w:rsid w:val="00674130"/>
    <w:rsid w:val="00697F90"/>
    <w:rsid w:val="00701357"/>
    <w:rsid w:val="007A1AEB"/>
    <w:rsid w:val="007A3443"/>
    <w:rsid w:val="007B1BE4"/>
    <w:rsid w:val="007D64B6"/>
    <w:rsid w:val="007E2A4B"/>
    <w:rsid w:val="007E3973"/>
    <w:rsid w:val="008350A6"/>
    <w:rsid w:val="008363F4"/>
    <w:rsid w:val="008515EA"/>
    <w:rsid w:val="00864CFB"/>
    <w:rsid w:val="008845DE"/>
    <w:rsid w:val="008C7027"/>
    <w:rsid w:val="008D0B19"/>
    <w:rsid w:val="008D6B3B"/>
    <w:rsid w:val="00913D1D"/>
    <w:rsid w:val="00953CF3"/>
    <w:rsid w:val="00956E4E"/>
    <w:rsid w:val="009D76A8"/>
    <w:rsid w:val="009F3A1A"/>
    <w:rsid w:val="00A61689"/>
    <w:rsid w:val="00A65511"/>
    <w:rsid w:val="00A76633"/>
    <w:rsid w:val="00A85C67"/>
    <w:rsid w:val="00A97064"/>
    <w:rsid w:val="00AA2F48"/>
    <w:rsid w:val="00AC6ABC"/>
    <w:rsid w:val="00AE7BC3"/>
    <w:rsid w:val="00B678C0"/>
    <w:rsid w:val="00B82F7A"/>
    <w:rsid w:val="00B82FF2"/>
    <w:rsid w:val="00B90B2E"/>
    <w:rsid w:val="00B95E2D"/>
    <w:rsid w:val="00BC3ADF"/>
    <w:rsid w:val="00BC4E67"/>
    <w:rsid w:val="00BD6E2B"/>
    <w:rsid w:val="00C31606"/>
    <w:rsid w:val="00C978F5"/>
    <w:rsid w:val="00CB173D"/>
    <w:rsid w:val="00CF35DA"/>
    <w:rsid w:val="00CF4ADC"/>
    <w:rsid w:val="00D065E7"/>
    <w:rsid w:val="00D11320"/>
    <w:rsid w:val="00D6021B"/>
    <w:rsid w:val="00D84A8A"/>
    <w:rsid w:val="00DB1C6F"/>
    <w:rsid w:val="00DD014A"/>
    <w:rsid w:val="00E225F2"/>
    <w:rsid w:val="00E31D7A"/>
    <w:rsid w:val="00E64706"/>
    <w:rsid w:val="00EA0F75"/>
    <w:rsid w:val="00FD6033"/>
    <w:rsid w:val="00FD7A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C42C0"/>
  <w15:chartTrackingRefBased/>
  <w15:docId w15:val="{D8E7F8B9-5B3D-5D4D-8633-942B9A23A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2F48"/>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1443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860</Words>
  <Characters>4902</Characters>
  <Application>Microsoft Office Word</Application>
  <DocSecurity>0</DocSecurity>
  <Lines>40</Lines>
  <Paragraphs>11</Paragraphs>
  <ScaleCrop>false</ScaleCrop>
  <Company/>
  <LinksUpToDate>false</LinksUpToDate>
  <CharactersWithSpaces>5751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Tingting Zhao</dc:creator>
  <cp:keywords/>
  <dc:description/>
  <cp:lastModifiedBy>Chen, Jie</cp:lastModifiedBy>
  <cp:revision>7</cp:revision>
  <dcterms:created xsi:type="dcterms:W3CDTF">2022-02-15T21:11:00Z</dcterms:created>
  <dcterms:modified xsi:type="dcterms:W3CDTF">2022-12-01T02:03:00Z</dcterms:modified>
</cp:coreProperties>
</file>