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18F61" w14:textId="15FD2390" w:rsidR="0063572F" w:rsidRDefault="00AC373A">
      <w:pPr>
        <w:rPr>
          <w:b/>
          <w:sz w:val="24"/>
          <w:szCs w:val="24"/>
        </w:rPr>
      </w:pPr>
      <w:bookmarkStart w:id="0" w:name="_GoBack"/>
      <w:bookmarkEnd w:id="0"/>
      <w:r w:rsidRPr="0039649A">
        <w:rPr>
          <w:b/>
          <w:sz w:val="24"/>
          <w:szCs w:val="24"/>
        </w:rPr>
        <w:t xml:space="preserve">Supplementary </w:t>
      </w:r>
      <w:r w:rsidR="0077255E">
        <w:rPr>
          <w:b/>
          <w:sz w:val="24"/>
          <w:szCs w:val="24"/>
        </w:rPr>
        <w:t>Information</w:t>
      </w:r>
    </w:p>
    <w:p w14:paraId="5C251C2D" w14:textId="03E0B78B" w:rsidR="00E360F5" w:rsidRPr="0013235B" w:rsidRDefault="00087392" w:rsidP="00382303">
      <w:pPr>
        <w:tabs>
          <w:tab w:val="left" w:pos="1134"/>
        </w:tabs>
        <w:ind w:left="1128" w:hanging="1128"/>
        <w:rPr>
          <w:b/>
          <w:bCs/>
        </w:rPr>
      </w:pPr>
      <w:r w:rsidDel="00087392">
        <w:rPr>
          <w:bCs/>
        </w:rPr>
        <w:t xml:space="preserve"> </w:t>
      </w:r>
      <w:r w:rsidR="00CE4E9F">
        <w:rPr>
          <w:b/>
          <w:bCs/>
        </w:rPr>
        <w:t>Appendix 1</w:t>
      </w:r>
      <w:r w:rsidR="00E360F5">
        <w:rPr>
          <w:b/>
          <w:bCs/>
        </w:rPr>
        <w:t xml:space="preserve">. </w:t>
      </w:r>
      <w:r w:rsidR="001B77E9" w:rsidRPr="001B77E9">
        <w:rPr>
          <w:b/>
        </w:rPr>
        <w:t>Total interferon-</w:t>
      </w:r>
      <w:r w:rsidR="001B77E9" w:rsidRPr="001B77E9">
        <w:rPr>
          <w:rFonts w:cstheme="minorHAnsi"/>
          <w:b/>
        </w:rPr>
        <w:t>γ</w:t>
      </w:r>
      <w:r w:rsidR="001B77E9" w:rsidRPr="001B77E9">
        <w:rPr>
          <w:b/>
        </w:rPr>
        <w:t>, CXCL9, and soluble interleukin-2 receptor assays</w:t>
      </w:r>
      <w:r w:rsidR="00B425DE" w:rsidRPr="0013235B">
        <w:rPr>
          <w:b/>
        </w:rPr>
        <w:t xml:space="preserve"> </w:t>
      </w:r>
      <w:r w:rsidR="00B425DE" w:rsidRPr="0013235B" w:rsidDel="00E360F5">
        <w:rPr>
          <w:b/>
        </w:rPr>
        <w:t xml:space="preserve"> </w:t>
      </w:r>
    </w:p>
    <w:p w14:paraId="628A9232" w14:textId="47E8225A" w:rsidR="00E360F5" w:rsidRDefault="00E360F5" w:rsidP="00E360F5">
      <w:pPr>
        <w:pStyle w:val="Testonormale"/>
        <w:spacing w:line="276" w:lineRule="auto"/>
        <w:jc w:val="both"/>
        <w:rPr>
          <w:rFonts w:asciiTheme="minorHAnsi" w:eastAsiaTheme="minorHAnsi" w:hAnsiTheme="minorHAnsi" w:cstheme="minorBidi"/>
          <w:szCs w:val="22"/>
          <w:lang w:val="en-GB"/>
        </w:rPr>
      </w:pPr>
      <w:r w:rsidRPr="00AB1823">
        <w:rPr>
          <w:rFonts w:asciiTheme="minorHAnsi" w:eastAsiaTheme="minorHAnsi" w:hAnsiTheme="minorHAnsi" w:cstheme="minorBidi"/>
          <w:szCs w:val="22"/>
          <w:lang w:val="en-GB"/>
        </w:rPr>
        <w:t xml:space="preserve">Validated </w:t>
      </w:r>
      <w:proofErr w:type="spellStart"/>
      <w:r w:rsidRPr="00AB1823">
        <w:rPr>
          <w:rFonts w:asciiTheme="minorHAnsi" w:eastAsiaTheme="minorHAnsi" w:hAnsiTheme="minorHAnsi" w:cstheme="minorBidi"/>
          <w:szCs w:val="22"/>
          <w:lang w:val="en-GB"/>
        </w:rPr>
        <w:t>MesoScale</w:t>
      </w:r>
      <w:proofErr w:type="spellEnd"/>
      <w:r w:rsidRPr="00AB1823">
        <w:rPr>
          <w:rFonts w:asciiTheme="minorHAnsi" w:eastAsiaTheme="minorHAnsi" w:hAnsiTheme="minorHAnsi" w:cstheme="minorBidi"/>
          <w:szCs w:val="22"/>
          <w:lang w:val="en-GB"/>
        </w:rPr>
        <w:t xml:space="preserve"> Discovery (Rockville, MD, USA)-based immunoassays were used for the measurement of </w:t>
      </w:r>
      <w:r>
        <w:rPr>
          <w:rFonts w:asciiTheme="minorHAnsi" w:eastAsiaTheme="minorHAnsi" w:hAnsiTheme="minorHAnsi" w:cstheme="minorBidi"/>
          <w:szCs w:val="22"/>
          <w:lang w:val="en-GB"/>
        </w:rPr>
        <w:t xml:space="preserve">total </w:t>
      </w:r>
      <w:r w:rsidR="00CC3FA3">
        <w:t>interferon-</w:t>
      </w:r>
      <w:r w:rsidR="00CC3FA3">
        <w:rPr>
          <w:rFonts w:cstheme="minorHAnsi"/>
        </w:rPr>
        <w:t>γ</w:t>
      </w:r>
      <w:r w:rsidR="007318EF">
        <w:rPr>
          <w:rFonts w:cstheme="minorHAnsi"/>
        </w:rPr>
        <w:t xml:space="preserve"> (</w:t>
      </w:r>
      <w:r w:rsidR="007318EF">
        <w:rPr>
          <w:rFonts w:asciiTheme="minorHAnsi" w:eastAsiaTheme="minorHAnsi" w:hAnsiTheme="minorHAnsi" w:cstheme="minorBidi"/>
          <w:szCs w:val="22"/>
          <w:lang w:val="en-GB"/>
        </w:rPr>
        <w:t>IFN</w:t>
      </w:r>
      <w:r w:rsidR="007318EF">
        <w:rPr>
          <w:rFonts w:cstheme="minorHAnsi"/>
        </w:rPr>
        <w:t>γ)</w:t>
      </w:r>
      <w:r w:rsidRPr="00AB1823">
        <w:rPr>
          <w:rFonts w:asciiTheme="minorHAnsi" w:eastAsiaTheme="minorHAnsi" w:hAnsiTheme="minorHAnsi" w:cstheme="minorBidi"/>
          <w:szCs w:val="22"/>
          <w:lang w:val="en-GB"/>
        </w:rPr>
        <w:t xml:space="preserve">, </w:t>
      </w:r>
      <w:r w:rsidR="00CC3FA3">
        <w:t>soluble interleukin</w:t>
      </w:r>
      <w:r w:rsidR="00B425DE">
        <w:t xml:space="preserve">-2 </w:t>
      </w:r>
      <w:r w:rsidR="00CC3FA3">
        <w:t>receptor</w:t>
      </w:r>
      <w:r w:rsidR="00671822">
        <w:t xml:space="preserve"> </w:t>
      </w:r>
      <w:r w:rsidR="00B425DE">
        <w:rPr>
          <w:rFonts w:asciiTheme="minorHAnsi" w:eastAsiaTheme="minorHAnsi" w:hAnsiTheme="minorHAnsi" w:cstheme="minorBidi"/>
          <w:szCs w:val="22"/>
          <w:lang w:val="en-GB"/>
        </w:rPr>
        <w:t>and</w:t>
      </w:r>
      <w:r w:rsidRPr="00AB1823">
        <w:rPr>
          <w:rFonts w:asciiTheme="minorHAnsi" w:eastAsiaTheme="minorHAnsi" w:hAnsiTheme="minorHAnsi" w:cstheme="minorBidi"/>
          <w:szCs w:val="22"/>
          <w:lang w:val="en-GB"/>
        </w:rPr>
        <w:t xml:space="preserve"> CXCL9. The respective ranges of quantification relative to the recombinant protein were: </w:t>
      </w:r>
      <w:r w:rsidR="00CC3FA3">
        <w:t>interferon-</w:t>
      </w:r>
      <w:r w:rsidR="00CC3FA3">
        <w:rPr>
          <w:rFonts w:cstheme="minorHAnsi"/>
        </w:rPr>
        <w:t>γ,</w:t>
      </w:r>
      <w:r w:rsidRPr="00AB1823">
        <w:rPr>
          <w:rFonts w:asciiTheme="minorHAnsi" w:eastAsiaTheme="minorHAnsi" w:hAnsiTheme="minorHAnsi" w:cstheme="minorBidi"/>
          <w:szCs w:val="22"/>
          <w:lang w:val="en-GB"/>
        </w:rPr>
        <w:t xml:space="preserve"> 50 to 50</w:t>
      </w:r>
      <w:r w:rsidR="00CC3FA3">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 xml:space="preserve">000 </w:t>
      </w:r>
      <w:proofErr w:type="spellStart"/>
      <w:r w:rsidRPr="00AB1823">
        <w:rPr>
          <w:rFonts w:asciiTheme="minorHAnsi" w:eastAsiaTheme="minorHAnsi" w:hAnsiTheme="minorHAnsi" w:cstheme="minorBidi"/>
          <w:szCs w:val="22"/>
          <w:lang w:val="en-GB"/>
        </w:rPr>
        <w:t>pg</w:t>
      </w:r>
      <w:proofErr w:type="spellEnd"/>
      <w:r w:rsidRPr="00AB1823">
        <w:rPr>
          <w:rFonts w:asciiTheme="minorHAnsi" w:eastAsiaTheme="minorHAnsi" w:hAnsiTheme="minorHAnsi" w:cstheme="minorBidi"/>
          <w:szCs w:val="22"/>
          <w:lang w:val="en-GB"/>
        </w:rPr>
        <w:t xml:space="preserve">/mL; </w:t>
      </w:r>
      <w:r w:rsidR="00CC3FA3">
        <w:t>soluble interleukin</w:t>
      </w:r>
      <w:r w:rsidR="00B425DE">
        <w:t>-2</w:t>
      </w:r>
      <w:r w:rsidR="00CC3FA3">
        <w:t xml:space="preserve"> receptor</w:t>
      </w:r>
      <w:r w:rsidR="00EC0327">
        <w:t xml:space="preserve"> (sIL-2R)</w:t>
      </w:r>
      <w:r w:rsidR="00CC3FA3">
        <w:rPr>
          <w:rFonts w:cstheme="minorHAnsi"/>
        </w:rPr>
        <w:t>,</w:t>
      </w:r>
      <w:r w:rsidRPr="00AB1823">
        <w:rPr>
          <w:rFonts w:asciiTheme="minorHAnsi" w:eastAsiaTheme="minorHAnsi" w:hAnsiTheme="minorHAnsi" w:cstheme="minorBidi"/>
          <w:szCs w:val="22"/>
          <w:lang w:val="en-GB"/>
        </w:rPr>
        <w:t xml:space="preserve"> 50 to 50</w:t>
      </w:r>
      <w:r w:rsidR="00CC3FA3">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 xml:space="preserve">000 </w:t>
      </w:r>
      <w:proofErr w:type="spellStart"/>
      <w:r w:rsidRPr="00AB1823">
        <w:rPr>
          <w:rFonts w:asciiTheme="minorHAnsi" w:eastAsiaTheme="minorHAnsi" w:hAnsiTheme="minorHAnsi" w:cstheme="minorBidi"/>
          <w:szCs w:val="22"/>
          <w:lang w:val="en-GB"/>
        </w:rPr>
        <w:t>pg</w:t>
      </w:r>
      <w:proofErr w:type="spellEnd"/>
      <w:r w:rsidRPr="00AB1823">
        <w:rPr>
          <w:rFonts w:asciiTheme="minorHAnsi" w:eastAsiaTheme="minorHAnsi" w:hAnsiTheme="minorHAnsi" w:cstheme="minorBidi"/>
          <w:szCs w:val="22"/>
          <w:lang w:val="en-GB"/>
        </w:rPr>
        <w:t>/mL; CXCL9</w:t>
      </w:r>
      <w:r w:rsidR="00CC3FA3">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 xml:space="preserve"> 80 to 50</w:t>
      </w:r>
      <w:r w:rsidR="00CC3FA3">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 xml:space="preserve">000 </w:t>
      </w:r>
      <w:proofErr w:type="spellStart"/>
      <w:r w:rsidRPr="00AB1823">
        <w:rPr>
          <w:rFonts w:asciiTheme="minorHAnsi" w:eastAsiaTheme="minorHAnsi" w:hAnsiTheme="minorHAnsi" w:cstheme="minorBidi"/>
          <w:szCs w:val="22"/>
          <w:lang w:val="en-GB"/>
        </w:rPr>
        <w:t>pg</w:t>
      </w:r>
      <w:proofErr w:type="spellEnd"/>
      <w:r w:rsidRPr="00AB1823">
        <w:rPr>
          <w:rFonts w:asciiTheme="minorHAnsi" w:eastAsiaTheme="minorHAnsi" w:hAnsiTheme="minorHAnsi" w:cstheme="minorBidi"/>
          <w:szCs w:val="22"/>
          <w:lang w:val="en-GB"/>
        </w:rPr>
        <w:t>/</w:t>
      </w:r>
      <w:proofErr w:type="spellStart"/>
      <w:r w:rsidRPr="00AB1823">
        <w:rPr>
          <w:rFonts w:asciiTheme="minorHAnsi" w:eastAsiaTheme="minorHAnsi" w:hAnsiTheme="minorHAnsi" w:cstheme="minorBidi"/>
          <w:szCs w:val="22"/>
          <w:lang w:val="en-GB"/>
        </w:rPr>
        <w:t>mL.</w:t>
      </w:r>
      <w:proofErr w:type="spellEnd"/>
      <w:r w:rsidRPr="00AB1823">
        <w:rPr>
          <w:rFonts w:asciiTheme="minorHAnsi" w:eastAsiaTheme="minorHAnsi" w:hAnsiTheme="minorHAnsi" w:cstheme="minorBidi"/>
          <w:szCs w:val="22"/>
          <w:lang w:val="en-GB"/>
        </w:rPr>
        <w:t xml:space="preserve"> Samples containing biomarker concentrations above these levels underwent dilution to achieve the working range of quantification, with the final result corrected for the sample dilution used.</w:t>
      </w:r>
      <w:r>
        <w:rPr>
          <w:rFonts w:asciiTheme="minorHAnsi" w:eastAsiaTheme="minorHAnsi" w:hAnsiTheme="minorHAnsi" w:cstheme="minorBidi"/>
          <w:szCs w:val="22"/>
          <w:lang w:val="en-GB"/>
        </w:rPr>
        <w:t xml:space="preserve"> Runs failing to meet standard and/or quality controls</w:t>
      </w:r>
      <w:r w:rsidR="000E5119">
        <w:rPr>
          <w:rFonts w:asciiTheme="minorHAnsi" w:eastAsiaTheme="minorHAnsi" w:hAnsiTheme="minorHAnsi" w:cstheme="minorBidi"/>
          <w:szCs w:val="22"/>
          <w:lang w:val="en-GB"/>
        </w:rPr>
        <w:t xml:space="preserve"> (QCs)</w:t>
      </w:r>
      <w:r>
        <w:rPr>
          <w:rFonts w:asciiTheme="minorHAnsi" w:eastAsiaTheme="minorHAnsi" w:hAnsiTheme="minorHAnsi" w:cstheme="minorBidi"/>
          <w:szCs w:val="22"/>
          <w:lang w:val="en-GB"/>
        </w:rPr>
        <w:t xml:space="preserve"> acceptance criteria were repeated.</w:t>
      </w:r>
    </w:p>
    <w:p w14:paraId="0F48E633" w14:textId="77777777" w:rsidR="00CC3FA3" w:rsidRPr="00AB1823" w:rsidRDefault="00CC3FA3" w:rsidP="00E360F5">
      <w:pPr>
        <w:pStyle w:val="Testonormale"/>
        <w:spacing w:line="276" w:lineRule="auto"/>
        <w:jc w:val="both"/>
        <w:rPr>
          <w:rFonts w:asciiTheme="minorHAnsi" w:eastAsiaTheme="minorHAnsi" w:hAnsiTheme="minorHAnsi" w:cstheme="minorBidi"/>
          <w:szCs w:val="22"/>
          <w:lang w:val="en-GB"/>
        </w:rPr>
      </w:pPr>
    </w:p>
    <w:p w14:paraId="166CF49C" w14:textId="49BE6735" w:rsidR="00E360F5" w:rsidRPr="004D59E7" w:rsidRDefault="00E360F5" w:rsidP="00E360F5">
      <w:pPr>
        <w:pStyle w:val="Testonormale"/>
        <w:spacing w:line="276" w:lineRule="auto"/>
        <w:jc w:val="both"/>
        <w:rPr>
          <w:rFonts w:asciiTheme="minorHAnsi" w:eastAsiaTheme="minorHAnsi" w:hAnsiTheme="minorHAnsi" w:cstheme="minorBidi"/>
          <w:szCs w:val="22"/>
          <w:u w:val="single"/>
          <w:lang w:val="en-GB"/>
        </w:rPr>
      </w:pPr>
      <w:r>
        <w:rPr>
          <w:rFonts w:asciiTheme="minorHAnsi" w:eastAsiaTheme="minorHAnsi" w:hAnsiTheme="minorHAnsi" w:cstheme="minorBidi"/>
          <w:szCs w:val="22"/>
          <w:u w:val="single"/>
          <w:lang w:val="en-GB"/>
        </w:rPr>
        <w:t xml:space="preserve">Total </w:t>
      </w:r>
      <w:r w:rsidR="007318EF">
        <w:rPr>
          <w:rFonts w:asciiTheme="minorHAnsi" w:eastAsiaTheme="minorHAnsi" w:hAnsiTheme="minorHAnsi" w:cstheme="minorBidi"/>
          <w:szCs w:val="22"/>
          <w:lang w:val="en-GB"/>
        </w:rPr>
        <w:t>IFN</w:t>
      </w:r>
      <w:r w:rsidR="007318EF">
        <w:rPr>
          <w:rFonts w:cstheme="minorHAnsi"/>
        </w:rPr>
        <w:t>γ</w:t>
      </w:r>
    </w:p>
    <w:p w14:paraId="6CF0B6CC" w14:textId="7BE6A20A" w:rsidR="00E360F5" w:rsidRDefault="00E360F5" w:rsidP="00E360F5">
      <w:pPr>
        <w:pStyle w:val="Testonormale"/>
        <w:spacing w:line="276" w:lineRule="auto"/>
        <w:jc w:val="both"/>
        <w:rPr>
          <w:rFonts w:asciiTheme="minorHAnsi" w:eastAsiaTheme="minorHAnsi" w:hAnsiTheme="minorHAnsi" w:cstheme="minorBidi"/>
          <w:szCs w:val="22"/>
          <w:lang w:val="en-GB"/>
        </w:rPr>
      </w:pPr>
      <w:r w:rsidRPr="00AB1823">
        <w:rPr>
          <w:rFonts w:asciiTheme="minorHAnsi" w:eastAsiaTheme="minorHAnsi" w:hAnsiTheme="minorHAnsi" w:cstheme="minorBidi"/>
          <w:szCs w:val="22"/>
          <w:lang w:val="en-GB"/>
        </w:rPr>
        <w:t xml:space="preserve">Calibration standard (recombinant human </w:t>
      </w:r>
      <w:r w:rsidR="009A3C05">
        <w:rPr>
          <w:rFonts w:asciiTheme="minorHAnsi" w:eastAsiaTheme="minorHAnsi" w:hAnsiTheme="minorHAnsi" w:cstheme="minorBidi"/>
          <w:szCs w:val="22"/>
          <w:lang w:val="en-GB"/>
        </w:rPr>
        <w:t>IFN</w:t>
      </w:r>
      <w:r w:rsidR="009A3C05">
        <w:rPr>
          <w:rFonts w:cstheme="minorHAnsi"/>
        </w:rPr>
        <w:t>γ</w:t>
      </w:r>
      <w:r w:rsidRPr="00AB1823">
        <w:rPr>
          <w:rFonts w:asciiTheme="minorHAnsi" w:eastAsiaTheme="minorHAnsi" w:hAnsiTheme="minorHAnsi" w:cstheme="minorBidi"/>
          <w:szCs w:val="22"/>
          <w:lang w:val="en-GB"/>
        </w:rPr>
        <w:t>, R&amp;D Systems, Minneapolis, MN, USA) ranging from 20 to 100</w:t>
      </w:r>
      <w:r w:rsidR="00B742BC">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000 </w:t>
      </w:r>
      <w:proofErr w:type="spellStart"/>
      <w:r w:rsidRPr="00AB1823">
        <w:rPr>
          <w:rFonts w:asciiTheme="minorHAnsi" w:eastAsiaTheme="minorHAnsi" w:hAnsiTheme="minorHAnsi" w:cstheme="minorBidi"/>
          <w:szCs w:val="22"/>
          <w:lang w:val="en-GB"/>
        </w:rPr>
        <w:t>pg</w:t>
      </w:r>
      <w:proofErr w:type="spellEnd"/>
      <w:r w:rsidRPr="00AB1823">
        <w:rPr>
          <w:rFonts w:asciiTheme="minorHAnsi" w:eastAsiaTheme="minorHAnsi" w:hAnsiTheme="minorHAnsi" w:cstheme="minorBidi"/>
          <w:szCs w:val="22"/>
          <w:lang w:val="en-GB"/>
        </w:rPr>
        <w:t xml:space="preserve">/mL was prepared in </w:t>
      </w:r>
      <w:r>
        <w:rPr>
          <w:rFonts w:asciiTheme="minorHAnsi" w:eastAsiaTheme="minorHAnsi" w:hAnsiTheme="minorHAnsi" w:cstheme="minorBidi"/>
          <w:szCs w:val="22"/>
          <w:lang w:val="en-GB"/>
        </w:rPr>
        <w:t xml:space="preserve">human </w:t>
      </w:r>
      <w:r w:rsidRPr="00AB1823">
        <w:rPr>
          <w:rFonts w:asciiTheme="minorHAnsi" w:eastAsiaTheme="minorHAnsi" w:hAnsiTheme="minorHAnsi" w:cstheme="minorBidi"/>
          <w:szCs w:val="22"/>
          <w:lang w:val="en-GB"/>
        </w:rPr>
        <w:t xml:space="preserve">pool serum (at least 10 individual human sera, </w:t>
      </w:r>
      <w:proofErr w:type="spellStart"/>
      <w:r w:rsidRPr="00AB1823">
        <w:rPr>
          <w:rFonts w:asciiTheme="minorHAnsi" w:eastAsiaTheme="minorHAnsi" w:hAnsiTheme="minorHAnsi" w:cstheme="minorBidi"/>
          <w:szCs w:val="22"/>
          <w:lang w:val="en-GB"/>
        </w:rPr>
        <w:t>Seralab</w:t>
      </w:r>
      <w:proofErr w:type="spellEnd"/>
      <w:r>
        <w:rPr>
          <w:rFonts w:asciiTheme="minorHAnsi" w:eastAsiaTheme="minorHAnsi" w:hAnsiTheme="minorHAnsi" w:cstheme="minorBidi"/>
          <w:szCs w:val="22"/>
          <w:lang w:val="en-GB"/>
        </w:rPr>
        <w:t>/</w:t>
      </w:r>
      <w:proofErr w:type="spellStart"/>
      <w:r>
        <w:rPr>
          <w:rFonts w:asciiTheme="minorHAnsi" w:eastAsiaTheme="minorHAnsi" w:hAnsiTheme="minorHAnsi" w:cstheme="minorBidi"/>
          <w:szCs w:val="22"/>
          <w:lang w:val="en-GB"/>
        </w:rPr>
        <w:t>BioIVT</w:t>
      </w:r>
      <w:proofErr w:type="spellEnd"/>
      <w:r w:rsidRPr="00AB1823">
        <w:rPr>
          <w:rFonts w:asciiTheme="minorHAnsi" w:eastAsiaTheme="minorHAnsi" w:hAnsiTheme="minorHAnsi" w:cstheme="minorBidi"/>
          <w:szCs w:val="22"/>
          <w:lang w:val="en-GB"/>
        </w:rPr>
        <w:t xml:space="preserve">, West Sussex, UK) and incubated 1h at 22°C in </w:t>
      </w:r>
      <w:r w:rsidR="00B742BC">
        <w:rPr>
          <w:rFonts w:asciiTheme="minorHAnsi" w:eastAsiaTheme="minorHAnsi" w:hAnsiTheme="minorHAnsi" w:cstheme="minorBidi"/>
          <w:szCs w:val="22"/>
          <w:lang w:val="en-GB"/>
        </w:rPr>
        <w:t xml:space="preserve">the </w:t>
      </w:r>
      <w:r w:rsidRPr="00AB1823">
        <w:rPr>
          <w:rFonts w:asciiTheme="minorHAnsi" w:eastAsiaTheme="minorHAnsi" w:hAnsiTheme="minorHAnsi" w:cstheme="minorBidi"/>
          <w:szCs w:val="22"/>
          <w:lang w:val="en-GB"/>
        </w:rPr>
        <w:t>presence of 50 </w:t>
      </w:r>
      <w:r>
        <w:rPr>
          <w:rFonts w:asciiTheme="minorHAnsi" w:eastAsiaTheme="minorHAnsi" w:hAnsiTheme="minorHAnsi" w:cstheme="minorBidi"/>
          <w:szCs w:val="22"/>
          <w:lang w:val="en-GB"/>
        </w:rPr>
        <w:t>ug/mL final of emapalumab</w:t>
      </w:r>
      <w:r w:rsidRPr="00AB1823">
        <w:rPr>
          <w:rFonts w:asciiTheme="minorHAnsi" w:eastAsiaTheme="minorHAnsi" w:hAnsiTheme="minorHAnsi" w:cstheme="minorBidi"/>
          <w:szCs w:val="22"/>
          <w:lang w:val="en-GB"/>
        </w:rPr>
        <w:t xml:space="preserve"> to mimic clinical samples. Streptavidin Gold plates (</w:t>
      </w:r>
      <w:proofErr w:type="spellStart"/>
      <w:r w:rsidR="00A96354" w:rsidRPr="00AB1823">
        <w:rPr>
          <w:rFonts w:asciiTheme="minorHAnsi" w:eastAsiaTheme="minorHAnsi" w:hAnsiTheme="minorHAnsi" w:cstheme="minorBidi"/>
          <w:szCs w:val="22"/>
          <w:lang w:val="en-GB"/>
        </w:rPr>
        <w:t>MesoScale</w:t>
      </w:r>
      <w:proofErr w:type="spellEnd"/>
      <w:r w:rsidR="00A96354" w:rsidRPr="00AB1823">
        <w:rPr>
          <w:rFonts w:asciiTheme="minorHAnsi" w:eastAsiaTheme="minorHAnsi" w:hAnsiTheme="minorHAnsi" w:cstheme="minorBidi"/>
          <w:szCs w:val="22"/>
          <w:lang w:val="en-GB"/>
        </w:rPr>
        <w:t xml:space="preserve"> Discovery</w:t>
      </w:r>
      <w:r w:rsidRPr="00AB1823">
        <w:rPr>
          <w:rFonts w:asciiTheme="minorHAnsi" w:eastAsiaTheme="minorHAnsi" w:hAnsiTheme="minorHAnsi" w:cstheme="minorBidi"/>
          <w:szCs w:val="22"/>
          <w:lang w:val="en-GB"/>
        </w:rPr>
        <w:t>, Rockville, MD</w:t>
      </w:r>
      <w:r>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 xml:space="preserve"> USA) were pre-washed three times with </w:t>
      </w:r>
      <w:r w:rsidR="00A96354">
        <w:rPr>
          <w:rFonts w:asciiTheme="minorHAnsi" w:eastAsiaTheme="minorHAnsi" w:hAnsiTheme="minorHAnsi" w:cstheme="minorBidi"/>
          <w:szCs w:val="22"/>
          <w:lang w:val="en-GB"/>
        </w:rPr>
        <w:t>phosphate</w:t>
      </w:r>
      <w:r w:rsidR="004D6D26">
        <w:rPr>
          <w:rFonts w:asciiTheme="minorHAnsi" w:eastAsiaTheme="minorHAnsi" w:hAnsiTheme="minorHAnsi" w:cstheme="minorBidi"/>
          <w:szCs w:val="22"/>
          <w:lang w:val="en-GB"/>
        </w:rPr>
        <w:t>-</w:t>
      </w:r>
      <w:r w:rsidR="00A96354">
        <w:rPr>
          <w:rFonts w:asciiTheme="minorHAnsi" w:eastAsiaTheme="minorHAnsi" w:hAnsiTheme="minorHAnsi" w:cstheme="minorBidi"/>
          <w:szCs w:val="22"/>
          <w:lang w:val="en-GB"/>
        </w:rPr>
        <w:t>buffered saline</w:t>
      </w:r>
      <w:r w:rsidRPr="00AB1823">
        <w:rPr>
          <w:rFonts w:asciiTheme="minorHAnsi" w:eastAsiaTheme="minorHAnsi" w:hAnsiTheme="minorHAnsi" w:cstheme="minorBidi"/>
          <w:szCs w:val="22"/>
          <w:lang w:val="en-GB"/>
        </w:rPr>
        <w:t xml:space="preserve">-Tween 0.05% (wash buffer). Plates were coated with 25 µL of </w:t>
      </w:r>
      <w:r>
        <w:rPr>
          <w:rFonts w:asciiTheme="minorHAnsi" w:eastAsiaTheme="minorHAnsi" w:hAnsiTheme="minorHAnsi" w:cstheme="minorBidi"/>
          <w:szCs w:val="22"/>
          <w:lang w:val="en-GB"/>
        </w:rPr>
        <w:t xml:space="preserve">biotinylated </w:t>
      </w:r>
      <w:r w:rsidRPr="00AB1823">
        <w:rPr>
          <w:rFonts w:asciiTheme="minorHAnsi" w:eastAsiaTheme="minorHAnsi" w:hAnsiTheme="minorHAnsi" w:cstheme="minorBidi"/>
          <w:szCs w:val="22"/>
          <w:lang w:val="en-GB"/>
        </w:rPr>
        <w:t>mouse monoclonal antibody anti-h</w:t>
      </w:r>
      <w:r w:rsidR="00A96354">
        <w:rPr>
          <w:rFonts w:asciiTheme="minorHAnsi" w:eastAsiaTheme="minorHAnsi" w:hAnsiTheme="minorHAnsi" w:cstheme="minorBidi"/>
          <w:szCs w:val="22"/>
          <w:lang w:val="en-GB"/>
        </w:rPr>
        <w:t xml:space="preserve">uman </w:t>
      </w:r>
      <w:r w:rsidR="00BC50F3">
        <w:rPr>
          <w:rFonts w:asciiTheme="minorHAnsi" w:eastAsiaTheme="minorHAnsi" w:hAnsiTheme="minorHAnsi" w:cstheme="minorBidi"/>
          <w:szCs w:val="22"/>
          <w:lang w:val="en-GB"/>
        </w:rPr>
        <w:t>IFN</w:t>
      </w:r>
      <w:r w:rsidR="00BC50F3">
        <w:rPr>
          <w:rFonts w:cstheme="minorHAnsi"/>
        </w:rPr>
        <w:t>γ</w:t>
      </w:r>
      <w:r w:rsidR="00BC50F3" w:rsidRPr="00AB1823">
        <w:rPr>
          <w:rFonts w:asciiTheme="minorHAnsi" w:eastAsiaTheme="minorHAnsi" w:hAnsiTheme="minorHAnsi" w:cstheme="minorBidi"/>
          <w:szCs w:val="22"/>
          <w:lang w:val="en-GB"/>
        </w:rPr>
        <w:t xml:space="preserve"> </w:t>
      </w:r>
      <w:r w:rsidRPr="00AB1823">
        <w:rPr>
          <w:rFonts w:asciiTheme="minorHAnsi" w:eastAsiaTheme="minorHAnsi" w:hAnsiTheme="minorHAnsi" w:cstheme="minorBidi"/>
          <w:szCs w:val="22"/>
          <w:lang w:val="en-GB"/>
        </w:rPr>
        <w:t>clone 1-D1K (</w:t>
      </w:r>
      <w:proofErr w:type="spellStart"/>
      <w:r w:rsidRPr="00AB1823">
        <w:rPr>
          <w:rFonts w:asciiTheme="minorHAnsi" w:eastAsiaTheme="minorHAnsi" w:hAnsiTheme="minorHAnsi" w:cstheme="minorBidi"/>
          <w:szCs w:val="22"/>
          <w:lang w:val="en-GB"/>
        </w:rPr>
        <w:t>Mabtech</w:t>
      </w:r>
      <w:proofErr w:type="spellEnd"/>
      <w:r w:rsidRPr="00AB1823">
        <w:rPr>
          <w:rFonts w:asciiTheme="minorHAnsi" w:eastAsiaTheme="minorHAnsi" w:hAnsiTheme="minorHAnsi" w:cstheme="minorBidi"/>
          <w:szCs w:val="22"/>
          <w:lang w:val="en-GB"/>
        </w:rPr>
        <w:t>, Nacka Strand, Sweden) at 0.50 </w:t>
      </w:r>
      <w:proofErr w:type="spellStart"/>
      <w:r w:rsidRPr="00AB1823">
        <w:rPr>
          <w:rFonts w:asciiTheme="minorHAnsi" w:eastAsiaTheme="minorHAnsi" w:hAnsiTheme="minorHAnsi" w:cstheme="minorBidi"/>
          <w:szCs w:val="22"/>
          <w:lang w:val="en-GB"/>
        </w:rPr>
        <w:t>μg</w:t>
      </w:r>
      <w:proofErr w:type="spellEnd"/>
      <w:r w:rsidRPr="00AB1823">
        <w:rPr>
          <w:rFonts w:asciiTheme="minorHAnsi" w:eastAsiaTheme="minorHAnsi" w:hAnsiTheme="minorHAnsi" w:cstheme="minorBidi"/>
          <w:szCs w:val="22"/>
          <w:lang w:val="en-GB"/>
        </w:rPr>
        <w:t xml:space="preserve">/mL in </w:t>
      </w:r>
      <w:r w:rsidR="00A96354">
        <w:rPr>
          <w:rFonts w:asciiTheme="minorHAnsi" w:eastAsiaTheme="minorHAnsi" w:hAnsiTheme="minorHAnsi" w:cstheme="minorBidi"/>
          <w:szCs w:val="22"/>
          <w:lang w:val="en-GB"/>
        </w:rPr>
        <w:t>phosphate</w:t>
      </w:r>
      <w:r w:rsidR="004D6D26">
        <w:rPr>
          <w:rFonts w:asciiTheme="minorHAnsi" w:eastAsiaTheme="minorHAnsi" w:hAnsiTheme="minorHAnsi" w:cstheme="minorBidi"/>
          <w:szCs w:val="22"/>
          <w:lang w:val="en-GB"/>
        </w:rPr>
        <w:t>-</w:t>
      </w:r>
      <w:r w:rsidR="00A96354">
        <w:rPr>
          <w:rFonts w:asciiTheme="minorHAnsi" w:eastAsiaTheme="minorHAnsi" w:hAnsiTheme="minorHAnsi" w:cstheme="minorBidi"/>
          <w:szCs w:val="22"/>
          <w:lang w:val="en-GB"/>
        </w:rPr>
        <w:t>buffered saline</w:t>
      </w:r>
      <w:r w:rsidRPr="00AB1823">
        <w:rPr>
          <w:rFonts w:asciiTheme="minorHAnsi" w:eastAsiaTheme="minorHAnsi" w:hAnsiTheme="minorHAnsi" w:cstheme="minorBidi"/>
          <w:szCs w:val="22"/>
          <w:lang w:val="en-GB"/>
        </w:rPr>
        <w:t>-</w:t>
      </w:r>
      <w:r w:rsidR="00A96354">
        <w:rPr>
          <w:rFonts w:asciiTheme="minorHAnsi" w:eastAsiaTheme="minorHAnsi" w:hAnsiTheme="minorHAnsi" w:cstheme="minorBidi"/>
          <w:szCs w:val="22"/>
          <w:lang w:val="en-GB"/>
        </w:rPr>
        <w:t>bovine serum albumin</w:t>
      </w:r>
      <w:r w:rsidR="00BC50F3">
        <w:rPr>
          <w:rFonts w:asciiTheme="minorHAnsi" w:eastAsiaTheme="minorHAnsi" w:hAnsiTheme="minorHAnsi" w:cstheme="minorBidi"/>
          <w:szCs w:val="22"/>
          <w:lang w:val="en-GB"/>
        </w:rPr>
        <w:t xml:space="preserve"> (PBS-BSA)</w:t>
      </w:r>
      <w:r>
        <w:rPr>
          <w:rFonts w:asciiTheme="minorHAnsi" w:eastAsiaTheme="minorHAnsi" w:hAnsiTheme="minorHAnsi" w:cstheme="minorBidi"/>
          <w:szCs w:val="22"/>
          <w:lang w:val="en-GB"/>
        </w:rPr>
        <w:t> </w:t>
      </w:r>
      <w:r w:rsidRPr="00AB1823">
        <w:rPr>
          <w:rFonts w:asciiTheme="minorHAnsi" w:eastAsiaTheme="minorHAnsi" w:hAnsiTheme="minorHAnsi" w:cstheme="minorBidi"/>
          <w:szCs w:val="22"/>
          <w:lang w:val="en-GB"/>
        </w:rPr>
        <w:t>1%-Tween</w:t>
      </w:r>
      <w:r>
        <w:rPr>
          <w:rFonts w:asciiTheme="minorHAnsi" w:eastAsiaTheme="minorHAnsi" w:hAnsiTheme="minorHAnsi" w:cstheme="minorBidi"/>
          <w:szCs w:val="22"/>
          <w:lang w:val="en-GB"/>
        </w:rPr>
        <w:t> </w:t>
      </w:r>
      <w:r w:rsidRPr="00AB1823">
        <w:rPr>
          <w:rFonts w:asciiTheme="minorHAnsi" w:eastAsiaTheme="minorHAnsi" w:hAnsiTheme="minorHAnsi" w:cstheme="minorBidi"/>
          <w:szCs w:val="22"/>
          <w:lang w:val="en-GB"/>
        </w:rPr>
        <w:t xml:space="preserve">0.05% and incubated 1h at 22°C with agitation at 600 rpm. Samples were </w:t>
      </w:r>
      <w:r>
        <w:rPr>
          <w:rFonts w:asciiTheme="minorHAnsi" w:eastAsiaTheme="minorHAnsi" w:hAnsiTheme="minorHAnsi" w:cstheme="minorBidi"/>
          <w:szCs w:val="22"/>
          <w:lang w:val="en-GB"/>
        </w:rPr>
        <w:t>tested</w:t>
      </w:r>
      <w:r w:rsidRPr="00AB1823">
        <w:rPr>
          <w:rFonts w:asciiTheme="minorHAnsi" w:eastAsiaTheme="minorHAnsi" w:hAnsiTheme="minorHAnsi" w:cstheme="minorBidi"/>
          <w:szCs w:val="22"/>
          <w:lang w:val="en-GB"/>
        </w:rPr>
        <w:t xml:space="preserve"> neat or diluted 1:50 in pool serum. </w:t>
      </w:r>
      <w:r>
        <w:rPr>
          <w:rFonts w:asciiTheme="minorHAnsi" w:eastAsiaTheme="minorHAnsi" w:hAnsiTheme="minorHAnsi" w:cstheme="minorBidi"/>
          <w:szCs w:val="22"/>
          <w:lang w:val="en-GB"/>
        </w:rPr>
        <w:t xml:space="preserve">Three </w:t>
      </w:r>
      <w:r w:rsidR="000E5119">
        <w:rPr>
          <w:rFonts w:asciiTheme="minorHAnsi" w:eastAsiaTheme="minorHAnsi" w:hAnsiTheme="minorHAnsi" w:cstheme="minorBidi"/>
          <w:szCs w:val="22"/>
          <w:lang w:val="en-GB"/>
        </w:rPr>
        <w:t>QC</w:t>
      </w:r>
      <w:r w:rsidR="00740C20">
        <w:rPr>
          <w:rFonts w:asciiTheme="minorHAnsi" w:eastAsiaTheme="minorHAnsi" w:hAnsiTheme="minorHAnsi" w:cstheme="minorBidi"/>
          <w:szCs w:val="22"/>
          <w:lang w:val="en-GB"/>
        </w:rPr>
        <w:t xml:space="preserve"> samples</w:t>
      </w:r>
      <w:r w:rsidRPr="00AB1823">
        <w:rPr>
          <w:rFonts w:asciiTheme="minorHAnsi" w:eastAsiaTheme="minorHAnsi" w:hAnsiTheme="minorHAnsi" w:cstheme="minorBidi"/>
          <w:szCs w:val="22"/>
          <w:lang w:val="en-GB"/>
        </w:rPr>
        <w:t xml:space="preserve"> were made of recombinant human </w:t>
      </w:r>
      <w:proofErr w:type="spellStart"/>
      <w:r w:rsidR="00BC50F3">
        <w:t>IFN</w:t>
      </w:r>
      <w:r w:rsidR="00AE02BB">
        <w:rPr>
          <w:rFonts w:cstheme="minorHAnsi"/>
        </w:rPr>
        <w:t>γ</w:t>
      </w:r>
      <w:proofErr w:type="spellEnd"/>
      <w:r w:rsidR="00AE02BB" w:rsidRPr="00AB1823">
        <w:rPr>
          <w:rFonts w:asciiTheme="minorHAnsi" w:eastAsiaTheme="minorHAnsi" w:hAnsiTheme="minorHAnsi" w:cstheme="minorBidi"/>
          <w:szCs w:val="22"/>
          <w:lang w:val="en-GB"/>
        </w:rPr>
        <w:t xml:space="preserve"> </w:t>
      </w:r>
      <w:r w:rsidRPr="00AB1823">
        <w:rPr>
          <w:rFonts w:asciiTheme="minorHAnsi" w:eastAsiaTheme="minorHAnsi" w:hAnsiTheme="minorHAnsi" w:cstheme="minorBidi"/>
          <w:szCs w:val="22"/>
          <w:lang w:val="en-GB"/>
        </w:rPr>
        <w:t xml:space="preserve">diluted in </w:t>
      </w:r>
      <w:r>
        <w:rPr>
          <w:rFonts w:asciiTheme="minorHAnsi" w:eastAsiaTheme="minorHAnsi" w:hAnsiTheme="minorHAnsi" w:cstheme="minorBidi"/>
          <w:szCs w:val="22"/>
          <w:lang w:val="en-GB"/>
        </w:rPr>
        <w:t xml:space="preserve">human </w:t>
      </w:r>
      <w:r w:rsidRPr="00AB1823">
        <w:rPr>
          <w:rFonts w:asciiTheme="minorHAnsi" w:eastAsiaTheme="minorHAnsi" w:hAnsiTheme="minorHAnsi" w:cstheme="minorBidi"/>
          <w:szCs w:val="22"/>
          <w:lang w:val="en-GB"/>
        </w:rPr>
        <w:t>pool serum respectively at 160, 2000, and 40</w:t>
      </w:r>
      <w:r w:rsidR="00A056A3">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000 </w:t>
      </w:r>
      <w:proofErr w:type="spellStart"/>
      <w:r w:rsidRPr="00AB1823">
        <w:rPr>
          <w:rFonts w:asciiTheme="minorHAnsi" w:eastAsiaTheme="minorHAnsi" w:hAnsiTheme="minorHAnsi" w:cstheme="minorBidi"/>
          <w:szCs w:val="22"/>
          <w:lang w:val="en-GB"/>
        </w:rPr>
        <w:t>pg</w:t>
      </w:r>
      <w:proofErr w:type="spellEnd"/>
      <w:r w:rsidRPr="00AB1823">
        <w:rPr>
          <w:rFonts w:asciiTheme="minorHAnsi" w:eastAsiaTheme="minorHAnsi" w:hAnsiTheme="minorHAnsi" w:cstheme="minorBidi"/>
          <w:szCs w:val="22"/>
          <w:lang w:val="en-GB"/>
        </w:rPr>
        <w:t xml:space="preserve">/mL with a final concentration of </w:t>
      </w:r>
      <w:proofErr w:type="spellStart"/>
      <w:r>
        <w:rPr>
          <w:rFonts w:asciiTheme="minorHAnsi" w:eastAsiaTheme="minorHAnsi" w:hAnsiTheme="minorHAnsi" w:cstheme="minorBidi"/>
          <w:szCs w:val="22"/>
          <w:lang w:val="en-GB"/>
        </w:rPr>
        <w:t>e</w:t>
      </w:r>
      <w:r w:rsidRPr="00AB1823">
        <w:rPr>
          <w:rFonts w:asciiTheme="minorHAnsi" w:eastAsiaTheme="minorHAnsi" w:hAnsiTheme="minorHAnsi" w:cstheme="minorBidi"/>
          <w:szCs w:val="22"/>
          <w:lang w:val="en-GB"/>
        </w:rPr>
        <w:t>mapalumab</w:t>
      </w:r>
      <w:proofErr w:type="spellEnd"/>
      <w:r w:rsidRPr="00AB1823">
        <w:rPr>
          <w:rFonts w:asciiTheme="minorHAnsi" w:eastAsiaTheme="minorHAnsi" w:hAnsiTheme="minorHAnsi" w:cstheme="minorBidi"/>
          <w:szCs w:val="22"/>
          <w:lang w:val="en-GB"/>
        </w:rPr>
        <w:t xml:space="preserve"> of 50 ug/</w:t>
      </w:r>
      <w:proofErr w:type="spellStart"/>
      <w:r w:rsidRPr="00AB1823">
        <w:rPr>
          <w:rFonts w:asciiTheme="minorHAnsi" w:eastAsiaTheme="minorHAnsi" w:hAnsiTheme="minorHAnsi" w:cstheme="minorBidi"/>
          <w:szCs w:val="22"/>
          <w:lang w:val="en-GB"/>
        </w:rPr>
        <w:t>mL.</w:t>
      </w:r>
      <w:proofErr w:type="spellEnd"/>
      <w:r w:rsidRPr="00AB1823">
        <w:rPr>
          <w:rFonts w:asciiTheme="minorHAnsi" w:eastAsiaTheme="minorHAnsi" w:hAnsiTheme="minorHAnsi" w:cstheme="minorBidi"/>
          <w:szCs w:val="22"/>
          <w:lang w:val="en-GB"/>
        </w:rPr>
        <w:t xml:space="preserve"> Standard samples and </w:t>
      </w:r>
      <w:r w:rsidR="000E5119">
        <w:rPr>
          <w:rFonts w:asciiTheme="minorHAnsi" w:eastAsiaTheme="minorHAnsi" w:hAnsiTheme="minorHAnsi" w:cstheme="minorBidi"/>
          <w:szCs w:val="22"/>
          <w:lang w:val="en-GB"/>
        </w:rPr>
        <w:t>QC</w:t>
      </w:r>
      <w:r w:rsidR="00A056A3">
        <w:rPr>
          <w:rFonts w:asciiTheme="minorHAnsi" w:eastAsiaTheme="minorHAnsi" w:hAnsiTheme="minorHAnsi" w:cstheme="minorBidi"/>
          <w:szCs w:val="22"/>
          <w:lang w:val="en-GB"/>
        </w:rPr>
        <w:t xml:space="preserve"> samples</w:t>
      </w:r>
      <w:r w:rsidRPr="00AB1823">
        <w:rPr>
          <w:rFonts w:asciiTheme="minorHAnsi" w:eastAsiaTheme="minorHAnsi" w:hAnsiTheme="minorHAnsi" w:cstheme="minorBidi"/>
          <w:szCs w:val="22"/>
          <w:lang w:val="en-GB"/>
        </w:rPr>
        <w:t xml:space="preserve"> were diluted at the </w:t>
      </w:r>
      <w:r w:rsidR="00A056A3">
        <w:rPr>
          <w:rFonts w:asciiTheme="minorHAnsi" w:eastAsiaTheme="minorHAnsi" w:hAnsiTheme="minorHAnsi" w:cstheme="minorBidi"/>
          <w:szCs w:val="22"/>
          <w:lang w:val="en-GB"/>
        </w:rPr>
        <w:t>m</w:t>
      </w:r>
      <w:r w:rsidRPr="00AB1823">
        <w:rPr>
          <w:rFonts w:asciiTheme="minorHAnsi" w:eastAsiaTheme="minorHAnsi" w:hAnsiTheme="minorHAnsi" w:cstheme="minorBidi"/>
          <w:szCs w:val="22"/>
          <w:lang w:val="en-GB"/>
        </w:rPr>
        <w:t xml:space="preserve">inimum </w:t>
      </w:r>
      <w:r w:rsidR="00A056A3">
        <w:rPr>
          <w:rFonts w:asciiTheme="minorHAnsi" w:eastAsiaTheme="minorHAnsi" w:hAnsiTheme="minorHAnsi" w:cstheme="minorBidi"/>
          <w:szCs w:val="22"/>
          <w:lang w:val="en-GB"/>
        </w:rPr>
        <w:t>r</w:t>
      </w:r>
      <w:r w:rsidRPr="00AB1823">
        <w:rPr>
          <w:rFonts w:asciiTheme="minorHAnsi" w:eastAsiaTheme="minorHAnsi" w:hAnsiTheme="minorHAnsi" w:cstheme="minorBidi"/>
          <w:szCs w:val="22"/>
          <w:lang w:val="en-GB"/>
        </w:rPr>
        <w:t xml:space="preserve">equired </w:t>
      </w:r>
      <w:r w:rsidR="00A056A3">
        <w:rPr>
          <w:rFonts w:asciiTheme="minorHAnsi" w:eastAsiaTheme="minorHAnsi" w:hAnsiTheme="minorHAnsi" w:cstheme="minorBidi"/>
          <w:szCs w:val="22"/>
          <w:lang w:val="en-GB"/>
        </w:rPr>
        <w:t>d</w:t>
      </w:r>
      <w:r w:rsidRPr="00AB1823">
        <w:rPr>
          <w:rFonts w:asciiTheme="minorHAnsi" w:eastAsiaTheme="minorHAnsi" w:hAnsiTheme="minorHAnsi" w:cstheme="minorBidi"/>
          <w:szCs w:val="22"/>
          <w:lang w:val="en-GB"/>
        </w:rPr>
        <w:t xml:space="preserve">ilution </w:t>
      </w:r>
      <w:r w:rsidR="00A056A3">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1:3</w:t>
      </w:r>
      <w:r w:rsidR="00A056A3">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 xml:space="preserve"> in </w:t>
      </w:r>
      <w:r w:rsidR="000E5119">
        <w:rPr>
          <w:rFonts w:asciiTheme="minorHAnsi" w:eastAsiaTheme="minorHAnsi" w:hAnsiTheme="minorHAnsi" w:cstheme="minorBidi"/>
          <w:szCs w:val="22"/>
          <w:lang w:val="en-GB"/>
        </w:rPr>
        <w:t>PBS-BSA</w:t>
      </w:r>
      <w:r w:rsidR="00A056A3">
        <w:rPr>
          <w:rFonts w:asciiTheme="minorHAnsi" w:eastAsiaTheme="minorHAnsi" w:hAnsiTheme="minorHAnsi" w:cstheme="minorBidi"/>
          <w:szCs w:val="22"/>
          <w:lang w:val="en-GB"/>
        </w:rPr>
        <w:t> </w:t>
      </w:r>
      <w:r w:rsidRPr="00AB1823">
        <w:rPr>
          <w:rFonts w:asciiTheme="minorHAnsi" w:eastAsiaTheme="minorHAnsi" w:hAnsiTheme="minorHAnsi" w:cstheme="minorBidi"/>
          <w:szCs w:val="22"/>
          <w:lang w:val="en-GB"/>
        </w:rPr>
        <w:t xml:space="preserve">1%-Tween 0.05% with a final concentration of </w:t>
      </w:r>
      <w:r>
        <w:rPr>
          <w:rFonts w:asciiTheme="minorHAnsi" w:eastAsiaTheme="minorHAnsi" w:hAnsiTheme="minorHAnsi" w:cstheme="minorBidi"/>
          <w:szCs w:val="22"/>
          <w:lang w:val="en-GB"/>
        </w:rPr>
        <w:t>e</w:t>
      </w:r>
      <w:r w:rsidRPr="00AB1823">
        <w:rPr>
          <w:rFonts w:asciiTheme="minorHAnsi" w:eastAsiaTheme="minorHAnsi" w:hAnsiTheme="minorHAnsi" w:cstheme="minorBidi"/>
          <w:szCs w:val="22"/>
          <w:lang w:val="en-GB"/>
        </w:rPr>
        <w:t>mapalumab of 50 ug/mL and incubated 1</w:t>
      </w:r>
      <w:r w:rsidR="000E5119">
        <w:rPr>
          <w:rFonts w:asciiTheme="minorHAnsi" w:eastAsiaTheme="minorHAnsi" w:hAnsiTheme="minorHAnsi" w:cstheme="minorBidi"/>
          <w:szCs w:val="22"/>
          <w:lang w:val="en-GB"/>
        </w:rPr>
        <w:t xml:space="preserve"> </w:t>
      </w:r>
      <w:r w:rsidRPr="00AB1823">
        <w:rPr>
          <w:rFonts w:asciiTheme="minorHAnsi" w:eastAsiaTheme="minorHAnsi" w:hAnsiTheme="minorHAnsi" w:cstheme="minorBidi"/>
          <w:szCs w:val="22"/>
          <w:lang w:val="en-GB"/>
        </w:rPr>
        <w:t xml:space="preserve">h at 22°C. Streptavidin Gold </w:t>
      </w:r>
      <w:r>
        <w:rPr>
          <w:rFonts w:asciiTheme="minorHAnsi" w:eastAsiaTheme="minorHAnsi" w:hAnsiTheme="minorHAnsi" w:cstheme="minorBidi"/>
          <w:szCs w:val="22"/>
          <w:lang w:val="en-GB"/>
        </w:rPr>
        <w:t>p</w:t>
      </w:r>
      <w:r w:rsidRPr="00AB1823">
        <w:rPr>
          <w:rFonts w:asciiTheme="minorHAnsi" w:eastAsiaTheme="minorHAnsi" w:hAnsiTheme="minorHAnsi" w:cstheme="minorBidi"/>
          <w:szCs w:val="22"/>
          <w:lang w:val="en-GB"/>
        </w:rPr>
        <w:t xml:space="preserve">lates were washed three times and 25 µL of standard, samples and </w:t>
      </w:r>
      <w:r w:rsidR="000E5119">
        <w:rPr>
          <w:rFonts w:asciiTheme="minorHAnsi" w:eastAsiaTheme="minorHAnsi" w:hAnsiTheme="minorHAnsi" w:cstheme="minorBidi"/>
          <w:szCs w:val="22"/>
          <w:lang w:val="en-GB"/>
        </w:rPr>
        <w:t>QC</w:t>
      </w:r>
      <w:r w:rsidR="00740C20">
        <w:rPr>
          <w:rFonts w:asciiTheme="minorHAnsi" w:eastAsiaTheme="minorHAnsi" w:hAnsiTheme="minorHAnsi" w:cstheme="minorBidi"/>
          <w:szCs w:val="22"/>
          <w:lang w:val="en-GB"/>
        </w:rPr>
        <w:t xml:space="preserve"> samples</w:t>
      </w:r>
      <w:r w:rsidR="00740C20" w:rsidRPr="00AB1823">
        <w:rPr>
          <w:rFonts w:asciiTheme="minorHAnsi" w:eastAsiaTheme="minorHAnsi" w:hAnsiTheme="minorHAnsi" w:cstheme="minorBidi"/>
          <w:szCs w:val="22"/>
          <w:lang w:val="en-GB"/>
        </w:rPr>
        <w:t xml:space="preserve"> </w:t>
      </w:r>
      <w:r w:rsidRPr="00AB1823">
        <w:rPr>
          <w:rFonts w:asciiTheme="minorHAnsi" w:eastAsiaTheme="minorHAnsi" w:hAnsiTheme="minorHAnsi" w:cstheme="minorBidi"/>
          <w:szCs w:val="22"/>
          <w:lang w:val="en-GB"/>
        </w:rPr>
        <w:t xml:space="preserve">were added per well, in duplicate. After 1h incubation at 22°C with agitation at 600 rpm, plates were washed three times and 25 µL of </w:t>
      </w:r>
      <w:proofErr w:type="spellStart"/>
      <w:r w:rsidRPr="00AB1823">
        <w:rPr>
          <w:rFonts w:asciiTheme="minorHAnsi" w:eastAsiaTheme="minorHAnsi" w:hAnsiTheme="minorHAnsi" w:cstheme="minorBidi"/>
          <w:szCs w:val="22"/>
          <w:lang w:val="en-GB"/>
        </w:rPr>
        <w:t>Sulfo</w:t>
      </w:r>
      <w:proofErr w:type="spellEnd"/>
      <w:r w:rsidRPr="00AB1823">
        <w:rPr>
          <w:rFonts w:asciiTheme="minorHAnsi" w:eastAsiaTheme="minorHAnsi" w:hAnsiTheme="minorHAnsi" w:cstheme="minorBidi"/>
          <w:szCs w:val="22"/>
          <w:lang w:val="en-GB"/>
        </w:rPr>
        <w:t xml:space="preserve">-TAG® </w:t>
      </w:r>
      <w:r>
        <w:rPr>
          <w:rFonts w:asciiTheme="minorHAnsi" w:eastAsiaTheme="minorHAnsi" w:hAnsiTheme="minorHAnsi" w:cstheme="minorBidi"/>
          <w:szCs w:val="22"/>
          <w:lang w:val="en-GB"/>
        </w:rPr>
        <w:t>(</w:t>
      </w:r>
      <w:proofErr w:type="spellStart"/>
      <w:r w:rsidR="00740C20" w:rsidRPr="00AB1823">
        <w:rPr>
          <w:rFonts w:asciiTheme="minorHAnsi" w:eastAsiaTheme="minorHAnsi" w:hAnsiTheme="minorHAnsi" w:cstheme="minorBidi"/>
          <w:szCs w:val="22"/>
          <w:lang w:val="en-GB"/>
        </w:rPr>
        <w:t>MesoScale</w:t>
      </w:r>
      <w:proofErr w:type="spellEnd"/>
      <w:r w:rsidR="00740C20" w:rsidRPr="00AB1823">
        <w:rPr>
          <w:rFonts w:asciiTheme="minorHAnsi" w:eastAsiaTheme="minorHAnsi" w:hAnsiTheme="minorHAnsi" w:cstheme="minorBidi"/>
          <w:szCs w:val="22"/>
          <w:lang w:val="en-GB"/>
        </w:rPr>
        <w:t xml:space="preserve"> Discovery</w:t>
      </w:r>
      <w:r w:rsidRPr="00AB1823">
        <w:rPr>
          <w:rFonts w:asciiTheme="minorHAnsi" w:eastAsiaTheme="minorHAnsi" w:hAnsiTheme="minorHAnsi" w:cstheme="minorBidi"/>
          <w:szCs w:val="22"/>
          <w:lang w:val="en-GB"/>
        </w:rPr>
        <w:t>, Rockville, MD</w:t>
      </w:r>
      <w:r>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 xml:space="preserve"> USA)</w:t>
      </w:r>
      <w:r>
        <w:rPr>
          <w:rFonts w:asciiTheme="minorHAnsi" w:eastAsiaTheme="minorHAnsi" w:hAnsiTheme="minorHAnsi" w:cstheme="minorBidi"/>
          <w:szCs w:val="22"/>
          <w:lang w:val="en-GB"/>
        </w:rPr>
        <w:t xml:space="preserve">-labelled </w:t>
      </w:r>
      <w:r w:rsidRPr="00AB1823">
        <w:rPr>
          <w:rFonts w:asciiTheme="minorHAnsi" w:eastAsiaTheme="minorHAnsi" w:hAnsiTheme="minorHAnsi" w:cstheme="minorBidi"/>
          <w:szCs w:val="22"/>
          <w:lang w:val="en-GB"/>
        </w:rPr>
        <w:t xml:space="preserve">mouse monoclonal </w:t>
      </w:r>
      <w:r>
        <w:rPr>
          <w:rFonts w:asciiTheme="minorHAnsi" w:eastAsiaTheme="minorHAnsi" w:hAnsiTheme="minorHAnsi" w:cstheme="minorBidi"/>
          <w:szCs w:val="22"/>
          <w:lang w:val="en-GB"/>
        </w:rPr>
        <w:t>a</w:t>
      </w:r>
      <w:r w:rsidRPr="00AB1823">
        <w:rPr>
          <w:rFonts w:asciiTheme="minorHAnsi" w:eastAsiaTheme="minorHAnsi" w:hAnsiTheme="minorHAnsi" w:cstheme="minorBidi"/>
          <w:szCs w:val="22"/>
          <w:lang w:val="en-GB"/>
        </w:rPr>
        <w:t>ntibody anti-</w:t>
      </w:r>
      <w:r w:rsidR="00740C20" w:rsidRPr="00AB1823">
        <w:rPr>
          <w:rFonts w:asciiTheme="minorHAnsi" w:eastAsiaTheme="minorHAnsi" w:hAnsiTheme="minorHAnsi" w:cstheme="minorBidi"/>
          <w:szCs w:val="22"/>
          <w:lang w:val="en-GB"/>
        </w:rPr>
        <w:t xml:space="preserve">human </w:t>
      </w:r>
      <w:proofErr w:type="spellStart"/>
      <w:r w:rsidR="00EE7D9D">
        <w:t>IFN</w:t>
      </w:r>
      <w:r w:rsidR="00740C20">
        <w:rPr>
          <w:rFonts w:cstheme="minorHAnsi"/>
        </w:rPr>
        <w:t>γ</w:t>
      </w:r>
      <w:proofErr w:type="spellEnd"/>
      <w:r w:rsidR="00740C20" w:rsidRPr="00AB1823">
        <w:rPr>
          <w:rFonts w:asciiTheme="minorHAnsi" w:eastAsiaTheme="minorHAnsi" w:hAnsiTheme="minorHAnsi" w:cstheme="minorBidi"/>
          <w:szCs w:val="22"/>
          <w:lang w:val="en-GB"/>
        </w:rPr>
        <w:t xml:space="preserve"> </w:t>
      </w:r>
      <w:r w:rsidRPr="00AB1823">
        <w:rPr>
          <w:rFonts w:asciiTheme="minorHAnsi" w:eastAsiaTheme="minorHAnsi" w:hAnsiTheme="minorHAnsi" w:cstheme="minorBidi"/>
          <w:szCs w:val="22"/>
          <w:lang w:val="en-GB"/>
        </w:rPr>
        <w:t>clone 1-D1K (</w:t>
      </w:r>
      <w:proofErr w:type="spellStart"/>
      <w:r w:rsidRPr="00AB1823">
        <w:rPr>
          <w:rFonts w:asciiTheme="minorHAnsi" w:eastAsiaTheme="minorHAnsi" w:hAnsiTheme="minorHAnsi" w:cstheme="minorBidi"/>
          <w:szCs w:val="22"/>
          <w:lang w:val="en-GB"/>
        </w:rPr>
        <w:t>Mabtech</w:t>
      </w:r>
      <w:proofErr w:type="spellEnd"/>
      <w:r w:rsidRPr="00AB1823">
        <w:rPr>
          <w:rFonts w:asciiTheme="minorHAnsi" w:eastAsiaTheme="minorHAnsi" w:hAnsiTheme="minorHAnsi" w:cstheme="minorBidi"/>
          <w:szCs w:val="22"/>
          <w:lang w:val="en-GB"/>
        </w:rPr>
        <w:t>, Nacka Strand, Sweden) at 0.</w:t>
      </w:r>
      <w:r>
        <w:rPr>
          <w:rFonts w:asciiTheme="minorHAnsi" w:eastAsiaTheme="minorHAnsi" w:hAnsiTheme="minorHAnsi" w:cstheme="minorBidi"/>
          <w:szCs w:val="22"/>
          <w:lang w:val="en-GB"/>
        </w:rPr>
        <w:t>6</w:t>
      </w:r>
      <w:r w:rsidRPr="00AB1823">
        <w:rPr>
          <w:rFonts w:asciiTheme="minorHAnsi" w:eastAsiaTheme="minorHAnsi" w:hAnsiTheme="minorHAnsi" w:cstheme="minorBidi"/>
          <w:szCs w:val="22"/>
          <w:lang w:val="en-GB"/>
        </w:rPr>
        <w:t>0 </w:t>
      </w:r>
      <w:proofErr w:type="spellStart"/>
      <w:r w:rsidRPr="00AB1823">
        <w:rPr>
          <w:rFonts w:asciiTheme="minorHAnsi" w:eastAsiaTheme="minorHAnsi" w:hAnsiTheme="minorHAnsi" w:cstheme="minorBidi"/>
          <w:szCs w:val="22"/>
          <w:lang w:val="en-GB"/>
        </w:rPr>
        <w:t>μg</w:t>
      </w:r>
      <w:proofErr w:type="spellEnd"/>
      <w:r w:rsidRPr="00AB1823">
        <w:rPr>
          <w:rFonts w:asciiTheme="minorHAnsi" w:eastAsiaTheme="minorHAnsi" w:hAnsiTheme="minorHAnsi" w:cstheme="minorBidi"/>
          <w:szCs w:val="22"/>
          <w:lang w:val="en-GB"/>
        </w:rPr>
        <w:t xml:space="preserve">/mL in </w:t>
      </w:r>
      <w:r w:rsidR="00EE7D9D">
        <w:rPr>
          <w:rFonts w:asciiTheme="minorHAnsi" w:eastAsiaTheme="minorHAnsi" w:hAnsiTheme="minorHAnsi" w:cstheme="minorBidi"/>
          <w:szCs w:val="22"/>
          <w:lang w:val="en-GB"/>
        </w:rPr>
        <w:t>PBS-BSA</w:t>
      </w:r>
      <w:r w:rsidR="00740C20">
        <w:rPr>
          <w:rFonts w:asciiTheme="minorHAnsi" w:eastAsiaTheme="minorHAnsi" w:hAnsiTheme="minorHAnsi" w:cstheme="minorBidi"/>
          <w:szCs w:val="22"/>
          <w:lang w:val="en-GB"/>
        </w:rPr>
        <w:t> </w:t>
      </w:r>
      <w:r w:rsidRPr="00AB1823">
        <w:rPr>
          <w:rFonts w:asciiTheme="minorHAnsi" w:eastAsiaTheme="minorHAnsi" w:hAnsiTheme="minorHAnsi" w:cstheme="minorBidi"/>
          <w:szCs w:val="22"/>
          <w:lang w:val="en-GB"/>
        </w:rPr>
        <w:t>1%-Tween 0.05% were added per well. After 1</w:t>
      </w:r>
      <w:r w:rsidR="00EE7D9D">
        <w:rPr>
          <w:rFonts w:asciiTheme="minorHAnsi" w:eastAsiaTheme="minorHAnsi" w:hAnsiTheme="minorHAnsi" w:cstheme="minorBidi"/>
          <w:szCs w:val="22"/>
          <w:lang w:val="en-GB"/>
        </w:rPr>
        <w:t xml:space="preserve"> </w:t>
      </w:r>
      <w:r w:rsidRPr="00AB1823">
        <w:rPr>
          <w:rFonts w:asciiTheme="minorHAnsi" w:eastAsiaTheme="minorHAnsi" w:hAnsiTheme="minorHAnsi" w:cstheme="minorBidi"/>
          <w:szCs w:val="22"/>
          <w:lang w:val="en-GB"/>
        </w:rPr>
        <w:t>h incubation at 22°C with agitation at 600 rpm, plates were washed three times and 150</w:t>
      </w:r>
      <w:r>
        <w:rPr>
          <w:rFonts w:asciiTheme="minorHAnsi" w:eastAsiaTheme="minorHAnsi" w:hAnsiTheme="minorHAnsi" w:cstheme="minorBidi"/>
          <w:szCs w:val="22"/>
          <w:lang w:val="en-GB"/>
        </w:rPr>
        <w:t> </w:t>
      </w:r>
      <w:proofErr w:type="spellStart"/>
      <w:r w:rsidRPr="00AB1823">
        <w:rPr>
          <w:rFonts w:asciiTheme="minorHAnsi" w:eastAsiaTheme="minorHAnsi" w:hAnsiTheme="minorHAnsi" w:cstheme="minorBidi"/>
          <w:szCs w:val="22"/>
          <w:lang w:val="en-GB"/>
        </w:rPr>
        <w:t>μL</w:t>
      </w:r>
      <w:proofErr w:type="spellEnd"/>
      <w:r w:rsidRPr="00AB1823">
        <w:rPr>
          <w:rFonts w:asciiTheme="minorHAnsi" w:eastAsiaTheme="minorHAnsi" w:hAnsiTheme="minorHAnsi" w:cstheme="minorBidi"/>
          <w:szCs w:val="22"/>
          <w:lang w:val="en-GB"/>
        </w:rPr>
        <w:t xml:space="preserve"> of MSD read buffer T 2X</w:t>
      </w:r>
      <w:r>
        <w:rPr>
          <w:rFonts w:asciiTheme="minorHAnsi" w:eastAsiaTheme="minorHAnsi" w:hAnsiTheme="minorHAnsi" w:cstheme="minorBidi"/>
          <w:szCs w:val="22"/>
          <w:lang w:val="en-GB"/>
        </w:rPr>
        <w:t xml:space="preserve"> (</w:t>
      </w:r>
      <w:proofErr w:type="spellStart"/>
      <w:r w:rsidR="00740C20" w:rsidRPr="00AB1823">
        <w:rPr>
          <w:rFonts w:asciiTheme="minorHAnsi" w:eastAsiaTheme="minorHAnsi" w:hAnsiTheme="minorHAnsi" w:cstheme="minorBidi"/>
          <w:szCs w:val="22"/>
          <w:lang w:val="en-GB"/>
        </w:rPr>
        <w:t>MesoScale</w:t>
      </w:r>
      <w:proofErr w:type="spellEnd"/>
      <w:r w:rsidR="00740C20" w:rsidRPr="00AB1823">
        <w:rPr>
          <w:rFonts w:asciiTheme="minorHAnsi" w:eastAsiaTheme="minorHAnsi" w:hAnsiTheme="minorHAnsi" w:cstheme="minorBidi"/>
          <w:szCs w:val="22"/>
          <w:lang w:val="en-GB"/>
        </w:rPr>
        <w:t xml:space="preserve"> Discovery</w:t>
      </w:r>
      <w:r w:rsidRPr="00AB1823">
        <w:rPr>
          <w:rFonts w:asciiTheme="minorHAnsi" w:eastAsiaTheme="minorHAnsi" w:hAnsiTheme="minorHAnsi" w:cstheme="minorBidi"/>
          <w:szCs w:val="22"/>
          <w:lang w:val="en-GB"/>
        </w:rPr>
        <w:t>, Rockville, MD</w:t>
      </w:r>
      <w:r>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 xml:space="preserve"> USA) were added per well and the plates were read within 4 to 10 min on the </w:t>
      </w:r>
      <w:proofErr w:type="spellStart"/>
      <w:r w:rsidR="00740C20" w:rsidRPr="00AB1823">
        <w:rPr>
          <w:rFonts w:asciiTheme="minorHAnsi" w:eastAsiaTheme="minorHAnsi" w:hAnsiTheme="minorHAnsi" w:cstheme="minorBidi"/>
          <w:szCs w:val="22"/>
          <w:lang w:val="en-GB"/>
        </w:rPr>
        <w:t>MesoScale</w:t>
      </w:r>
      <w:proofErr w:type="spellEnd"/>
      <w:r w:rsidR="00740C20" w:rsidRPr="00AB1823">
        <w:rPr>
          <w:rFonts w:asciiTheme="minorHAnsi" w:eastAsiaTheme="minorHAnsi" w:hAnsiTheme="minorHAnsi" w:cstheme="minorBidi"/>
          <w:szCs w:val="22"/>
          <w:lang w:val="en-GB"/>
        </w:rPr>
        <w:t xml:space="preserve"> Discovery </w:t>
      </w:r>
      <w:r w:rsidRPr="00AB1823">
        <w:rPr>
          <w:rFonts w:asciiTheme="minorHAnsi" w:eastAsiaTheme="minorHAnsi" w:hAnsiTheme="minorHAnsi" w:cstheme="minorBidi"/>
          <w:szCs w:val="22"/>
          <w:lang w:val="en-GB"/>
        </w:rPr>
        <w:t>Meso Sector® S600. The raw data were analy</w:t>
      </w:r>
      <w:r w:rsidR="00EE7D9D">
        <w:rPr>
          <w:rFonts w:asciiTheme="minorHAnsi" w:eastAsiaTheme="minorHAnsi" w:hAnsiTheme="minorHAnsi" w:cstheme="minorBidi"/>
          <w:szCs w:val="22"/>
          <w:lang w:val="en-GB"/>
        </w:rPr>
        <w:t>s</w:t>
      </w:r>
      <w:r w:rsidRPr="00AB1823">
        <w:rPr>
          <w:rFonts w:asciiTheme="minorHAnsi" w:eastAsiaTheme="minorHAnsi" w:hAnsiTheme="minorHAnsi" w:cstheme="minorBidi"/>
          <w:szCs w:val="22"/>
          <w:lang w:val="en-GB"/>
        </w:rPr>
        <w:t xml:space="preserve">ed using the </w:t>
      </w:r>
      <w:proofErr w:type="spellStart"/>
      <w:r w:rsidR="00175AB1" w:rsidRPr="00AB1823">
        <w:rPr>
          <w:rFonts w:asciiTheme="minorHAnsi" w:eastAsiaTheme="minorHAnsi" w:hAnsiTheme="minorHAnsi" w:cstheme="minorBidi"/>
          <w:szCs w:val="22"/>
          <w:lang w:val="en-GB"/>
        </w:rPr>
        <w:t>MesoScale</w:t>
      </w:r>
      <w:proofErr w:type="spellEnd"/>
      <w:r w:rsidR="00175AB1" w:rsidRPr="00AB1823">
        <w:rPr>
          <w:rFonts w:asciiTheme="minorHAnsi" w:eastAsiaTheme="minorHAnsi" w:hAnsiTheme="minorHAnsi" w:cstheme="minorBidi"/>
          <w:szCs w:val="22"/>
          <w:lang w:val="en-GB"/>
        </w:rPr>
        <w:t xml:space="preserve"> Discovery </w:t>
      </w:r>
      <w:proofErr w:type="spellStart"/>
      <w:r w:rsidRPr="00AB1823">
        <w:rPr>
          <w:rFonts w:asciiTheme="minorHAnsi" w:eastAsiaTheme="minorHAnsi" w:hAnsiTheme="minorHAnsi" w:cstheme="minorBidi"/>
          <w:szCs w:val="22"/>
          <w:lang w:val="en-GB"/>
        </w:rPr>
        <w:t>Discovery</w:t>
      </w:r>
      <w:proofErr w:type="spellEnd"/>
      <w:r w:rsidRPr="00AB1823">
        <w:rPr>
          <w:rFonts w:asciiTheme="minorHAnsi" w:eastAsiaTheme="minorHAnsi" w:hAnsiTheme="minorHAnsi" w:cstheme="minorBidi"/>
          <w:szCs w:val="22"/>
          <w:lang w:val="en-GB"/>
        </w:rPr>
        <w:t xml:space="preserve"> Workbench 4.0 software.</w:t>
      </w:r>
    </w:p>
    <w:p w14:paraId="4153F5F9" w14:textId="77777777" w:rsidR="00740C20" w:rsidRPr="00AB1823" w:rsidRDefault="00740C20" w:rsidP="00E360F5">
      <w:pPr>
        <w:pStyle w:val="Testonormale"/>
        <w:spacing w:line="276" w:lineRule="auto"/>
        <w:jc w:val="both"/>
        <w:rPr>
          <w:rFonts w:asciiTheme="minorHAnsi" w:eastAsiaTheme="minorHAnsi" w:hAnsiTheme="minorHAnsi" w:cstheme="minorBidi"/>
          <w:szCs w:val="22"/>
          <w:lang w:val="en-GB"/>
        </w:rPr>
      </w:pPr>
    </w:p>
    <w:p w14:paraId="12A99605" w14:textId="2E281A45" w:rsidR="004D6D26" w:rsidRDefault="00FE7610" w:rsidP="00E360F5">
      <w:pPr>
        <w:pStyle w:val="Testonormale"/>
        <w:spacing w:line="276" w:lineRule="auto"/>
        <w:jc w:val="both"/>
        <w:rPr>
          <w:u w:val="single"/>
        </w:rPr>
      </w:pPr>
      <w:r>
        <w:rPr>
          <w:u w:val="single"/>
        </w:rPr>
        <w:t>S</w:t>
      </w:r>
      <w:r w:rsidR="004D6D26" w:rsidRPr="004D6D26">
        <w:rPr>
          <w:u w:val="single"/>
        </w:rPr>
        <w:t>oluble interleukin</w:t>
      </w:r>
      <w:r w:rsidR="00B425DE">
        <w:rPr>
          <w:u w:val="single"/>
        </w:rPr>
        <w:t>-2</w:t>
      </w:r>
      <w:r w:rsidR="004D6D26" w:rsidRPr="004D6D26">
        <w:rPr>
          <w:u w:val="single"/>
        </w:rPr>
        <w:t xml:space="preserve"> receptor </w:t>
      </w:r>
    </w:p>
    <w:p w14:paraId="5AB2E0B1" w14:textId="27E078E1" w:rsidR="00E360F5" w:rsidRDefault="00E360F5" w:rsidP="00E360F5">
      <w:pPr>
        <w:pStyle w:val="Testonormale"/>
        <w:spacing w:line="276" w:lineRule="auto"/>
        <w:jc w:val="both"/>
        <w:rPr>
          <w:rFonts w:asciiTheme="minorHAnsi" w:eastAsiaTheme="minorHAnsi" w:hAnsiTheme="minorHAnsi" w:cstheme="minorBidi"/>
          <w:szCs w:val="22"/>
          <w:lang w:val="en-GB"/>
        </w:rPr>
      </w:pPr>
      <w:r>
        <w:t>Streptavidin Gold plates (</w:t>
      </w:r>
      <w:proofErr w:type="spellStart"/>
      <w:r w:rsidR="004D6D26" w:rsidRPr="00AB1823">
        <w:rPr>
          <w:rFonts w:asciiTheme="minorHAnsi" w:eastAsiaTheme="minorHAnsi" w:hAnsiTheme="minorHAnsi" w:cstheme="minorBidi"/>
          <w:szCs w:val="22"/>
          <w:lang w:val="en-GB"/>
        </w:rPr>
        <w:t>MesoScale</w:t>
      </w:r>
      <w:proofErr w:type="spellEnd"/>
      <w:r w:rsidR="004D6D26" w:rsidRPr="00AB1823">
        <w:rPr>
          <w:rFonts w:asciiTheme="minorHAnsi" w:eastAsiaTheme="minorHAnsi" w:hAnsiTheme="minorHAnsi" w:cstheme="minorBidi"/>
          <w:szCs w:val="22"/>
          <w:lang w:val="en-GB"/>
        </w:rPr>
        <w:t xml:space="preserve"> Discovery</w:t>
      </w:r>
      <w:r>
        <w:t xml:space="preserve">, Rockville, MD USA) were pre-washed three times with </w:t>
      </w:r>
      <w:r w:rsidR="00EE7D9D">
        <w:t>PBS</w:t>
      </w:r>
      <w:r>
        <w:t xml:space="preserve">-Tween 0.05% (wash buffer). Plates were coated with 25 </w:t>
      </w:r>
      <w:r>
        <w:rPr>
          <w:rFonts w:cs="Calibri"/>
        </w:rPr>
        <w:t>µ</w:t>
      </w:r>
      <w:r>
        <w:t xml:space="preserve">L of biotinylated polyclonal goat </w:t>
      </w:r>
      <w:r w:rsidR="004D6D26">
        <w:t xml:space="preserve">immunoglobulin </w:t>
      </w:r>
      <w:r>
        <w:t>G anti-human CD25/</w:t>
      </w:r>
      <w:r w:rsidR="00CD0ADA">
        <w:t>interleukin</w:t>
      </w:r>
      <w:r>
        <w:t>-2</w:t>
      </w:r>
      <w:r w:rsidR="00CD0ADA">
        <w:t xml:space="preserve"> receptor </w:t>
      </w:r>
      <w:r w:rsidRPr="00B61FF0">
        <w:t>α</w:t>
      </w:r>
      <w:r>
        <w:t xml:space="preserve"> (R&amp;D systems,</w:t>
      </w:r>
      <w:r w:rsidRPr="00342841">
        <w:t xml:space="preserve"> </w:t>
      </w:r>
      <w:r w:rsidRPr="00AB1823">
        <w:rPr>
          <w:rFonts w:asciiTheme="minorHAnsi" w:eastAsiaTheme="minorHAnsi" w:hAnsiTheme="minorHAnsi" w:cstheme="minorBidi"/>
          <w:szCs w:val="22"/>
          <w:lang w:val="en-GB"/>
        </w:rPr>
        <w:t>Minneapolis, MN, USA</w:t>
      </w:r>
      <w:r>
        <w:t xml:space="preserve">) </w:t>
      </w:r>
      <w:r w:rsidRPr="00342841">
        <w:t>at 0.50</w:t>
      </w:r>
      <w:r>
        <w:t> </w:t>
      </w:r>
      <w:proofErr w:type="spellStart"/>
      <w:r w:rsidRPr="00342841">
        <w:t>μg</w:t>
      </w:r>
      <w:proofErr w:type="spellEnd"/>
      <w:r w:rsidRPr="00342841">
        <w:t xml:space="preserve">/mL in </w:t>
      </w:r>
      <w:r w:rsidR="00EE7D9D">
        <w:rPr>
          <w:rFonts w:asciiTheme="minorHAnsi" w:eastAsiaTheme="minorHAnsi" w:hAnsiTheme="minorHAnsi" w:cstheme="minorBidi"/>
          <w:szCs w:val="22"/>
          <w:lang w:val="en-GB"/>
        </w:rPr>
        <w:t>PBS-BSA</w:t>
      </w:r>
      <w:r w:rsidR="00FE7610">
        <w:rPr>
          <w:rFonts w:asciiTheme="minorHAnsi" w:eastAsiaTheme="minorHAnsi" w:hAnsiTheme="minorHAnsi" w:cstheme="minorBidi"/>
          <w:szCs w:val="22"/>
          <w:lang w:val="en-GB"/>
        </w:rPr>
        <w:t> </w:t>
      </w:r>
      <w:r w:rsidRPr="00342841">
        <w:t>1%</w:t>
      </w:r>
      <w:r>
        <w:t xml:space="preserve"> and incubated 1h at 22°C with agitation at 600 rpm.</w:t>
      </w:r>
      <w:r w:rsidRPr="00B61FF0">
        <w:t xml:space="preserve"> </w:t>
      </w:r>
      <w:r w:rsidRPr="00AB1823">
        <w:rPr>
          <w:rFonts w:asciiTheme="minorHAnsi" w:eastAsiaTheme="minorHAnsi" w:hAnsiTheme="minorHAnsi" w:cstheme="minorBidi"/>
          <w:szCs w:val="22"/>
          <w:lang w:val="en-GB"/>
        </w:rPr>
        <w:t>Calibration standard (r</w:t>
      </w:r>
      <w:proofErr w:type="spellStart"/>
      <w:r>
        <w:t>ecombinant</w:t>
      </w:r>
      <w:proofErr w:type="spellEnd"/>
      <w:r>
        <w:t xml:space="preserve"> human </w:t>
      </w:r>
      <w:r w:rsidR="00FE7610" w:rsidRPr="00FE7610">
        <w:t>interleukin receptor 2α</w:t>
      </w:r>
      <w:r w:rsidRPr="00AB1823">
        <w:rPr>
          <w:rFonts w:asciiTheme="minorHAnsi" w:eastAsiaTheme="minorHAnsi" w:hAnsiTheme="minorHAnsi" w:cstheme="minorBidi"/>
          <w:szCs w:val="22"/>
          <w:lang w:val="en-GB"/>
        </w:rPr>
        <w:t xml:space="preserve">, </w:t>
      </w:r>
      <w:proofErr w:type="spellStart"/>
      <w:r>
        <w:t>Reprokine</w:t>
      </w:r>
      <w:proofErr w:type="spellEnd"/>
      <w:r w:rsidRPr="00AB1823">
        <w:rPr>
          <w:rFonts w:asciiTheme="minorHAnsi" w:eastAsiaTheme="minorHAnsi" w:hAnsiTheme="minorHAnsi" w:cstheme="minorBidi"/>
          <w:szCs w:val="22"/>
          <w:lang w:val="en-GB"/>
        </w:rPr>
        <w:t>,</w:t>
      </w:r>
      <w:r>
        <w:t xml:space="preserve"> St Petersburg,</w:t>
      </w:r>
      <w:r w:rsidRPr="00B61FF0">
        <w:t xml:space="preserve"> FL</w:t>
      </w:r>
      <w:r>
        <w:t xml:space="preserve">, </w:t>
      </w:r>
      <w:r w:rsidRPr="00AB1823">
        <w:rPr>
          <w:rFonts w:asciiTheme="minorHAnsi" w:eastAsiaTheme="minorHAnsi" w:hAnsiTheme="minorHAnsi" w:cstheme="minorBidi"/>
          <w:szCs w:val="22"/>
          <w:lang w:val="en-GB"/>
        </w:rPr>
        <w:t>USA) ranging from 20 to 100</w:t>
      </w:r>
      <w:r w:rsidR="00FE7610">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000 </w:t>
      </w:r>
      <w:proofErr w:type="spellStart"/>
      <w:r w:rsidRPr="00AB1823">
        <w:rPr>
          <w:rFonts w:asciiTheme="minorHAnsi" w:eastAsiaTheme="minorHAnsi" w:hAnsiTheme="minorHAnsi" w:cstheme="minorBidi"/>
          <w:szCs w:val="22"/>
          <w:lang w:val="en-GB"/>
        </w:rPr>
        <w:t>pg</w:t>
      </w:r>
      <w:proofErr w:type="spellEnd"/>
      <w:r w:rsidRPr="00AB1823">
        <w:rPr>
          <w:rFonts w:asciiTheme="minorHAnsi" w:eastAsiaTheme="minorHAnsi" w:hAnsiTheme="minorHAnsi" w:cstheme="minorBidi"/>
          <w:szCs w:val="22"/>
          <w:lang w:val="en-GB"/>
        </w:rPr>
        <w:t xml:space="preserve">/mL was prepared in </w:t>
      </w:r>
      <w:proofErr w:type="spellStart"/>
      <w:r w:rsidR="00FE7610">
        <w:rPr>
          <w:rFonts w:asciiTheme="minorHAnsi" w:eastAsiaTheme="minorHAnsi" w:hAnsiTheme="minorHAnsi" w:cstheme="minorBidi"/>
          <w:szCs w:val="22"/>
          <w:lang w:val="en-GB"/>
        </w:rPr>
        <w:t>f</w:t>
      </w:r>
      <w:r w:rsidR="00EE7D9D">
        <w:rPr>
          <w:rFonts w:asciiTheme="minorHAnsi" w:eastAsiaTheme="minorHAnsi" w:hAnsiTheme="minorHAnsi" w:cstheme="minorBidi"/>
          <w:szCs w:val="22"/>
          <w:lang w:val="en-GB"/>
        </w:rPr>
        <w:t>o</w:t>
      </w:r>
      <w:r>
        <w:t>etal</w:t>
      </w:r>
      <w:proofErr w:type="spellEnd"/>
      <w:r>
        <w:t xml:space="preserve"> </w:t>
      </w:r>
      <w:r w:rsidR="00FE7610">
        <w:t>b</w:t>
      </w:r>
      <w:r>
        <w:t xml:space="preserve">ovine </w:t>
      </w:r>
      <w:r w:rsidR="00FE7610">
        <w:t>s</w:t>
      </w:r>
      <w:r w:rsidRPr="00241352">
        <w:t>erum</w:t>
      </w:r>
      <w:r>
        <w:t xml:space="preserve"> </w:t>
      </w:r>
      <w:r w:rsidR="00FE7610">
        <w:t>(</w:t>
      </w:r>
      <w:r>
        <w:t xml:space="preserve">Sigma-Aldrich, Saint Louis, MO, USA). </w:t>
      </w:r>
      <w:r w:rsidRPr="00AB1823">
        <w:rPr>
          <w:rFonts w:asciiTheme="minorHAnsi" w:eastAsiaTheme="minorHAnsi" w:hAnsiTheme="minorHAnsi" w:cstheme="minorBidi"/>
          <w:szCs w:val="22"/>
          <w:lang w:val="en-GB"/>
        </w:rPr>
        <w:t xml:space="preserve">Samples were </w:t>
      </w:r>
      <w:r>
        <w:t>tested</w:t>
      </w:r>
      <w:r w:rsidRPr="00AB1823">
        <w:rPr>
          <w:rFonts w:asciiTheme="minorHAnsi" w:eastAsiaTheme="minorHAnsi" w:hAnsiTheme="minorHAnsi" w:cstheme="minorBidi"/>
          <w:szCs w:val="22"/>
          <w:lang w:val="en-GB"/>
        </w:rPr>
        <w:t xml:space="preserve"> neat or diluted </w:t>
      </w:r>
      <w:r>
        <w:t xml:space="preserve">1:2, 1:5, 1:10, 1:20 </w:t>
      </w:r>
      <w:r w:rsidRPr="00AB1823">
        <w:rPr>
          <w:rFonts w:asciiTheme="minorHAnsi" w:eastAsiaTheme="minorHAnsi" w:hAnsiTheme="minorHAnsi" w:cstheme="minorBidi"/>
          <w:szCs w:val="22"/>
          <w:lang w:val="en-GB"/>
        </w:rPr>
        <w:t xml:space="preserve">1:50 in </w:t>
      </w:r>
      <w:proofErr w:type="spellStart"/>
      <w:r w:rsidR="00FE7610">
        <w:rPr>
          <w:rFonts w:asciiTheme="minorHAnsi" w:eastAsiaTheme="minorHAnsi" w:hAnsiTheme="minorHAnsi" w:cstheme="minorBidi"/>
          <w:szCs w:val="22"/>
          <w:lang w:val="en-GB"/>
        </w:rPr>
        <w:t>f</w:t>
      </w:r>
      <w:r w:rsidR="00EE7D9D">
        <w:rPr>
          <w:rFonts w:asciiTheme="minorHAnsi" w:eastAsiaTheme="minorHAnsi" w:hAnsiTheme="minorHAnsi" w:cstheme="minorBidi"/>
          <w:szCs w:val="22"/>
          <w:lang w:val="en-GB"/>
        </w:rPr>
        <w:t>o</w:t>
      </w:r>
      <w:r w:rsidR="00FE7610">
        <w:t>etal</w:t>
      </w:r>
      <w:proofErr w:type="spellEnd"/>
      <w:r w:rsidR="00FE7610">
        <w:t xml:space="preserve"> bovine s</w:t>
      </w:r>
      <w:r w:rsidR="00FE7610" w:rsidRPr="00241352">
        <w:t>erum</w:t>
      </w:r>
      <w:r w:rsidRPr="00AB1823">
        <w:rPr>
          <w:rFonts w:asciiTheme="minorHAnsi" w:eastAsiaTheme="minorHAnsi" w:hAnsiTheme="minorHAnsi" w:cstheme="minorBidi"/>
          <w:szCs w:val="22"/>
          <w:lang w:val="en-GB"/>
        </w:rPr>
        <w:t>.</w:t>
      </w:r>
      <w:r>
        <w:t xml:space="preserve"> Three </w:t>
      </w:r>
      <w:r w:rsidR="00FF1158">
        <w:t>quality control samples</w:t>
      </w:r>
      <w:r>
        <w:t xml:space="preserve"> were made of </w:t>
      </w:r>
      <w:r w:rsidRPr="00AB1823">
        <w:rPr>
          <w:rFonts w:asciiTheme="minorHAnsi" w:eastAsiaTheme="minorHAnsi" w:hAnsiTheme="minorHAnsi" w:cstheme="minorBidi"/>
          <w:szCs w:val="22"/>
          <w:lang w:val="en-GB"/>
        </w:rPr>
        <w:t>r</w:t>
      </w:r>
      <w:proofErr w:type="spellStart"/>
      <w:r>
        <w:t>ecombinant</w:t>
      </w:r>
      <w:proofErr w:type="spellEnd"/>
      <w:r>
        <w:t xml:space="preserve"> human </w:t>
      </w:r>
      <w:r w:rsidR="00EE7D9D">
        <w:t>sIL-2R</w:t>
      </w:r>
      <w:r w:rsidR="00175AB1" w:rsidRPr="00175AB1">
        <w:t xml:space="preserve">α </w:t>
      </w:r>
      <w:r>
        <w:t xml:space="preserve">spiked in </w:t>
      </w:r>
      <w:proofErr w:type="spellStart"/>
      <w:r w:rsidR="00FE7610">
        <w:rPr>
          <w:rFonts w:asciiTheme="minorHAnsi" w:eastAsiaTheme="minorHAnsi" w:hAnsiTheme="minorHAnsi" w:cstheme="minorBidi"/>
          <w:szCs w:val="22"/>
          <w:lang w:val="en-GB"/>
        </w:rPr>
        <w:t>f</w:t>
      </w:r>
      <w:r w:rsidR="00EE7D9D">
        <w:rPr>
          <w:rFonts w:asciiTheme="minorHAnsi" w:eastAsiaTheme="minorHAnsi" w:hAnsiTheme="minorHAnsi" w:cstheme="minorBidi"/>
          <w:szCs w:val="22"/>
          <w:lang w:val="en-GB"/>
        </w:rPr>
        <w:t>o</w:t>
      </w:r>
      <w:r w:rsidR="00FE7610">
        <w:t>etal</w:t>
      </w:r>
      <w:proofErr w:type="spellEnd"/>
      <w:r w:rsidR="00FE7610">
        <w:t xml:space="preserve"> bovine s</w:t>
      </w:r>
      <w:r w:rsidR="00FE7610" w:rsidRPr="00241352">
        <w:t>erum</w:t>
      </w:r>
      <w:r w:rsidR="00FE7610">
        <w:t xml:space="preserve"> </w:t>
      </w:r>
      <w:r>
        <w:t>at respectively 35</w:t>
      </w:r>
      <w:r w:rsidR="00FE7610">
        <w:t>,</w:t>
      </w:r>
      <w:r>
        <w:t>000 </w:t>
      </w:r>
      <w:proofErr w:type="spellStart"/>
      <w:r>
        <w:t>pg</w:t>
      </w:r>
      <w:proofErr w:type="spellEnd"/>
      <w:r>
        <w:t xml:space="preserve">/mL, </w:t>
      </w:r>
      <w:r>
        <w:lastRenderedPageBreak/>
        <w:t>1800 </w:t>
      </w:r>
      <w:proofErr w:type="spellStart"/>
      <w:r>
        <w:t>pg</w:t>
      </w:r>
      <w:proofErr w:type="spellEnd"/>
      <w:r>
        <w:t>/mL and 150 </w:t>
      </w:r>
      <w:proofErr w:type="spellStart"/>
      <w:r>
        <w:t>pg</w:t>
      </w:r>
      <w:proofErr w:type="spellEnd"/>
      <w:r>
        <w:t>/</w:t>
      </w:r>
      <w:proofErr w:type="spellStart"/>
      <w:r>
        <w:t>mL.</w:t>
      </w:r>
      <w:proofErr w:type="spellEnd"/>
      <w:r w:rsidRPr="002013DC">
        <w:t xml:space="preserve"> </w:t>
      </w:r>
      <w:r>
        <w:t xml:space="preserve">Two </w:t>
      </w:r>
      <w:proofErr w:type="spellStart"/>
      <w:r>
        <w:t>MatrixQCs</w:t>
      </w:r>
      <w:proofErr w:type="spellEnd"/>
      <w:r>
        <w:t xml:space="preserve"> were made in human pool serum, one containing endogenous </w:t>
      </w:r>
      <w:r w:rsidR="00EE7D9D">
        <w:t>sIL-2R</w:t>
      </w:r>
      <w:r w:rsidR="00F245F6" w:rsidRPr="00175AB1">
        <w:t xml:space="preserve">α </w:t>
      </w:r>
      <w:r>
        <w:t xml:space="preserve">only, the other containing endogenous </w:t>
      </w:r>
      <w:r w:rsidR="00F974B1">
        <w:t>sIL-2R</w:t>
      </w:r>
      <w:r w:rsidR="00F974B1" w:rsidRPr="00175AB1">
        <w:t>α</w:t>
      </w:r>
      <w:r w:rsidR="00F245F6" w:rsidRPr="00175AB1">
        <w:t xml:space="preserve"> </w:t>
      </w:r>
      <w:r>
        <w:t xml:space="preserve">plus spiked recombinant </w:t>
      </w:r>
      <w:r w:rsidR="00EE7D9D">
        <w:t>sIL-2R</w:t>
      </w:r>
      <w:r w:rsidR="00F245F6" w:rsidRPr="00175AB1">
        <w:t>α</w:t>
      </w:r>
      <w:r>
        <w:t xml:space="preserve">. </w:t>
      </w:r>
      <w:r w:rsidRPr="00AB1823">
        <w:rPr>
          <w:rFonts w:asciiTheme="minorHAnsi" w:eastAsiaTheme="minorHAnsi" w:hAnsiTheme="minorHAnsi" w:cstheme="minorBidi"/>
          <w:szCs w:val="22"/>
          <w:lang w:val="en-GB"/>
        </w:rPr>
        <w:t>Standard, samples</w:t>
      </w:r>
      <w:r>
        <w:rPr>
          <w:rFonts w:asciiTheme="minorHAnsi" w:eastAsiaTheme="minorHAnsi" w:hAnsiTheme="minorHAnsi" w:cstheme="minorBidi"/>
          <w:szCs w:val="22"/>
          <w:lang w:val="en-GB"/>
        </w:rPr>
        <w:t xml:space="preserve">, </w:t>
      </w:r>
      <w:r w:rsidR="00EE7D9D">
        <w:rPr>
          <w:rFonts w:asciiTheme="minorHAnsi" w:eastAsiaTheme="minorHAnsi" w:hAnsiTheme="minorHAnsi" w:cstheme="minorBidi"/>
          <w:szCs w:val="22"/>
          <w:lang w:val="en-GB"/>
        </w:rPr>
        <w:t>QC</w:t>
      </w:r>
      <w:r w:rsidR="00F245F6">
        <w:rPr>
          <w:rFonts w:asciiTheme="minorHAnsi" w:eastAsiaTheme="minorHAnsi" w:hAnsiTheme="minorHAnsi" w:cstheme="minorBidi"/>
          <w:szCs w:val="22"/>
          <w:lang w:val="en-GB"/>
        </w:rPr>
        <w:t xml:space="preserve"> samples</w:t>
      </w:r>
      <w:r w:rsidRPr="00AB1823">
        <w:rPr>
          <w:rFonts w:asciiTheme="minorHAnsi" w:eastAsiaTheme="minorHAnsi" w:hAnsiTheme="minorHAnsi" w:cstheme="minorBidi"/>
          <w:szCs w:val="22"/>
          <w:lang w:val="en-GB"/>
        </w:rPr>
        <w:t xml:space="preserve"> </w:t>
      </w:r>
      <w:r>
        <w:rPr>
          <w:rFonts w:asciiTheme="minorHAnsi" w:eastAsiaTheme="minorHAnsi" w:hAnsiTheme="minorHAnsi" w:cstheme="minorBidi"/>
          <w:szCs w:val="22"/>
          <w:lang w:val="en-GB"/>
        </w:rPr>
        <w:t xml:space="preserve">and </w:t>
      </w:r>
      <w:proofErr w:type="spellStart"/>
      <w:r>
        <w:rPr>
          <w:rFonts w:asciiTheme="minorHAnsi" w:eastAsiaTheme="minorHAnsi" w:hAnsiTheme="minorHAnsi" w:cstheme="minorBidi"/>
          <w:szCs w:val="22"/>
          <w:lang w:val="en-GB"/>
        </w:rPr>
        <w:t>MatrixQCs</w:t>
      </w:r>
      <w:proofErr w:type="spellEnd"/>
      <w:r>
        <w:rPr>
          <w:rFonts w:asciiTheme="minorHAnsi" w:eastAsiaTheme="minorHAnsi" w:hAnsiTheme="minorHAnsi" w:cstheme="minorBidi"/>
          <w:szCs w:val="22"/>
          <w:lang w:val="en-GB"/>
        </w:rPr>
        <w:t xml:space="preserve"> </w:t>
      </w:r>
      <w:r w:rsidRPr="00AB1823">
        <w:rPr>
          <w:rFonts w:asciiTheme="minorHAnsi" w:eastAsiaTheme="minorHAnsi" w:hAnsiTheme="minorHAnsi" w:cstheme="minorBidi"/>
          <w:szCs w:val="22"/>
          <w:lang w:val="en-GB"/>
        </w:rPr>
        <w:t xml:space="preserve">were diluted at the </w:t>
      </w:r>
      <w:r w:rsidR="00E84C1C">
        <w:rPr>
          <w:rFonts w:asciiTheme="minorHAnsi" w:eastAsiaTheme="minorHAnsi" w:hAnsiTheme="minorHAnsi" w:cstheme="minorBidi"/>
          <w:szCs w:val="22"/>
          <w:lang w:val="en-GB"/>
        </w:rPr>
        <w:t>m</w:t>
      </w:r>
      <w:r w:rsidR="00E84C1C" w:rsidRPr="00AB1823">
        <w:rPr>
          <w:rFonts w:asciiTheme="minorHAnsi" w:eastAsiaTheme="minorHAnsi" w:hAnsiTheme="minorHAnsi" w:cstheme="minorBidi"/>
          <w:szCs w:val="22"/>
          <w:lang w:val="en-GB"/>
        </w:rPr>
        <w:t xml:space="preserve">inimum </w:t>
      </w:r>
      <w:r w:rsidR="00E84C1C">
        <w:rPr>
          <w:rFonts w:asciiTheme="minorHAnsi" w:eastAsiaTheme="minorHAnsi" w:hAnsiTheme="minorHAnsi" w:cstheme="minorBidi"/>
          <w:szCs w:val="22"/>
          <w:lang w:val="en-GB"/>
        </w:rPr>
        <w:t>r</w:t>
      </w:r>
      <w:r w:rsidR="00E84C1C" w:rsidRPr="00AB1823">
        <w:rPr>
          <w:rFonts w:asciiTheme="minorHAnsi" w:eastAsiaTheme="minorHAnsi" w:hAnsiTheme="minorHAnsi" w:cstheme="minorBidi"/>
          <w:szCs w:val="22"/>
          <w:lang w:val="en-GB"/>
        </w:rPr>
        <w:t xml:space="preserve">equired </w:t>
      </w:r>
      <w:r w:rsidR="00E84C1C">
        <w:rPr>
          <w:rFonts w:asciiTheme="minorHAnsi" w:eastAsiaTheme="minorHAnsi" w:hAnsiTheme="minorHAnsi" w:cstheme="minorBidi"/>
          <w:szCs w:val="22"/>
          <w:lang w:val="en-GB"/>
        </w:rPr>
        <w:t>d</w:t>
      </w:r>
      <w:r w:rsidR="00E84C1C" w:rsidRPr="00AB1823">
        <w:rPr>
          <w:rFonts w:asciiTheme="minorHAnsi" w:eastAsiaTheme="minorHAnsi" w:hAnsiTheme="minorHAnsi" w:cstheme="minorBidi"/>
          <w:szCs w:val="22"/>
          <w:lang w:val="en-GB"/>
        </w:rPr>
        <w:t xml:space="preserve">ilution </w:t>
      </w:r>
      <w:r w:rsidR="00E84C1C">
        <w:rPr>
          <w:rFonts w:asciiTheme="minorHAnsi" w:eastAsiaTheme="minorHAnsi" w:hAnsiTheme="minorHAnsi" w:cstheme="minorBidi"/>
          <w:szCs w:val="22"/>
          <w:lang w:val="en-GB"/>
        </w:rPr>
        <w:t>(</w:t>
      </w:r>
      <w:r>
        <w:t>1:10</w:t>
      </w:r>
      <w:r w:rsidR="00E84C1C">
        <w:t>)</w:t>
      </w:r>
      <w:r w:rsidRPr="00AB1823">
        <w:rPr>
          <w:rFonts w:asciiTheme="minorHAnsi" w:eastAsiaTheme="minorHAnsi" w:hAnsiTheme="minorHAnsi" w:cstheme="minorBidi"/>
          <w:szCs w:val="22"/>
          <w:lang w:val="en-GB"/>
        </w:rPr>
        <w:t xml:space="preserve"> in </w:t>
      </w:r>
      <w:r w:rsidR="00EE7D9D">
        <w:rPr>
          <w:rFonts w:asciiTheme="minorHAnsi" w:eastAsiaTheme="minorHAnsi" w:hAnsiTheme="minorHAnsi" w:cstheme="minorBidi"/>
          <w:szCs w:val="22"/>
          <w:lang w:val="en-GB"/>
        </w:rPr>
        <w:t>PBS-BSA</w:t>
      </w:r>
      <w:r w:rsidR="00F245F6">
        <w:rPr>
          <w:rFonts w:asciiTheme="minorHAnsi" w:eastAsiaTheme="minorHAnsi" w:hAnsiTheme="minorHAnsi" w:cstheme="minorBidi"/>
          <w:szCs w:val="22"/>
          <w:lang w:val="en-GB"/>
        </w:rPr>
        <w:t> </w:t>
      </w:r>
      <w:r>
        <w:t>1%</w:t>
      </w:r>
      <w:r w:rsidRPr="00AB1823">
        <w:rPr>
          <w:rFonts w:asciiTheme="minorHAnsi" w:eastAsiaTheme="minorHAnsi" w:hAnsiTheme="minorHAnsi" w:cstheme="minorBidi"/>
          <w:szCs w:val="22"/>
          <w:lang w:val="en-GB"/>
        </w:rPr>
        <w:t xml:space="preserve">. Streptavidin Gold </w:t>
      </w:r>
      <w:r>
        <w:rPr>
          <w:rFonts w:asciiTheme="minorHAnsi" w:eastAsiaTheme="minorHAnsi" w:hAnsiTheme="minorHAnsi" w:cstheme="minorBidi"/>
          <w:szCs w:val="22"/>
          <w:lang w:val="en-GB"/>
        </w:rPr>
        <w:t>p</w:t>
      </w:r>
      <w:r w:rsidRPr="00AB1823">
        <w:rPr>
          <w:rFonts w:asciiTheme="minorHAnsi" w:eastAsiaTheme="minorHAnsi" w:hAnsiTheme="minorHAnsi" w:cstheme="minorBidi"/>
          <w:szCs w:val="22"/>
          <w:lang w:val="en-GB"/>
        </w:rPr>
        <w:t>lates were washed three times and 25 µL of standard, samples</w:t>
      </w:r>
      <w:r>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 xml:space="preserve"> </w:t>
      </w:r>
      <w:r w:rsidR="00EE7D9D">
        <w:rPr>
          <w:rFonts w:asciiTheme="minorHAnsi" w:eastAsiaTheme="minorHAnsi" w:hAnsiTheme="minorHAnsi" w:cstheme="minorBidi"/>
          <w:szCs w:val="22"/>
          <w:lang w:val="en-GB"/>
        </w:rPr>
        <w:t>QC</w:t>
      </w:r>
      <w:r w:rsidR="00E84C1C">
        <w:rPr>
          <w:rFonts w:asciiTheme="minorHAnsi" w:eastAsiaTheme="minorHAnsi" w:hAnsiTheme="minorHAnsi" w:cstheme="minorBidi"/>
          <w:szCs w:val="22"/>
          <w:lang w:val="en-GB"/>
        </w:rPr>
        <w:t xml:space="preserve"> samples</w:t>
      </w:r>
      <w:r>
        <w:rPr>
          <w:rFonts w:asciiTheme="minorHAnsi" w:eastAsiaTheme="minorHAnsi" w:hAnsiTheme="minorHAnsi" w:cstheme="minorBidi"/>
          <w:szCs w:val="22"/>
          <w:lang w:val="en-GB"/>
        </w:rPr>
        <w:t xml:space="preserve"> and </w:t>
      </w:r>
      <w:proofErr w:type="spellStart"/>
      <w:r>
        <w:rPr>
          <w:rFonts w:asciiTheme="minorHAnsi" w:eastAsiaTheme="minorHAnsi" w:hAnsiTheme="minorHAnsi" w:cstheme="minorBidi"/>
          <w:szCs w:val="22"/>
          <w:lang w:val="en-GB"/>
        </w:rPr>
        <w:t>MatrixQCs</w:t>
      </w:r>
      <w:proofErr w:type="spellEnd"/>
      <w:r w:rsidRPr="00AB1823">
        <w:rPr>
          <w:rFonts w:asciiTheme="minorHAnsi" w:eastAsiaTheme="minorHAnsi" w:hAnsiTheme="minorHAnsi" w:cstheme="minorBidi"/>
          <w:szCs w:val="22"/>
          <w:lang w:val="en-GB"/>
        </w:rPr>
        <w:t xml:space="preserve"> were added per well, in duplicate. After 1</w:t>
      </w:r>
      <w:r w:rsidR="00EE7D9D">
        <w:rPr>
          <w:rFonts w:asciiTheme="minorHAnsi" w:eastAsiaTheme="minorHAnsi" w:hAnsiTheme="minorHAnsi" w:cstheme="minorBidi"/>
          <w:szCs w:val="22"/>
          <w:lang w:val="en-GB"/>
        </w:rPr>
        <w:t xml:space="preserve"> </w:t>
      </w:r>
      <w:r w:rsidRPr="00AB1823">
        <w:rPr>
          <w:rFonts w:asciiTheme="minorHAnsi" w:eastAsiaTheme="minorHAnsi" w:hAnsiTheme="minorHAnsi" w:cstheme="minorBidi"/>
          <w:szCs w:val="22"/>
          <w:lang w:val="en-GB"/>
        </w:rPr>
        <w:t xml:space="preserve">h incubation at 22°C with agitation at 600 rpm, plates were washed three times and 25 µL of </w:t>
      </w:r>
      <w:r>
        <w:t xml:space="preserve">monoclonal mouse </w:t>
      </w:r>
      <w:r w:rsidR="00E84C1C">
        <w:t xml:space="preserve">immunoglobulin </w:t>
      </w:r>
      <w:r>
        <w:t>G1 clone 24204 anti-human CD25/</w:t>
      </w:r>
      <w:r w:rsidR="00F245F6" w:rsidRPr="00175AB1">
        <w:t xml:space="preserve">interleukin </w:t>
      </w:r>
      <w:r w:rsidR="009461EB">
        <w:t xml:space="preserve">2 </w:t>
      </w:r>
      <w:r w:rsidR="00F245F6" w:rsidRPr="00175AB1">
        <w:t xml:space="preserve">receptor α </w:t>
      </w:r>
      <w:r w:rsidRPr="00AB1823">
        <w:rPr>
          <w:rFonts w:asciiTheme="minorHAnsi" w:eastAsiaTheme="minorHAnsi" w:hAnsiTheme="minorHAnsi" w:cstheme="minorBidi"/>
          <w:szCs w:val="22"/>
          <w:lang w:val="en-GB"/>
        </w:rPr>
        <w:t>(</w:t>
      </w:r>
      <w:r>
        <w:t>R&amp;D systems,</w:t>
      </w:r>
      <w:r w:rsidRPr="00342841">
        <w:t xml:space="preserve"> </w:t>
      </w:r>
      <w:r w:rsidRPr="00AB1823">
        <w:rPr>
          <w:rFonts w:asciiTheme="minorHAnsi" w:eastAsiaTheme="minorHAnsi" w:hAnsiTheme="minorHAnsi" w:cstheme="minorBidi"/>
          <w:szCs w:val="22"/>
          <w:lang w:val="en-GB"/>
        </w:rPr>
        <w:t xml:space="preserve">Minneapolis, MN, USA) </w:t>
      </w:r>
      <w:r>
        <w:rPr>
          <w:rFonts w:asciiTheme="minorHAnsi" w:eastAsiaTheme="minorHAnsi" w:hAnsiTheme="minorHAnsi" w:cstheme="minorBidi"/>
          <w:szCs w:val="22"/>
          <w:lang w:val="en-GB"/>
        </w:rPr>
        <w:t xml:space="preserve">labelled with </w:t>
      </w:r>
      <w:proofErr w:type="spellStart"/>
      <w:r>
        <w:t>Sulfo</w:t>
      </w:r>
      <w:proofErr w:type="spellEnd"/>
      <w:r>
        <w:t>-TAG</w:t>
      </w:r>
      <w:r w:rsidRPr="00AB1823">
        <w:rPr>
          <w:rFonts w:asciiTheme="minorHAnsi" w:eastAsiaTheme="minorHAnsi" w:hAnsiTheme="minorHAnsi" w:cstheme="minorBidi"/>
          <w:szCs w:val="22"/>
          <w:lang w:val="en-GB"/>
        </w:rPr>
        <w:t xml:space="preserve">® </w:t>
      </w:r>
      <w:r>
        <w:rPr>
          <w:rFonts w:asciiTheme="minorHAnsi" w:eastAsiaTheme="minorHAnsi" w:hAnsiTheme="minorHAnsi" w:cstheme="minorBidi"/>
          <w:szCs w:val="22"/>
          <w:lang w:val="en-GB"/>
        </w:rPr>
        <w:t>(</w:t>
      </w:r>
      <w:proofErr w:type="spellStart"/>
      <w:r w:rsidR="00FE7610" w:rsidRPr="00AB1823">
        <w:rPr>
          <w:rFonts w:asciiTheme="minorHAnsi" w:eastAsiaTheme="minorHAnsi" w:hAnsiTheme="minorHAnsi" w:cstheme="minorBidi"/>
          <w:szCs w:val="22"/>
          <w:lang w:val="en-GB"/>
        </w:rPr>
        <w:t>MesoScale</w:t>
      </w:r>
      <w:proofErr w:type="spellEnd"/>
      <w:r w:rsidR="00FE7610" w:rsidRPr="00AB1823">
        <w:rPr>
          <w:rFonts w:asciiTheme="minorHAnsi" w:eastAsiaTheme="minorHAnsi" w:hAnsiTheme="minorHAnsi" w:cstheme="minorBidi"/>
          <w:szCs w:val="22"/>
          <w:lang w:val="en-GB"/>
        </w:rPr>
        <w:t xml:space="preserve"> Discovery</w:t>
      </w:r>
      <w:r w:rsidRPr="00AB1823">
        <w:rPr>
          <w:rFonts w:asciiTheme="minorHAnsi" w:eastAsiaTheme="minorHAnsi" w:hAnsiTheme="minorHAnsi" w:cstheme="minorBidi"/>
          <w:szCs w:val="22"/>
          <w:lang w:val="en-GB"/>
        </w:rPr>
        <w:t>, Rockville, MD</w:t>
      </w:r>
      <w:r>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 xml:space="preserve"> USA) </w:t>
      </w:r>
      <w:r>
        <w:t xml:space="preserve">at 0.80 or 1.20 </w:t>
      </w:r>
      <w:proofErr w:type="spellStart"/>
      <w:r>
        <w:t>μg</w:t>
      </w:r>
      <w:proofErr w:type="spellEnd"/>
      <w:r>
        <w:t xml:space="preserve">/mL in </w:t>
      </w:r>
      <w:r w:rsidR="00EE7D9D">
        <w:rPr>
          <w:rFonts w:asciiTheme="minorHAnsi" w:eastAsiaTheme="minorHAnsi" w:hAnsiTheme="minorHAnsi" w:cstheme="minorBidi"/>
          <w:szCs w:val="22"/>
          <w:lang w:val="en-GB"/>
        </w:rPr>
        <w:t>PBS-BSA</w:t>
      </w:r>
      <w:r w:rsidR="00F245F6">
        <w:rPr>
          <w:rFonts w:asciiTheme="minorHAnsi" w:eastAsiaTheme="minorHAnsi" w:hAnsiTheme="minorHAnsi" w:cstheme="minorBidi"/>
          <w:szCs w:val="22"/>
          <w:lang w:val="en-GB"/>
        </w:rPr>
        <w:t> </w:t>
      </w:r>
      <w:r>
        <w:t>1%</w:t>
      </w:r>
      <w:r w:rsidRPr="00AB1823">
        <w:rPr>
          <w:rFonts w:asciiTheme="minorHAnsi" w:eastAsiaTheme="minorHAnsi" w:hAnsiTheme="minorHAnsi" w:cstheme="minorBidi"/>
          <w:szCs w:val="22"/>
          <w:lang w:val="en-GB"/>
        </w:rPr>
        <w:t xml:space="preserve"> were added per well. After 1</w:t>
      </w:r>
      <w:r w:rsidR="00EE7D9D">
        <w:rPr>
          <w:rFonts w:asciiTheme="minorHAnsi" w:eastAsiaTheme="minorHAnsi" w:hAnsiTheme="minorHAnsi" w:cstheme="minorBidi"/>
          <w:szCs w:val="22"/>
          <w:lang w:val="en-GB"/>
        </w:rPr>
        <w:t xml:space="preserve"> </w:t>
      </w:r>
      <w:r w:rsidRPr="00AB1823">
        <w:rPr>
          <w:rFonts w:asciiTheme="minorHAnsi" w:eastAsiaTheme="minorHAnsi" w:hAnsiTheme="minorHAnsi" w:cstheme="minorBidi"/>
          <w:szCs w:val="22"/>
          <w:lang w:val="en-GB"/>
        </w:rPr>
        <w:t xml:space="preserve">h incubation at 22°C with agitation at 600 rpm, plates were washed three times and 150 </w:t>
      </w:r>
      <w:proofErr w:type="spellStart"/>
      <w:r w:rsidRPr="00AB1823">
        <w:rPr>
          <w:rFonts w:asciiTheme="minorHAnsi" w:eastAsiaTheme="minorHAnsi" w:hAnsiTheme="minorHAnsi" w:cstheme="minorBidi"/>
          <w:szCs w:val="22"/>
          <w:lang w:val="en-GB"/>
        </w:rPr>
        <w:t>μL</w:t>
      </w:r>
      <w:proofErr w:type="spellEnd"/>
      <w:r w:rsidRPr="00AB1823">
        <w:rPr>
          <w:rFonts w:asciiTheme="minorHAnsi" w:eastAsiaTheme="minorHAnsi" w:hAnsiTheme="minorHAnsi" w:cstheme="minorBidi"/>
          <w:szCs w:val="22"/>
          <w:lang w:val="en-GB"/>
        </w:rPr>
        <w:t xml:space="preserve"> of </w:t>
      </w:r>
      <w:proofErr w:type="spellStart"/>
      <w:r w:rsidR="00FE7610" w:rsidRPr="00AB1823">
        <w:rPr>
          <w:rFonts w:asciiTheme="minorHAnsi" w:eastAsiaTheme="minorHAnsi" w:hAnsiTheme="minorHAnsi" w:cstheme="minorBidi"/>
          <w:szCs w:val="22"/>
          <w:lang w:val="en-GB"/>
        </w:rPr>
        <w:t>MesoScale</w:t>
      </w:r>
      <w:proofErr w:type="spellEnd"/>
      <w:r w:rsidR="00FE7610" w:rsidRPr="00AB1823">
        <w:rPr>
          <w:rFonts w:asciiTheme="minorHAnsi" w:eastAsiaTheme="minorHAnsi" w:hAnsiTheme="minorHAnsi" w:cstheme="minorBidi"/>
          <w:szCs w:val="22"/>
          <w:lang w:val="en-GB"/>
        </w:rPr>
        <w:t xml:space="preserve"> Discovery </w:t>
      </w:r>
      <w:r w:rsidRPr="00AB1823">
        <w:rPr>
          <w:rFonts w:asciiTheme="minorHAnsi" w:eastAsiaTheme="minorHAnsi" w:hAnsiTheme="minorHAnsi" w:cstheme="minorBidi"/>
          <w:szCs w:val="22"/>
          <w:lang w:val="en-GB"/>
        </w:rPr>
        <w:t xml:space="preserve">read buffer T 2X </w:t>
      </w:r>
      <w:r>
        <w:rPr>
          <w:rFonts w:asciiTheme="minorHAnsi" w:eastAsiaTheme="minorHAnsi" w:hAnsiTheme="minorHAnsi" w:cstheme="minorBidi"/>
          <w:szCs w:val="22"/>
          <w:lang w:val="en-GB"/>
        </w:rPr>
        <w:t>(</w:t>
      </w:r>
      <w:proofErr w:type="spellStart"/>
      <w:r w:rsidR="00FE7610" w:rsidRPr="00AB1823">
        <w:rPr>
          <w:rFonts w:asciiTheme="minorHAnsi" w:eastAsiaTheme="minorHAnsi" w:hAnsiTheme="minorHAnsi" w:cstheme="minorBidi"/>
          <w:szCs w:val="22"/>
          <w:lang w:val="en-GB"/>
        </w:rPr>
        <w:t>MesoScale</w:t>
      </w:r>
      <w:proofErr w:type="spellEnd"/>
      <w:r w:rsidR="00FE7610" w:rsidRPr="00AB1823">
        <w:rPr>
          <w:rFonts w:asciiTheme="minorHAnsi" w:eastAsiaTheme="minorHAnsi" w:hAnsiTheme="minorHAnsi" w:cstheme="minorBidi"/>
          <w:szCs w:val="22"/>
          <w:lang w:val="en-GB"/>
        </w:rPr>
        <w:t xml:space="preserve"> Discovery</w:t>
      </w:r>
      <w:r w:rsidRPr="00AB1823">
        <w:rPr>
          <w:rFonts w:asciiTheme="minorHAnsi" w:eastAsiaTheme="minorHAnsi" w:hAnsiTheme="minorHAnsi" w:cstheme="minorBidi"/>
          <w:szCs w:val="22"/>
          <w:lang w:val="en-GB"/>
        </w:rPr>
        <w:t>, Rockville, MD</w:t>
      </w:r>
      <w:r>
        <w:rPr>
          <w:rFonts w:asciiTheme="minorHAnsi" w:eastAsiaTheme="minorHAnsi" w:hAnsiTheme="minorHAnsi" w:cstheme="minorBidi"/>
          <w:szCs w:val="22"/>
          <w:lang w:val="en-GB"/>
        </w:rPr>
        <w:t>,</w:t>
      </w:r>
      <w:r w:rsidRPr="00AB1823">
        <w:rPr>
          <w:rFonts w:asciiTheme="minorHAnsi" w:eastAsiaTheme="minorHAnsi" w:hAnsiTheme="minorHAnsi" w:cstheme="minorBidi"/>
          <w:szCs w:val="22"/>
          <w:lang w:val="en-GB"/>
        </w:rPr>
        <w:t xml:space="preserve"> USA) were added per well and the plates were read within </w:t>
      </w:r>
      <w:r>
        <w:rPr>
          <w:rFonts w:asciiTheme="minorHAnsi" w:eastAsiaTheme="minorHAnsi" w:hAnsiTheme="minorHAnsi" w:cstheme="minorBidi"/>
          <w:szCs w:val="22"/>
          <w:lang w:val="en-GB"/>
        </w:rPr>
        <w:t>1</w:t>
      </w:r>
      <w:r w:rsidRPr="00AB1823">
        <w:rPr>
          <w:rFonts w:asciiTheme="minorHAnsi" w:eastAsiaTheme="minorHAnsi" w:hAnsiTheme="minorHAnsi" w:cstheme="minorBidi"/>
          <w:szCs w:val="22"/>
          <w:lang w:val="en-GB"/>
        </w:rPr>
        <w:t xml:space="preserve"> to 10 min on the </w:t>
      </w:r>
      <w:proofErr w:type="spellStart"/>
      <w:r w:rsidR="00FE7610" w:rsidRPr="00AB1823">
        <w:rPr>
          <w:rFonts w:asciiTheme="minorHAnsi" w:eastAsiaTheme="minorHAnsi" w:hAnsiTheme="minorHAnsi" w:cstheme="minorBidi"/>
          <w:szCs w:val="22"/>
          <w:lang w:val="en-GB"/>
        </w:rPr>
        <w:t>MesoScale</w:t>
      </w:r>
      <w:proofErr w:type="spellEnd"/>
      <w:r w:rsidR="00FE7610" w:rsidRPr="00AB1823">
        <w:rPr>
          <w:rFonts w:asciiTheme="minorHAnsi" w:eastAsiaTheme="minorHAnsi" w:hAnsiTheme="minorHAnsi" w:cstheme="minorBidi"/>
          <w:szCs w:val="22"/>
          <w:lang w:val="en-GB"/>
        </w:rPr>
        <w:t xml:space="preserve"> Discovery </w:t>
      </w:r>
      <w:r w:rsidRPr="00AB1823">
        <w:rPr>
          <w:rFonts w:asciiTheme="minorHAnsi" w:eastAsiaTheme="minorHAnsi" w:hAnsiTheme="minorHAnsi" w:cstheme="minorBidi"/>
          <w:szCs w:val="22"/>
          <w:lang w:val="en-GB"/>
        </w:rPr>
        <w:t>Meso Sector® S600. The raw data were analy</w:t>
      </w:r>
      <w:r w:rsidR="00EE7D9D">
        <w:rPr>
          <w:rFonts w:asciiTheme="minorHAnsi" w:eastAsiaTheme="minorHAnsi" w:hAnsiTheme="minorHAnsi" w:cstheme="minorBidi"/>
          <w:szCs w:val="22"/>
          <w:lang w:val="en-GB"/>
        </w:rPr>
        <w:t>s</w:t>
      </w:r>
      <w:r w:rsidRPr="00AB1823">
        <w:rPr>
          <w:rFonts w:asciiTheme="minorHAnsi" w:eastAsiaTheme="minorHAnsi" w:hAnsiTheme="minorHAnsi" w:cstheme="minorBidi"/>
          <w:szCs w:val="22"/>
          <w:lang w:val="en-GB"/>
        </w:rPr>
        <w:t xml:space="preserve">ed using the </w:t>
      </w:r>
      <w:proofErr w:type="spellStart"/>
      <w:r w:rsidR="00FE7610" w:rsidRPr="00AB1823">
        <w:rPr>
          <w:rFonts w:asciiTheme="minorHAnsi" w:eastAsiaTheme="minorHAnsi" w:hAnsiTheme="minorHAnsi" w:cstheme="minorBidi"/>
          <w:szCs w:val="22"/>
          <w:lang w:val="en-GB"/>
        </w:rPr>
        <w:t>MesoScale</w:t>
      </w:r>
      <w:proofErr w:type="spellEnd"/>
      <w:r w:rsidR="00FE7610" w:rsidRPr="00AB1823">
        <w:rPr>
          <w:rFonts w:asciiTheme="minorHAnsi" w:eastAsiaTheme="minorHAnsi" w:hAnsiTheme="minorHAnsi" w:cstheme="minorBidi"/>
          <w:szCs w:val="22"/>
          <w:lang w:val="en-GB"/>
        </w:rPr>
        <w:t xml:space="preserve"> Discovery </w:t>
      </w:r>
      <w:proofErr w:type="spellStart"/>
      <w:r w:rsidRPr="00AB1823">
        <w:rPr>
          <w:rFonts w:asciiTheme="minorHAnsi" w:eastAsiaTheme="minorHAnsi" w:hAnsiTheme="minorHAnsi" w:cstheme="minorBidi"/>
          <w:szCs w:val="22"/>
          <w:lang w:val="en-GB"/>
        </w:rPr>
        <w:t>Discovery</w:t>
      </w:r>
      <w:proofErr w:type="spellEnd"/>
      <w:r w:rsidRPr="00AB1823">
        <w:rPr>
          <w:rFonts w:asciiTheme="minorHAnsi" w:eastAsiaTheme="minorHAnsi" w:hAnsiTheme="minorHAnsi" w:cstheme="minorBidi"/>
          <w:szCs w:val="22"/>
          <w:lang w:val="en-GB"/>
        </w:rPr>
        <w:t xml:space="preserve"> Workbench 4.0 software.</w:t>
      </w:r>
    </w:p>
    <w:p w14:paraId="15C16991" w14:textId="77777777" w:rsidR="00FE7610" w:rsidRDefault="00FE7610" w:rsidP="00E360F5">
      <w:pPr>
        <w:pStyle w:val="Testonormale"/>
        <w:spacing w:line="276" w:lineRule="auto"/>
        <w:jc w:val="both"/>
        <w:rPr>
          <w:rFonts w:asciiTheme="minorHAnsi" w:eastAsiaTheme="minorHAnsi" w:hAnsiTheme="minorHAnsi" w:cstheme="minorBidi"/>
          <w:szCs w:val="22"/>
          <w:lang w:val="en-GB"/>
        </w:rPr>
      </w:pPr>
    </w:p>
    <w:p w14:paraId="381B639C" w14:textId="77777777" w:rsidR="00E360F5" w:rsidRDefault="00E360F5" w:rsidP="00E360F5">
      <w:pPr>
        <w:spacing w:after="0"/>
        <w:jc w:val="both"/>
        <w:rPr>
          <w:u w:val="single"/>
        </w:rPr>
      </w:pPr>
      <w:r>
        <w:rPr>
          <w:u w:val="single"/>
        </w:rPr>
        <w:t>CXCL9</w:t>
      </w:r>
    </w:p>
    <w:p w14:paraId="0DC934F6" w14:textId="6DF08B3D" w:rsidR="00E360F5" w:rsidRPr="00267E6A" w:rsidRDefault="00E360F5" w:rsidP="00E360F5">
      <w:pPr>
        <w:jc w:val="both"/>
        <w:rPr>
          <w:u w:val="single"/>
        </w:rPr>
      </w:pPr>
      <w:r>
        <w:t>Streptavidin Gold plates (</w:t>
      </w:r>
      <w:proofErr w:type="spellStart"/>
      <w:r w:rsidR="00E84C1C" w:rsidRPr="00AB1823">
        <w:rPr>
          <w:lang w:val="en-GB"/>
        </w:rPr>
        <w:t>MesoScale</w:t>
      </w:r>
      <w:proofErr w:type="spellEnd"/>
      <w:r w:rsidR="00E84C1C" w:rsidRPr="00AB1823">
        <w:rPr>
          <w:lang w:val="en-GB"/>
        </w:rPr>
        <w:t xml:space="preserve"> Discovery</w:t>
      </w:r>
      <w:r>
        <w:t>, Rockville, MD</w:t>
      </w:r>
      <w:r w:rsidR="009A3C05">
        <w:t>,</w:t>
      </w:r>
      <w:r>
        <w:t xml:space="preserve"> USA) were pre-washed three times with </w:t>
      </w:r>
      <w:r w:rsidR="00EE7D9D">
        <w:t>PBS</w:t>
      </w:r>
      <w:r>
        <w:t xml:space="preserve">-Tween 0.05% (wash buffer). Plates were coated with 25 </w:t>
      </w:r>
      <w:r>
        <w:rPr>
          <w:rFonts w:cs="Calibri"/>
        </w:rPr>
        <w:t>µ</w:t>
      </w:r>
      <w:r>
        <w:t>L of mouse anti-human MIG biotinylated antibody (</w:t>
      </w:r>
      <w:proofErr w:type="spellStart"/>
      <w:r w:rsidR="00E84C1C" w:rsidRPr="00AB1823">
        <w:rPr>
          <w:lang w:val="en-GB"/>
        </w:rPr>
        <w:t>MesoScale</w:t>
      </w:r>
      <w:proofErr w:type="spellEnd"/>
      <w:r w:rsidR="00E84C1C" w:rsidRPr="00AB1823">
        <w:rPr>
          <w:lang w:val="en-GB"/>
        </w:rPr>
        <w:t xml:space="preserve"> Discovery</w:t>
      </w:r>
      <w:r w:rsidRPr="00A04479">
        <w:t>,</w:t>
      </w:r>
      <w:r>
        <w:t xml:space="preserve"> Rockville, MD, USA) at 0.25 </w:t>
      </w:r>
      <w:proofErr w:type="spellStart"/>
      <w:r w:rsidRPr="00342841">
        <w:t>μg</w:t>
      </w:r>
      <w:proofErr w:type="spellEnd"/>
      <w:r w:rsidRPr="00342841">
        <w:t xml:space="preserve">/mL in </w:t>
      </w:r>
      <w:r w:rsidR="00EE7D9D">
        <w:rPr>
          <w:lang w:val="en-GB"/>
        </w:rPr>
        <w:t>PBS-BSA</w:t>
      </w:r>
      <w:r w:rsidR="00331F33" w:rsidRPr="00342841">
        <w:t xml:space="preserve"> </w:t>
      </w:r>
      <w:r w:rsidRPr="00342841">
        <w:t>1%</w:t>
      </w:r>
      <w:r>
        <w:t xml:space="preserve"> and incubated 1</w:t>
      </w:r>
      <w:r w:rsidR="00EE7D9D">
        <w:t xml:space="preserve"> </w:t>
      </w:r>
      <w:r>
        <w:t>h at 22°C with agitation at 600 rpm.</w:t>
      </w:r>
      <w:r w:rsidRPr="00B61FF0">
        <w:t xml:space="preserve"> </w:t>
      </w:r>
      <w:r w:rsidRPr="00AB1823">
        <w:t>Calibration standard (r</w:t>
      </w:r>
      <w:r>
        <w:t>ecombinant human CXCL9</w:t>
      </w:r>
      <w:r w:rsidRPr="00AB1823">
        <w:t xml:space="preserve">, </w:t>
      </w:r>
      <w:r>
        <w:t>R&amp;D systems,</w:t>
      </w:r>
      <w:r w:rsidRPr="00342841">
        <w:t xml:space="preserve"> </w:t>
      </w:r>
      <w:r w:rsidRPr="00AB1823">
        <w:t xml:space="preserve">Minneapolis, MN, USA) ranging from </w:t>
      </w:r>
      <w:r>
        <w:t>3</w:t>
      </w:r>
      <w:r w:rsidRPr="00AB1823">
        <w:t xml:space="preserve">0 to </w:t>
      </w:r>
      <w:r>
        <w:t>100</w:t>
      </w:r>
      <w:r w:rsidR="002E0588">
        <w:t>,</w:t>
      </w:r>
      <w:r w:rsidRPr="00AB1823">
        <w:t>000 </w:t>
      </w:r>
      <w:proofErr w:type="spellStart"/>
      <w:r w:rsidRPr="00AB1823">
        <w:t>pg</w:t>
      </w:r>
      <w:proofErr w:type="spellEnd"/>
      <w:r w:rsidRPr="00AB1823">
        <w:t xml:space="preserve">/mL was prepared in </w:t>
      </w:r>
      <w:proofErr w:type="spellStart"/>
      <w:r w:rsidR="002E0588">
        <w:rPr>
          <w:lang w:val="en-GB"/>
        </w:rPr>
        <w:t>f</w:t>
      </w:r>
      <w:r w:rsidR="00EE7D9D">
        <w:rPr>
          <w:lang w:val="en-GB"/>
        </w:rPr>
        <w:t>o</w:t>
      </w:r>
      <w:r w:rsidR="002E0588">
        <w:t>etal</w:t>
      </w:r>
      <w:proofErr w:type="spellEnd"/>
      <w:r w:rsidR="002E0588">
        <w:t xml:space="preserve"> bovine s</w:t>
      </w:r>
      <w:r w:rsidR="002E0588" w:rsidRPr="00241352">
        <w:t>erum</w:t>
      </w:r>
      <w:r w:rsidR="002E0588">
        <w:t xml:space="preserve"> </w:t>
      </w:r>
      <w:r>
        <w:t xml:space="preserve">(Sigma-Aldrich, Saint Louis, MO, USA). </w:t>
      </w:r>
      <w:r w:rsidRPr="00AB1823">
        <w:t xml:space="preserve">Samples were </w:t>
      </w:r>
      <w:r>
        <w:t>tested</w:t>
      </w:r>
      <w:r w:rsidRPr="00AB1823">
        <w:t xml:space="preserve"> neat or diluted </w:t>
      </w:r>
      <w:r>
        <w:t>1:2, 1:5, 1:10, 1:20</w:t>
      </w:r>
      <w:r w:rsidR="002E0588">
        <w:t xml:space="preserve"> and</w:t>
      </w:r>
      <w:r>
        <w:t xml:space="preserve"> </w:t>
      </w:r>
      <w:r w:rsidRPr="00AB1823">
        <w:t xml:space="preserve">1:50 in </w:t>
      </w:r>
      <w:proofErr w:type="spellStart"/>
      <w:r w:rsidR="002E0588">
        <w:rPr>
          <w:lang w:val="en-GB"/>
        </w:rPr>
        <w:t>f</w:t>
      </w:r>
      <w:r w:rsidR="00EE7D9D">
        <w:rPr>
          <w:lang w:val="en-GB"/>
        </w:rPr>
        <w:t>o</w:t>
      </w:r>
      <w:r w:rsidR="002E0588">
        <w:t>etal</w:t>
      </w:r>
      <w:proofErr w:type="spellEnd"/>
      <w:r w:rsidR="002E0588">
        <w:t xml:space="preserve"> bovine s</w:t>
      </w:r>
      <w:r w:rsidR="002E0588" w:rsidRPr="00241352">
        <w:t>erum</w:t>
      </w:r>
      <w:r w:rsidRPr="00AB1823">
        <w:t>.</w:t>
      </w:r>
      <w:r>
        <w:t xml:space="preserve"> Three </w:t>
      </w:r>
      <w:proofErr w:type="spellStart"/>
      <w:r>
        <w:t>MatrixQCs</w:t>
      </w:r>
      <w:proofErr w:type="spellEnd"/>
      <w:r>
        <w:t xml:space="preserve"> were made of human pool serum </w:t>
      </w:r>
      <w:r w:rsidRPr="007C7E4A">
        <w:t xml:space="preserve">containing endogenous CXCL9 </w:t>
      </w:r>
      <w:r>
        <w:t>only or containing endogenous plus spiked recombinant CXCL9.</w:t>
      </w:r>
      <w:r w:rsidRPr="002013DC">
        <w:t xml:space="preserve"> </w:t>
      </w:r>
      <w:r w:rsidRPr="00AB1823">
        <w:t xml:space="preserve">Standard, samples and </w:t>
      </w:r>
      <w:proofErr w:type="spellStart"/>
      <w:r>
        <w:t>Matrix</w:t>
      </w:r>
      <w:r w:rsidRPr="00AB1823">
        <w:t>QCs</w:t>
      </w:r>
      <w:proofErr w:type="spellEnd"/>
      <w:r w:rsidRPr="00AB1823">
        <w:t xml:space="preserve"> were diluted at the </w:t>
      </w:r>
      <w:r w:rsidR="00E84C1C">
        <w:rPr>
          <w:lang w:val="en-GB"/>
        </w:rPr>
        <w:t>m</w:t>
      </w:r>
      <w:r w:rsidR="00E84C1C" w:rsidRPr="00AB1823">
        <w:rPr>
          <w:lang w:val="en-GB"/>
        </w:rPr>
        <w:t xml:space="preserve">inimum </w:t>
      </w:r>
      <w:r w:rsidR="00E84C1C">
        <w:rPr>
          <w:lang w:val="en-GB"/>
        </w:rPr>
        <w:t>r</w:t>
      </w:r>
      <w:r w:rsidR="00E84C1C" w:rsidRPr="00AB1823">
        <w:rPr>
          <w:lang w:val="en-GB"/>
        </w:rPr>
        <w:t xml:space="preserve">equired </w:t>
      </w:r>
      <w:r w:rsidR="00E84C1C">
        <w:rPr>
          <w:lang w:val="en-GB"/>
        </w:rPr>
        <w:t>d</w:t>
      </w:r>
      <w:r w:rsidR="00E84C1C" w:rsidRPr="00AB1823">
        <w:rPr>
          <w:lang w:val="en-GB"/>
        </w:rPr>
        <w:t xml:space="preserve">ilution </w:t>
      </w:r>
      <w:r w:rsidR="00E84C1C">
        <w:rPr>
          <w:lang w:val="en-GB"/>
        </w:rPr>
        <w:t>(</w:t>
      </w:r>
      <w:r>
        <w:t>1:10</w:t>
      </w:r>
      <w:r w:rsidR="00E84C1C">
        <w:t>)</w:t>
      </w:r>
      <w:r w:rsidRPr="00AB1823">
        <w:t xml:space="preserve"> in </w:t>
      </w:r>
      <w:r w:rsidR="00EE7D9D">
        <w:rPr>
          <w:lang w:val="en-GB"/>
        </w:rPr>
        <w:t>PBS-BSA</w:t>
      </w:r>
      <w:r w:rsidR="000A6669">
        <w:rPr>
          <w:lang w:val="en-GB"/>
        </w:rPr>
        <w:t> </w:t>
      </w:r>
      <w:r>
        <w:t>1%</w:t>
      </w:r>
      <w:r w:rsidRPr="00AB1823">
        <w:t xml:space="preserve">. Streptavidin Gold </w:t>
      </w:r>
      <w:r>
        <w:t>p</w:t>
      </w:r>
      <w:r w:rsidRPr="00AB1823">
        <w:t xml:space="preserve">lates were washed three times and 25 µL of standard, samples and </w:t>
      </w:r>
      <w:r w:rsidR="00C71D35">
        <w:t>QC</w:t>
      </w:r>
      <w:r w:rsidR="008A0A6B">
        <w:t xml:space="preserve"> samples</w:t>
      </w:r>
      <w:r w:rsidRPr="00AB1823">
        <w:t xml:space="preserve"> were added per well, in duplicate. After 1</w:t>
      </w:r>
      <w:r w:rsidR="00C71D35">
        <w:t xml:space="preserve"> </w:t>
      </w:r>
      <w:r w:rsidRPr="00AB1823">
        <w:t xml:space="preserve">h incubation at 22°C with agitation at 600 rpm, plates were washed three times and 25 µL of </w:t>
      </w:r>
      <w:r>
        <w:t>g</w:t>
      </w:r>
      <w:r w:rsidRPr="007F77BF">
        <w:t xml:space="preserve">oat anti-human MIG antibody </w:t>
      </w:r>
      <w:r>
        <w:t xml:space="preserve">labelled with </w:t>
      </w:r>
      <w:proofErr w:type="spellStart"/>
      <w:r>
        <w:t>Sulfo</w:t>
      </w:r>
      <w:proofErr w:type="spellEnd"/>
      <w:r>
        <w:t>-TAG</w:t>
      </w:r>
      <w:r w:rsidRPr="00AB1823">
        <w:t xml:space="preserve"> (</w:t>
      </w:r>
      <w:proofErr w:type="spellStart"/>
      <w:r w:rsidR="00E84C1C" w:rsidRPr="00AB1823">
        <w:rPr>
          <w:lang w:val="en-GB"/>
        </w:rPr>
        <w:t>MesoScale</w:t>
      </w:r>
      <w:proofErr w:type="spellEnd"/>
      <w:r w:rsidR="00E84C1C" w:rsidRPr="00AB1823">
        <w:rPr>
          <w:lang w:val="en-GB"/>
        </w:rPr>
        <w:t xml:space="preserve"> Discovery</w:t>
      </w:r>
      <w:r w:rsidRPr="00A04479">
        <w:t>,</w:t>
      </w:r>
      <w:r>
        <w:t xml:space="preserve"> Rockville, MD</w:t>
      </w:r>
      <w:r w:rsidR="00C71D35">
        <w:t>,</w:t>
      </w:r>
      <w:r>
        <w:t xml:space="preserve"> USA</w:t>
      </w:r>
      <w:r w:rsidRPr="00AB1823">
        <w:t xml:space="preserve">) </w:t>
      </w:r>
      <w:r>
        <w:t xml:space="preserve">at 0.25X in </w:t>
      </w:r>
      <w:r w:rsidR="00C71D35">
        <w:rPr>
          <w:lang w:val="en-GB"/>
        </w:rPr>
        <w:t>PBS-BSA</w:t>
      </w:r>
      <w:r w:rsidR="00331F33">
        <w:rPr>
          <w:lang w:val="en-GB"/>
        </w:rPr>
        <w:t> </w:t>
      </w:r>
      <w:r>
        <w:t>1%</w:t>
      </w:r>
      <w:r w:rsidRPr="00AB1823">
        <w:t xml:space="preserve"> were added per well. After 1</w:t>
      </w:r>
      <w:r w:rsidR="00C71D35">
        <w:t xml:space="preserve"> </w:t>
      </w:r>
      <w:r w:rsidRPr="00AB1823">
        <w:t xml:space="preserve">h incubation at 22°C with agitation at 600 rpm, plates were washed three times and </w:t>
      </w:r>
      <w:r>
        <w:t xml:space="preserve">reading was performed similarly as described above for </w:t>
      </w:r>
      <w:r w:rsidR="00C71D35">
        <w:t>sIL-2R</w:t>
      </w:r>
      <w:r w:rsidR="008A0A6B" w:rsidRPr="00175AB1">
        <w:t>α</w:t>
      </w:r>
      <w:r>
        <w:t>.</w:t>
      </w:r>
    </w:p>
    <w:p w14:paraId="00C7A2F5" w14:textId="77777777" w:rsidR="0036309F" w:rsidRDefault="0036309F">
      <w:r>
        <w:br w:type="page"/>
      </w:r>
    </w:p>
    <w:p w14:paraId="7847ED23" w14:textId="12206D0C" w:rsidR="00E360F5" w:rsidRPr="0013235B" w:rsidRDefault="0036309F" w:rsidP="00E360F5">
      <w:pPr>
        <w:jc w:val="both"/>
        <w:rPr>
          <w:b/>
        </w:rPr>
      </w:pPr>
      <w:r w:rsidRPr="0013235B">
        <w:rPr>
          <w:b/>
          <w:bCs/>
        </w:rPr>
        <w:lastRenderedPageBreak/>
        <w:t xml:space="preserve">Appendix 2. </w:t>
      </w:r>
      <w:r w:rsidRPr="0013235B">
        <w:rPr>
          <w:b/>
        </w:rPr>
        <w:t xml:space="preserve">Emapalumab </w:t>
      </w:r>
      <w:r w:rsidR="001B77E9">
        <w:rPr>
          <w:b/>
        </w:rPr>
        <w:t>assay</w:t>
      </w:r>
    </w:p>
    <w:p w14:paraId="074B3497" w14:textId="5A9E56F4" w:rsidR="0036309F" w:rsidRPr="0036309F" w:rsidRDefault="0036309F" w:rsidP="0036309F">
      <w:pPr>
        <w:jc w:val="both"/>
      </w:pPr>
      <w:r w:rsidRPr="0036309F">
        <w:t xml:space="preserve">A validated </w:t>
      </w:r>
      <w:proofErr w:type="spellStart"/>
      <w:r w:rsidRPr="0036309F">
        <w:t>Gyrolab</w:t>
      </w:r>
      <w:proofErr w:type="spellEnd"/>
      <w:r w:rsidRPr="0036309F">
        <w:t xml:space="preserve"> (Gyros Protein Technologies AB, Uppsala, Sweden)-based immunoassay was used for the measurements of emapalumab in patient’s serum. Quantification range was from 62.5 ng/mL to 8000 ng/</w:t>
      </w:r>
      <w:proofErr w:type="spellStart"/>
      <w:r w:rsidRPr="0036309F">
        <w:t>mL.</w:t>
      </w:r>
      <w:proofErr w:type="spellEnd"/>
      <w:r w:rsidRPr="0036309F">
        <w:t xml:space="preserve"> Samples containing emapalumab concentrations above these levels underwent dilution to achieve the working range of quantification, with the final result corrected for the sample dilution used. Runs failing to meet standard and/or quality control</w:t>
      </w:r>
      <w:r w:rsidR="00C71D35">
        <w:t xml:space="preserve"> (QC)</w:t>
      </w:r>
      <w:r w:rsidRPr="0036309F">
        <w:t xml:space="preserve"> acceptance criteria were repeated.</w:t>
      </w:r>
    </w:p>
    <w:p w14:paraId="6B2D303D" w14:textId="7E353FCA" w:rsidR="0036309F" w:rsidRPr="0036309F" w:rsidRDefault="0036309F" w:rsidP="0036309F">
      <w:pPr>
        <w:jc w:val="both"/>
      </w:pPr>
      <w:r w:rsidRPr="0036309F">
        <w:t>Working calibration standards ranging from 31.25 to 16</w:t>
      </w:r>
      <w:r w:rsidR="00696E8B">
        <w:t>,</w:t>
      </w:r>
      <w:r w:rsidRPr="0036309F">
        <w:t xml:space="preserve">000 ng/mL were freshly prepared in pooled human serum (at least 10 individuals, </w:t>
      </w:r>
      <w:proofErr w:type="spellStart"/>
      <w:r w:rsidRPr="0036309F">
        <w:t>Seralab</w:t>
      </w:r>
      <w:proofErr w:type="spellEnd"/>
      <w:r w:rsidRPr="0036309F">
        <w:t>/</w:t>
      </w:r>
      <w:proofErr w:type="spellStart"/>
      <w:r w:rsidRPr="0036309F">
        <w:t>BioIVT</w:t>
      </w:r>
      <w:proofErr w:type="spellEnd"/>
      <w:r w:rsidRPr="0036309F">
        <w:t xml:space="preserve">, West Sussex, UK) on the day of the assay. Two sets of </w:t>
      </w:r>
      <w:r w:rsidR="00C71D35">
        <w:t>QC</w:t>
      </w:r>
      <w:r w:rsidR="00696E8B">
        <w:t xml:space="preserve"> samples</w:t>
      </w:r>
      <w:r w:rsidRPr="0036309F">
        <w:t xml:space="preserve"> thawed on the day of the assay were included on each </w:t>
      </w:r>
      <w:r w:rsidR="00B50C2D">
        <w:t>compact disk</w:t>
      </w:r>
      <w:r w:rsidR="00CF1A67">
        <w:t xml:space="preserve"> (CD)</w:t>
      </w:r>
      <w:r w:rsidR="00B50C2D">
        <w:t xml:space="preserve"> </w:t>
      </w:r>
      <w:r w:rsidRPr="0036309F">
        <w:t>and were comprised of pooled human serum, spiked with emapalumab at three concentration levels, 140 ng/mL (</w:t>
      </w:r>
      <w:r w:rsidR="00CF7B8E">
        <w:t xml:space="preserve">lower </w:t>
      </w:r>
      <w:r w:rsidR="00C71D35">
        <w:t>QC</w:t>
      </w:r>
      <w:r w:rsidRPr="0036309F">
        <w:t>), 850 ng/mL (</w:t>
      </w:r>
      <w:r w:rsidR="00CF7B8E">
        <w:t xml:space="preserve">medium </w:t>
      </w:r>
      <w:r w:rsidR="00C71D35">
        <w:t>QC</w:t>
      </w:r>
      <w:r w:rsidRPr="0036309F">
        <w:t>) and 6000 ng/mL (</w:t>
      </w:r>
      <w:r w:rsidR="00CF7B8E">
        <w:t xml:space="preserve">high </w:t>
      </w:r>
      <w:r w:rsidR="00C71D35">
        <w:t>QC</w:t>
      </w:r>
      <w:r w:rsidRPr="0036309F">
        <w:t xml:space="preserve">). Two additional </w:t>
      </w:r>
      <w:r w:rsidR="00C71D35">
        <w:t>QC</w:t>
      </w:r>
      <w:r w:rsidRPr="0036309F">
        <w:t xml:space="preserve"> samples at 250</w:t>
      </w:r>
      <w:r w:rsidR="00CF7B8E">
        <w:t>,</w:t>
      </w:r>
      <w:r w:rsidRPr="0036309F">
        <w:t>000 and 12</w:t>
      </w:r>
      <w:r w:rsidR="00CF7B8E">
        <w:t>,</w:t>
      </w:r>
      <w:r w:rsidRPr="0036309F">
        <w:t>000 ng/mL were added to runs with clinical samples having a corresponding dilution to assess the validity of the 1</w:t>
      </w:r>
      <w:r w:rsidR="00CF7B8E">
        <w:t>:</w:t>
      </w:r>
      <w:r w:rsidRPr="0036309F">
        <w:t xml:space="preserve">60 dilution. These </w:t>
      </w:r>
      <w:r w:rsidR="00C71D35">
        <w:t>QC</w:t>
      </w:r>
      <w:r w:rsidRPr="0036309F">
        <w:t xml:space="preserve"> samples were prepared by spiking reference standard into human pool serum and were diluted 1</w:t>
      </w:r>
      <w:r w:rsidR="00CF7B8E">
        <w:t>:</w:t>
      </w:r>
      <w:r w:rsidRPr="0036309F">
        <w:t xml:space="preserve">60 in pooled human serum prior to dilution to the </w:t>
      </w:r>
      <w:r w:rsidR="004C11D0">
        <w:rPr>
          <w:lang w:val="en-GB"/>
        </w:rPr>
        <w:t>m</w:t>
      </w:r>
      <w:r w:rsidR="004C11D0" w:rsidRPr="00AB1823">
        <w:rPr>
          <w:lang w:val="en-GB"/>
        </w:rPr>
        <w:t xml:space="preserve">inimum </w:t>
      </w:r>
      <w:r w:rsidR="004C11D0">
        <w:rPr>
          <w:lang w:val="en-GB"/>
        </w:rPr>
        <w:t>r</w:t>
      </w:r>
      <w:r w:rsidR="004C11D0" w:rsidRPr="00AB1823">
        <w:rPr>
          <w:lang w:val="en-GB"/>
        </w:rPr>
        <w:t xml:space="preserve">equired </w:t>
      </w:r>
      <w:r w:rsidR="004C11D0">
        <w:rPr>
          <w:lang w:val="en-GB"/>
        </w:rPr>
        <w:t>d</w:t>
      </w:r>
      <w:r w:rsidR="004C11D0" w:rsidRPr="00AB1823">
        <w:rPr>
          <w:lang w:val="en-GB"/>
        </w:rPr>
        <w:t>ilution</w:t>
      </w:r>
      <w:r w:rsidRPr="0036309F">
        <w:t xml:space="preserve">. </w:t>
      </w:r>
    </w:p>
    <w:p w14:paraId="3FA07485" w14:textId="47B59A61" w:rsidR="0036309F" w:rsidRPr="0036309F" w:rsidRDefault="0036309F" w:rsidP="0036309F">
      <w:pPr>
        <w:jc w:val="both"/>
      </w:pPr>
      <w:r w:rsidRPr="0036309F">
        <w:t xml:space="preserve">Clinical samples were tested preferentially at the </w:t>
      </w:r>
      <w:r w:rsidR="004C11D0">
        <w:rPr>
          <w:lang w:val="en-GB"/>
        </w:rPr>
        <w:t>m</w:t>
      </w:r>
      <w:r w:rsidR="004C11D0" w:rsidRPr="00AB1823">
        <w:rPr>
          <w:lang w:val="en-GB"/>
        </w:rPr>
        <w:t xml:space="preserve">inimum </w:t>
      </w:r>
      <w:r w:rsidR="004C11D0">
        <w:rPr>
          <w:lang w:val="en-GB"/>
        </w:rPr>
        <w:t>r</w:t>
      </w:r>
      <w:r w:rsidR="004C11D0" w:rsidRPr="00AB1823">
        <w:rPr>
          <w:lang w:val="en-GB"/>
        </w:rPr>
        <w:t xml:space="preserve">equired </w:t>
      </w:r>
      <w:r w:rsidR="004C11D0">
        <w:rPr>
          <w:lang w:val="en-GB"/>
        </w:rPr>
        <w:t>d</w:t>
      </w:r>
      <w:r w:rsidR="004C11D0" w:rsidRPr="00AB1823">
        <w:rPr>
          <w:lang w:val="en-GB"/>
        </w:rPr>
        <w:t xml:space="preserve">ilution </w:t>
      </w:r>
      <w:r w:rsidRPr="0036309F">
        <w:t>or diluted 1</w:t>
      </w:r>
      <w:r w:rsidR="00CF7B8E">
        <w:t>:</w:t>
      </w:r>
      <w:r w:rsidRPr="0036309F">
        <w:t xml:space="preserve">60 in addition to the </w:t>
      </w:r>
      <w:r w:rsidR="00CF7B8E">
        <w:rPr>
          <w:lang w:val="en-GB"/>
        </w:rPr>
        <w:t>m</w:t>
      </w:r>
      <w:r w:rsidR="00CF7B8E" w:rsidRPr="00AB1823">
        <w:rPr>
          <w:lang w:val="en-GB"/>
        </w:rPr>
        <w:t xml:space="preserve">inimum </w:t>
      </w:r>
      <w:r w:rsidR="00CF7B8E">
        <w:rPr>
          <w:lang w:val="en-GB"/>
        </w:rPr>
        <w:t>r</w:t>
      </w:r>
      <w:r w:rsidR="00CF7B8E" w:rsidRPr="00AB1823">
        <w:rPr>
          <w:lang w:val="en-GB"/>
        </w:rPr>
        <w:t xml:space="preserve">equired </w:t>
      </w:r>
      <w:r w:rsidR="00CF7B8E">
        <w:rPr>
          <w:lang w:val="en-GB"/>
        </w:rPr>
        <w:t>d</w:t>
      </w:r>
      <w:r w:rsidR="00CF7B8E" w:rsidRPr="00AB1823">
        <w:rPr>
          <w:lang w:val="en-GB"/>
        </w:rPr>
        <w:t xml:space="preserve">ilution </w:t>
      </w:r>
      <w:r w:rsidRPr="0036309F">
        <w:t xml:space="preserve">using pooled human serum, based on the amount of emapalumab expected to be present in the sample. </w:t>
      </w:r>
      <w:r w:rsidR="00ED65EC">
        <w:t>QC</w:t>
      </w:r>
      <w:r w:rsidR="00CF7B8E">
        <w:t xml:space="preserve"> samples</w:t>
      </w:r>
      <w:r w:rsidRPr="0036309F">
        <w:t xml:space="preserve"> and samples were diluted to a </w:t>
      </w:r>
      <w:r w:rsidR="00CF7B8E">
        <w:rPr>
          <w:lang w:val="en-GB"/>
        </w:rPr>
        <w:t>m</w:t>
      </w:r>
      <w:r w:rsidR="00CF7B8E" w:rsidRPr="00AB1823">
        <w:rPr>
          <w:lang w:val="en-GB"/>
        </w:rPr>
        <w:t xml:space="preserve">inimum </w:t>
      </w:r>
      <w:r w:rsidR="00CF7B8E">
        <w:rPr>
          <w:lang w:val="en-GB"/>
        </w:rPr>
        <w:t>r</w:t>
      </w:r>
      <w:r w:rsidR="00CF7B8E" w:rsidRPr="00AB1823">
        <w:rPr>
          <w:lang w:val="en-GB"/>
        </w:rPr>
        <w:t xml:space="preserve">equired </w:t>
      </w:r>
      <w:r w:rsidR="00CF7B8E">
        <w:rPr>
          <w:lang w:val="en-GB"/>
        </w:rPr>
        <w:t>d</w:t>
      </w:r>
      <w:r w:rsidR="00CF7B8E" w:rsidRPr="00AB1823">
        <w:rPr>
          <w:lang w:val="en-GB"/>
        </w:rPr>
        <w:t xml:space="preserve">ilution </w:t>
      </w:r>
      <w:r w:rsidRPr="0036309F">
        <w:t xml:space="preserve">of 1:3 in buffer </w:t>
      </w:r>
      <w:proofErr w:type="spellStart"/>
      <w:r w:rsidRPr="0036309F">
        <w:t>Rexxip</w:t>
      </w:r>
      <w:proofErr w:type="spellEnd"/>
      <w:r w:rsidRPr="0036309F">
        <w:t xml:space="preserve"> H (Gyros Protein Technologies AB, Uppsala, Sweden). Only one replicate of standards, </w:t>
      </w:r>
      <w:r w:rsidR="00ED65EC">
        <w:t>QC</w:t>
      </w:r>
      <w:r w:rsidR="00D92B3D">
        <w:t xml:space="preserve"> samples</w:t>
      </w:r>
      <w:r w:rsidRPr="0036309F">
        <w:t xml:space="preserve"> and samples were prepared. The replicate was analy</w:t>
      </w:r>
      <w:r w:rsidR="00ED65EC">
        <w:t>s</w:t>
      </w:r>
      <w:r w:rsidRPr="0036309F">
        <w:t xml:space="preserve">ed twice by the </w:t>
      </w:r>
      <w:proofErr w:type="spellStart"/>
      <w:r w:rsidRPr="0036309F">
        <w:t>Gyrolab</w:t>
      </w:r>
      <w:proofErr w:type="spellEnd"/>
      <w:r w:rsidRPr="0036309F">
        <w:t xml:space="preserve"> Workstation on the CD to create the duplicate.</w:t>
      </w:r>
    </w:p>
    <w:p w14:paraId="3E3907F6" w14:textId="698A11F9" w:rsidR="0036309F" w:rsidRPr="0036309F" w:rsidRDefault="0036309F" w:rsidP="0036309F">
      <w:pPr>
        <w:jc w:val="both"/>
      </w:pPr>
      <w:r w:rsidRPr="0036309F">
        <w:t xml:space="preserve">The CD contains micro-affinity columns which are nanostructures packed with streptavidin coated beads. The diluted samples, standard and </w:t>
      </w:r>
      <w:r w:rsidR="00ED65EC">
        <w:t>QC</w:t>
      </w:r>
      <w:r w:rsidR="00D7232D">
        <w:t xml:space="preserve"> samples</w:t>
      </w:r>
      <w:r w:rsidRPr="0036309F">
        <w:t xml:space="preserve"> as well as the reagents (capture and detection antibodies, wash solution) are prepared manually and loaded in a </w:t>
      </w:r>
      <w:proofErr w:type="spellStart"/>
      <w:r w:rsidRPr="0036309F">
        <w:t>Gyrolab</w:t>
      </w:r>
      <w:proofErr w:type="spellEnd"/>
      <w:r w:rsidRPr="0036309F">
        <w:t xml:space="preserve"> </w:t>
      </w:r>
      <w:proofErr w:type="spellStart"/>
      <w:r w:rsidRPr="0036309F">
        <w:t>xP</w:t>
      </w:r>
      <w:proofErr w:type="spellEnd"/>
      <w:r w:rsidRPr="0036309F">
        <w:t xml:space="preserve"> instrument via a </w:t>
      </w:r>
      <w:r w:rsidR="007200F6">
        <w:t>polymerase chain reaction</w:t>
      </w:r>
      <w:r w:rsidRPr="0036309F">
        <w:t xml:space="preserve"> plate, which performs the pipetting, </w:t>
      </w:r>
      <w:r w:rsidR="00086FAF" w:rsidRPr="0036309F">
        <w:t>incubation,</w:t>
      </w:r>
      <w:r w:rsidRPr="0036309F">
        <w:t xml:space="preserve"> and wash steps of the immunoassay according to a set program where the plate contents are delivered to reservoirs in the CD and the spinning action of the CD causes them to flow through the column. A biotinylated monoclonal anti-idiotypic antibody specific to emapalumab diluted at 52.38 </w:t>
      </w:r>
      <w:proofErr w:type="spellStart"/>
      <w:r w:rsidRPr="0036309F">
        <w:t>μg</w:t>
      </w:r>
      <w:proofErr w:type="spellEnd"/>
      <w:r w:rsidRPr="0036309F">
        <w:t xml:space="preserve">/mL with biotinylated </w:t>
      </w:r>
      <w:r w:rsidR="00CF7B8E">
        <w:t>bovine serum albumin</w:t>
      </w:r>
      <w:r w:rsidRPr="0036309F">
        <w:t xml:space="preserve"> at 22.73 </w:t>
      </w:r>
      <w:proofErr w:type="spellStart"/>
      <w:r w:rsidRPr="0036309F">
        <w:t>μg</w:t>
      </w:r>
      <w:proofErr w:type="spellEnd"/>
      <w:r w:rsidRPr="0036309F">
        <w:t xml:space="preserve">/mL in </w:t>
      </w:r>
      <w:r w:rsidR="00D92B3D">
        <w:t>phosphate-buffered saline</w:t>
      </w:r>
      <w:r w:rsidRPr="0036309F">
        <w:t xml:space="preserve">-Tween 0.01% was added to the columns, allowing the biotin to bind to the streptavidin beads. The columns were </w:t>
      </w:r>
      <w:r w:rsidR="00086FAF" w:rsidRPr="0036309F">
        <w:t>washed,</w:t>
      </w:r>
      <w:r w:rsidRPr="0036309F">
        <w:t xml:space="preserve"> and samples, standards or controls added. After an additional wash the monoclonal anti-idiotypic detection antibody specific to emapalumab coupled with a fluorescent label diluted at 16.67 </w:t>
      </w:r>
      <w:proofErr w:type="spellStart"/>
      <w:r w:rsidRPr="0036309F">
        <w:t>nM</w:t>
      </w:r>
      <w:proofErr w:type="spellEnd"/>
      <w:r w:rsidRPr="0036309F">
        <w:t xml:space="preserve"> in </w:t>
      </w:r>
      <w:proofErr w:type="spellStart"/>
      <w:r w:rsidRPr="0036309F">
        <w:t>Rexxip</w:t>
      </w:r>
      <w:proofErr w:type="spellEnd"/>
      <w:r w:rsidRPr="0036309F">
        <w:t xml:space="preserve"> F (Gyros Protein Technologies AB, Uppsala, Sweden) was added. After a final wash step, the </w:t>
      </w:r>
      <w:proofErr w:type="spellStart"/>
      <w:r w:rsidRPr="0036309F">
        <w:t>Gyrolab</w:t>
      </w:r>
      <w:proofErr w:type="spellEnd"/>
      <w:r w:rsidRPr="0036309F">
        <w:t xml:space="preserve"> instrument measured the fluorescence in all of the columns, simultaneously. The raw data were </w:t>
      </w:r>
      <w:proofErr w:type="spellStart"/>
      <w:r w:rsidRPr="0036309F">
        <w:t>analy</w:t>
      </w:r>
      <w:r w:rsidR="002A5EA0">
        <w:t>s</w:t>
      </w:r>
      <w:r w:rsidRPr="0036309F">
        <w:t>ed</w:t>
      </w:r>
      <w:proofErr w:type="spellEnd"/>
      <w:r w:rsidRPr="0036309F">
        <w:t xml:space="preserve"> with </w:t>
      </w:r>
      <w:proofErr w:type="spellStart"/>
      <w:r w:rsidRPr="0036309F">
        <w:t>Gyrolab</w:t>
      </w:r>
      <w:proofErr w:type="spellEnd"/>
      <w:r w:rsidRPr="0036309F">
        <w:t xml:space="preserve"> Evaluator software.</w:t>
      </w:r>
    </w:p>
    <w:p w14:paraId="5545F556" w14:textId="53937CBC" w:rsidR="00CE4E9F" w:rsidRDefault="00CE4E9F">
      <w:pPr>
        <w:rPr>
          <w:b/>
          <w:bCs/>
        </w:rPr>
      </w:pPr>
      <w:r>
        <w:rPr>
          <w:b/>
          <w:bCs/>
        </w:rPr>
        <w:br w:type="page"/>
      </w:r>
    </w:p>
    <w:p w14:paraId="4F3EA635" w14:textId="5C656BD9" w:rsidR="009004BB" w:rsidRDefault="00DB60EB">
      <w:pPr>
        <w:rPr>
          <w:b/>
          <w:bCs/>
        </w:rPr>
      </w:pPr>
      <w:r>
        <w:rPr>
          <w:b/>
          <w:bCs/>
        </w:rPr>
        <w:lastRenderedPageBreak/>
        <w:t xml:space="preserve">Figure S1. </w:t>
      </w:r>
      <w:r w:rsidR="00DE465E">
        <w:rPr>
          <w:b/>
          <w:bCs/>
        </w:rPr>
        <w:t xml:space="preserve">Design of </w:t>
      </w:r>
      <w:r w:rsidR="00671822">
        <w:rPr>
          <w:b/>
          <w:bCs/>
        </w:rPr>
        <w:t xml:space="preserve">the </w:t>
      </w:r>
      <w:r w:rsidR="00F36C71">
        <w:rPr>
          <w:b/>
          <w:bCs/>
        </w:rPr>
        <w:t xml:space="preserve">NI-0501-06 </w:t>
      </w:r>
      <w:r w:rsidR="00671822">
        <w:rPr>
          <w:b/>
          <w:bCs/>
        </w:rPr>
        <w:t xml:space="preserve">study </w:t>
      </w:r>
      <w:r w:rsidR="00F36C71">
        <w:rPr>
          <w:b/>
          <w:bCs/>
        </w:rPr>
        <w:t xml:space="preserve">and </w:t>
      </w:r>
      <w:r w:rsidR="00671822">
        <w:rPr>
          <w:b/>
          <w:bCs/>
        </w:rPr>
        <w:t xml:space="preserve">of the </w:t>
      </w:r>
      <w:r w:rsidR="00F36C71">
        <w:rPr>
          <w:b/>
          <w:bCs/>
        </w:rPr>
        <w:t xml:space="preserve">NI-0501-05 </w:t>
      </w:r>
      <w:r w:rsidR="00671822">
        <w:rPr>
          <w:b/>
          <w:bCs/>
        </w:rPr>
        <w:t>long-term follow</w:t>
      </w:r>
      <w:r w:rsidR="00672209">
        <w:rPr>
          <w:b/>
          <w:bCs/>
        </w:rPr>
        <w:t>-</w:t>
      </w:r>
      <w:r w:rsidR="00671822">
        <w:rPr>
          <w:b/>
          <w:bCs/>
        </w:rPr>
        <w:t xml:space="preserve">up </w:t>
      </w:r>
      <w:r w:rsidR="00F36C71">
        <w:rPr>
          <w:b/>
          <w:bCs/>
        </w:rPr>
        <w:t>stud</w:t>
      </w:r>
      <w:r w:rsidR="00671822">
        <w:rPr>
          <w:b/>
          <w:bCs/>
        </w:rPr>
        <w:t>y</w:t>
      </w:r>
    </w:p>
    <w:p w14:paraId="3E5AA489" w14:textId="199E56D2" w:rsidR="003F25DB" w:rsidRDefault="003F25DB" w:rsidP="0083206C">
      <w:pPr>
        <w:jc w:val="center"/>
        <w:rPr>
          <w:b/>
          <w:bCs/>
        </w:rPr>
      </w:pPr>
    </w:p>
    <w:p w14:paraId="604CF57F" w14:textId="2D68382B" w:rsidR="003F25DB" w:rsidRPr="00FA082E" w:rsidRDefault="00E55012" w:rsidP="00E04188">
      <w:pPr>
        <w:tabs>
          <w:tab w:val="left" w:pos="142"/>
        </w:tabs>
      </w:pPr>
      <w:r>
        <w:rPr>
          <w:noProof/>
          <w:vertAlign w:val="superscript"/>
        </w:rPr>
        <w:drawing>
          <wp:inline distT="0" distB="0" distL="0" distR="0" wp14:anchorId="2BC0F368" wp14:editId="06F741C6">
            <wp:extent cx="6128459" cy="1592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7888" cy="1602826"/>
                    </a:xfrm>
                    <a:prstGeom prst="rect">
                      <a:avLst/>
                    </a:prstGeom>
                    <a:noFill/>
                  </pic:spPr>
                </pic:pic>
              </a:graphicData>
            </a:graphic>
          </wp:inline>
        </w:drawing>
      </w:r>
      <w:r w:rsidR="003F25DB" w:rsidRPr="003F25DB">
        <w:rPr>
          <w:vertAlign w:val="superscript"/>
        </w:rPr>
        <w:t>a</w:t>
      </w:r>
      <w:r w:rsidR="00E04188">
        <w:rPr>
          <w:vertAlign w:val="superscript"/>
        </w:rPr>
        <w:t xml:space="preserve"> </w:t>
      </w:r>
      <w:r w:rsidR="003F25DB" w:rsidRPr="003F25DB">
        <w:t>Treatment</w:t>
      </w:r>
      <w:r w:rsidR="003772AD">
        <w:t xml:space="preserve"> with emapalumab</w:t>
      </w:r>
      <w:r w:rsidR="003F25DB" w:rsidRPr="003F25DB">
        <w:t xml:space="preserve"> </w:t>
      </w:r>
      <w:r w:rsidR="003772AD">
        <w:t>could</w:t>
      </w:r>
      <w:r w:rsidR="003772AD" w:rsidRPr="003F25DB">
        <w:t xml:space="preserve"> </w:t>
      </w:r>
      <w:r w:rsidR="003F25DB" w:rsidRPr="003F25DB">
        <w:t xml:space="preserve">be shortened upon achievement of </w:t>
      </w:r>
      <w:r w:rsidR="00BD7A48">
        <w:t>macrophage activation syndrome</w:t>
      </w:r>
      <w:r w:rsidR="003F25DB" w:rsidRPr="003F25DB">
        <w:t xml:space="preserve"> remission</w:t>
      </w:r>
      <w:r w:rsidR="003772AD">
        <w:t xml:space="preserve"> as per invest</w:t>
      </w:r>
      <w:r w:rsidR="00F85EBD">
        <w:t>i</w:t>
      </w:r>
      <w:r w:rsidR="003772AD">
        <w:t>gator’s assessment</w:t>
      </w:r>
      <w:r w:rsidR="00CB0FAF">
        <w:t>, but not prior to the third dose</w:t>
      </w:r>
      <w:r w:rsidR="003F25DB" w:rsidRPr="003F25DB">
        <w:t xml:space="preserve">; </w:t>
      </w:r>
      <w:r w:rsidR="003F452D">
        <w:t xml:space="preserve">frequency between </w:t>
      </w:r>
      <w:r w:rsidR="00EC4042">
        <w:t xml:space="preserve">infusions </w:t>
      </w:r>
      <w:r w:rsidR="003772AD">
        <w:t xml:space="preserve">could </w:t>
      </w:r>
      <w:r w:rsidR="00EC4042">
        <w:t xml:space="preserve">be shortened or </w:t>
      </w:r>
      <w:r w:rsidR="003F25DB" w:rsidRPr="003F25DB">
        <w:t xml:space="preserve">dose </w:t>
      </w:r>
      <w:r w:rsidR="003772AD">
        <w:t>could</w:t>
      </w:r>
      <w:r w:rsidR="003772AD" w:rsidRPr="003F25DB">
        <w:t xml:space="preserve"> </w:t>
      </w:r>
      <w:r w:rsidR="003F25DB" w:rsidRPr="003F25DB">
        <w:t xml:space="preserve">be increased or treatment prolonged in the </w:t>
      </w:r>
      <w:r w:rsidR="00EC4042">
        <w:t>absence o</w:t>
      </w:r>
      <w:r w:rsidR="00583307">
        <w:t xml:space="preserve">f </w:t>
      </w:r>
      <w:r w:rsidR="00671822">
        <w:t>satisfactory response as per investigator’s assessment</w:t>
      </w:r>
      <w:r w:rsidR="00143F65">
        <w:t>.</w:t>
      </w:r>
    </w:p>
    <w:p w14:paraId="4059DE06" w14:textId="52A77022" w:rsidR="00FA082E" w:rsidRDefault="00FA082E">
      <w:r>
        <w:br w:type="page"/>
      </w:r>
    </w:p>
    <w:p w14:paraId="19844AC6" w14:textId="06A1F554" w:rsidR="00337442" w:rsidRDefault="00FA082E" w:rsidP="00337442">
      <w:pPr>
        <w:rPr>
          <w:b/>
        </w:rPr>
      </w:pPr>
      <w:r w:rsidRPr="00CA1041">
        <w:rPr>
          <w:b/>
          <w:bCs/>
        </w:rPr>
        <w:lastRenderedPageBreak/>
        <w:t xml:space="preserve">Figure S2. </w:t>
      </w:r>
      <w:r w:rsidR="00337442" w:rsidRPr="00CA1041">
        <w:t xml:space="preserve"> </w:t>
      </w:r>
      <w:r w:rsidR="005614C5" w:rsidRPr="0013235B">
        <w:rPr>
          <w:b/>
        </w:rPr>
        <w:t>C</w:t>
      </w:r>
      <w:r w:rsidR="00337442" w:rsidRPr="0013235B">
        <w:rPr>
          <w:b/>
        </w:rPr>
        <w:t xml:space="preserve">oncentration-time profiles of emapalumab (blue, left log axis), ferritin </w:t>
      </w:r>
      <w:r w:rsidR="00E71275" w:rsidRPr="0013235B">
        <w:rPr>
          <w:b/>
        </w:rPr>
        <w:t xml:space="preserve">(dark red, left log axis), </w:t>
      </w:r>
      <w:r w:rsidR="00337442" w:rsidRPr="0013235B">
        <w:rPr>
          <w:b/>
        </w:rPr>
        <w:t xml:space="preserve">total </w:t>
      </w:r>
      <w:proofErr w:type="spellStart"/>
      <w:r w:rsidR="005D5711">
        <w:rPr>
          <w:b/>
        </w:rPr>
        <w:t>IFN</w:t>
      </w:r>
      <w:r w:rsidR="00337442" w:rsidRPr="0013235B">
        <w:rPr>
          <w:b/>
        </w:rPr>
        <w:t>γ</w:t>
      </w:r>
      <w:proofErr w:type="spellEnd"/>
      <w:r w:rsidR="00337442" w:rsidRPr="0013235B">
        <w:rPr>
          <w:b/>
        </w:rPr>
        <w:t xml:space="preserve"> (</w:t>
      </w:r>
      <w:r w:rsidR="00E71275" w:rsidRPr="0013235B">
        <w:rPr>
          <w:b/>
        </w:rPr>
        <w:t>orange</w:t>
      </w:r>
      <w:r w:rsidR="00337442" w:rsidRPr="0013235B">
        <w:rPr>
          <w:b/>
        </w:rPr>
        <w:t xml:space="preserve">, </w:t>
      </w:r>
      <w:r w:rsidR="00E71275" w:rsidRPr="0013235B">
        <w:rPr>
          <w:b/>
        </w:rPr>
        <w:t>right</w:t>
      </w:r>
      <w:r w:rsidR="00337442" w:rsidRPr="0013235B">
        <w:rPr>
          <w:b/>
        </w:rPr>
        <w:t xml:space="preserve"> log axis), </w:t>
      </w:r>
      <w:r w:rsidR="005D5711">
        <w:rPr>
          <w:b/>
        </w:rPr>
        <w:t>sIL-2R</w:t>
      </w:r>
      <w:r w:rsidR="00BA17CA" w:rsidRPr="0013235B">
        <w:rPr>
          <w:b/>
        </w:rPr>
        <w:t xml:space="preserve"> </w:t>
      </w:r>
      <w:r w:rsidR="00337442" w:rsidRPr="0013235B">
        <w:rPr>
          <w:b/>
        </w:rPr>
        <w:t>(</w:t>
      </w:r>
      <w:r w:rsidR="00702394" w:rsidRPr="0013235B">
        <w:rPr>
          <w:b/>
        </w:rPr>
        <w:t>red</w:t>
      </w:r>
      <w:r w:rsidR="00337442" w:rsidRPr="0013235B">
        <w:rPr>
          <w:b/>
        </w:rPr>
        <w:t xml:space="preserve">, </w:t>
      </w:r>
      <w:r w:rsidR="00702394" w:rsidRPr="0013235B">
        <w:rPr>
          <w:b/>
        </w:rPr>
        <w:t>right</w:t>
      </w:r>
      <w:r w:rsidR="00337442" w:rsidRPr="0013235B">
        <w:rPr>
          <w:b/>
        </w:rPr>
        <w:t xml:space="preserve"> log axis) and CXCL9 (green, right log axis) </w:t>
      </w:r>
      <w:r w:rsidR="00AC0624">
        <w:rPr>
          <w:b/>
        </w:rPr>
        <w:t>in</w:t>
      </w:r>
      <w:r w:rsidR="00CF1A67">
        <w:rPr>
          <w:b/>
        </w:rPr>
        <w:t xml:space="preserve"> </w:t>
      </w:r>
      <w:r w:rsidR="005D5711">
        <w:rPr>
          <w:b/>
        </w:rPr>
        <w:t>two</w:t>
      </w:r>
      <w:r w:rsidR="00CF1A67">
        <w:rPr>
          <w:b/>
        </w:rPr>
        <w:t xml:space="preserve"> </w:t>
      </w:r>
      <w:r w:rsidR="005614C5" w:rsidRPr="0013235B">
        <w:rPr>
          <w:b/>
        </w:rPr>
        <w:t xml:space="preserve">patients showing </w:t>
      </w:r>
      <w:r w:rsidR="00623664">
        <w:rPr>
          <w:b/>
        </w:rPr>
        <w:t xml:space="preserve">initial </w:t>
      </w:r>
      <w:r w:rsidR="005614C5" w:rsidRPr="0013235B">
        <w:rPr>
          <w:b/>
        </w:rPr>
        <w:t xml:space="preserve">rapid drug clearance with high levels of total </w:t>
      </w:r>
      <w:proofErr w:type="spellStart"/>
      <w:r w:rsidR="005D5711">
        <w:rPr>
          <w:b/>
        </w:rPr>
        <w:t>IFN</w:t>
      </w:r>
      <w:r w:rsidR="005614C5" w:rsidRPr="0013235B">
        <w:rPr>
          <w:b/>
        </w:rPr>
        <w:t>γ</w:t>
      </w:r>
      <w:proofErr w:type="spellEnd"/>
      <w:r w:rsidR="005614C5" w:rsidRPr="0013235B">
        <w:rPr>
          <w:b/>
        </w:rPr>
        <w:t xml:space="preserve"> and incomplete </w:t>
      </w:r>
      <w:proofErr w:type="spellStart"/>
      <w:r w:rsidR="005614C5" w:rsidRPr="0013235B">
        <w:rPr>
          <w:b/>
        </w:rPr>
        <w:t>neutrali</w:t>
      </w:r>
      <w:r w:rsidR="00251B35">
        <w:rPr>
          <w:b/>
        </w:rPr>
        <w:t>s</w:t>
      </w:r>
      <w:r w:rsidR="005614C5" w:rsidRPr="0013235B">
        <w:rPr>
          <w:b/>
        </w:rPr>
        <w:t>ation</w:t>
      </w:r>
      <w:proofErr w:type="spellEnd"/>
      <w:r w:rsidR="005614C5" w:rsidRPr="0013235B">
        <w:rPr>
          <w:b/>
        </w:rPr>
        <w:t xml:space="preserve"> of </w:t>
      </w:r>
      <w:proofErr w:type="spellStart"/>
      <w:r w:rsidR="00251B35">
        <w:rPr>
          <w:b/>
        </w:rPr>
        <w:t>IFN</w:t>
      </w:r>
      <w:r w:rsidR="005614C5" w:rsidRPr="0013235B">
        <w:rPr>
          <w:b/>
        </w:rPr>
        <w:t>γ</w:t>
      </w:r>
      <w:proofErr w:type="spellEnd"/>
      <w:r w:rsidR="005614C5" w:rsidRPr="0013235B">
        <w:rPr>
          <w:b/>
        </w:rPr>
        <w:t xml:space="preserve"> activity</w:t>
      </w:r>
      <w:r w:rsidR="00AC0624">
        <w:rPr>
          <w:b/>
        </w:rPr>
        <w:t>,</w:t>
      </w:r>
      <w:r w:rsidR="005614C5" w:rsidRPr="0013235B">
        <w:rPr>
          <w:b/>
        </w:rPr>
        <w:t xml:space="preserve"> as demonstrated by CXCL9 levels and insufficient </w:t>
      </w:r>
      <w:r w:rsidR="00623664">
        <w:rPr>
          <w:b/>
        </w:rPr>
        <w:t xml:space="preserve">initial </w:t>
      </w:r>
      <w:r w:rsidR="005614C5" w:rsidRPr="0013235B">
        <w:rPr>
          <w:b/>
        </w:rPr>
        <w:t>response</w:t>
      </w:r>
      <w:r w:rsidR="003543AD">
        <w:rPr>
          <w:b/>
        </w:rPr>
        <w:t>,</w:t>
      </w:r>
      <w:r w:rsidR="005614C5" w:rsidRPr="0013235B">
        <w:rPr>
          <w:b/>
        </w:rPr>
        <w:t xml:space="preserve"> as </w:t>
      </w:r>
      <w:r w:rsidR="00671822">
        <w:rPr>
          <w:b/>
        </w:rPr>
        <w:t>shown</w:t>
      </w:r>
      <w:r w:rsidR="00671822" w:rsidRPr="0013235B">
        <w:rPr>
          <w:b/>
        </w:rPr>
        <w:t xml:space="preserve"> </w:t>
      </w:r>
      <w:r w:rsidR="005614C5" w:rsidRPr="0013235B">
        <w:rPr>
          <w:b/>
        </w:rPr>
        <w:t>by ferritin levels</w:t>
      </w:r>
    </w:p>
    <w:p w14:paraId="33A08529" w14:textId="30214E89" w:rsidR="00205E9B" w:rsidRDefault="00205E9B" w:rsidP="001B77E9">
      <w:pPr>
        <w:spacing w:after="0"/>
        <w:jc w:val="center"/>
        <w:rPr>
          <w:b/>
        </w:rPr>
      </w:pPr>
      <w:r>
        <w:rPr>
          <w:b/>
        </w:rPr>
        <w:t>Patient 2</w:t>
      </w:r>
    </w:p>
    <w:p w14:paraId="50D47DAA" w14:textId="605EEFB4" w:rsidR="007136A0" w:rsidRPr="00CA1041" w:rsidRDefault="00B81C36" w:rsidP="00337442">
      <w:r>
        <w:rPr>
          <w:noProof/>
        </w:rPr>
        <w:drawing>
          <wp:inline distT="0" distB="0" distL="0" distR="0" wp14:anchorId="351EA721" wp14:editId="34F38272">
            <wp:extent cx="5943600" cy="34473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447326"/>
                    </a:xfrm>
                    <a:prstGeom prst="rect">
                      <a:avLst/>
                    </a:prstGeom>
                    <a:noFill/>
                  </pic:spPr>
                </pic:pic>
              </a:graphicData>
            </a:graphic>
          </wp:inline>
        </w:drawing>
      </w:r>
    </w:p>
    <w:p w14:paraId="3BEACB98" w14:textId="70E06D2C" w:rsidR="00E47E87" w:rsidRDefault="00FE58E6">
      <w:pPr>
        <w:rPr>
          <w:bCs/>
        </w:rPr>
      </w:pPr>
      <w:r>
        <w:rPr>
          <w:bCs/>
        </w:rPr>
        <w:t>Patient 2</w:t>
      </w:r>
      <w:r w:rsidR="00E47E87" w:rsidRPr="00E47E87">
        <w:rPr>
          <w:bCs/>
        </w:rPr>
        <w:t xml:space="preserve"> presented with rapidly worsening </w:t>
      </w:r>
      <w:r w:rsidR="00251B35">
        <w:rPr>
          <w:bCs/>
        </w:rPr>
        <w:t>MAS</w:t>
      </w:r>
      <w:r w:rsidR="00E47E87" w:rsidRPr="00E47E87">
        <w:rPr>
          <w:bCs/>
        </w:rPr>
        <w:t xml:space="preserve"> leading to multiple organ failure and hypotensive shock </w:t>
      </w:r>
      <w:r w:rsidR="00583307">
        <w:rPr>
          <w:bCs/>
        </w:rPr>
        <w:t xml:space="preserve">not </w:t>
      </w:r>
      <w:r w:rsidR="00E47E87" w:rsidRPr="00E47E87">
        <w:rPr>
          <w:bCs/>
        </w:rPr>
        <w:t>respond</w:t>
      </w:r>
      <w:r w:rsidR="00583307">
        <w:rPr>
          <w:bCs/>
        </w:rPr>
        <w:t>ing</w:t>
      </w:r>
      <w:r w:rsidR="00E47E87" w:rsidRPr="00E47E87">
        <w:rPr>
          <w:bCs/>
        </w:rPr>
        <w:t xml:space="preserve"> to </w:t>
      </w:r>
      <w:r w:rsidR="00CB273D">
        <w:rPr>
          <w:bCs/>
        </w:rPr>
        <w:t>multiple</w:t>
      </w:r>
      <w:r w:rsidR="00697D5B">
        <w:rPr>
          <w:bCs/>
        </w:rPr>
        <w:t xml:space="preserve"> </w:t>
      </w:r>
      <w:r w:rsidR="00583307">
        <w:rPr>
          <w:bCs/>
        </w:rPr>
        <w:t>1 g</w:t>
      </w:r>
      <w:r w:rsidR="00E47E87">
        <w:rPr>
          <w:bCs/>
        </w:rPr>
        <w:t xml:space="preserve"> </w:t>
      </w:r>
      <w:r w:rsidR="00E47E87" w:rsidRPr="00E47E87">
        <w:rPr>
          <w:bCs/>
        </w:rPr>
        <w:t>methylprednisolone pulses and required admission to</w:t>
      </w:r>
      <w:r w:rsidR="00583307">
        <w:rPr>
          <w:bCs/>
        </w:rPr>
        <w:t xml:space="preserve"> intensive care unit</w:t>
      </w:r>
      <w:r w:rsidR="00E47E87" w:rsidRPr="00E47E87">
        <w:rPr>
          <w:bCs/>
        </w:rPr>
        <w:t xml:space="preserve">. </w:t>
      </w:r>
      <w:r>
        <w:t>After start of emapalumab, CXCL9 levels,</w:t>
      </w:r>
      <w:r>
        <w:rPr>
          <w:bCs/>
        </w:rPr>
        <w:t xml:space="preserve"> reflecting high </w:t>
      </w:r>
      <w:proofErr w:type="spellStart"/>
      <w:r w:rsidR="00251B35">
        <w:t>IFN</w:t>
      </w:r>
      <w:r>
        <w:rPr>
          <w:rFonts w:cstheme="minorHAnsi"/>
        </w:rPr>
        <w:t>γ</w:t>
      </w:r>
      <w:proofErr w:type="spellEnd"/>
      <w:r>
        <w:rPr>
          <w:bCs/>
        </w:rPr>
        <w:t xml:space="preserve"> activity, and ferritin levels, indicating poor control of </w:t>
      </w:r>
      <w:r w:rsidR="00251B35">
        <w:rPr>
          <w:bCs/>
        </w:rPr>
        <w:t>MAS</w:t>
      </w:r>
      <w:r>
        <w:rPr>
          <w:bCs/>
        </w:rPr>
        <w:t>, continued to increase</w:t>
      </w:r>
      <w:r w:rsidR="00E47E87">
        <w:rPr>
          <w:bCs/>
        </w:rPr>
        <w:t>. At the same time</w:t>
      </w:r>
      <w:r w:rsidR="00960F33">
        <w:rPr>
          <w:bCs/>
        </w:rPr>
        <w:t>,</w:t>
      </w:r>
      <w:r w:rsidR="00E47E87">
        <w:rPr>
          <w:bCs/>
        </w:rPr>
        <w:t xml:space="preserve"> </w:t>
      </w:r>
      <w:r w:rsidR="00B84045">
        <w:rPr>
          <w:bCs/>
        </w:rPr>
        <w:t xml:space="preserve">the </w:t>
      </w:r>
      <w:r w:rsidR="00E47E87">
        <w:rPr>
          <w:bCs/>
        </w:rPr>
        <w:t xml:space="preserve">rapid decrease of emapalumab levels between infusions, together with high levels of total </w:t>
      </w:r>
      <w:proofErr w:type="spellStart"/>
      <w:r w:rsidR="00251B35">
        <w:rPr>
          <w:bCs/>
        </w:rPr>
        <w:t>IFN</w:t>
      </w:r>
      <w:r w:rsidR="00BB5BDF">
        <w:rPr>
          <w:rFonts w:cstheme="minorHAnsi"/>
        </w:rPr>
        <w:t>γ</w:t>
      </w:r>
      <w:proofErr w:type="spellEnd"/>
      <w:r w:rsidR="00960F33">
        <w:rPr>
          <w:bCs/>
        </w:rPr>
        <w:t xml:space="preserve"> (</w:t>
      </w:r>
      <w:r w:rsidR="00960F33" w:rsidRPr="00165470">
        <w:rPr>
          <w:bCs/>
        </w:rPr>
        <w:t xml:space="preserve">indicative of high </w:t>
      </w:r>
      <w:proofErr w:type="spellStart"/>
      <w:r w:rsidR="00251B35">
        <w:t>IFN</w:t>
      </w:r>
      <w:r w:rsidR="00ED79D0">
        <w:rPr>
          <w:rFonts w:cstheme="minorHAnsi"/>
        </w:rPr>
        <w:t>γ</w:t>
      </w:r>
      <w:proofErr w:type="spellEnd"/>
      <w:r w:rsidR="00ED79D0" w:rsidRPr="00165470">
        <w:rPr>
          <w:bCs/>
        </w:rPr>
        <w:t xml:space="preserve"> </w:t>
      </w:r>
      <w:r w:rsidR="00960F33" w:rsidRPr="00165470">
        <w:rPr>
          <w:bCs/>
        </w:rPr>
        <w:t>production</w:t>
      </w:r>
      <w:r w:rsidR="00960F33">
        <w:rPr>
          <w:bCs/>
        </w:rPr>
        <w:t>)</w:t>
      </w:r>
      <w:r w:rsidR="00E47E87">
        <w:rPr>
          <w:bCs/>
        </w:rPr>
        <w:t xml:space="preserve"> are consistent with </w:t>
      </w:r>
      <w:r w:rsidR="00960F33">
        <w:rPr>
          <w:bCs/>
        </w:rPr>
        <w:t xml:space="preserve">the presence of </w:t>
      </w:r>
      <w:r w:rsidR="00E47E87">
        <w:rPr>
          <w:bCs/>
        </w:rPr>
        <w:t>target</w:t>
      </w:r>
      <w:r w:rsidR="00404AE0">
        <w:rPr>
          <w:bCs/>
        </w:rPr>
        <w:t>-</w:t>
      </w:r>
      <w:r w:rsidR="00E47E87">
        <w:rPr>
          <w:bCs/>
        </w:rPr>
        <w:t>mediated drug disposition. After shortening the dosing interval to 2 days</w:t>
      </w:r>
      <w:r w:rsidR="00503E55">
        <w:rPr>
          <w:bCs/>
        </w:rPr>
        <w:t xml:space="preserve"> (from day </w:t>
      </w:r>
      <w:r w:rsidR="00BA4D8D">
        <w:rPr>
          <w:bCs/>
        </w:rPr>
        <w:t xml:space="preserve">5 </w:t>
      </w:r>
      <w:r w:rsidR="00503E55">
        <w:rPr>
          <w:bCs/>
        </w:rPr>
        <w:t xml:space="preserve">to day </w:t>
      </w:r>
      <w:r w:rsidR="00BA4D8D">
        <w:rPr>
          <w:bCs/>
        </w:rPr>
        <w:t>11</w:t>
      </w:r>
      <w:r w:rsidR="00503E55">
        <w:rPr>
          <w:bCs/>
        </w:rPr>
        <w:t>)</w:t>
      </w:r>
      <w:r w:rsidR="00E47E87">
        <w:rPr>
          <w:bCs/>
        </w:rPr>
        <w:t>, emap</w:t>
      </w:r>
      <w:r w:rsidR="00503E55">
        <w:rPr>
          <w:bCs/>
        </w:rPr>
        <w:t>al</w:t>
      </w:r>
      <w:r w:rsidR="00E47E87">
        <w:rPr>
          <w:bCs/>
        </w:rPr>
        <w:t xml:space="preserve">umab levels started to increase and this </w:t>
      </w:r>
      <w:r w:rsidR="00DB47A8">
        <w:rPr>
          <w:bCs/>
        </w:rPr>
        <w:t xml:space="preserve">was </w:t>
      </w:r>
      <w:r w:rsidR="00E47E87">
        <w:rPr>
          <w:bCs/>
        </w:rPr>
        <w:t xml:space="preserve">associated with </w:t>
      </w:r>
      <w:proofErr w:type="spellStart"/>
      <w:r w:rsidR="006E03F4">
        <w:rPr>
          <w:bCs/>
        </w:rPr>
        <w:t>neutrali</w:t>
      </w:r>
      <w:r w:rsidR="009A3C05">
        <w:rPr>
          <w:bCs/>
        </w:rPr>
        <w:t>s</w:t>
      </w:r>
      <w:r w:rsidR="006E03F4">
        <w:rPr>
          <w:bCs/>
        </w:rPr>
        <w:t>ation</w:t>
      </w:r>
      <w:proofErr w:type="spellEnd"/>
      <w:r w:rsidR="00E47E87">
        <w:rPr>
          <w:bCs/>
        </w:rPr>
        <w:t xml:space="preserve"> of </w:t>
      </w:r>
      <w:proofErr w:type="spellStart"/>
      <w:r w:rsidR="00251B35">
        <w:t>IFN</w:t>
      </w:r>
      <w:r w:rsidR="00ED79D0">
        <w:rPr>
          <w:rFonts w:cstheme="minorHAnsi"/>
        </w:rPr>
        <w:t>γ</w:t>
      </w:r>
      <w:proofErr w:type="spellEnd"/>
      <w:r w:rsidR="00ED79D0">
        <w:rPr>
          <w:bCs/>
        </w:rPr>
        <w:t xml:space="preserve"> </w:t>
      </w:r>
      <w:r w:rsidR="00E47E87">
        <w:rPr>
          <w:bCs/>
        </w:rPr>
        <w:t xml:space="preserve">activity, as shown by decreased in CXCL9 levels and by a subsequent decrease in ferritin levels (and of all other </w:t>
      </w:r>
      <w:r w:rsidR="00251B35">
        <w:rPr>
          <w:bCs/>
        </w:rPr>
        <w:t>MAS</w:t>
      </w:r>
      <w:r w:rsidR="00B84045">
        <w:rPr>
          <w:bCs/>
        </w:rPr>
        <w:t xml:space="preserve"> </w:t>
      </w:r>
      <w:r w:rsidR="00E47E87">
        <w:rPr>
          <w:bCs/>
        </w:rPr>
        <w:t xml:space="preserve">parameters </w:t>
      </w:r>
      <w:r w:rsidR="00967D80">
        <w:rPr>
          <w:bCs/>
        </w:rPr>
        <w:t>[</w:t>
      </w:r>
      <w:r w:rsidR="00E47E87">
        <w:rPr>
          <w:bCs/>
        </w:rPr>
        <w:t>not shown</w:t>
      </w:r>
      <w:r w:rsidR="00967D80">
        <w:rPr>
          <w:bCs/>
        </w:rPr>
        <w:t>]</w:t>
      </w:r>
      <w:r w:rsidR="00E47E87">
        <w:rPr>
          <w:bCs/>
        </w:rPr>
        <w:t xml:space="preserve">), reflecting progressive control of </w:t>
      </w:r>
      <w:r w:rsidR="00251B35">
        <w:rPr>
          <w:bCs/>
        </w:rPr>
        <w:t>MAS</w:t>
      </w:r>
      <w:r w:rsidR="00B84045">
        <w:rPr>
          <w:bCs/>
        </w:rPr>
        <w:t xml:space="preserve"> </w:t>
      </w:r>
      <w:r w:rsidR="00E47E87">
        <w:rPr>
          <w:bCs/>
        </w:rPr>
        <w:t>activity</w:t>
      </w:r>
      <w:r w:rsidR="005D36C4">
        <w:rPr>
          <w:bCs/>
        </w:rPr>
        <w:t>.</w:t>
      </w:r>
      <w:r w:rsidR="00E47E87">
        <w:rPr>
          <w:bCs/>
        </w:rPr>
        <w:t xml:space="preserve"> </w:t>
      </w:r>
    </w:p>
    <w:p w14:paraId="0E7AF4F4" w14:textId="26144E6B" w:rsidR="00FE58E6" w:rsidRDefault="00FE58E6" w:rsidP="000B500F">
      <w:pPr>
        <w:rPr>
          <w:b/>
        </w:rPr>
      </w:pPr>
    </w:p>
    <w:p w14:paraId="1E140005" w14:textId="77777777" w:rsidR="00FE58E6" w:rsidRDefault="00FE58E6" w:rsidP="00FE58E6">
      <w:pPr>
        <w:spacing w:after="0"/>
        <w:jc w:val="center"/>
        <w:rPr>
          <w:b/>
        </w:rPr>
      </w:pPr>
    </w:p>
    <w:p w14:paraId="00518F52" w14:textId="77777777" w:rsidR="00FE58E6" w:rsidRDefault="00FE58E6" w:rsidP="00FE58E6">
      <w:pPr>
        <w:spacing w:after="0"/>
        <w:jc w:val="center"/>
        <w:rPr>
          <w:b/>
        </w:rPr>
      </w:pPr>
    </w:p>
    <w:p w14:paraId="53F3E58D" w14:textId="77777777" w:rsidR="00FE58E6" w:rsidRDefault="00FE58E6" w:rsidP="00FE58E6">
      <w:pPr>
        <w:spacing w:after="0"/>
        <w:jc w:val="center"/>
        <w:rPr>
          <w:b/>
        </w:rPr>
      </w:pPr>
    </w:p>
    <w:p w14:paraId="6D656184" w14:textId="77777777" w:rsidR="00C14D51" w:rsidRDefault="00C14D51">
      <w:pPr>
        <w:rPr>
          <w:b/>
        </w:rPr>
      </w:pPr>
      <w:r>
        <w:rPr>
          <w:b/>
        </w:rPr>
        <w:br w:type="page"/>
      </w:r>
    </w:p>
    <w:p w14:paraId="2DDAA1E7" w14:textId="212D9978" w:rsidR="00FE58E6" w:rsidRDefault="00FE58E6" w:rsidP="00FE58E6">
      <w:pPr>
        <w:spacing w:after="0"/>
        <w:jc w:val="center"/>
        <w:rPr>
          <w:b/>
        </w:rPr>
      </w:pPr>
      <w:r>
        <w:rPr>
          <w:b/>
        </w:rPr>
        <w:lastRenderedPageBreak/>
        <w:t>Patient 5</w:t>
      </w:r>
    </w:p>
    <w:p w14:paraId="3D88EEA0" w14:textId="6E876B13" w:rsidR="00CB2724" w:rsidRDefault="00521CFC" w:rsidP="00800D33">
      <w:pPr>
        <w:jc w:val="center"/>
        <w:rPr>
          <w:bCs/>
        </w:rPr>
      </w:pPr>
      <w:r>
        <w:rPr>
          <w:bCs/>
          <w:noProof/>
        </w:rPr>
        <w:drawing>
          <wp:inline distT="0" distB="0" distL="0" distR="0" wp14:anchorId="5C23B1E2" wp14:editId="606C2036">
            <wp:extent cx="5794356" cy="336042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9454" cy="3363376"/>
                    </a:xfrm>
                    <a:prstGeom prst="rect">
                      <a:avLst/>
                    </a:prstGeom>
                    <a:noFill/>
                  </pic:spPr>
                </pic:pic>
              </a:graphicData>
            </a:graphic>
          </wp:inline>
        </w:drawing>
      </w:r>
    </w:p>
    <w:p w14:paraId="3804128E" w14:textId="63861CA5" w:rsidR="00165470" w:rsidRDefault="00503E55" w:rsidP="00503E55">
      <w:pPr>
        <w:rPr>
          <w:bCs/>
        </w:rPr>
      </w:pPr>
      <w:r w:rsidRPr="00165470">
        <w:rPr>
          <w:bCs/>
        </w:rPr>
        <w:t>P</w:t>
      </w:r>
      <w:r w:rsidR="00FE58E6">
        <w:rPr>
          <w:bCs/>
        </w:rPr>
        <w:t>atient 5</w:t>
      </w:r>
      <w:r w:rsidRPr="00165470">
        <w:rPr>
          <w:bCs/>
        </w:rPr>
        <w:t xml:space="preserve"> presented</w:t>
      </w:r>
      <w:r w:rsidR="006E03F4">
        <w:rPr>
          <w:bCs/>
        </w:rPr>
        <w:t xml:space="preserve"> with</w:t>
      </w:r>
      <w:r w:rsidRPr="00165470">
        <w:rPr>
          <w:bCs/>
        </w:rPr>
        <w:t xml:space="preserve"> chronic relapsing </w:t>
      </w:r>
      <w:r w:rsidR="00251B35">
        <w:rPr>
          <w:bCs/>
        </w:rPr>
        <w:t>MAS</w:t>
      </w:r>
      <w:r w:rsidRPr="00165470">
        <w:rPr>
          <w:bCs/>
        </w:rPr>
        <w:t xml:space="preserve"> having failed multiple treatments in the </w:t>
      </w:r>
      <w:r w:rsidR="00720149">
        <w:rPr>
          <w:bCs/>
        </w:rPr>
        <w:t>previous</w:t>
      </w:r>
      <w:r w:rsidRPr="00165470">
        <w:rPr>
          <w:bCs/>
        </w:rPr>
        <w:t xml:space="preserve"> 2 months, including multiple pulses of glucocorticoids, anakinra and tocilizumab. After </w:t>
      </w:r>
      <w:r w:rsidR="00961A35">
        <w:rPr>
          <w:bCs/>
        </w:rPr>
        <w:t xml:space="preserve">an </w:t>
      </w:r>
      <w:r w:rsidRPr="00165470">
        <w:rPr>
          <w:bCs/>
        </w:rPr>
        <w:t>initial response to emapalumab</w:t>
      </w:r>
      <w:r w:rsidR="00961A35">
        <w:rPr>
          <w:bCs/>
        </w:rPr>
        <w:t>,</w:t>
      </w:r>
      <w:r w:rsidRPr="00165470">
        <w:rPr>
          <w:bCs/>
        </w:rPr>
        <w:t xml:space="preserve"> with a</w:t>
      </w:r>
      <w:r w:rsidR="00165470">
        <w:rPr>
          <w:bCs/>
        </w:rPr>
        <w:t>n evident</w:t>
      </w:r>
      <w:r w:rsidRPr="00165470">
        <w:rPr>
          <w:bCs/>
        </w:rPr>
        <w:t xml:space="preserve"> decrease in ferritin levels, an increase in ferritin </w:t>
      </w:r>
      <w:r w:rsidR="00165470">
        <w:rPr>
          <w:bCs/>
        </w:rPr>
        <w:t>is</w:t>
      </w:r>
      <w:r w:rsidR="00165470" w:rsidRPr="00165470">
        <w:rPr>
          <w:bCs/>
        </w:rPr>
        <w:t xml:space="preserve"> </w:t>
      </w:r>
      <w:r w:rsidRPr="00165470">
        <w:rPr>
          <w:bCs/>
        </w:rPr>
        <w:t>observed</w:t>
      </w:r>
      <w:r w:rsidR="00A00E36">
        <w:rPr>
          <w:bCs/>
        </w:rPr>
        <w:t>,</w:t>
      </w:r>
      <w:r w:rsidRPr="00165470">
        <w:rPr>
          <w:bCs/>
        </w:rPr>
        <w:t xml:space="preserve"> </w:t>
      </w:r>
      <w:r w:rsidR="00D56828">
        <w:rPr>
          <w:bCs/>
        </w:rPr>
        <w:t>occurring</w:t>
      </w:r>
      <w:r w:rsidRPr="00165470">
        <w:rPr>
          <w:bCs/>
        </w:rPr>
        <w:t xml:space="preserve"> at </w:t>
      </w:r>
      <w:r w:rsidR="00165470">
        <w:rPr>
          <w:bCs/>
        </w:rPr>
        <w:t>the</w:t>
      </w:r>
      <w:r w:rsidRPr="00165470">
        <w:rPr>
          <w:bCs/>
        </w:rPr>
        <w:t xml:space="preserve"> time of </w:t>
      </w:r>
      <w:r w:rsidR="00251B35">
        <w:rPr>
          <w:bCs/>
        </w:rPr>
        <w:t>CMV</w:t>
      </w:r>
      <w:r w:rsidR="00251B35" w:rsidRPr="00165470">
        <w:rPr>
          <w:bCs/>
        </w:rPr>
        <w:t xml:space="preserve"> </w:t>
      </w:r>
      <w:r w:rsidRPr="00165470">
        <w:rPr>
          <w:bCs/>
        </w:rPr>
        <w:t>reactivation.</w:t>
      </w:r>
      <w:r w:rsidR="00800D33">
        <w:rPr>
          <w:bCs/>
        </w:rPr>
        <w:t xml:space="preserve"> </w:t>
      </w:r>
      <w:r w:rsidR="009C5FB5">
        <w:rPr>
          <w:bCs/>
        </w:rPr>
        <w:t>The concomitant</w:t>
      </w:r>
      <w:r w:rsidR="00165470" w:rsidRPr="00165470">
        <w:rPr>
          <w:bCs/>
        </w:rPr>
        <w:t xml:space="preserve"> rapid decrease of emapalumab levels between infusions, together with </w:t>
      </w:r>
      <w:r w:rsidR="00165470">
        <w:rPr>
          <w:bCs/>
        </w:rPr>
        <w:t xml:space="preserve">persistently </w:t>
      </w:r>
      <w:r w:rsidR="00165470" w:rsidRPr="00165470">
        <w:rPr>
          <w:bCs/>
        </w:rPr>
        <w:t>h</w:t>
      </w:r>
      <w:r w:rsidR="00960F33">
        <w:rPr>
          <w:bCs/>
        </w:rPr>
        <w:t xml:space="preserve">igh levels of total </w:t>
      </w:r>
      <w:proofErr w:type="spellStart"/>
      <w:r w:rsidR="00251B35">
        <w:t>IFN</w:t>
      </w:r>
      <w:r w:rsidR="00ED79D0">
        <w:rPr>
          <w:rFonts w:cstheme="minorHAnsi"/>
        </w:rPr>
        <w:t>γ</w:t>
      </w:r>
      <w:proofErr w:type="spellEnd"/>
      <w:r w:rsidR="00ED79D0">
        <w:rPr>
          <w:bCs/>
        </w:rPr>
        <w:t xml:space="preserve"> </w:t>
      </w:r>
      <w:r w:rsidR="00960F33">
        <w:rPr>
          <w:bCs/>
        </w:rPr>
        <w:t>(</w:t>
      </w:r>
      <w:r w:rsidR="00165470" w:rsidRPr="00165470">
        <w:rPr>
          <w:bCs/>
        </w:rPr>
        <w:t xml:space="preserve">indicative of high </w:t>
      </w:r>
      <w:proofErr w:type="spellStart"/>
      <w:r w:rsidR="00251B35">
        <w:t>IFN</w:t>
      </w:r>
      <w:r w:rsidR="00ED79D0">
        <w:rPr>
          <w:rFonts w:cstheme="minorHAnsi"/>
        </w:rPr>
        <w:t>γ</w:t>
      </w:r>
      <w:proofErr w:type="spellEnd"/>
      <w:r w:rsidR="00ED79D0" w:rsidRPr="00165470">
        <w:rPr>
          <w:bCs/>
        </w:rPr>
        <w:t xml:space="preserve"> </w:t>
      </w:r>
      <w:r w:rsidR="00165470" w:rsidRPr="00165470">
        <w:rPr>
          <w:bCs/>
        </w:rPr>
        <w:t>production</w:t>
      </w:r>
      <w:r w:rsidR="00960F33">
        <w:rPr>
          <w:bCs/>
        </w:rPr>
        <w:t>)</w:t>
      </w:r>
      <w:r w:rsidR="00165470" w:rsidRPr="00165470">
        <w:rPr>
          <w:bCs/>
        </w:rPr>
        <w:t xml:space="preserve"> are consistent with</w:t>
      </w:r>
      <w:r w:rsidR="00960F33">
        <w:rPr>
          <w:bCs/>
        </w:rPr>
        <w:t xml:space="preserve"> the presence of</w:t>
      </w:r>
      <w:r w:rsidR="00165470" w:rsidRPr="00165470">
        <w:rPr>
          <w:bCs/>
        </w:rPr>
        <w:t xml:space="preserve"> target mediated drug disposition. </w:t>
      </w:r>
      <w:r w:rsidR="00165470">
        <w:rPr>
          <w:bCs/>
        </w:rPr>
        <w:t>S</w:t>
      </w:r>
      <w:r w:rsidR="00165470" w:rsidRPr="00F24850">
        <w:rPr>
          <w:bCs/>
        </w:rPr>
        <w:t xml:space="preserve">ustained increase in levels of total </w:t>
      </w:r>
      <w:proofErr w:type="spellStart"/>
      <w:r w:rsidR="00251B35">
        <w:t>IFN</w:t>
      </w:r>
      <w:r w:rsidR="00ED79D0">
        <w:rPr>
          <w:rFonts w:cstheme="minorHAnsi"/>
        </w:rPr>
        <w:t>γ</w:t>
      </w:r>
      <w:proofErr w:type="spellEnd"/>
      <w:r w:rsidR="0013235B">
        <w:rPr>
          <w:bCs/>
        </w:rPr>
        <w:t xml:space="preserve"> (</w:t>
      </w:r>
      <w:r w:rsidR="00165470" w:rsidRPr="00F24850">
        <w:rPr>
          <w:bCs/>
        </w:rPr>
        <w:t xml:space="preserve">indicative of high </w:t>
      </w:r>
      <w:proofErr w:type="spellStart"/>
      <w:r w:rsidR="00251B35">
        <w:t>IFN</w:t>
      </w:r>
      <w:r w:rsidR="00ED79D0">
        <w:rPr>
          <w:rFonts w:cstheme="minorHAnsi"/>
        </w:rPr>
        <w:t>γ</w:t>
      </w:r>
      <w:proofErr w:type="spellEnd"/>
      <w:r w:rsidR="00ED79D0" w:rsidRPr="00F24850">
        <w:rPr>
          <w:bCs/>
        </w:rPr>
        <w:t xml:space="preserve"> </w:t>
      </w:r>
      <w:r w:rsidR="00165470" w:rsidRPr="00F24850">
        <w:rPr>
          <w:bCs/>
        </w:rPr>
        <w:t>production</w:t>
      </w:r>
      <w:r w:rsidR="0013235B">
        <w:rPr>
          <w:bCs/>
        </w:rPr>
        <w:t>),</w:t>
      </w:r>
      <w:r w:rsidR="00165470" w:rsidRPr="00F24850">
        <w:rPr>
          <w:bCs/>
        </w:rPr>
        <w:t xml:space="preserve"> of </w:t>
      </w:r>
      <w:r w:rsidR="00251B35">
        <w:rPr>
          <w:bCs/>
        </w:rPr>
        <w:t>sIL-2R</w:t>
      </w:r>
      <w:r w:rsidR="0013235B">
        <w:rPr>
          <w:bCs/>
        </w:rPr>
        <w:t xml:space="preserve"> (</w:t>
      </w:r>
      <w:r w:rsidR="00165470" w:rsidRPr="00F24850">
        <w:rPr>
          <w:bCs/>
        </w:rPr>
        <w:t>reflecting T cell activation</w:t>
      </w:r>
      <w:r w:rsidR="0013235B">
        <w:rPr>
          <w:bCs/>
        </w:rPr>
        <w:t>)</w:t>
      </w:r>
      <w:r w:rsidR="00165470" w:rsidRPr="00F24850">
        <w:rPr>
          <w:bCs/>
        </w:rPr>
        <w:t xml:space="preserve"> and of ferritin</w:t>
      </w:r>
      <w:r w:rsidR="0013235B">
        <w:rPr>
          <w:bCs/>
        </w:rPr>
        <w:t xml:space="preserve"> (</w:t>
      </w:r>
      <w:r w:rsidR="00165470" w:rsidRPr="00F24850">
        <w:rPr>
          <w:bCs/>
        </w:rPr>
        <w:t>reflecti</w:t>
      </w:r>
      <w:r w:rsidR="00165470">
        <w:rPr>
          <w:bCs/>
        </w:rPr>
        <w:t xml:space="preserve">ng poor control of </w:t>
      </w:r>
      <w:r w:rsidR="00251B35">
        <w:rPr>
          <w:bCs/>
        </w:rPr>
        <w:t>MAS</w:t>
      </w:r>
      <w:r w:rsidR="00165470">
        <w:rPr>
          <w:bCs/>
        </w:rPr>
        <w:t xml:space="preserve"> activity</w:t>
      </w:r>
      <w:r w:rsidR="0013235B">
        <w:rPr>
          <w:bCs/>
        </w:rPr>
        <w:t>)</w:t>
      </w:r>
      <w:r w:rsidR="00165470">
        <w:rPr>
          <w:bCs/>
        </w:rPr>
        <w:t xml:space="preserve"> subsided</w:t>
      </w:r>
      <w:r w:rsidR="00AE11AB" w:rsidRPr="00AE11AB">
        <w:rPr>
          <w:bCs/>
        </w:rPr>
        <w:t xml:space="preserve"> </w:t>
      </w:r>
      <w:r w:rsidR="00AE11AB">
        <w:rPr>
          <w:bCs/>
        </w:rPr>
        <w:t>a</w:t>
      </w:r>
      <w:r w:rsidR="00AE11AB" w:rsidRPr="00AE11AB">
        <w:rPr>
          <w:bCs/>
        </w:rPr>
        <w:t xml:space="preserve">fter shortening the dosing interval to 2 days (from day </w:t>
      </w:r>
      <w:r w:rsidR="00E85B7B">
        <w:rPr>
          <w:bCs/>
        </w:rPr>
        <w:t>3</w:t>
      </w:r>
      <w:r w:rsidR="00AE11AB">
        <w:rPr>
          <w:bCs/>
        </w:rPr>
        <w:t xml:space="preserve"> </w:t>
      </w:r>
      <w:r w:rsidR="00AE11AB" w:rsidRPr="00AE11AB">
        <w:rPr>
          <w:bCs/>
        </w:rPr>
        <w:t xml:space="preserve">to day </w:t>
      </w:r>
      <w:r w:rsidR="00E85B7B">
        <w:rPr>
          <w:bCs/>
        </w:rPr>
        <w:t>25</w:t>
      </w:r>
      <w:r w:rsidR="00AE11AB" w:rsidRPr="00AE11AB">
        <w:rPr>
          <w:bCs/>
        </w:rPr>
        <w:t>)</w:t>
      </w:r>
      <w:r w:rsidR="00165470">
        <w:rPr>
          <w:bCs/>
        </w:rPr>
        <w:t xml:space="preserve">. Progressive control of </w:t>
      </w:r>
      <w:r w:rsidR="00251B35">
        <w:rPr>
          <w:bCs/>
        </w:rPr>
        <w:t>MAS</w:t>
      </w:r>
      <w:r w:rsidR="00165470">
        <w:rPr>
          <w:bCs/>
        </w:rPr>
        <w:t xml:space="preserve"> activity was achieved.</w:t>
      </w:r>
    </w:p>
    <w:p w14:paraId="7497C8A6" w14:textId="77777777" w:rsidR="00A83E9E" w:rsidRDefault="00A83E9E" w:rsidP="000B500F">
      <w:pPr>
        <w:spacing w:after="0"/>
        <w:rPr>
          <w:bCs/>
        </w:rPr>
      </w:pPr>
    </w:p>
    <w:p w14:paraId="5F518D0F" w14:textId="50CA1BC2" w:rsidR="000B500F" w:rsidRDefault="00961A35" w:rsidP="000B500F">
      <w:pPr>
        <w:spacing w:after="0"/>
        <w:rPr>
          <w:bCs/>
        </w:rPr>
      </w:pPr>
      <w:r>
        <w:rPr>
          <w:bCs/>
        </w:rPr>
        <w:t>Abbreviations:</w:t>
      </w:r>
    </w:p>
    <w:p w14:paraId="1CC6A205" w14:textId="6CC92A84" w:rsidR="00961A35" w:rsidRDefault="00251B35" w:rsidP="000B500F">
      <w:pPr>
        <w:spacing w:after="0"/>
        <w:rPr>
          <w:bCs/>
        </w:rPr>
      </w:pPr>
      <w:r>
        <w:rPr>
          <w:bCs/>
        </w:rPr>
        <w:t xml:space="preserve">CMV, cytomegalovirus; </w:t>
      </w:r>
      <w:proofErr w:type="spellStart"/>
      <w:r w:rsidR="00961A35">
        <w:rPr>
          <w:bCs/>
        </w:rPr>
        <w:t>IFN</w:t>
      </w:r>
      <w:r w:rsidR="00961A35" w:rsidRPr="00961A35">
        <w:rPr>
          <w:bCs/>
        </w:rPr>
        <w:t>γ</w:t>
      </w:r>
      <w:proofErr w:type="spellEnd"/>
      <w:r w:rsidR="00961A35">
        <w:rPr>
          <w:bCs/>
        </w:rPr>
        <w:t xml:space="preserve">, interferon gamma; </w:t>
      </w:r>
      <w:r>
        <w:rPr>
          <w:bCs/>
        </w:rPr>
        <w:t xml:space="preserve">MAS, macrophage activation syndrome; </w:t>
      </w:r>
      <w:r w:rsidR="00961A35">
        <w:rPr>
          <w:bCs/>
        </w:rPr>
        <w:t>sIL-2R, soluble interleukin-2 receptor</w:t>
      </w:r>
    </w:p>
    <w:p w14:paraId="77BCB561" w14:textId="77777777" w:rsidR="00503E55" w:rsidRDefault="00503E55">
      <w:pPr>
        <w:rPr>
          <w:b/>
          <w:bCs/>
          <w:highlight w:val="yellow"/>
        </w:rPr>
      </w:pPr>
    </w:p>
    <w:p w14:paraId="3BF8AF33" w14:textId="37E312B5" w:rsidR="003F68E6" w:rsidRDefault="00184362" w:rsidP="00184362">
      <w:pPr>
        <w:rPr>
          <w:b/>
          <w:bCs/>
        </w:rPr>
      </w:pPr>
      <w:r>
        <w:rPr>
          <w:b/>
          <w:bCs/>
          <w:highlight w:val="yellow"/>
        </w:rPr>
        <w:br w:type="page"/>
      </w:r>
      <w:r>
        <w:rPr>
          <w:b/>
          <w:bCs/>
        </w:rPr>
        <w:lastRenderedPageBreak/>
        <w:t xml:space="preserve">Figure S3. Serum emapalumab levels during </w:t>
      </w:r>
      <w:r w:rsidR="00C2318F">
        <w:rPr>
          <w:b/>
          <w:bCs/>
        </w:rPr>
        <w:t>the</w:t>
      </w:r>
      <w:r w:rsidR="000E3562">
        <w:rPr>
          <w:b/>
          <w:bCs/>
        </w:rPr>
        <w:t xml:space="preserve"> NI-0501-06</w:t>
      </w:r>
      <w:r w:rsidR="00C2318F">
        <w:rPr>
          <w:b/>
          <w:bCs/>
        </w:rPr>
        <w:t xml:space="preserve"> study and the </w:t>
      </w:r>
      <w:r>
        <w:rPr>
          <w:b/>
          <w:bCs/>
        </w:rPr>
        <w:t>long-term follow-up</w:t>
      </w:r>
      <w:r w:rsidR="00672209">
        <w:rPr>
          <w:b/>
          <w:bCs/>
        </w:rPr>
        <w:t xml:space="preserve"> study</w:t>
      </w:r>
    </w:p>
    <w:p w14:paraId="3A4CDF15" w14:textId="77777777" w:rsidR="0031017B" w:rsidRDefault="0049192C">
      <w:pPr>
        <w:rPr>
          <w:b/>
          <w:bCs/>
        </w:rPr>
      </w:pPr>
      <w:r>
        <w:rPr>
          <w:b/>
          <w:bCs/>
          <w:noProof/>
        </w:rPr>
        <w:drawing>
          <wp:inline distT="0" distB="0" distL="0" distR="0" wp14:anchorId="4024163D" wp14:editId="12917731">
            <wp:extent cx="4566139" cy="3196069"/>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7684" cy="3204150"/>
                    </a:xfrm>
                    <a:prstGeom prst="rect">
                      <a:avLst/>
                    </a:prstGeom>
                    <a:noFill/>
                  </pic:spPr>
                </pic:pic>
              </a:graphicData>
            </a:graphic>
          </wp:inline>
        </w:drawing>
      </w:r>
    </w:p>
    <w:p w14:paraId="5A3167B3" w14:textId="77777777" w:rsidR="00CC0326" w:rsidRDefault="00C11887">
      <w:r>
        <w:t>Median half-life during the long</w:t>
      </w:r>
      <w:r w:rsidR="004E4E16">
        <w:t>-</w:t>
      </w:r>
      <w:r>
        <w:t xml:space="preserve">term follow-up in the absence of </w:t>
      </w:r>
      <w:r w:rsidR="00ED79D0">
        <w:t>interferon-</w:t>
      </w:r>
      <w:r w:rsidR="00ED79D0">
        <w:rPr>
          <w:rFonts w:cstheme="minorHAnsi"/>
        </w:rPr>
        <w:t>γ</w:t>
      </w:r>
      <w:r w:rsidR="00ED79D0">
        <w:t xml:space="preserve"> </w:t>
      </w:r>
      <w:r>
        <w:t xml:space="preserve">production was </w:t>
      </w:r>
      <w:r w:rsidR="0013235B" w:rsidRPr="00E72F96">
        <w:rPr>
          <w:rFonts w:cstheme="minorHAnsi"/>
          <w:szCs w:val="18"/>
        </w:rPr>
        <w:t>24 days</w:t>
      </w:r>
      <w:r w:rsidR="0013235B">
        <w:t xml:space="preserve">, with a range from </w:t>
      </w:r>
      <w:r w:rsidR="0013235B" w:rsidRPr="00E72F96">
        <w:rPr>
          <w:rFonts w:cstheme="minorHAnsi"/>
          <w:szCs w:val="18"/>
        </w:rPr>
        <w:t>6.1</w:t>
      </w:r>
      <w:r w:rsidR="0013235B">
        <w:t xml:space="preserve"> to </w:t>
      </w:r>
      <w:r w:rsidR="0013235B">
        <w:rPr>
          <w:rFonts w:cstheme="minorHAnsi"/>
          <w:szCs w:val="18"/>
        </w:rPr>
        <w:t xml:space="preserve">32.4 </w:t>
      </w:r>
      <w:r>
        <w:t xml:space="preserve">days. </w:t>
      </w:r>
    </w:p>
    <w:p w14:paraId="37ED4E80" w14:textId="040BF7E3" w:rsidR="003F68E6" w:rsidRPr="0031017B" w:rsidRDefault="0013235B">
      <w:pPr>
        <w:rPr>
          <w:b/>
          <w:bCs/>
        </w:rPr>
      </w:pPr>
      <w:r>
        <w:t>Dotted</w:t>
      </w:r>
      <w:r w:rsidR="0031017B">
        <w:t xml:space="preserve"> line represents the l</w:t>
      </w:r>
      <w:r>
        <w:t xml:space="preserve">ower limit of quantification </w:t>
      </w:r>
      <w:r w:rsidR="00CC0326">
        <w:t>(</w:t>
      </w:r>
      <w:r w:rsidR="0031017B">
        <w:t>62.5 ng/mL</w:t>
      </w:r>
      <w:r w:rsidR="00CC0326">
        <w:t>)</w:t>
      </w:r>
      <w:r>
        <w:t>.</w:t>
      </w:r>
      <w:r w:rsidR="003F68E6" w:rsidRPr="0031017B">
        <w:rPr>
          <w:b/>
          <w:bCs/>
        </w:rPr>
        <w:br w:type="page"/>
      </w:r>
    </w:p>
    <w:p w14:paraId="73FE4E81" w14:textId="72B2E89E" w:rsidR="000D16DF" w:rsidRDefault="003F68E6" w:rsidP="000D16DF">
      <w:pPr>
        <w:tabs>
          <w:tab w:val="left" w:pos="7034"/>
        </w:tabs>
        <w:rPr>
          <w:b/>
          <w:bCs/>
        </w:rPr>
      </w:pPr>
      <w:r>
        <w:rPr>
          <w:b/>
          <w:bCs/>
        </w:rPr>
        <w:lastRenderedPageBreak/>
        <w:t>Figure S4. Laboratory parameters</w:t>
      </w:r>
      <w:r w:rsidR="00825F4C">
        <w:rPr>
          <w:b/>
          <w:bCs/>
        </w:rPr>
        <w:t xml:space="preserve"> of </w:t>
      </w:r>
      <w:r w:rsidR="00697D5B">
        <w:rPr>
          <w:b/>
          <w:bCs/>
        </w:rPr>
        <w:t>MAS</w:t>
      </w:r>
      <w:r w:rsidR="00662EDC">
        <w:rPr>
          <w:b/>
          <w:bCs/>
        </w:rPr>
        <w:t xml:space="preserve">, in addition to those shown in Fig </w:t>
      </w:r>
      <w:r w:rsidR="00ED4C54">
        <w:rPr>
          <w:b/>
          <w:bCs/>
        </w:rPr>
        <w:t>3</w:t>
      </w:r>
      <w:r w:rsidR="004B522C">
        <w:rPr>
          <w:b/>
          <w:bCs/>
        </w:rPr>
        <w:t>,</w:t>
      </w:r>
      <w:r w:rsidR="00662EDC">
        <w:rPr>
          <w:b/>
          <w:bCs/>
        </w:rPr>
        <w:t xml:space="preserve"> </w:t>
      </w:r>
      <w:r w:rsidR="000816D3">
        <w:rPr>
          <w:b/>
          <w:bCs/>
        </w:rPr>
        <w:t xml:space="preserve">of individual patients </w:t>
      </w:r>
      <w:r w:rsidR="004B522C">
        <w:rPr>
          <w:b/>
          <w:bCs/>
        </w:rPr>
        <w:t xml:space="preserve">depicting </w:t>
      </w:r>
      <w:r w:rsidR="00825F4C">
        <w:rPr>
          <w:b/>
          <w:bCs/>
        </w:rPr>
        <w:t>WBC</w:t>
      </w:r>
      <w:r w:rsidR="00251B35">
        <w:rPr>
          <w:b/>
          <w:bCs/>
        </w:rPr>
        <w:t xml:space="preserve">s </w:t>
      </w:r>
      <w:r w:rsidR="00B27CDA">
        <w:rPr>
          <w:b/>
          <w:bCs/>
        </w:rPr>
        <w:t xml:space="preserve">(A), </w:t>
      </w:r>
      <w:r w:rsidR="003A5375">
        <w:rPr>
          <w:b/>
          <w:bCs/>
        </w:rPr>
        <w:t>fibrinogen (</w:t>
      </w:r>
      <w:r w:rsidR="00215F37">
        <w:rPr>
          <w:b/>
          <w:bCs/>
        </w:rPr>
        <w:t>B</w:t>
      </w:r>
      <w:r w:rsidR="003A5375">
        <w:rPr>
          <w:b/>
          <w:bCs/>
        </w:rPr>
        <w:t xml:space="preserve">), </w:t>
      </w:r>
      <w:r w:rsidR="001B3362">
        <w:rPr>
          <w:b/>
          <w:bCs/>
        </w:rPr>
        <w:t>alanine aminotransferase (</w:t>
      </w:r>
      <w:r w:rsidR="00215F37">
        <w:rPr>
          <w:b/>
          <w:bCs/>
        </w:rPr>
        <w:t>C</w:t>
      </w:r>
      <w:r w:rsidR="001B3362">
        <w:rPr>
          <w:b/>
          <w:bCs/>
        </w:rPr>
        <w:t>)</w:t>
      </w:r>
      <w:r w:rsidR="00ED1D0A">
        <w:rPr>
          <w:b/>
          <w:bCs/>
        </w:rPr>
        <w:t xml:space="preserve"> </w:t>
      </w:r>
      <w:r w:rsidR="00C115F4">
        <w:rPr>
          <w:b/>
          <w:bCs/>
        </w:rPr>
        <w:t>befor</w:t>
      </w:r>
      <w:r w:rsidR="00C90062">
        <w:rPr>
          <w:b/>
          <w:bCs/>
        </w:rPr>
        <w:t>e</w:t>
      </w:r>
      <w:r w:rsidR="00C115F4">
        <w:rPr>
          <w:b/>
          <w:bCs/>
        </w:rPr>
        <w:t>, during and a</w:t>
      </w:r>
      <w:r w:rsidR="00C90062">
        <w:rPr>
          <w:b/>
          <w:bCs/>
        </w:rPr>
        <w:t xml:space="preserve">fter </w:t>
      </w:r>
      <w:r w:rsidR="00C115F4">
        <w:rPr>
          <w:b/>
          <w:bCs/>
        </w:rPr>
        <w:t>emapalumab treatment</w:t>
      </w:r>
    </w:p>
    <w:p w14:paraId="219143A8" w14:textId="38010AA2" w:rsidR="00432D6B" w:rsidRDefault="00DA5740" w:rsidP="000D16DF">
      <w:pPr>
        <w:tabs>
          <w:tab w:val="left" w:pos="7034"/>
        </w:tabs>
        <w:rPr>
          <w:b/>
          <w:bCs/>
        </w:rPr>
      </w:pPr>
      <w:r>
        <w:rPr>
          <w:b/>
          <w:bCs/>
          <w:noProof/>
        </w:rPr>
        <w:drawing>
          <wp:inline distT="0" distB="0" distL="0" distR="0" wp14:anchorId="55A558EE" wp14:editId="311B5F78">
            <wp:extent cx="5934075" cy="1990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1990725"/>
                    </a:xfrm>
                    <a:prstGeom prst="rect">
                      <a:avLst/>
                    </a:prstGeom>
                    <a:noFill/>
                    <a:ln>
                      <a:noFill/>
                    </a:ln>
                  </pic:spPr>
                </pic:pic>
              </a:graphicData>
            </a:graphic>
          </wp:inline>
        </w:drawing>
      </w:r>
    </w:p>
    <w:p w14:paraId="17C1DF72" w14:textId="17B03C59" w:rsidR="00681E2A" w:rsidRDefault="00681E2A" w:rsidP="00FE58E6">
      <w:pPr>
        <w:tabs>
          <w:tab w:val="left" w:pos="7034"/>
        </w:tabs>
        <w:rPr>
          <w:bCs/>
        </w:rPr>
      </w:pPr>
    </w:p>
    <w:p w14:paraId="45D710D4" w14:textId="42328884" w:rsidR="00DB60EB" w:rsidRDefault="00ED2752" w:rsidP="00FE58E6">
      <w:pPr>
        <w:tabs>
          <w:tab w:val="left" w:pos="7034"/>
        </w:tabs>
        <w:rPr>
          <w:bCs/>
        </w:rPr>
      </w:pPr>
      <w:r w:rsidRPr="00CB273D">
        <w:rPr>
          <w:bCs/>
        </w:rPr>
        <w:t xml:space="preserve">The insert </w:t>
      </w:r>
      <w:r>
        <w:rPr>
          <w:bCs/>
        </w:rPr>
        <w:t xml:space="preserve">in panel </w:t>
      </w:r>
      <w:r w:rsidR="00215F37">
        <w:rPr>
          <w:bCs/>
        </w:rPr>
        <w:t>C</w:t>
      </w:r>
      <w:r>
        <w:rPr>
          <w:bCs/>
        </w:rPr>
        <w:t xml:space="preserve"> </w:t>
      </w:r>
      <w:r w:rsidRPr="00CB273D">
        <w:rPr>
          <w:bCs/>
        </w:rPr>
        <w:t xml:space="preserve">shows in detail </w:t>
      </w:r>
      <w:r w:rsidR="003C62C4">
        <w:rPr>
          <w:bCs/>
        </w:rPr>
        <w:t xml:space="preserve">the </w:t>
      </w:r>
      <w:r w:rsidRPr="00CB273D">
        <w:rPr>
          <w:bCs/>
        </w:rPr>
        <w:t xml:space="preserve">change from baseline to week 4 </w:t>
      </w:r>
      <w:r w:rsidR="003C62C4">
        <w:rPr>
          <w:bCs/>
        </w:rPr>
        <w:t xml:space="preserve">in </w:t>
      </w:r>
      <w:r w:rsidR="009E18C4">
        <w:rPr>
          <w:bCs/>
        </w:rPr>
        <w:t xml:space="preserve">alanine aminotransferase </w:t>
      </w:r>
      <w:r w:rsidRPr="00CB273D">
        <w:rPr>
          <w:bCs/>
        </w:rPr>
        <w:t xml:space="preserve">for patients with baseline levels of </w:t>
      </w:r>
      <w:r w:rsidR="009E18C4">
        <w:rPr>
          <w:bCs/>
        </w:rPr>
        <w:t>alanine aminotransferase</w:t>
      </w:r>
      <w:r w:rsidR="009E18C4" w:rsidRPr="00ED2752">
        <w:rPr>
          <w:bCs/>
        </w:rPr>
        <w:t xml:space="preserve"> </w:t>
      </w:r>
      <w:r w:rsidRPr="00ED2752">
        <w:rPr>
          <w:bCs/>
        </w:rPr>
        <w:t xml:space="preserve">below </w:t>
      </w:r>
      <w:r>
        <w:rPr>
          <w:bCs/>
        </w:rPr>
        <w:t>50</w:t>
      </w:r>
      <w:r w:rsidRPr="00CB273D">
        <w:rPr>
          <w:bCs/>
        </w:rPr>
        <w:t>0 U/L.</w:t>
      </w:r>
      <w:r w:rsidR="00FE58E6">
        <w:rPr>
          <w:bCs/>
        </w:rPr>
        <w:t xml:space="preserve"> </w:t>
      </w:r>
    </w:p>
    <w:p w14:paraId="68814AE2" w14:textId="3C44E48D" w:rsidR="00F35C82" w:rsidRDefault="00F35C82" w:rsidP="00FE58E6">
      <w:pPr>
        <w:tabs>
          <w:tab w:val="left" w:pos="7034"/>
        </w:tabs>
        <w:rPr>
          <w:bCs/>
        </w:rPr>
      </w:pPr>
      <w:r>
        <w:rPr>
          <w:bCs/>
        </w:rPr>
        <w:t>Abbreviations:</w:t>
      </w:r>
    </w:p>
    <w:p w14:paraId="4A98FB8E" w14:textId="27ABFA22" w:rsidR="00F35C82" w:rsidRPr="00CB273D" w:rsidRDefault="00F35C82" w:rsidP="00FE58E6">
      <w:pPr>
        <w:tabs>
          <w:tab w:val="left" w:pos="7034"/>
        </w:tabs>
        <w:rPr>
          <w:bCs/>
        </w:rPr>
      </w:pPr>
      <w:r>
        <w:rPr>
          <w:bCs/>
        </w:rPr>
        <w:t>WBC, white blood cells</w:t>
      </w:r>
    </w:p>
    <w:p w14:paraId="2F78021E" w14:textId="0A769EEF" w:rsidR="00ED2752" w:rsidRDefault="00ED2752" w:rsidP="00FE58E6">
      <w:pPr>
        <w:tabs>
          <w:tab w:val="left" w:pos="6534"/>
        </w:tabs>
        <w:rPr>
          <w:b/>
          <w:bCs/>
        </w:rPr>
      </w:pPr>
      <w:r>
        <w:rPr>
          <w:b/>
          <w:bCs/>
        </w:rPr>
        <w:br w:type="page"/>
      </w:r>
      <w:r w:rsidR="00FE58E6">
        <w:rPr>
          <w:b/>
          <w:bCs/>
        </w:rPr>
        <w:lastRenderedPageBreak/>
        <w:tab/>
      </w:r>
    </w:p>
    <w:p w14:paraId="2B103656" w14:textId="0FD9AE18" w:rsidR="00E0319C" w:rsidRDefault="00D72CF0">
      <w:pPr>
        <w:rPr>
          <w:b/>
          <w:bCs/>
        </w:rPr>
      </w:pPr>
      <w:r>
        <w:rPr>
          <w:b/>
          <w:bCs/>
        </w:rPr>
        <w:t>Table S1.</w:t>
      </w:r>
      <w:r>
        <w:t xml:space="preserve"> </w:t>
      </w:r>
      <w:r w:rsidR="00526E39">
        <w:rPr>
          <w:b/>
          <w:bCs/>
        </w:rPr>
        <w:t xml:space="preserve">Eligibility </w:t>
      </w:r>
      <w:r w:rsidR="000C0866">
        <w:rPr>
          <w:b/>
          <w:bCs/>
        </w:rPr>
        <w:t>c</w:t>
      </w:r>
      <w:r w:rsidR="00526E39" w:rsidRPr="008B0EBD">
        <w:rPr>
          <w:b/>
          <w:bCs/>
        </w:rPr>
        <w:t>riteria</w:t>
      </w:r>
      <w:r w:rsidR="008B0EBD" w:rsidRPr="008B0EBD">
        <w:rPr>
          <w:b/>
          <w:bCs/>
        </w:rPr>
        <w:t xml:space="preserve"> </w:t>
      </w:r>
      <w:r w:rsidR="00517F81">
        <w:rPr>
          <w:b/>
          <w:bCs/>
        </w:rPr>
        <w:t xml:space="preserve">(inclusion and exclusion) </w:t>
      </w:r>
      <w:r w:rsidR="008B0EBD" w:rsidRPr="008B0EBD">
        <w:rPr>
          <w:b/>
        </w:rPr>
        <w:t xml:space="preserve">of the NI-0501-06 </w:t>
      </w:r>
      <w:r w:rsidR="001B6DDB">
        <w:rPr>
          <w:b/>
        </w:rPr>
        <w:t>s</w:t>
      </w:r>
      <w:r w:rsidR="008B0EBD" w:rsidRPr="008B0EBD">
        <w:rPr>
          <w:b/>
        </w:rPr>
        <w:t>tudy</w:t>
      </w:r>
    </w:p>
    <w:tbl>
      <w:tblPr>
        <w:tblStyle w:val="Grigliatabella"/>
        <w:tblW w:w="0" w:type="auto"/>
        <w:tblLook w:val="04A0" w:firstRow="1" w:lastRow="0" w:firstColumn="1" w:lastColumn="0" w:noHBand="0" w:noVBand="1"/>
      </w:tblPr>
      <w:tblGrid>
        <w:gridCol w:w="9350"/>
      </w:tblGrid>
      <w:tr w:rsidR="00C55669" w14:paraId="5CDBC9B2" w14:textId="77777777" w:rsidTr="00C55669">
        <w:tc>
          <w:tcPr>
            <w:tcW w:w="9576" w:type="dxa"/>
          </w:tcPr>
          <w:p w14:paraId="214ED6B9" w14:textId="42F8B087" w:rsidR="00C55669" w:rsidRDefault="00C55669" w:rsidP="006A408C">
            <w:pPr>
              <w:spacing w:before="120" w:after="120"/>
              <w:rPr>
                <w:b/>
                <w:bCs/>
              </w:rPr>
            </w:pPr>
            <w:r>
              <w:rPr>
                <w:b/>
                <w:bCs/>
              </w:rPr>
              <w:t xml:space="preserve">Inclusion </w:t>
            </w:r>
            <w:r w:rsidR="000C0866">
              <w:rPr>
                <w:b/>
                <w:bCs/>
              </w:rPr>
              <w:t>c</w:t>
            </w:r>
            <w:r>
              <w:rPr>
                <w:b/>
                <w:bCs/>
              </w:rPr>
              <w:t>riteria</w:t>
            </w:r>
          </w:p>
          <w:p w14:paraId="786EC8CD" w14:textId="77777777" w:rsidR="009E7918" w:rsidRPr="00676580" w:rsidRDefault="009E7918" w:rsidP="009E7918">
            <w:pPr>
              <w:pStyle w:val="Paragrafoelenco"/>
              <w:numPr>
                <w:ilvl w:val="0"/>
                <w:numId w:val="2"/>
              </w:numPr>
            </w:pPr>
            <w:r w:rsidRPr="00676580">
              <w:t>Patients of both genders.</w:t>
            </w:r>
          </w:p>
          <w:p w14:paraId="4D1A4C85" w14:textId="1082033D" w:rsidR="009E7918" w:rsidRPr="00676580" w:rsidRDefault="009E7918" w:rsidP="009E7918">
            <w:pPr>
              <w:pStyle w:val="Paragrafoelenco"/>
              <w:numPr>
                <w:ilvl w:val="0"/>
                <w:numId w:val="2"/>
              </w:numPr>
            </w:pPr>
            <w:r w:rsidRPr="00676580">
              <w:t>For patients</w:t>
            </w:r>
            <w:r w:rsidR="00D353CA">
              <w:t xml:space="preserve"> with </w:t>
            </w:r>
            <w:proofErr w:type="spellStart"/>
            <w:r w:rsidR="00D7707B">
              <w:t>sJIA</w:t>
            </w:r>
            <w:proofErr w:type="spellEnd"/>
            <w:r w:rsidRPr="00676580">
              <w:t xml:space="preserve">: Confirmed </w:t>
            </w:r>
            <w:proofErr w:type="spellStart"/>
            <w:r w:rsidR="001E5E72">
              <w:t>sJIA</w:t>
            </w:r>
            <w:proofErr w:type="spellEnd"/>
            <w:r w:rsidR="00D353CA" w:rsidRPr="00676580">
              <w:t xml:space="preserve"> </w:t>
            </w:r>
            <w:r w:rsidRPr="00676580">
              <w:t xml:space="preserve">diagnosis. For patients presenting with </w:t>
            </w:r>
            <w:r w:rsidR="001E5E72">
              <w:t>MAS</w:t>
            </w:r>
            <w:r w:rsidRPr="00676580">
              <w:t xml:space="preserve"> in the</w:t>
            </w:r>
            <w:r>
              <w:t xml:space="preserve"> </w:t>
            </w:r>
            <w:r w:rsidRPr="00676580">
              <w:t xml:space="preserve">context of the onset of </w:t>
            </w:r>
            <w:proofErr w:type="spellStart"/>
            <w:r w:rsidR="001E5E72">
              <w:t>sJIA</w:t>
            </w:r>
            <w:proofErr w:type="spellEnd"/>
            <w:r w:rsidRPr="00676580">
              <w:t xml:space="preserve">, high presumption of </w:t>
            </w:r>
            <w:proofErr w:type="spellStart"/>
            <w:r w:rsidR="001E5E72">
              <w:t>sJIA</w:t>
            </w:r>
            <w:proofErr w:type="spellEnd"/>
            <w:r w:rsidR="005D7A4D" w:rsidRPr="00676580">
              <w:t xml:space="preserve"> </w:t>
            </w:r>
            <w:r w:rsidRPr="00676580">
              <w:t xml:space="preserve">sufficed for eligibility. For </w:t>
            </w:r>
            <w:r w:rsidR="001E5E72">
              <w:t>AOSD</w:t>
            </w:r>
            <w:r w:rsidRPr="00676580">
              <w:t xml:space="preserve"> patients: confirmed</w:t>
            </w:r>
            <w:r>
              <w:t xml:space="preserve"> </w:t>
            </w:r>
            <w:r w:rsidR="001E5E72">
              <w:t>AOSD</w:t>
            </w:r>
            <w:r w:rsidRPr="00676580">
              <w:t xml:space="preserve"> diagnosis as per Yamaguchi criteria.</w:t>
            </w:r>
          </w:p>
          <w:p w14:paraId="04F66176" w14:textId="62BC2D2F" w:rsidR="009E7918" w:rsidRPr="00676580" w:rsidRDefault="009E7918" w:rsidP="009E7918">
            <w:pPr>
              <w:pStyle w:val="Paragrafoelenco"/>
              <w:numPr>
                <w:ilvl w:val="0"/>
                <w:numId w:val="2"/>
              </w:numPr>
            </w:pPr>
            <w:r w:rsidRPr="00676580">
              <w:t xml:space="preserve">A diagnosis of active </w:t>
            </w:r>
            <w:r w:rsidR="001E5E72">
              <w:t>MAS</w:t>
            </w:r>
            <w:r w:rsidRPr="00676580">
              <w:t xml:space="preserve"> confirmed by the treating rheumatologist, having ascertained</w:t>
            </w:r>
            <w:r>
              <w:t xml:space="preserve"> </w:t>
            </w:r>
            <w:r w:rsidRPr="00676580">
              <w:t>the following:</w:t>
            </w:r>
          </w:p>
          <w:p w14:paraId="7B05A8DB" w14:textId="77777777" w:rsidR="009E7918" w:rsidRPr="00676580" w:rsidRDefault="009E7918" w:rsidP="009E7918">
            <w:pPr>
              <w:pStyle w:val="Paragrafoelenco"/>
            </w:pPr>
            <w:r w:rsidRPr="00676580">
              <w:t>Febrile patient presenting with:</w:t>
            </w:r>
          </w:p>
          <w:p w14:paraId="232BD438" w14:textId="0E8BFB2E" w:rsidR="009E7918" w:rsidRPr="00676580" w:rsidRDefault="009E7918" w:rsidP="009E7918">
            <w:pPr>
              <w:pStyle w:val="Paragrafoelenco"/>
              <w:numPr>
                <w:ilvl w:val="1"/>
                <w:numId w:val="2"/>
              </w:numPr>
            </w:pPr>
            <w:r w:rsidRPr="00676580">
              <w:t>Ferritin &gt;684 ng/mL</w:t>
            </w:r>
          </w:p>
          <w:p w14:paraId="63792928" w14:textId="77777777" w:rsidR="009E7918" w:rsidRPr="00676580" w:rsidRDefault="009E7918" w:rsidP="009E7918">
            <w:pPr>
              <w:pStyle w:val="Paragrafoelenco"/>
            </w:pPr>
            <w:r w:rsidRPr="00676580">
              <w:t>and any 2 of:</w:t>
            </w:r>
          </w:p>
          <w:p w14:paraId="3A2CC1F1" w14:textId="7398A2BE" w:rsidR="009E7918" w:rsidRPr="00676580" w:rsidRDefault="009E7918" w:rsidP="009E7918">
            <w:pPr>
              <w:pStyle w:val="Paragrafoelenco"/>
              <w:numPr>
                <w:ilvl w:val="1"/>
                <w:numId w:val="2"/>
              </w:numPr>
            </w:pPr>
            <w:r w:rsidRPr="00676580">
              <w:t xml:space="preserve">Platelet count </w:t>
            </w:r>
            <w:r w:rsidRPr="0036377A">
              <w:t>≤</w:t>
            </w:r>
            <w:r w:rsidRPr="00676580">
              <w:t>181 x10</w:t>
            </w:r>
            <w:r w:rsidRPr="0081430A">
              <w:rPr>
                <w:vertAlign w:val="superscript"/>
              </w:rPr>
              <w:t>9</w:t>
            </w:r>
            <w:r w:rsidR="009615CB" w:rsidRPr="009615CB">
              <w:t xml:space="preserve"> cells</w:t>
            </w:r>
            <w:r w:rsidRPr="00676580">
              <w:t>/L</w:t>
            </w:r>
          </w:p>
          <w:p w14:paraId="62190F4B" w14:textId="6B486B08" w:rsidR="009E7918" w:rsidRPr="00676580" w:rsidRDefault="001E5E72" w:rsidP="009E7918">
            <w:pPr>
              <w:pStyle w:val="Paragrafoelenco"/>
              <w:numPr>
                <w:ilvl w:val="1"/>
                <w:numId w:val="2"/>
              </w:numPr>
            </w:pPr>
            <w:r>
              <w:t>Aspartate aminotransferase</w:t>
            </w:r>
            <w:r w:rsidRPr="00676580">
              <w:t xml:space="preserve"> </w:t>
            </w:r>
            <w:r w:rsidR="009E7918" w:rsidRPr="00676580">
              <w:t>levels &gt;48 U/L</w:t>
            </w:r>
          </w:p>
          <w:p w14:paraId="766C9ACB" w14:textId="70E6F151" w:rsidR="009E7918" w:rsidRPr="00676580" w:rsidRDefault="009E7918" w:rsidP="009E7918">
            <w:pPr>
              <w:pStyle w:val="Paragrafoelenco"/>
              <w:numPr>
                <w:ilvl w:val="1"/>
                <w:numId w:val="2"/>
              </w:numPr>
            </w:pPr>
            <w:r w:rsidRPr="00676580">
              <w:t>Triglycerides &gt;156 mg/dL</w:t>
            </w:r>
          </w:p>
          <w:p w14:paraId="3F7B42D3" w14:textId="77777777" w:rsidR="009E7918" w:rsidRPr="00676580" w:rsidRDefault="009E7918" w:rsidP="009E7918">
            <w:pPr>
              <w:pStyle w:val="Paragrafoelenco"/>
              <w:numPr>
                <w:ilvl w:val="1"/>
                <w:numId w:val="2"/>
              </w:numPr>
            </w:pPr>
            <w:r w:rsidRPr="00676580">
              <w:t>Fibrinogen levels ≤360 mg/dL.</w:t>
            </w:r>
          </w:p>
          <w:p w14:paraId="76BF73D6" w14:textId="5A5AB67D" w:rsidR="009E7918" w:rsidRPr="00676580" w:rsidRDefault="009E7918" w:rsidP="009E7918">
            <w:pPr>
              <w:pStyle w:val="Paragrafoelenco"/>
              <w:numPr>
                <w:ilvl w:val="0"/>
                <w:numId w:val="2"/>
              </w:numPr>
            </w:pPr>
            <w:r w:rsidRPr="00676580">
              <w:t>An inadequate response to high</w:t>
            </w:r>
            <w:r w:rsidR="0036377A">
              <w:t>-</w:t>
            </w:r>
            <w:r w:rsidRPr="00676580">
              <w:t xml:space="preserve">dose </w:t>
            </w:r>
            <w:r w:rsidR="0036377A">
              <w:t>intravenous</w:t>
            </w:r>
            <w:r w:rsidRPr="00676580">
              <w:t xml:space="preserve"> glucocorticoid treatment administered for at</w:t>
            </w:r>
            <w:r>
              <w:t xml:space="preserve"> </w:t>
            </w:r>
            <w:r w:rsidRPr="00676580">
              <w:t>least 3 days as per local standard of care (including but not limited to pulses of 30 mg/kg</w:t>
            </w:r>
            <w:r>
              <w:t xml:space="preserve"> prednisone</w:t>
            </w:r>
            <w:r w:rsidRPr="00676580">
              <w:t xml:space="preserve"> on 3 consecutive days).</w:t>
            </w:r>
          </w:p>
          <w:p w14:paraId="29CBDB1E" w14:textId="543EFD0E" w:rsidR="009E7918" w:rsidRPr="00676580" w:rsidRDefault="009E7918" w:rsidP="009E7918">
            <w:pPr>
              <w:pStyle w:val="Paragrafoelenco"/>
              <w:numPr>
                <w:ilvl w:val="0"/>
                <w:numId w:val="2"/>
              </w:numPr>
            </w:pPr>
            <w:r w:rsidRPr="00676580">
              <w:t>High</w:t>
            </w:r>
            <w:r w:rsidR="000C0866">
              <w:t>-</w:t>
            </w:r>
            <w:r w:rsidRPr="00676580">
              <w:t xml:space="preserve">dose </w:t>
            </w:r>
            <w:r w:rsidR="0036377A">
              <w:t>intravenous</w:t>
            </w:r>
            <w:r w:rsidRPr="00676580">
              <w:t xml:space="preserve"> glucocorticoid</w:t>
            </w:r>
            <w:r w:rsidR="0036377A">
              <w:t>s</w:t>
            </w:r>
            <w:r w:rsidRPr="00676580">
              <w:t xml:space="preserve"> should not be lower than 2 mg/kg/day of </w:t>
            </w:r>
            <w:r>
              <w:t>prednisone</w:t>
            </w:r>
            <w:r w:rsidRPr="00676580">
              <w:t xml:space="preserve"> equivalent in</w:t>
            </w:r>
            <w:r>
              <w:t xml:space="preserve"> </w:t>
            </w:r>
            <w:r w:rsidR="001E5E72">
              <w:t>two</w:t>
            </w:r>
            <w:r w:rsidRPr="00676580">
              <w:t xml:space="preserve"> divided doses (or at least 60 mg/day in patients of 30 kg or more). In case of rapid</w:t>
            </w:r>
            <w:r>
              <w:t xml:space="preserve"> </w:t>
            </w:r>
            <w:r w:rsidRPr="00676580">
              <w:t>worsening of the patient’s condition and/or laboratory parameters, inclusion may occur</w:t>
            </w:r>
            <w:r>
              <w:t xml:space="preserve"> </w:t>
            </w:r>
            <w:r w:rsidRPr="00676580">
              <w:t xml:space="preserve">within </w:t>
            </w:r>
            <w:r w:rsidR="000C0866">
              <w:t>&lt;</w:t>
            </w:r>
            <w:r w:rsidRPr="00676580">
              <w:t>3 days from starting high</w:t>
            </w:r>
            <w:r w:rsidR="000C0866">
              <w:t>-</w:t>
            </w:r>
            <w:r w:rsidRPr="00676580">
              <w:t xml:space="preserve">dose </w:t>
            </w:r>
            <w:r w:rsidR="0036377A">
              <w:t>intravenous</w:t>
            </w:r>
            <w:r w:rsidRPr="00676580">
              <w:t xml:space="preserve"> glucocorticoids.</w:t>
            </w:r>
          </w:p>
          <w:p w14:paraId="0CA1E9D7" w14:textId="3DA11F21" w:rsidR="009E7918" w:rsidRPr="00676580" w:rsidRDefault="009E7918" w:rsidP="009E7918">
            <w:pPr>
              <w:pStyle w:val="Paragrafoelenco"/>
              <w:numPr>
                <w:ilvl w:val="0"/>
                <w:numId w:val="2"/>
              </w:numPr>
            </w:pPr>
            <w:r w:rsidRPr="00676580">
              <w:t xml:space="preserve">Tocilizumab, </w:t>
            </w:r>
            <w:proofErr w:type="spellStart"/>
            <w:r>
              <w:t>tumo</w:t>
            </w:r>
            <w:r w:rsidR="001E5E72">
              <w:t>u</w:t>
            </w:r>
            <w:r>
              <w:t>r</w:t>
            </w:r>
            <w:proofErr w:type="spellEnd"/>
            <w:r>
              <w:t xml:space="preserve"> necrosis factor</w:t>
            </w:r>
            <w:r w:rsidRPr="00676580">
              <w:t xml:space="preserve"> inhibitors, and canakinumab, if administered, had to be discontinued</w:t>
            </w:r>
            <w:r>
              <w:t xml:space="preserve"> </w:t>
            </w:r>
            <w:r w:rsidRPr="00676580">
              <w:t>before emapalumab initiation.</w:t>
            </w:r>
          </w:p>
          <w:p w14:paraId="3A948BB6" w14:textId="0F7ED256" w:rsidR="009E7918" w:rsidRPr="00676580" w:rsidRDefault="009E7918" w:rsidP="009E7918">
            <w:pPr>
              <w:pStyle w:val="Paragrafoelenco"/>
              <w:numPr>
                <w:ilvl w:val="0"/>
                <w:numId w:val="2"/>
              </w:numPr>
            </w:pPr>
            <w:r w:rsidRPr="00676580">
              <w:t>Informed consent provided by the patient (as required by local law) or by the patient’s</w:t>
            </w:r>
            <w:r>
              <w:t xml:space="preserve"> </w:t>
            </w:r>
            <w:r w:rsidRPr="00676580">
              <w:t xml:space="preserve">legally </w:t>
            </w:r>
            <w:proofErr w:type="spellStart"/>
            <w:r w:rsidRPr="00676580">
              <w:t>authori</w:t>
            </w:r>
            <w:r w:rsidR="001E5E72">
              <w:t>s</w:t>
            </w:r>
            <w:r w:rsidRPr="00676580">
              <w:t>ed</w:t>
            </w:r>
            <w:proofErr w:type="spellEnd"/>
            <w:r w:rsidRPr="00676580">
              <w:t xml:space="preserve"> representative(s) with the assent of patients who are legally capable of</w:t>
            </w:r>
            <w:r>
              <w:t xml:space="preserve"> </w:t>
            </w:r>
            <w:r w:rsidRPr="00676580">
              <w:t>providing it as applicable.</w:t>
            </w:r>
          </w:p>
          <w:p w14:paraId="6FC09E34" w14:textId="77777777" w:rsidR="009E7918" w:rsidRPr="00676580" w:rsidRDefault="009E7918" w:rsidP="009E7918">
            <w:pPr>
              <w:pStyle w:val="Paragrafoelenco"/>
              <w:numPr>
                <w:ilvl w:val="0"/>
                <w:numId w:val="2"/>
              </w:numPr>
            </w:pPr>
            <w:r w:rsidRPr="00676580">
              <w:t>Having received guidance on contraception for both male and female patients sexually</w:t>
            </w:r>
            <w:r>
              <w:t xml:space="preserve"> </w:t>
            </w:r>
            <w:r w:rsidRPr="00676580">
              <w:t>active and having reached puberty:</w:t>
            </w:r>
          </w:p>
          <w:p w14:paraId="4B822FF8" w14:textId="15489975" w:rsidR="009E7918" w:rsidRDefault="009E7918" w:rsidP="00912190">
            <w:pPr>
              <w:pStyle w:val="Paragrafoelenco"/>
              <w:numPr>
                <w:ilvl w:val="1"/>
                <w:numId w:val="2"/>
              </w:numPr>
            </w:pPr>
            <w:r w:rsidRPr="00676580">
              <w:t>Females of child-bearing potential required the use of highly effective contraceptive</w:t>
            </w:r>
            <w:r>
              <w:t xml:space="preserve"> </w:t>
            </w:r>
            <w:r w:rsidRPr="00676580">
              <w:t xml:space="preserve">measures (failure rate of </w:t>
            </w:r>
            <w:r w:rsidR="00CE2E35">
              <w:t>&lt;</w:t>
            </w:r>
            <w:r w:rsidRPr="00676580">
              <w:t xml:space="preserve">1% per </w:t>
            </w:r>
            <w:proofErr w:type="gramStart"/>
            <w:r w:rsidRPr="00676580">
              <w:t>year)</w:t>
            </w:r>
            <w:r w:rsidR="00912190" w:rsidRPr="00912190">
              <w:rPr>
                <w:vertAlign w:val="superscript"/>
              </w:rPr>
              <w:t>a</w:t>
            </w:r>
            <w:proofErr w:type="gramEnd"/>
            <w:r w:rsidRPr="00676580">
              <w:t xml:space="preserve"> from screening until 6 months after</w:t>
            </w:r>
            <w:r>
              <w:t xml:space="preserve"> </w:t>
            </w:r>
            <w:r w:rsidRPr="00676580">
              <w:t>receiving last dose of the</w:t>
            </w:r>
            <w:r>
              <w:t xml:space="preserve"> investigational medicinal product</w:t>
            </w:r>
            <w:r w:rsidRPr="00676580">
              <w:t>.</w:t>
            </w:r>
          </w:p>
          <w:p w14:paraId="7A1398DA" w14:textId="3B683EEE" w:rsidR="00544595" w:rsidRPr="00731592" w:rsidRDefault="009E7918" w:rsidP="006A408C">
            <w:pPr>
              <w:pStyle w:val="Paragrafoelenco"/>
              <w:numPr>
                <w:ilvl w:val="1"/>
                <w:numId w:val="2"/>
              </w:numPr>
              <w:spacing w:after="120"/>
              <w:ind w:left="1434" w:hanging="357"/>
            </w:pPr>
            <w:r>
              <w:t>Males with partners of child-bearing potential had to agree to take appropriate precautions (such as sexual abstinence, barrier contraception, or vasectomy) to avoid fathering a child from screening until 6 months after receiving last dose of the investigational medicinal product.</w:t>
            </w:r>
          </w:p>
        </w:tc>
      </w:tr>
    </w:tbl>
    <w:p w14:paraId="3692D4C0" w14:textId="0F57F554" w:rsidR="007A5809" w:rsidRDefault="00912190" w:rsidP="00912190">
      <w:r w:rsidRPr="00912190">
        <w:rPr>
          <w:vertAlign w:val="superscript"/>
        </w:rPr>
        <w:t>a</w:t>
      </w:r>
      <w:r w:rsidRPr="00912190">
        <w:t xml:space="preserve"> </w:t>
      </w:r>
      <w:r>
        <w:t xml:space="preserve">Highly effective contraceptive measures included: sexual abstinence; hormonal contraceptives: combination or progesterone only; intrauterine methods (intrauterine devices or systems); bilateral tubal occlusion; </w:t>
      </w:r>
      <w:proofErr w:type="spellStart"/>
      <w:r>
        <w:t>vasectomi</w:t>
      </w:r>
      <w:r w:rsidR="00DB0ABC">
        <w:t>s</w:t>
      </w:r>
      <w:r>
        <w:t>ed</w:t>
      </w:r>
      <w:proofErr w:type="spellEnd"/>
      <w:r>
        <w:t xml:space="preserve"> partner.</w:t>
      </w:r>
    </w:p>
    <w:p w14:paraId="0E72BA07" w14:textId="77777777" w:rsidR="007A5809" w:rsidRDefault="007A5809"/>
    <w:p w14:paraId="43001D99" w14:textId="77777777" w:rsidR="00DB0ABC" w:rsidRDefault="00DB0ABC"/>
    <w:tbl>
      <w:tblPr>
        <w:tblStyle w:val="Grigliatabella"/>
        <w:tblW w:w="0" w:type="auto"/>
        <w:tblLook w:val="04A0" w:firstRow="1" w:lastRow="0" w:firstColumn="1" w:lastColumn="0" w:noHBand="0" w:noVBand="1"/>
      </w:tblPr>
      <w:tblGrid>
        <w:gridCol w:w="9350"/>
      </w:tblGrid>
      <w:tr w:rsidR="00F14F32" w14:paraId="7C2EF44E" w14:textId="77777777" w:rsidTr="001E5E72">
        <w:tc>
          <w:tcPr>
            <w:tcW w:w="9350" w:type="dxa"/>
          </w:tcPr>
          <w:p w14:paraId="366606E4" w14:textId="46847C6D" w:rsidR="00111741" w:rsidRDefault="00111741" w:rsidP="006A408C">
            <w:pPr>
              <w:spacing w:before="120" w:after="120"/>
              <w:rPr>
                <w:b/>
                <w:bCs/>
              </w:rPr>
            </w:pPr>
            <w:r>
              <w:rPr>
                <w:b/>
                <w:bCs/>
              </w:rPr>
              <w:lastRenderedPageBreak/>
              <w:t xml:space="preserve">Exclusion </w:t>
            </w:r>
            <w:r w:rsidR="000C0866">
              <w:rPr>
                <w:b/>
                <w:bCs/>
              </w:rPr>
              <w:t>c</w:t>
            </w:r>
            <w:r>
              <w:rPr>
                <w:b/>
                <w:bCs/>
              </w:rPr>
              <w:t>riteria</w:t>
            </w:r>
          </w:p>
          <w:p w14:paraId="0381B964" w14:textId="6EF91B77" w:rsidR="00AB2B1A" w:rsidRPr="00111741" w:rsidRDefault="00AB2B1A" w:rsidP="00AB2B1A">
            <w:pPr>
              <w:pStyle w:val="Paragrafoelenco"/>
              <w:numPr>
                <w:ilvl w:val="0"/>
                <w:numId w:val="5"/>
              </w:numPr>
            </w:pPr>
            <w:r w:rsidRPr="00111741">
              <w:t xml:space="preserve">Diagnosis of suspected or confirmed </w:t>
            </w:r>
            <w:r>
              <w:t xml:space="preserve">primary </w:t>
            </w:r>
            <w:r w:rsidR="00912190">
              <w:t>h</w:t>
            </w:r>
            <w:r w:rsidR="001E5E72">
              <w:t>a</w:t>
            </w:r>
            <w:r w:rsidR="00912190">
              <w:t>emophagocytic lymphohistiocytosis</w:t>
            </w:r>
            <w:r w:rsidR="00912190" w:rsidRPr="00111741">
              <w:t xml:space="preserve"> </w:t>
            </w:r>
            <w:r w:rsidRPr="00111741">
              <w:t xml:space="preserve">or </w:t>
            </w:r>
            <w:r w:rsidR="00912190">
              <w:t>h</w:t>
            </w:r>
            <w:r w:rsidR="001E5E72">
              <w:t>a</w:t>
            </w:r>
            <w:r w:rsidR="00912190">
              <w:t>emophagocytic lymphohistiocytosis</w:t>
            </w:r>
            <w:r w:rsidR="00912190" w:rsidRPr="00111741">
              <w:t xml:space="preserve"> </w:t>
            </w:r>
            <w:r w:rsidRPr="00111741">
              <w:t>consequent to a neoplastic disease.</w:t>
            </w:r>
          </w:p>
          <w:p w14:paraId="22B1E255" w14:textId="77777777" w:rsidR="00AB2B1A" w:rsidRPr="00111741" w:rsidRDefault="00AB2B1A" w:rsidP="00AB2B1A">
            <w:pPr>
              <w:pStyle w:val="Paragrafoelenco"/>
              <w:numPr>
                <w:ilvl w:val="0"/>
                <w:numId w:val="5"/>
              </w:numPr>
            </w:pPr>
            <w:r w:rsidRPr="00111741">
              <w:t xml:space="preserve">Active mycobacteria (typical and atypical), </w:t>
            </w:r>
            <w:r w:rsidRPr="00594389">
              <w:rPr>
                <w:i/>
                <w:iCs/>
              </w:rPr>
              <w:t>Histoplasma capsulatum</w:t>
            </w:r>
            <w:r w:rsidRPr="00111741">
              <w:t xml:space="preserve">, </w:t>
            </w:r>
            <w:r w:rsidRPr="00594389">
              <w:rPr>
                <w:i/>
                <w:iCs/>
              </w:rPr>
              <w:t>Shigella</w:t>
            </w:r>
            <w:r w:rsidRPr="00111741">
              <w:t>,</w:t>
            </w:r>
            <w:r>
              <w:t xml:space="preserve"> </w:t>
            </w:r>
            <w:r w:rsidRPr="00594389">
              <w:rPr>
                <w:i/>
                <w:iCs/>
              </w:rPr>
              <w:t>Salmonella</w:t>
            </w:r>
            <w:r w:rsidRPr="00111741">
              <w:t xml:space="preserve">, </w:t>
            </w:r>
            <w:r w:rsidRPr="00594389">
              <w:rPr>
                <w:i/>
                <w:iCs/>
              </w:rPr>
              <w:t>Campylobacter</w:t>
            </w:r>
            <w:r w:rsidRPr="00111741">
              <w:t xml:space="preserve">, and </w:t>
            </w:r>
            <w:r w:rsidRPr="00594389">
              <w:rPr>
                <w:i/>
                <w:iCs/>
              </w:rPr>
              <w:t>Leishmania</w:t>
            </w:r>
            <w:r w:rsidRPr="00111741">
              <w:t xml:space="preserve"> infections.</w:t>
            </w:r>
          </w:p>
          <w:p w14:paraId="1D44A8C7" w14:textId="0F0BF58B" w:rsidR="00AB2B1A" w:rsidRPr="00111741" w:rsidRDefault="00AB2B1A" w:rsidP="00AB2B1A">
            <w:pPr>
              <w:pStyle w:val="Paragrafoelenco"/>
              <w:numPr>
                <w:ilvl w:val="0"/>
                <w:numId w:val="5"/>
              </w:numPr>
            </w:pPr>
            <w:r w:rsidRPr="00111741">
              <w:t xml:space="preserve">Clinical suspicion of latent </w:t>
            </w:r>
            <w:r w:rsidR="00912190">
              <w:t>tuberculosis</w:t>
            </w:r>
            <w:r w:rsidRPr="00111741">
              <w:t>.</w:t>
            </w:r>
          </w:p>
          <w:p w14:paraId="6E0BA239" w14:textId="48A8DF0F" w:rsidR="00AB2B1A" w:rsidRPr="00111741" w:rsidRDefault="00AB2B1A" w:rsidP="00AB2B1A">
            <w:pPr>
              <w:pStyle w:val="Paragrafoelenco"/>
              <w:numPr>
                <w:ilvl w:val="0"/>
                <w:numId w:val="5"/>
              </w:numPr>
            </w:pPr>
            <w:r w:rsidRPr="00111741">
              <w:t xml:space="preserve">Positive serology for </w:t>
            </w:r>
            <w:r w:rsidR="00912190">
              <w:t>human immunodeficiency virus</w:t>
            </w:r>
            <w:r w:rsidRPr="00111741">
              <w:t xml:space="preserve"> antibodies.</w:t>
            </w:r>
          </w:p>
          <w:p w14:paraId="4F5B4CEF" w14:textId="77777777" w:rsidR="00AB2B1A" w:rsidRPr="00111741" w:rsidRDefault="00AB2B1A" w:rsidP="00AB2B1A">
            <w:pPr>
              <w:pStyle w:val="Paragrafoelenco"/>
              <w:numPr>
                <w:ilvl w:val="0"/>
                <w:numId w:val="5"/>
              </w:numPr>
            </w:pPr>
            <w:r w:rsidRPr="00111741">
              <w:t>Presence of malignancy.</w:t>
            </w:r>
          </w:p>
          <w:p w14:paraId="7CA339C6" w14:textId="77777777" w:rsidR="00AB2B1A" w:rsidRPr="00111741" w:rsidRDefault="00AB2B1A" w:rsidP="00AB2B1A">
            <w:pPr>
              <w:pStyle w:val="Paragrafoelenco"/>
              <w:numPr>
                <w:ilvl w:val="0"/>
                <w:numId w:val="5"/>
              </w:numPr>
            </w:pPr>
            <w:r w:rsidRPr="00111741">
              <w:t>Patients who had another concomitant disease or malformation severely affecting</w:t>
            </w:r>
          </w:p>
          <w:p w14:paraId="1CEC4FAD" w14:textId="697678E6" w:rsidR="00AB2B1A" w:rsidRPr="00111741" w:rsidRDefault="00912190" w:rsidP="00AE11AB">
            <w:pPr>
              <w:pStyle w:val="Paragrafoelenco"/>
            </w:pPr>
            <w:r>
              <w:t>cardiovascular</w:t>
            </w:r>
            <w:r w:rsidR="00AB2B1A" w:rsidRPr="00111741">
              <w:t xml:space="preserve">, pulmonary, </w:t>
            </w:r>
            <w:r>
              <w:t>central nervous system</w:t>
            </w:r>
            <w:r w:rsidR="00AB2B1A" w:rsidRPr="00111741">
              <w:t>, liver, or renal function that in the opinion of the</w:t>
            </w:r>
            <w:r w:rsidR="00AB2B1A">
              <w:t xml:space="preserve"> </w:t>
            </w:r>
            <w:r w:rsidR="00AB2B1A" w:rsidRPr="00111741">
              <w:t>investigator might have significantly affected likelihood to respond to treatment and/or</w:t>
            </w:r>
            <w:r w:rsidR="00AB2B1A">
              <w:t xml:space="preserve"> </w:t>
            </w:r>
            <w:r w:rsidR="00AB2B1A" w:rsidRPr="00111741">
              <w:t>assessment of emapalumab safety.</w:t>
            </w:r>
          </w:p>
          <w:p w14:paraId="30B9654F" w14:textId="77777777" w:rsidR="00AB2B1A" w:rsidRPr="00111741" w:rsidRDefault="00AB2B1A" w:rsidP="00AB2B1A">
            <w:pPr>
              <w:pStyle w:val="Paragrafoelenco"/>
              <w:numPr>
                <w:ilvl w:val="0"/>
                <w:numId w:val="5"/>
              </w:numPr>
            </w:pPr>
            <w:r w:rsidRPr="00111741">
              <w:t>History of hypersensitivity or allergy to any component of the study regimen.</w:t>
            </w:r>
          </w:p>
          <w:p w14:paraId="537049C9" w14:textId="77777777" w:rsidR="00AB2B1A" w:rsidRPr="00111741" w:rsidRDefault="00AB2B1A" w:rsidP="00AB2B1A">
            <w:pPr>
              <w:pStyle w:val="Paragrafoelenco"/>
              <w:numPr>
                <w:ilvl w:val="0"/>
                <w:numId w:val="5"/>
              </w:numPr>
            </w:pPr>
            <w:r w:rsidRPr="00111741">
              <w:t xml:space="preserve">Receipt of </w:t>
            </w:r>
            <w:r>
              <w:t>bacillus Calmette-Gu</w:t>
            </w:r>
            <w:r w:rsidRPr="00594389">
              <w:t>é</w:t>
            </w:r>
            <w:r>
              <w:t>rin</w:t>
            </w:r>
            <w:r w:rsidRPr="00111741">
              <w:t xml:space="preserve"> vaccine within 12 weeks prior to screening.</w:t>
            </w:r>
          </w:p>
          <w:p w14:paraId="15CB85CE" w14:textId="77777777" w:rsidR="00AB2B1A" w:rsidRDefault="00AB2B1A" w:rsidP="00AB2B1A">
            <w:pPr>
              <w:pStyle w:val="Paragrafoelenco"/>
              <w:numPr>
                <w:ilvl w:val="0"/>
                <w:numId w:val="5"/>
              </w:numPr>
            </w:pPr>
            <w:r w:rsidRPr="00111741">
              <w:t>Receipt of live or attenuated live vaccines within 6 weeks prior to screening.</w:t>
            </w:r>
          </w:p>
          <w:p w14:paraId="3EE1EC31" w14:textId="2FDEFABC" w:rsidR="006A408C" w:rsidRPr="003721B5" w:rsidRDefault="00AB2B1A" w:rsidP="006A408C">
            <w:pPr>
              <w:pStyle w:val="Paragrafoelenco"/>
              <w:numPr>
                <w:ilvl w:val="0"/>
                <w:numId w:val="5"/>
              </w:numPr>
              <w:spacing w:after="120"/>
              <w:ind w:left="714" w:hanging="357"/>
            </w:pPr>
            <w:r w:rsidRPr="00111741">
              <w:t>Pregnant or lactating female patients.</w:t>
            </w:r>
          </w:p>
        </w:tc>
      </w:tr>
    </w:tbl>
    <w:p w14:paraId="76C8EF0B" w14:textId="77777777" w:rsidR="001E5E72" w:rsidRDefault="001E5E72" w:rsidP="001E5E72">
      <w:pPr>
        <w:tabs>
          <w:tab w:val="left" w:pos="7034"/>
        </w:tabs>
        <w:rPr>
          <w:bCs/>
        </w:rPr>
      </w:pPr>
      <w:r>
        <w:rPr>
          <w:bCs/>
        </w:rPr>
        <w:t>Abbreviations:</w:t>
      </w:r>
    </w:p>
    <w:p w14:paraId="15876379" w14:textId="345146E0" w:rsidR="001E5E72" w:rsidRPr="00CB273D" w:rsidRDefault="001E5E72" w:rsidP="001E5E72">
      <w:pPr>
        <w:tabs>
          <w:tab w:val="left" w:pos="7034"/>
        </w:tabs>
        <w:rPr>
          <w:bCs/>
        </w:rPr>
      </w:pPr>
      <w:r>
        <w:rPr>
          <w:bCs/>
        </w:rPr>
        <w:t xml:space="preserve">AOSD, adult-onset Still’s disease; MAS, macrophage activation syndrome; </w:t>
      </w:r>
      <w:proofErr w:type="spellStart"/>
      <w:r>
        <w:rPr>
          <w:bCs/>
        </w:rPr>
        <w:t>sJIA</w:t>
      </w:r>
      <w:proofErr w:type="spellEnd"/>
      <w:r>
        <w:rPr>
          <w:bCs/>
        </w:rPr>
        <w:t>, systemic juvenile idiopathic arthritis</w:t>
      </w:r>
    </w:p>
    <w:p w14:paraId="23B707DD" w14:textId="6B8DA1A5" w:rsidR="00C97D9D" w:rsidRDefault="00C97D9D"/>
    <w:p w14:paraId="337F3259" w14:textId="77777777" w:rsidR="00C97D9D" w:rsidRDefault="00C97D9D">
      <w:r>
        <w:br w:type="page"/>
      </w:r>
    </w:p>
    <w:p w14:paraId="7C7090CA" w14:textId="79A79546" w:rsidR="001344A4" w:rsidRDefault="00C97D9D">
      <w:r>
        <w:rPr>
          <w:b/>
          <w:bCs/>
        </w:rPr>
        <w:lastRenderedPageBreak/>
        <w:t xml:space="preserve">Table S2. </w:t>
      </w:r>
      <w:r w:rsidR="0008051C" w:rsidRPr="000A7850">
        <w:rPr>
          <w:b/>
        </w:rPr>
        <w:t>S</w:t>
      </w:r>
      <w:r w:rsidRPr="000A7850">
        <w:rPr>
          <w:b/>
        </w:rPr>
        <w:t xml:space="preserve">igns and symptoms to be evaluated by the investigator </w:t>
      </w:r>
      <w:r w:rsidR="00924803">
        <w:rPr>
          <w:b/>
        </w:rPr>
        <w:t xml:space="preserve">while assessing </w:t>
      </w:r>
      <w:r w:rsidR="000A0C70">
        <w:rPr>
          <w:b/>
        </w:rPr>
        <w:t xml:space="preserve">the </w:t>
      </w:r>
      <w:r w:rsidR="00924803">
        <w:rPr>
          <w:b/>
        </w:rPr>
        <w:t>activi</w:t>
      </w:r>
      <w:r w:rsidR="000A0C70">
        <w:rPr>
          <w:b/>
        </w:rPr>
        <w:t>ty</w:t>
      </w:r>
      <w:r w:rsidRPr="000A7850">
        <w:rPr>
          <w:b/>
        </w:rPr>
        <w:t xml:space="preserve"> </w:t>
      </w:r>
      <w:r w:rsidR="00E23A96" w:rsidRPr="000A7850">
        <w:rPr>
          <w:b/>
        </w:rPr>
        <w:t>of</w:t>
      </w:r>
      <w:r w:rsidRPr="000A7850">
        <w:rPr>
          <w:b/>
        </w:rPr>
        <w:t xml:space="preserve"> </w:t>
      </w:r>
      <w:r w:rsidR="00953F68">
        <w:rPr>
          <w:b/>
        </w:rPr>
        <w:t>MAS</w:t>
      </w:r>
    </w:p>
    <w:tbl>
      <w:tblPr>
        <w:tblStyle w:val="Grigliatabella"/>
        <w:tblW w:w="0" w:type="auto"/>
        <w:tblLook w:val="04A0" w:firstRow="1" w:lastRow="0" w:firstColumn="1" w:lastColumn="0" w:noHBand="0" w:noVBand="1"/>
      </w:tblPr>
      <w:tblGrid>
        <w:gridCol w:w="9350"/>
      </w:tblGrid>
      <w:tr w:rsidR="00C97D9D" w14:paraId="41C4344C" w14:textId="77777777" w:rsidTr="00953F68">
        <w:tc>
          <w:tcPr>
            <w:tcW w:w="9350" w:type="dxa"/>
          </w:tcPr>
          <w:p w14:paraId="31F3F87E" w14:textId="1EECE58F" w:rsidR="008D0D67" w:rsidRDefault="008D0D67" w:rsidP="006A408C">
            <w:pPr>
              <w:pStyle w:val="Paragrafoelenco"/>
              <w:numPr>
                <w:ilvl w:val="0"/>
                <w:numId w:val="6"/>
              </w:numPr>
              <w:spacing w:before="120"/>
              <w:ind w:left="714" w:hanging="357"/>
            </w:pPr>
            <w:r>
              <w:t>Fever (greater than 38.0°C</w:t>
            </w:r>
            <w:r w:rsidR="00A41CB2">
              <w:t xml:space="preserve"> [100.4°F</w:t>
            </w:r>
            <w:r w:rsidR="00765E25">
              <w:t>])</w:t>
            </w:r>
            <w:r>
              <w:t>.</w:t>
            </w:r>
          </w:p>
          <w:p w14:paraId="7790C2E6" w14:textId="274C02B4" w:rsidR="008D0D67" w:rsidRDefault="008D0D67" w:rsidP="0084669D">
            <w:pPr>
              <w:pStyle w:val="Paragrafoelenco"/>
              <w:numPr>
                <w:ilvl w:val="0"/>
                <w:numId w:val="6"/>
              </w:numPr>
            </w:pPr>
            <w:r>
              <w:t>Skin rash.</w:t>
            </w:r>
          </w:p>
          <w:p w14:paraId="0791FC8D" w14:textId="372CB3D2" w:rsidR="008D0D67" w:rsidRDefault="008D0D67" w:rsidP="0084669D">
            <w:pPr>
              <w:pStyle w:val="Paragrafoelenco"/>
              <w:numPr>
                <w:ilvl w:val="0"/>
                <w:numId w:val="6"/>
              </w:numPr>
            </w:pPr>
            <w:proofErr w:type="spellStart"/>
            <w:r>
              <w:t>H</w:t>
            </w:r>
            <w:r w:rsidR="00953F68">
              <w:t>a</w:t>
            </w:r>
            <w:r>
              <w:t>emorrhagic</w:t>
            </w:r>
            <w:proofErr w:type="spellEnd"/>
            <w:r>
              <w:t xml:space="preserve"> manifestations:</w:t>
            </w:r>
          </w:p>
          <w:p w14:paraId="38440852" w14:textId="4B31EBD2" w:rsidR="008D0D67" w:rsidRDefault="008D0D67" w:rsidP="00CB0FAF">
            <w:pPr>
              <w:pStyle w:val="Paragrafoelenco"/>
              <w:numPr>
                <w:ilvl w:val="1"/>
                <w:numId w:val="6"/>
              </w:numPr>
            </w:pPr>
            <w:r>
              <w:t>Skin bleeding (</w:t>
            </w:r>
            <w:proofErr w:type="spellStart"/>
            <w:r>
              <w:t>petecchiae</w:t>
            </w:r>
            <w:proofErr w:type="spellEnd"/>
            <w:r>
              <w:t>, ecchymosis, or purpura) (the investigator had to</w:t>
            </w:r>
            <w:r w:rsidR="0084669D">
              <w:t xml:space="preserve"> </w:t>
            </w:r>
            <w:r>
              <w:t>choose among “stable”, “worsened”, “improved”, or “resolved”).</w:t>
            </w:r>
          </w:p>
          <w:p w14:paraId="702B622B" w14:textId="4191D783" w:rsidR="00C97D9D" w:rsidRDefault="008D0D67" w:rsidP="0084669D">
            <w:pPr>
              <w:pStyle w:val="Paragrafoelenco"/>
              <w:numPr>
                <w:ilvl w:val="1"/>
                <w:numId w:val="6"/>
              </w:numPr>
            </w:pPr>
            <w:r>
              <w:t>Mucosal bleeding (gut, respiratory) (the investigator had to choose among</w:t>
            </w:r>
            <w:r w:rsidR="0084669D">
              <w:t xml:space="preserve"> </w:t>
            </w:r>
            <w:r>
              <w:t>“present” or “absent”).</w:t>
            </w:r>
          </w:p>
          <w:p w14:paraId="2CECDAEC" w14:textId="2D1686F5" w:rsidR="0084669D" w:rsidRDefault="0084669D" w:rsidP="0084669D">
            <w:pPr>
              <w:pStyle w:val="Paragrafoelenco"/>
              <w:numPr>
                <w:ilvl w:val="0"/>
                <w:numId w:val="6"/>
              </w:numPr>
            </w:pPr>
            <w:r>
              <w:t xml:space="preserve">Evidence of </w:t>
            </w:r>
            <w:r w:rsidR="00CD3845">
              <w:t>CNS</w:t>
            </w:r>
            <w:r>
              <w:t xml:space="preserve"> involvement:</w:t>
            </w:r>
          </w:p>
          <w:p w14:paraId="1912ECB2" w14:textId="32455A77" w:rsidR="0084669D" w:rsidRDefault="0084669D" w:rsidP="00CB0FAF">
            <w:pPr>
              <w:pStyle w:val="Paragrafoelenco"/>
              <w:numPr>
                <w:ilvl w:val="1"/>
                <w:numId w:val="6"/>
              </w:numPr>
            </w:pPr>
            <w:r>
              <w:t>Clinical (headache, irritability, seizures, confusion, lethargy, coma) (the investigator had to choose among “stable”, “worsened”, “improved”, or “resolved”).</w:t>
            </w:r>
          </w:p>
          <w:p w14:paraId="0E10533C" w14:textId="6246691A" w:rsidR="0084669D" w:rsidRDefault="00095195" w:rsidP="00CB0FAF">
            <w:pPr>
              <w:pStyle w:val="Paragrafoelenco"/>
              <w:numPr>
                <w:ilvl w:val="1"/>
                <w:numId w:val="6"/>
              </w:numPr>
            </w:pPr>
            <w:r>
              <w:t>Cerebrospinal fluid</w:t>
            </w:r>
            <w:r w:rsidR="0084669D">
              <w:t xml:space="preserve"> abnormalities (cell count) (if lumbar puncture performed based on clinical indication).</w:t>
            </w:r>
          </w:p>
          <w:p w14:paraId="2355DC05" w14:textId="655727A1" w:rsidR="0084669D" w:rsidRDefault="0084669D" w:rsidP="0084669D">
            <w:pPr>
              <w:pStyle w:val="Paragrafoelenco"/>
              <w:numPr>
                <w:ilvl w:val="0"/>
                <w:numId w:val="6"/>
              </w:numPr>
            </w:pPr>
            <w:r>
              <w:t>Respiratory function:</w:t>
            </w:r>
          </w:p>
          <w:p w14:paraId="466ACF1B" w14:textId="70616514" w:rsidR="0084669D" w:rsidRDefault="0084669D" w:rsidP="00CB0FAF">
            <w:pPr>
              <w:pStyle w:val="Paragrafoelenco"/>
              <w:numPr>
                <w:ilvl w:val="1"/>
                <w:numId w:val="6"/>
              </w:numPr>
            </w:pPr>
            <w:r>
              <w:t>Oxygen support (the investigator had to choose among “present” or “absent”; if present, the investigator had to indicate how many liters of oxygen were required to maintain oxygen saturation).</w:t>
            </w:r>
          </w:p>
          <w:p w14:paraId="0835A723" w14:textId="7F10871E" w:rsidR="0084669D" w:rsidRDefault="0084669D" w:rsidP="00AC231B">
            <w:pPr>
              <w:pStyle w:val="Paragrafoelenco"/>
              <w:numPr>
                <w:ilvl w:val="1"/>
                <w:numId w:val="6"/>
              </w:numPr>
            </w:pPr>
            <w:r>
              <w:t>Mechanical ventilation (the investigator had to choose among “present” or</w:t>
            </w:r>
            <w:r w:rsidR="00AC231B">
              <w:t xml:space="preserve"> </w:t>
            </w:r>
            <w:r>
              <w:t>“absent”).</w:t>
            </w:r>
          </w:p>
          <w:p w14:paraId="0D598ECF" w14:textId="079A9B51" w:rsidR="0084669D" w:rsidRDefault="0084669D" w:rsidP="0084669D">
            <w:pPr>
              <w:pStyle w:val="Paragrafoelenco"/>
              <w:numPr>
                <w:ilvl w:val="0"/>
                <w:numId w:val="6"/>
              </w:numPr>
            </w:pPr>
            <w:r>
              <w:t>Cardiac:</w:t>
            </w:r>
          </w:p>
          <w:p w14:paraId="3FC84B4E" w14:textId="4CB0B021" w:rsidR="0084669D" w:rsidRDefault="0084669D" w:rsidP="00AC231B">
            <w:pPr>
              <w:pStyle w:val="Paragrafoelenco"/>
              <w:numPr>
                <w:ilvl w:val="1"/>
                <w:numId w:val="6"/>
              </w:numPr>
            </w:pPr>
            <w:r>
              <w:t>Pericarditis (if echocardiography was performed, results were to be reported).</w:t>
            </w:r>
          </w:p>
          <w:p w14:paraId="01FDBA58" w14:textId="2A08FF61" w:rsidR="0084669D" w:rsidRDefault="0084669D" w:rsidP="00AC231B">
            <w:pPr>
              <w:pStyle w:val="Paragrafoelenco"/>
              <w:numPr>
                <w:ilvl w:val="1"/>
                <w:numId w:val="6"/>
              </w:numPr>
            </w:pPr>
            <w:r>
              <w:t>Inotropic support.</w:t>
            </w:r>
          </w:p>
          <w:p w14:paraId="7DE26E9F" w14:textId="33BD37FB" w:rsidR="0084669D" w:rsidRDefault="0084669D" w:rsidP="0084669D">
            <w:pPr>
              <w:pStyle w:val="Paragrafoelenco"/>
              <w:numPr>
                <w:ilvl w:val="0"/>
                <w:numId w:val="6"/>
              </w:numPr>
            </w:pPr>
            <w:r>
              <w:t>Kidney:</w:t>
            </w:r>
          </w:p>
          <w:p w14:paraId="6ABBCD69" w14:textId="705EE77C" w:rsidR="0084669D" w:rsidRDefault="0084669D" w:rsidP="006A408C">
            <w:pPr>
              <w:pStyle w:val="Paragrafoelenco"/>
              <w:numPr>
                <w:ilvl w:val="1"/>
                <w:numId w:val="6"/>
              </w:numPr>
              <w:spacing w:after="120"/>
              <w:ind w:left="1434" w:hanging="357"/>
            </w:pPr>
            <w:r>
              <w:t>Ultrafiltration/dialysis.</w:t>
            </w:r>
          </w:p>
        </w:tc>
      </w:tr>
    </w:tbl>
    <w:p w14:paraId="546D9B87" w14:textId="77777777" w:rsidR="00953F68" w:rsidRDefault="00953F68" w:rsidP="00953F68">
      <w:pPr>
        <w:tabs>
          <w:tab w:val="left" w:pos="7034"/>
        </w:tabs>
        <w:rPr>
          <w:bCs/>
        </w:rPr>
      </w:pPr>
      <w:r>
        <w:rPr>
          <w:bCs/>
        </w:rPr>
        <w:t>Abbreviations:</w:t>
      </w:r>
    </w:p>
    <w:p w14:paraId="0BF47BB6" w14:textId="09F78CBB" w:rsidR="00953F68" w:rsidRPr="00CB273D" w:rsidRDefault="00CD3845" w:rsidP="00953F68">
      <w:pPr>
        <w:tabs>
          <w:tab w:val="left" w:pos="7034"/>
        </w:tabs>
        <w:rPr>
          <w:bCs/>
        </w:rPr>
      </w:pPr>
      <w:r>
        <w:rPr>
          <w:bCs/>
        </w:rPr>
        <w:t xml:space="preserve">CNS, central nervous system; </w:t>
      </w:r>
      <w:r w:rsidR="00953F68">
        <w:rPr>
          <w:bCs/>
        </w:rPr>
        <w:t>MAS, macrophage activation syndrome</w:t>
      </w:r>
    </w:p>
    <w:p w14:paraId="07BBB61D" w14:textId="423AF3A5" w:rsidR="00C97D9D" w:rsidRDefault="00C97D9D"/>
    <w:p w14:paraId="23B707DE" w14:textId="77777777" w:rsidR="00BF5E84" w:rsidRDefault="00BF5E84"/>
    <w:p w14:paraId="23B707DF" w14:textId="53F02E79" w:rsidR="00A13F9E" w:rsidRDefault="00A13F9E">
      <w:r>
        <w:br w:type="page"/>
      </w:r>
    </w:p>
    <w:p w14:paraId="041A422E" w14:textId="77777777" w:rsidR="006F0D9B" w:rsidRDefault="006F0D9B">
      <w:pPr>
        <w:rPr>
          <w:b/>
          <w:bCs/>
        </w:rPr>
        <w:sectPr w:rsidR="006F0D9B">
          <w:footerReference w:type="default" r:id="rId16"/>
          <w:pgSz w:w="12240" w:h="15840"/>
          <w:pgMar w:top="1440" w:right="1440" w:bottom="1440" w:left="1440" w:header="720" w:footer="720" w:gutter="0"/>
          <w:cols w:space="720"/>
          <w:docGrid w:linePitch="360"/>
        </w:sectPr>
      </w:pPr>
    </w:p>
    <w:p w14:paraId="0B78032D" w14:textId="17264E95" w:rsidR="00A10D65" w:rsidRDefault="00A10D65" w:rsidP="00A10D65">
      <w:pPr>
        <w:rPr>
          <w:b/>
          <w:bCs/>
        </w:rPr>
      </w:pPr>
      <w:r>
        <w:rPr>
          <w:b/>
          <w:bCs/>
        </w:rPr>
        <w:lastRenderedPageBreak/>
        <w:t xml:space="preserve">Table S3. Total </w:t>
      </w:r>
      <w:proofErr w:type="spellStart"/>
      <w:r w:rsidR="00CD3845">
        <w:rPr>
          <w:b/>
          <w:bCs/>
        </w:rPr>
        <w:t>IFN</w:t>
      </w:r>
      <w:r>
        <w:rPr>
          <w:b/>
          <w:bCs/>
        </w:rPr>
        <w:t>γ</w:t>
      </w:r>
      <w:proofErr w:type="spellEnd"/>
      <w:r>
        <w:rPr>
          <w:b/>
          <w:bCs/>
        </w:rPr>
        <w:t xml:space="preserve">, CXCL9, and </w:t>
      </w:r>
      <w:r w:rsidR="00CD3845">
        <w:rPr>
          <w:b/>
          <w:bCs/>
        </w:rPr>
        <w:t>sIL-2R</w:t>
      </w:r>
      <w:r>
        <w:rPr>
          <w:b/>
          <w:bCs/>
        </w:rPr>
        <w:t xml:space="preserve"> levels during the study and the long-term follow-up </w:t>
      </w:r>
      <w:r w:rsidR="00A00C47">
        <w:rPr>
          <w:b/>
          <w:bCs/>
        </w:rPr>
        <w:t>study</w:t>
      </w:r>
    </w:p>
    <w:tbl>
      <w:tblPr>
        <w:tblStyle w:val="Grigliatabella"/>
        <w:tblW w:w="14176" w:type="dxa"/>
        <w:tblInd w:w="-289" w:type="dxa"/>
        <w:tblLayout w:type="fixed"/>
        <w:tblLook w:val="04A0" w:firstRow="1" w:lastRow="0" w:firstColumn="1" w:lastColumn="0" w:noHBand="0" w:noVBand="1"/>
      </w:tblPr>
      <w:tblGrid>
        <w:gridCol w:w="1702"/>
        <w:gridCol w:w="1417"/>
        <w:gridCol w:w="1418"/>
        <w:gridCol w:w="1417"/>
        <w:gridCol w:w="1276"/>
        <w:gridCol w:w="1418"/>
        <w:gridCol w:w="1417"/>
        <w:gridCol w:w="1418"/>
        <w:gridCol w:w="1417"/>
        <w:gridCol w:w="1276"/>
      </w:tblGrid>
      <w:tr w:rsidR="00A10D65" w:rsidRPr="00CF66B9" w14:paraId="617561B6" w14:textId="77777777" w:rsidTr="00FA7B04">
        <w:tc>
          <w:tcPr>
            <w:tcW w:w="1702" w:type="dxa"/>
            <w:tcBorders>
              <w:top w:val="single" w:sz="4" w:space="0" w:color="auto"/>
              <w:left w:val="single" w:sz="4" w:space="0" w:color="auto"/>
              <w:bottom w:val="single" w:sz="4" w:space="0" w:color="auto"/>
              <w:right w:val="single" w:sz="4" w:space="0" w:color="auto"/>
            </w:tcBorders>
            <w:vAlign w:val="center"/>
          </w:tcPr>
          <w:p w14:paraId="161E7DBD" w14:textId="77777777" w:rsidR="00A10D65" w:rsidRPr="00CF66B9" w:rsidRDefault="00A10D65" w:rsidP="00FA7B04">
            <w:pPr>
              <w:rPr>
                <w:sz w:val="20"/>
                <w:szCs w:val="20"/>
              </w:rPr>
            </w:pPr>
          </w:p>
        </w:tc>
        <w:tc>
          <w:tcPr>
            <w:tcW w:w="8363" w:type="dxa"/>
            <w:gridSpan w:val="6"/>
            <w:tcBorders>
              <w:top w:val="single" w:sz="4" w:space="0" w:color="auto"/>
              <w:left w:val="single" w:sz="4" w:space="0" w:color="auto"/>
              <w:bottom w:val="single" w:sz="4" w:space="0" w:color="auto"/>
              <w:right w:val="single" w:sz="4" w:space="0" w:color="auto"/>
            </w:tcBorders>
            <w:vAlign w:val="center"/>
            <w:hideMark/>
          </w:tcPr>
          <w:p w14:paraId="2ACA6B77" w14:textId="77777777" w:rsidR="00A10D65" w:rsidRPr="00CF66B9" w:rsidRDefault="00A10D65" w:rsidP="00FA7B04">
            <w:pPr>
              <w:jc w:val="center"/>
              <w:rPr>
                <w:b/>
                <w:bCs/>
                <w:sz w:val="20"/>
                <w:szCs w:val="20"/>
              </w:rPr>
            </w:pPr>
            <w:r w:rsidRPr="00CF66B9">
              <w:rPr>
                <w:b/>
                <w:bCs/>
                <w:sz w:val="20"/>
                <w:szCs w:val="20"/>
              </w:rPr>
              <w:t>NI-0501-06 study</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328989BA" w14:textId="77777777" w:rsidR="00A10D65" w:rsidRPr="00CF66B9" w:rsidRDefault="00A10D65" w:rsidP="00FA7B04">
            <w:pPr>
              <w:jc w:val="center"/>
              <w:rPr>
                <w:b/>
                <w:bCs/>
                <w:sz w:val="20"/>
                <w:szCs w:val="20"/>
              </w:rPr>
            </w:pPr>
            <w:r w:rsidRPr="00CF66B9">
              <w:rPr>
                <w:b/>
                <w:bCs/>
                <w:sz w:val="20"/>
                <w:szCs w:val="20"/>
              </w:rPr>
              <w:t>Long-term follow-up (NI-0501-05 study)</w:t>
            </w:r>
          </w:p>
        </w:tc>
      </w:tr>
      <w:tr w:rsidR="00A10D65" w:rsidRPr="00CF66B9" w14:paraId="7900CC9E" w14:textId="77777777" w:rsidTr="00FA7B04">
        <w:trPr>
          <w:trHeight w:val="340"/>
        </w:trPr>
        <w:tc>
          <w:tcPr>
            <w:tcW w:w="1702" w:type="dxa"/>
            <w:tcBorders>
              <w:top w:val="single" w:sz="4" w:space="0" w:color="auto"/>
              <w:left w:val="single" w:sz="4" w:space="0" w:color="auto"/>
              <w:bottom w:val="single" w:sz="4" w:space="0" w:color="auto"/>
              <w:right w:val="single" w:sz="4" w:space="0" w:color="auto"/>
            </w:tcBorders>
          </w:tcPr>
          <w:p w14:paraId="6F326558" w14:textId="77777777" w:rsidR="00A10D65" w:rsidRPr="00CF66B9" w:rsidRDefault="00A10D65" w:rsidP="00FA7B04">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B66E630" w14:textId="77777777" w:rsidR="00A10D65" w:rsidRPr="00CF66B9" w:rsidRDefault="00A10D65" w:rsidP="00FA7B04">
            <w:pPr>
              <w:jc w:val="center"/>
              <w:rPr>
                <w:sz w:val="20"/>
                <w:szCs w:val="20"/>
              </w:rPr>
            </w:pPr>
            <w:r w:rsidRPr="00CF66B9">
              <w:rPr>
                <w:sz w:val="20"/>
                <w:szCs w:val="20"/>
              </w:rPr>
              <w:t>Day 0</w:t>
            </w:r>
          </w:p>
          <w:p w14:paraId="3599BE24" w14:textId="77777777" w:rsidR="00A10D65" w:rsidRPr="00CF66B9" w:rsidRDefault="00A10D65" w:rsidP="00FA7B04">
            <w:pPr>
              <w:jc w:val="center"/>
              <w:rPr>
                <w:sz w:val="20"/>
                <w:szCs w:val="20"/>
              </w:rPr>
            </w:pPr>
            <w:r w:rsidRPr="00CF66B9">
              <w:rPr>
                <w:sz w:val="20"/>
                <w:szCs w:val="20"/>
              </w:rPr>
              <w:t>(n=14)</w:t>
            </w:r>
          </w:p>
        </w:tc>
        <w:tc>
          <w:tcPr>
            <w:tcW w:w="1418" w:type="dxa"/>
            <w:tcBorders>
              <w:top w:val="single" w:sz="4" w:space="0" w:color="auto"/>
              <w:left w:val="single" w:sz="4" w:space="0" w:color="auto"/>
              <w:bottom w:val="single" w:sz="4" w:space="0" w:color="auto"/>
              <w:right w:val="single" w:sz="4" w:space="0" w:color="auto"/>
            </w:tcBorders>
            <w:hideMark/>
          </w:tcPr>
          <w:p w14:paraId="66204AE9" w14:textId="77777777" w:rsidR="00A10D65" w:rsidRPr="00CF66B9" w:rsidRDefault="00A10D65" w:rsidP="00FA7B04">
            <w:pPr>
              <w:jc w:val="center"/>
              <w:rPr>
                <w:sz w:val="20"/>
                <w:szCs w:val="20"/>
              </w:rPr>
            </w:pPr>
            <w:r w:rsidRPr="00CF66B9">
              <w:rPr>
                <w:sz w:val="20"/>
                <w:szCs w:val="20"/>
              </w:rPr>
              <w:t>Day 3</w:t>
            </w:r>
          </w:p>
          <w:p w14:paraId="7FE6B2B1" w14:textId="77777777" w:rsidR="00A10D65" w:rsidRPr="00CF66B9" w:rsidRDefault="00A10D65" w:rsidP="00FA7B04">
            <w:pPr>
              <w:jc w:val="center"/>
              <w:rPr>
                <w:sz w:val="20"/>
                <w:szCs w:val="20"/>
              </w:rPr>
            </w:pPr>
            <w:r w:rsidRPr="00CF66B9">
              <w:rPr>
                <w:sz w:val="20"/>
                <w:szCs w:val="20"/>
              </w:rPr>
              <w:t>(n=14)</w:t>
            </w:r>
          </w:p>
        </w:tc>
        <w:tc>
          <w:tcPr>
            <w:tcW w:w="1417" w:type="dxa"/>
            <w:tcBorders>
              <w:top w:val="single" w:sz="4" w:space="0" w:color="auto"/>
              <w:left w:val="single" w:sz="4" w:space="0" w:color="auto"/>
              <w:bottom w:val="single" w:sz="4" w:space="0" w:color="auto"/>
              <w:right w:val="single" w:sz="4" w:space="0" w:color="auto"/>
            </w:tcBorders>
            <w:hideMark/>
          </w:tcPr>
          <w:p w14:paraId="50623FA3" w14:textId="77777777" w:rsidR="00A10D65" w:rsidRPr="00CF66B9" w:rsidRDefault="00A10D65" w:rsidP="00FA7B04">
            <w:pPr>
              <w:jc w:val="center"/>
              <w:rPr>
                <w:sz w:val="20"/>
                <w:szCs w:val="20"/>
              </w:rPr>
            </w:pPr>
            <w:r w:rsidRPr="00CF66B9">
              <w:rPr>
                <w:sz w:val="20"/>
                <w:szCs w:val="20"/>
              </w:rPr>
              <w:t>Day 7</w:t>
            </w:r>
            <w:r w:rsidRPr="00CF66B9">
              <w:rPr>
                <w:sz w:val="20"/>
                <w:szCs w:val="20"/>
              </w:rPr>
              <w:br/>
              <w:t>(n=14)</w:t>
            </w:r>
          </w:p>
        </w:tc>
        <w:tc>
          <w:tcPr>
            <w:tcW w:w="1276" w:type="dxa"/>
            <w:tcBorders>
              <w:top w:val="single" w:sz="4" w:space="0" w:color="auto"/>
              <w:left w:val="single" w:sz="4" w:space="0" w:color="auto"/>
              <w:bottom w:val="single" w:sz="4" w:space="0" w:color="auto"/>
              <w:right w:val="single" w:sz="4" w:space="0" w:color="auto"/>
            </w:tcBorders>
            <w:hideMark/>
          </w:tcPr>
          <w:p w14:paraId="64303C7C" w14:textId="77777777" w:rsidR="00A10D65" w:rsidRPr="00CF66B9" w:rsidRDefault="00A10D65" w:rsidP="00FA7B04">
            <w:pPr>
              <w:jc w:val="center"/>
              <w:rPr>
                <w:sz w:val="20"/>
                <w:szCs w:val="20"/>
              </w:rPr>
            </w:pPr>
            <w:r w:rsidRPr="00CF66B9">
              <w:rPr>
                <w:sz w:val="20"/>
                <w:szCs w:val="20"/>
              </w:rPr>
              <w:t>Day 14</w:t>
            </w:r>
          </w:p>
          <w:p w14:paraId="298D4CF2" w14:textId="77777777" w:rsidR="00A10D65" w:rsidRPr="00CF66B9" w:rsidRDefault="00A10D65" w:rsidP="00FA7B04">
            <w:pPr>
              <w:jc w:val="center"/>
              <w:rPr>
                <w:sz w:val="20"/>
                <w:szCs w:val="20"/>
              </w:rPr>
            </w:pPr>
            <w:r w:rsidRPr="00CF66B9">
              <w:rPr>
                <w:sz w:val="20"/>
                <w:szCs w:val="20"/>
              </w:rPr>
              <w:t>(n=14)</w:t>
            </w:r>
          </w:p>
        </w:tc>
        <w:tc>
          <w:tcPr>
            <w:tcW w:w="1418" w:type="dxa"/>
            <w:tcBorders>
              <w:top w:val="single" w:sz="4" w:space="0" w:color="auto"/>
              <w:left w:val="single" w:sz="4" w:space="0" w:color="auto"/>
              <w:bottom w:val="single" w:sz="4" w:space="0" w:color="auto"/>
              <w:right w:val="single" w:sz="4" w:space="0" w:color="auto"/>
            </w:tcBorders>
            <w:hideMark/>
          </w:tcPr>
          <w:p w14:paraId="2CCDA8F8" w14:textId="77777777" w:rsidR="00A10D65" w:rsidRPr="00CF66B9" w:rsidRDefault="00A10D65" w:rsidP="00FA7B04">
            <w:pPr>
              <w:jc w:val="center"/>
              <w:rPr>
                <w:sz w:val="20"/>
                <w:szCs w:val="20"/>
              </w:rPr>
            </w:pPr>
            <w:r w:rsidRPr="00CF66B9">
              <w:rPr>
                <w:sz w:val="20"/>
                <w:szCs w:val="20"/>
              </w:rPr>
              <w:t xml:space="preserve">Day 28 </w:t>
            </w:r>
          </w:p>
          <w:p w14:paraId="68D80FC0" w14:textId="77777777" w:rsidR="00A10D65" w:rsidRPr="00CF66B9" w:rsidRDefault="00A10D65" w:rsidP="00FA7B04">
            <w:pPr>
              <w:jc w:val="center"/>
              <w:rPr>
                <w:sz w:val="20"/>
                <w:szCs w:val="20"/>
              </w:rPr>
            </w:pPr>
            <w:r w:rsidRPr="00CF66B9">
              <w:rPr>
                <w:sz w:val="20"/>
                <w:szCs w:val="20"/>
              </w:rPr>
              <w:t>(n=14)</w:t>
            </w:r>
          </w:p>
        </w:tc>
        <w:tc>
          <w:tcPr>
            <w:tcW w:w="1417" w:type="dxa"/>
            <w:tcBorders>
              <w:top w:val="single" w:sz="4" w:space="0" w:color="auto"/>
              <w:left w:val="single" w:sz="4" w:space="0" w:color="auto"/>
              <w:bottom w:val="single" w:sz="4" w:space="0" w:color="auto"/>
              <w:right w:val="single" w:sz="4" w:space="0" w:color="auto"/>
            </w:tcBorders>
            <w:hideMark/>
          </w:tcPr>
          <w:p w14:paraId="43E13AE7" w14:textId="77777777" w:rsidR="00A10D65" w:rsidRPr="00CF66B9" w:rsidRDefault="00A10D65" w:rsidP="00FA7B04">
            <w:pPr>
              <w:jc w:val="center"/>
              <w:rPr>
                <w:sz w:val="20"/>
                <w:szCs w:val="20"/>
              </w:rPr>
            </w:pPr>
            <w:r w:rsidRPr="00CF66B9">
              <w:rPr>
                <w:sz w:val="20"/>
                <w:szCs w:val="20"/>
              </w:rPr>
              <w:t>Day 56</w:t>
            </w:r>
          </w:p>
          <w:p w14:paraId="329D76F3" w14:textId="77777777" w:rsidR="00A10D65" w:rsidRPr="00CF66B9" w:rsidRDefault="00A10D65" w:rsidP="00FA7B04">
            <w:pPr>
              <w:jc w:val="center"/>
              <w:rPr>
                <w:sz w:val="20"/>
                <w:szCs w:val="20"/>
              </w:rPr>
            </w:pPr>
            <w:r w:rsidRPr="00CF66B9">
              <w:rPr>
                <w:sz w:val="20"/>
                <w:szCs w:val="20"/>
              </w:rPr>
              <w:t>(n=14)</w:t>
            </w:r>
          </w:p>
        </w:tc>
        <w:tc>
          <w:tcPr>
            <w:tcW w:w="1418" w:type="dxa"/>
            <w:tcBorders>
              <w:top w:val="single" w:sz="4" w:space="0" w:color="auto"/>
              <w:left w:val="single" w:sz="4" w:space="0" w:color="auto"/>
              <w:bottom w:val="single" w:sz="4" w:space="0" w:color="auto"/>
              <w:right w:val="single" w:sz="4" w:space="0" w:color="auto"/>
            </w:tcBorders>
            <w:hideMark/>
          </w:tcPr>
          <w:p w14:paraId="5DE9299C" w14:textId="77777777" w:rsidR="00A10D65" w:rsidRPr="00CF66B9" w:rsidRDefault="00A10D65" w:rsidP="00FA7B04">
            <w:pPr>
              <w:jc w:val="center"/>
              <w:rPr>
                <w:sz w:val="20"/>
                <w:szCs w:val="20"/>
              </w:rPr>
            </w:pPr>
            <w:r w:rsidRPr="00CF66B9">
              <w:rPr>
                <w:sz w:val="20"/>
                <w:szCs w:val="20"/>
              </w:rPr>
              <w:t>Day 100</w:t>
            </w:r>
          </w:p>
          <w:p w14:paraId="54EE1DA3" w14:textId="77777777" w:rsidR="00A10D65" w:rsidRPr="00CF66B9" w:rsidRDefault="00A10D65" w:rsidP="00FA7B04">
            <w:pPr>
              <w:jc w:val="center"/>
              <w:rPr>
                <w:sz w:val="20"/>
                <w:szCs w:val="20"/>
              </w:rPr>
            </w:pPr>
            <w:r w:rsidRPr="00CF66B9">
              <w:rPr>
                <w:sz w:val="20"/>
                <w:szCs w:val="20"/>
              </w:rPr>
              <w:t>(n=14)</w:t>
            </w:r>
          </w:p>
        </w:tc>
        <w:tc>
          <w:tcPr>
            <w:tcW w:w="1417" w:type="dxa"/>
            <w:tcBorders>
              <w:top w:val="single" w:sz="4" w:space="0" w:color="auto"/>
              <w:left w:val="single" w:sz="4" w:space="0" w:color="auto"/>
              <w:bottom w:val="single" w:sz="4" w:space="0" w:color="auto"/>
              <w:right w:val="single" w:sz="4" w:space="0" w:color="auto"/>
            </w:tcBorders>
            <w:hideMark/>
          </w:tcPr>
          <w:p w14:paraId="4DF3D97F" w14:textId="77777777" w:rsidR="00A10D65" w:rsidRPr="00CF66B9" w:rsidRDefault="00A10D65" w:rsidP="00FA7B04">
            <w:pPr>
              <w:jc w:val="center"/>
              <w:rPr>
                <w:sz w:val="20"/>
                <w:szCs w:val="20"/>
              </w:rPr>
            </w:pPr>
            <w:r w:rsidRPr="00CF66B9">
              <w:rPr>
                <w:sz w:val="20"/>
                <w:szCs w:val="20"/>
              </w:rPr>
              <w:t>6 months</w:t>
            </w:r>
          </w:p>
          <w:p w14:paraId="1EEBAA77" w14:textId="77777777" w:rsidR="00A10D65" w:rsidRPr="00CF66B9" w:rsidRDefault="00A10D65" w:rsidP="00FA7B04">
            <w:pPr>
              <w:jc w:val="center"/>
              <w:rPr>
                <w:sz w:val="20"/>
                <w:szCs w:val="20"/>
              </w:rPr>
            </w:pPr>
            <w:r w:rsidRPr="00CF66B9">
              <w:rPr>
                <w:sz w:val="20"/>
                <w:szCs w:val="20"/>
              </w:rPr>
              <w:t>(n=</w:t>
            </w:r>
            <w:proofErr w:type="gramStart"/>
            <w:r w:rsidRPr="00CF66B9">
              <w:rPr>
                <w:sz w:val="20"/>
                <w:szCs w:val="20"/>
              </w:rPr>
              <w:t>10)</w:t>
            </w:r>
            <w:r w:rsidRPr="00CF66B9">
              <w:rPr>
                <w:sz w:val="20"/>
                <w:szCs w:val="20"/>
                <w:vertAlign w:val="superscript"/>
              </w:rPr>
              <w:t>a</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51F75C17" w14:textId="77777777" w:rsidR="00A10D65" w:rsidRPr="00CF66B9" w:rsidRDefault="00A10D65" w:rsidP="00FA7B04">
            <w:pPr>
              <w:jc w:val="center"/>
              <w:rPr>
                <w:sz w:val="20"/>
                <w:szCs w:val="20"/>
              </w:rPr>
            </w:pPr>
            <w:r w:rsidRPr="00CF66B9">
              <w:rPr>
                <w:sz w:val="20"/>
                <w:szCs w:val="20"/>
              </w:rPr>
              <w:t>12 months</w:t>
            </w:r>
          </w:p>
          <w:p w14:paraId="1994B56D" w14:textId="77777777" w:rsidR="00A10D65" w:rsidRPr="00CF66B9" w:rsidRDefault="00A10D65" w:rsidP="00FA7B04">
            <w:pPr>
              <w:jc w:val="center"/>
              <w:rPr>
                <w:sz w:val="20"/>
                <w:szCs w:val="20"/>
              </w:rPr>
            </w:pPr>
            <w:r w:rsidRPr="00CF66B9">
              <w:rPr>
                <w:sz w:val="20"/>
                <w:szCs w:val="20"/>
              </w:rPr>
              <w:t>(n=</w:t>
            </w:r>
            <w:proofErr w:type="gramStart"/>
            <w:r w:rsidRPr="00CF66B9">
              <w:rPr>
                <w:sz w:val="20"/>
                <w:szCs w:val="20"/>
              </w:rPr>
              <w:t>9)</w:t>
            </w:r>
            <w:r w:rsidRPr="00CF66B9">
              <w:rPr>
                <w:sz w:val="20"/>
                <w:szCs w:val="20"/>
                <w:vertAlign w:val="superscript"/>
              </w:rPr>
              <w:t>a</w:t>
            </w:r>
            <w:proofErr w:type="gramEnd"/>
          </w:p>
        </w:tc>
      </w:tr>
      <w:tr w:rsidR="00A10D65" w:rsidRPr="00CF66B9" w14:paraId="352A4D13" w14:textId="77777777" w:rsidTr="00FA7B04">
        <w:trPr>
          <w:trHeight w:val="340"/>
        </w:trPr>
        <w:tc>
          <w:tcPr>
            <w:tcW w:w="14176" w:type="dxa"/>
            <w:gridSpan w:val="10"/>
            <w:tcBorders>
              <w:top w:val="single" w:sz="4" w:space="0" w:color="auto"/>
              <w:left w:val="single" w:sz="4" w:space="0" w:color="auto"/>
              <w:bottom w:val="single" w:sz="4" w:space="0" w:color="auto"/>
              <w:right w:val="single" w:sz="4" w:space="0" w:color="auto"/>
            </w:tcBorders>
            <w:hideMark/>
          </w:tcPr>
          <w:p w14:paraId="2EB6C82E" w14:textId="544E09EA" w:rsidR="00A10D65" w:rsidRPr="00CF66B9" w:rsidRDefault="00A10D65" w:rsidP="00FA7B04">
            <w:pPr>
              <w:rPr>
                <w:b/>
                <w:bCs/>
                <w:sz w:val="20"/>
                <w:szCs w:val="20"/>
              </w:rPr>
            </w:pPr>
            <w:r w:rsidRPr="00CF66B9">
              <w:rPr>
                <w:b/>
                <w:bCs/>
                <w:sz w:val="20"/>
                <w:szCs w:val="20"/>
              </w:rPr>
              <w:t xml:space="preserve">Total </w:t>
            </w:r>
            <w:proofErr w:type="spellStart"/>
            <w:r w:rsidR="00CD3845">
              <w:rPr>
                <w:b/>
                <w:bCs/>
                <w:sz w:val="20"/>
                <w:szCs w:val="20"/>
              </w:rPr>
              <w:t>IFN</w:t>
            </w:r>
            <w:r w:rsidRPr="00CF66B9">
              <w:rPr>
                <w:b/>
                <w:bCs/>
                <w:sz w:val="20"/>
                <w:szCs w:val="20"/>
              </w:rPr>
              <w:t>γ</w:t>
            </w:r>
            <w:proofErr w:type="spellEnd"/>
            <w:r w:rsidRPr="00CF66B9">
              <w:rPr>
                <w:b/>
                <w:bCs/>
                <w:sz w:val="20"/>
                <w:szCs w:val="20"/>
              </w:rPr>
              <w:t xml:space="preserve"> </w:t>
            </w:r>
          </w:p>
        </w:tc>
      </w:tr>
      <w:tr w:rsidR="00A10D65" w:rsidRPr="00CF66B9" w14:paraId="4463196E" w14:textId="77777777" w:rsidTr="00FA7B04">
        <w:trPr>
          <w:trHeight w:val="340"/>
        </w:trPr>
        <w:tc>
          <w:tcPr>
            <w:tcW w:w="1702" w:type="dxa"/>
            <w:tcBorders>
              <w:top w:val="single" w:sz="4" w:space="0" w:color="auto"/>
              <w:left w:val="single" w:sz="4" w:space="0" w:color="auto"/>
              <w:bottom w:val="single" w:sz="4" w:space="0" w:color="auto"/>
              <w:right w:val="single" w:sz="4" w:space="0" w:color="auto"/>
            </w:tcBorders>
            <w:vAlign w:val="center"/>
            <w:hideMark/>
          </w:tcPr>
          <w:p w14:paraId="32DBACDE" w14:textId="77777777" w:rsidR="00A10D65" w:rsidRPr="00CF66B9" w:rsidRDefault="00A10D65" w:rsidP="00FA7B04">
            <w:pPr>
              <w:ind w:left="176"/>
              <w:rPr>
                <w:sz w:val="20"/>
                <w:szCs w:val="20"/>
              </w:rPr>
            </w:pPr>
            <w:r w:rsidRPr="00CF66B9">
              <w:rPr>
                <w:sz w:val="20"/>
                <w:szCs w:val="20"/>
              </w:rPr>
              <w:t xml:space="preserve">Median </w:t>
            </w:r>
          </w:p>
          <w:p w14:paraId="308387C2" w14:textId="77777777" w:rsidR="00A10D65" w:rsidRPr="00CF66B9" w:rsidRDefault="00A10D65" w:rsidP="00FA7B04">
            <w:pPr>
              <w:ind w:left="176"/>
              <w:rPr>
                <w:sz w:val="20"/>
                <w:szCs w:val="20"/>
              </w:rPr>
            </w:pPr>
            <w:r w:rsidRPr="00CF66B9">
              <w:rPr>
                <w:sz w:val="20"/>
                <w:szCs w:val="20"/>
              </w:rPr>
              <w:t>(range)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FBDF6A" w14:textId="77777777" w:rsidR="00A10D65" w:rsidRPr="00CF66B9" w:rsidRDefault="00A10D65" w:rsidP="00FA7B04">
            <w:pPr>
              <w:jc w:val="center"/>
              <w:rPr>
                <w:sz w:val="20"/>
                <w:szCs w:val="20"/>
              </w:rPr>
            </w:pPr>
            <w:r w:rsidRPr="00CF66B9">
              <w:rPr>
                <w:sz w:val="20"/>
                <w:szCs w:val="20"/>
              </w:rPr>
              <w:t>&lt;50</w:t>
            </w:r>
          </w:p>
          <w:p w14:paraId="19B6B95B" w14:textId="77777777" w:rsidR="00A10D65" w:rsidRPr="00CF66B9" w:rsidRDefault="00A10D65" w:rsidP="00FA7B04">
            <w:pPr>
              <w:jc w:val="center"/>
              <w:rPr>
                <w:sz w:val="20"/>
                <w:szCs w:val="20"/>
              </w:rPr>
            </w:pPr>
            <w:r w:rsidRPr="00CF66B9">
              <w:rPr>
                <w:sz w:val="20"/>
                <w:szCs w:val="20"/>
              </w:rPr>
              <w:t>(&lt;50–4510)</w:t>
            </w:r>
          </w:p>
        </w:tc>
        <w:tc>
          <w:tcPr>
            <w:tcW w:w="1418" w:type="dxa"/>
            <w:tcBorders>
              <w:top w:val="single" w:sz="4" w:space="0" w:color="auto"/>
              <w:left w:val="nil"/>
              <w:bottom w:val="single" w:sz="4" w:space="0" w:color="auto"/>
              <w:right w:val="single" w:sz="4" w:space="0" w:color="auto"/>
            </w:tcBorders>
            <w:vAlign w:val="center"/>
            <w:hideMark/>
          </w:tcPr>
          <w:p w14:paraId="11F1955A" w14:textId="77777777" w:rsidR="00A10D65" w:rsidRPr="00CF66B9" w:rsidRDefault="00A10D65" w:rsidP="00FA7B04">
            <w:pPr>
              <w:jc w:val="center"/>
              <w:rPr>
                <w:sz w:val="20"/>
                <w:szCs w:val="20"/>
              </w:rPr>
            </w:pPr>
            <w:r w:rsidRPr="00CF66B9">
              <w:rPr>
                <w:sz w:val="20"/>
                <w:szCs w:val="20"/>
              </w:rPr>
              <w:t>2452</w:t>
            </w:r>
          </w:p>
          <w:p w14:paraId="7BFB677F" w14:textId="77777777" w:rsidR="00A10D65" w:rsidRPr="00CF66B9" w:rsidRDefault="00A10D65" w:rsidP="00FA7B04">
            <w:pPr>
              <w:jc w:val="center"/>
              <w:rPr>
                <w:sz w:val="20"/>
                <w:szCs w:val="20"/>
              </w:rPr>
            </w:pPr>
            <w:r w:rsidRPr="00CF66B9">
              <w:rPr>
                <w:sz w:val="20"/>
                <w:szCs w:val="20"/>
              </w:rPr>
              <w:t>(66–37295)</w:t>
            </w:r>
          </w:p>
        </w:tc>
        <w:tc>
          <w:tcPr>
            <w:tcW w:w="1417" w:type="dxa"/>
            <w:tcBorders>
              <w:top w:val="single" w:sz="4" w:space="0" w:color="auto"/>
              <w:left w:val="nil"/>
              <w:bottom w:val="single" w:sz="4" w:space="0" w:color="auto"/>
              <w:right w:val="single" w:sz="4" w:space="0" w:color="auto"/>
            </w:tcBorders>
            <w:vAlign w:val="center"/>
            <w:hideMark/>
          </w:tcPr>
          <w:p w14:paraId="76BE701D" w14:textId="77777777" w:rsidR="00A10D65" w:rsidRPr="00CF66B9" w:rsidRDefault="00A10D65" w:rsidP="00FA7B04">
            <w:pPr>
              <w:jc w:val="center"/>
              <w:rPr>
                <w:sz w:val="20"/>
                <w:szCs w:val="20"/>
              </w:rPr>
            </w:pPr>
            <w:r w:rsidRPr="00CF66B9">
              <w:rPr>
                <w:sz w:val="20"/>
                <w:szCs w:val="20"/>
              </w:rPr>
              <w:t>2456</w:t>
            </w:r>
          </w:p>
          <w:p w14:paraId="02E007D8" w14:textId="77777777" w:rsidR="00A10D65" w:rsidRPr="00CF66B9" w:rsidRDefault="00A10D65" w:rsidP="00FA7B04">
            <w:pPr>
              <w:jc w:val="center"/>
              <w:rPr>
                <w:sz w:val="20"/>
                <w:szCs w:val="20"/>
              </w:rPr>
            </w:pPr>
            <w:r w:rsidRPr="00CF66B9">
              <w:rPr>
                <w:sz w:val="20"/>
                <w:szCs w:val="20"/>
              </w:rPr>
              <w:t>(73–9886)</w:t>
            </w:r>
          </w:p>
        </w:tc>
        <w:tc>
          <w:tcPr>
            <w:tcW w:w="1276" w:type="dxa"/>
            <w:tcBorders>
              <w:top w:val="single" w:sz="4" w:space="0" w:color="auto"/>
              <w:left w:val="nil"/>
              <w:bottom w:val="single" w:sz="4" w:space="0" w:color="auto"/>
              <w:right w:val="single" w:sz="4" w:space="0" w:color="auto"/>
            </w:tcBorders>
            <w:vAlign w:val="center"/>
            <w:hideMark/>
          </w:tcPr>
          <w:p w14:paraId="67998DF5" w14:textId="77777777" w:rsidR="00A10D65" w:rsidRPr="00CF66B9" w:rsidRDefault="00A10D65" w:rsidP="00FA7B04">
            <w:pPr>
              <w:jc w:val="center"/>
              <w:rPr>
                <w:sz w:val="20"/>
                <w:szCs w:val="20"/>
              </w:rPr>
            </w:pPr>
            <w:r w:rsidRPr="00CF66B9">
              <w:rPr>
                <w:sz w:val="20"/>
                <w:szCs w:val="20"/>
              </w:rPr>
              <w:t>1509</w:t>
            </w:r>
          </w:p>
          <w:p w14:paraId="08E7DB75" w14:textId="5E43C656" w:rsidR="00A10D65" w:rsidRPr="00CF66B9" w:rsidRDefault="00A10D65" w:rsidP="00FA7B04">
            <w:pPr>
              <w:jc w:val="center"/>
              <w:rPr>
                <w:sz w:val="20"/>
                <w:szCs w:val="20"/>
              </w:rPr>
            </w:pPr>
            <w:r w:rsidRPr="00CF66B9">
              <w:rPr>
                <w:sz w:val="20"/>
                <w:szCs w:val="20"/>
              </w:rPr>
              <w:t>(59–</w:t>
            </w:r>
            <w:r w:rsidR="0002489B" w:rsidRPr="00CF66B9">
              <w:rPr>
                <w:sz w:val="20"/>
                <w:szCs w:val="20"/>
              </w:rPr>
              <w:t>2</w:t>
            </w:r>
            <w:r w:rsidR="0002489B">
              <w:rPr>
                <w:sz w:val="20"/>
                <w:szCs w:val="20"/>
              </w:rPr>
              <w:t>0</w:t>
            </w:r>
            <w:r w:rsidRPr="00CF66B9">
              <w:rPr>
                <w:sz w:val="20"/>
                <w:szCs w:val="20"/>
              </w:rPr>
              <w:t>,744)</w:t>
            </w:r>
          </w:p>
        </w:tc>
        <w:tc>
          <w:tcPr>
            <w:tcW w:w="1418" w:type="dxa"/>
            <w:tcBorders>
              <w:top w:val="single" w:sz="4" w:space="0" w:color="auto"/>
              <w:left w:val="nil"/>
              <w:bottom w:val="single" w:sz="4" w:space="0" w:color="auto"/>
              <w:right w:val="single" w:sz="4" w:space="0" w:color="auto"/>
            </w:tcBorders>
            <w:vAlign w:val="center"/>
            <w:hideMark/>
          </w:tcPr>
          <w:p w14:paraId="41DACDC1" w14:textId="77777777" w:rsidR="00A10D65" w:rsidRPr="00CF66B9" w:rsidRDefault="00A10D65" w:rsidP="00FA7B04">
            <w:pPr>
              <w:jc w:val="center"/>
              <w:rPr>
                <w:sz w:val="20"/>
                <w:szCs w:val="20"/>
              </w:rPr>
            </w:pPr>
            <w:r w:rsidRPr="00CF66B9">
              <w:rPr>
                <w:sz w:val="20"/>
                <w:szCs w:val="20"/>
              </w:rPr>
              <w:t>1200</w:t>
            </w:r>
          </w:p>
          <w:p w14:paraId="02142C13" w14:textId="77777777" w:rsidR="00A10D65" w:rsidRPr="00CF66B9" w:rsidRDefault="00A10D65" w:rsidP="00FA7B04">
            <w:pPr>
              <w:jc w:val="center"/>
              <w:rPr>
                <w:sz w:val="20"/>
                <w:szCs w:val="20"/>
              </w:rPr>
            </w:pPr>
            <w:r w:rsidRPr="00CF66B9">
              <w:rPr>
                <w:sz w:val="20"/>
                <w:szCs w:val="20"/>
              </w:rPr>
              <w:t>(&lt;50–46,186)</w:t>
            </w:r>
          </w:p>
        </w:tc>
        <w:tc>
          <w:tcPr>
            <w:tcW w:w="1417" w:type="dxa"/>
            <w:tcBorders>
              <w:top w:val="single" w:sz="4" w:space="0" w:color="auto"/>
              <w:left w:val="nil"/>
              <w:bottom w:val="single" w:sz="4" w:space="0" w:color="auto"/>
              <w:right w:val="single" w:sz="4" w:space="0" w:color="auto"/>
            </w:tcBorders>
            <w:vAlign w:val="center"/>
            <w:hideMark/>
          </w:tcPr>
          <w:p w14:paraId="5AEB88E7" w14:textId="77777777" w:rsidR="00A10D65" w:rsidRPr="00CF66B9" w:rsidRDefault="00A10D65" w:rsidP="00FA7B04">
            <w:pPr>
              <w:jc w:val="center"/>
              <w:rPr>
                <w:sz w:val="20"/>
                <w:szCs w:val="20"/>
              </w:rPr>
            </w:pPr>
            <w:r w:rsidRPr="00CF66B9">
              <w:rPr>
                <w:sz w:val="20"/>
                <w:szCs w:val="20"/>
              </w:rPr>
              <w:t>905</w:t>
            </w:r>
          </w:p>
          <w:p w14:paraId="18EFE203" w14:textId="77777777" w:rsidR="00A10D65" w:rsidRPr="00CF66B9" w:rsidRDefault="00A10D65" w:rsidP="00FA7B04">
            <w:pPr>
              <w:jc w:val="center"/>
              <w:rPr>
                <w:sz w:val="20"/>
                <w:szCs w:val="20"/>
              </w:rPr>
            </w:pPr>
            <w:r w:rsidRPr="00CF66B9">
              <w:rPr>
                <w:sz w:val="20"/>
                <w:szCs w:val="20"/>
              </w:rPr>
              <w:t>(&lt;50–10,308)</w:t>
            </w:r>
          </w:p>
        </w:tc>
        <w:tc>
          <w:tcPr>
            <w:tcW w:w="1418" w:type="dxa"/>
            <w:tcBorders>
              <w:top w:val="single" w:sz="4" w:space="0" w:color="auto"/>
              <w:left w:val="nil"/>
              <w:bottom w:val="single" w:sz="4" w:space="0" w:color="auto"/>
              <w:right w:val="single" w:sz="4" w:space="0" w:color="auto"/>
            </w:tcBorders>
            <w:vAlign w:val="center"/>
            <w:hideMark/>
          </w:tcPr>
          <w:p w14:paraId="45BE3A46" w14:textId="77777777" w:rsidR="00A10D65" w:rsidRPr="00CF66B9" w:rsidRDefault="00A10D65" w:rsidP="00FA7B04">
            <w:pPr>
              <w:jc w:val="center"/>
              <w:rPr>
                <w:sz w:val="20"/>
                <w:szCs w:val="20"/>
              </w:rPr>
            </w:pPr>
            <w:r w:rsidRPr="00CF66B9">
              <w:rPr>
                <w:sz w:val="20"/>
                <w:szCs w:val="20"/>
              </w:rPr>
              <w:t>1207</w:t>
            </w:r>
          </w:p>
          <w:p w14:paraId="2DCE5736" w14:textId="77777777" w:rsidR="00A10D65" w:rsidRPr="00CF66B9" w:rsidRDefault="00A10D65" w:rsidP="00FA7B04">
            <w:pPr>
              <w:jc w:val="center"/>
              <w:rPr>
                <w:sz w:val="20"/>
                <w:szCs w:val="20"/>
              </w:rPr>
            </w:pPr>
            <w:r w:rsidRPr="00CF66B9">
              <w:rPr>
                <w:sz w:val="20"/>
                <w:szCs w:val="20"/>
              </w:rPr>
              <w:t>(105–24,290)</w:t>
            </w:r>
          </w:p>
        </w:tc>
        <w:tc>
          <w:tcPr>
            <w:tcW w:w="1417" w:type="dxa"/>
            <w:tcBorders>
              <w:top w:val="single" w:sz="4" w:space="0" w:color="auto"/>
              <w:left w:val="nil"/>
              <w:bottom w:val="single" w:sz="4" w:space="0" w:color="auto"/>
              <w:right w:val="single" w:sz="4" w:space="0" w:color="auto"/>
            </w:tcBorders>
            <w:vAlign w:val="center"/>
            <w:hideMark/>
          </w:tcPr>
          <w:p w14:paraId="5FF48CE7" w14:textId="77777777" w:rsidR="00A10D65" w:rsidRPr="00CF66B9" w:rsidRDefault="00A10D65" w:rsidP="00FA7B04">
            <w:pPr>
              <w:jc w:val="center"/>
              <w:rPr>
                <w:sz w:val="20"/>
                <w:szCs w:val="20"/>
              </w:rPr>
            </w:pPr>
            <w:r w:rsidRPr="00CF66B9">
              <w:rPr>
                <w:sz w:val="20"/>
                <w:szCs w:val="20"/>
              </w:rPr>
              <w:t>2177</w:t>
            </w:r>
          </w:p>
          <w:p w14:paraId="43CE7566" w14:textId="77777777" w:rsidR="00A10D65" w:rsidRPr="00CF66B9" w:rsidRDefault="00A10D65" w:rsidP="00FA7B04">
            <w:pPr>
              <w:jc w:val="center"/>
              <w:rPr>
                <w:sz w:val="20"/>
                <w:szCs w:val="20"/>
              </w:rPr>
            </w:pPr>
            <w:r w:rsidRPr="00CF66B9">
              <w:rPr>
                <w:sz w:val="20"/>
                <w:szCs w:val="20"/>
              </w:rPr>
              <w:t>(&lt;50–12,675)</w:t>
            </w:r>
          </w:p>
        </w:tc>
        <w:tc>
          <w:tcPr>
            <w:tcW w:w="1276" w:type="dxa"/>
            <w:tcBorders>
              <w:top w:val="single" w:sz="4" w:space="0" w:color="auto"/>
              <w:left w:val="nil"/>
              <w:bottom w:val="single" w:sz="4" w:space="0" w:color="auto"/>
              <w:right w:val="single" w:sz="4" w:space="0" w:color="auto"/>
            </w:tcBorders>
            <w:vAlign w:val="center"/>
            <w:hideMark/>
          </w:tcPr>
          <w:p w14:paraId="627AB114" w14:textId="77777777" w:rsidR="00A10D65" w:rsidRPr="00CF66B9" w:rsidRDefault="00A10D65" w:rsidP="00FA7B04">
            <w:pPr>
              <w:jc w:val="center"/>
              <w:rPr>
                <w:sz w:val="20"/>
                <w:szCs w:val="20"/>
              </w:rPr>
            </w:pPr>
            <w:r w:rsidRPr="00CF66B9">
              <w:rPr>
                <w:sz w:val="20"/>
                <w:szCs w:val="20"/>
              </w:rPr>
              <w:t>594</w:t>
            </w:r>
          </w:p>
          <w:p w14:paraId="17E8431B" w14:textId="77777777" w:rsidR="00A10D65" w:rsidRPr="00CF66B9" w:rsidRDefault="00A10D65" w:rsidP="00FA7B04">
            <w:pPr>
              <w:jc w:val="center"/>
              <w:rPr>
                <w:sz w:val="20"/>
                <w:szCs w:val="20"/>
              </w:rPr>
            </w:pPr>
            <w:r w:rsidRPr="00CF66B9">
              <w:rPr>
                <w:sz w:val="20"/>
                <w:szCs w:val="20"/>
              </w:rPr>
              <w:t>(&lt;50–4010)</w:t>
            </w:r>
          </w:p>
        </w:tc>
      </w:tr>
      <w:tr w:rsidR="00A10D65" w:rsidRPr="00CF66B9" w14:paraId="54C7AD40" w14:textId="77777777" w:rsidTr="00FA7B04">
        <w:trPr>
          <w:trHeight w:val="340"/>
        </w:trPr>
        <w:tc>
          <w:tcPr>
            <w:tcW w:w="1702" w:type="dxa"/>
            <w:tcBorders>
              <w:top w:val="single" w:sz="4" w:space="0" w:color="auto"/>
              <w:left w:val="single" w:sz="4" w:space="0" w:color="auto"/>
              <w:bottom w:val="single" w:sz="4" w:space="0" w:color="auto"/>
              <w:right w:val="single" w:sz="4" w:space="0" w:color="auto"/>
            </w:tcBorders>
            <w:vAlign w:val="center"/>
            <w:hideMark/>
          </w:tcPr>
          <w:p w14:paraId="28D37AC3" w14:textId="77777777" w:rsidR="00A10D65" w:rsidRPr="00CF66B9" w:rsidRDefault="00A10D65" w:rsidP="00FA7B04">
            <w:pPr>
              <w:ind w:left="176"/>
              <w:rPr>
                <w:sz w:val="20"/>
                <w:szCs w:val="20"/>
              </w:rPr>
            </w:pPr>
            <w:r w:rsidRPr="00CF66B9">
              <w:rPr>
                <w:sz w:val="20"/>
                <w:szCs w:val="20"/>
              </w:rPr>
              <w:t>Normal, n (</w:t>
            </w:r>
            <w:proofErr w:type="gramStart"/>
            <w:r w:rsidRPr="00CF66B9">
              <w:rPr>
                <w:sz w:val="20"/>
                <w:szCs w:val="20"/>
              </w:rPr>
              <w:t>%)</w:t>
            </w:r>
            <w:r w:rsidRPr="00CF66B9">
              <w:rPr>
                <w:sz w:val="20"/>
                <w:szCs w:val="20"/>
                <w:vertAlign w:val="superscript"/>
              </w:rPr>
              <w:t>b</w:t>
            </w:r>
            <w:proofErr w:type="gramEnd"/>
          </w:p>
        </w:tc>
        <w:tc>
          <w:tcPr>
            <w:tcW w:w="1417" w:type="dxa"/>
            <w:tcBorders>
              <w:top w:val="nil"/>
              <w:left w:val="single" w:sz="4" w:space="0" w:color="auto"/>
              <w:bottom w:val="single" w:sz="4" w:space="0" w:color="auto"/>
              <w:right w:val="single" w:sz="4" w:space="0" w:color="auto"/>
            </w:tcBorders>
            <w:vAlign w:val="center"/>
            <w:hideMark/>
          </w:tcPr>
          <w:p w14:paraId="54195099" w14:textId="77777777" w:rsidR="00A10D65" w:rsidRPr="00CF66B9" w:rsidRDefault="00A10D65" w:rsidP="00FA7B04">
            <w:pPr>
              <w:jc w:val="center"/>
              <w:rPr>
                <w:sz w:val="20"/>
                <w:szCs w:val="20"/>
              </w:rPr>
            </w:pPr>
            <w:proofErr w:type="spellStart"/>
            <w:r w:rsidRPr="00CF66B9">
              <w:rPr>
                <w:sz w:val="20"/>
                <w:szCs w:val="20"/>
              </w:rPr>
              <w:t>NA</w:t>
            </w:r>
            <w:r w:rsidRPr="00CF66B9">
              <w:rPr>
                <w:sz w:val="20"/>
                <w:szCs w:val="20"/>
                <w:vertAlign w:val="superscript"/>
              </w:rPr>
              <w:t>c</w:t>
            </w:r>
            <w:proofErr w:type="spellEnd"/>
          </w:p>
        </w:tc>
        <w:tc>
          <w:tcPr>
            <w:tcW w:w="1418" w:type="dxa"/>
            <w:tcBorders>
              <w:top w:val="nil"/>
              <w:left w:val="nil"/>
              <w:bottom w:val="single" w:sz="4" w:space="0" w:color="auto"/>
              <w:right w:val="single" w:sz="4" w:space="0" w:color="auto"/>
            </w:tcBorders>
            <w:vAlign w:val="center"/>
            <w:hideMark/>
          </w:tcPr>
          <w:p w14:paraId="6A35DB8A" w14:textId="77777777" w:rsidR="00A10D65" w:rsidRPr="00CF66B9" w:rsidRDefault="00A10D65" w:rsidP="00FA7B04">
            <w:pPr>
              <w:jc w:val="center"/>
              <w:rPr>
                <w:sz w:val="20"/>
                <w:szCs w:val="20"/>
              </w:rPr>
            </w:pPr>
            <w:r w:rsidRPr="00CF66B9">
              <w:rPr>
                <w:sz w:val="20"/>
                <w:szCs w:val="20"/>
              </w:rPr>
              <w:t>6 (43)</w:t>
            </w:r>
          </w:p>
        </w:tc>
        <w:tc>
          <w:tcPr>
            <w:tcW w:w="1417" w:type="dxa"/>
            <w:tcBorders>
              <w:top w:val="nil"/>
              <w:left w:val="nil"/>
              <w:bottom w:val="single" w:sz="4" w:space="0" w:color="auto"/>
              <w:right w:val="single" w:sz="4" w:space="0" w:color="auto"/>
            </w:tcBorders>
            <w:vAlign w:val="center"/>
            <w:hideMark/>
          </w:tcPr>
          <w:p w14:paraId="2F3434CB" w14:textId="77777777" w:rsidR="00A10D65" w:rsidRPr="00CF66B9" w:rsidRDefault="00A10D65" w:rsidP="00FA7B04">
            <w:pPr>
              <w:jc w:val="center"/>
              <w:rPr>
                <w:sz w:val="20"/>
                <w:szCs w:val="20"/>
              </w:rPr>
            </w:pPr>
            <w:r w:rsidRPr="00CF66B9">
              <w:rPr>
                <w:sz w:val="20"/>
                <w:szCs w:val="20"/>
              </w:rPr>
              <w:t>7 (50)</w:t>
            </w:r>
          </w:p>
        </w:tc>
        <w:tc>
          <w:tcPr>
            <w:tcW w:w="1276" w:type="dxa"/>
            <w:tcBorders>
              <w:top w:val="nil"/>
              <w:left w:val="nil"/>
              <w:bottom w:val="single" w:sz="4" w:space="0" w:color="auto"/>
              <w:right w:val="single" w:sz="4" w:space="0" w:color="auto"/>
            </w:tcBorders>
            <w:vAlign w:val="center"/>
            <w:hideMark/>
          </w:tcPr>
          <w:p w14:paraId="00DA2CA9" w14:textId="77777777" w:rsidR="00A10D65" w:rsidRPr="00CF66B9" w:rsidRDefault="00A10D65" w:rsidP="00FA7B04">
            <w:pPr>
              <w:jc w:val="center"/>
              <w:rPr>
                <w:sz w:val="20"/>
                <w:szCs w:val="20"/>
              </w:rPr>
            </w:pPr>
            <w:r w:rsidRPr="00CF66B9">
              <w:rPr>
                <w:sz w:val="20"/>
                <w:szCs w:val="20"/>
              </w:rPr>
              <w:t>9 (64)</w:t>
            </w:r>
          </w:p>
        </w:tc>
        <w:tc>
          <w:tcPr>
            <w:tcW w:w="1418" w:type="dxa"/>
            <w:tcBorders>
              <w:top w:val="nil"/>
              <w:left w:val="nil"/>
              <w:bottom w:val="single" w:sz="4" w:space="0" w:color="auto"/>
              <w:right w:val="single" w:sz="4" w:space="0" w:color="auto"/>
            </w:tcBorders>
            <w:vAlign w:val="center"/>
            <w:hideMark/>
          </w:tcPr>
          <w:p w14:paraId="4CF00BDC" w14:textId="77777777" w:rsidR="00A10D65" w:rsidRPr="00CF66B9" w:rsidRDefault="00A10D65" w:rsidP="00FA7B04">
            <w:pPr>
              <w:jc w:val="center"/>
              <w:rPr>
                <w:sz w:val="20"/>
                <w:szCs w:val="20"/>
              </w:rPr>
            </w:pPr>
            <w:r w:rsidRPr="00CF66B9">
              <w:rPr>
                <w:sz w:val="20"/>
                <w:szCs w:val="20"/>
              </w:rPr>
              <w:t>10 (71)</w:t>
            </w:r>
          </w:p>
        </w:tc>
        <w:tc>
          <w:tcPr>
            <w:tcW w:w="1417" w:type="dxa"/>
            <w:tcBorders>
              <w:top w:val="nil"/>
              <w:left w:val="nil"/>
              <w:bottom w:val="single" w:sz="4" w:space="0" w:color="auto"/>
              <w:right w:val="single" w:sz="4" w:space="0" w:color="auto"/>
            </w:tcBorders>
            <w:vAlign w:val="center"/>
            <w:hideMark/>
          </w:tcPr>
          <w:p w14:paraId="3003E72B" w14:textId="77777777" w:rsidR="00A10D65" w:rsidRPr="00CF66B9" w:rsidRDefault="00A10D65" w:rsidP="00FA7B04">
            <w:pPr>
              <w:jc w:val="center"/>
              <w:rPr>
                <w:sz w:val="20"/>
                <w:szCs w:val="20"/>
              </w:rPr>
            </w:pPr>
            <w:r w:rsidRPr="00CF66B9">
              <w:rPr>
                <w:sz w:val="20"/>
                <w:szCs w:val="20"/>
              </w:rPr>
              <w:t>9 (64)</w:t>
            </w:r>
          </w:p>
        </w:tc>
        <w:tc>
          <w:tcPr>
            <w:tcW w:w="1418" w:type="dxa"/>
            <w:tcBorders>
              <w:top w:val="nil"/>
              <w:left w:val="nil"/>
              <w:bottom w:val="single" w:sz="4" w:space="0" w:color="auto"/>
              <w:right w:val="single" w:sz="4" w:space="0" w:color="auto"/>
            </w:tcBorders>
            <w:vAlign w:val="center"/>
            <w:hideMark/>
          </w:tcPr>
          <w:p w14:paraId="20C81F4F" w14:textId="77777777" w:rsidR="00A10D65" w:rsidRPr="00CF66B9" w:rsidRDefault="00A10D65" w:rsidP="00FA7B04">
            <w:pPr>
              <w:jc w:val="center"/>
              <w:rPr>
                <w:sz w:val="20"/>
                <w:szCs w:val="20"/>
              </w:rPr>
            </w:pPr>
            <w:r w:rsidRPr="00CF66B9">
              <w:rPr>
                <w:sz w:val="20"/>
                <w:szCs w:val="20"/>
              </w:rPr>
              <w:t>10 (71)</w:t>
            </w:r>
          </w:p>
        </w:tc>
        <w:tc>
          <w:tcPr>
            <w:tcW w:w="1417" w:type="dxa"/>
            <w:tcBorders>
              <w:top w:val="nil"/>
              <w:left w:val="nil"/>
              <w:bottom w:val="single" w:sz="4" w:space="0" w:color="auto"/>
              <w:right w:val="single" w:sz="4" w:space="0" w:color="auto"/>
            </w:tcBorders>
            <w:vAlign w:val="center"/>
            <w:hideMark/>
          </w:tcPr>
          <w:p w14:paraId="3865E680" w14:textId="77777777" w:rsidR="00A10D65" w:rsidRPr="00CF66B9" w:rsidRDefault="00A10D65" w:rsidP="00FA7B04">
            <w:pPr>
              <w:jc w:val="center"/>
              <w:rPr>
                <w:sz w:val="20"/>
                <w:szCs w:val="20"/>
              </w:rPr>
            </w:pPr>
            <w:r w:rsidRPr="00CF66B9">
              <w:rPr>
                <w:sz w:val="20"/>
                <w:szCs w:val="20"/>
              </w:rPr>
              <w:t>6 (60)</w:t>
            </w:r>
          </w:p>
        </w:tc>
        <w:tc>
          <w:tcPr>
            <w:tcW w:w="1276" w:type="dxa"/>
            <w:tcBorders>
              <w:top w:val="nil"/>
              <w:left w:val="nil"/>
              <w:bottom w:val="single" w:sz="4" w:space="0" w:color="auto"/>
              <w:right w:val="single" w:sz="4" w:space="0" w:color="auto"/>
            </w:tcBorders>
            <w:vAlign w:val="center"/>
            <w:hideMark/>
          </w:tcPr>
          <w:p w14:paraId="38489D4F" w14:textId="77777777" w:rsidR="00A10D65" w:rsidRPr="00CF66B9" w:rsidRDefault="00A10D65" w:rsidP="00FA7B04">
            <w:pPr>
              <w:jc w:val="center"/>
              <w:rPr>
                <w:sz w:val="20"/>
                <w:szCs w:val="20"/>
              </w:rPr>
            </w:pPr>
            <w:r w:rsidRPr="00CF66B9">
              <w:rPr>
                <w:sz w:val="20"/>
                <w:szCs w:val="20"/>
              </w:rPr>
              <w:t>7 (78)</w:t>
            </w:r>
          </w:p>
        </w:tc>
      </w:tr>
      <w:tr w:rsidR="00A10D65" w:rsidRPr="00CF66B9" w14:paraId="557A4628" w14:textId="77777777" w:rsidTr="00FA7B04">
        <w:trPr>
          <w:trHeight w:val="340"/>
        </w:trPr>
        <w:tc>
          <w:tcPr>
            <w:tcW w:w="14176" w:type="dxa"/>
            <w:gridSpan w:val="10"/>
            <w:tcBorders>
              <w:top w:val="single" w:sz="4" w:space="0" w:color="auto"/>
              <w:left w:val="single" w:sz="4" w:space="0" w:color="auto"/>
              <w:bottom w:val="single" w:sz="4" w:space="0" w:color="auto"/>
              <w:right w:val="single" w:sz="4" w:space="0" w:color="auto"/>
            </w:tcBorders>
            <w:hideMark/>
          </w:tcPr>
          <w:p w14:paraId="0B4E4A05" w14:textId="77777777" w:rsidR="00A10D65" w:rsidRPr="00CF66B9" w:rsidRDefault="00A10D65" w:rsidP="00FA7B04">
            <w:pPr>
              <w:rPr>
                <w:b/>
                <w:bCs/>
                <w:sz w:val="20"/>
                <w:szCs w:val="20"/>
              </w:rPr>
            </w:pPr>
            <w:r w:rsidRPr="00CF66B9">
              <w:rPr>
                <w:b/>
                <w:bCs/>
                <w:sz w:val="20"/>
                <w:szCs w:val="20"/>
              </w:rPr>
              <w:t>CXCL9</w:t>
            </w:r>
          </w:p>
        </w:tc>
      </w:tr>
      <w:tr w:rsidR="00A10D65" w:rsidRPr="00CF66B9" w14:paraId="32F49F27" w14:textId="77777777" w:rsidTr="00FA7B04">
        <w:trPr>
          <w:trHeight w:val="340"/>
        </w:trPr>
        <w:tc>
          <w:tcPr>
            <w:tcW w:w="1702" w:type="dxa"/>
            <w:tcBorders>
              <w:top w:val="single" w:sz="4" w:space="0" w:color="auto"/>
              <w:left w:val="single" w:sz="4" w:space="0" w:color="auto"/>
              <w:bottom w:val="single" w:sz="4" w:space="0" w:color="auto"/>
              <w:right w:val="single" w:sz="4" w:space="0" w:color="auto"/>
            </w:tcBorders>
            <w:hideMark/>
          </w:tcPr>
          <w:p w14:paraId="4EE24A0B" w14:textId="77777777" w:rsidR="00A10D65" w:rsidRPr="00CF66B9" w:rsidRDefault="00A10D65" w:rsidP="00FA7B04">
            <w:pPr>
              <w:ind w:left="176"/>
              <w:rPr>
                <w:sz w:val="20"/>
                <w:szCs w:val="20"/>
              </w:rPr>
            </w:pPr>
            <w:r w:rsidRPr="00CF66B9">
              <w:rPr>
                <w:sz w:val="20"/>
                <w:szCs w:val="20"/>
              </w:rPr>
              <w:t>Median</w:t>
            </w:r>
          </w:p>
          <w:p w14:paraId="5A3F55D8" w14:textId="77777777" w:rsidR="00A10D65" w:rsidRPr="00CF66B9" w:rsidRDefault="00A10D65" w:rsidP="00FA7B04">
            <w:pPr>
              <w:ind w:left="176"/>
              <w:rPr>
                <w:sz w:val="20"/>
                <w:szCs w:val="20"/>
              </w:rPr>
            </w:pPr>
            <w:r w:rsidRPr="00CF66B9">
              <w:rPr>
                <w:sz w:val="20"/>
                <w:szCs w:val="20"/>
              </w:rPr>
              <w:t>(range)</w:t>
            </w:r>
          </w:p>
        </w:tc>
        <w:tc>
          <w:tcPr>
            <w:tcW w:w="1417" w:type="dxa"/>
            <w:tcBorders>
              <w:top w:val="nil"/>
              <w:left w:val="single" w:sz="4" w:space="0" w:color="auto"/>
              <w:bottom w:val="single" w:sz="4" w:space="0" w:color="auto"/>
              <w:right w:val="single" w:sz="4" w:space="0" w:color="auto"/>
            </w:tcBorders>
            <w:vAlign w:val="bottom"/>
            <w:hideMark/>
          </w:tcPr>
          <w:p w14:paraId="4ACD351B" w14:textId="77777777" w:rsidR="00A10D65" w:rsidRPr="00CF66B9" w:rsidRDefault="00A10D65" w:rsidP="00FA7B04">
            <w:pPr>
              <w:jc w:val="center"/>
              <w:rPr>
                <w:sz w:val="20"/>
                <w:szCs w:val="20"/>
              </w:rPr>
            </w:pPr>
            <w:r w:rsidRPr="00CF66B9">
              <w:rPr>
                <w:sz w:val="20"/>
                <w:szCs w:val="20"/>
              </w:rPr>
              <w:t>10884</w:t>
            </w:r>
          </w:p>
          <w:p w14:paraId="3D7B2D64" w14:textId="77777777" w:rsidR="00A10D65" w:rsidRPr="00CF66B9" w:rsidRDefault="00A10D65" w:rsidP="00FA7B04">
            <w:pPr>
              <w:jc w:val="center"/>
              <w:rPr>
                <w:sz w:val="20"/>
                <w:szCs w:val="20"/>
              </w:rPr>
            </w:pPr>
            <w:r w:rsidRPr="00CF66B9">
              <w:rPr>
                <w:sz w:val="20"/>
                <w:szCs w:val="20"/>
              </w:rPr>
              <w:t>(1020–98,121)</w:t>
            </w:r>
          </w:p>
        </w:tc>
        <w:tc>
          <w:tcPr>
            <w:tcW w:w="1418" w:type="dxa"/>
            <w:tcBorders>
              <w:top w:val="nil"/>
              <w:left w:val="nil"/>
              <w:bottom w:val="single" w:sz="4" w:space="0" w:color="auto"/>
              <w:right w:val="single" w:sz="4" w:space="0" w:color="auto"/>
            </w:tcBorders>
            <w:hideMark/>
          </w:tcPr>
          <w:p w14:paraId="39893457" w14:textId="77777777" w:rsidR="00A10D65" w:rsidRPr="00CF66B9" w:rsidRDefault="00A10D65" w:rsidP="00FA7B04">
            <w:pPr>
              <w:jc w:val="center"/>
              <w:rPr>
                <w:sz w:val="20"/>
                <w:szCs w:val="20"/>
              </w:rPr>
            </w:pPr>
            <w:r w:rsidRPr="00CF66B9">
              <w:rPr>
                <w:sz w:val="20"/>
                <w:szCs w:val="20"/>
              </w:rPr>
              <w:t>1807</w:t>
            </w:r>
          </w:p>
          <w:p w14:paraId="5FA9AD5E" w14:textId="77777777" w:rsidR="00A10D65" w:rsidRPr="00CF66B9" w:rsidRDefault="00A10D65" w:rsidP="00FA7B04">
            <w:pPr>
              <w:jc w:val="center"/>
              <w:rPr>
                <w:sz w:val="20"/>
                <w:szCs w:val="20"/>
              </w:rPr>
            </w:pPr>
            <w:r w:rsidRPr="00CF66B9">
              <w:rPr>
                <w:sz w:val="20"/>
                <w:szCs w:val="20"/>
              </w:rPr>
              <w:t>(598–21,963)</w:t>
            </w:r>
          </w:p>
        </w:tc>
        <w:tc>
          <w:tcPr>
            <w:tcW w:w="1417" w:type="dxa"/>
            <w:tcBorders>
              <w:top w:val="nil"/>
              <w:left w:val="nil"/>
              <w:bottom w:val="single" w:sz="4" w:space="0" w:color="auto"/>
              <w:right w:val="single" w:sz="4" w:space="0" w:color="auto"/>
            </w:tcBorders>
            <w:vAlign w:val="bottom"/>
            <w:hideMark/>
          </w:tcPr>
          <w:p w14:paraId="0B6CDF18" w14:textId="77777777" w:rsidR="00A10D65" w:rsidRPr="00CF66B9" w:rsidRDefault="00A10D65" w:rsidP="00FA7B04">
            <w:pPr>
              <w:jc w:val="center"/>
              <w:rPr>
                <w:sz w:val="20"/>
                <w:szCs w:val="20"/>
              </w:rPr>
            </w:pPr>
            <w:r w:rsidRPr="00CF66B9">
              <w:rPr>
                <w:sz w:val="20"/>
                <w:szCs w:val="20"/>
              </w:rPr>
              <w:t xml:space="preserve">555 </w:t>
            </w:r>
          </w:p>
          <w:p w14:paraId="6AB75D6E" w14:textId="77777777" w:rsidR="00A10D65" w:rsidRPr="00CF66B9" w:rsidRDefault="00A10D65" w:rsidP="00FA7B04">
            <w:pPr>
              <w:jc w:val="center"/>
              <w:rPr>
                <w:sz w:val="20"/>
                <w:szCs w:val="20"/>
              </w:rPr>
            </w:pPr>
            <w:r w:rsidRPr="00CF66B9">
              <w:rPr>
                <w:sz w:val="20"/>
                <w:szCs w:val="20"/>
              </w:rPr>
              <w:t>(192–3044)</w:t>
            </w:r>
          </w:p>
        </w:tc>
        <w:tc>
          <w:tcPr>
            <w:tcW w:w="1276" w:type="dxa"/>
            <w:tcBorders>
              <w:top w:val="nil"/>
              <w:left w:val="nil"/>
              <w:bottom w:val="single" w:sz="4" w:space="0" w:color="auto"/>
              <w:right w:val="single" w:sz="4" w:space="0" w:color="auto"/>
            </w:tcBorders>
            <w:vAlign w:val="bottom"/>
            <w:hideMark/>
          </w:tcPr>
          <w:p w14:paraId="17882A44" w14:textId="77777777" w:rsidR="00A10D65" w:rsidRPr="00CF66B9" w:rsidRDefault="00A10D65" w:rsidP="00FA7B04">
            <w:pPr>
              <w:jc w:val="center"/>
              <w:rPr>
                <w:sz w:val="20"/>
                <w:szCs w:val="20"/>
              </w:rPr>
            </w:pPr>
            <w:r w:rsidRPr="00CF66B9">
              <w:rPr>
                <w:sz w:val="20"/>
                <w:szCs w:val="20"/>
              </w:rPr>
              <w:t>217</w:t>
            </w:r>
          </w:p>
          <w:p w14:paraId="5DCA3C5B" w14:textId="77777777" w:rsidR="00A10D65" w:rsidRPr="00CF66B9" w:rsidRDefault="00A10D65" w:rsidP="00FA7B04">
            <w:pPr>
              <w:jc w:val="center"/>
              <w:rPr>
                <w:sz w:val="20"/>
                <w:szCs w:val="20"/>
              </w:rPr>
            </w:pPr>
            <w:r w:rsidRPr="00CF66B9">
              <w:rPr>
                <w:sz w:val="20"/>
                <w:szCs w:val="20"/>
              </w:rPr>
              <w:t>(&lt;80–1946)</w:t>
            </w:r>
          </w:p>
        </w:tc>
        <w:tc>
          <w:tcPr>
            <w:tcW w:w="1418" w:type="dxa"/>
            <w:tcBorders>
              <w:top w:val="nil"/>
              <w:left w:val="nil"/>
              <w:bottom w:val="single" w:sz="4" w:space="0" w:color="auto"/>
              <w:right w:val="single" w:sz="4" w:space="0" w:color="auto"/>
            </w:tcBorders>
            <w:vAlign w:val="bottom"/>
            <w:hideMark/>
          </w:tcPr>
          <w:p w14:paraId="327A5E1A" w14:textId="77777777" w:rsidR="00A10D65" w:rsidRPr="00CF66B9" w:rsidRDefault="00A10D65" w:rsidP="00FA7B04">
            <w:pPr>
              <w:jc w:val="center"/>
              <w:rPr>
                <w:sz w:val="20"/>
                <w:szCs w:val="20"/>
              </w:rPr>
            </w:pPr>
            <w:r w:rsidRPr="00CF66B9">
              <w:rPr>
                <w:sz w:val="20"/>
                <w:szCs w:val="20"/>
              </w:rPr>
              <w:t>136</w:t>
            </w:r>
          </w:p>
          <w:p w14:paraId="1B78ECA1" w14:textId="77777777" w:rsidR="00A10D65" w:rsidRPr="00CF66B9" w:rsidRDefault="00A10D65" w:rsidP="00FA7B04">
            <w:pPr>
              <w:jc w:val="center"/>
              <w:rPr>
                <w:sz w:val="20"/>
                <w:szCs w:val="20"/>
              </w:rPr>
            </w:pPr>
            <w:r w:rsidRPr="00CF66B9">
              <w:rPr>
                <w:sz w:val="20"/>
                <w:szCs w:val="20"/>
              </w:rPr>
              <w:t>(&lt;80–750)</w:t>
            </w:r>
          </w:p>
        </w:tc>
        <w:tc>
          <w:tcPr>
            <w:tcW w:w="1417" w:type="dxa"/>
            <w:tcBorders>
              <w:top w:val="nil"/>
              <w:left w:val="nil"/>
              <w:bottom w:val="single" w:sz="4" w:space="0" w:color="auto"/>
              <w:right w:val="single" w:sz="4" w:space="0" w:color="auto"/>
            </w:tcBorders>
            <w:vAlign w:val="bottom"/>
            <w:hideMark/>
          </w:tcPr>
          <w:p w14:paraId="091AA685" w14:textId="77777777" w:rsidR="00A10D65" w:rsidRPr="00CF66B9" w:rsidRDefault="00A10D65" w:rsidP="00FA7B04">
            <w:pPr>
              <w:jc w:val="center"/>
              <w:rPr>
                <w:sz w:val="20"/>
                <w:szCs w:val="20"/>
              </w:rPr>
            </w:pPr>
            <w:r w:rsidRPr="00CF66B9">
              <w:rPr>
                <w:sz w:val="20"/>
                <w:szCs w:val="20"/>
              </w:rPr>
              <w:t>114</w:t>
            </w:r>
          </w:p>
          <w:p w14:paraId="5E730179" w14:textId="77777777" w:rsidR="00A10D65" w:rsidRPr="00CF66B9" w:rsidRDefault="00A10D65" w:rsidP="00FA7B04">
            <w:pPr>
              <w:jc w:val="center"/>
              <w:rPr>
                <w:sz w:val="20"/>
                <w:szCs w:val="20"/>
              </w:rPr>
            </w:pPr>
            <w:r w:rsidRPr="00CF66B9">
              <w:rPr>
                <w:sz w:val="20"/>
                <w:szCs w:val="20"/>
              </w:rPr>
              <w:t>(&lt;80–2296)</w:t>
            </w:r>
          </w:p>
        </w:tc>
        <w:tc>
          <w:tcPr>
            <w:tcW w:w="1418" w:type="dxa"/>
            <w:tcBorders>
              <w:top w:val="nil"/>
              <w:left w:val="nil"/>
              <w:bottom w:val="single" w:sz="4" w:space="0" w:color="auto"/>
              <w:right w:val="single" w:sz="4" w:space="0" w:color="auto"/>
            </w:tcBorders>
            <w:vAlign w:val="bottom"/>
            <w:hideMark/>
          </w:tcPr>
          <w:p w14:paraId="7D0C71E5" w14:textId="77777777" w:rsidR="00A10D65" w:rsidRPr="00CF66B9" w:rsidRDefault="00A10D65" w:rsidP="00FA7B04">
            <w:pPr>
              <w:jc w:val="center"/>
              <w:rPr>
                <w:sz w:val="20"/>
                <w:szCs w:val="20"/>
              </w:rPr>
            </w:pPr>
            <w:r w:rsidRPr="00CF66B9">
              <w:rPr>
                <w:sz w:val="20"/>
                <w:szCs w:val="20"/>
              </w:rPr>
              <w:t>142</w:t>
            </w:r>
          </w:p>
          <w:p w14:paraId="617A5075" w14:textId="77777777" w:rsidR="00A10D65" w:rsidRPr="00CF66B9" w:rsidRDefault="00A10D65" w:rsidP="00FA7B04">
            <w:pPr>
              <w:jc w:val="center"/>
              <w:rPr>
                <w:sz w:val="20"/>
                <w:szCs w:val="20"/>
              </w:rPr>
            </w:pPr>
            <w:r w:rsidRPr="00CF66B9">
              <w:rPr>
                <w:sz w:val="20"/>
                <w:szCs w:val="20"/>
              </w:rPr>
              <w:t>(&lt;80–1043)</w:t>
            </w:r>
          </w:p>
        </w:tc>
        <w:tc>
          <w:tcPr>
            <w:tcW w:w="1417" w:type="dxa"/>
            <w:tcBorders>
              <w:top w:val="nil"/>
              <w:left w:val="nil"/>
              <w:bottom w:val="single" w:sz="4" w:space="0" w:color="auto"/>
              <w:right w:val="single" w:sz="4" w:space="0" w:color="auto"/>
            </w:tcBorders>
            <w:vAlign w:val="bottom"/>
            <w:hideMark/>
          </w:tcPr>
          <w:p w14:paraId="2C6D727F" w14:textId="77777777" w:rsidR="00A10D65" w:rsidRPr="00CF66B9" w:rsidRDefault="00A10D65" w:rsidP="00FA7B04">
            <w:pPr>
              <w:jc w:val="center"/>
              <w:rPr>
                <w:sz w:val="20"/>
                <w:szCs w:val="20"/>
              </w:rPr>
            </w:pPr>
            <w:r w:rsidRPr="00CF66B9">
              <w:rPr>
                <w:sz w:val="20"/>
                <w:szCs w:val="20"/>
              </w:rPr>
              <w:t>156</w:t>
            </w:r>
          </w:p>
          <w:p w14:paraId="7DCE2B61" w14:textId="77777777" w:rsidR="00A10D65" w:rsidRPr="00CF66B9" w:rsidRDefault="00A10D65" w:rsidP="00FA7B04">
            <w:pPr>
              <w:jc w:val="center"/>
              <w:rPr>
                <w:sz w:val="20"/>
                <w:szCs w:val="20"/>
              </w:rPr>
            </w:pPr>
            <w:r w:rsidRPr="00CF66B9">
              <w:rPr>
                <w:sz w:val="20"/>
                <w:szCs w:val="20"/>
              </w:rPr>
              <w:t>(&lt;80–370)</w:t>
            </w:r>
          </w:p>
        </w:tc>
        <w:tc>
          <w:tcPr>
            <w:tcW w:w="1276" w:type="dxa"/>
            <w:tcBorders>
              <w:top w:val="nil"/>
              <w:left w:val="nil"/>
              <w:bottom w:val="single" w:sz="4" w:space="0" w:color="auto"/>
              <w:right w:val="single" w:sz="4" w:space="0" w:color="auto"/>
            </w:tcBorders>
            <w:vAlign w:val="bottom"/>
            <w:hideMark/>
          </w:tcPr>
          <w:p w14:paraId="69631FBF" w14:textId="77777777" w:rsidR="00A10D65" w:rsidRPr="00CF66B9" w:rsidRDefault="00A10D65" w:rsidP="00FA7B04">
            <w:pPr>
              <w:jc w:val="center"/>
              <w:rPr>
                <w:sz w:val="20"/>
                <w:szCs w:val="20"/>
              </w:rPr>
            </w:pPr>
            <w:r w:rsidRPr="00CF66B9">
              <w:rPr>
                <w:sz w:val="20"/>
                <w:szCs w:val="20"/>
              </w:rPr>
              <w:t>211</w:t>
            </w:r>
          </w:p>
          <w:p w14:paraId="1AC5D7CD" w14:textId="77777777" w:rsidR="00A10D65" w:rsidRPr="00CF66B9" w:rsidRDefault="00A10D65" w:rsidP="00FA7B04">
            <w:pPr>
              <w:jc w:val="center"/>
              <w:rPr>
                <w:sz w:val="20"/>
                <w:szCs w:val="20"/>
              </w:rPr>
            </w:pPr>
            <w:r w:rsidRPr="00CF66B9">
              <w:rPr>
                <w:sz w:val="20"/>
                <w:szCs w:val="20"/>
              </w:rPr>
              <w:t>(111–2323)</w:t>
            </w:r>
          </w:p>
        </w:tc>
      </w:tr>
      <w:tr w:rsidR="00A10D65" w:rsidRPr="00CF66B9" w14:paraId="57FB33DF" w14:textId="77777777" w:rsidTr="001B719E">
        <w:trPr>
          <w:trHeight w:val="340"/>
        </w:trPr>
        <w:tc>
          <w:tcPr>
            <w:tcW w:w="1702" w:type="dxa"/>
            <w:tcBorders>
              <w:top w:val="single" w:sz="4" w:space="0" w:color="auto"/>
              <w:left w:val="single" w:sz="4" w:space="0" w:color="auto"/>
              <w:bottom w:val="single" w:sz="4" w:space="0" w:color="auto"/>
              <w:right w:val="single" w:sz="4" w:space="0" w:color="auto"/>
            </w:tcBorders>
            <w:vAlign w:val="center"/>
            <w:hideMark/>
          </w:tcPr>
          <w:p w14:paraId="6D8A602D" w14:textId="77777777" w:rsidR="00A10D65" w:rsidRPr="00CF66B9" w:rsidRDefault="00A10D65" w:rsidP="001B719E">
            <w:pPr>
              <w:ind w:left="176"/>
              <w:rPr>
                <w:sz w:val="20"/>
                <w:szCs w:val="20"/>
              </w:rPr>
            </w:pPr>
            <w:r w:rsidRPr="00CF66B9">
              <w:rPr>
                <w:sz w:val="20"/>
                <w:szCs w:val="20"/>
              </w:rPr>
              <w:t>Normal, n (</w:t>
            </w:r>
            <w:proofErr w:type="gramStart"/>
            <w:r w:rsidRPr="00CF66B9">
              <w:rPr>
                <w:sz w:val="20"/>
                <w:szCs w:val="20"/>
              </w:rPr>
              <w:t>%)</w:t>
            </w:r>
            <w:r w:rsidRPr="00CF66B9">
              <w:rPr>
                <w:sz w:val="20"/>
                <w:szCs w:val="20"/>
                <w:vertAlign w:val="superscript"/>
              </w:rPr>
              <w:t>b</w:t>
            </w:r>
            <w:proofErr w:type="gramEnd"/>
          </w:p>
        </w:tc>
        <w:tc>
          <w:tcPr>
            <w:tcW w:w="1417" w:type="dxa"/>
            <w:tcBorders>
              <w:top w:val="nil"/>
              <w:left w:val="single" w:sz="4" w:space="0" w:color="auto"/>
              <w:bottom w:val="single" w:sz="4" w:space="0" w:color="auto"/>
              <w:right w:val="single" w:sz="4" w:space="0" w:color="auto"/>
            </w:tcBorders>
            <w:vAlign w:val="center"/>
            <w:hideMark/>
          </w:tcPr>
          <w:p w14:paraId="70988359" w14:textId="77777777" w:rsidR="00A10D65" w:rsidRPr="00CF66B9" w:rsidRDefault="00A10D65" w:rsidP="003A7F53">
            <w:pPr>
              <w:jc w:val="center"/>
              <w:rPr>
                <w:sz w:val="20"/>
                <w:szCs w:val="20"/>
              </w:rPr>
            </w:pPr>
            <w:r w:rsidRPr="00CF66B9">
              <w:rPr>
                <w:sz w:val="20"/>
                <w:szCs w:val="20"/>
              </w:rPr>
              <w:t>0 (0)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F3E7D7" w14:textId="77777777" w:rsidR="00A10D65" w:rsidRPr="00CF66B9" w:rsidRDefault="00A10D65" w:rsidP="001B719E">
            <w:pPr>
              <w:jc w:val="center"/>
              <w:rPr>
                <w:sz w:val="20"/>
                <w:szCs w:val="20"/>
              </w:rPr>
            </w:pPr>
            <w:r w:rsidRPr="00CF66B9">
              <w:rPr>
                <w:sz w:val="20"/>
                <w:szCs w:val="20"/>
              </w:rPr>
              <w:t>0 (0)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11FC59" w14:textId="77777777" w:rsidR="00A10D65" w:rsidRPr="00CF66B9" w:rsidRDefault="00A10D65" w:rsidP="001B719E">
            <w:pPr>
              <w:jc w:val="center"/>
              <w:rPr>
                <w:sz w:val="20"/>
                <w:szCs w:val="20"/>
              </w:rPr>
            </w:pPr>
            <w:r w:rsidRPr="00CF66B9">
              <w:rPr>
                <w:sz w:val="20"/>
                <w:szCs w:val="20"/>
              </w:rPr>
              <w:t>1 (7)</w:t>
            </w:r>
          </w:p>
        </w:tc>
        <w:tc>
          <w:tcPr>
            <w:tcW w:w="1276" w:type="dxa"/>
            <w:tcBorders>
              <w:top w:val="single" w:sz="4" w:space="0" w:color="auto"/>
              <w:left w:val="nil"/>
              <w:bottom w:val="single" w:sz="4" w:space="0" w:color="auto"/>
              <w:right w:val="single" w:sz="4" w:space="0" w:color="auto"/>
            </w:tcBorders>
            <w:vAlign w:val="center"/>
            <w:hideMark/>
          </w:tcPr>
          <w:p w14:paraId="620AA29E" w14:textId="77777777" w:rsidR="00A10D65" w:rsidRPr="00CF66B9" w:rsidRDefault="00A10D65" w:rsidP="001B719E">
            <w:pPr>
              <w:jc w:val="center"/>
              <w:rPr>
                <w:sz w:val="20"/>
                <w:szCs w:val="20"/>
              </w:rPr>
            </w:pPr>
            <w:r w:rsidRPr="00CF66B9">
              <w:rPr>
                <w:sz w:val="20"/>
                <w:szCs w:val="20"/>
              </w:rPr>
              <w:t>7 (50)</w:t>
            </w:r>
          </w:p>
        </w:tc>
        <w:tc>
          <w:tcPr>
            <w:tcW w:w="1418" w:type="dxa"/>
            <w:tcBorders>
              <w:top w:val="single" w:sz="4" w:space="0" w:color="auto"/>
              <w:left w:val="nil"/>
              <w:bottom w:val="single" w:sz="4" w:space="0" w:color="auto"/>
              <w:right w:val="single" w:sz="4" w:space="0" w:color="auto"/>
            </w:tcBorders>
            <w:vAlign w:val="center"/>
            <w:hideMark/>
          </w:tcPr>
          <w:p w14:paraId="4D0D81C2" w14:textId="77777777" w:rsidR="00A10D65" w:rsidRPr="00CF66B9" w:rsidRDefault="00A10D65" w:rsidP="001B719E">
            <w:pPr>
              <w:jc w:val="center"/>
              <w:rPr>
                <w:sz w:val="20"/>
                <w:szCs w:val="20"/>
              </w:rPr>
            </w:pPr>
            <w:r w:rsidRPr="00CF66B9">
              <w:rPr>
                <w:sz w:val="20"/>
                <w:szCs w:val="20"/>
              </w:rPr>
              <w:t>12 (86)</w:t>
            </w:r>
          </w:p>
        </w:tc>
        <w:tc>
          <w:tcPr>
            <w:tcW w:w="1417" w:type="dxa"/>
            <w:tcBorders>
              <w:top w:val="single" w:sz="4" w:space="0" w:color="auto"/>
              <w:left w:val="nil"/>
              <w:bottom w:val="single" w:sz="4" w:space="0" w:color="auto"/>
              <w:right w:val="single" w:sz="4" w:space="0" w:color="auto"/>
            </w:tcBorders>
            <w:vAlign w:val="center"/>
            <w:hideMark/>
          </w:tcPr>
          <w:p w14:paraId="1A37BAB5" w14:textId="77777777" w:rsidR="00A10D65" w:rsidRPr="00CF66B9" w:rsidRDefault="00A10D65" w:rsidP="001B719E">
            <w:pPr>
              <w:jc w:val="center"/>
              <w:rPr>
                <w:sz w:val="20"/>
                <w:szCs w:val="20"/>
              </w:rPr>
            </w:pPr>
            <w:r w:rsidRPr="00CF66B9">
              <w:rPr>
                <w:sz w:val="20"/>
                <w:szCs w:val="20"/>
              </w:rPr>
              <w:t>12 (86)</w:t>
            </w:r>
          </w:p>
        </w:tc>
        <w:tc>
          <w:tcPr>
            <w:tcW w:w="1418" w:type="dxa"/>
            <w:tcBorders>
              <w:top w:val="single" w:sz="4" w:space="0" w:color="auto"/>
              <w:left w:val="nil"/>
              <w:bottom w:val="single" w:sz="4" w:space="0" w:color="auto"/>
              <w:right w:val="single" w:sz="4" w:space="0" w:color="auto"/>
            </w:tcBorders>
            <w:vAlign w:val="center"/>
            <w:hideMark/>
          </w:tcPr>
          <w:p w14:paraId="67027350" w14:textId="77777777" w:rsidR="00A10D65" w:rsidRPr="00CF66B9" w:rsidRDefault="00A10D65" w:rsidP="001B719E">
            <w:pPr>
              <w:jc w:val="center"/>
              <w:rPr>
                <w:sz w:val="20"/>
                <w:szCs w:val="20"/>
              </w:rPr>
            </w:pPr>
            <w:r w:rsidRPr="00CF66B9">
              <w:rPr>
                <w:sz w:val="20"/>
                <w:szCs w:val="20"/>
              </w:rPr>
              <w:t>12 (86)</w:t>
            </w:r>
          </w:p>
        </w:tc>
        <w:tc>
          <w:tcPr>
            <w:tcW w:w="1417" w:type="dxa"/>
            <w:tcBorders>
              <w:top w:val="single" w:sz="4" w:space="0" w:color="auto"/>
              <w:left w:val="nil"/>
              <w:bottom w:val="single" w:sz="4" w:space="0" w:color="auto"/>
              <w:right w:val="single" w:sz="4" w:space="0" w:color="auto"/>
            </w:tcBorders>
            <w:vAlign w:val="center"/>
            <w:hideMark/>
          </w:tcPr>
          <w:p w14:paraId="640EC1CA" w14:textId="77777777" w:rsidR="00A10D65" w:rsidRPr="00CF66B9" w:rsidRDefault="00A10D65" w:rsidP="001B719E">
            <w:pPr>
              <w:jc w:val="center"/>
              <w:rPr>
                <w:sz w:val="20"/>
                <w:szCs w:val="20"/>
              </w:rPr>
            </w:pPr>
            <w:r w:rsidRPr="00CF66B9">
              <w:rPr>
                <w:sz w:val="20"/>
                <w:szCs w:val="20"/>
              </w:rPr>
              <w:t>8 (80)</w:t>
            </w:r>
          </w:p>
        </w:tc>
        <w:tc>
          <w:tcPr>
            <w:tcW w:w="1276" w:type="dxa"/>
            <w:tcBorders>
              <w:top w:val="single" w:sz="4" w:space="0" w:color="auto"/>
              <w:left w:val="nil"/>
              <w:bottom w:val="single" w:sz="4" w:space="0" w:color="auto"/>
              <w:right w:val="single" w:sz="4" w:space="0" w:color="auto"/>
            </w:tcBorders>
            <w:vAlign w:val="center"/>
            <w:hideMark/>
          </w:tcPr>
          <w:p w14:paraId="252D5AA5" w14:textId="77777777" w:rsidR="00A10D65" w:rsidRPr="00CF66B9" w:rsidRDefault="00A10D65" w:rsidP="001B719E">
            <w:pPr>
              <w:jc w:val="center"/>
              <w:rPr>
                <w:sz w:val="20"/>
                <w:szCs w:val="20"/>
              </w:rPr>
            </w:pPr>
            <w:r w:rsidRPr="00CF66B9">
              <w:rPr>
                <w:sz w:val="20"/>
                <w:szCs w:val="20"/>
              </w:rPr>
              <w:t>6 (67)</w:t>
            </w:r>
          </w:p>
        </w:tc>
      </w:tr>
      <w:tr w:rsidR="00A10D65" w:rsidRPr="00CF66B9" w14:paraId="711E2309" w14:textId="77777777" w:rsidTr="00FA7B04">
        <w:trPr>
          <w:trHeight w:val="340"/>
        </w:trPr>
        <w:tc>
          <w:tcPr>
            <w:tcW w:w="14176" w:type="dxa"/>
            <w:gridSpan w:val="10"/>
            <w:tcBorders>
              <w:top w:val="single" w:sz="4" w:space="0" w:color="auto"/>
              <w:left w:val="single" w:sz="4" w:space="0" w:color="auto"/>
              <w:bottom w:val="single" w:sz="4" w:space="0" w:color="auto"/>
              <w:right w:val="single" w:sz="4" w:space="0" w:color="auto"/>
            </w:tcBorders>
            <w:hideMark/>
          </w:tcPr>
          <w:p w14:paraId="5B01DA3C" w14:textId="50DF382A" w:rsidR="00A10D65" w:rsidRPr="00CF66B9" w:rsidRDefault="00A2007D" w:rsidP="00FA7B04">
            <w:pPr>
              <w:rPr>
                <w:b/>
                <w:bCs/>
                <w:sz w:val="20"/>
                <w:szCs w:val="20"/>
              </w:rPr>
            </w:pPr>
            <w:r>
              <w:rPr>
                <w:b/>
                <w:bCs/>
                <w:sz w:val="20"/>
                <w:szCs w:val="20"/>
              </w:rPr>
              <w:t>sIL-2R</w:t>
            </w:r>
          </w:p>
        </w:tc>
      </w:tr>
      <w:tr w:rsidR="00A10D65" w:rsidRPr="00CF66B9" w14:paraId="05EC3406" w14:textId="77777777" w:rsidTr="00FA7B04">
        <w:trPr>
          <w:trHeight w:val="340"/>
        </w:trPr>
        <w:tc>
          <w:tcPr>
            <w:tcW w:w="1702" w:type="dxa"/>
            <w:tcBorders>
              <w:top w:val="single" w:sz="4" w:space="0" w:color="auto"/>
              <w:left w:val="single" w:sz="4" w:space="0" w:color="auto"/>
              <w:bottom w:val="single" w:sz="4" w:space="0" w:color="auto"/>
              <w:right w:val="single" w:sz="4" w:space="0" w:color="auto"/>
            </w:tcBorders>
            <w:hideMark/>
          </w:tcPr>
          <w:p w14:paraId="2C32F80C" w14:textId="77777777" w:rsidR="00A10D65" w:rsidRPr="00CF66B9" w:rsidRDefault="00A10D65" w:rsidP="00FA7B04">
            <w:pPr>
              <w:ind w:left="176"/>
              <w:rPr>
                <w:sz w:val="20"/>
                <w:szCs w:val="20"/>
              </w:rPr>
            </w:pPr>
            <w:r w:rsidRPr="00CF66B9">
              <w:rPr>
                <w:sz w:val="20"/>
                <w:szCs w:val="20"/>
              </w:rPr>
              <w:t>Median</w:t>
            </w:r>
          </w:p>
          <w:p w14:paraId="3A62ADDD" w14:textId="77777777" w:rsidR="00A10D65" w:rsidRPr="00CF66B9" w:rsidRDefault="00A10D65" w:rsidP="00FA7B04">
            <w:pPr>
              <w:ind w:left="176"/>
              <w:rPr>
                <w:sz w:val="20"/>
                <w:szCs w:val="20"/>
              </w:rPr>
            </w:pPr>
            <w:r w:rsidRPr="00CF66B9">
              <w:rPr>
                <w:sz w:val="20"/>
                <w:szCs w:val="20"/>
              </w:rPr>
              <w:t>(range)</w:t>
            </w:r>
          </w:p>
        </w:tc>
        <w:tc>
          <w:tcPr>
            <w:tcW w:w="1417" w:type="dxa"/>
            <w:tcBorders>
              <w:top w:val="nil"/>
              <w:left w:val="single" w:sz="4" w:space="0" w:color="auto"/>
              <w:bottom w:val="single" w:sz="4" w:space="0" w:color="auto"/>
              <w:right w:val="single" w:sz="4" w:space="0" w:color="auto"/>
            </w:tcBorders>
            <w:hideMark/>
          </w:tcPr>
          <w:p w14:paraId="76B4D864" w14:textId="77777777" w:rsidR="00A10D65" w:rsidRPr="00CF66B9" w:rsidRDefault="00A10D65" w:rsidP="00FA7B04">
            <w:pPr>
              <w:jc w:val="center"/>
              <w:rPr>
                <w:sz w:val="20"/>
                <w:szCs w:val="20"/>
              </w:rPr>
            </w:pPr>
            <w:r w:rsidRPr="00CF66B9">
              <w:rPr>
                <w:sz w:val="20"/>
                <w:szCs w:val="20"/>
              </w:rPr>
              <w:t>5077</w:t>
            </w:r>
          </w:p>
          <w:p w14:paraId="12DE5DC1" w14:textId="77777777" w:rsidR="00A10D65" w:rsidRPr="00CF66B9" w:rsidRDefault="00A10D65" w:rsidP="00FA7B04">
            <w:pPr>
              <w:jc w:val="center"/>
              <w:rPr>
                <w:sz w:val="20"/>
                <w:szCs w:val="20"/>
              </w:rPr>
            </w:pPr>
            <w:r w:rsidRPr="00CF66B9">
              <w:rPr>
                <w:sz w:val="20"/>
                <w:szCs w:val="20"/>
              </w:rPr>
              <w:t>(1664–20,954)</w:t>
            </w:r>
          </w:p>
        </w:tc>
        <w:tc>
          <w:tcPr>
            <w:tcW w:w="1418" w:type="dxa"/>
            <w:tcBorders>
              <w:top w:val="nil"/>
              <w:left w:val="nil"/>
              <w:bottom w:val="single" w:sz="4" w:space="0" w:color="auto"/>
              <w:right w:val="single" w:sz="4" w:space="0" w:color="auto"/>
            </w:tcBorders>
            <w:hideMark/>
          </w:tcPr>
          <w:p w14:paraId="77BF7E77" w14:textId="77777777" w:rsidR="00A10D65" w:rsidRPr="00CF66B9" w:rsidRDefault="00A10D65" w:rsidP="00FA7B04">
            <w:pPr>
              <w:jc w:val="center"/>
              <w:rPr>
                <w:sz w:val="20"/>
                <w:szCs w:val="20"/>
              </w:rPr>
            </w:pPr>
            <w:r w:rsidRPr="00CF66B9">
              <w:rPr>
                <w:sz w:val="20"/>
                <w:szCs w:val="20"/>
              </w:rPr>
              <w:t>4669</w:t>
            </w:r>
          </w:p>
          <w:p w14:paraId="086394C5" w14:textId="77777777" w:rsidR="00A10D65" w:rsidRPr="00CF66B9" w:rsidRDefault="00A10D65" w:rsidP="00FA7B04">
            <w:pPr>
              <w:jc w:val="center"/>
              <w:rPr>
                <w:sz w:val="20"/>
                <w:szCs w:val="20"/>
              </w:rPr>
            </w:pPr>
            <w:r w:rsidRPr="00CF66B9">
              <w:rPr>
                <w:sz w:val="20"/>
                <w:szCs w:val="20"/>
              </w:rPr>
              <w:t>(2646–36,481)</w:t>
            </w:r>
          </w:p>
        </w:tc>
        <w:tc>
          <w:tcPr>
            <w:tcW w:w="1417" w:type="dxa"/>
            <w:tcBorders>
              <w:top w:val="nil"/>
              <w:left w:val="nil"/>
              <w:bottom w:val="single" w:sz="4" w:space="0" w:color="auto"/>
              <w:right w:val="single" w:sz="4" w:space="0" w:color="auto"/>
            </w:tcBorders>
            <w:hideMark/>
          </w:tcPr>
          <w:p w14:paraId="6F4EEEA7" w14:textId="77777777" w:rsidR="00A10D65" w:rsidRPr="00CF66B9" w:rsidRDefault="00A10D65" w:rsidP="00FA7B04">
            <w:pPr>
              <w:jc w:val="center"/>
              <w:rPr>
                <w:sz w:val="20"/>
                <w:szCs w:val="20"/>
              </w:rPr>
            </w:pPr>
            <w:r w:rsidRPr="00CF66B9">
              <w:rPr>
                <w:sz w:val="20"/>
                <w:szCs w:val="20"/>
              </w:rPr>
              <w:t>3319</w:t>
            </w:r>
          </w:p>
          <w:p w14:paraId="42267980" w14:textId="77777777" w:rsidR="00A10D65" w:rsidRPr="00CF66B9" w:rsidRDefault="00A10D65" w:rsidP="00FA7B04">
            <w:pPr>
              <w:jc w:val="center"/>
              <w:rPr>
                <w:sz w:val="20"/>
                <w:szCs w:val="20"/>
              </w:rPr>
            </w:pPr>
            <w:r w:rsidRPr="00CF66B9">
              <w:rPr>
                <w:sz w:val="20"/>
                <w:szCs w:val="20"/>
              </w:rPr>
              <w:t>(1579–17,059)</w:t>
            </w:r>
          </w:p>
        </w:tc>
        <w:tc>
          <w:tcPr>
            <w:tcW w:w="1276" w:type="dxa"/>
            <w:tcBorders>
              <w:top w:val="nil"/>
              <w:left w:val="nil"/>
              <w:bottom w:val="single" w:sz="4" w:space="0" w:color="auto"/>
              <w:right w:val="single" w:sz="4" w:space="0" w:color="auto"/>
            </w:tcBorders>
            <w:hideMark/>
          </w:tcPr>
          <w:p w14:paraId="590FEEA7" w14:textId="77777777" w:rsidR="00A10D65" w:rsidRPr="00CF66B9" w:rsidRDefault="00A10D65" w:rsidP="00FA7B04">
            <w:pPr>
              <w:jc w:val="center"/>
              <w:rPr>
                <w:sz w:val="20"/>
                <w:szCs w:val="20"/>
              </w:rPr>
            </w:pPr>
            <w:r w:rsidRPr="00CF66B9">
              <w:rPr>
                <w:sz w:val="20"/>
                <w:szCs w:val="20"/>
              </w:rPr>
              <w:t>1756</w:t>
            </w:r>
          </w:p>
          <w:p w14:paraId="53435DA0" w14:textId="77777777" w:rsidR="00A10D65" w:rsidRPr="00CF66B9" w:rsidRDefault="00A10D65" w:rsidP="00FA7B04">
            <w:pPr>
              <w:jc w:val="center"/>
              <w:rPr>
                <w:sz w:val="20"/>
                <w:szCs w:val="20"/>
              </w:rPr>
            </w:pPr>
            <w:r w:rsidRPr="00CF66B9">
              <w:rPr>
                <w:sz w:val="20"/>
                <w:szCs w:val="20"/>
              </w:rPr>
              <w:t>(908–8090)</w:t>
            </w:r>
          </w:p>
        </w:tc>
        <w:tc>
          <w:tcPr>
            <w:tcW w:w="1418" w:type="dxa"/>
            <w:tcBorders>
              <w:top w:val="nil"/>
              <w:left w:val="nil"/>
              <w:bottom w:val="single" w:sz="4" w:space="0" w:color="auto"/>
              <w:right w:val="single" w:sz="4" w:space="0" w:color="auto"/>
            </w:tcBorders>
            <w:hideMark/>
          </w:tcPr>
          <w:p w14:paraId="5A6B9E9C" w14:textId="77777777" w:rsidR="00A10D65" w:rsidRPr="00CF66B9" w:rsidRDefault="00A10D65" w:rsidP="00FA7B04">
            <w:pPr>
              <w:jc w:val="center"/>
              <w:rPr>
                <w:sz w:val="20"/>
                <w:szCs w:val="20"/>
              </w:rPr>
            </w:pPr>
            <w:r w:rsidRPr="00CF66B9">
              <w:rPr>
                <w:sz w:val="20"/>
                <w:szCs w:val="20"/>
              </w:rPr>
              <w:t>1105</w:t>
            </w:r>
          </w:p>
          <w:p w14:paraId="6DB0BE8E" w14:textId="77777777" w:rsidR="00A10D65" w:rsidRPr="00CF66B9" w:rsidRDefault="00A10D65" w:rsidP="00FA7B04">
            <w:pPr>
              <w:jc w:val="center"/>
              <w:rPr>
                <w:sz w:val="20"/>
                <w:szCs w:val="20"/>
              </w:rPr>
            </w:pPr>
            <w:r w:rsidRPr="00CF66B9">
              <w:rPr>
                <w:sz w:val="20"/>
                <w:szCs w:val="20"/>
              </w:rPr>
              <w:t>(571–3945)</w:t>
            </w:r>
          </w:p>
        </w:tc>
        <w:tc>
          <w:tcPr>
            <w:tcW w:w="1417" w:type="dxa"/>
            <w:tcBorders>
              <w:top w:val="nil"/>
              <w:left w:val="nil"/>
              <w:bottom w:val="single" w:sz="4" w:space="0" w:color="auto"/>
              <w:right w:val="single" w:sz="4" w:space="0" w:color="auto"/>
            </w:tcBorders>
            <w:hideMark/>
          </w:tcPr>
          <w:p w14:paraId="308B3F67" w14:textId="77777777" w:rsidR="00A10D65" w:rsidRPr="00CF66B9" w:rsidRDefault="00A10D65" w:rsidP="00FA7B04">
            <w:pPr>
              <w:jc w:val="center"/>
              <w:rPr>
                <w:sz w:val="20"/>
                <w:szCs w:val="20"/>
              </w:rPr>
            </w:pPr>
            <w:r w:rsidRPr="00CF66B9">
              <w:rPr>
                <w:sz w:val="20"/>
                <w:szCs w:val="20"/>
              </w:rPr>
              <w:t>1098</w:t>
            </w:r>
          </w:p>
          <w:p w14:paraId="690C28F5" w14:textId="77777777" w:rsidR="00A10D65" w:rsidRPr="00CF66B9" w:rsidRDefault="00A10D65" w:rsidP="00FA7B04">
            <w:pPr>
              <w:jc w:val="center"/>
              <w:rPr>
                <w:sz w:val="20"/>
                <w:szCs w:val="20"/>
              </w:rPr>
            </w:pPr>
            <w:r w:rsidRPr="00CF66B9">
              <w:rPr>
                <w:sz w:val="20"/>
                <w:szCs w:val="20"/>
              </w:rPr>
              <w:t>(306–3432)</w:t>
            </w:r>
          </w:p>
        </w:tc>
        <w:tc>
          <w:tcPr>
            <w:tcW w:w="1418" w:type="dxa"/>
            <w:tcBorders>
              <w:top w:val="nil"/>
              <w:left w:val="nil"/>
              <w:bottom w:val="single" w:sz="4" w:space="0" w:color="auto"/>
              <w:right w:val="single" w:sz="4" w:space="0" w:color="auto"/>
            </w:tcBorders>
            <w:hideMark/>
          </w:tcPr>
          <w:p w14:paraId="128C3758" w14:textId="77777777" w:rsidR="00A10D65" w:rsidRPr="00CF66B9" w:rsidRDefault="00A10D65" w:rsidP="00FA7B04">
            <w:pPr>
              <w:jc w:val="center"/>
              <w:rPr>
                <w:sz w:val="20"/>
                <w:szCs w:val="20"/>
              </w:rPr>
            </w:pPr>
            <w:r w:rsidRPr="00CF66B9">
              <w:rPr>
                <w:sz w:val="20"/>
                <w:szCs w:val="20"/>
              </w:rPr>
              <w:t>840</w:t>
            </w:r>
          </w:p>
          <w:p w14:paraId="2833D382" w14:textId="77777777" w:rsidR="00A10D65" w:rsidRPr="00CF66B9" w:rsidRDefault="00A10D65" w:rsidP="00FA7B04">
            <w:pPr>
              <w:jc w:val="center"/>
              <w:rPr>
                <w:sz w:val="20"/>
                <w:szCs w:val="20"/>
              </w:rPr>
            </w:pPr>
            <w:r w:rsidRPr="00CF66B9">
              <w:rPr>
                <w:sz w:val="20"/>
                <w:szCs w:val="20"/>
              </w:rPr>
              <w:t>(344–3122)</w:t>
            </w:r>
          </w:p>
        </w:tc>
        <w:tc>
          <w:tcPr>
            <w:tcW w:w="1417" w:type="dxa"/>
            <w:tcBorders>
              <w:top w:val="nil"/>
              <w:left w:val="nil"/>
              <w:bottom w:val="single" w:sz="4" w:space="0" w:color="auto"/>
              <w:right w:val="single" w:sz="4" w:space="0" w:color="auto"/>
            </w:tcBorders>
            <w:hideMark/>
          </w:tcPr>
          <w:p w14:paraId="6745DFF7" w14:textId="77777777" w:rsidR="00A10D65" w:rsidRPr="00CF66B9" w:rsidRDefault="00A10D65" w:rsidP="00FA7B04">
            <w:pPr>
              <w:jc w:val="center"/>
              <w:rPr>
                <w:sz w:val="20"/>
                <w:szCs w:val="20"/>
              </w:rPr>
            </w:pPr>
            <w:r w:rsidRPr="00CF66B9">
              <w:rPr>
                <w:sz w:val="20"/>
                <w:szCs w:val="20"/>
              </w:rPr>
              <w:t>853</w:t>
            </w:r>
          </w:p>
          <w:p w14:paraId="7EADFA57" w14:textId="77777777" w:rsidR="00A10D65" w:rsidRPr="00CF66B9" w:rsidRDefault="00A10D65" w:rsidP="00FA7B04">
            <w:pPr>
              <w:jc w:val="center"/>
              <w:rPr>
                <w:sz w:val="20"/>
                <w:szCs w:val="20"/>
              </w:rPr>
            </w:pPr>
            <w:r w:rsidRPr="00CF66B9">
              <w:rPr>
                <w:sz w:val="20"/>
                <w:szCs w:val="20"/>
              </w:rPr>
              <w:t>(535–1803)</w:t>
            </w:r>
          </w:p>
        </w:tc>
        <w:tc>
          <w:tcPr>
            <w:tcW w:w="1276" w:type="dxa"/>
            <w:tcBorders>
              <w:top w:val="nil"/>
              <w:left w:val="nil"/>
              <w:bottom w:val="single" w:sz="4" w:space="0" w:color="auto"/>
              <w:right w:val="single" w:sz="4" w:space="0" w:color="auto"/>
            </w:tcBorders>
            <w:hideMark/>
          </w:tcPr>
          <w:p w14:paraId="7369E638" w14:textId="77777777" w:rsidR="00A10D65" w:rsidRPr="00CF66B9" w:rsidRDefault="00A10D65" w:rsidP="00FA7B04">
            <w:pPr>
              <w:jc w:val="center"/>
              <w:rPr>
                <w:sz w:val="20"/>
                <w:szCs w:val="20"/>
              </w:rPr>
            </w:pPr>
            <w:r w:rsidRPr="00CF66B9">
              <w:rPr>
                <w:sz w:val="20"/>
                <w:szCs w:val="20"/>
              </w:rPr>
              <w:t>904</w:t>
            </w:r>
          </w:p>
          <w:p w14:paraId="40B1F40B" w14:textId="77777777" w:rsidR="00A10D65" w:rsidRPr="00CF66B9" w:rsidRDefault="00A10D65" w:rsidP="00FA7B04">
            <w:pPr>
              <w:jc w:val="center"/>
              <w:rPr>
                <w:sz w:val="20"/>
                <w:szCs w:val="20"/>
              </w:rPr>
            </w:pPr>
            <w:r w:rsidRPr="00CF66B9">
              <w:rPr>
                <w:sz w:val="20"/>
                <w:szCs w:val="20"/>
              </w:rPr>
              <w:t>(501–4019)</w:t>
            </w:r>
          </w:p>
        </w:tc>
      </w:tr>
      <w:tr w:rsidR="00A10D65" w:rsidRPr="00CF66B9" w14:paraId="28C61FD0" w14:textId="77777777" w:rsidTr="001B719E">
        <w:trPr>
          <w:trHeight w:val="340"/>
        </w:trPr>
        <w:tc>
          <w:tcPr>
            <w:tcW w:w="1702" w:type="dxa"/>
            <w:tcBorders>
              <w:top w:val="single" w:sz="4" w:space="0" w:color="auto"/>
              <w:left w:val="single" w:sz="4" w:space="0" w:color="auto"/>
              <w:bottom w:val="single" w:sz="4" w:space="0" w:color="auto"/>
              <w:right w:val="single" w:sz="4" w:space="0" w:color="auto"/>
            </w:tcBorders>
            <w:vAlign w:val="center"/>
            <w:hideMark/>
          </w:tcPr>
          <w:p w14:paraId="51947E7B" w14:textId="77777777" w:rsidR="00A10D65" w:rsidRPr="00CF66B9" w:rsidRDefault="00A10D65" w:rsidP="001B719E">
            <w:pPr>
              <w:ind w:left="176"/>
              <w:rPr>
                <w:sz w:val="20"/>
                <w:szCs w:val="20"/>
              </w:rPr>
            </w:pPr>
            <w:r w:rsidRPr="00CF66B9">
              <w:rPr>
                <w:sz w:val="20"/>
                <w:szCs w:val="20"/>
              </w:rPr>
              <w:t>Normal, n (</w:t>
            </w:r>
            <w:proofErr w:type="gramStart"/>
            <w:r w:rsidRPr="00CF66B9">
              <w:rPr>
                <w:sz w:val="20"/>
                <w:szCs w:val="20"/>
              </w:rPr>
              <w:t>%)</w:t>
            </w:r>
            <w:r w:rsidRPr="00CF66B9">
              <w:rPr>
                <w:sz w:val="20"/>
                <w:szCs w:val="20"/>
                <w:vertAlign w:val="superscript"/>
              </w:rPr>
              <w:t>b</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14:paraId="48C50648" w14:textId="77777777" w:rsidR="00A10D65" w:rsidRPr="00CF66B9" w:rsidRDefault="00A10D65" w:rsidP="001B719E">
            <w:pPr>
              <w:jc w:val="center"/>
              <w:rPr>
                <w:sz w:val="20"/>
                <w:szCs w:val="20"/>
              </w:rPr>
            </w:pPr>
            <w:r w:rsidRPr="00CF66B9">
              <w:rPr>
                <w:sz w:val="20"/>
                <w:szCs w:val="20"/>
              </w:rPr>
              <w:t>0 (0)</w:t>
            </w:r>
          </w:p>
        </w:tc>
        <w:tc>
          <w:tcPr>
            <w:tcW w:w="1418" w:type="dxa"/>
            <w:tcBorders>
              <w:top w:val="single" w:sz="4" w:space="0" w:color="auto"/>
              <w:left w:val="nil"/>
              <w:bottom w:val="single" w:sz="4" w:space="0" w:color="auto"/>
              <w:right w:val="single" w:sz="4" w:space="0" w:color="auto"/>
            </w:tcBorders>
            <w:vAlign w:val="center"/>
            <w:hideMark/>
          </w:tcPr>
          <w:p w14:paraId="498ECA94" w14:textId="77777777" w:rsidR="00A10D65" w:rsidRPr="00CF66B9" w:rsidRDefault="00A10D65" w:rsidP="001B719E">
            <w:pPr>
              <w:jc w:val="center"/>
              <w:rPr>
                <w:sz w:val="20"/>
                <w:szCs w:val="20"/>
              </w:rPr>
            </w:pPr>
            <w:r w:rsidRPr="00CF66B9">
              <w:rPr>
                <w:sz w:val="20"/>
                <w:szCs w:val="20"/>
              </w:rPr>
              <w:t>0 (0)</w:t>
            </w:r>
          </w:p>
        </w:tc>
        <w:tc>
          <w:tcPr>
            <w:tcW w:w="1417" w:type="dxa"/>
            <w:tcBorders>
              <w:top w:val="single" w:sz="4" w:space="0" w:color="auto"/>
              <w:left w:val="nil"/>
              <w:bottom w:val="single" w:sz="4" w:space="0" w:color="auto"/>
              <w:right w:val="single" w:sz="4" w:space="0" w:color="auto"/>
            </w:tcBorders>
            <w:vAlign w:val="center"/>
            <w:hideMark/>
          </w:tcPr>
          <w:p w14:paraId="05FE621E" w14:textId="77777777" w:rsidR="00A10D65" w:rsidRPr="00CF66B9" w:rsidRDefault="00A10D65" w:rsidP="001B719E">
            <w:pPr>
              <w:jc w:val="center"/>
              <w:rPr>
                <w:sz w:val="20"/>
                <w:szCs w:val="20"/>
              </w:rPr>
            </w:pPr>
            <w:r w:rsidRPr="00CF66B9">
              <w:rPr>
                <w:sz w:val="20"/>
                <w:szCs w:val="20"/>
              </w:rPr>
              <w:t>0 (0)</w:t>
            </w:r>
          </w:p>
        </w:tc>
        <w:tc>
          <w:tcPr>
            <w:tcW w:w="1276" w:type="dxa"/>
            <w:tcBorders>
              <w:top w:val="single" w:sz="4" w:space="0" w:color="auto"/>
              <w:left w:val="nil"/>
              <w:bottom w:val="single" w:sz="4" w:space="0" w:color="auto"/>
              <w:right w:val="single" w:sz="4" w:space="0" w:color="auto"/>
            </w:tcBorders>
            <w:vAlign w:val="center"/>
            <w:hideMark/>
          </w:tcPr>
          <w:p w14:paraId="0B06BDEB" w14:textId="77777777" w:rsidR="00A10D65" w:rsidRPr="00CF66B9" w:rsidRDefault="00A10D65" w:rsidP="001B719E">
            <w:pPr>
              <w:jc w:val="center"/>
              <w:rPr>
                <w:sz w:val="20"/>
                <w:szCs w:val="20"/>
              </w:rPr>
            </w:pPr>
            <w:r w:rsidRPr="00CF66B9">
              <w:rPr>
                <w:sz w:val="20"/>
                <w:szCs w:val="20"/>
              </w:rPr>
              <w:t>1 (7)</w:t>
            </w:r>
          </w:p>
        </w:tc>
        <w:tc>
          <w:tcPr>
            <w:tcW w:w="1418" w:type="dxa"/>
            <w:tcBorders>
              <w:top w:val="single" w:sz="4" w:space="0" w:color="auto"/>
              <w:left w:val="nil"/>
              <w:bottom w:val="single" w:sz="4" w:space="0" w:color="auto"/>
              <w:right w:val="single" w:sz="4" w:space="0" w:color="auto"/>
            </w:tcBorders>
            <w:vAlign w:val="center"/>
            <w:hideMark/>
          </w:tcPr>
          <w:p w14:paraId="1CB08982" w14:textId="77777777" w:rsidR="00A10D65" w:rsidRPr="00CF66B9" w:rsidRDefault="00A10D65" w:rsidP="001B719E">
            <w:pPr>
              <w:jc w:val="center"/>
              <w:rPr>
                <w:sz w:val="20"/>
                <w:szCs w:val="20"/>
              </w:rPr>
            </w:pPr>
            <w:r w:rsidRPr="00CF66B9">
              <w:rPr>
                <w:sz w:val="20"/>
                <w:szCs w:val="20"/>
              </w:rPr>
              <w:t>7 (50)</w:t>
            </w:r>
          </w:p>
        </w:tc>
        <w:tc>
          <w:tcPr>
            <w:tcW w:w="1417" w:type="dxa"/>
            <w:tcBorders>
              <w:top w:val="single" w:sz="4" w:space="0" w:color="auto"/>
              <w:left w:val="nil"/>
              <w:bottom w:val="single" w:sz="4" w:space="0" w:color="auto"/>
              <w:right w:val="single" w:sz="4" w:space="0" w:color="auto"/>
            </w:tcBorders>
            <w:vAlign w:val="center"/>
            <w:hideMark/>
          </w:tcPr>
          <w:p w14:paraId="3B980F5A" w14:textId="77777777" w:rsidR="00A10D65" w:rsidRPr="00CF66B9" w:rsidRDefault="00A10D65" w:rsidP="001B719E">
            <w:pPr>
              <w:jc w:val="center"/>
              <w:rPr>
                <w:sz w:val="20"/>
                <w:szCs w:val="20"/>
              </w:rPr>
            </w:pPr>
            <w:r w:rsidRPr="00CF66B9">
              <w:rPr>
                <w:sz w:val="20"/>
                <w:szCs w:val="20"/>
              </w:rPr>
              <w:t>7 (50)</w:t>
            </w:r>
          </w:p>
        </w:tc>
        <w:tc>
          <w:tcPr>
            <w:tcW w:w="1418" w:type="dxa"/>
            <w:tcBorders>
              <w:top w:val="single" w:sz="4" w:space="0" w:color="auto"/>
              <w:left w:val="nil"/>
              <w:bottom w:val="single" w:sz="4" w:space="0" w:color="auto"/>
              <w:right w:val="single" w:sz="4" w:space="0" w:color="auto"/>
            </w:tcBorders>
            <w:vAlign w:val="center"/>
            <w:hideMark/>
          </w:tcPr>
          <w:p w14:paraId="5391C257" w14:textId="77777777" w:rsidR="00A10D65" w:rsidRPr="00CF66B9" w:rsidRDefault="00A10D65" w:rsidP="001B719E">
            <w:pPr>
              <w:jc w:val="center"/>
              <w:rPr>
                <w:sz w:val="20"/>
                <w:szCs w:val="20"/>
              </w:rPr>
            </w:pPr>
            <w:r w:rsidRPr="00CF66B9">
              <w:rPr>
                <w:sz w:val="20"/>
                <w:szCs w:val="20"/>
              </w:rPr>
              <w:t>9 (64)</w:t>
            </w:r>
          </w:p>
        </w:tc>
        <w:tc>
          <w:tcPr>
            <w:tcW w:w="1417" w:type="dxa"/>
            <w:tcBorders>
              <w:top w:val="single" w:sz="4" w:space="0" w:color="auto"/>
              <w:left w:val="nil"/>
              <w:bottom w:val="single" w:sz="4" w:space="0" w:color="auto"/>
              <w:right w:val="single" w:sz="4" w:space="0" w:color="auto"/>
            </w:tcBorders>
            <w:vAlign w:val="center"/>
            <w:hideMark/>
          </w:tcPr>
          <w:p w14:paraId="19D96ADC" w14:textId="77777777" w:rsidR="00A10D65" w:rsidRPr="00CF66B9" w:rsidRDefault="00A10D65" w:rsidP="001B719E">
            <w:pPr>
              <w:jc w:val="center"/>
              <w:rPr>
                <w:sz w:val="20"/>
                <w:szCs w:val="20"/>
              </w:rPr>
            </w:pPr>
            <w:r w:rsidRPr="00CF66B9">
              <w:rPr>
                <w:sz w:val="20"/>
                <w:szCs w:val="20"/>
              </w:rPr>
              <w:t>6 (60)</w:t>
            </w:r>
          </w:p>
        </w:tc>
        <w:tc>
          <w:tcPr>
            <w:tcW w:w="1276" w:type="dxa"/>
            <w:tcBorders>
              <w:top w:val="single" w:sz="4" w:space="0" w:color="auto"/>
              <w:left w:val="nil"/>
              <w:bottom w:val="single" w:sz="4" w:space="0" w:color="auto"/>
              <w:right w:val="single" w:sz="4" w:space="0" w:color="auto"/>
            </w:tcBorders>
            <w:vAlign w:val="center"/>
            <w:hideMark/>
          </w:tcPr>
          <w:p w14:paraId="44E538F0" w14:textId="77777777" w:rsidR="00A10D65" w:rsidRPr="00CF66B9" w:rsidRDefault="00A10D65" w:rsidP="001B719E">
            <w:pPr>
              <w:jc w:val="center"/>
              <w:rPr>
                <w:sz w:val="20"/>
                <w:szCs w:val="20"/>
              </w:rPr>
            </w:pPr>
            <w:r w:rsidRPr="00CF66B9">
              <w:rPr>
                <w:sz w:val="20"/>
                <w:szCs w:val="20"/>
              </w:rPr>
              <w:t>5 (56)</w:t>
            </w:r>
          </w:p>
        </w:tc>
      </w:tr>
    </w:tbl>
    <w:p w14:paraId="53BF331F" w14:textId="5110D0E6" w:rsidR="00A10D65" w:rsidRPr="00F04B3E" w:rsidRDefault="00A10D65" w:rsidP="00A10D65">
      <w:proofErr w:type="spellStart"/>
      <w:r w:rsidRPr="0012758C">
        <w:rPr>
          <w:vertAlign w:val="superscript"/>
        </w:rPr>
        <w:t>a</w:t>
      </w:r>
      <w:proofErr w:type="spellEnd"/>
      <w:r w:rsidR="0058605B">
        <w:rPr>
          <w:vertAlign w:val="superscript"/>
        </w:rPr>
        <w:t xml:space="preserve"> </w:t>
      </w:r>
      <w:proofErr w:type="gramStart"/>
      <w:r>
        <w:t>In</w:t>
      </w:r>
      <w:proofErr w:type="gramEnd"/>
      <w:r>
        <w:t xml:space="preserve"> the long-</w:t>
      </w:r>
      <w:r w:rsidRPr="00F04B3E">
        <w:t>term follow-up</w:t>
      </w:r>
      <w:r>
        <w:t>,</w:t>
      </w:r>
      <w:r w:rsidRPr="00F04B3E">
        <w:t xml:space="preserve"> the protocol required </w:t>
      </w:r>
      <w:r w:rsidR="00732C25">
        <w:t>pharmacokinetic</w:t>
      </w:r>
      <w:r w:rsidRPr="00F04B3E">
        <w:t>/</w:t>
      </w:r>
      <w:r w:rsidR="00732C25">
        <w:t>pharmacodynamic</w:t>
      </w:r>
      <w:r w:rsidRPr="00F04B3E">
        <w:t xml:space="preserve"> sampling until emapalumab was </w:t>
      </w:r>
      <w:r w:rsidR="00732C25">
        <w:t>un</w:t>
      </w:r>
      <w:r w:rsidRPr="00F04B3E">
        <w:t>detectable in blood</w:t>
      </w:r>
      <w:r>
        <w:t xml:space="preserve">. </w:t>
      </w:r>
      <w:r w:rsidRPr="00F04B3E">
        <w:t>T</w:t>
      </w:r>
      <w:r>
        <w:t>wo</w:t>
      </w:r>
      <w:r w:rsidRPr="00F04B3E">
        <w:t xml:space="preserve"> patients with undetectable levels at Day 100 were </w:t>
      </w:r>
      <w:r>
        <w:t xml:space="preserve">therefore </w:t>
      </w:r>
      <w:r w:rsidRPr="00F04B3E">
        <w:t>not sampled at 6 and 12 months</w:t>
      </w:r>
      <w:r>
        <w:t>,</w:t>
      </w:r>
      <w:r w:rsidRPr="00F04B3E">
        <w:t xml:space="preserve"> and 1 patient with undetectable levels at </w:t>
      </w:r>
      <w:r>
        <w:t>6 months</w:t>
      </w:r>
      <w:r w:rsidRPr="00F04B3E">
        <w:t xml:space="preserve"> was not sampled at 12 months</w:t>
      </w:r>
      <w:r>
        <w:t>. One patient was not sampled at 6 months. One</w:t>
      </w:r>
      <w:r w:rsidRPr="00F04B3E">
        <w:t xml:space="preserve"> pa</w:t>
      </w:r>
      <w:r>
        <w:t>tient missed the 6- and 1</w:t>
      </w:r>
      <w:r w:rsidRPr="00F04B3E">
        <w:t>2</w:t>
      </w:r>
      <w:r>
        <w:t>-</w:t>
      </w:r>
      <w:r w:rsidRPr="00F04B3E">
        <w:t xml:space="preserve"> month visit</w:t>
      </w:r>
      <w:r>
        <w:t>s of the long-term follow-up</w:t>
      </w:r>
      <w:r w:rsidRPr="00F04B3E">
        <w:t xml:space="preserve"> because of Covid-19</w:t>
      </w:r>
      <w:r>
        <w:t>-</w:t>
      </w:r>
      <w:r w:rsidRPr="00F04B3E">
        <w:t>related</w:t>
      </w:r>
      <w:r>
        <w:t xml:space="preserve"> travel restriction.</w:t>
      </w:r>
    </w:p>
    <w:p w14:paraId="69190DD1" w14:textId="5BD33D1D" w:rsidR="00A10D65" w:rsidRDefault="00A10D65" w:rsidP="00A10D65">
      <w:pPr>
        <w:ind w:left="142" w:hanging="142"/>
        <w:rPr>
          <w:lang w:val="en-NZ"/>
        </w:rPr>
      </w:pPr>
      <w:r w:rsidRPr="0012758C">
        <w:rPr>
          <w:vertAlign w:val="superscript"/>
        </w:rPr>
        <w:t>b</w:t>
      </w:r>
      <w:r w:rsidR="0058605B">
        <w:rPr>
          <w:vertAlign w:val="superscript"/>
        </w:rPr>
        <w:t xml:space="preserve"> </w:t>
      </w:r>
      <w:r w:rsidRPr="00F04B3E">
        <w:t>Below or equal</w:t>
      </w:r>
      <w:r>
        <w:t xml:space="preserve"> to</w:t>
      </w:r>
      <w:r w:rsidRPr="00F04B3E">
        <w:t xml:space="preserve"> the 95</w:t>
      </w:r>
      <w:r w:rsidRPr="000E0F18">
        <w:rPr>
          <w:vertAlign w:val="superscript"/>
        </w:rPr>
        <w:t>th</w:t>
      </w:r>
      <w:r>
        <w:t xml:space="preserve"> </w:t>
      </w:r>
      <w:r w:rsidRPr="00F04B3E">
        <w:t>percentile of healthy controls:</w:t>
      </w:r>
      <w:r w:rsidRPr="00F04B3E">
        <w:rPr>
          <w:lang w:val="en-NZ"/>
        </w:rPr>
        <w:t xml:space="preserve"> 2084 </w:t>
      </w:r>
      <w:proofErr w:type="spellStart"/>
      <w:r w:rsidRPr="00F04B3E">
        <w:rPr>
          <w:lang w:val="en-NZ"/>
        </w:rPr>
        <w:t>pg</w:t>
      </w:r>
      <w:proofErr w:type="spellEnd"/>
      <w:r w:rsidRPr="00F04B3E">
        <w:rPr>
          <w:lang w:val="en-NZ"/>
        </w:rPr>
        <w:t xml:space="preserve">/mL for total </w:t>
      </w:r>
      <w:r w:rsidR="00CD3845">
        <w:rPr>
          <w:lang w:val="en-NZ"/>
        </w:rPr>
        <w:t>IFN</w:t>
      </w:r>
      <w:r w:rsidRPr="007B57E7">
        <w:t>γ</w:t>
      </w:r>
      <w:r w:rsidRPr="00F04B3E">
        <w:rPr>
          <w:lang w:val="en-NZ"/>
        </w:rPr>
        <w:t xml:space="preserve">, 271 </w:t>
      </w:r>
      <w:proofErr w:type="spellStart"/>
      <w:r w:rsidRPr="00F04B3E">
        <w:rPr>
          <w:lang w:val="en-NZ"/>
        </w:rPr>
        <w:t>pg</w:t>
      </w:r>
      <w:proofErr w:type="spellEnd"/>
      <w:r w:rsidRPr="00F04B3E">
        <w:rPr>
          <w:lang w:val="en-NZ"/>
        </w:rPr>
        <w:t>/m</w:t>
      </w:r>
      <w:r>
        <w:rPr>
          <w:lang w:val="en-NZ"/>
        </w:rPr>
        <w:t>L</w:t>
      </w:r>
      <w:r w:rsidRPr="00F04B3E">
        <w:rPr>
          <w:lang w:val="en-NZ"/>
        </w:rPr>
        <w:t xml:space="preserve"> for CXCL9</w:t>
      </w:r>
      <w:r w:rsidR="005316EE" w:rsidRPr="005316EE">
        <w:rPr>
          <w:vertAlign w:val="superscript"/>
          <w:lang w:val="en-NZ"/>
        </w:rPr>
        <w:t>1</w:t>
      </w:r>
      <w:r w:rsidRPr="00F04B3E">
        <w:rPr>
          <w:lang w:val="en-NZ"/>
        </w:rPr>
        <w:t xml:space="preserve"> and 1071 </w:t>
      </w:r>
      <w:proofErr w:type="spellStart"/>
      <w:r w:rsidRPr="00F04B3E">
        <w:rPr>
          <w:lang w:val="en-NZ"/>
        </w:rPr>
        <w:t>pg</w:t>
      </w:r>
      <w:proofErr w:type="spellEnd"/>
      <w:r w:rsidRPr="00F04B3E">
        <w:rPr>
          <w:lang w:val="en-NZ"/>
        </w:rPr>
        <w:t>/m</w:t>
      </w:r>
      <w:r>
        <w:rPr>
          <w:lang w:val="en-NZ"/>
        </w:rPr>
        <w:t>L</w:t>
      </w:r>
      <w:r w:rsidRPr="00F04B3E">
        <w:rPr>
          <w:lang w:val="en-NZ"/>
        </w:rPr>
        <w:t xml:space="preserve"> for </w:t>
      </w:r>
      <w:r w:rsidR="00CD3845">
        <w:rPr>
          <w:lang w:val="en-NZ"/>
        </w:rPr>
        <w:t>sIL</w:t>
      </w:r>
      <w:r w:rsidR="00EF3763">
        <w:rPr>
          <w:lang w:val="en-NZ"/>
        </w:rPr>
        <w:t>-2R</w:t>
      </w:r>
      <w:r>
        <w:rPr>
          <w:lang w:val="en-NZ"/>
        </w:rPr>
        <w:t>.</w:t>
      </w:r>
    </w:p>
    <w:p w14:paraId="0133F7CD" w14:textId="154F0BAD" w:rsidR="00A10D65" w:rsidRPr="00F04B3E" w:rsidRDefault="00A10D65" w:rsidP="00A10D65">
      <w:pPr>
        <w:ind w:left="142" w:hanging="142"/>
        <w:rPr>
          <w:lang w:val="en-NZ"/>
        </w:rPr>
      </w:pPr>
      <w:r w:rsidRPr="0012758C">
        <w:rPr>
          <w:vertAlign w:val="superscript"/>
          <w:lang w:val="en-NZ"/>
        </w:rPr>
        <w:t>c</w:t>
      </w:r>
      <w:r w:rsidR="0058605B">
        <w:rPr>
          <w:vertAlign w:val="superscript"/>
          <w:lang w:val="en-NZ"/>
        </w:rPr>
        <w:t xml:space="preserve"> </w:t>
      </w:r>
      <w:proofErr w:type="gramStart"/>
      <w:r>
        <w:rPr>
          <w:lang w:val="en-NZ"/>
        </w:rPr>
        <w:t>At</w:t>
      </w:r>
      <w:proofErr w:type="gramEnd"/>
      <w:r>
        <w:rPr>
          <w:lang w:val="en-NZ"/>
        </w:rPr>
        <w:t xml:space="preserve"> baseline, in the absence of emapalumab, total </w:t>
      </w:r>
      <w:r w:rsidR="00EF3763">
        <w:rPr>
          <w:lang w:val="en-NZ"/>
        </w:rPr>
        <w:t>IFN</w:t>
      </w:r>
      <w:r w:rsidRPr="007B57E7">
        <w:t>γ</w:t>
      </w:r>
      <w:r>
        <w:t xml:space="preserve"> consists only of free </w:t>
      </w:r>
      <w:r w:rsidR="00EF3763">
        <w:rPr>
          <w:lang w:val="en-NZ"/>
        </w:rPr>
        <w:t>IFN</w:t>
      </w:r>
      <w:r w:rsidRPr="007B57E7">
        <w:t>γ</w:t>
      </w:r>
      <w:r>
        <w:t>. Therefore, the above indicated 95</w:t>
      </w:r>
      <w:r w:rsidRPr="007B57E7">
        <w:rPr>
          <w:vertAlign w:val="superscript"/>
        </w:rPr>
        <w:t>th</w:t>
      </w:r>
      <w:r>
        <w:t xml:space="preserve"> percentile for total </w:t>
      </w:r>
      <w:r w:rsidR="00EF3763">
        <w:rPr>
          <w:lang w:val="en-NZ"/>
        </w:rPr>
        <w:t>IFN</w:t>
      </w:r>
      <w:r w:rsidRPr="000E0F18">
        <w:rPr>
          <w:bCs/>
        </w:rPr>
        <w:t>γ</w:t>
      </w:r>
      <w:r>
        <w:t xml:space="preserve"> applies only to values obtained in the presence of emapalumab.</w:t>
      </w:r>
    </w:p>
    <w:p w14:paraId="0DEDCF43" w14:textId="77777777" w:rsidR="00CD3845" w:rsidRDefault="00CD3845" w:rsidP="00CD3845">
      <w:pPr>
        <w:tabs>
          <w:tab w:val="left" w:pos="7034"/>
        </w:tabs>
        <w:rPr>
          <w:bCs/>
        </w:rPr>
      </w:pPr>
      <w:r>
        <w:rPr>
          <w:bCs/>
        </w:rPr>
        <w:t>Abbreviations:</w:t>
      </w:r>
    </w:p>
    <w:p w14:paraId="7734F6F5" w14:textId="45F07085" w:rsidR="00CD3845" w:rsidRPr="00CB273D" w:rsidRDefault="00CD3845" w:rsidP="00CD3845">
      <w:pPr>
        <w:tabs>
          <w:tab w:val="left" w:pos="7034"/>
        </w:tabs>
        <w:rPr>
          <w:bCs/>
        </w:rPr>
      </w:pPr>
      <w:proofErr w:type="spellStart"/>
      <w:r>
        <w:rPr>
          <w:bCs/>
        </w:rPr>
        <w:t>IFN</w:t>
      </w:r>
      <w:r w:rsidR="00A83E9E" w:rsidRPr="007B57E7">
        <w:t>γ</w:t>
      </w:r>
      <w:proofErr w:type="spellEnd"/>
      <w:r>
        <w:rPr>
          <w:bCs/>
        </w:rPr>
        <w:t>, interferon</w:t>
      </w:r>
      <w:r w:rsidR="00A83E9E">
        <w:rPr>
          <w:bCs/>
        </w:rPr>
        <w:t>-</w:t>
      </w:r>
      <w:r w:rsidR="00A83E9E" w:rsidRPr="007B57E7">
        <w:t>γ</w:t>
      </w:r>
      <w:r>
        <w:rPr>
          <w:bCs/>
        </w:rPr>
        <w:t>; sIL-2R, soluble interleukin-2 receptor</w:t>
      </w:r>
    </w:p>
    <w:p w14:paraId="5446AC2E" w14:textId="26BBFAAA" w:rsidR="00947FB7" w:rsidRPr="00460402" w:rsidRDefault="00A10D65" w:rsidP="00A10D65">
      <w:pPr>
        <w:spacing w:line="276" w:lineRule="auto"/>
        <w:rPr>
          <w:color w:val="FF0000"/>
          <w:sz w:val="20"/>
          <w:szCs w:val="20"/>
        </w:rPr>
      </w:pPr>
      <w:proofErr w:type="gramStart"/>
      <w:r w:rsidRPr="00DF3251">
        <w:rPr>
          <w:color w:val="000000" w:themeColor="text1"/>
          <w:lang w:val="fr-CH"/>
        </w:rPr>
        <w:t>Refer</w:t>
      </w:r>
      <w:r w:rsidRPr="00DF3251">
        <w:rPr>
          <w:lang w:val="fr-CH"/>
        </w:rPr>
        <w:t>ence:</w:t>
      </w:r>
      <w:proofErr w:type="gramEnd"/>
      <w:r w:rsidRPr="00DF3251">
        <w:rPr>
          <w:lang w:val="fr-CH"/>
        </w:rPr>
        <w:t xml:space="preserve"> 1. </w:t>
      </w:r>
      <w:proofErr w:type="spellStart"/>
      <w:r w:rsidRPr="00DF3251">
        <w:rPr>
          <w:lang w:val="fr-CH"/>
        </w:rPr>
        <w:t>Jacqmin</w:t>
      </w:r>
      <w:proofErr w:type="spellEnd"/>
      <w:r w:rsidRPr="00DF3251">
        <w:rPr>
          <w:lang w:val="fr-CH"/>
        </w:rPr>
        <w:t xml:space="preserve"> P, </w:t>
      </w:r>
      <w:proofErr w:type="spellStart"/>
      <w:r w:rsidRPr="00DF3251">
        <w:rPr>
          <w:lang w:val="fr-CH"/>
        </w:rPr>
        <w:t>Laveille</w:t>
      </w:r>
      <w:proofErr w:type="spellEnd"/>
      <w:r w:rsidRPr="00DF3251">
        <w:rPr>
          <w:lang w:val="fr-CH"/>
        </w:rPr>
        <w:t xml:space="preserve"> C, </w:t>
      </w:r>
      <w:proofErr w:type="spellStart"/>
      <w:r w:rsidRPr="00DF3251">
        <w:rPr>
          <w:lang w:val="fr-CH"/>
        </w:rPr>
        <w:t>Snoeck</w:t>
      </w:r>
      <w:proofErr w:type="spellEnd"/>
      <w:r w:rsidRPr="00DF3251">
        <w:rPr>
          <w:lang w:val="fr-CH"/>
        </w:rPr>
        <w:t xml:space="preserve"> E, et al. </w:t>
      </w:r>
      <w:r w:rsidRPr="00A10D65">
        <w:rPr>
          <w:lang w:val="en-NZ"/>
        </w:rPr>
        <w:t>Emapalumab in primary haemophagocytic lymphohistiocytosis and the pathogenic role of</w:t>
      </w:r>
      <w:r>
        <w:rPr>
          <w:lang w:val="en-NZ"/>
        </w:rPr>
        <w:t xml:space="preserve"> </w:t>
      </w:r>
      <w:r w:rsidRPr="00A10D65">
        <w:rPr>
          <w:lang w:val="en-NZ"/>
        </w:rPr>
        <w:t xml:space="preserve">interferon gamma: A </w:t>
      </w:r>
      <w:proofErr w:type="spellStart"/>
      <w:r w:rsidRPr="00A10D65">
        <w:rPr>
          <w:lang w:val="en-NZ"/>
        </w:rPr>
        <w:t>pharmacometric</w:t>
      </w:r>
      <w:proofErr w:type="spellEnd"/>
      <w:r w:rsidRPr="00A10D65">
        <w:rPr>
          <w:lang w:val="en-NZ"/>
        </w:rPr>
        <w:t xml:space="preserve"> model-based approach. Br J Clin </w:t>
      </w:r>
      <w:proofErr w:type="spellStart"/>
      <w:r w:rsidRPr="00A10D65">
        <w:rPr>
          <w:lang w:val="en-NZ"/>
        </w:rPr>
        <w:t>Pharmacol</w:t>
      </w:r>
      <w:proofErr w:type="spellEnd"/>
      <w:r w:rsidRPr="00A10D65">
        <w:rPr>
          <w:lang w:val="en-NZ"/>
        </w:rPr>
        <w:t xml:space="preserve"> 2022;88(5):2128–2139.</w:t>
      </w:r>
      <w:r w:rsidR="007D0ACC" w:rsidRPr="00460402">
        <w:rPr>
          <w:color w:val="FF0000"/>
          <w:sz w:val="20"/>
          <w:szCs w:val="20"/>
        </w:rPr>
        <w:br w:type="page"/>
      </w:r>
    </w:p>
    <w:p w14:paraId="35B7CEFA" w14:textId="77777777" w:rsidR="006F0D9B" w:rsidRDefault="006F0D9B" w:rsidP="005C1C95">
      <w:pPr>
        <w:spacing w:line="360" w:lineRule="auto"/>
        <w:rPr>
          <w:b/>
          <w:bCs/>
        </w:rPr>
        <w:sectPr w:rsidR="006F0D9B" w:rsidSect="006F0D9B">
          <w:pgSz w:w="15840" w:h="12240" w:orient="landscape"/>
          <w:pgMar w:top="1440" w:right="1440" w:bottom="1440" w:left="1440" w:header="720" w:footer="720" w:gutter="0"/>
          <w:cols w:space="720"/>
          <w:docGrid w:linePitch="360"/>
        </w:sectPr>
      </w:pPr>
    </w:p>
    <w:p w14:paraId="3742A76C" w14:textId="147F9775" w:rsidR="005C1C95" w:rsidRPr="005016BF" w:rsidRDefault="005C1C95" w:rsidP="005C1C95">
      <w:pPr>
        <w:spacing w:line="360" w:lineRule="auto"/>
        <w:rPr>
          <w:b/>
          <w:bCs/>
        </w:rPr>
      </w:pPr>
      <w:r w:rsidRPr="005016BF">
        <w:rPr>
          <w:b/>
          <w:bCs/>
        </w:rPr>
        <w:lastRenderedPageBreak/>
        <w:t xml:space="preserve">Table S4. </w:t>
      </w:r>
      <w:r w:rsidR="000E3562">
        <w:rPr>
          <w:b/>
          <w:bCs/>
        </w:rPr>
        <w:t xml:space="preserve">Assessment of </w:t>
      </w:r>
      <w:r w:rsidR="00EF3763">
        <w:rPr>
          <w:b/>
          <w:bCs/>
        </w:rPr>
        <w:t>MAS</w:t>
      </w:r>
      <w:r w:rsidRPr="005016BF">
        <w:rPr>
          <w:b/>
          <w:bCs/>
        </w:rPr>
        <w:t xml:space="preserve"> remission at the end of the long-term follow-up</w:t>
      </w:r>
      <w:r w:rsidR="00CB273D">
        <w:rPr>
          <w:b/>
          <w:bCs/>
        </w:rPr>
        <w:t xml:space="preserve"> </w:t>
      </w:r>
      <w:r w:rsidR="00A00C47">
        <w:rPr>
          <w:b/>
          <w:bCs/>
        </w:rPr>
        <w:t xml:space="preserve">study </w:t>
      </w:r>
      <w:r w:rsidR="00CB273D">
        <w:rPr>
          <w:b/>
          <w:bCs/>
        </w:rPr>
        <w:t>(12 months)</w:t>
      </w:r>
    </w:p>
    <w:tbl>
      <w:tblPr>
        <w:tblStyle w:val="Grigliatabella"/>
        <w:tblW w:w="0" w:type="auto"/>
        <w:tblLook w:val="04A0" w:firstRow="1" w:lastRow="0" w:firstColumn="1" w:lastColumn="0" w:noHBand="0" w:noVBand="1"/>
      </w:tblPr>
      <w:tblGrid>
        <w:gridCol w:w="9350"/>
      </w:tblGrid>
      <w:tr w:rsidR="005C1C95" w14:paraId="73E8A1B6" w14:textId="77777777" w:rsidTr="006047B6">
        <w:trPr>
          <w:trHeight w:val="424"/>
        </w:trPr>
        <w:tc>
          <w:tcPr>
            <w:tcW w:w="9350" w:type="dxa"/>
            <w:vAlign w:val="center"/>
          </w:tcPr>
          <w:p w14:paraId="131DA8FD" w14:textId="69B47D85" w:rsidR="005C1C95" w:rsidRDefault="005C1C95" w:rsidP="006047B6">
            <w:r>
              <w:t xml:space="preserve">Patients meeting </w:t>
            </w:r>
            <w:r w:rsidR="00EF3763">
              <w:t>MAS</w:t>
            </w:r>
            <w:r>
              <w:t xml:space="preserve"> remission criteria: n=10</w:t>
            </w:r>
          </w:p>
        </w:tc>
      </w:tr>
      <w:tr w:rsidR="00CE7752" w14:paraId="51FB3A09" w14:textId="77777777" w:rsidTr="006A7631">
        <w:trPr>
          <w:trHeight w:val="2509"/>
        </w:trPr>
        <w:tc>
          <w:tcPr>
            <w:tcW w:w="9350" w:type="dxa"/>
            <w:vAlign w:val="center"/>
          </w:tcPr>
          <w:p w14:paraId="02C22A46" w14:textId="4C404AEE" w:rsidR="00CE7752" w:rsidRDefault="00CE7752" w:rsidP="006047B6">
            <w:r>
              <w:t xml:space="preserve">Patients not meeting </w:t>
            </w:r>
            <w:r w:rsidR="00EF3763">
              <w:t>MAS</w:t>
            </w:r>
            <w:r>
              <w:t xml:space="preserve"> remission criteria: n=4</w:t>
            </w:r>
          </w:p>
          <w:p w14:paraId="6DDC7D05" w14:textId="3BFBF7AB" w:rsidR="00CE7752" w:rsidRDefault="00EF3763" w:rsidP="006047B6">
            <w:pPr>
              <w:pStyle w:val="Paragrafoelenco"/>
              <w:numPr>
                <w:ilvl w:val="0"/>
                <w:numId w:val="8"/>
              </w:numPr>
              <w:contextualSpacing w:val="0"/>
            </w:pPr>
            <w:r>
              <w:t xml:space="preserve">One </w:t>
            </w:r>
            <w:r w:rsidR="00CE7752">
              <w:t xml:space="preserve">patient with </w:t>
            </w:r>
            <w:r>
              <w:t>MAS</w:t>
            </w:r>
            <w:r w:rsidR="00CE7752">
              <w:t xml:space="preserve"> activity = 1.5   </w:t>
            </w:r>
          </w:p>
          <w:p w14:paraId="3EB50E7F" w14:textId="737CBED9" w:rsidR="00CE7752" w:rsidRDefault="00EF3763" w:rsidP="00A53257">
            <w:pPr>
              <w:pStyle w:val="Paragrafoelenco"/>
              <w:numPr>
                <w:ilvl w:val="0"/>
                <w:numId w:val="8"/>
              </w:numPr>
              <w:ind w:left="714" w:hanging="357"/>
              <w:contextualSpacing w:val="0"/>
            </w:pPr>
            <w:r>
              <w:t>One</w:t>
            </w:r>
            <w:r w:rsidR="00CE7752">
              <w:t xml:space="preserve"> patient who stopped emapalumab after </w:t>
            </w:r>
            <w:r>
              <w:t>three</w:t>
            </w:r>
            <w:r w:rsidR="00CE7752">
              <w:t xml:space="preserve"> </w:t>
            </w:r>
            <w:r w:rsidR="00CE7752" w:rsidRPr="00E152D7">
              <w:t>administrations upon investigator’s assessment of remission</w:t>
            </w:r>
            <w:r w:rsidR="00CE7752">
              <w:t xml:space="preserve">, </w:t>
            </w:r>
            <w:r w:rsidR="00CE7752" w:rsidRPr="00E152D7">
              <w:t>continued to have mild abnormalities only i</w:t>
            </w:r>
            <w:r w:rsidR="00CE7752">
              <w:t xml:space="preserve">n </w:t>
            </w:r>
            <w:r>
              <w:t>LDH</w:t>
            </w:r>
            <w:r w:rsidR="00CE7752">
              <w:t xml:space="preserve"> levels</w:t>
            </w:r>
          </w:p>
          <w:p w14:paraId="42F9FB46" w14:textId="37A318E8" w:rsidR="00CE7752" w:rsidRDefault="00EF3763" w:rsidP="00A53257">
            <w:pPr>
              <w:pStyle w:val="Paragrafoelenco"/>
              <w:numPr>
                <w:ilvl w:val="0"/>
                <w:numId w:val="8"/>
              </w:numPr>
              <w:ind w:left="714" w:hanging="357"/>
              <w:contextualSpacing w:val="0"/>
            </w:pPr>
            <w:r>
              <w:t>One</w:t>
            </w:r>
            <w:r w:rsidR="00CE7752">
              <w:t xml:space="preserve"> patient had missing values for aspartate aminotransferase</w:t>
            </w:r>
            <w:r w:rsidR="00CE7752" w:rsidRPr="00E152D7">
              <w:t xml:space="preserve"> and </w:t>
            </w:r>
            <w:r>
              <w:t>LDH</w:t>
            </w:r>
            <w:r w:rsidR="00CE7752" w:rsidRPr="0058341E">
              <w:rPr>
                <w:lang w:val="en-NZ"/>
              </w:rPr>
              <w:t xml:space="preserve">, </w:t>
            </w:r>
            <w:proofErr w:type="spellStart"/>
            <w:r w:rsidR="00CE7752" w:rsidRPr="0058341E">
              <w:rPr>
                <w:lang w:val="en-NZ"/>
              </w:rPr>
              <w:t>wi</w:t>
            </w:r>
            <w:r w:rsidR="00CE7752" w:rsidRPr="00E152D7">
              <w:t>th</w:t>
            </w:r>
            <w:proofErr w:type="spellEnd"/>
            <w:r w:rsidR="00CE7752" w:rsidRPr="00E152D7">
              <w:t xml:space="preserve"> </w:t>
            </w:r>
            <w:r w:rsidR="00CE7752">
              <w:t xml:space="preserve">all </w:t>
            </w:r>
            <w:r w:rsidR="00CE7752" w:rsidRPr="00E152D7">
              <w:t xml:space="preserve">other parameters </w:t>
            </w:r>
            <w:r w:rsidR="00CE7752">
              <w:t xml:space="preserve">of the criteria for </w:t>
            </w:r>
            <w:r>
              <w:t>MAS</w:t>
            </w:r>
            <w:r w:rsidR="00CE7752">
              <w:t xml:space="preserve"> </w:t>
            </w:r>
            <w:r w:rsidR="00CE7752" w:rsidRPr="00E152D7">
              <w:t xml:space="preserve">remission being </w:t>
            </w:r>
            <w:r w:rsidR="00CE7752">
              <w:t>met</w:t>
            </w:r>
          </w:p>
          <w:p w14:paraId="3E90BEF9" w14:textId="06FF42A5" w:rsidR="00CE7752" w:rsidRDefault="00EF3763" w:rsidP="006047B6">
            <w:pPr>
              <w:pStyle w:val="Paragrafoelenco"/>
              <w:numPr>
                <w:ilvl w:val="0"/>
                <w:numId w:val="8"/>
              </w:numPr>
              <w:ind w:left="714" w:hanging="357"/>
            </w:pPr>
            <w:r>
              <w:t>One</w:t>
            </w:r>
            <w:r w:rsidR="00CE7752">
              <w:t xml:space="preserve"> patient missed the 6- and 12-month visits of the long-term follow-up</w:t>
            </w:r>
            <w:r w:rsidR="00CE7752" w:rsidRPr="0058341E">
              <w:t xml:space="preserve"> </w:t>
            </w:r>
            <w:r w:rsidR="00CE7752" w:rsidRPr="00E152D7">
              <w:t>because of Covid-19–related travel restrictions</w:t>
            </w:r>
          </w:p>
        </w:tc>
      </w:tr>
    </w:tbl>
    <w:p w14:paraId="5067F5FF" w14:textId="00113442" w:rsidR="00BE3B79" w:rsidRPr="00FE3284" w:rsidRDefault="00BE3B79"/>
    <w:p w14:paraId="569B29D4" w14:textId="6F620931" w:rsidR="00EF3763" w:rsidRPr="00CB273D" w:rsidRDefault="00EF3763" w:rsidP="00EF3763">
      <w:pPr>
        <w:tabs>
          <w:tab w:val="left" w:pos="7034"/>
        </w:tabs>
        <w:rPr>
          <w:bCs/>
        </w:rPr>
      </w:pPr>
      <w:r>
        <w:rPr>
          <w:bCs/>
        </w:rPr>
        <w:t>Abbreviations:</w:t>
      </w:r>
      <w:r w:rsidR="004B522C">
        <w:rPr>
          <w:bCs/>
        </w:rPr>
        <w:t xml:space="preserve"> </w:t>
      </w:r>
      <w:r>
        <w:rPr>
          <w:bCs/>
        </w:rPr>
        <w:t>LDH, lactate dehydrogenase; MAS, macrophage activation syndrome</w:t>
      </w:r>
    </w:p>
    <w:p w14:paraId="30BA732D" w14:textId="77777777" w:rsidR="005C1C95" w:rsidRDefault="005C1C95">
      <w:pPr>
        <w:rPr>
          <w:b/>
          <w:bCs/>
        </w:rPr>
      </w:pPr>
      <w:r>
        <w:rPr>
          <w:b/>
          <w:bCs/>
        </w:rPr>
        <w:br w:type="page"/>
      </w:r>
    </w:p>
    <w:p w14:paraId="34C9A003" w14:textId="38B7B27C" w:rsidR="007A751B" w:rsidRPr="00255825" w:rsidRDefault="007A751B" w:rsidP="007A751B">
      <w:pPr>
        <w:rPr>
          <w:b/>
          <w:bCs/>
        </w:rPr>
      </w:pPr>
      <w:r>
        <w:rPr>
          <w:b/>
          <w:bCs/>
        </w:rPr>
        <w:lastRenderedPageBreak/>
        <w:t>Table S5. Inflammatory</w:t>
      </w:r>
      <w:r w:rsidRPr="00892EE3">
        <w:rPr>
          <w:b/>
          <w:bCs/>
        </w:rPr>
        <w:t xml:space="preserve"> flares of underlying </w:t>
      </w:r>
      <w:proofErr w:type="spellStart"/>
      <w:r w:rsidR="006D678B">
        <w:rPr>
          <w:b/>
          <w:bCs/>
        </w:rPr>
        <w:t>sJIA</w:t>
      </w:r>
      <w:proofErr w:type="spellEnd"/>
      <w:r w:rsidR="006B40EF">
        <w:rPr>
          <w:b/>
          <w:bCs/>
        </w:rPr>
        <w:t>/AOSD</w:t>
      </w:r>
      <w:r w:rsidR="006D678B">
        <w:rPr>
          <w:b/>
          <w:bCs/>
        </w:rPr>
        <w:t xml:space="preserve"> </w:t>
      </w:r>
      <w:r w:rsidRPr="00892EE3">
        <w:rPr>
          <w:b/>
          <w:bCs/>
        </w:rPr>
        <w:t>and their treatment during the study and the long-term follow-up</w:t>
      </w:r>
      <w:r w:rsidR="00A00C47">
        <w:rPr>
          <w:b/>
          <w:bCs/>
        </w:rPr>
        <w:t xml:space="preserve"> study</w:t>
      </w:r>
    </w:p>
    <w:tbl>
      <w:tblPr>
        <w:tblStyle w:val="Grigliatabella"/>
        <w:tblW w:w="9576" w:type="dxa"/>
        <w:tblLayout w:type="fixed"/>
        <w:tblLook w:val="04A0" w:firstRow="1" w:lastRow="0" w:firstColumn="1" w:lastColumn="0" w:noHBand="0" w:noVBand="1"/>
      </w:tblPr>
      <w:tblGrid>
        <w:gridCol w:w="1242"/>
        <w:gridCol w:w="4820"/>
        <w:gridCol w:w="3514"/>
      </w:tblGrid>
      <w:tr w:rsidR="007A751B" w:rsidRPr="00AE11AB" w14:paraId="14AD844B" w14:textId="77777777" w:rsidTr="00326CDF">
        <w:tc>
          <w:tcPr>
            <w:tcW w:w="9576" w:type="dxa"/>
            <w:gridSpan w:val="3"/>
            <w:shd w:val="clear" w:color="auto" w:fill="auto"/>
          </w:tcPr>
          <w:p w14:paraId="360C65E3" w14:textId="77777777" w:rsidR="007A751B" w:rsidRPr="00AE11AB" w:rsidRDefault="007A751B" w:rsidP="00FA7B04">
            <w:pPr>
              <w:jc w:val="center"/>
              <w:rPr>
                <w:b/>
              </w:rPr>
            </w:pPr>
            <w:r w:rsidRPr="00AE11AB">
              <w:rPr>
                <w:b/>
              </w:rPr>
              <w:t>NI-0501-06 study</w:t>
            </w:r>
          </w:p>
        </w:tc>
      </w:tr>
      <w:tr w:rsidR="007A751B" w:rsidRPr="00AE11AB" w14:paraId="69130422" w14:textId="77777777" w:rsidTr="00326CDF">
        <w:tc>
          <w:tcPr>
            <w:tcW w:w="1242" w:type="dxa"/>
            <w:shd w:val="clear" w:color="auto" w:fill="auto"/>
          </w:tcPr>
          <w:p w14:paraId="5FB8E804" w14:textId="77777777" w:rsidR="007A751B" w:rsidRPr="00AE11AB" w:rsidRDefault="007A751B" w:rsidP="00FA7B04">
            <w:pPr>
              <w:rPr>
                <w:b/>
              </w:rPr>
            </w:pPr>
            <w:r w:rsidRPr="00AE11AB">
              <w:rPr>
                <w:b/>
              </w:rPr>
              <w:t>Patient ID</w:t>
            </w:r>
          </w:p>
        </w:tc>
        <w:tc>
          <w:tcPr>
            <w:tcW w:w="4820" w:type="dxa"/>
            <w:shd w:val="clear" w:color="auto" w:fill="auto"/>
          </w:tcPr>
          <w:p w14:paraId="53A9D930" w14:textId="77777777" w:rsidR="007A751B" w:rsidRPr="00AE11AB" w:rsidRDefault="007A751B" w:rsidP="00FA7B04">
            <w:pPr>
              <w:jc w:val="center"/>
              <w:rPr>
                <w:b/>
              </w:rPr>
            </w:pPr>
            <w:r w:rsidRPr="00AE11AB">
              <w:rPr>
                <w:b/>
              </w:rPr>
              <w:t>Flare and background treatment</w:t>
            </w:r>
          </w:p>
        </w:tc>
        <w:tc>
          <w:tcPr>
            <w:tcW w:w="3514" w:type="dxa"/>
            <w:shd w:val="clear" w:color="auto" w:fill="auto"/>
          </w:tcPr>
          <w:p w14:paraId="35FDEA51" w14:textId="38A75B91" w:rsidR="007A751B" w:rsidRPr="00AE11AB" w:rsidRDefault="007A751B" w:rsidP="00FA7B04">
            <w:pPr>
              <w:jc w:val="center"/>
              <w:rPr>
                <w:b/>
                <w:i/>
                <w:iCs/>
              </w:rPr>
            </w:pPr>
            <w:r w:rsidRPr="00AE11AB">
              <w:rPr>
                <w:b/>
              </w:rPr>
              <w:t xml:space="preserve">Treatment of underlying </w:t>
            </w:r>
            <w:proofErr w:type="spellStart"/>
            <w:r w:rsidRPr="007943DE">
              <w:rPr>
                <w:b/>
              </w:rPr>
              <w:t>s</w:t>
            </w:r>
            <w:r w:rsidR="000A0C70">
              <w:rPr>
                <w:b/>
              </w:rPr>
              <w:t>JIA</w:t>
            </w:r>
            <w:proofErr w:type="spellEnd"/>
            <w:r w:rsidR="00662EDC">
              <w:rPr>
                <w:b/>
              </w:rPr>
              <w:t>/AOSD</w:t>
            </w:r>
          </w:p>
        </w:tc>
      </w:tr>
      <w:tr w:rsidR="007A751B" w:rsidRPr="00AE11AB" w14:paraId="3D9733E0" w14:textId="77777777" w:rsidTr="00FF5AAA">
        <w:tc>
          <w:tcPr>
            <w:tcW w:w="1242" w:type="dxa"/>
          </w:tcPr>
          <w:p w14:paraId="19927CF9" w14:textId="77777777" w:rsidR="007A751B" w:rsidRPr="00AE11AB" w:rsidRDefault="007A751B" w:rsidP="00FA7B04">
            <w:r>
              <w:rPr>
                <w:noProof/>
                <w:lang w:eastAsia="it-IT"/>
              </w:rPr>
              <w:t>Patient 3</w:t>
            </w:r>
          </w:p>
        </w:tc>
        <w:tc>
          <w:tcPr>
            <w:tcW w:w="4820" w:type="dxa"/>
          </w:tcPr>
          <w:p w14:paraId="23D11029" w14:textId="77777777" w:rsidR="007A751B" w:rsidRPr="00B45715" w:rsidRDefault="007A751B" w:rsidP="00FA7B04">
            <w:pPr>
              <w:pStyle w:val="Paragrafoelenco"/>
              <w:numPr>
                <w:ilvl w:val="0"/>
                <w:numId w:val="17"/>
              </w:numPr>
              <w:ind w:left="170" w:hanging="170"/>
            </w:pPr>
            <w:r w:rsidRPr="00B45715">
              <w:t xml:space="preserve">Anakinra (2 mg/kg/day) discontinued on study day 0 </w:t>
            </w:r>
          </w:p>
          <w:p w14:paraId="2665B51C" w14:textId="7A471E34" w:rsidR="007A751B" w:rsidRPr="00B45715" w:rsidRDefault="00CD26AC" w:rsidP="00FA7B04">
            <w:pPr>
              <w:pStyle w:val="Paragrafoelenco"/>
              <w:numPr>
                <w:ilvl w:val="0"/>
                <w:numId w:val="17"/>
              </w:numPr>
              <w:ind w:left="170" w:hanging="170"/>
            </w:pPr>
            <w:r>
              <w:t>CRP</w:t>
            </w:r>
            <w:r w:rsidR="007A751B" w:rsidRPr="00B45715">
              <w:t xml:space="preserve"> increase on study day 3 while on 2.5 mg/kg/day prednisone equivalent and </w:t>
            </w:r>
            <w:r w:rsidR="006D678B">
              <w:t>MAS</w:t>
            </w:r>
            <w:r w:rsidR="007A751B" w:rsidRPr="00B45715">
              <w:t xml:space="preserve"> improving (first </w:t>
            </w:r>
            <w:r w:rsidR="00844490">
              <w:t>MAS</w:t>
            </w:r>
            <w:r w:rsidR="007A751B" w:rsidRPr="00B45715">
              <w:t xml:space="preserve"> remission achieved on study day 25)</w:t>
            </w:r>
          </w:p>
        </w:tc>
        <w:tc>
          <w:tcPr>
            <w:tcW w:w="3514" w:type="dxa"/>
          </w:tcPr>
          <w:p w14:paraId="26E1C033" w14:textId="77777777" w:rsidR="007A751B" w:rsidRPr="00AE11AB" w:rsidRDefault="007A751B" w:rsidP="00FA7B04">
            <w:pPr>
              <w:pStyle w:val="Paragrafoelenco"/>
              <w:numPr>
                <w:ilvl w:val="0"/>
                <w:numId w:val="10"/>
              </w:numPr>
              <w:ind w:left="176" w:hanging="218"/>
            </w:pPr>
            <w:r w:rsidRPr="00AE11AB">
              <w:t>Anakinra re-introduced at 2 mg/kg/day on study day 4</w:t>
            </w:r>
          </w:p>
        </w:tc>
      </w:tr>
      <w:tr w:rsidR="007A751B" w:rsidRPr="00AE11AB" w14:paraId="0C6B8D05" w14:textId="77777777" w:rsidTr="00FF5AAA">
        <w:tc>
          <w:tcPr>
            <w:tcW w:w="1242" w:type="dxa"/>
          </w:tcPr>
          <w:p w14:paraId="6CADFFEC" w14:textId="77777777" w:rsidR="007A751B" w:rsidRPr="00AE11AB" w:rsidRDefault="007A751B" w:rsidP="00FA7B04">
            <w:pPr>
              <w:rPr>
                <w:noProof/>
                <w:lang w:eastAsia="it-IT"/>
              </w:rPr>
            </w:pPr>
            <w:r>
              <w:rPr>
                <w:noProof/>
                <w:lang w:eastAsia="it-IT"/>
              </w:rPr>
              <w:t>Patient 5</w:t>
            </w:r>
            <w:r w:rsidRPr="00AE11AB">
              <w:rPr>
                <w:noProof/>
                <w:lang w:eastAsia="it-IT"/>
              </w:rPr>
              <w:t xml:space="preserve"> </w:t>
            </w:r>
          </w:p>
        </w:tc>
        <w:tc>
          <w:tcPr>
            <w:tcW w:w="4820" w:type="dxa"/>
          </w:tcPr>
          <w:p w14:paraId="6A4001FC" w14:textId="77777777" w:rsidR="007A751B" w:rsidRPr="00B45715" w:rsidRDefault="007A751B" w:rsidP="00FA7B04">
            <w:pPr>
              <w:pStyle w:val="Paragrafoelenco"/>
              <w:numPr>
                <w:ilvl w:val="0"/>
                <w:numId w:val="18"/>
              </w:numPr>
              <w:ind w:left="170" w:hanging="170"/>
            </w:pPr>
            <w:r w:rsidRPr="00B45715">
              <w:t xml:space="preserve">Anakinra (13 mg/kg/day) discontinued 11 days prior to start of emapalumab </w:t>
            </w:r>
          </w:p>
          <w:p w14:paraId="34990720" w14:textId="155EBBF6" w:rsidR="007A751B" w:rsidRPr="00B45715" w:rsidRDefault="00CD26AC" w:rsidP="00FA7B04">
            <w:pPr>
              <w:pStyle w:val="Paragrafoelenco"/>
              <w:numPr>
                <w:ilvl w:val="0"/>
                <w:numId w:val="18"/>
              </w:numPr>
              <w:ind w:left="170" w:hanging="170"/>
            </w:pPr>
            <w:r>
              <w:t>CRP</w:t>
            </w:r>
            <w:r w:rsidR="007A751B" w:rsidRPr="00B45715">
              <w:t xml:space="preserve"> increase on study day 14 while on 2.5 mg/kg/day prednisone equivalent and </w:t>
            </w:r>
            <w:r w:rsidR="006D678B">
              <w:t>MAS</w:t>
            </w:r>
            <w:r w:rsidR="007A751B" w:rsidRPr="00B45715">
              <w:t xml:space="preserve"> improving (first </w:t>
            </w:r>
            <w:r w:rsidR="00844490">
              <w:t>MAS</w:t>
            </w:r>
            <w:r w:rsidR="007A751B" w:rsidRPr="00B45715">
              <w:t xml:space="preserve"> achieved on study day 45)</w:t>
            </w:r>
          </w:p>
        </w:tc>
        <w:tc>
          <w:tcPr>
            <w:tcW w:w="3514" w:type="dxa"/>
          </w:tcPr>
          <w:p w14:paraId="6DB323A6" w14:textId="77777777" w:rsidR="007A751B" w:rsidRPr="00AE11AB" w:rsidRDefault="007A751B" w:rsidP="00FA7B04">
            <w:pPr>
              <w:pStyle w:val="Paragrafoelenco"/>
              <w:numPr>
                <w:ilvl w:val="0"/>
                <w:numId w:val="10"/>
              </w:numPr>
              <w:ind w:left="176" w:hanging="218"/>
              <w:rPr>
                <w:b/>
              </w:rPr>
            </w:pPr>
            <w:r w:rsidRPr="00AE11AB">
              <w:t>Anakinra re-introduced at 4 mg/kg/day on study day 14</w:t>
            </w:r>
          </w:p>
        </w:tc>
      </w:tr>
      <w:tr w:rsidR="007A751B" w:rsidRPr="00AE11AB" w14:paraId="4B4AF0D3" w14:textId="77777777" w:rsidTr="00FF5AAA">
        <w:tc>
          <w:tcPr>
            <w:tcW w:w="1242" w:type="dxa"/>
          </w:tcPr>
          <w:p w14:paraId="150DBA15" w14:textId="77777777" w:rsidR="007A751B" w:rsidRPr="00AE11AB" w:rsidRDefault="007A751B" w:rsidP="00FA7B04">
            <w:pPr>
              <w:rPr>
                <w:noProof/>
                <w:lang w:eastAsia="it-IT"/>
              </w:rPr>
            </w:pPr>
            <w:r>
              <w:rPr>
                <w:noProof/>
                <w:lang w:eastAsia="it-IT"/>
              </w:rPr>
              <w:t>Patient 10</w:t>
            </w:r>
          </w:p>
        </w:tc>
        <w:tc>
          <w:tcPr>
            <w:tcW w:w="4820" w:type="dxa"/>
          </w:tcPr>
          <w:p w14:paraId="4AA8731F" w14:textId="77777777" w:rsidR="007A751B" w:rsidRPr="00B45715" w:rsidRDefault="007A751B" w:rsidP="00FA7B04">
            <w:pPr>
              <w:pStyle w:val="Paragrafoelenco"/>
              <w:numPr>
                <w:ilvl w:val="0"/>
                <w:numId w:val="10"/>
              </w:numPr>
              <w:ind w:left="176" w:hanging="218"/>
              <w:rPr>
                <w:b/>
              </w:rPr>
            </w:pPr>
            <w:r w:rsidRPr="00B45715">
              <w:t xml:space="preserve">Anakinra (9 mg/kg) discontinued on study day -1 </w:t>
            </w:r>
          </w:p>
          <w:p w14:paraId="3B554EA5" w14:textId="350DF2CB" w:rsidR="007A751B" w:rsidRPr="00B45715" w:rsidRDefault="00997F34" w:rsidP="00FA7B04">
            <w:pPr>
              <w:pStyle w:val="Paragrafoelenco"/>
              <w:numPr>
                <w:ilvl w:val="0"/>
                <w:numId w:val="10"/>
              </w:numPr>
              <w:ind w:left="176" w:hanging="218"/>
              <w:rPr>
                <w:b/>
              </w:rPr>
            </w:pPr>
            <w:r>
              <w:t>CRP</w:t>
            </w:r>
            <w:r w:rsidRPr="00B45715">
              <w:t xml:space="preserve"> </w:t>
            </w:r>
            <w:r w:rsidR="007A751B" w:rsidRPr="00B45715">
              <w:t xml:space="preserve">increase on </w:t>
            </w:r>
            <w:r w:rsidR="00CD26AC">
              <w:t xml:space="preserve">study day </w:t>
            </w:r>
            <w:r w:rsidR="007A751B" w:rsidRPr="00B45715">
              <w:t xml:space="preserve">2 while on 2.1 mg/kg/day prednisone </w:t>
            </w:r>
            <w:r w:rsidR="007A751B" w:rsidRPr="00B45715">
              <w:rPr>
                <w:color w:val="000000" w:themeColor="text1"/>
              </w:rPr>
              <w:t xml:space="preserve">equivalent and </w:t>
            </w:r>
            <w:r w:rsidR="006D678B">
              <w:t>MAS</w:t>
            </w:r>
            <w:r w:rsidR="007A751B" w:rsidRPr="00B45715">
              <w:rPr>
                <w:color w:val="000000" w:themeColor="text1"/>
              </w:rPr>
              <w:t xml:space="preserve"> improvement (</w:t>
            </w:r>
            <w:r w:rsidR="007A751B" w:rsidRPr="00B45715">
              <w:t xml:space="preserve">first </w:t>
            </w:r>
            <w:r w:rsidR="00844490">
              <w:t>MAS</w:t>
            </w:r>
            <w:r w:rsidR="00E618C2">
              <w:t xml:space="preserve"> </w:t>
            </w:r>
            <w:r w:rsidR="007A751B" w:rsidRPr="00B45715">
              <w:rPr>
                <w:color w:val="000000" w:themeColor="text1"/>
              </w:rPr>
              <w:t xml:space="preserve">remission achieved on </w:t>
            </w:r>
            <w:r w:rsidR="007A751B" w:rsidRPr="00B45715">
              <w:t>study day 23)</w:t>
            </w:r>
          </w:p>
        </w:tc>
        <w:tc>
          <w:tcPr>
            <w:tcW w:w="3514" w:type="dxa"/>
          </w:tcPr>
          <w:p w14:paraId="52B6D660" w14:textId="77777777" w:rsidR="007A751B" w:rsidRPr="00AE11AB" w:rsidRDefault="007A751B" w:rsidP="00FA7B04">
            <w:pPr>
              <w:pStyle w:val="Paragrafoelenco"/>
              <w:numPr>
                <w:ilvl w:val="0"/>
                <w:numId w:val="10"/>
              </w:numPr>
              <w:ind w:left="176" w:hanging="218"/>
              <w:rPr>
                <w:b/>
              </w:rPr>
            </w:pPr>
            <w:r w:rsidRPr="00AE11AB">
              <w:t>Glucocorticoid pulses at 35 mg/kg/day prednisone equivalent on study day 4, 5</w:t>
            </w:r>
            <w:r>
              <w:t>,</w:t>
            </w:r>
            <w:r w:rsidRPr="00AE11AB">
              <w:t xml:space="preserve"> and 6</w:t>
            </w:r>
          </w:p>
        </w:tc>
      </w:tr>
      <w:tr w:rsidR="007A751B" w:rsidRPr="00AE11AB" w14:paraId="32DB9265" w14:textId="77777777" w:rsidTr="00FF5AAA">
        <w:tc>
          <w:tcPr>
            <w:tcW w:w="1242" w:type="dxa"/>
          </w:tcPr>
          <w:p w14:paraId="1505A13A" w14:textId="77777777" w:rsidR="007A751B" w:rsidRPr="00AE11AB" w:rsidRDefault="007A751B" w:rsidP="00FA7B04">
            <w:pPr>
              <w:rPr>
                <w:noProof/>
                <w:lang w:eastAsia="it-IT"/>
              </w:rPr>
            </w:pPr>
            <w:r>
              <w:rPr>
                <w:noProof/>
                <w:lang w:eastAsia="it-IT"/>
              </w:rPr>
              <w:t>Patient 13</w:t>
            </w:r>
          </w:p>
        </w:tc>
        <w:tc>
          <w:tcPr>
            <w:tcW w:w="4820" w:type="dxa"/>
          </w:tcPr>
          <w:p w14:paraId="1406E7FE" w14:textId="3062DE9F" w:rsidR="007A751B" w:rsidRPr="00B45715" w:rsidRDefault="00CD26AC" w:rsidP="00FA7B04">
            <w:pPr>
              <w:pStyle w:val="Paragrafoelenco"/>
              <w:numPr>
                <w:ilvl w:val="0"/>
                <w:numId w:val="10"/>
              </w:numPr>
              <w:ind w:left="176" w:hanging="218"/>
            </w:pPr>
            <w:r>
              <w:t>CRP</w:t>
            </w:r>
            <w:r w:rsidR="007A751B" w:rsidRPr="00B45715">
              <w:t xml:space="preserve"> increase on study day 21 while receiving 1.5 mg/kg/day prednisone equivalent (emapalumab last dose on study day 24) and in </w:t>
            </w:r>
            <w:r w:rsidR="00844490">
              <w:t>MAS</w:t>
            </w:r>
            <w:r w:rsidR="007A751B" w:rsidRPr="00B45715">
              <w:t xml:space="preserve"> remission (first achieved on study day 21)</w:t>
            </w:r>
          </w:p>
        </w:tc>
        <w:tc>
          <w:tcPr>
            <w:tcW w:w="3514" w:type="dxa"/>
          </w:tcPr>
          <w:p w14:paraId="67FEBE68" w14:textId="77777777" w:rsidR="007A751B" w:rsidRPr="00AE11AB" w:rsidRDefault="007A751B" w:rsidP="00FA7B04">
            <w:pPr>
              <w:pStyle w:val="Paragrafoelenco"/>
              <w:numPr>
                <w:ilvl w:val="0"/>
                <w:numId w:val="10"/>
              </w:numPr>
              <w:ind w:left="176" w:hanging="218"/>
            </w:pPr>
            <w:r w:rsidRPr="00AE11AB">
              <w:t xml:space="preserve">Anakinra introduced at 2 mg/kg/day on study day 25, increased to 4 mg/kg/day on study day 26 </w:t>
            </w:r>
          </w:p>
        </w:tc>
      </w:tr>
      <w:tr w:rsidR="007A751B" w:rsidRPr="00AE11AB" w14:paraId="075EF948" w14:textId="77777777" w:rsidTr="00FF5AAA">
        <w:tc>
          <w:tcPr>
            <w:tcW w:w="1242" w:type="dxa"/>
          </w:tcPr>
          <w:p w14:paraId="2C8BF4C6" w14:textId="77777777" w:rsidR="007A751B" w:rsidRPr="00AE11AB" w:rsidRDefault="007A751B" w:rsidP="00FA7B04">
            <w:pPr>
              <w:rPr>
                <w:noProof/>
                <w:lang w:eastAsia="it-IT"/>
              </w:rPr>
            </w:pPr>
            <w:r>
              <w:rPr>
                <w:noProof/>
                <w:lang w:eastAsia="it-IT"/>
              </w:rPr>
              <w:t xml:space="preserve">Patient 11 </w:t>
            </w:r>
          </w:p>
        </w:tc>
        <w:tc>
          <w:tcPr>
            <w:tcW w:w="4820" w:type="dxa"/>
          </w:tcPr>
          <w:p w14:paraId="103A1FBB" w14:textId="5C034789" w:rsidR="007A751B" w:rsidRPr="00B45715" w:rsidRDefault="007A751B" w:rsidP="00FA7B04">
            <w:pPr>
              <w:pStyle w:val="Paragrafoelenco"/>
              <w:numPr>
                <w:ilvl w:val="0"/>
                <w:numId w:val="10"/>
              </w:numPr>
              <w:ind w:left="176" w:hanging="218"/>
            </w:pPr>
            <w:r w:rsidRPr="00B45715">
              <w:t xml:space="preserve">Persistently increased </w:t>
            </w:r>
            <w:r w:rsidR="00CD26AC">
              <w:t>CRP</w:t>
            </w:r>
            <w:r w:rsidRPr="00B45715">
              <w:t xml:space="preserve"> from study day 0 while receiving 25 mg/kg/day prednisone equivalent and </w:t>
            </w:r>
            <w:r w:rsidR="006D678B">
              <w:t>MAS</w:t>
            </w:r>
            <w:r w:rsidRPr="00B45715">
              <w:t xml:space="preserve"> improvement (first </w:t>
            </w:r>
            <w:r w:rsidR="00844490">
              <w:t>MAS</w:t>
            </w:r>
            <w:r w:rsidRPr="00B45715">
              <w:t xml:space="preserve"> remission achieved on study day 15)</w:t>
            </w:r>
          </w:p>
        </w:tc>
        <w:tc>
          <w:tcPr>
            <w:tcW w:w="3514" w:type="dxa"/>
          </w:tcPr>
          <w:p w14:paraId="20E00D92" w14:textId="77777777" w:rsidR="007A751B" w:rsidRPr="00AE11AB" w:rsidRDefault="007A751B" w:rsidP="00FA7B04">
            <w:pPr>
              <w:pStyle w:val="Paragrafoelenco"/>
              <w:numPr>
                <w:ilvl w:val="0"/>
                <w:numId w:val="10"/>
              </w:numPr>
              <w:ind w:left="176" w:hanging="218"/>
            </w:pPr>
            <w:r w:rsidRPr="00AE11AB">
              <w:t>30 mg/kg/day prednisone equivalent on study day</w:t>
            </w:r>
            <w:r>
              <w:t>s</w:t>
            </w:r>
            <w:r w:rsidRPr="00AE11AB">
              <w:t xml:space="preserve"> 4 and 5.</w:t>
            </w:r>
          </w:p>
          <w:p w14:paraId="4E755C33" w14:textId="77777777" w:rsidR="007A751B" w:rsidRPr="00AE11AB" w:rsidRDefault="007A751B" w:rsidP="00FA7B04">
            <w:pPr>
              <w:pStyle w:val="Paragrafoelenco"/>
              <w:numPr>
                <w:ilvl w:val="0"/>
                <w:numId w:val="10"/>
              </w:numPr>
              <w:ind w:left="176" w:hanging="218"/>
            </w:pPr>
            <w:r w:rsidRPr="00AE11AB">
              <w:t xml:space="preserve">Anakinra introduced on study day 6 at 2 mg/kg/day </w:t>
            </w:r>
          </w:p>
        </w:tc>
      </w:tr>
      <w:tr w:rsidR="007A751B" w:rsidRPr="00AE11AB" w14:paraId="55B9F869" w14:textId="77777777" w:rsidTr="00FF5AAA">
        <w:tc>
          <w:tcPr>
            <w:tcW w:w="1242" w:type="dxa"/>
          </w:tcPr>
          <w:p w14:paraId="618DF015" w14:textId="77777777" w:rsidR="007A751B" w:rsidRPr="00AE11AB" w:rsidRDefault="007A751B" w:rsidP="00FA7B04">
            <w:pPr>
              <w:rPr>
                <w:noProof/>
                <w:lang w:eastAsia="it-IT"/>
              </w:rPr>
            </w:pPr>
            <w:r>
              <w:rPr>
                <w:noProof/>
                <w:lang w:eastAsia="it-IT"/>
              </w:rPr>
              <w:t>Patient 8</w:t>
            </w:r>
          </w:p>
        </w:tc>
        <w:tc>
          <w:tcPr>
            <w:tcW w:w="4820" w:type="dxa"/>
          </w:tcPr>
          <w:p w14:paraId="1D4046EC" w14:textId="487DBCF6" w:rsidR="007A751B" w:rsidRPr="00B45715" w:rsidRDefault="00B14085" w:rsidP="00FA7B04">
            <w:pPr>
              <w:pStyle w:val="Paragrafoelenco"/>
              <w:numPr>
                <w:ilvl w:val="0"/>
                <w:numId w:val="10"/>
              </w:numPr>
              <w:ind w:left="176" w:hanging="218"/>
            </w:pPr>
            <w:r>
              <w:t>CRP</w:t>
            </w:r>
            <w:r w:rsidR="007A751B" w:rsidRPr="00B45715">
              <w:t xml:space="preserve"> increase on study day 12 while on 0.4 mg/kg/day prednisone equivalent (last dose of emapalumab on study day 6) and </w:t>
            </w:r>
            <w:r w:rsidR="00844490">
              <w:t>MAS</w:t>
            </w:r>
            <w:r w:rsidR="007A751B" w:rsidRPr="00B45715">
              <w:t xml:space="preserve"> in resolution (only </w:t>
            </w:r>
            <w:r>
              <w:t>LDH</w:t>
            </w:r>
            <w:r w:rsidR="007A751B" w:rsidRPr="00B45715">
              <w:t xml:space="preserve"> &gt; 1.5</w:t>
            </w:r>
            <w:r w:rsidR="007A751B" w:rsidRPr="00B45715">
              <w:sym w:font="Symbol" w:char="F0B4"/>
            </w:r>
            <w:r w:rsidR="007A751B" w:rsidRPr="00B45715">
              <w:t xml:space="preserve"> </w:t>
            </w:r>
            <w:r>
              <w:t>ULN</w:t>
            </w:r>
            <w:r w:rsidR="007A751B" w:rsidRPr="00B45715">
              <w:t>)</w:t>
            </w:r>
          </w:p>
        </w:tc>
        <w:tc>
          <w:tcPr>
            <w:tcW w:w="3514" w:type="dxa"/>
          </w:tcPr>
          <w:p w14:paraId="45ED97C9" w14:textId="77777777" w:rsidR="007A751B" w:rsidRPr="00AE11AB" w:rsidRDefault="007A751B" w:rsidP="00FA7B04">
            <w:pPr>
              <w:pStyle w:val="Paragrafoelenco"/>
              <w:numPr>
                <w:ilvl w:val="0"/>
                <w:numId w:val="10"/>
              </w:numPr>
              <w:ind w:left="176" w:hanging="218"/>
            </w:pPr>
            <w:r w:rsidRPr="00AE11AB">
              <w:t>Baricitinib introduced on study day 15</w:t>
            </w:r>
          </w:p>
          <w:p w14:paraId="46E4E1DF" w14:textId="77777777" w:rsidR="007A751B" w:rsidRPr="00AE11AB" w:rsidRDefault="007A751B" w:rsidP="00FA7B04">
            <w:pPr>
              <w:rPr>
                <w:b/>
              </w:rPr>
            </w:pPr>
          </w:p>
        </w:tc>
      </w:tr>
    </w:tbl>
    <w:p w14:paraId="20DBE1D5" w14:textId="46AA83E8" w:rsidR="00844490" w:rsidRDefault="00844490">
      <w:r>
        <w:br w:type="page"/>
      </w:r>
    </w:p>
    <w:tbl>
      <w:tblPr>
        <w:tblStyle w:val="Grigliatabella"/>
        <w:tblW w:w="0" w:type="auto"/>
        <w:tblLayout w:type="fixed"/>
        <w:tblLook w:val="04A0" w:firstRow="1" w:lastRow="0" w:firstColumn="1" w:lastColumn="0" w:noHBand="0" w:noVBand="1"/>
      </w:tblPr>
      <w:tblGrid>
        <w:gridCol w:w="1242"/>
        <w:gridCol w:w="4820"/>
        <w:gridCol w:w="3514"/>
      </w:tblGrid>
      <w:tr w:rsidR="007A751B" w:rsidRPr="00AE11AB" w14:paraId="73601B4E" w14:textId="77777777" w:rsidTr="00FA7B04">
        <w:tc>
          <w:tcPr>
            <w:tcW w:w="9576" w:type="dxa"/>
            <w:gridSpan w:val="3"/>
            <w:shd w:val="clear" w:color="auto" w:fill="D9D9D9" w:themeFill="background1" w:themeFillShade="D9"/>
          </w:tcPr>
          <w:p w14:paraId="553BD4D0" w14:textId="77777777" w:rsidR="007A751B" w:rsidRPr="00AE11AB" w:rsidRDefault="007A751B" w:rsidP="00FA7B04">
            <w:pPr>
              <w:jc w:val="center"/>
              <w:rPr>
                <w:b/>
              </w:rPr>
            </w:pPr>
            <w:r>
              <w:lastRenderedPageBreak/>
              <w:br w:type="page"/>
            </w:r>
            <w:r w:rsidRPr="00AE11AB">
              <w:rPr>
                <w:b/>
              </w:rPr>
              <w:t>Long-term follow-up (NI-0501-05)</w:t>
            </w:r>
          </w:p>
        </w:tc>
      </w:tr>
      <w:tr w:rsidR="007A751B" w:rsidRPr="00AE11AB" w14:paraId="1C53E7DF" w14:textId="77777777" w:rsidTr="006007E4">
        <w:tc>
          <w:tcPr>
            <w:tcW w:w="1242" w:type="dxa"/>
            <w:shd w:val="clear" w:color="auto" w:fill="D9D9D9" w:themeFill="background1" w:themeFillShade="D9"/>
          </w:tcPr>
          <w:p w14:paraId="4904872E" w14:textId="77777777" w:rsidR="007A751B" w:rsidRPr="00AE11AB" w:rsidRDefault="007A751B" w:rsidP="00FA7B04">
            <w:pPr>
              <w:rPr>
                <w:b/>
              </w:rPr>
            </w:pPr>
            <w:r w:rsidRPr="00AE11AB">
              <w:rPr>
                <w:b/>
              </w:rPr>
              <w:t>Patient ID</w:t>
            </w:r>
          </w:p>
        </w:tc>
        <w:tc>
          <w:tcPr>
            <w:tcW w:w="4820" w:type="dxa"/>
            <w:shd w:val="clear" w:color="auto" w:fill="D9D9D9" w:themeFill="background1" w:themeFillShade="D9"/>
          </w:tcPr>
          <w:p w14:paraId="4DC2D5B0" w14:textId="77777777" w:rsidR="007A751B" w:rsidRPr="00AE11AB" w:rsidRDefault="007A751B" w:rsidP="006007E4">
            <w:pPr>
              <w:jc w:val="center"/>
              <w:rPr>
                <w:b/>
              </w:rPr>
            </w:pPr>
            <w:r w:rsidRPr="00AE11AB">
              <w:rPr>
                <w:b/>
              </w:rPr>
              <w:t>Flare and background treatment</w:t>
            </w:r>
          </w:p>
        </w:tc>
        <w:tc>
          <w:tcPr>
            <w:tcW w:w="3514" w:type="dxa"/>
            <w:shd w:val="clear" w:color="auto" w:fill="D9D9D9" w:themeFill="background1" w:themeFillShade="D9"/>
          </w:tcPr>
          <w:p w14:paraId="468CA2F2" w14:textId="055FCE0C" w:rsidR="007A751B" w:rsidRPr="00AE11AB" w:rsidRDefault="007A751B" w:rsidP="00FA7B04">
            <w:pPr>
              <w:jc w:val="center"/>
              <w:rPr>
                <w:b/>
              </w:rPr>
            </w:pPr>
            <w:r w:rsidRPr="00AE11AB">
              <w:rPr>
                <w:b/>
              </w:rPr>
              <w:t xml:space="preserve">Treatment of underlying </w:t>
            </w:r>
            <w:proofErr w:type="spellStart"/>
            <w:r w:rsidR="00D06D56">
              <w:rPr>
                <w:b/>
              </w:rPr>
              <w:t>sJIA</w:t>
            </w:r>
            <w:proofErr w:type="spellEnd"/>
            <w:r w:rsidR="00662EDC">
              <w:rPr>
                <w:b/>
              </w:rPr>
              <w:t>/AOSD</w:t>
            </w:r>
            <w:r w:rsidRPr="00C65226">
              <w:rPr>
                <w:b/>
              </w:rPr>
              <w:t xml:space="preserve"> </w:t>
            </w:r>
          </w:p>
        </w:tc>
      </w:tr>
      <w:tr w:rsidR="007A751B" w:rsidRPr="00AE11AB" w14:paraId="3288A685" w14:textId="77777777" w:rsidTr="0058605B">
        <w:tc>
          <w:tcPr>
            <w:tcW w:w="1242" w:type="dxa"/>
          </w:tcPr>
          <w:p w14:paraId="59F31433" w14:textId="77777777" w:rsidR="007A751B" w:rsidRPr="00375727" w:rsidRDefault="007A751B" w:rsidP="0058605B">
            <w:pPr>
              <w:rPr>
                <w:noProof/>
                <w:lang w:eastAsia="it-IT"/>
              </w:rPr>
            </w:pPr>
            <w:r w:rsidRPr="00375727">
              <w:rPr>
                <w:noProof/>
                <w:lang w:eastAsia="it-IT"/>
              </w:rPr>
              <w:t>Patient 1</w:t>
            </w:r>
          </w:p>
        </w:tc>
        <w:tc>
          <w:tcPr>
            <w:tcW w:w="4820" w:type="dxa"/>
          </w:tcPr>
          <w:p w14:paraId="5D5ADF96" w14:textId="00467A4C" w:rsidR="007A751B" w:rsidRPr="00AE11AB" w:rsidRDefault="007A751B" w:rsidP="006007E4">
            <w:pPr>
              <w:pStyle w:val="Paragrafoelenco"/>
              <w:numPr>
                <w:ilvl w:val="0"/>
                <w:numId w:val="9"/>
              </w:numPr>
              <w:ind w:left="176" w:hanging="176"/>
              <w:contextualSpacing w:val="0"/>
            </w:pPr>
            <w:r w:rsidRPr="00D06D56">
              <w:rPr>
                <w:color w:val="000000" w:themeColor="text1"/>
              </w:rPr>
              <w:t xml:space="preserve">Inflammatory flare of </w:t>
            </w:r>
            <w:proofErr w:type="spellStart"/>
            <w:r w:rsidRPr="00D06D56">
              <w:rPr>
                <w:color w:val="000000" w:themeColor="text1"/>
              </w:rPr>
              <w:t>s</w:t>
            </w:r>
            <w:r w:rsidR="006D678B" w:rsidRPr="00D06D56">
              <w:rPr>
                <w:color w:val="000000" w:themeColor="text1"/>
              </w:rPr>
              <w:t>JIA</w:t>
            </w:r>
            <w:proofErr w:type="spellEnd"/>
            <w:r w:rsidRPr="00D06D56">
              <w:rPr>
                <w:color w:val="000000" w:themeColor="text1"/>
              </w:rPr>
              <w:t xml:space="preserve"> on study day 315 while on prednisone at 0.07 mg/kg/</w:t>
            </w:r>
            <w:r w:rsidR="005C795A">
              <w:rPr>
                <w:color w:val="000000" w:themeColor="text1"/>
              </w:rPr>
              <w:t xml:space="preserve">day and no </w:t>
            </w:r>
            <w:r w:rsidR="006D678B" w:rsidRPr="00D06D56">
              <w:rPr>
                <w:color w:val="000000" w:themeColor="text1"/>
              </w:rPr>
              <w:t>MAS</w:t>
            </w:r>
            <w:r w:rsidRPr="00D06D56">
              <w:rPr>
                <w:color w:val="000000" w:themeColor="text1"/>
              </w:rPr>
              <w:t xml:space="preserve"> flare</w:t>
            </w:r>
          </w:p>
        </w:tc>
        <w:tc>
          <w:tcPr>
            <w:tcW w:w="3514" w:type="dxa"/>
          </w:tcPr>
          <w:p w14:paraId="02406F63" w14:textId="77777777" w:rsidR="007A751B" w:rsidRPr="00AE11AB" w:rsidRDefault="007A751B" w:rsidP="00FA7B04">
            <w:pPr>
              <w:pStyle w:val="Paragrafoelenco"/>
              <w:numPr>
                <w:ilvl w:val="0"/>
                <w:numId w:val="9"/>
              </w:numPr>
              <w:ind w:left="176" w:hanging="218"/>
            </w:pPr>
            <w:r w:rsidRPr="00AE11AB">
              <w:t>Glucocorticoid dose increased: methylprednisolone 0.9 mg/kg/day</w:t>
            </w:r>
          </w:p>
          <w:p w14:paraId="7CFDE009" w14:textId="77777777" w:rsidR="007A751B" w:rsidRPr="00AE11AB" w:rsidRDefault="007A751B" w:rsidP="00FA7B04">
            <w:pPr>
              <w:pStyle w:val="Paragrafoelenco"/>
              <w:numPr>
                <w:ilvl w:val="0"/>
                <w:numId w:val="9"/>
              </w:numPr>
              <w:ind w:left="176" w:hanging="218"/>
            </w:pPr>
            <w:r w:rsidRPr="00AE11AB">
              <w:t>Canakinumab introduced at 300 mg every 4 weeks</w:t>
            </w:r>
          </w:p>
        </w:tc>
      </w:tr>
      <w:tr w:rsidR="007A751B" w:rsidRPr="00AE11AB" w14:paraId="71430D2A" w14:textId="77777777" w:rsidTr="006007E4">
        <w:tc>
          <w:tcPr>
            <w:tcW w:w="1242" w:type="dxa"/>
          </w:tcPr>
          <w:p w14:paraId="3F69006D" w14:textId="77777777" w:rsidR="007A751B" w:rsidRPr="00375727" w:rsidRDefault="007A751B" w:rsidP="00FA7B04">
            <w:pPr>
              <w:rPr>
                <w:noProof/>
                <w:lang w:eastAsia="it-IT"/>
              </w:rPr>
            </w:pPr>
            <w:r w:rsidRPr="00375727">
              <w:rPr>
                <w:noProof/>
                <w:lang w:eastAsia="it-IT"/>
              </w:rPr>
              <w:t>Patient 11</w:t>
            </w:r>
          </w:p>
          <w:p w14:paraId="3A4233B5" w14:textId="77777777" w:rsidR="007A751B" w:rsidRPr="00375727" w:rsidRDefault="007A751B" w:rsidP="00FA7B04">
            <w:pPr>
              <w:rPr>
                <w:b/>
              </w:rPr>
            </w:pPr>
          </w:p>
        </w:tc>
        <w:tc>
          <w:tcPr>
            <w:tcW w:w="4820" w:type="dxa"/>
          </w:tcPr>
          <w:p w14:paraId="18C685FE" w14:textId="3AAD131C" w:rsidR="007A751B" w:rsidRPr="00AE11AB" w:rsidRDefault="007A751B" w:rsidP="006007E4">
            <w:pPr>
              <w:pStyle w:val="Paragrafoelenco"/>
              <w:numPr>
                <w:ilvl w:val="0"/>
                <w:numId w:val="9"/>
              </w:numPr>
              <w:ind w:left="176" w:hanging="218"/>
              <w:rPr>
                <w:color w:val="000000" w:themeColor="text1"/>
              </w:rPr>
            </w:pPr>
            <w:r w:rsidRPr="00AE11AB">
              <w:rPr>
                <w:color w:val="000000" w:themeColor="text1"/>
              </w:rPr>
              <w:t xml:space="preserve">Inflammatory flare of </w:t>
            </w:r>
            <w:proofErr w:type="spellStart"/>
            <w:r w:rsidRPr="00AE11AB">
              <w:t>s</w:t>
            </w:r>
            <w:r w:rsidR="006D678B">
              <w:t>JIA</w:t>
            </w:r>
            <w:proofErr w:type="spellEnd"/>
            <w:r w:rsidRPr="00AE11AB">
              <w:rPr>
                <w:color w:val="000000" w:themeColor="text1"/>
              </w:rPr>
              <w:t xml:space="preserve"> on study day 233 while on anakinra at 1.8 mg/kg/day and off glucocorticoids </w:t>
            </w:r>
            <w:r w:rsidRPr="00AE11AB">
              <w:t xml:space="preserve">and no </w:t>
            </w:r>
            <w:r w:rsidR="006D678B">
              <w:t>MAS</w:t>
            </w:r>
            <w:r w:rsidRPr="00AE11AB">
              <w:t xml:space="preserve"> flare </w:t>
            </w:r>
          </w:p>
        </w:tc>
        <w:tc>
          <w:tcPr>
            <w:tcW w:w="3514" w:type="dxa"/>
          </w:tcPr>
          <w:p w14:paraId="130F0F95" w14:textId="77777777" w:rsidR="007A751B" w:rsidRPr="00AE11AB" w:rsidRDefault="007A751B" w:rsidP="00FA7B04">
            <w:pPr>
              <w:pStyle w:val="Paragrafoelenco"/>
              <w:numPr>
                <w:ilvl w:val="0"/>
                <w:numId w:val="9"/>
              </w:numPr>
              <w:ind w:left="176" w:hanging="218"/>
            </w:pPr>
            <w:r w:rsidRPr="00AE11AB">
              <w:t xml:space="preserve">Methyl prednisolone pulses (1 g/day) for 3 consecutive days, switched to oral prednisone (0.9 mg/kg/day) and then tapered </w:t>
            </w:r>
          </w:p>
          <w:p w14:paraId="43D58458" w14:textId="77777777" w:rsidR="007A751B" w:rsidRPr="00AE11AB" w:rsidRDefault="007A751B" w:rsidP="00FA7B04">
            <w:pPr>
              <w:pStyle w:val="Paragrafoelenco"/>
              <w:numPr>
                <w:ilvl w:val="0"/>
                <w:numId w:val="9"/>
              </w:numPr>
              <w:ind w:left="176" w:hanging="218"/>
            </w:pPr>
            <w:r w:rsidRPr="00AE11AB">
              <w:t xml:space="preserve">Anakinra </w:t>
            </w:r>
            <w:r w:rsidRPr="00AE11AB">
              <w:rPr>
                <w:color w:val="000000" w:themeColor="text1"/>
              </w:rPr>
              <w:t>continued at 1.8 mg/kg/day</w:t>
            </w:r>
          </w:p>
        </w:tc>
      </w:tr>
      <w:tr w:rsidR="007A751B" w:rsidRPr="00AE11AB" w14:paraId="6CEF6C25" w14:textId="77777777" w:rsidTr="00FA7B04">
        <w:tc>
          <w:tcPr>
            <w:tcW w:w="1242" w:type="dxa"/>
          </w:tcPr>
          <w:p w14:paraId="345D055C" w14:textId="77777777" w:rsidR="007A751B" w:rsidRPr="00375727" w:rsidRDefault="007A751B" w:rsidP="00FA7B04">
            <w:pPr>
              <w:rPr>
                <w:noProof/>
                <w:lang w:eastAsia="it-IT"/>
              </w:rPr>
            </w:pPr>
            <w:r w:rsidRPr="00375727">
              <w:rPr>
                <w:noProof/>
                <w:lang w:eastAsia="it-IT"/>
              </w:rPr>
              <w:t>Patient 12</w:t>
            </w:r>
          </w:p>
          <w:p w14:paraId="6FA3730F" w14:textId="77777777" w:rsidR="007A751B" w:rsidRPr="00375727" w:rsidRDefault="007A751B" w:rsidP="00FA7B04">
            <w:pPr>
              <w:rPr>
                <w:b/>
              </w:rPr>
            </w:pPr>
          </w:p>
        </w:tc>
        <w:tc>
          <w:tcPr>
            <w:tcW w:w="4820" w:type="dxa"/>
          </w:tcPr>
          <w:p w14:paraId="6C820214" w14:textId="4DBC0A5E" w:rsidR="007A751B" w:rsidRPr="00AE11AB" w:rsidRDefault="007A751B" w:rsidP="00FA7B04">
            <w:pPr>
              <w:pStyle w:val="Paragrafoelenco"/>
              <w:numPr>
                <w:ilvl w:val="0"/>
                <w:numId w:val="9"/>
              </w:numPr>
              <w:ind w:left="176" w:hanging="218"/>
              <w:rPr>
                <w:color w:val="000000" w:themeColor="text1"/>
              </w:rPr>
            </w:pPr>
            <w:r w:rsidRPr="00AE11AB">
              <w:rPr>
                <w:color w:val="000000" w:themeColor="text1"/>
              </w:rPr>
              <w:t xml:space="preserve">Inflammatory flare of </w:t>
            </w:r>
            <w:proofErr w:type="spellStart"/>
            <w:r w:rsidRPr="00AE11AB">
              <w:t>s</w:t>
            </w:r>
            <w:r w:rsidR="006D678B">
              <w:t>JIA</w:t>
            </w:r>
            <w:proofErr w:type="spellEnd"/>
            <w:r w:rsidRPr="00AE11AB">
              <w:rPr>
                <w:color w:val="000000" w:themeColor="text1"/>
              </w:rPr>
              <w:t xml:space="preserve"> on study day 189 while on anakinra at 14 mg/kg/day</w:t>
            </w:r>
            <w:r w:rsidRPr="00AE11AB">
              <w:rPr>
                <w:rStyle w:val="Rimandocommento"/>
                <w:sz w:val="22"/>
                <w:szCs w:val="22"/>
                <w:lang w:val="en-NZ"/>
              </w:rPr>
              <w:t xml:space="preserve"> </w:t>
            </w:r>
            <w:r w:rsidRPr="00AE11AB">
              <w:rPr>
                <w:color w:val="000000" w:themeColor="text1"/>
              </w:rPr>
              <w:t>and off glucocorticoids</w:t>
            </w:r>
          </w:p>
        </w:tc>
        <w:tc>
          <w:tcPr>
            <w:tcW w:w="3514" w:type="dxa"/>
          </w:tcPr>
          <w:p w14:paraId="5296AE61" w14:textId="77777777" w:rsidR="007A751B" w:rsidRPr="00AE11AB" w:rsidRDefault="007A751B" w:rsidP="00FA7B04">
            <w:pPr>
              <w:pStyle w:val="Paragrafoelenco"/>
              <w:numPr>
                <w:ilvl w:val="0"/>
                <w:numId w:val="9"/>
              </w:numPr>
              <w:ind w:left="176" w:hanging="218"/>
              <w:rPr>
                <w:b/>
              </w:rPr>
            </w:pPr>
            <w:r w:rsidRPr="00AE11AB">
              <w:t>Methylprednisolone pulses (1 g/day) for 2 days followed by prednisolone at 2.2 mg/kg/day</w:t>
            </w:r>
          </w:p>
          <w:p w14:paraId="79AC957A" w14:textId="77777777" w:rsidR="007A751B" w:rsidRPr="00AE11AB" w:rsidRDefault="007A751B" w:rsidP="00FA7B04">
            <w:pPr>
              <w:pStyle w:val="Paragrafoelenco"/>
              <w:numPr>
                <w:ilvl w:val="0"/>
                <w:numId w:val="9"/>
              </w:numPr>
              <w:ind w:left="176" w:hanging="218"/>
              <w:rPr>
                <w:b/>
              </w:rPr>
            </w:pPr>
            <w:r w:rsidRPr="00AE11AB">
              <w:rPr>
                <w:color w:val="000000" w:themeColor="text1"/>
              </w:rPr>
              <w:t>Subsequently tocilizumab (162 mg</w:t>
            </w:r>
            <w:r>
              <w:rPr>
                <w:color w:val="000000" w:themeColor="text1"/>
              </w:rPr>
              <w:t xml:space="preserve"> </w:t>
            </w:r>
            <w:r w:rsidRPr="00AE11AB">
              <w:rPr>
                <w:color w:val="000000" w:themeColor="text1"/>
              </w:rPr>
              <w:t xml:space="preserve">every 2 weeks) </w:t>
            </w:r>
          </w:p>
        </w:tc>
      </w:tr>
      <w:tr w:rsidR="007A751B" w:rsidRPr="00AE11AB" w14:paraId="3E1C32BA" w14:textId="77777777" w:rsidTr="00FA7B04">
        <w:tc>
          <w:tcPr>
            <w:tcW w:w="1242" w:type="dxa"/>
          </w:tcPr>
          <w:p w14:paraId="3814A6FA" w14:textId="77777777" w:rsidR="007A751B" w:rsidRPr="00375727" w:rsidRDefault="007A751B" w:rsidP="00FA7B04">
            <w:pPr>
              <w:rPr>
                <w:noProof/>
                <w:lang w:eastAsia="it-IT"/>
              </w:rPr>
            </w:pPr>
            <w:r w:rsidRPr="00375727">
              <w:rPr>
                <w:noProof/>
                <w:lang w:eastAsia="it-IT"/>
              </w:rPr>
              <w:t>Patient 14</w:t>
            </w:r>
          </w:p>
          <w:p w14:paraId="0B568F14" w14:textId="77777777" w:rsidR="007A751B" w:rsidRPr="00375727" w:rsidRDefault="007A751B" w:rsidP="00FA7B04">
            <w:pPr>
              <w:rPr>
                <w:b/>
              </w:rPr>
            </w:pPr>
          </w:p>
        </w:tc>
        <w:tc>
          <w:tcPr>
            <w:tcW w:w="4820" w:type="dxa"/>
          </w:tcPr>
          <w:p w14:paraId="12BBA5F8" w14:textId="2AD446F7" w:rsidR="007A751B" w:rsidRPr="00AE11AB" w:rsidRDefault="007A751B" w:rsidP="00FA7B04">
            <w:pPr>
              <w:pStyle w:val="Paragrafoelenco"/>
              <w:numPr>
                <w:ilvl w:val="0"/>
                <w:numId w:val="9"/>
              </w:numPr>
              <w:ind w:left="176" w:hanging="218"/>
              <w:rPr>
                <w:b/>
              </w:rPr>
            </w:pPr>
            <w:r w:rsidRPr="00AE11AB">
              <w:t xml:space="preserve">Inflammatory flare of </w:t>
            </w:r>
            <w:proofErr w:type="spellStart"/>
            <w:r w:rsidRPr="00AE11AB">
              <w:t>s</w:t>
            </w:r>
            <w:r w:rsidR="006D678B">
              <w:t>JIA</w:t>
            </w:r>
            <w:proofErr w:type="spellEnd"/>
            <w:r w:rsidRPr="00AE11AB">
              <w:t xml:space="preserve"> with interstitial lung disease on study day 320 while on prednisolone at 1.5 mg/kg/day, anakinra at 4.2 mg/kg/day and methotrexate 7.5 mg/week</w:t>
            </w:r>
          </w:p>
        </w:tc>
        <w:tc>
          <w:tcPr>
            <w:tcW w:w="3514" w:type="dxa"/>
          </w:tcPr>
          <w:p w14:paraId="43DADB4F" w14:textId="77777777" w:rsidR="007A751B" w:rsidRPr="00AE11AB" w:rsidRDefault="007A751B" w:rsidP="00FA7B04">
            <w:pPr>
              <w:pStyle w:val="Paragrafoelenco"/>
              <w:numPr>
                <w:ilvl w:val="0"/>
                <w:numId w:val="9"/>
              </w:numPr>
              <w:ind w:left="176" w:hanging="218"/>
              <w:rPr>
                <w:b/>
              </w:rPr>
            </w:pPr>
            <w:r w:rsidRPr="00AE11AB">
              <w:t>Tofacitinib introduced at 2.5 mg/day</w:t>
            </w:r>
          </w:p>
        </w:tc>
      </w:tr>
    </w:tbl>
    <w:p w14:paraId="43B83C9A" w14:textId="1B08796B" w:rsidR="008542EE" w:rsidRPr="008542EE" w:rsidRDefault="008542EE" w:rsidP="0062589B">
      <w:pPr>
        <w:spacing w:before="120"/>
      </w:pPr>
      <w:r w:rsidRPr="008542EE">
        <w:t>First MAS remission was the time of first fulfilment of MAS remission criteria</w:t>
      </w:r>
      <w:r w:rsidRPr="008542EE" w:rsidDel="00FF5AAA">
        <w:t xml:space="preserve"> </w:t>
      </w:r>
    </w:p>
    <w:p w14:paraId="228CC8FA" w14:textId="0DF9ACE6" w:rsidR="008542EE" w:rsidRPr="008542EE" w:rsidRDefault="008542EE" w:rsidP="008542EE">
      <w:r w:rsidRPr="008542EE">
        <w:rPr>
          <w:bCs/>
        </w:rPr>
        <w:t xml:space="preserve">Flares of the underlying </w:t>
      </w:r>
      <w:proofErr w:type="spellStart"/>
      <w:r w:rsidRPr="008542EE">
        <w:rPr>
          <w:bCs/>
        </w:rPr>
        <w:t>sJIA</w:t>
      </w:r>
      <w:proofErr w:type="spellEnd"/>
      <w:r w:rsidRPr="008542EE">
        <w:rPr>
          <w:bCs/>
        </w:rPr>
        <w:t xml:space="preserve"> were identified based on adverse event reporting and on the rationale for change in medications or medication doses.</w:t>
      </w:r>
    </w:p>
    <w:p w14:paraId="237EE9BB" w14:textId="77777777" w:rsidR="004234F3" w:rsidRDefault="004234F3" w:rsidP="004234F3">
      <w:pPr>
        <w:tabs>
          <w:tab w:val="left" w:pos="7034"/>
        </w:tabs>
        <w:rPr>
          <w:bCs/>
        </w:rPr>
      </w:pPr>
      <w:r>
        <w:rPr>
          <w:bCs/>
        </w:rPr>
        <w:t>Abbreviations:</w:t>
      </w:r>
    </w:p>
    <w:p w14:paraId="65F78247" w14:textId="028365B1" w:rsidR="00236DC9" w:rsidRPr="000B500F" w:rsidRDefault="004234F3" w:rsidP="000B500F">
      <w:pPr>
        <w:tabs>
          <w:tab w:val="left" w:pos="7034"/>
        </w:tabs>
        <w:rPr>
          <w:bCs/>
        </w:rPr>
      </w:pPr>
      <w:r>
        <w:rPr>
          <w:bCs/>
        </w:rPr>
        <w:t xml:space="preserve">AOSD, adult-onset Still’s disease; </w:t>
      </w:r>
      <w:r w:rsidR="00B14085">
        <w:rPr>
          <w:bCs/>
        </w:rPr>
        <w:t xml:space="preserve">CRP, C-reactive protein; </w:t>
      </w:r>
      <w:r w:rsidR="00CD26AC">
        <w:rPr>
          <w:bCs/>
        </w:rPr>
        <w:t xml:space="preserve">LDH, lactate dehydrogenase; </w:t>
      </w:r>
      <w:r>
        <w:rPr>
          <w:bCs/>
        </w:rPr>
        <w:t xml:space="preserve">MAS, macrophage activation syndrome; </w:t>
      </w:r>
      <w:proofErr w:type="spellStart"/>
      <w:r>
        <w:rPr>
          <w:bCs/>
        </w:rPr>
        <w:t>sJIA</w:t>
      </w:r>
      <w:proofErr w:type="spellEnd"/>
      <w:r>
        <w:rPr>
          <w:bCs/>
        </w:rPr>
        <w:t>, systemic juvenile idiopathic arthritis</w:t>
      </w:r>
      <w:r w:rsidR="00B14085">
        <w:rPr>
          <w:bCs/>
        </w:rPr>
        <w:t>; ULN, upper limit of normal</w:t>
      </w:r>
      <w:r w:rsidR="00236DC9">
        <w:rPr>
          <w:b/>
          <w:bCs/>
        </w:rPr>
        <w:br w:type="page"/>
      </w:r>
    </w:p>
    <w:p w14:paraId="5EE435F0" w14:textId="6CCB9A0E" w:rsidR="007D0ACC" w:rsidRDefault="007D0ACC" w:rsidP="007D0ACC">
      <w:pPr>
        <w:rPr>
          <w:b/>
          <w:bCs/>
        </w:rPr>
      </w:pPr>
      <w:r w:rsidRPr="00ED79D0">
        <w:rPr>
          <w:b/>
          <w:bCs/>
        </w:rPr>
        <w:lastRenderedPageBreak/>
        <w:t>Table S</w:t>
      </w:r>
      <w:r w:rsidR="00236DC9">
        <w:rPr>
          <w:b/>
          <w:bCs/>
        </w:rPr>
        <w:t>6</w:t>
      </w:r>
      <w:r w:rsidRPr="00ED79D0">
        <w:rPr>
          <w:b/>
          <w:bCs/>
        </w:rPr>
        <w:t xml:space="preserve">. </w:t>
      </w:r>
      <w:r w:rsidR="00DB180E">
        <w:rPr>
          <w:b/>
          <w:bCs/>
        </w:rPr>
        <w:t>TEAEs</w:t>
      </w:r>
      <w:r w:rsidR="00ED79D0" w:rsidRPr="00ED79D0">
        <w:rPr>
          <w:b/>
          <w:bCs/>
        </w:rPr>
        <w:t xml:space="preserve"> </w:t>
      </w:r>
      <w:r w:rsidR="00F44177">
        <w:rPr>
          <w:b/>
          <w:bCs/>
        </w:rPr>
        <w:t xml:space="preserve">reported in </w:t>
      </w:r>
      <w:r w:rsidR="00A00C47" w:rsidRPr="00A00C47">
        <w:rPr>
          <w:b/>
          <w:bCs/>
        </w:rPr>
        <w:t>≥</w:t>
      </w:r>
      <w:r w:rsidR="00F44177">
        <w:rPr>
          <w:b/>
          <w:bCs/>
        </w:rPr>
        <w:t xml:space="preserve">2 patients </w:t>
      </w:r>
      <w:r w:rsidR="00ED79D0" w:rsidRPr="00ED79D0">
        <w:rPr>
          <w:b/>
          <w:bCs/>
        </w:rPr>
        <w:t xml:space="preserve">during the </w:t>
      </w:r>
      <w:r w:rsidR="00FD7C99" w:rsidRPr="00FD7C99">
        <w:rPr>
          <w:b/>
          <w:bCs/>
        </w:rPr>
        <w:t>NI-0501-06</w:t>
      </w:r>
      <w:r w:rsidR="00FD7C99">
        <w:rPr>
          <w:b/>
          <w:bCs/>
        </w:rPr>
        <w:t xml:space="preserve"> </w:t>
      </w:r>
      <w:r w:rsidR="00CD280C">
        <w:rPr>
          <w:b/>
          <w:bCs/>
        </w:rPr>
        <w:t>trial</w:t>
      </w:r>
      <w:r w:rsidR="00ED79D0" w:rsidRPr="00ED79D0">
        <w:rPr>
          <w:b/>
          <w:bCs/>
        </w:rPr>
        <w:t xml:space="preserve"> and </w:t>
      </w:r>
      <w:r w:rsidR="00A00C47">
        <w:rPr>
          <w:b/>
          <w:bCs/>
        </w:rPr>
        <w:t xml:space="preserve">the </w:t>
      </w:r>
      <w:r w:rsidR="00ED79D0" w:rsidRPr="00ED79D0">
        <w:rPr>
          <w:b/>
          <w:bCs/>
        </w:rPr>
        <w:t>long-term follow-up</w:t>
      </w:r>
      <w:r>
        <w:rPr>
          <w:b/>
          <w:bCs/>
        </w:rPr>
        <w:t xml:space="preserve"> </w:t>
      </w:r>
      <w:r w:rsidR="00A00C47">
        <w:rPr>
          <w:b/>
          <w:bCs/>
        </w:rPr>
        <w:t>study</w:t>
      </w:r>
    </w:p>
    <w:tbl>
      <w:tblPr>
        <w:tblStyle w:val="Grigliatabella"/>
        <w:tblW w:w="0" w:type="auto"/>
        <w:tblInd w:w="142" w:type="dxa"/>
        <w:tblLayout w:type="fixed"/>
        <w:tblLook w:val="04A0" w:firstRow="1" w:lastRow="0" w:firstColumn="1" w:lastColumn="0" w:noHBand="0" w:noVBand="1"/>
      </w:tblPr>
      <w:tblGrid>
        <w:gridCol w:w="2830"/>
        <w:gridCol w:w="1418"/>
        <w:gridCol w:w="2126"/>
        <w:gridCol w:w="2268"/>
      </w:tblGrid>
      <w:tr w:rsidR="000D2B55" w:rsidRPr="00761F0D" w14:paraId="54C54D1E" w14:textId="77777777" w:rsidTr="00326CDF">
        <w:tc>
          <w:tcPr>
            <w:tcW w:w="2830" w:type="dxa"/>
            <w:shd w:val="clear" w:color="auto" w:fill="auto"/>
          </w:tcPr>
          <w:p w14:paraId="73F61997" w14:textId="77777777" w:rsidR="000D2B55" w:rsidRPr="002258BB" w:rsidRDefault="000D2B55" w:rsidP="00CB0FAF">
            <w:pPr>
              <w:keepNext/>
              <w:keepLines/>
              <w:spacing w:before="60" w:after="60" w:line="276" w:lineRule="auto"/>
              <w:outlineLvl w:val="6"/>
              <w:rPr>
                <w:rFonts w:cstheme="minorHAnsi"/>
                <w:b/>
                <w:sz w:val="20"/>
                <w:szCs w:val="20"/>
              </w:rPr>
            </w:pPr>
            <w:r w:rsidRPr="002258BB">
              <w:rPr>
                <w:rFonts w:cstheme="minorHAnsi"/>
                <w:b/>
                <w:sz w:val="20"/>
                <w:szCs w:val="20"/>
              </w:rPr>
              <w:t>Event category</w:t>
            </w:r>
          </w:p>
        </w:tc>
        <w:tc>
          <w:tcPr>
            <w:tcW w:w="1418" w:type="dxa"/>
            <w:shd w:val="clear" w:color="auto" w:fill="auto"/>
          </w:tcPr>
          <w:p w14:paraId="4340BB27" w14:textId="77777777" w:rsidR="000D2B55" w:rsidRPr="002258BB" w:rsidRDefault="000D2B55" w:rsidP="00FC0327">
            <w:pPr>
              <w:keepNext/>
              <w:keepLines/>
              <w:tabs>
                <w:tab w:val="left" w:pos="270"/>
                <w:tab w:val="left" w:pos="547"/>
              </w:tabs>
              <w:spacing w:before="60" w:after="60"/>
              <w:jc w:val="center"/>
              <w:outlineLvl w:val="6"/>
              <w:rPr>
                <w:rFonts w:cstheme="minorHAnsi"/>
                <w:b/>
                <w:sz w:val="20"/>
                <w:szCs w:val="20"/>
              </w:rPr>
            </w:pPr>
            <w:r w:rsidRPr="002258BB">
              <w:rPr>
                <w:rFonts w:cstheme="minorHAnsi"/>
                <w:b/>
                <w:sz w:val="20"/>
                <w:szCs w:val="20"/>
              </w:rPr>
              <w:t xml:space="preserve">NI-0501-06 study </w:t>
            </w:r>
          </w:p>
          <w:p w14:paraId="2558A667" w14:textId="77777777" w:rsidR="000D2B55" w:rsidRPr="002258BB" w:rsidRDefault="000D2B55" w:rsidP="00CB0FAF">
            <w:pPr>
              <w:keepNext/>
              <w:keepLines/>
              <w:tabs>
                <w:tab w:val="left" w:pos="270"/>
                <w:tab w:val="left" w:pos="547"/>
              </w:tabs>
              <w:spacing w:before="60" w:after="60" w:line="276" w:lineRule="auto"/>
              <w:jc w:val="center"/>
              <w:outlineLvl w:val="6"/>
              <w:rPr>
                <w:rFonts w:cstheme="minorHAnsi"/>
                <w:b/>
                <w:sz w:val="20"/>
                <w:szCs w:val="20"/>
              </w:rPr>
            </w:pPr>
            <w:r w:rsidRPr="002258BB">
              <w:rPr>
                <w:rFonts w:cstheme="minorHAnsi"/>
                <w:b/>
                <w:sz w:val="20"/>
                <w:szCs w:val="20"/>
              </w:rPr>
              <w:t>(up to week 8)</w:t>
            </w:r>
          </w:p>
          <w:p w14:paraId="54F49216" w14:textId="77777777" w:rsidR="000D2B55" w:rsidRPr="002258BB" w:rsidRDefault="000D2B55" w:rsidP="00CB0FAF">
            <w:pPr>
              <w:keepNext/>
              <w:keepLines/>
              <w:tabs>
                <w:tab w:val="left" w:pos="270"/>
                <w:tab w:val="left" w:pos="547"/>
              </w:tabs>
              <w:spacing w:before="60" w:after="60" w:line="276" w:lineRule="auto"/>
              <w:jc w:val="center"/>
              <w:outlineLvl w:val="6"/>
              <w:rPr>
                <w:rFonts w:eastAsiaTheme="majorEastAsia" w:cstheme="minorHAnsi"/>
                <w:iCs/>
                <w:sz w:val="20"/>
                <w:szCs w:val="20"/>
              </w:rPr>
            </w:pPr>
            <w:r w:rsidRPr="002258BB">
              <w:rPr>
                <w:rFonts w:eastAsiaTheme="majorEastAsia" w:cstheme="minorHAnsi"/>
                <w:iCs/>
                <w:sz w:val="20"/>
                <w:szCs w:val="20"/>
              </w:rPr>
              <w:t xml:space="preserve"> (N=14)</w:t>
            </w:r>
          </w:p>
        </w:tc>
        <w:tc>
          <w:tcPr>
            <w:tcW w:w="4394" w:type="dxa"/>
            <w:gridSpan w:val="2"/>
            <w:shd w:val="clear" w:color="auto" w:fill="auto"/>
          </w:tcPr>
          <w:p w14:paraId="45953992" w14:textId="701B9B15" w:rsidR="000D2B55" w:rsidRPr="002258BB" w:rsidRDefault="000D2B55" w:rsidP="00CB0FAF">
            <w:pPr>
              <w:keepNext/>
              <w:keepLines/>
              <w:tabs>
                <w:tab w:val="left" w:pos="270"/>
                <w:tab w:val="left" w:pos="547"/>
              </w:tabs>
              <w:spacing w:before="60" w:after="60" w:line="276" w:lineRule="auto"/>
              <w:jc w:val="center"/>
              <w:outlineLvl w:val="6"/>
              <w:rPr>
                <w:rFonts w:eastAsiaTheme="majorEastAsia" w:cstheme="minorHAnsi"/>
                <w:b/>
                <w:iCs/>
                <w:sz w:val="20"/>
                <w:szCs w:val="20"/>
              </w:rPr>
            </w:pPr>
            <w:r w:rsidRPr="002258BB">
              <w:rPr>
                <w:rFonts w:eastAsiaTheme="majorEastAsia" w:cstheme="minorHAnsi"/>
                <w:b/>
                <w:iCs/>
                <w:sz w:val="20"/>
                <w:szCs w:val="20"/>
              </w:rPr>
              <w:t>Long-term follow-up</w:t>
            </w:r>
          </w:p>
          <w:p w14:paraId="08CE7F3E" w14:textId="7E23EEE8" w:rsidR="000D2B55" w:rsidRPr="002258BB" w:rsidRDefault="000D2B55" w:rsidP="00CB0FAF">
            <w:pPr>
              <w:keepNext/>
              <w:keepLines/>
              <w:tabs>
                <w:tab w:val="left" w:pos="270"/>
                <w:tab w:val="left" w:pos="547"/>
              </w:tabs>
              <w:spacing w:before="60" w:after="60" w:line="276" w:lineRule="auto"/>
              <w:jc w:val="center"/>
              <w:outlineLvl w:val="6"/>
              <w:rPr>
                <w:rFonts w:eastAsiaTheme="majorEastAsia" w:cstheme="minorHAnsi"/>
                <w:b/>
                <w:iCs/>
                <w:sz w:val="20"/>
                <w:szCs w:val="20"/>
              </w:rPr>
            </w:pPr>
            <w:r w:rsidRPr="002258BB">
              <w:rPr>
                <w:rFonts w:eastAsiaTheme="majorEastAsia" w:cstheme="minorHAnsi"/>
                <w:b/>
                <w:iCs/>
                <w:sz w:val="20"/>
                <w:szCs w:val="20"/>
              </w:rPr>
              <w:t xml:space="preserve">(up to week </w:t>
            </w:r>
            <w:proofErr w:type="gramStart"/>
            <w:r w:rsidRPr="002258BB">
              <w:rPr>
                <w:rFonts w:eastAsiaTheme="majorEastAsia" w:cstheme="minorHAnsi"/>
                <w:b/>
                <w:iCs/>
                <w:sz w:val="20"/>
                <w:szCs w:val="20"/>
              </w:rPr>
              <w:t>52)</w:t>
            </w:r>
            <w:r w:rsidR="003021B6">
              <w:rPr>
                <w:rFonts w:eastAsiaTheme="majorEastAsia" w:cstheme="minorHAnsi"/>
                <w:b/>
                <w:iCs/>
                <w:sz w:val="20"/>
                <w:szCs w:val="20"/>
                <w:vertAlign w:val="superscript"/>
              </w:rPr>
              <w:t>a</w:t>
            </w:r>
            <w:proofErr w:type="gramEnd"/>
          </w:p>
          <w:p w14:paraId="74F421E5" w14:textId="77777777" w:rsidR="000D2B55" w:rsidRPr="002258BB" w:rsidRDefault="000D2B55" w:rsidP="00CB0FAF">
            <w:pPr>
              <w:ind w:right="20"/>
              <w:jc w:val="center"/>
              <w:rPr>
                <w:rFonts w:cstheme="minorHAnsi"/>
                <w:sz w:val="20"/>
                <w:szCs w:val="20"/>
                <w:vertAlign w:val="superscript"/>
                <w:lang w:val="en-GB"/>
              </w:rPr>
            </w:pPr>
            <w:r w:rsidRPr="002258BB">
              <w:rPr>
                <w:rFonts w:eastAsiaTheme="majorEastAsia" w:cstheme="minorHAnsi"/>
                <w:iCs/>
                <w:sz w:val="20"/>
                <w:szCs w:val="20"/>
              </w:rPr>
              <w:t>(N=14)</w:t>
            </w:r>
          </w:p>
        </w:tc>
      </w:tr>
      <w:tr w:rsidR="005B3933" w:rsidRPr="00761F0D" w14:paraId="6A971CFC" w14:textId="77777777" w:rsidTr="00326CDF">
        <w:tc>
          <w:tcPr>
            <w:tcW w:w="8642" w:type="dxa"/>
            <w:gridSpan w:val="4"/>
            <w:shd w:val="clear" w:color="auto" w:fill="auto"/>
            <w:vAlign w:val="center"/>
          </w:tcPr>
          <w:p w14:paraId="006CD795" w14:textId="422852AB" w:rsidR="005B3933" w:rsidRPr="004E3705" w:rsidRDefault="005B3933" w:rsidP="005B3933">
            <w:pPr>
              <w:keepNext/>
              <w:keepLines/>
              <w:spacing w:before="60" w:after="60" w:line="276" w:lineRule="auto"/>
              <w:outlineLvl w:val="6"/>
              <w:rPr>
                <w:rFonts w:eastAsiaTheme="majorEastAsia" w:cstheme="minorHAnsi"/>
                <w:iCs/>
                <w:sz w:val="20"/>
                <w:szCs w:val="20"/>
                <w:highlight w:val="lightGray"/>
              </w:rPr>
            </w:pPr>
            <w:r w:rsidRPr="007F6190">
              <w:rPr>
                <w:rFonts w:cstheme="minorHAnsi"/>
                <w:b/>
                <w:bCs/>
                <w:sz w:val="20"/>
                <w:szCs w:val="20"/>
              </w:rPr>
              <w:t>TEAEs reported in ≥2 patients</w:t>
            </w:r>
          </w:p>
        </w:tc>
      </w:tr>
      <w:tr w:rsidR="00E4317C" w:rsidRPr="00761F0D" w14:paraId="03A06816" w14:textId="77777777" w:rsidTr="00D06D56">
        <w:tc>
          <w:tcPr>
            <w:tcW w:w="2830" w:type="dxa"/>
            <w:vAlign w:val="center"/>
          </w:tcPr>
          <w:p w14:paraId="0457EE26" w14:textId="77777777" w:rsidR="00E4317C" w:rsidRDefault="00E4317C" w:rsidP="004277DE">
            <w:pPr>
              <w:keepNext/>
              <w:keepLines/>
              <w:spacing w:line="276" w:lineRule="auto"/>
              <w:ind w:left="284"/>
              <w:outlineLvl w:val="6"/>
              <w:rPr>
                <w:rFonts w:eastAsiaTheme="majorEastAsia" w:cstheme="minorHAnsi"/>
                <w:iCs/>
                <w:sz w:val="20"/>
                <w:szCs w:val="20"/>
              </w:rPr>
            </w:pPr>
          </w:p>
        </w:tc>
        <w:tc>
          <w:tcPr>
            <w:tcW w:w="1418" w:type="dxa"/>
          </w:tcPr>
          <w:p w14:paraId="3C57D656" w14:textId="77777777" w:rsidR="00E4317C" w:rsidRDefault="00E4317C" w:rsidP="00D06D56">
            <w:pPr>
              <w:keepNext/>
              <w:keepLines/>
              <w:tabs>
                <w:tab w:val="left" w:pos="270"/>
                <w:tab w:val="left" w:pos="547"/>
              </w:tabs>
              <w:spacing w:before="60" w:after="60" w:line="276" w:lineRule="auto"/>
              <w:outlineLvl w:val="6"/>
              <w:rPr>
                <w:rFonts w:eastAsiaTheme="majorEastAsia" w:cstheme="minorHAnsi"/>
                <w:iCs/>
                <w:sz w:val="20"/>
                <w:szCs w:val="20"/>
              </w:rPr>
            </w:pPr>
          </w:p>
        </w:tc>
        <w:tc>
          <w:tcPr>
            <w:tcW w:w="2126" w:type="dxa"/>
            <w:vAlign w:val="center"/>
          </w:tcPr>
          <w:p w14:paraId="54D0C620" w14:textId="1D43FE55" w:rsidR="00E4317C" w:rsidRPr="00A33B57" w:rsidRDefault="00E4317C" w:rsidP="004A159B">
            <w:pPr>
              <w:keepNext/>
              <w:keepLines/>
              <w:tabs>
                <w:tab w:val="left" w:pos="270"/>
                <w:tab w:val="left" w:pos="547"/>
              </w:tabs>
              <w:spacing w:before="60" w:after="60" w:line="276" w:lineRule="auto"/>
              <w:jc w:val="center"/>
              <w:outlineLvl w:val="6"/>
              <w:rPr>
                <w:rFonts w:eastAsiaTheme="majorEastAsia" w:cstheme="minorHAnsi"/>
                <w:iCs/>
                <w:sz w:val="20"/>
                <w:szCs w:val="20"/>
              </w:rPr>
            </w:pPr>
            <w:r w:rsidRPr="004A159B">
              <w:rPr>
                <w:rFonts w:eastAsiaTheme="majorEastAsia" w:cstheme="minorHAnsi"/>
                <w:iCs/>
                <w:sz w:val="20"/>
                <w:szCs w:val="20"/>
              </w:rPr>
              <w:t xml:space="preserve">Emapalumab levels at or above </w:t>
            </w:r>
            <w:r w:rsidR="00DB180E">
              <w:rPr>
                <w:rFonts w:eastAsiaTheme="majorEastAsia" w:cstheme="minorHAnsi"/>
                <w:iCs/>
                <w:sz w:val="20"/>
                <w:szCs w:val="20"/>
              </w:rPr>
              <w:t>LLO</w:t>
            </w:r>
            <w:r w:rsidR="00B863F9">
              <w:rPr>
                <w:rFonts w:eastAsiaTheme="majorEastAsia" w:cstheme="minorHAnsi"/>
                <w:iCs/>
                <w:sz w:val="20"/>
                <w:szCs w:val="20"/>
              </w:rPr>
              <w:t>Q</w:t>
            </w:r>
          </w:p>
        </w:tc>
        <w:tc>
          <w:tcPr>
            <w:tcW w:w="2268" w:type="dxa"/>
            <w:vAlign w:val="center"/>
          </w:tcPr>
          <w:p w14:paraId="684D96D5" w14:textId="5480C916" w:rsidR="00E4317C" w:rsidRPr="00A33B57" w:rsidRDefault="00E4317C" w:rsidP="005F4996">
            <w:pPr>
              <w:keepNext/>
              <w:keepLines/>
              <w:spacing w:before="60" w:after="60" w:line="276" w:lineRule="auto"/>
              <w:jc w:val="center"/>
              <w:outlineLvl w:val="6"/>
              <w:rPr>
                <w:rFonts w:eastAsiaTheme="majorEastAsia" w:cstheme="minorHAnsi"/>
                <w:iCs/>
                <w:sz w:val="20"/>
                <w:szCs w:val="20"/>
              </w:rPr>
            </w:pPr>
            <w:r w:rsidRPr="004A159B">
              <w:rPr>
                <w:rFonts w:eastAsiaTheme="majorEastAsia" w:cstheme="minorHAnsi"/>
                <w:iCs/>
                <w:sz w:val="20"/>
                <w:szCs w:val="20"/>
              </w:rPr>
              <w:t>Emapalumab levels below</w:t>
            </w:r>
            <w:r w:rsidR="005F4996">
              <w:rPr>
                <w:rFonts w:eastAsiaTheme="majorEastAsia" w:cstheme="minorHAnsi"/>
                <w:iCs/>
                <w:sz w:val="20"/>
                <w:szCs w:val="20"/>
              </w:rPr>
              <w:t xml:space="preserve"> </w:t>
            </w:r>
            <w:r w:rsidR="00DB180E">
              <w:rPr>
                <w:rFonts w:eastAsiaTheme="majorEastAsia" w:cstheme="minorHAnsi"/>
                <w:iCs/>
                <w:sz w:val="20"/>
                <w:szCs w:val="20"/>
              </w:rPr>
              <w:t>LLOQ</w:t>
            </w:r>
          </w:p>
        </w:tc>
      </w:tr>
      <w:tr w:rsidR="007D215E" w:rsidRPr="00761F0D" w14:paraId="7344D564" w14:textId="77777777" w:rsidTr="00AE11AB">
        <w:tc>
          <w:tcPr>
            <w:tcW w:w="2830" w:type="dxa"/>
            <w:vAlign w:val="center"/>
          </w:tcPr>
          <w:p w14:paraId="3B49E3D6" w14:textId="77777777" w:rsidR="007D215E" w:rsidRDefault="007D215E" w:rsidP="004277DE">
            <w:pPr>
              <w:keepNext/>
              <w:keepLines/>
              <w:spacing w:line="276" w:lineRule="auto"/>
              <w:ind w:left="284"/>
              <w:outlineLvl w:val="6"/>
              <w:rPr>
                <w:rFonts w:eastAsiaTheme="majorEastAsia" w:cstheme="minorHAnsi"/>
                <w:iCs/>
                <w:sz w:val="20"/>
                <w:szCs w:val="20"/>
              </w:rPr>
            </w:pPr>
          </w:p>
        </w:tc>
        <w:tc>
          <w:tcPr>
            <w:tcW w:w="1418" w:type="dxa"/>
            <w:vAlign w:val="center"/>
          </w:tcPr>
          <w:p w14:paraId="1CB66A4D" w14:textId="77777777" w:rsidR="007D215E" w:rsidRDefault="007D215E"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p>
        </w:tc>
        <w:tc>
          <w:tcPr>
            <w:tcW w:w="2126" w:type="dxa"/>
            <w:vAlign w:val="center"/>
          </w:tcPr>
          <w:p w14:paraId="1D18D27C" w14:textId="77777777" w:rsidR="007D215E" w:rsidRPr="004A159B" w:rsidRDefault="007D215E" w:rsidP="004A159B">
            <w:pPr>
              <w:keepNext/>
              <w:keepLines/>
              <w:tabs>
                <w:tab w:val="left" w:pos="270"/>
                <w:tab w:val="left" w:pos="547"/>
              </w:tabs>
              <w:spacing w:before="60" w:after="60" w:line="276" w:lineRule="auto"/>
              <w:jc w:val="center"/>
              <w:outlineLvl w:val="6"/>
              <w:rPr>
                <w:rFonts w:eastAsiaTheme="majorEastAsia" w:cstheme="minorHAnsi"/>
                <w:iCs/>
                <w:sz w:val="20"/>
                <w:szCs w:val="20"/>
              </w:rPr>
            </w:pPr>
          </w:p>
        </w:tc>
        <w:tc>
          <w:tcPr>
            <w:tcW w:w="2268" w:type="dxa"/>
            <w:vAlign w:val="center"/>
          </w:tcPr>
          <w:p w14:paraId="5C4F8F99" w14:textId="77777777" w:rsidR="007D215E" w:rsidRPr="004A159B" w:rsidRDefault="007D215E" w:rsidP="005F4996">
            <w:pPr>
              <w:keepNext/>
              <w:keepLines/>
              <w:spacing w:before="60" w:after="60" w:line="276" w:lineRule="auto"/>
              <w:jc w:val="center"/>
              <w:outlineLvl w:val="6"/>
              <w:rPr>
                <w:rFonts w:eastAsiaTheme="majorEastAsia" w:cstheme="minorHAnsi"/>
                <w:iCs/>
                <w:sz w:val="20"/>
                <w:szCs w:val="20"/>
              </w:rPr>
            </w:pPr>
          </w:p>
        </w:tc>
      </w:tr>
      <w:tr w:rsidR="00E4317C" w:rsidRPr="00761F0D" w14:paraId="2F94980D" w14:textId="77777777" w:rsidTr="00AE11AB">
        <w:tc>
          <w:tcPr>
            <w:tcW w:w="2830" w:type="dxa"/>
            <w:vAlign w:val="center"/>
          </w:tcPr>
          <w:p w14:paraId="12CC972D" w14:textId="265C6D06" w:rsidR="00E4317C" w:rsidRDefault="00E4317C" w:rsidP="00AE11AB">
            <w:pPr>
              <w:keepNext/>
              <w:keepLines/>
              <w:spacing w:line="276" w:lineRule="auto"/>
              <w:outlineLvl w:val="6"/>
              <w:rPr>
                <w:rFonts w:eastAsiaTheme="majorEastAsia" w:cstheme="minorHAnsi"/>
                <w:iCs/>
                <w:sz w:val="20"/>
                <w:szCs w:val="20"/>
              </w:rPr>
            </w:pPr>
            <w:r>
              <w:rPr>
                <w:rFonts w:eastAsiaTheme="majorEastAsia" w:cstheme="minorHAnsi"/>
                <w:iCs/>
                <w:sz w:val="20"/>
                <w:szCs w:val="20"/>
              </w:rPr>
              <w:t>No. of events</w:t>
            </w:r>
          </w:p>
        </w:tc>
        <w:tc>
          <w:tcPr>
            <w:tcW w:w="1418" w:type="dxa"/>
            <w:vAlign w:val="center"/>
          </w:tcPr>
          <w:p w14:paraId="4DD05BF5" w14:textId="316DCD6B" w:rsidR="00E4317C"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23</w:t>
            </w:r>
          </w:p>
        </w:tc>
        <w:tc>
          <w:tcPr>
            <w:tcW w:w="2126" w:type="dxa"/>
            <w:vAlign w:val="center"/>
          </w:tcPr>
          <w:p w14:paraId="7D15DC7E" w14:textId="0B208E54" w:rsidR="00E4317C" w:rsidRPr="00A33B57" w:rsidRDefault="00E04D6D"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9</w:t>
            </w:r>
          </w:p>
        </w:tc>
        <w:tc>
          <w:tcPr>
            <w:tcW w:w="2268" w:type="dxa"/>
            <w:vAlign w:val="center"/>
          </w:tcPr>
          <w:p w14:paraId="4AB8D372" w14:textId="6ADA6DBD" w:rsidR="00E4317C" w:rsidRPr="00A33B57" w:rsidRDefault="00E04D6D" w:rsidP="004277DE">
            <w:pPr>
              <w:keepNext/>
              <w:keepLine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5</w:t>
            </w:r>
          </w:p>
        </w:tc>
      </w:tr>
      <w:tr w:rsidR="00E4317C" w:rsidRPr="00761F0D" w14:paraId="7987A1EF" w14:textId="77777777" w:rsidTr="00AE11AB">
        <w:tc>
          <w:tcPr>
            <w:tcW w:w="2830" w:type="dxa"/>
            <w:vAlign w:val="center"/>
          </w:tcPr>
          <w:p w14:paraId="50863811" w14:textId="77777777" w:rsidR="00E4317C" w:rsidRPr="002258BB" w:rsidRDefault="00E4317C" w:rsidP="004277DE">
            <w:pPr>
              <w:keepNext/>
              <w:keepLines/>
              <w:spacing w:line="276" w:lineRule="auto"/>
              <w:ind w:left="284"/>
              <w:outlineLvl w:val="6"/>
              <w:rPr>
                <w:rFonts w:eastAsiaTheme="majorEastAsia" w:cstheme="minorHAnsi"/>
                <w:iCs/>
                <w:sz w:val="20"/>
                <w:szCs w:val="20"/>
              </w:rPr>
            </w:pPr>
            <w:r>
              <w:rPr>
                <w:rFonts w:eastAsiaTheme="majorEastAsia" w:cstheme="minorHAnsi"/>
                <w:iCs/>
                <w:sz w:val="20"/>
                <w:szCs w:val="20"/>
              </w:rPr>
              <w:t>Rash</w:t>
            </w:r>
          </w:p>
        </w:tc>
        <w:tc>
          <w:tcPr>
            <w:tcW w:w="1418" w:type="dxa"/>
            <w:vAlign w:val="center"/>
          </w:tcPr>
          <w:p w14:paraId="6BB08248" w14:textId="0FCD8FB3" w:rsidR="00E4317C" w:rsidRPr="002258BB"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4</w:t>
            </w:r>
          </w:p>
        </w:tc>
        <w:tc>
          <w:tcPr>
            <w:tcW w:w="2126" w:type="dxa"/>
            <w:vAlign w:val="center"/>
          </w:tcPr>
          <w:p w14:paraId="542F9258" w14:textId="56FCD922" w:rsidR="00E4317C" w:rsidRPr="002258BB"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sidRPr="00A33B57">
              <w:rPr>
                <w:rFonts w:eastAsiaTheme="majorEastAsia" w:cstheme="minorHAnsi"/>
                <w:iCs/>
                <w:sz w:val="20"/>
                <w:szCs w:val="20"/>
              </w:rPr>
              <w:t>–</w:t>
            </w:r>
          </w:p>
        </w:tc>
        <w:tc>
          <w:tcPr>
            <w:tcW w:w="2268" w:type="dxa"/>
            <w:vAlign w:val="center"/>
          </w:tcPr>
          <w:p w14:paraId="400E23FE" w14:textId="4F67378C" w:rsidR="00E4317C" w:rsidRPr="002258BB" w:rsidRDefault="00E4317C" w:rsidP="004277DE">
            <w:pPr>
              <w:keepNext/>
              <w:keepLines/>
              <w:spacing w:before="60" w:after="60" w:line="276" w:lineRule="auto"/>
              <w:jc w:val="center"/>
              <w:outlineLvl w:val="6"/>
              <w:rPr>
                <w:rFonts w:eastAsiaTheme="majorEastAsia" w:cstheme="minorHAnsi"/>
                <w:iCs/>
                <w:sz w:val="20"/>
                <w:szCs w:val="20"/>
              </w:rPr>
            </w:pPr>
            <w:r w:rsidRPr="00A33B57">
              <w:rPr>
                <w:rFonts w:eastAsiaTheme="majorEastAsia" w:cstheme="minorHAnsi"/>
                <w:iCs/>
                <w:sz w:val="20"/>
                <w:szCs w:val="20"/>
              </w:rPr>
              <w:t>–</w:t>
            </w:r>
          </w:p>
        </w:tc>
      </w:tr>
      <w:tr w:rsidR="00E4317C" w:rsidRPr="00761F0D" w14:paraId="78A49919" w14:textId="77777777" w:rsidTr="00AE11AB">
        <w:tc>
          <w:tcPr>
            <w:tcW w:w="2830" w:type="dxa"/>
            <w:vAlign w:val="center"/>
          </w:tcPr>
          <w:p w14:paraId="635C45C8" w14:textId="6BAF3266" w:rsidR="00E4317C" w:rsidRPr="002258BB" w:rsidRDefault="00FD741D" w:rsidP="004277DE">
            <w:pPr>
              <w:keepNext/>
              <w:keepLines/>
              <w:spacing w:line="276" w:lineRule="auto"/>
              <w:ind w:left="284"/>
              <w:outlineLvl w:val="6"/>
              <w:rPr>
                <w:rFonts w:eastAsiaTheme="majorEastAsia" w:cstheme="minorHAnsi"/>
                <w:iCs/>
                <w:sz w:val="20"/>
                <w:szCs w:val="20"/>
              </w:rPr>
            </w:pPr>
            <w:r>
              <w:rPr>
                <w:rFonts w:eastAsiaTheme="majorEastAsia" w:cstheme="minorHAnsi"/>
                <w:iCs/>
                <w:sz w:val="20"/>
                <w:szCs w:val="20"/>
              </w:rPr>
              <w:t xml:space="preserve">CMV </w:t>
            </w:r>
            <w:r w:rsidR="00E4317C">
              <w:rPr>
                <w:rFonts w:eastAsiaTheme="majorEastAsia" w:cstheme="minorHAnsi"/>
                <w:iCs/>
                <w:sz w:val="20"/>
                <w:szCs w:val="20"/>
              </w:rPr>
              <w:t>infection reactivation</w:t>
            </w:r>
          </w:p>
        </w:tc>
        <w:tc>
          <w:tcPr>
            <w:tcW w:w="1418" w:type="dxa"/>
            <w:vAlign w:val="center"/>
          </w:tcPr>
          <w:p w14:paraId="360751D1" w14:textId="4AF7AB7C" w:rsidR="00E4317C" w:rsidRPr="002258BB"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3</w:t>
            </w:r>
          </w:p>
        </w:tc>
        <w:tc>
          <w:tcPr>
            <w:tcW w:w="2126" w:type="dxa"/>
            <w:vAlign w:val="center"/>
          </w:tcPr>
          <w:p w14:paraId="76E35B44" w14:textId="3D22CAA3" w:rsidR="00E4317C" w:rsidRPr="002258BB"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sidRPr="00A33B57">
              <w:rPr>
                <w:rFonts w:eastAsiaTheme="majorEastAsia" w:cstheme="minorHAnsi"/>
                <w:iCs/>
                <w:sz w:val="20"/>
                <w:szCs w:val="20"/>
              </w:rPr>
              <w:t>–</w:t>
            </w:r>
          </w:p>
        </w:tc>
        <w:tc>
          <w:tcPr>
            <w:tcW w:w="2268" w:type="dxa"/>
            <w:vAlign w:val="center"/>
          </w:tcPr>
          <w:p w14:paraId="0B312D54" w14:textId="45CAC8F4" w:rsidR="00E4317C" w:rsidRPr="002258BB" w:rsidRDefault="00E4317C" w:rsidP="004277DE">
            <w:pPr>
              <w:keepNext/>
              <w:keepLines/>
              <w:spacing w:before="60" w:after="60" w:line="276" w:lineRule="auto"/>
              <w:jc w:val="center"/>
              <w:outlineLvl w:val="6"/>
              <w:rPr>
                <w:rFonts w:eastAsiaTheme="majorEastAsia" w:cstheme="minorHAnsi"/>
                <w:iCs/>
                <w:sz w:val="20"/>
                <w:szCs w:val="20"/>
              </w:rPr>
            </w:pPr>
            <w:r w:rsidRPr="00A33B57">
              <w:rPr>
                <w:rFonts w:eastAsiaTheme="majorEastAsia" w:cstheme="minorHAnsi"/>
                <w:iCs/>
                <w:sz w:val="20"/>
                <w:szCs w:val="20"/>
              </w:rPr>
              <w:t>–</w:t>
            </w:r>
          </w:p>
        </w:tc>
      </w:tr>
      <w:tr w:rsidR="00E4317C" w:rsidRPr="00761F0D" w14:paraId="6DFB82E8" w14:textId="77777777" w:rsidTr="00AE11AB">
        <w:tc>
          <w:tcPr>
            <w:tcW w:w="2830" w:type="dxa"/>
            <w:vAlign w:val="center"/>
          </w:tcPr>
          <w:p w14:paraId="5D924D04" w14:textId="7B26BB42" w:rsidR="00E4317C" w:rsidRPr="002258BB" w:rsidRDefault="00E4317C" w:rsidP="004277DE">
            <w:pPr>
              <w:keepNext/>
              <w:keepLines/>
              <w:spacing w:line="276" w:lineRule="auto"/>
              <w:ind w:left="284"/>
              <w:outlineLvl w:val="6"/>
              <w:rPr>
                <w:rFonts w:eastAsiaTheme="majorEastAsia" w:cstheme="minorHAnsi"/>
                <w:iCs/>
                <w:sz w:val="20"/>
                <w:szCs w:val="20"/>
              </w:rPr>
            </w:pPr>
            <w:proofErr w:type="spellStart"/>
            <w:r>
              <w:rPr>
                <w:rFonts w:eastAsiaTheme="majorEastAsia" w:cstheme="minorHAnsi"/>
                <w:iCs/>
                <w:sz w:val="20"/>
                <w:szCs w:val="20"/>
              </w:rPr>
              <w:t>Diarrh</w:t>
            </w:r>
            <w:r w:rsidR="00FD741D">
              <w:rPr>
                <w:rFonts w:eastAsiaTheme="majorEastAsia" w:cstheme="minorHAnsi"/>
                <w:iCs/>
                <w:sz w:val="20"/>
                <w:szCs w:val="20"/>
              </w:rPr>
              <w:t>o</w:t>
            </w:r>
            <w:r>
              <w:rPr>
                <w:rFonts w:eastAsiaTheme="majorEastAsia" w:cstheme="minorHAnsi"/>
                <w:iCs/>
                <w:sz w:val="20"/>
                <w:szCs w:val="20"/>
              </w:rPr>
              <w:t>ea</w:t>
            </w:r>
            <w:proofErr w:type="spellEnd"/>
          </w:p>
        </w:tc>
        <w:tc>
          <w:tcPr>
            <w:tcW w:w="1418" w:type="dxa"/>
            <w:vAlign w:val="center"/>
          </w:tcPr>
          <w:p w14:paraId="544B1401" w14:textId="29C6E8DC" w:rsidR="00E4317C" w:rsidRPr="002258BB"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4</w:t>
            </w:r>
          </w:p>
        </w:tc>
        <w:tc>
          <w:tcPr>
            <w:tcW w:w="2126" w:type="dxa"/>
            <w:vAlign w:val="center"/>
          </w:tcPr>
          <w:p w14:paraId="5CC13F89" w14:textId="7AC4AE85" w:rsidR="00E4317C" w:rsidRPr="002258BB"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sidRPr="00A33B57">
              <w:rPr>
                <w:rFonts w:eastAsiaTheme="majorEastAsia" w:cstheme="minorHAnsi"/>
                <w:iCs/>
                <w:sz w:val="20"/>
                <w:szCs w:val="20"/>
              </w:rPr>
              <w:t>–</w:t>
            </w:r>
          </w:p>
        </w:tc>
        <w:tc>
          <w:tcPr>
            <w:tcW w:w="2268" w:type="dxa"/>
            <w:vAlign w:val="center"/>
          </w:tcPr>
          <w:p w14:paraId="7CAF5923" w14:textId="0F8C2357" w:rsidR="00E4317C" w:rsidRPr="002258BB" w:rsidRDefault="00E4317C" w:rsidP="004277DE">
            <w:pPr>
              <w:keepNext/>
              <w:keepLines/>
              <w:spacing w:before="60" w:after="60" w:line="276" w:lineRule="auto"/>
              <w:jc w:val="center"/>
              <w:outlineLvl w:val="6"/>
              <w:rPr>
                <w:rFonts w:eastAsiaTheme="majorEastAsia" w:cstheme="minorHAnsi"/>
                <w:iCs/>
                <w:sz w:val="20"/>
                <w:szCs w:val="20"/>
              </w:rPr>
            </w:pPr>
            <w:r w:rsidRPr="00A33B57">
              <w:rPr>
                <w:rFonts w:eastAsiaTheme="majorEastAsia" w:cstheme="minorHAnsi"/>
                <w:iCs/>
                <w:sz w:val="20"/>
                <w:szCs w:val="20"/>
              </w:rPr>
              <w:t>–</w:t>
            </w:r>
          </w:p>
        </w:tc>
      </w:tr>
      <w:tr w:rsidR="00E4317C" w:rsidRPr="00761F0D" w14:paraId="753D7600" w14:textId="77777777" w:rsidTr="00AE11AB">
        <w:tc>
          <w:tcPr>
            <w:tcW w:w="2830" w:type="dxa"/>
            <w:vAlign w:val="center"/>
          </w:tcPr>
          <w:p w14:paraId="64D9ED66" w14:textId="3D366108" w:rsidR="00E4317C" w:rsidRPr="002258BB" w:rsidRDefault="00E4317C" w:rsidP="004277DE">
            <w:pPr>
              <w:keepNext/>
              <w:keepLines/>
              <w:spacing w:line="276" w:lineRule="auto"/>
              <w:ind w:left="284"/>
              <w:outlineLvl w:val="6"/>
              <w:rPr>
                <w:rFonts w:eastAsiaTheme="majorEastAsia" w:cstheme="minorHAnsi"/>
                <w:iCs/>
                <w:sz w:val="20"/>
                <w:szCs w:val="20"/>
              </w:rPr>
            </w:pPr>
            <w:proofErr w:type="spellStart"/>
            <w:r>
              <w:rPr>
                <w:rFonts w:eastAsiaTheme="majorEastAsia" w:cstheme="minorHAnsi"/>
                <w:iCs/>
                <w:sz w:val="20"/>
                <w:szCs w:val="20"/>
              </w:rPr>
              <w:t>Hyperglyc</w:t>
            </w:r>
            <w:r w:rsidR="00FD741D">
              <w:rPr>
                <w:rFonts w:eastAsiaTheme="majorEastAsia" w:cstheme="minorHAnsi"/>
                <w:iCs/>
                <w:sz w:val="20"/>
                <w:szCs w:val="20"/>
              </w:rPr>
              <w:t>a</w:t>
            </w:r>
            <w:r>
              <w:rPr>
                <w:rFonts w:eastAsiaTheme="majorEastAsia" w:cstheme="minorHAnsi"/>
                <w:iCs/>
                <w:sz w:val="20"/>
                <w:szCs w:val="20"/>
              </w:rPr>
              <w:t>emia</w:t>
            </w:r>
            <w:proofErr w:type="spellEnd"/>
          </w:p>
        </w:tc>
        <w:tc>
          <w:tcPr>
            <w:tcW w:w="1418" w:type="dxa"/>
            <w:vAlign w:val="center"/>
          </w:tcPr>
          <w:p w14:paraId="79A23AC1" w14:textId="71A0E6FD" w:rsidR="00E4317C" w:rsidRPr="002258BB"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3</w:t>
            </w:r>
          </w:p>
        </w:tc>
        <w:tc>
          <w:tcPr>
            <w:tcW w:w="2126" w:type="dxa"/>
            <w:vAlign w:val="center"/>
          </w:tcPr>
          <w:p w14:paraId="09AF7909" w14:textId="66682651" w:rsidR="00E4317C" w:rsidRPr="002258BB"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sidRPr="00A33B57">
              <w:rPr>
                <w:rFonts w:eastAsiaTheme="majorEastAsia" w:cstheme="minorHAnsi"/>
                <w:iCs/>
                <w:sz w:val="20"/>
                <w:szCs w:val="20"/>
              </w:rPr>
              <w:t>–</w:t>
            </w:r>
          </w:p>
        </w:tc>
        <w:tc>
          <w:tcPr>
            <w:tcW w:w="2268" w:type="dxa"/>
            <w:vAlign w:val="center"/>
          </w:tcPr>
          <w:p w14:paraId="2BC30FAF" w14:textId="0E348D43" w:rsidR="00E4317C" w:rsidRPr="002258BB" w:rsidRDefault="00E4317C" w:rsidP="004277DE">
            <w:pPr>
              <w:keepNext/>
              <w:keepLines/>
              <w:spacing w:before="60" w:after="60" w:line="276" w:lineRule="auto"/>
              <w:jc w:val="center"/>
              <w:outlineLvl w:val="6"/>
              <w:rPr>
                <w:rFonts w:eastAsiaTheme="majorEastAsia" w:cstheme="minorHAnsi"/>
                <w:iCs/>
                <w:sz w:val="20"/>
                <w:szCs w:val="20"/>
              </w:rPr>
            </w:pPr>
            <w:r w:rsidRPr="00A33B57">
              <w:rPr>
                <w:rFonts w:eastAsiaTheme="majorEastAsia" w:cstheme="minorHAnsi"/>
                <w:iCs/>
                <w:sz w:val="20"/>
                <w:szCs w:val="20"/>
              </w:rPr>
              <w:t>–</w:t>
            </w:r>
          </w:p>
        </w:tc>
      </w:tr>
      <w:tr w:rsidR="00E4317C" w:rsidRPr="00761F0D" w14:paraId="6FE450D4" w14:textId="77777777" w:rsidTr="00AE11AB">
        <w:tc>
          <w:tcPr>
            <w:tcW w:w="2830" w:type="dxa"/>
            <w:vAlign w:val="center"/>
          </w:tcPr>
          <w:p w14:paraId="51E4DE80" w14:textId="77777777" w:rsidR="00E4317C" w:rsidRPr="002258BB" w:rsidRDefault="00E4317C" w:rsidP="004277DE">
            <w:pPr>
              <w:keepNext/>
              <w:keepLines/>
              <w:spacing w:line="276" w:lineRule="auto"/>
              <w:ind w:left="284"/>
              <w:outlineLvl w:val="6"/>
              <w:rPr>
                <w:rFonts w:eastAsiaTheme="majorEastAsia" w:cstheme="minorHAnsi"/>
                <w:iCs/>
                <w:sz w:val="20"/>
                <w:szCs w:val="20"/>
              </w:rPr>
            </w:pPr>
            <w:r>
              <w:rPr>
                <w:rFonts w:eastAsiaTheme="majorEastAsia" w:cstheme="minorHAnsi"/>
                <w:iCs/>
                <w:sz w:val="20"/>
                <w:szCs w:val="20"/>
              </w:rPr>
              <w:t>Hypertension</w:t>
            </w:r>
          </w:p>
        </w:tc>
        <w:tc>
          <w:tcPr>
            <w:tcW w:w="1418" w:type="dxa"/>
            <w:vAlign w:val="center"/>
          </w:tcPr>
          <w:p w14:paraId="51C781DE" w14:textId="44CA593E" w:rsidR="00E4317C" w:rsidRPr="002258BB"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3</w:t>
            </w:r>
          </w:p>
        </w:tc>
        <w:tc>
          <w:tcPr>
            <w:tcW w:w="2126" w:type="dxa"/>
            <w:vAlign w:val="center"/>
          </w:tcPr>
          <w:p w14:paraId="207BEF23" w14:textId="4492D0F6" w:rsidR="00E4317C" w:rsidRPr="002258BB"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sidRPr="00A33B57">
              <w:rPr>
                <w:rFonts w:eastAsiaTheme="majorEastAsia" w:cstheme="minorHAnsi"/>
                <w:iCs/>
                <w:sz w:val="20"/>
                <w:szCs w:val="20"/>
              </w:rPr>
              <w:t>–</w:t>
            </w:r>
          </w:p>
        </w:tc>
        <w:tc>
          <w:tcPr>
            <w:tcW w:w="2268" w:type="dxa"/>
            <w:vAlign w:val="center"/>
          </w:tcPr>
          <w:p w14:paraId="4D91DD51" w14:textId="111BEFDA" w:rsidR="00E4317C" w:rsidRPr="002258BB" w:rsidRDefault="00E4317C" w:rsidP="004277DE">
            <w:pPr>
              <w:keepNext/>
              <w:keepLines/>
              <w:spacing w:before="60" w:after="60" w:line="276" w:lineRule="auto"/>
              <w:jc w:val="center"/>
              <w:outlineLvl w:val="6"/>
              <w:rPr>
                <w:rFonts w:eastAsiaTheme="majorEastAsia" w:cstheme="minorHAnsi"/>
                <w:iCs/>
                <w:sz w:val="20"/>
                <w:szCs w:val="20"/>
              </w:rPr>
            </w:pPr>
            <w:r w:rsidRPr="00A33B57">
              <w:rPr>
                <w:rFonts w:eastAsiaTheme="majorEastAsia" w:cstheme="minorHAnsi"/>
                <w:iCs/>
                <w:sz w:val="20"/>
                <w:szCs w:val="20"/>
              </w:rPr>
              <w:t>–</w:t>
            </w:r>
          </w:p>
        </w:tc>
      </w:tr>
      <w:tr w:rsidR="00E4317C" w:rsidRPr="00761F0D" w14:paraId="275A5B51" w14:textId="77777777" w:rsidTr="00AE11AB">
        <w:tc>
          <w:tcPr>
            <w:tcW w:w="2830" w:type="dxa"/>
            <w:vAlign w:val="center"/>
          </w:tcPr>
          <w:p w14:paraId="288CCA78" w14:textId="5D922C8A" w:rsidR="00E4317C" w:rsidRDefault="00E4317C" w:rsidP="000D2B55">
            <w:pPr>
              <w:keepNext/>
              <w:keepLines/>
              <w:spacing w:line="276" w:lineRule="auto"/>
              <w:ind w:left="284"/>
              <w:outlineLvl w:val="6"/>
              <w:rPr>
                <w:rFonts w:eastAsiaTheme="majorEastAsia" w:cstheme="minorHAnsi"/>
                <w:iCs/>
                <w:sz w:val="20"/>
                <w:szCs w:val="20"/>
              </w:rPr>
            </w:pPr>
            <w:r>
              <w:rPr>
                <w:rFonts w:eastAsiaTheme="majorEastAsia" w:cstheme="minorHAnsi"/>
                <w:iCs/>
                <w:sz w:val="20"/>
                <w:szCs w:val="20"/>
              </w:rPr>
              <w:t>Headache</w:t>
            </w:r>
          </w:p>
        </w:tc>
        <w:tc>
          <w:tcPr>
            <w:tcW w:w="1418" w:type="dxa"/>
            <w:vAlign w:val="center"/>
          </w:tcPr>
          <w:p w14:paraId="5CB692EE" w14:textId="3C0C33BB" w:rsidR="00E4317C"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4</w:t>
            </w:r>
          </w:p>
        </w:tc>
        <w:tc>
          <w:tcPr>
            <w:tcW w:w="2126" w:type="dxa"/>
            <w:vAlign w:val="center"/>
          </w:tcPr>
          <w:p w14:paraId="02516067" w14:textId="2CD6EE76" w:rsidR="00E4317C" w:rsidRPr="002258BB"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1</w:t>
            </w:r>
          </w:p>
        </w:tc>
        <w:tc>
          <w:tcPr>
            <w:tcW w:w="2268" w:type="dxa"/>
            <w:vAlign w:val="center"/>
          </w:tcPr>
          <w:p w14:paraId="06EC03CC" w14:textId="7C72839A" w:rsidR="00E4317C" w:rsidRPr="002258BB" w:rsidRDefault="00E4317C" w:rsidP="004277DE">
            <w:pPr>
              <w:keepNext/>
              <w:keepLine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1</w:t>
            </w:r>
          </w:p>
        </w:tc>
      </w:tr>
      <w:tr w:rsidR="00E4317C" w:rsidRPr="00761F0D" w14:paraId="6541218E" w14:textId="77777777" w:rsidTr="00AE11AB">
        <w:tc>
          <w:tcPr>
            <w:tcW w:w="2830" w:type="dxa"/>
            <w:vAlign w:val="center"/>
          </w:tcPr>
          <w:p w14:paraId="11B8241A" w14:textId="151C96B0" w:rsidR="00E4317C" w:rsidRDefault="00E4317C" w:rsidP="004277DE">
            <w:pPr>
              <w:keepNext/>
              <w:keepLines/>
              <w:spacing w:line="276" w:lineRule="auto"/>
              <w:ind w:left="284"/>
              <w:outlineLvl w:val="6"/>
              <w:rPr>
                <w:rFonts w:eastAsiaTheme="majorEastAsia" w:cstheme="minorHAnsi"/>
                <w:iCs/>
                <w:sz w:val="20"/>
                <w:szCs w:val="20"/>
              </w:rPr>
            </w:pPr>
            <w:r>
              <w:rPr>
                <w:rFonts w:eastAsiaTheme="majorEastAsia" w:cstheme="minorHAnsi"/>
                <w:iCs/>
                <w:sz w:val="20"/>
                <w:szCs w:val="20"/>
              </w:rPr>
              <w:t>Injection site reaction</w:t>
            </w:r>
          </w:p>
        </w:tc>
        <w:tc>
          <w:tcPr>
            <w:tcW w:w="1418" w:type="dxa"/>
            <w:vAlign w:val="center"/>
          </w:tcPr>
          <w:p w14:paraId="04370F18" w14:textId="71E866AE" w:rsidR="00E4317C"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2</w:t>
            </w:r>
          </w:p>
        </w:tc>
        <w:tc>
          <w:tcPr>
            <w:tcW w:w="2126" w:type="dxa"/>
            <w:vAlign w:val="center"/>
          </w:tcPr>
          <w:p w14:paraId="22C6BF2E" w14:textId="7B4B071B" w:rsidR="00E4317C" w:rsidRPr="002258BB"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sidRPr="0095266B">
              <w:rPr>
                <w:rFonts w:eastAsiaTheme="majorEastAsia" w:cstheme="minorHAnsi"/>
                <w:iCs/>
                <w:sz w:val="20"/>
                <w:szCs w:val="20"/>
              </w:rPr>
              <w:t>–</w:t>
            </w:r>
          </w:p>
        </w:tc>
        <w:tc>
          <w:tcPr>
            <w:tcW w:w="2268" w:type="dxa"/>
            <w:vAlign w:val="center"/>
          </w:tcPr>
          <w:p w14:paraId="3DA104C7" w14:textId="085C924B" w:rsidR="00E4317C" w:rsidRPr="002258BB" w:rsidRDefault="00E4317C" w:rsidP="004277DE">
            <w:pPr>
              <w:keepNext/>
              <w:keepLines/>
              <w:spacing w:before="60" w:after="60" w:line="276" w:lineRule="auto"/>
              <w:jc w:val="center"/>
              <w:outlineLvl w:val="6"/>
              <w:rPr>
                <w:rFonts w:eastAsiaTheme="majorEastAsia" w:cstheme="minorHAnsi"/>
                <w:iCs/>
                <w:sz w:val="20"/>
                <w:szCs w:val="20"/>
              </w:rPr>
            </w:pPr>
            <w:r w:rsidRPr="0095266B">
              <w:rPr>
                <w:rFonts w:eastAsiaTheme="majorEastAsia" w:cstheme="minorHAnsi"/>
                <w:iCs/>
                <w:sz w:val="20"/>
                <w:szCs w:val="20"/>
              </w:rPr>
              <w:t>–</w:t>
            </w:r>
          </w:p>
        </w:tc>
      </w:tr>
      <w:tr w:rsidR="00E4317C" w:rsidRPr="00761F0D" w14:paraId="5EBBA68E" w14:textId="77777777" w:rsidTr="00AE11AB">
        <w:tc>
          <w:tcPr>
            <w:tcW w:w="2830" w:type="dxa"/>
            <w:vAlign w:val="center"/>
          </w:tcPr>
          <w:p w14:paraId="6E593AB7" w14:textId="3B2D51FD" w:rsidR="00E4317C" w:rsidRDefault="00E4317C" w:rsidP="004277DE">
            <w:pPr>
              <w:keepNext/>
              <w:keepLines/>
              <w:spacing w:line="276" w:lineRule="auto"/>
              <w:ind w:left="284"/>
              <w:outlineLvl w:val="6"/>
              <w:rPr>
                <w:rFonts w:eastAsiaTheme="majorEastAsia" w:cstheme="minorHAnsi"/>
                <w:iCs/>
                <w:sz w:val="20"/>
                <w:szCs w:val="20"/>
              </w:rPr>
            </w:pPr>
            <w:r>
              <w:rPr>
                <w:rFonts w:eastAsiaTheme="majorEastAsia" w:cstheme="minorHAnsi"/>
                <w:iCs/>
                <w:sz w:val="20"/>
                <w:szCs w:val="20"/>
              </w:rPr>
              <w:t xml:space="preserve">Viral </w:t>
            </w:r>
            <w:r w:rsidR="00F529C2">
              <w:rPr>
                <w:rFonts w:eastAsiaTheme="majorEastAsia" w:cstheme="minorHAnsi"/>
                <w:iCs/>
                <w:sz w:val="20"/>
                <w:szCs w:val="20"/>
              </w:rPr>
              <w:t>URTI</w:t>
            </w:r>
          </w:p>
        </w:tc>
        <w:tc>
          <w:tcPr>
            <w:tcW w:w="1418" w:type="dxa"/>
            <w:vAlign w:val="center"/>
          </w:tcPr>
          <w:p w14:paraId="38CC7ABF" w14:textId="25D36440" w:rsidR="00E4317C"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sidRPr="005B2E68">
              <w:rPr>
                <w:rFonts w:eastAsiaTheme="majorEastAsia" w:cstheme="minorHAnsi"/>
                <w:iCs/>
                <w:sz w:val="20"/>
                <w:szCs w:val="20"/>
              </w:rPr>
              <w:t>–</w:t>
            </w:r>
          </w:p>
        </w:tc>
        <w:tc>
          <w:tcPr>
            <w:tcW w:w="2126" w:type="dxa"/>
            <w:vAlign w:val="center"/>
          </w:tcPr>
          <w:p w14:paraId="41D8DBAB" w14:textId="0F052101" w:rsidR="00E4317C" w:rsidRPr="002258BB"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4</w:t>
            </w:r>
          </w:p>
        </w:tc>
        <w:tc>
          <w:tcPr>
            <w:tcW w:w="2268" w:type="dxa"/>
            <w:vAlign w:val="center"/>
          </w:tcPr>
          <w:p w14:paraId="376FFFF8" w14:textId="27846CBA" w:rsidR="00E4317C" w:rsidRPr="002258BB" w:rsidRDefault="00E4317C" w:rsidP="004277DE">
            <w:pPr>
              <w:keepNext/>
              <w:keepLine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1</w:t>
            </w:r>
          </w:p>
        </w:tc>
      </w:tr>
      <w:tr w:rsidR="00E4317C" w:rsidRPr="00761F0D" w14:paraId="2122D135" w14:textId="77777777" w:rsidTr="00AE11AB">
        <w:tc>
          <w:tcPr>
            <w:tcW w:w="2830" w:type="dxa"/>
            <w:vAlign w:val="center"/>
          </w:tcPr>
          <w:p w14:paraId="65E4A2B9" w14:textId="54AF3625" w:rsidR="00E4317C" w:rsidRDefault="00FD741D" w:rsidP="004277DE">
            <w:pPr>
              <w:keepNext/>
              <w:keepLines/>
              <w:spacing w:line="276" w:lineRule="auto"/>
              <w:ind w:left="284"/>
              <w:outlineLvl w:val="6"/>
              <w:rPr>
                <w:rFonts w:eastAsiaTheme="majorEastAsia" w:cstheme="minorHAnsi"/>
                <w:iCs/>
                <w:sz w:val="20"/>
                <w:szCs w:val="20"/>
              </w:rPr>
            </w:pPr>
            <w:proofErr w:type="spellStart"/>
            <w:r>
              <w:rPr>
                <w:rFonts w:eastAsiaTheme="majorEastAsia" w:cstheme="minorHAnsi"/>
                <w:iCs/>
                <w:sz w:val="20"/>
                <w:szCs w:val="20"/>
              </w:rPr>
              <w:t>sJIA</w:t>
            </w:r>
            <w:proofErr w:type="spellEnd"/>
            <w:r w:rsidR="00F44177" w:rsidRPr="00F44177">
              <w:rPr>
                <w:rFonts w:eastAsiaTheme="majorEastAsia" w:cstheme="minorHAnsi"/>
                <w:iCs/>
                <w:sz w:val="20"/>
                <w:szCs w:val="20"/>
              </w:rPr>
              <w:t xml:space="preserve"> flare</w:t>
            </w:r>
          </w:p>
        </w:tc>
        <w:tc>
          <w:tcPr>
            <w:tcW w:w="1418" w:type="dxa"/>
            <w:vAlign w:val="center"/>
          </w:tcPr>
          <w:p w14:paraId="657CDA82" w14:textId="39B9A6E5" w:rsidR="00E4317C"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sidRPr="005B2E68">
              <w:rPr>
                <w:rFonts w:eastAsiaTheme="majorEastAsia" w:cstheme="minorHAnsi"/>
                <w:iCs/>
                <w:sz w:val="20"/>
                <w:szCs w:val="20"/>
              </w:rPr>
              <w:t>–</w:t>
            </w:r>
          </w:p>
        </w:tc>
        <w:tc>
          <w:tcPr>
            <w:tcW w:w="2126" w:type="dxa"/>
            <w:vAlign w:val="center"/>
          </w:tcPr>
          <w:p w14:paraId="2E4A1704" w14:textId="29055B49" w:rsidR="00E4317C"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3</w:t>
            </w:r>
          </w:p>
        </w:tc>
        <w:tc>
          <w:tcPr>
            <w:tcW w:w="2268" w:type="dxa"/>
            <w:vAlign w:val="center"/>
          </w:tcPr>
          <w:p w14:paraId="6B61C72C" w14:textId="07C350AF" w:rsidR="00E4317C" w:rsidRDefault="00E4317C" w:rsidP="004277DE">
            <w:pPr>
              <w:keepNext/>
              <w:keepLines/>
              <w:spacing w:before="60" w:after="60" w:line="276" w:lineRule="auto"/>
              <w:jc w:val="center"/>
              <w:outlineLvl w:val="6"/>
              <w:rPr>
                <w:rFonts w:eastAsiaTheme="majorEastAsia" w:cstheme="minorHAnsi"/>
                <w:iCs/>
                <w:sz w:val="20"/>
                <w:szCs w:val="20"/>
              </w:rPr>
            </w:pPr>
            <w:r w:rsidRPr="0098727B">
              <w:rPr>
                <w:rFonts w:eastAsiaTheme="majorEastAsia" w:cstheme="minorHAnsi"/>
                <w:iCs/>
                <w:sz w:val="20"/>
                <w:szCs w:val="20"/>
              </w:rPr>
              <w:t>–</w:t>
            </w:r>
          </w:p>
        </w:tc>
      </w:tr>
      <w:tr w:rsidR="00E4317C" w:rsidRPr="00761F0D" w14:paraId="189124C9" w14:textId="77777777" w:rsidTr="00AE11AB">
        <w:tc>
          <w:tcPr>
            <w:tcW w:w="2830" w:type="dxa"/>
            <w:vAlign w:val="center"/>
          </w:tcPr>
          <w:p w14:paraId="7DFCCCE0" w14:textId="7E04D9B2" w:rsidR="00E4317C" w:rsidRDefault="00E4317C" w:rsidP="004277DE">
            <w:pPr>
              <w:keepNext/>
              <w:keepLines/>
              <w:spacing w:line="276" w:lineRule="auto"/>
              <w:ind w:left="284"/>
              <w:outlineLvl w:val="6"/>
              <w:rPr>
                <w:rFonts w:eastAsiaTheme="majorEastAsia" w:cstheme="minorHAnsi"/>
                <w:iCs/>
                <w:sz w:val="20"/>
                <w:szCs w:val="20"/>
              </w:rPr>
            </w:pPr>
            <w:r>
              <w:rPr>
                <w:rFonts w:eastAsiaTheme="majorEastAsia" w:cstheme="minorHAnsi"/>
                <w:iCs/>
                <w:sz w:val="20"/>
                <w:szCs w:val="20"/>
              </w:rPr>
              <w:t xml:space="preserve">Cholelithiasis </w:t>
            </w:r>
          </w:p>
        </w:tc>
        <w:tc>
          <w:tcPr>
            <w:tcW w:w="1418" w:type="dxa"/>
            <w:vAlign w:val="center"/>
          </w:tcPr>
          <w:p w14:paraId="740FF211" w14:textId="22446926" w:rsidR="00E4317C"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sidRPr="005B2E68">
              <w:rPr>
                <w:rFonts w:eastAsiaTheme="majorEastAsia" w:cstheme="minorHAnsi"/>
                <w:iCs/>
                <w:sz w:val="20"/>
                <w:szCs w:val="20"/>
              </w:rPr>
              <w:t>–</w:t>
            </w:r>
          </w:p>
        </w:tc>
        <w:tc>
          <w:tcPr>
            <w:tcW w:w="2126" w:type="dxa"/>
            <w:vAlign w:val="center"/>
          </w:tcPr>
          <w:p w14:paraId="27D9AADC" w14:textId="6E072E6B" w:rsidR="00E4317C" w:rsidRDefault="00E04D6D"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sidRPr="00E04D6D">
              <w:rPr>
                <w:rFonts w:eastAsiaTheme="majorEastAsia" w:cstheme="minorHAnsi"/>
                <w:iCs/>
                <w:sz w:val="20"/>
                <w:szCs w:val="20"/>
              </w:rPr>
              <w:t>–</w:t>
            </w:r>
          </w:p>
        </w:tc>
        <w:tc>
          <w:tcPr>
            <w:tcW w:w="2268" w:type="dxa"/>
            <w:vAlign w:val="center"/>
          </w:tcPr>
          <w:p w14:paraId="647C8898" w14:textId="57A2DD7D" w:rsidR="00E4317C" w:rsidRDefault="00BA4D8D" w:rsidP="004277DE">
            <w:pPr>
              <w:keepNext/>
              <w:keepLine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2</w:t>
            </w:r>
          </w:p>
        </w:tc>
      </w:tr>
      <w:tr w:rsidR="00E4317C" w:rsidRPr="00761F0D" w14:paraId="13F00612" w14:textId="77777777" w:rsidTr="00AE11AB">
        <w:tc>
          <w:tcPr>
            <w:tcW w:w="2830" w:type="dxa"/>
            <w:vAlign w:val="center"/>
          </w:tcPr>
          <w:p w14:paraId="01E2EA1D" w14:textId="77C501F7" w:rsidR="00E4317C" w:rsidRDefault="00E4317C" w:rsidP="004277DE">
            <w:pPr>
              <w:keepNext/>
              <w:keepLines/>
              <w:spacing w:line="276" w:lineRule="auto"/>
              <w:ind w:left="284"/>
              <w:outlineLvl w:val="6"/>
              <w:rPr>
                <w:rFonts w:eastAsiaTheme="majorEastAsia" w:cstheme="minorHAnsi"/>
                <w:iCs/>
                <w:sz w:val="20"/>
                <w:szCs w:val="20"/>
              </w:rPr>
            </w:pPr>
            <w:r>
              <w:rPr>
                <w:rFonts w:eastAsiaTheme="majorEastAsia" w:cstheme="minorHAnsi"/>
                <w:iCs/>
                <w:sz w:val="20"/>
                <w:szCs w:val="20"/>
              </w:rPr>
              <w:t>Dental caries</w:t>
            </w:r>
          </w:p>
        </w:tc>
        <w:tc>
          <w:tcPr>
            <w:tcW w:w="1418" w:type="dxa"/>
            <w:vAlign w:val="center"/>
          </w:tcPr>
          <w:p w14:paraId="44BE6816" w14:textId="358294FF" w:rsidR="00E4317C"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sidRPr="005B2E68">
              <w:rPr>
                <w:rFonts w:eastAsiaTheme="majorEastAsia" w:cstheme="minorHAnsi"/>
                <w:iCs/>
                <w:sz w:val="20"/>
                <w:szCs w:val="20"/>
              </w:rPr>
              <w:t>–</w:t>
            </w:r>
          </w:p>
        </w:tc>
        <w:tc>
          <w:tcPr>
            <w:tcW w:w="2126" w:type="dxa"/>
            <w:vAlign w:val="center"/>
          </w:tcPr>
          <w:p w14:paraId="0F4BA245" w14:textId="0C7C337E" w:rsidR="00E4317C" w:rsidRDefault="00E4317C" w:rsidP="004277DE">
            <w:pPr>
              <w:keepNext/>
              <w:keepLines/>
              <w:tabs>
                <w:tab w:val="left" w:pos="270"/>
                <w:tab w:val="left" w:pos="547"/>
              </w:tab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1</w:t>
            </w:r>
          </w:p>
        </w:tc>
        <w:tc>
          <w:tcPr>
            <w:tcW w:w="2268" w:type="dxa"/>
            <w:vAlign w:val="center"/>
          </w:tcPr>
          <w:p w14:paraId="639CDDA6" w14:textId="20A64044" w:rsidR="00E4317C" w:rsidRDefault="00E4317C" w:rsidP="004277DE">
            <w:pPr>
              <w:keepNext/>
              <w:keepLines/>
              <w:spacing w:before="60" w:after="60" w:line="276" w:lineRule="auto"/>
              <w:jc w:val="center"/>
              <w:outlineLvl w:val="6"/>
              <w:rPr>
                <w:rFonts w:eastAsiaTheme="majorEastAsia" w:cstheme="minorHAnsi"/>
                <w:iCs/>
                <w:sz w:val="20"/>
                <w:szCs w:val="20"/>
              </w:rPr>
            </w:pPr>
            <w:r>
              <w:rPr>
                <w:rFonts w:eastAsiaTheme="majorEastAsia" w:cstheme="minorHAnsi"/>
                <w:iCs/>
                <w:sz w:val="20"/>
                <w:szCs w:val="20"/>
              </w:rPr>
              <w:t>1</w:t>
            </w:r>
          </w:p>
        </w:tc>
      </w:tr>
    </w:tbl>
    <w:p w14:paraId="33D96E74" w14:textId="4D6D5BC0" w:rsidR="00CB4076" w:rsidRDefault="003021B6" w:rsidP="00B8135C">
      <w:pPr>
        <w:spacing w:before="120"/>
      </w:pPr>
      <w:proofErr w:type="spellStart"/>
      <w:r w:rsidRPr="003021B6">
        <w:rPr>
          <w:vertAlign w:val="superscript"/>
        </w:rPr>
        <w:t>a</w:t>
      </w:r>
      <w:proofErr w:type="spellEnd"/>
      <w:r w:rsidR="00E04188">
        <w:rPr>
          <w:vertAlign w:val="superscript"/>
        </w:rPr>
        <w:t xml:space="preserve"> </w:t>
      </w:r>
      <w:proofErr w:type="gramStart"/>
      <w:r w:rsidR="00A61727">
        <w:t>The</w:t>
      </w:r>
      <w:proofErr w:type="gramEnd"/>
      <w:r w:rsidR="00A61727">
        <w:t xml:space="preserve"> protocol mandated that o</w:t>
      </w:r>
      <w:r w:rsidR="004759B2" w:rsidRPr="006222BD">
        <w:t xml:space="preserve">nly </w:t>
      </w:r>
      <w:r w:rsidR="0025132A" w:rsidRPr="006222BD">
        <w:t xml:space="preserve">serious </w:t>
      </w:r>
      <w:r w:rsidR="00944880">
        <w:t>AEs</w:t>
      </w:r>
      <w:r w:rsidR="0025132A" w:rsidRPr="006222BD">
        <w:t xml:space="preserve"> </w:t>
      </w:r>
      <w:r w:rsidR="00E24F4F" w:rsidRPr="006222BD">
        <w:t>were</w:t>
      </w:r>
      <w:r w:rsidR="0025132A" w:rsidRPr="006222BD">
        <w:t xml:space="preserve"> </w:t>
      </w:r>
      <w:r w:rsidR="0004560F" w:rsidRPr="006222BD">
        <w:t xml:space="preserve">to be </w:t>
      </w:r>
      <w:r w:rsidR="0025132A" w:rsidRPr="006222BD">
        <w:t xml:space="preserve">reported </w:t>
      </w:r>
      <w:r w:rsidR="0004560F" w:rsidRPr="006222BD">
        <w:t>after</w:t>
      </w:r>
      <w:r w:rsidR="00E90828" w:rsidRPr="006222BD">
        <w:t xml:space="preserve"> </w:t>
      </w:r>
      <w:r w:rsidR="0004560F" w:rsidRPr="006222BD">
        <w:t xml:space="preserve">the </w:t>
      </w:r>
      <w:r w:rsidR="004759B2" w:rsidRPr="006222BD">
        <w:t xml:space="preserve">level of </w:t>
      </w:r>
      <w:r w:rsidR="00E90828" w:rsidRPr="006222BD">
        <w:t xml:space="preserve">emapalumab was </w:t>
      </w:r>
      <w:r w:rsidR="0004560F" w:rsidRPr="006222BD">
        <w:t>un</w:t>
      </w:r>
      <w:r w:rsidR="00E90828" w:rsidRPr="006222BD">
        <w:t>detectable</w:t>
      </w:r>
      <w:r w:rsidR="007F7D58" w:rsidRPr="006222BD">
        <w:t>.</w:t>
      </w:r>
      <w:r w:rsidR="00A61727">
        <w:t xml:space="preserve"> However, five non-serious </w:t>
      </w:r>
      <w:r w:rsidR="00FD741D">
        <w:t>AE</w:t>
      </w:r>
      <w:r w:rsidR="00A61727">
        <w:t>s were also reported during this time and are included in the table.</w:t>
      </w:r>
    </w:p>
    <w:p w14:paraId="54F46FED" w14:textId="77777777" w:rsidR="00944880" w:rsidRDefault="00944880" w:rsidP="00944880">
      <w:pPr>
        <w:tabs>
          <w:tab w:val="left" w:pos="7034"/>
        </w:tabs>
        <w:rPr>
          <w:bCs/>
        </w:rPr>
      </w:pPr>
      <w:r>
        <w:rPr>
          <w:bCs/>
        </w:rPr>
        <w:t>Abbreviations:</w:t>
      </w:r>
    </w:p>
    <w:p w14:paraId="7F04B3A3" w14:textId="51CCA214" w:rsidR="00C8534E" w:rsidRPr="006222BD" w:rsidRDefault="00944880" w:rsidP="00B8135C">
      <w:pPr>
        <w:spacing w:before="120"/>
      </w:pPr>
      <w:r>
        <w:rPr>
          <w:bCs/>
        </w:rPr>
        <w:t>AE adverse event; CMV, cytomegalovirus;</w:t>
      </w:r>
      <w:r w:rsidR="00FD741D">
        <w:rPr>
          <w:bCs/>
        </w:rPr>
        <w:t xml:space="preserve"> </w:t>
      </w:r>
      <w:r w:rsidR="00DB180E">
        <w:rPr>
          <w:bCs/>
        </w:rPr>
        <w:t xml:space="preserve">LLOQ, lower limit of quantification; </w:t>
      </w:r>
      <w:proofErr w:type="spellStart"/>
      <w:r w:rsidR="00DB180E">
        <w:rPr>
          <w:bCs/>
        </w:rPr>
        <w:t>sJIA</w:t>
      </w:r>
      <w:proofErr w:type="spellEnd"/>
      <w:r w:rsidR="00DB180E">
        <w:rPr>
          <w:bCs/>
        </w:rPr>
        <w:t xml:space="preserve">, </w:t>
      </w:r>
      <w:r w:rsidR="00FD741D">
        <w:rPr>
          <w:bCs/>
        </w:rPr>
        <w:t>systemic juvenile idiopathic arthritis</w:t>
      </w:r>
      <w:r w:rsidR="00DB180E">
        <w:rPr>
          <w:bCs/>
        </w:rPr>
        <w:t>; TEAE, treatment-emergent adverse event</w:t>
      </w:r>
      <w:r w:rsidR="00F529C2">
        <w:rPr>
          <w:bCs/>
        </w:rPr>
        <w:t>; URTI, upper respiratory tract infection</w:t>
      </w:r>
    </w:p>
    <w:sectPr w:rsidR="00C8534E" w:rsidRPr="006222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A2B5A" w14:textId="77777777" w:rsidR="00202E0A" w:rsidRDefault="00202E0A" w:rsidP="005025AE">
      <w:pPr>
        <w:spacing w:after="0" w:line="240" w:lineRule="auto"/>
      </w:pPr>
      <w:r>
        <w:separator/>
      </w:r>
    </w:p>
  </w:endnote>
  <w:endnote w:type="continuationSeparator" w:id="0">
    <w:p w14:paraId="570F7F49" w14:textId="77777777" w:rsidR="00202E0A" w:rsidRDefault="00202E0A" w:rsidP="0050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029458"/>
      <w:docPartObj>
        <w:docPartGallery w:val="Page Numbers (Bottom of Page)"/>
        <w:docPartUnique/>
      </w:docPartObj>
    </w:sdtPr>
    <w:sdtEndPr>
      <w:rPr>
        <w:noProof/>
      </w:rPr>
    </w:sdtEndPr>
    <w:sdtContent>
      <w:p w14:paraId="520607BB" w14:textId="33F1AE65" w:rsidR="005163E1" w:rsidRDefault="005163E1">
        <w:pPr>
          <w:pStyle w:val="Pidipagina"/>
          <w:jc w:val="right"/>
        </w:pPr>
        <w:r>
          <w:fldChar w:fldCharType="begin"/>
        </w:r>
        <w:r>
          <w:instrText xml:space="preserve"> PAGE   \* MERGEFORMAT </w:instrText>
        </w:r>
        <w:r>
          <w:fldChar w:fldCharType="separate"/>
        </w:r>
        <w:r w:rsidR="006E03F4">
          <w:rPr>
            <w:noProof/>
          </w:rPr>
          <w:t>16</w:t>
        </w:r>
        <w:r>
          <w:rPr>
            <w:noProof/>
          </w:rPr>
          <w:fldChar w:fldCharType="end"/>
        </w:r>
      </w:p>
    </w:sdtContent>
  </w:sdt>
  <w:p w14:paraId="70D33662" w14:textId="77777777" w:rsidR="005163E1" w:rsidRDefault="005163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DC3B0" w14:textId="77777777" w:rsidR="00202E0A" w:rsidRDefault="00202E0A" w:rsidP="005025AE">
      <w:pPr>
        <w:spacing w:after="0" w:line="240" w:lineRule="auto"/>
      </w:pPr>
      <w:r>
        <w:separator/>
      </w:r>
    </w:p>
  </w:footnote>
  <w:footnote w:type="continuationSeparator" w:id="0">
    <w:p w14:paraId="129BE000" w14:textId="77777777" w:rsidR="00202E0A" w:rsidRDefault="00202E0A" w:rsidP="00502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080"/>
    <w:multiLevelType w:val="hybridMultilevel"/>
    <w:tmpl w:val="33A219A2"/>
    <w:lvl w:ilvl="0" w:tplc="5DE8FCB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CCD42FB"/>
    <w:multiLevelType w:val="hybridMultilevel"/>
    <w:tmpl w:val="6BF04AAA"/>
    <w:lvl w:ilvl="0" w:tplc="D9BE0312">
      <w:start w:val="1"/>
      <w:numFmt w:val="bullet"/>
      <w:lvlText w:val=""/>
      <w:lvlJc w:val="left"/>
      <w:pPr>
        <w:ind w:left="720" w:hanging="360"/>
      </w:pPr>
      <w:rPr>
        <w:rFonts w:ascii="Symbol" w:hAnsi="Symbol"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406B01"/>
    <w:multiLevelType w:val="hybridMultilevel"/>
    <w:tmpl w:val="CD84FBFC"/>
    <w:lvl w:ilvl="0" w:tplc="D9BE031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84CD1"/>
    <w:multiLevelType w:val="hybridMultilevel"/>
    <w:tmpl w:val="62720478"/>
    <w:lvl w:ilvl="0" w:tplc="D9BE0312">
      <w:start w:val="1"/>
      <w:numFmt w:val="bullet"/>
      <w:lvlText w:val=""/>
      <w:lvlJc w:val="left"/>
      <w:pPr>
        <w:ind w:left="720" w:hanging="360"/>
      </w:pPr>
      <w:rPr>
        <w:rFonts w:ascii="Symbol" w:hAnsi="Symbol"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D8387B"/>
    <w:multiLevelType w:val="hybridMultilevel"/>
    <w:tmpl w:val="67A0CA74"/>
    <w:lvl w:ilvl="0" w:tplc="14090001">
      <w:start w:val="1"/>
      <w:numFmt w:val="bullet"/>
      <w:lvlText w:val=""/>
      <w:lvlJc w:val="left"/>
      <w:pPr>
        <w:ind w:left="720" w:hanging="360"/>
      </w:pPr>
      <w:rPr>
        <w:rFonts w:ascii="Symbol" w:hAnsi="Symbol"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9E6EF5"/>
    <w:multiLevelType w:val="hybridMultilevel"/>
    <w:tmpl w:val="F520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3287E"/>
    <w:multiLevelType w:val="hybridMultilevel"/>
    <w:tmpl w:val="0948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26D7"/>
    <w:multiLevelType w:val="hybridMultilevel"/>
    <w:tmpl w:val="7C5E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4137A"/>
    <w:multiLevelType w:val="hybridMultilevel"/>
    <w:tmpl w:val="3738D74A"/>
    <w:lvl w:ilvl="0" w:tplc="D9BE031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07FF"/>
    <w:multiLevelType w:val="hybridMultilevel"/>
    <w:tmpl w:val="E286DC10"/>
    <w:lvl w:ilvl="0" w:tplc="4ECA2DBC">
      <w:start w:val="2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34E44"/>
    <w:multiLevelType w:val="hybridMultilevel"/>
    <w:tmpl w:val="5F26CA10"/>
    <w:lvl w:ilvl="0" w:tplc="14090001">
      <w:start w:val="1"/>
      <w:numFmt w:val="bullet"/>
      <w:lvlText w:val=""/>
      <w:lvlJc w:val="left"/>
      <w:pPr>
        <w:ind w:left="720" w:hanging="360"/>
      </w:pPr>
      <w:rPr>
        <w:rFonts w:ascii="Symbol" w:hAnsi="Symbol"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AC005D9"/>
    <w:multiLevelType w:val="hybridMultilevel"/>
    <w:tmpl w:val="1B76E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36DC4"/>
    <w:multiLevelType w:val="hybridMultilevel"/>
    <w:tmpl w:val="F46459CA"/>
    <w:lvl w:ilvl="0" w:tplc="DBA0336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66E69"/>
    <w:multiLevelType w:val="hybridMultilevel"/>
    <w:tmpl w:val="E0547E1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1DF13AF"/>
    <w:multiLevelType w:val="hybridMultilevel"/>
    <w:tmpl w:val="B762AE0C"/>
    <w:lvl w:ilvl="0" w:tplc="DBA0336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A331B"/>
    <w:multiLevelType w:val="hybridMultilevel"/>
    <w:tmpl w:val="C34CEDFE"/>
    <w:lvl w:ilvl="0" w:tplc="DBA0336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65292"/>
    <w:multiLevelType w:val="hybridMultilevel"/>
    <w:tmpl w:val="671617B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2F6999"/>
    <w:multiLevelType w:val="hybridMultilevel"/>
    <w:tmpl w:val="CA42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0"/>
  </w:num>
  <w:num w:numId="5">
    <w:abstractNumId w:val="16"/>
  </w:num>
  <w:num w:numId="6">
    <w:abstractNumId w:val="10"/>
  </w:num>
  <w:num w:numId="7">
    <w:abstractNumId w:val="17"/>
  </w:num>
  <w:num w:numId="8">
    <w:abstractNumId w:val="6"/>
  </w:num>
  <w:num w:numId="9">
    <w:abstractNumId w:val="8"/>
  </w:num>
  <w:num w:numId="10">
    <w:abstractNumId w:val="2"/>
  </w:num>
  <w:num w:numId="11">
    <w:abstractNumId w:val="9"/>
  </w:num>
  <w:num w:numId="12">
    <w:abstractNumId w:val="12"/>
  </w:num>
  <w:num w:numId="13">
    <w:abstractNumId w:val="15"/>
  </w:num>
  <w:num w:numId="14">
    <w:abstractNumId w:val="14"/>
  </w:num>
  <w:num w:numId="15">
    <w:abstractNumId w:val="7"/>
  </w:num>
  <w:num w:numId="16">
    <w:abstractNumId w:val="11"/>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3A"/>
    <w:rsid w:val="0000615F"/>
    <w:rsid w:val="00014724"/>
    <w:rsid w:val="0001592D"/>
    <w:rsid w:val="00015949"/>
    <w:rsid w:val="0002489B"/>
    <w:rsid w:val="0004560F"/>
    <w:rsid w:val="000472FB"/>
    <w:rsid w:val="00052520"/>
    <w:rsid w:val="000534F1"/>
    <w:rsid w:val="000548CB"/>
    <w:rsid w:val="000602C0"/>
    <w:rsid w:val="00066190"/>
    <w:rsid w:val="0007041D"/>
    <w:rsid w:val="00071E82"/>
    <w:rsid w:val="000754F8"/>
    <w:rsid w:val="000771EE"/>
    <w:rsid w:val="0008051C"/>
    <w:rsid w:val="000816D3"/>
    <w:rsid w:val="00084F1C"/>
    <w:rsid w:val="00086C55"/>
    <w:rsid w:val="00086FAF"/>
    <w:rsid w:val="00087392"/>
    <w:rsid w:val="0008768A"/>
    <w:rsid w:val="000927E3"/>
    <w:rsid w:val="00094026"/>
    <w:rsid w:val="00095195"/>
    <w:rsid w:val="000A0C70"/>
    <w:rsid w:val="000A3684"/>
    <w:rsid w:val="000A4124"/>
    <w:rsid w:val="000A472B"/>
    <w:rsid w:val="000A6669"/>
    <w:rsid w:val="000A7850"/>
    <w:rsid w:val="000B393C"/>
    <w:rsid w:val="000B4BC0"/>
    <w:rsid w:val="000B500F"/>
    <w:rsid w:val="000C0866"/>
    <w:rsid w:val="000C1826"/>
    <w:rsid w:val="000C2FE2"/>
    <w:rsid w:val="000C7D86"/>
    <w:rsid w:val="000D16DF"/>
    <w:rsid w:val="000D2B55"/>
    <w:rsid w:val="000D535D"/>
    <w:rsid w:val="000D71A4"/>
    <w:rsid w:val="000E0F18"/>
    <w:rsid w:val="000E2A52"/>
    <w:rsid w:val="000E3562"/>
    <w:rsid w:val="000E5119"/>
    <w:rsid w:val="000E71BB"/>
    <w:rsid w:val="000F1C19"/>
    <w:rsid w:val="0010111D"/>
    <w:rsid w:val="001011DF"/>
    <w:rsid w:val="00105DF5"/>
    <w:rsid w:val="00110803"/>
    <w:rsid w:val="00110FD2"/>
    <w:rsid w:val="00111741"/>
    <w:rsid w:val="0012758C"/>
    <w:rsid w:val="0013235B"/>
    <w:rsid w:val="00132BB2"/>
    <w:rsid w:val="001344A4"/>
    <w:rsid w:val="001351A8"/>
    <w:rsid w:val="001353DF"/>
    <w:rsid w:val="00136EC9"/>
    <w:rsid w:val="00142D30"/>
    <w:rsid w:val="00143F65"/>
    <w:rsid w:val="0015195C"/>
    <w:rsid w:val="00154DFB"/>
    <w:rsid w:val="0015753A"/>
    <w:rsid w:val="001602D0"/>
    <w:rsid w:val="001629A6"/>
    <w:rsid w:val="00165470"/>
    <w:rsid w:val="00170D9E"/>
    <w:rsid w:val="001758C2"/>
    <w:rsid w:val="00175AB1"/>
    <w:rsid w:val="00180F20"/>
    <w:rsid w:val="00184362"/>
    <w:rsid w:val="00187569"/>
    <w:rsid w:val="00191424"/>
    <w:rsid w:val="001926B4"/>
    <w:rsid w:val="001953C3"/>
    <w:rsid w:val="001A1F89"/>
    <w:rsid w:val="001A657B"/>
    <w:rsid w:val="001B0341"/>
    <w:rsid w:val="001B3362"/>
    <w:rsid w:val="001B5722"/>
    <w:rsid w:val="001B6276"/>
    <w:rsid w:val="001B6DDB"/>
    <w:rsid w:val="001B719E"/>
    <w:rsid w:val="001B77E9"/>
    <w:rsid w:val="001D2459"/>
    <w:rsid w:val="001E1DE3"/>
    <w:rsid w:val="001E5E72"/>
    <w:rsid w:val="001F1BB8"/>
    <w:rsid w:val="001F2EE9"/>
    <w:rsid w:val="00202E0A"/>
    <w:rsid w:val="00205E9B"/>
    <w:rsid w:val="00206872"/>
    <w:rsid w:val="0021558E"/>
    <w:rsid w:val="00215F37"/>
    <w:rsid w:val="002354A0"/>
    <w:rsid w:val="00235658"/>
    <w:rsid w:val="00236DC9"/>
    <w:rsid w:val="002408A9"/>
    <w:rsid w:val="00240D2D"/>
    <w:rsid w:val="00244342"/>
    <w:rsid w:val="00245F7F"/>
    <w:rsid w:val="0025132A"/>
    <w:rsid w:val="00251B35"/>
    <w:rsid w:val="002526DC"/>
    <w:rsid w:val="00253000"/>
    <w:rsid w:val="00254DFF"/>
    <w:rsid w:val="00255825"/>
    <w:rsid w:val="00263004"/>
    <w:rsid w:val="0027246D"/>
    <w:rsid w:val="00273017"/>
    <w:rsid w:val="00281999"/>
    <w:rsid w:val="00284590"/>
    <w:rsid w:val="00284AFE"/>
    <w:rsid w:val="00285783"/>
    <w:rsid w:val="002900CF"/>
    <w:rsid w:val="00292BED"/>
    <w:rsid w:val="002953A0"/>
    <w:rsid w:val="00296CFB"/>
    <w:rsid w:val="002A4712"/>
    <w:rsid w:val="002A5EA0"/>
    <w:rsid w:val="002B6EDA"/>
    <w:rsid w:val="002C4B77"/>
    <w:rsid w:val="002D1294"/>
    <w:rsid w:val="002E0588"/>
    <w:rsid w:val="002F3E2B"/>
    <w:rsid w:val="002F6B33"/>
    <w:rsid w:val="003021B6"/>
    <w:rsid w:val="003048FB"/>
    <w:rsid w:val="00305AB8"/>
    <w:rsid w:val="00306644"/>
    <w:rsid w:val="0030752C"/>
    <w:rsid w:val="0031017B"/>
    <w:rsid w:val="0031207D"/>
    <w:rsid w:val="00322E64"/>
    <w:rsid w:val="00326CDF"/>
    <w:rsid w:val="00331F33"/>
    <w:rsid w:val="00337442"/>
    <w:rsid w:val="00353DD6"/>
    <w:rsid w:val="003543AD"/>
    <w:rsid w:val="003553FA"/>
    <w:rsid w:val="0036309F"/>
    <w:rsid w:val="0036377A"/>
    <w:rsid w:val="00364499"/>
    <w:rsid w:val="003721B5"/>
    <w:rsid w:val="003755F5"/>
    <w:rsid w:val="00375727"/>
    <w:rsid w:val="003772AD"/>
    <w:rsid w:val="00381BBC"/>
    <w:rsid w:val="00382303"/>
    <w:rsid w:val="00386BDE"/>
    <w:rsid w:val="00390DC2"/>
    <w:rsid w:val="003923B6"/>
    <w:rsid w:val="0039493D"/>
    <w:rsid w:val="00396129"/>
    <w:rsid w:val="0039649A"/>
    <w:rsid w:val="00396549"/>
    <w:rsid w:val="003A495C"/>
    <w:rsid w:val="003A5375"/>
    <w:rsid w:val="003A73E1"/>
    <w:rsid w:val="003A7F53"/>
    <w:rsid w:val="003B3370"/>
    <w:rsid w:val="003B4839"/>
    <w:rsid w:val="003C0520"/>
    <w:rsid w:val="003C5D70"/>
    <w:rsid w:val="003C62C4"/>
    <w:rsid w:val="003D0ADD"/>
    <w:rsid w:val="003D312B"/>
    <w:rsid w:val="003D67AE"/>
    <w:rsid w:val="003E308A"/>
    <w:rsid w:val="003F1566"/>
    <w:rsid w:val="003F1EC5"/>
    <w:rsid w:val="003F25DB"/>
    <w:rsid w:val="003F2710"/>
    <w:rsid w:val="003F452D"/>
    <w:rsid w:val="003F5408"/>
    <w:rsid w:val="003F68E6"/>
    <w:rsid w:val="003F6E48"/>
    <w:rsid w:val="004011A8"/>
    <w:rsid w:val="004022F7"/>
    <w:rsid w:val="004029C5"/>
    <w:rsid w:val="00404AE0"/>
    <w:rsid w:val="0041499B"/>
    <w:rsid w:val="00420DF0"/>
    <w:rsid w:val="00422DBC"/>
    <w:rsid w:val="004234F3"/>
    <w:rsid w:val="00427425"/>
    <w:rsid w:val="004277DE"/>
    <w:rsid w:val="00432D6B"/>
    <w:rsid w:val="004356D6"/>
    <w:rsid w:val="0044493E"/>
    <w:rsid w:val="00460402"/>
    <w:rsid w:val="00463B37"/>
    <w:rsid w:val="00466889"/>
    <w:rsid w:val="00473F38"/>
    <w:rsid w:val="004759B2"/>
    <w:rsid w:val="00477974"/>
    <w:rsid w:val="00485257"/>
    <w:rsid w:val="004903A7"/>
    <w:rsid w:val="00491135"/>
    <w:rsid w:val="0049192C"/>
    <w:rsid w:val="00494B95"/>
    <w:rsid w:val="00495E76"/>
    <w:rsid w:val="00496920"/>
    <w:rsid w:val="0049723B"/>
    <w:rsid w:val="004A1302"/>
    <w:rsid w:val="004A159B"/>
    <w:rsid w:val="004A1A82"/>
    <w:rsid w:val="004B1EA8"/>
    <w:rsid w:val="004B2F1E"/>
    <w:rsid w:val="004B522C"/>
    <w:rsid w:val="004B602E"/>
    <w:rsid w:val="004C0F54"/>
    <w:rsid w:val="004C11D0"/>
    <w:rsid w:val="004C140C"/>
    <w:rsid w:val="004C3673"/>
    <w:rsid w:val="004D52EA"/>
    <w:rsid w:val="004D5C6B"/>
    <w:rsid w:val="004D6D26"/>
    <w:rsid w:val="004D712A"/>
    <w:rsid w:val="004E2907"/>
    <w:rsid w:val="004E3705"/>
    <w:rsid w:val="004E47DB"/>
    <w:rsid w:val="004E4E16"/>
    <w:rsid w:val="005003E3"/>
    <w:rsid w:val="00502124"/>
    <w:rsid w:val="005025AE"/>
    <w:rsid w:val="00503E55"/>
    <w:rsid w:val="0050561B"/>
    <w:rsid w:val="005163E1"/>
    <w:rsid w:val="00517F81"/>
    <w:rsid w:val="005202EE"/>
    <w:rsid w:val="00521CFC"/>
    <w:rsid w:val="0052239E"/>
    <w:rsid w:val="005259D0"/>
    <w:rsid w:val="00526E39"/>
    <w:rsid w:val="005316EE"/>
    <w:rsid w:val="005331EF"/>
    <w:rsid w:val="00534BB7"/>
    <w:rsid w:val="00542E56"/>
    <w:rsid w:val="00544595"/>
    <w:rsid w:val="0054634E"/>
    <w:rsid w:val="005464FC"/>
    <w:rsid w:val="0054771F"/>
    <w:rsid w:val="005566A6"/>
    <w:rsid w:val="005614C5"/>
    <w:rsid w:val="00566F25"/>
    <w:rsid w:val="00571D38"/>
    <w:rsid w:val="0057217B"/>
    <w:rsid w:val="005736AB"/>
    <w:rsid w:val="00575BED"/>
    <w:rsid w:val="00581E07"/>
    <w:rsid w:val="00583307"/>
    <w:rsid w:val="00583AFA"/>
    <w:rsid w:val="00583C64"/>
    <w:rsid w:val="0058605B"/>
    <w:rsid w:val="00586D3D"/>
    <w:rsid w:val="00594389"/>
    <w:rsid w:val="005A0FD4"/>
    <w:rsid w:val="005A4678"/>
    <w:rsid w:val="005A4892"/>
    <w:rsid w:val="005B1C58"/>
    <w:rsid w:val="005B3933"/>
    <w:rsid w:val="005B68AA"/>
    <w:rsid w:val="005C1777"/>
    <w:rsid w:val="005C1C95"/>
    <w:rsid w:val="005C2A5E"/>
    <w:rsid w:val="005C3015"/>
    <w:rsid w:val="005C3E6B"/>
    <w:rsid w:val="005C51A9"/>
    <w:rsid w:val="005C795A"/>
    <w:rsid w:val="005D1002"/>
    <w:rsid w:val="005D2195"/>
    <w:rsid w:val="005D2278"/>
    <w:rsid w:val="005D36C4"/>
    <w:rsid w:val="005D5711"/>
    <w:rsid w:val="005D7A4D"/>
    <w:rsid w:val="005E2340"/>
    <w:rsid w:val="005F3794"/>
    <w:rsid w:val="005F4996"/>
    <w:rsid w:val="005F4BDA"/>
    <w:rsid w:val="006007E4"/>
    <w:rsid w:val="00602D46"/>
    <w:rsid w:val="006047B6"/>
    <w:rsid w:val="00612D53"/>
    <w:rsid w:val="00616395"/>
    <w:rsid w:val="006222BD"/>
    <w:rsid w:val="00623664"/>
    <w:rsid w:val="0062589B"/>
    <w:rsid w:val="00631363"/>
    <w:rsid w:val="0063572F"/>
    <w:rsid w:val="00640ABC"/>
    <w:rsid w:val="00643368"/>
    <w:rsid w:val="00643AE2"/>
    <w:rsid w:val="0065219D"/>
    <w:rsid w:val="00655062"/>
    <w:rsid w:val="0065527B"/>
    <w:rsid w:val="00662298"/>
    <w:rsid w:val="00662EDC"/>
    <w:rsid w:val="006645EB"/>
    <w:rsid w:val="006716D2"/>
    <w:rsid w:val="00671822"/>
    <w:rsid w:val="006719DC"/>
    <w:rsid w:val="00672209"/>
    <w:rsid w:val="0067387B"/>
    <w:rsid w:val="00676258"/>
    <w:rsid w:val="00676580"/>
    <w:rsid w:val="00677BC7"/>
    <w:rsid w:val="00681E2A"/>
    <w:rsid w:val="00686F12"/>
    <w:rsid w:val="00687E84"/>
    <w:rsid w:val="006912CF"/>
    <w:rsid w:val="00696544"/>
    <w:rsid w:val="00696E8B"/>
    <w:rsid w:val="00697D5B"/>
    <w:rsid w:val="006A3106"/>
    <w:rsid w:val="006A408C"/>
    <w:rsid w:val="006A6ABE"/>
    <w:rsid w:val="006B40EF"/>
    <w:rsid w:val="006B4319"/>
    <w:rsid w:val="006B47F1"/>
    <w:rsid w:val="006B7CEE"/>
    <w:rsid w:val="006C3A49"/>
    <w:rsid w:val="006C5A45"/>
    <w:rsid w:val="006C65F2"/>
    <w:rsid w:val="006C7809"/>
    <w:rsid w:val="006D2725"/>
    <w:rsid w:val="006D292D"/>
    <w:rsid w:val="006D678B"/>
    <w:rsid w:val="006D720E"/>
    <w:rsid w:val="006E03A9"/>
    <w:rsid w:val="006E03F4"/>
    <w:rsid w:val="006E06E2"/>
    <w:rsid w:val="006E4D9C"/>
    <w:rsid w:val="006E6A7C"/>
    <w:rsid w:val="006E7024"/>
    <w:rsid w:val="006F0D9B"/>
    <w:rsid w:val="006F2A81"/>
    <w:rsid w:val="006F2E13"/>
    <w:rsid w:val="006F725B"/>
    <w:rsid w:val="00702394"/>
    <w:rsid w:val="0070300E"/>
    <w:rsid w:val="00711847"/>
    <w:rsid w:val="007136A0"/>
    <w:rsid w:val="0071761A"/>
    <w:rsid w:val="007200F6"/>
    <w:rsid w:val="00720149"/>
    <w:rsid w:val="00722018"/>
    <w:rsid w:val="00724FC6"/>
    <w:rsid w:val="00727687"/>
    <w:rsid w:val="0072790D"/>
    <w:rsid w:val="00731592"/>
    <w:rsid w:val="007318EF"/>
    <w:rsid w:val="00731969"/>
    <w:rsid w:val="00732C25"/>
    <w:rsid w:val="00735459"/>
    <w:rsid w:val="00740C20"/>
    <w:rsid w:val="007451B6"/>
    <w:rsid w:val="00750268"/>
    <w:rsid w:val="00752D52"/>
    <w:rsid w:val="00757C7C"/>
    <w:rsid w:val="007601FD"/>
    <w:rsid w:val="007613F1"/>
    <w:rsid w:val="00763E29"/>
    <w:rsid w:val="00765E25"/>
    <w:rsid w:val="0077255E"/>
    <w:rsid w:val="007738D9"/>
    <w:rsid w:val="00775A98"/>
    <w:rsid w:val="00780C53"/>
    <w:rsid w:val="007827A9"/>
    <w:rsid w:val="007868FA"/>
    <w:rsid w:val="00790375"/>
    <w:rsid w:val="0079054D"/>
    <w:rsid w:val="007943DE"/>
    <w:rsid w:val="007948D4"/>
    <w:rsid w:val="007A0835"/>
    <w:rsid w:val="007A39B2"/>
    <w:rsid w:val="007A3AE6"/>
    <w:rsid w:val="007A571D"/>
    <w:rsid w:val="007A5809"/>
    <w:rsid w:val="007A5A2C"/>
    <w:rsid w:val="007A751B"/>
    <w:rsid w:val="007B3D06"/>
    <w:rsid w:val="007B6632"/>
    <w:rsid w:val="007C7D5E"/>
    <w:rsid w:val="007D0ACC"/>
    <w:rsid w:val="007D1E80"/>
    <w:rsid w:val="007D215E"/>
    <w:rsid w:val="007D2473"/>
    <w:rsid w:val="007D3C32"/>
    <w:rsid w:val="007D6187"/>
    <w:rsid w:val="007E0EFC"/>
    <w:rsid w:val="007E68A1"/>
    <w:rsid w:val="007F6190"/>
    <w:rsid w:val="007F78CC"/>
    <w:rsid w:val="007F7D58"/>
    <w:rsid w:val="00800D33"/>
    <w:rsid w:val="00801442"/>
    <w:rsid w:val="0080372F"/>
    <w:rsid w:val="0081096A"/>
    <w:rsid w:val="0081430A"/>
    <w:rsid w:val="00815908"/>
    <w:rsid w:val="00816536"/>
    <w:rsid w:val="00816ED6"/>
    <w:rsid w:val="00820BC1"/>
    <w:rsid w:val="0082466F"/>
    <w:rsid w:val="00825F4C"/>
    <w:rsid w:val="008267D7"/>
    <w:rsid w:val="0082680C"/>
    <w:rsid w:val="0083206C"/>
    <w:rsid w:val="00834003"/>
    <w:rsid w:val="008406D0"/>
    <w:rsid w:val="00844490"/>
    <w:rsid w:val="0084669D"/>
    <w:rsid w:val="00851391"/>
    <w:rsid w:val="008542EE"/>
    <w:rsid w:val="0085672A"/>
    <w:rsid w:val="00860626"/>
    <w:rsid w:val="00866D0C"/>
    <w:rsid w:val="00881A5E"/>
    <w:rsid w:val="008928EE"/>
    <w:rsid w:val="00892E0B"/>
    <w:rsid w:val="00892EE3"/>
    <w:rsid w:val="00894C04"/>
    <w:rsid w:val="00895EEF"/>
    <w:rsid w:val="00896A56"/>
    <w:rsid w:val="008A0A6B"/>
    <w:rsid w:val="008A1C2E"/>
    <w:rsid w:val="008A443C"/>
    <w:rsid w:val="008B0EBD"/>
    <w:rsid w:val="008B7112"/>
    <w:rsid w:val="008C1844"/>
    <w:rsid w:val="008C540C"/>
    <w:rsid w:val="008C792A"/>
    <w:rsid w:val="008D0D67"/>
    <w:rsid w:val="008D3B01"/>
    <w:rsid w:val="008D3EEB"/>
    <w:rsid w:val="008D48F4"/>
    <w:rsid w:val="008E5BAB"/>
    <w:rsid w:val="008F2EC8"/>
    <w:rsid w:val="008F3916"/>
    <w:rsid w:val="009004BB"/>
    <w:rsid w:val="00901CB6"/>
    <w:rsid w:val="009038AE"/>
    <w:rsid w:val="00903E28"/>
    <w:rsid w:val="00910F26"/>
    <w:rsid w:val="00911910"/>
    <w:rsid w:val="00912190"/>
    <w:rsid w:val="009129FE"/>
    <w:rsid w:val="00914FC4"/>
    <w:rsid w:val="00922031"/>
    <w:rsid w:val="00924644"/>
    <w:rsid w:val="00924803"/>
    <w:rsid w:val="00931246"/>
    <w:rsid w:val="00936A0A"/>
    <w:rsid w:val="00941D29"/>
    <w:rsid w:val="009443F5"/>
    <w:rsid w:val="00944880"/>
    <w:rsid w:val="00944C22"/>
    <w:rsid w:val="009461EB"/>
    <w:rsid w:val="00947FB7"/>
    <w:rsid w:val="00953F68"/>
    <w:rsid w:val="00960F33"/>
    <w:rsid w:val="009615CB"/>
    <w:rsid w:val="00961A35"/>
    <w:rsid w:val="00967D80"/>
    <w:rsid w:val="00972E9B"/>
    <w:rsid w:val="009810A1"/>
    <w:rsid w:val="009830AC"/>
    <w:rsid w:val="009830D7"/>
    <w:rsid w:val="00986A9D"/>
    <w:rsid w:val="0099047F"/>
    <w:rsid w:val="00992CEC"/>
    <w:rsid w:val="00997F34"/>
    <w:rsid w:val="009A3C05"/>
    <w:rsid w:val="009A6D78"/>
    <w:rsid w:val="009B0DAB"/>
    <w:rsid w:val="009B75ED"/>
    <w:rsid w:val="009C130E"/>
    <w:rsid w:val="009C321C"/>
    <w:rsid w:val="009C5FB5"/>
    <w:rsid w:val="009C70D2"/>
    <w:rsid w:val="009C7334"/>
    <w:rsid w:val="009D1618"/>
    <w:rsid w:val="009D4C1B"/>
    <w:rsid w:val="009D7295"/>
    <w:rsid w:val="009D78BE"/>
    <w:rsid w:val="009E18C4"/>
    <w:rsid w:val="009E5C45"/>
    <w:rsid w:val="009E7918"/>
    <w:rsid w:val="009E79AE"/>
    <w:rsid w:val="009F0428"/>
    <w:rsid w:val="00A00C47"/>
    <w:rsid w:val="00A00E36"/>
    <w:rsid w:val="00A01057"/>
    <w:rsid w:val="00A01E97"/>
    <w:rsid w:val="00A044C7"/>
    <w:rsid w:val="00A04C94"/>
    <w:rsid w:val="00A056A3"/>
    <w:rsid w:val="00A10D65"/>
    <w:rsid w:val="00A139C1"/>
    <w:rsid w:val="00A13F9E"/>
    <w:rsid w:val="00A15DD5"/>
    <w:rsid w:val="00A16015"/>
    <w:rsid w:val="00A1641B"/>
    <w:rsid w:val="00A2007D"/>
    <w:rsid w:val="00A21F38"/>
    <w:rsid w:val="00A3225D"/>
    <w:rsid w:val="00A324B3"/>
    <w:rsid w:val="00A33919"/>
    <w:rsid w:val="00A350DC"/>
    <w:rsid w:val="00A41CB2"/>
    <w:rsid w:val="00A43753"/>
    <w:rsid w:val="00A47CF9"/>
    <w:rsid w:val="00A53257"/>
    <w:rsid w:val="00A53F22"/>
    <w:rsid w:val="00A550EF"/>
    <w:rsid w:val="00A552C1"/>
    <w:rsid w:val="00A602A4"/>
    <w:rsid w:val="00A61727"/>
    <w:rsid w:val="00A63455"/>
    <w:rsid w:val="00A639A0"/>
    <w:rsid w:val="00A64050"/>
    <w:rsid w:val="00A64701"/>
    <w:rsid w:val="00A658E2"/>
    <w:rsid w:val="00A67344"/>
    <w:rsid w:val="00A70AD9"/>
    <w:rsid w:val="00A71B14"/>
    <w:rsid w:val="00A72A62"/>
    <w:rsid w:val="00A7396E"/>
    <w:rsid w:val="00A7468E"/>
    <w:rsid w:val="00A74771"/>
    <w:rsid w:val="00A77917"/>
    <w:rsid w:val="00A83E9E"/>
    <w:rsid w:val="00A96354"/>
    <w:rsid w:val="00A9639C"/>
    <w:rsid w:val="00AA1850"/>
    <w:rsid w:val="00AA79FD"/>
    <w:rsid w:val="00AB2B1A"/>
    <w:rsid w:val="00AB59CC"/>
    <w:rsid w:val="00AB7C05"/>
    <w:rsid w:val="00AC0624"/>
    <w:rsid w:val="00AC231B"/>
    <w:rsid w:val="00AC2DC9"/>
    <w:rsid w:val="00AC373A"/>
    <w:rsid w:val="00AC5482"/>
    <w:rsid w:val="00AD39B4"/>
    <w:rsid w:val="00AD57DC"/>
    <w:rsid w:val="00AD5ED6"/>
    <w:rsid w:val="00AE02BB"/>
    <w:rsid w:val="00AE0FB5"/>
    <w:rsid w:val="00AE11AB"/>
    <w:rsid w:val="00AF2D79"/>
    <w:rsid w:val="00AF5F89"/>
    <w:rsid w:val="00B03EAF"/>
    <w:rsid w:val="00B12C30"/>
    <w:rsid w:val="00B14085"/>
    <w:rsid w:val="00B20E7F"/>
    <w:rsid w:val="00B224CA"/>
    <w:rsid w:val="00B25262"/>
    <w:rsid w:val="00B27CDA"/>
    <w:rsid w:val="00B3429A"/>
    <w:rsid w:val="00B35A38"/>
    <w:rsid w:val="00B41791"/>
    <w:rsid w:val="00B425DE"/>
    <w:rsid w:val="00B4335A"/>
    <w:rsid w:val="00B45715"/>
    <w:rsid w:val="00B50C2D"/>
    <w:rsid w:val="00B513ED"/>
    <w:rsid w:val="00B51D90"/>
    <w:rsid w:val="00B5549A"/>
    <w:rsid w:val="00B61CAC"/>
    <w:rsid w:val="00B742BC"/>
    <w:rsid w:val="00B77ECB"/>
    <w:rsid w:val="00B8135C"/>
    <w:rsid w:val="00B816C5"/>
    <w:rsid w:val="00B81C36"/>
    <w:rsid w:val="00B84045"/>
    <w:rsid w:val="00B863F9"/>
    <w:rsid w:val="00B873CC"/>
    <w:rsid w:val="00B93EFD"/>
    <w:rsid w:val="00B95C53"/>
    <w:rsid w:val="00BA17CA"/>
    <w:rsid w:val="00BA1BF2"/>
    <w:rsid w:val="00BA4D8D"/>
    <w:rsid w:val="00BB30F8"/>
    <w:rsid w:val="00BB5692"/>
    <w:rsid w:val="00BB5BDF"/>
    <w:rsid w:val="00BC4D51"/>
    <w:rsid w:val="00BC50F3"/>
    <w:rsid w:val="00BD0A30"/>
    <w:rsid w:val="00BD7A48"/>
    <w:rsid w:val="00BE3B79"/>
    <w:rsid w:val="00BE7815"/>
    <w:rsid w:val="00BF019E"/>
    <w:rsid w:val="00BF5E84"/>
    <w:rsid w:val="00C0338A"/>
    <w:rsid w:val="00C058DD"/>
    <w:rsid w:val="00C115F4"/>
    <w:rsid w:val="00C11887"/>
    <w:rsid w:val="00C14D51"/>
    <w:rsid w:val="00C17604"/>
    <w:rsid w:val="00C2318F"/>
    <w:rsid w:val="00C2712D"/>
    <w:rsid w:val="00C3401F"/>
    <w:rsid w:val="00C342C8"/>
    <w:rsid w:val="00C37764"/>
    <w:rsid w:val="00C40F07"/>
    <w:rsid w:val="00C4423A"/>
    <w:rsid w:val="00C46264"/>
    <w:rsid w:val="00C46ADF"/>
    <w:rsid w:val="00C50EBC"/>
    <w:rsid w:val="00C5442E"/>
    <w:rsid w:val="00C55669"/>
    <w:rsid w:val="00C57014"/>
    <w:rsid w:val="00C629B3"/>
    <w:rsid w:val="00C63C68"/>
    <w:rsid w:val="00C65226"/>
    <w:rsid w:val="00C66AAC"/>
    <w:rsid w:val="00C71D35"/>
    <w:rsid w:val="00C7210C"/>
    <w:rsid w:val="00C7586E"/>
    <w:rsid w:val="00C763F8"/>
    <w:rsid w:val="00C76435"/>
    <w:rsid w:val="00C844A0"/>
    <w:rsid w:val="00C8530C"/>
    <w:rsid w:val="00C8534E"/>
    <w:rsid w:val="00C86736"/>
    <w:rsid w:val="00C90062"/>
    <w:rsid w:val="00C9149D"/>
    <w:rsid w:val="00C915A2"/>
    <w:rsid w:val="00C954CB"/>
    <w:rsid w:val="00C955E8"/>
    <w:rsid w:val="00C960DF"/>
    <w:rsid w:val="00C96EC9"/>
    <w:rsid w:val="00C97D9D"/>
    <w:rsid w:val="00CA1041"/>
    <w:rsid w:val="00CA6529"/>
    <w:rsid w:val="00CB0FAF"/>
    <w:rsid w:val="00CB2724"/>
    <w:rsid w:val="00CB273D"/>
    <w:rsid w:val="00CB4076"/>
    <w:rsid w:val="00CB4CB7"/>
    <w:rsid w:val="00CC0326"/>
    <w:rsid w:val="00CC0F03"/>
    <w:rsid w:val="00CC3FA3"/>
    <w:rsid w:val="00CC69DB"/>
    <w:rsid w:val="00CD0ADA"/>
    <w:rsid w:val="00CD13A4"/>
    <w:rsid w:val="00CD26AC"/>
    <w:rsid w:val="00CD280C"/>
    <w:rsid w:val="00CD3845"/>
    <w:rsid w:val="00CE238F"/>
    <w:rsid w:val="00CE2E35"/>
    <w:rsid w:val="00CE4E9F"/>
    <w:rsid w:val="00CE76C4"/>
    <w:rsid w:val="00CE7752"/>
    <w:rsid w:val="00CF1712"/>
    <w:rsid w:val="00CF1A67"/>
    <w:rsid w:val="00CF551C"/>
    <w:rsid w:val="00CF60EE"/>
    <w:rsid w:val="00CF7B8E"/>
    <w:rsid w:val="00D01F91"/>
    <w:rsid w:val="00D05C86"/>
    <w:rsid w:val="00D063C2"/>
    <w:rsid w:val="00D06D56"/>
    <w:rsid w:val="00D07EC5"/>
    <w:rsid w:val="00D13F3B"/>
    <w:rsid w:val="00D16F17"/>
    <w:rsid w:val="00D204BD"/>
    <w:rsid w:val="00D20C90"/>
    <w:rsid w:val="00D20D0D"/>
    <w:rsid w:val="00D215E2"/>
    <w:rsid w:val="00D31139"/>
    <w:rsid w:val="00D32419"/>
    <w:rsid w:val="00D353CA"/>
    <w:rsid w:val="00D378DC"/>
    <w:rsid w:val="00D53B69"/>
    <w:rsid w:val="00D54E14"/>
    <w:rsid w:val="00D553A2"/>
    <w:rsid w:val="00D558CE"/>
    <w:rsid w:val="00D56828"/>
    <w:rsid w:val="00D62BF7"/>
    <w:rsid w:val="00D6304C"/>
    <w:rsid w:val="00D64B33"/>
    <w:rsid w:val="00D66EC9"/>
    <w:rsid w:val="00D7232D"/>
    <w:rsid w:val="00D72CF0"/>
    <w:rsid w:val="00D7707B"/>
    <w:rsid w:val="00D775DB"/>
    <w:rsid w:val="00D81E2D"/>
    <w:rsid w:val="00D870F0"/>
    <w:rsid w:val="00D87F00"/>
    <w:rsid w:val="00D92B3D"/>
    <w:rsid w:val="00D92E92"/>
    <w:rsid w:val="00D9350B"/>
    <w:rsid w:val="00DA46C8"/>
    <w:rsid w:val="00DA4DBC"/>
    <w:rsid w:val="00DA5740"/>
    <w:rsid w:val="00DB0ABC"/>
    <w:rsid w:val="00DB180E"/>
    <w:rsid w:val="00DB47A8"/>
    <w:rsid w:val="00DB60EB"/>
    <w:rsid w:val="00DC68CA"/>
    <w:rsid w:val="00DD205B"/>
    <w:rsid w:val="00DD4037"/>
    <w:rsid w:val="00DD5A32"/>
    <w:rsid w:val="00DD793A"/>
    <w:rsid w:val="00DE465E"/>
    <w:rsid w:val="00DE79BB"/>
    <w:rsid w:val="00DF3251"/>
    <w:rsid w:val="00E00A8F"/>
    <w:rsid w:val="00E02118"/>
    <w:rsid w:val="00E0319C"/>
    <w:rsid w:val="00E04188"/>
    <w:rsid w:val="00E04D6D"/>
    <w:rsid w:val="00E1078D"/>
    <w:rsid w:val="00E143B9"/>
    <w:rsid w:val="00E15EC9"/>
    <w:rsid w:val="00E17F7C"/>
    <w:rsid w:val="00E208AE"/>
    <w:rsid w:val="00E208E3"/>
    <w:rsid w:val="00E23A96"/>
    <w:rsid w:val="00E24F4F"/>
    <w:rsid w:val="00E3009C"/>
    <w:rsid w:val="00E360F5"/>
    <w:rsid w:val="00E41000"/>
    <w:rsid w:val="00E41229"/>
    <w:rsid w:val="00E41C7A"/>
    <w:rsid w:val="00E4317C"/>
    <w:rsid w:val="00E47E87"/>
    <w:rsid w:val="00E51847"/>
    <w:rsid w:val="00E53267"/>
    <w:rsid w:val="00E53FD0"/>
    <w:rsid w:val="00E55012"/>
    <w:rsid w:val="00E558C2"/>
    <w:rsid w:val="00E618C2"/>
    <w:rsid w:val="00E65515"/>
    <w:rsid w:val="00E679D6"/>
    <w:rsid w:val="00E67E6B"/>
    <w:rsid w:val="00E71275"/>
    <w:rsid w:val="00E73701"/>
    <w:rsid w:val="00E804F9"/>
    <w:rsid w:val="00E809C5"/>
    <w:rsid w:val="00E822DE"/>
    <w:rsid w:val="00E829E3"/>
    <w:rsid w:val="00E83483"/>
    <w:rsid w:val="00E84C1C"/>
    <w:rsid w:val="00E85B7B"/>
    <w:rsid w:val="00E86A6D"/>
    <w:rsid w:val="00E90828"/>
    <w:rsid w:val="00E916BA"/>
    <w:rsid w:val="00E91C00"/>
    <w:rsid w:val="00EA2F19"/>
    <w:rsid w:val="00EB5526"/>
    <w:rsid w:val="00EC0327"/>
    <w:rsid w:val="00EC4042"/>
    <w:rsid w:val="00EC57FA"/>
    <w:rsid w:val="00ED1D0A"/>
    <w:rsid w:val="00ED2005"/>
    <w:rsid w:val="00ED2752"/>
    <w:rsid w:val="00ED4C54"/>
    <w:rsid w:val="00ED4C61"/>
    <w:rsid w:val="00ED65EC"/>
    <w:rsid w:val="00ED69E9"/>
    <w:rsid w:val="00ED79D0"/>
    <w:rsid w:val="00EE1DC3"/>
    <w:rsid w:val="00EE6279"/>
    <w:rsid w:val="00EE7668"/>
    <w:rsid w:val="00EE7D9D"/>
    <w:rsid w:val="00EF2811"/>
    <w:rsid w:val="00EF3763"/>
    <w:rsid w:val="00EF50E4"/>
    <w:rsid w:val="00EF6109"/>
    <w:rsid w:val="00EF738B"/>
    <w:rsid w:val="00F14F32"/>
    <w:rsid w:val="00F15365"/>
    <w:rsid w:val="00F16F05"/>
    <w:rsid w:val="00F245F6"/>
    <w:rsid w:val="00F26C74"/>
    <w:rsid w:val="00F3303E"/>
    <w:rsid w:val="00F35C82"/>
    <w:rsid w:val="00F36C71"/>
    <w:rsid w:val="00F36C8A"/>
    <w:rsid w:val="00F44177"/>
    <w:rsid w:val="00F529C2"/>
    <w:rsid w:val="00F66CF1"/>
    <w:rsid w:val="00F73205"/>
    <w:rsid w:val="00F73460"/>
    <w:rsid w:val="00F7399C"/>
    <w:rsid w:val="00F7779C"/>
    <w:rsid w:val="00F83C90"/>
    <w:rsid w:val="00F848D0"/>
    <w:rsid w:val="00F85EBD"/>
    <w:rsid w:val="00F974B1"/>
    <w:rsid w:val="00FA082E"/>
    <w:rsid w:val="00FA5229"/>
    <w:rsid w:val="00FA6A14"/>
    <w:rsid w:val="00FA7F33"/>
    <w:rsid w:val="00FB20F6"/>
    <w:rsid w:val="00FB6E9F"/>
    <w:rsid w:val="00FC0327"/>
    <w:rsid w:val="00FD3923"/>
    <w:rsid w:val="00FD3B4F"/>
    <w:rsid w:val="00FD741D"/>
    <w:rsid w:val="00FD7C99"/>
    <w:rsid w:val="00FE3284"/>
    <w:rsid w:val="00FE58E6"/>
    <w:rsid w:val="00FE7610"/>
    <w:rsid w:val="00FF1158"/>
    <w:rsid w:val="00FF3CE8"/>
    <w:rsid w:val="00FF4A8D"/>
    <w:rsid w:val="00FF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07C4"/>
  <w15:docId w15:val="{99AE91DA-5542-4B07-8D83-DD1E48EB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6AAC"/>
    <w:pPr>
      <w:ind w:left="720"/>
      <w:contextualSpacing/>
    </w:pPr>
  </w:style>
  <w:style w:type="table" w:styleId="Grigliatabella">
    <w:name w:val="Table Grid"/>
    <w:basedOn w:val="Tabellanormale"/>
    <w:uiPriority w:val="39"/>
    <w:unhideWhenUsed/>
    <w:rsid w:val="00C55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F25DB"/>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Rimandocommento">
    <w:name w:val="annotation reference"/>
    <w:basedOn w:val="Carpredefinitoparagrafo"/>
    <w:uiPriority w:val="99"/>
    <w:semiHidden/>
    <w:unhideWhenUsed/>
    <w:rsid w:val="00C8534E"/>
    <w:rPr>
      <w:sz w:val="16"/>
      <w:szCs w:val="16"/>
    </w:rPr>
  </w:style>
  <w:style w:type="paragraph" w:styleId="Testocommento">
    <w:name w:val="annotation text"/>
    <w:basedOn w:val="Normale"/>
    <w:link w:val="TestocommentoCarattere"/>
    <w:uiPriority w:val="99"/>
    <w:unhideWhenUsed/>
    <w:rsid w:val="00C8534E"/>
    <w:pPr>
      <w:spacing w:line="240" w:lineRule="auto"/>
    </w:pPr>
    <w:rPr>
      <w:sz w:val="20"/>
      <w:szCs w:val="20"/>
      <w:lang w:val="en-NZ"/>
    </w:rPr>
  </w:style>
  <w:style w:type="character" w:customStyle="1" w:styleId="TestocommentoCarattere">
    <w:name w:val="Testo commento Carattere"/>
    <w:basedOn w:val="Carpredefinitoparagrafo"/>
    <w:link w:val="Testocommento"/>
    <w:uiPriority w:val="99"/>
    <w:rsid w:val="00C8534E"/>
    <w:rPr>
      <w:sz w:val="20"/>
      <w:szCs w:val="20"/>
      <w:lang w:val="en-NZ"/>
    </w:rPr>
  </w:style>
  <w:style w:type="paragraph" w:styleId="Soggettocommento">
    <w:name w:val="annotation subject"/>
    <w:basedOn w:val="Testocommento"/>
    <w:next w:val="Testocommento"/>
    <w:link w:val="SoggettocommentoCarattere"/>
    <w:uiPriority w:val="99"/>
    <w:semiHidden/>
    <w:unhideWhenUsed/>
    <w:rsid w:val="007D0ACC"/>
    <w:rPr>
      <w:b/>
      <w:bCs/>
      <w:lang w:val="en-US"/>
    </w:rPr>
  </w:style>
  <w:style w:type="character" w:customStyle="1" w:styleId="SoggettocommentoCarattere">
    <w:name w:val="Soggetto commento Carattere"/>
    <w:basedOn w:val="TestocommentoCarattere"/>
    <w:link w:val="Soggettocommento"/>
    <w:uiPriority w:val="99"/>
    <w:semiHidden/>
    <w:rsid w:val="007D0ACC"/>
    <w:rPr>
      <w:b/>
      <w:bCs/>
      <w:sz w:val="20"/>
      <w:szCs w:val="20"/>
      <w:lang w:val="en-NZ"/>
    </w:rPr>
  </w:style>
  <w:style w:type="paragraph" w:styleId="Intestazione">
    <w:name w:val="header"/>
    <w:basedOn w:val="Normale"/>
    <w:link w:val="IntestazioneCarattere"/>
    <w:uiPriority w:val="99"/>
    <w:unhideWhenUsed/>
    <w:rsid w:val="005025A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025AE"/>
  </w:style>
  <w:style w:type="paragraph" w:styleId="Pidipagina">
    <w:name w:val="footer"/>
    <w:basedOn w:val="Normale"/>
    <w:link w:val="PidipaginaCarattere"/>
    <w:uiPriority w:val="99"/>
    <w:unhideWhenUsed/>
    <w:rsid w:val="005025A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025AE"/>
  </w:style>
  <w:style w:type="paragraph" w:styleId="Revisione">
    <w:name w:val="Revision"/>
    <w:hidden/>
    <w:uiPriority w:val="99"/>
    <w:semiHidden/>
    <w:rsid w:val="00936A0A"/>
    <w:pPr>
      <w:spacing w:after="0" w:line="240" w:lineRule="auto"/>
    </w:pPr>
  </w:style>
  <w:style w:type="paragraph" w:styleId="Testonormale">
    <w:name w:val="Plain Text"/>
    <w:basedOn w:val="Normale"/>
    <w:link w:val="TestonormaleCarattere"/>
    <w:uiPriority w:val="99"/>
    <w:unhideWhenUsed/>
    <w:rsid w:val="00E360F5"/>
    <w:pPr>
      <w:spacing w:after="0" w:line="240" w:lineRule="auto"/>
    </w:pPr>
    <w:rPr>
      <w:rFonts w:ascii="Calibri" w:eastAsia="Times New Roman" w:hAnsi="Calibri" w:cs="Times New Roman"/>
      <w:szCs w:val="21"/>
    </w:rPr>
  </w:style>
  <w:style w:type="character" w:customStyle="1" w:styleId="TestonormaleCarattere">
    <w:name w:val="Testo normale Carattere"/>
    <w:basedOn w:val="Carpredefinitoparagrafo"/>
    <w:link w:val="Testonormale"/>
    <w:uiPriority w:val="99"/>
    <w:rsid w:val="00E360F5"/>
    <w:rPr>
      <w:rFonts w:ascii="Calibri" w:eastAsia="Times New Roman" w:hAnsi="Calibri" w:cs="Times New Roman"/>
      <w:szCs w:val="21"/>
    </w:rPr>
  </w:style>
  <w:style w:type="paragraph" w:styleId="Testofumetto">
    <w:name w:val="Balloon Text"/>
    <w:basedOn w:val="Normale"/>
    <w:link w:val="TestofumettoCarattere"/>
    <w:uiPriority w:val="99"/>
    <w:semiHidden/>
    <w:unhideWhenUsed/>
    <w:rsid w:val="007B66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6632"/>
    <w:rPr>
      <w:rFonts w:ascii="Tahoma" w:hAnsi="Tahoma" w:cs="Tahoma"/>
      <w:sz w:val="16"/>
      <w:szCs w:val="16"/>
    </w:rPr>
  </w:style>
  <w:style w:type="character" w:customStyle="1" w:styleId="UnresolvedMention1">
    <w:name w:val="Unresolved Mention1"/>
    <w:basedOn w:val="Carpredefinitoparagrafo"/>
    <w:uiPriority w:val="99"/>
    <w:unhideWhenUsed/>
    <w:rsid w:val="00C76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4230">
      <w:bodyDiv w:val="1"/>
      <w:marLeft w:val="0"/>
      <w:marRight w:val="0"/>
      <w:marTop w:val="0"/>
      <w:marBottom w:val="0"/>
      <w:divBdr>
        <w:top w:val="none" w:sz="0" w:space="0" w:color="auto"/>
        <w:left w:val="none" w:sz="0" w:space="0" w:color="auto"/>
        <w:bottom w:val="none" w:sz="0" w:space="0" w:color="auto"/>
        <w:right w:val="none" w:sz="0" w:space="0" w:color="auto"/>
      </w:divBdr>
    </w:div>
    <w:div w:id="769853320">
      <w:bodyDiv w:val="1"/>
      <w:marLeft w:val="0"/>
      <w:marRight w:val="0"/>
      <w:marTop w:val="0"/>
      <w:marBottom w:val="0"/>
      <w:divBdr>
        <w:top w:val="none" w:sz="0" w:space="0" w:color="auto"/>
        <w:left w:val="none" w:sz="0" w:space="0" w:color="auto"/>
        <w:bottom w:val="none" w:sz="0" w:space="0" w:color="auto"/>
        <w:right w:val="none" w:sz="0" w:space="0" w:color="auto"/>
      </w:divBdr>
    </w:div>
    <w:div w:id="814879889">
      <w:bodyDiv w:val="1"/>
      <w:marLeft w:val="0"/>
      <w:marRight w:val="0"/>
      <w:marTop w:val="0"/>
      <w:marBottom w:val="0"/>
      <w:divBdr>
        <w:top w:val="none" w:sz="0" w:space="0" w:color="auto"/>
        <w:left w:val="none" w:sz="0" w:space="0" w:color="auto"/>
        <w:bottom w:val="none" w:sz="0" w:space="0" w:color="auto"/>
        <w:right w:val="none" w:sz="0" w:space="0" w:color="auto"/>
      </w:divBdr>
    </w:div>
    <w:div w:id="875124947">
      <w:bodyDiv w:val="1"/>
      <w:marLeft w:val="0"/>
      <w:marRight w:val="0"/>
      <w:marTop w:val="0"/>
      <w:marBottom w:val="0"/>
      <w:divBdr>
        <w:top w:val="none" w:sz="0" w:space="0" w:color="auto"/>
        <w:left w:val="none" w:sz="0" w:space="0" w:color="auto"/>
        <w:bottom w:val="none" w:sz="0" w:space="0" w:color="auto"/>
        <w:right w:val="none" w:sz="0" w:space="0" w:color="auto"/>
      </w:divBdr>
    </w:div>
    <w:div w:id="1545026309">
      <w:bodyDiv w:val="1"/>
      <w:marLeft w:val="0"/>
      <w:marRight w:val="0"/>
      <w:marTop w:val="0"/>
      <w:marBottom w:val="0"/>
      <w:divBdr>
        <w:top w:val="none" w:sz="0" w:space="0" w:color="auto"/>
        <w:left w:val="none" w:sz="0" w:space="0" w:color="auto"/>
        <w:bottom w:val="none" w:sz="0" w:space="0" w:color="auto"/>
        <w:right w:val="none" w:sz="0" w:space="0" w:color="auto"/>
      </w:divBdr>
    </w:div>
    <w:div w:id="176052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4fe632-e419-40ea-910d-d02619aa3042" xsi:nil="true"/>
    <lcf76f155ced4ddcb4097134ff3c332f xmlns="4c332a55-4707-4020-8374-933f2bc26b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4FCC8337D174C93364C702EA1F290" ma:contentTypeVersion="16" ma:contentTypeDescription="Create a new document." ma:contentTypeScope="" ma:versionID="072a645d714d966338a47ebc2e0124e9">
  <xsd:schema xmlns:xsd="http://www.w3.org/2001/XMLSchema" xmlns:xs="http://www.w3.org/2001/XMLSchema" xmlns:p="http://schemas.microsoft.com/office/2006/metadata/properties" xmlns:ns2="4c332a55-4707-4020-8374-933f2bc26be1" xmlns:ns3="a04fe632-e419-40ea-910d-d02619aa3042" targetNamespace="http://schemas.microsoft.com/office/2006/metadata/properties" ma:root="true" ma:fieldsID="8409c2a9c91e229fdb3606ed31480f25" ns2:_="" ns3:_="">
    <xsd:import namespace="4c332a55-4707-4020-8374-933f2bc26be1"/>
    <xsd:import namespace="a04fe632-e419-40ea-910d-d02619aa30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32a55-4707-4020-8374-933f2bc26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4a1aa3-75d4-4ef2-9f98-93d3523777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4fe632-e419-40ea-910d-d02619aa304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9c295e-242c-479f-b203-7a59f5840616}" ma:internalName="TaxCatchAll" ma:showField="CatchAllData" ma:web="a04fe632-e419-40ea-910d-d02619aa3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198F2-CB23-41B0-B5AB-B0D306384645}">
  <ds:schemaRefs>
    <ds:schemaRef ds:uri="http://schemas.microsoft.com/sharepoint/v3/contenttype/forms"/>
  </ds:schemaRefs>
</ds:datastoreItem>
</file>

<file path=customXml/itemProps2.xml><?xml version="1.0" encoding="utf-8"?>
<ds:datastoreItem xmlns:ds="http://schemas.openxmlformats.org/officeDocument/2006/customXml" ds:itemID="{CEE640CA-5846-49B5-B94E-CAFA2A7DF793}">
  <ds:schemaRefs>
    <ds:schemaRef ds:uri="http://schemas.microsoft.com/office/2006/metadata/properties"/>
    <ds:schemaRef ds:uri="http://schemas.microsoft.com/office/infopath/2007/PartnerControls"/>
    <ds:schemaRef ds:uri="a04fe632-e419-40ea-910d-d02619aa3042"/>
    <ds:schemaRef ds:uri="4c332a55-4707-4020-8374-933f2bc26be1"/>
  </ds:schemaRefs>
</ds:datastoreItem>
</file>

<file path=customXml/itemProps3.xml><?xml version="1.0" encoding="utf-8"?>
<ds:datastoreItem xmlns:ds="http://schemas.openxmlformats.org/officeDocument/2006/customXml" ds:itemID="{14571E86-A61F-4EB9-A44D-34E4B3A78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32a55-4707-4020-8374-933f2bc26be1"/>
    <ds:schemaRef ds:uri="a04fe632-e419-40ea-910d-d02619aa3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D10D1-3D01-48AD-B953-11D7411B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3729</Words>
  <Characters>21259</Characters>
  <Application>Microsoft Office Word</Application>
  <DocSecurity>0</DocSecurity>
  <Lines>177</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Benedetti</dc:creator>
  <cp:lastModifiedBy>De Benedetti Fabrizio</cp:lastModifiedBy>
  <cp:revision>6</cp:revision>
  <cp:lastPrinted>2022-11-28T17:19:00Z</cp:lastPrinted>
  <dcterms:created xsi:type="dcterms:W3CDTF">2022-12-05T02:51:00Z</dcterms:created>
  <dcterms:modified xsi:type="dcterms:W3CDTF">2022-12-06T07:59:00Z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0x0101005794FCC8337D174C93364C702EA1F290</vt:lpwstr>
  </property>
  <property fmtid="{D5CDD505-2E9C-101B-9397-08002B2CF9AE}" pid="3" name="MediaServiceImageTags">
    <vt:lpwstr/>
  </property>
</Properties>
</file>