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71DA1" w14:textId="77777777" w:rsidR="00BE4036" w:rsidRPr="00DD3842" w:rsidRDefault="00BE4036" w:rsidP="00BE4036">
      <w:pPr>
        <w:rPr>
          <w:b/>
          <w:bCs/>
        </w:rPr>
      </w:pPr>
      <w:r w:rsidRPr="00DD3842">
        <w:rPr>
          <w:b/>
          <w:bCs/>
        </w:rPr>
        <w:t>Supplementary Material</w:t>
      </w:r>
    </w:p>
    <w:p w14:paraId="60087278" w14:textId="77777777" w:rsidR="00BE4036" w:rsidRPr="00F11DA6" w:rsidRDefault="00BE4036" w:rsidP="00BE4036">
      <w:r w:rsidRPr="00EF54A8">
        <w:rPr>
          <w:i/>
          <w:iCs/>
        </w:rPr>
        <w:t>Summary Statistics</w:t>
      </w:r>
    </w:p>
    <w:tbl>
      <w:tblPr>
        <w:tblStyle w:val="TableGrid"/>
        <w:tblW w:w="9715" w:type="dxa"/>
        <w:tblLook w:val="04A0" w:firstRow="1" w:lastRow="0" w:firstColumn="1" w:lastColumn="0" w:noHBand="0" w:noVBand="1"/>
      </w:tblPr>
      <w:tblGrid>
        <w:gridCol w:w="2245"/>
        <w:gridCol w:w="1170"/>
        <w:gridCol w:w="1350"/>
        <w:gridCol w:w="1350"/>
        <w:gridCol w:w="1350"/>
        <w:gridCol w:w="1170"/>
        <w:gridCol w:w="1080"/>
      </w:tblGrid>
      <w:tr w:rsidR="00BE4036" w:rsidRPr="00F11DA6" w14:paraId="6CC243D0" w14:textId="77777777" w:rsidTr="00E04C88">
        <w:tc>
          <w:tcPr>
            <w:tcW w:w="2245" w:type="dxa"/>
          </w:tcPr>
          <w:p w14:paraId="3F1C3C49" w14:textId="77777777" w:rsidR="00BE4036" w:rsidRPr="00F11DA6" w:rsidRDefault="00BE4036" w:rsidP="00E04C88">
            <w:pPr>
              <w:jc w:val="center"/>
            </w:pPr>
          </w:p>
        </w:tc>
        <w:tc>
          <w:tcPr>
            <w:tcW w:w="1170" w:type="dxa"/>
          </w:tcPr>
          <w:p w14:paraId="39419C6E" w14:textId="77777777" w:rsidR="00BE4036" w:rsidRPr="00F11DA6" w:rsidRDefault="00BE4036" w:rsidP="00E04C88">
            <w:pPr>
              <w:jc w:val="center"/>
            </w:pPr>
            <w:r w:rsidRPr="00F11DA6">
              <w:t>Min</w:t>
            </w:r>
          </w:p>
        </w:tc>
        <w:tc>
          <w:tcPr>
            <w:tcW w:w="1350" w:type="dxa"/>
          </w:tcPr>
          <w:p w14:paraId="251AEE9F" w14:textId="77777777" w:rsidR="00BE4036" w:rsidRPr="00F11DA6" w:rsidRDefault="00BE4036" w:rsidP="00E04C88">
            <w:pPr>
              <w:jc w:val="center"/>
            </w:pPr>
            <w:r w:rsidRPr="00F11DA6">
              <w:t xml:space="preserve">1st </w:t>
            </w:r>
            <w:proofErr w:type="spellStart"/>
            <w:r w:rsidRPr="00F11DA6">
              <w:t>Qtr</w:t>
            </w:r>
            <w:proofErr w:type="spellEnd"/>
          </w:p>
        </w:tc>
        <w:tc>
          <w:tcPr>
            <w:tcW w:w="1350" w:type="dxa"/>
          </w:tcPr>
          <w:p w14:paraId="15410841" w14:textId="77777777" w:rsidR="00BE4036" w:rsidRPr="00F11DA6" w:rsidRDefault="00BE4036" w:rsidP="00E04C88">
            <w:pPr>
              <w:jc w:val="center"/>
            </w:pPr>
            <w:r w:rsidRPr="00F11DA6">
              <w:t>Median</w:t>
            </w:r>
          </w:p>
        </w:tc>
        <w:tc>
          <w:tcPr>
            <w:tcW w:w="1350" w:type="dxa"/>
          </w:tcPr>
          <w:p w14:paraId="7AE66BD1" w14:textId="77777777" w:rsidR="00BE4036" w:rsidRPr="00F11DA6" w:rsidRDefault="00BE4036" w:rsidP="00E04C88">
            <w:pPr>
              <w:jc w:val="center"/>
            </w:pPr>
            <w:r w:rsidRPr="00F11DA6">
              <w:t>Arithmetic Mean</w:t>
            </w:r>
          </w:p>
        </w:tc>
        <w:tc>
          <w:tcPr>
            <w:tcW w:w="1170" w:type="dxa"/>
          </w:tcPr>
          <w:p w14:paraId="74C338B1" w14:textId="77777777" w:rsidR="00BE4036" w:rsidRPr="00F11DA6" w:rsidRDefault="00BE4036" w:rsidP="00E04C88">
            <w:pPr>
              <w:jc w:val="center"/>
            </w:pPr>
            <w:r w:rsidRPr="00F11DA6">
              <w:t xml:space="preserve">3rd </w:t>
            </w:r>
            <w:proofErr w:type="spellStart"/>
            <w:r w:rsidRPr="00F11DA6">
              <w:t>Qtr</w:t>
            </w:r>
            <w:proofErr w:type="spellEnd"/>
          </w:p>
        </w:tc>
        <w:tc>
          <w:tcPr>
            <w:tcW w:w="1080" w:type="dxa"/>
          </w:tcPr>
          <w:p w14:paraId="0062E39A" w14:textId="77777777" w:rsidR="00BE4036" w:rsidRPr="00F11DA6" w:rsidRDefault="00BE4036" w:rsidP="00E04C88">
            <w:pPr>
              <w:jc w:val="center"/>
            </w:pPr>
            <w:r w:rsidRPr="00F11DA6">
              <w:t>Max</w:t>
            </w:r>
          </w:p>
        </w:tc>
      </w:tr>
      <w:tr w:rsidR="00BE4036" w:rsidRPr="00F11DA6" w14:paraId="72822859" w14:textId="77777777" w:rsidTr="00E04C88">
        <w:tc>
          <w:tcPr>
            <w:tcW w:w="2245" w:type="dxa"/>
          </w:tcPr>
          <w:p w14:paraId="73B07D98" w14:textId="77777777" w:rsidR="00BE4036" w:rsidRPr="00F11DA6" w:rsidRDefault="00BE4036" w:rsidP="00E04C88">
            <w:pPr>
              <w:jc w:val="center"/>
            </w:pPr>
            <w:r>
              <w:t xml:space="preserve">Sodium Hypochlorite </w:t>
            </w:r>
            <w:r w:rsidRPr="00F11DA6">
              <w:t>Control</w:t>
            </w:r>
          </w:p>
        </w:tc>
        <w:tc>
          <w:tcPr>
            <w:tcW w:w="1170" w:type="dxa"/>
          </w:tcPr>
          <w:p w14:paraId="54CF222F" w14:textId="77777777" w:rsidR="00BE4036" w:rsidRPr="00F11DA6" w:rsidRDefault="00BE4036" w:rsidP="00E04C88">
            <w:pPr>
              <w:jc w:val="center"/>
            </w:pPr>
            <w:r w:rsidRPr="00F11DA6">
              <w:t>0.0</w:t>
            </w:r>
          </w:p>
        </w:tc>
        <w:tc>
          <w:tcPr>
            <w:tcW w:w="1350" w:type="dxa"/>
          </w:tcPr>
          <w:p w14:paraId="295F498E" w14:textId="77777777" w:rsidR="00BE4036" w:rsidRPr="00F11DA6" w:rsidRDefault="00BE4036" w:rsidP="00E04C88">
            <w:pPr>
              <w:jc w:val="center"/>
            </w:pPr>
            <w:r w:rsidRPr="00F11DA6">
              <w:t>7.0</w:t>
            </w:r>
          </w:p>
        </w:tc>
        <w:tc>
          <w:tcPr>
            <w:tcW w:w="1350" w:type="dxa"/>
          </w:tcPr>
          <w:p w14:paraId="47959651" w14:textId="77777777" w:rsidR="00BE4036" w:rsidRPr="00F11DA6" w:rsidRDefault="00BE4036" w:rsidP="00E04C88">
            <w:pPr>
              <w:jc w:val="center"/>
            </w:pPr>
            <w:r w:rsidRPr="00F11DA6">
              <w:t>20.0</w:t>
            </w:r>
          </w:p>
        </w:tc>
        <w:tc>
          <w:tcPr>
            <w:tcW w:w="1350" w:type="dxa"/>
          </w:tcPr>
          <w:p w14:paraId="50B47113" w14:textId="77777777" w:rsidR="00BE4036" w:rsidRPr="00F11DA6" w:rsidRDefault="00BE4036" w:rsidP="00E04C88">
            <w:pPr>
              <w:jc w:val="center"/>
            </w:pPr>
            <w:r w:rsidRPr="00F11DA6">
              <w:t>30.7</w:t>
            </w:r>
          </w:p>
        </w:tc>
        <w:tc>
          <w:tcPr>
            <w:tcW w:w="1170" w:type="dxa"/>
          </w:tcPr>
          <w:p w14:paraId="3562C2F7" w14:textId="77777777" w:rsidR="00BE4036" w:rsidRPr="00F11DA6" w:rsidRDefault="00BE4036" w:rsidP="00E04C88">
            <w:pPr>
              <w:jc w:val="center"/>
            </w:pPr>
            <w:r w:rsidRPr="00F11DA6">
              <w:t>46.0</w:t>
            </w:r>
          </w:p>
        </w:tc>
        <w:tc>
          <w:tcPr>
            <w:tcW w:w="1080" w:type="dxa"/>
          </w:tcPr>
          <w:p w14:paraId="28DE4823" w14:textId="77777777" w:rsidR="00BE4036" w:rsidRPr="00F11DA6" w:rsidRDefault="00BE4036" w:rsidP="00E04C88">
            <w:pPr>
              <w:jc w:val="center"/>
            </w:pPr>
            <w:r w:rsidRPr="00F11DA6">
              <w:t>155.0</w:t>
            </w:r>
          </w:p>
        </w:tc>
      </w:tr>
      <w:tr w:rsidR="00BE4036" w:rsidRPr="00F11DA6" w14:paraId="39A9FD2F" w14:textId="77777777" w:rsidTr="00E04C88">
        <w:tc>
          <w:tcPr>
            <w:tcW w:w="2245" w:type="dxa"/>
          </w:tcPr>
          <w:p w14:paraId="0652E309" w14:textId="77777777" w:rsidR="00BE4036" w:rsidRPr="00F11DA6" w:rsidRDefault="00BE4036" w:rsidP="00E04C88">
            <w:pPr>
              <w:jc w:val="center"/>
            </w:pPr>
            <w:r>
              <w:t>FF</w:t>
            </w:r>
            <w:r w:rsidRPr="00F11DA6">
              <w:t>UV Control</w:t>
            </w:r>
          </w:p>
        </w:tc>
        <w:tc>
          <w:tcPr>
            <w:tcW w:w="1170" w:type="dxa"/>
          </w:tcPr>
          <w:p w14:paraId="34DC77C2" w14:textId="77777777" w:rsidR="00BE4036" w:rsidRPr="00F11DA6" w:rsidRDefault="00BE4036" w:rsidP="00E04C88">
            <w:pPr>
              <w:jc w:val="center"/>
            </w:pPr>
            <w:r w:rsidRPr="00F11DA6">
              <w:t>0.0</w:t>
            </w:r>
          </w:p>
        </w:tc>
        <w:tc>
          <w:tcPr>
            <w:tcW w:w="1350" w:type="dxa"/>
          </w:tcPr>
          <w:p w14:paraId="08EB1CC1" w14:textId="77777777" w:rsidR="00BE4036" w:rsidRPr="00F11DA6" w:rsidRDefault="00BE4036" w:rsidP="00E04C88">
            <w:pPr>
              <w:jc w:val="center"/>
            </w:pPr>
            <w:r w:rsidRPr="00F11DA6">
              <w:t>8.0</w:t>
            </w:r>
          </w:p>
        </w:tc>
        <w:tc>
          <w:tcPr>
            <w:tcW w:w="1350" w:type="dxa"/>
          </w:tcPr>
          <w:p w14:paraId="3EBAD255" w14:textId="77777777" w:rsidR="00BE4036" w:rsidRPr="00F11DA6" w:rsidRDefault="00BE4036" w:rsidP="00E04C88">
            <w:pPr>
              <w:jc w:val="center"/>
            </w:pPr>
            <w:r w:rsidRPr="00F11DA6">
              <w:t>16.5</w:t>
            </w:r>
          </w:p>
        </w:tc>
        <w:tc>
          <w:tcPr>
            <w:tcW w:w="1350" w:type="dxa"/>
          </w:tcPr>
          <w:p w14:paraId="2023E5E4" w14:textId="77777777" w:rsidR="00BE4036" w:rsidRPr="00F11DA6" w:rsidRDefault="00BE4036" w:rsidP="00E04C88">
            <w:pPr>
              <w:jc w:val="center"/>
            </w:pPr>
            <w:r w:rsidRPr="00F11DA6">
              <w:t>31.1</w:t>
            </w:r>
          </w:p>
        </w:tc>
        <w:tc>
          <w:tcPr>
            <w:tcW w:w="1170" w:type="dxa"/>
          </w:tcPr>
          <w:p w14:paraId="1C371B98" w14:textId="77777777" w:rsidR="00BE4036" w:rsidRPr="00F11DA6" w:rsidRDefault="00BE4036" w:rsidP="00E04C88">
            <w:pPr>
              <w:jc w:val="center"/>
            </w:pPr>
            <w:r w:rsidRPr="00F11DA6">
              <w:t>42.8</w:t>
            </w:r>
          </w:p>
        </w:tc>
        <w:tc>
          <w:tcPr>
            <w:tcW w:w="1080" w:type="dxa"/>
          </w:tcPr>
          <w:p w14:paraId="092A5FCD" w14:textId="77777777" w:rsidR="00BE4036" w:rsidRPr="00F11DA6" w:rsidRDefault="00BE4036" w:rsidP="00E04C88">
            <w:pPr>
              <w:jc w:val="center"/>
            </w:pPr>
            <w:r w:rsidRPr="00F11DA6">
              <w:t>140.0</w:t>
            </w:r>
          </w:p>
        </w:tc>
      </w:tr>
      <w:tr w:rsidR="00BE4036" w:rsidRPr="00F11DA6" w14:paraId="73A74C01" w14:textId="77777777" w:rsidTr="00E04C88">
        <w:tc>
          <w:tcPr>
            <w:tcW w:w="2245" w:type="dxa"/>
          </w:tcPr>
          <w:p w14:paraId="4962D961" w14:textId="77777777" w:rsidR="00BE4036" w:rsidRPr="00F11DA6" w:rsidRDefault="00BE4036" w:rsidP="00E04C88">
            <w:pPr>
              <w:jc w:val="center"/>
            </w:pPr>
            <w:r>
              <w:t xml:space="preserve">Sodium Hypochlorite </w:t>
            </w:r>
            <w:r w:rsidRPr="00F11DA6">
              <w:t>Treatment</w:t>
            </w:r>
          </w:p>
        </w:tc>
        <w:tc>
          <w:tcPr>
            <w:tcW w:w="1170" w:type="dxa"/>
          </w:tcPr>
          <w:p w14:paraId="703A27E4" w14:textId="77777777" w:rsidR="00BE4036" w:rsidRPr="00F11DA6" w:rsidRDefault="00BE4036" w:rsidP="00E04C88">
            <w:pPr>
              <w:jc w:val="center"/>
            </w:pPr>
            <w:r w:rsidRPr="00F11DA6">
              <w:t>0.0</w:t>
            </w:r>
          </w:p>
        </w:tc>
        <w:tc>
          <w:tcPr>
            <w:tcW w:w="1350" w:type="dxa"/>
          </w:tcPr>
          <w:p w14:paraId="021944E0" w14:textId="77777777" w:rsidR="00BE4036" w:rsidRPr="00F11DA6" w:rsidRDefault="00BE4036" w:rsidP="00E04C88">
            <w:pPr>
              <w:jc w:val="center"/>
            </w:pPr>
            <w:r w:rsidRPr="00F11DA6">
              <w:t>0.0</w:t>
            </w:r>
          </w:p>
        </w:tc>
        <w:tc>
          <w:tcPr>
            <w:tcW w:w="1350" w:type="dxa"/>
          </w:tcPr>
          <w:p w14:paraId="1E740059" w14:textId="77777777" w:rsidR="00BE4036" w:rsidRPr="00F11DA6" w:rsidRDefault="00BE4036" w:rsidP="00E04C88">
            <w:pPr>
              <w:jc w:val="center"/>
            </w:pPr>
            <w:r w:rsidRPr="00F11DA6">
              <w:t>0.0</w:t>
            </w:r>
          </w:p>
        </w:tc>
        <w:tc>
          <w:tcPr>
            <w:tcW w:w="1350" w:type="dxa"/>
          </w:tcPr>
          <w:p w14:paraId="633E07EF" w14:textId="77777777" w:rsidR="00BE4036" w:rsidRPr="00F11DA6" w:rsidRDefault="00BE4036" w:rsidP="00E04C88">
            <w:pPr>
              <w:jc w:val="center"/>
            </w:pPr>
            <w:r w:rsidRPr="00F11DA6">
              <w:t>0.2</w:t>
            </w:r>
          </w:p>
        </w:tc>
        <w:tc>
          <w:tcPr>
            <w:tcW w:w="1170" w:type="dxa"/>
          </w:tcPr>
          <w:p w14:paraId="5DC3561B" w14:textId="77777777" w:rsidR="00BE4036" w:rsidRPr="00F11DA6" w:rsidRDefault="00BE4036" w:rsidP="00E04C88">
            <w:pPr>
              <w:jc w:val="center"/>
            </w:pPr>
            <w:r w:rsidRPr="00F11DA6">
              <w:t>0.0</w:t>
            </w:r>
          </w:p>
        </w:tc>
        <w:tc>
          <w:tcPr>
            <w:tcW w:w="1080" w:type="dxa"/>
          </w:tcPr>
          <w:p w14:paraId="29CB346F" w14:textId="77777777" w:rsidR="00BE4036" w:rsidRPr="00F11DA6" w:rsidRDefault="00BE4036" w:rsidP="00E04C88">
            <w:pPr>
              <w:jc w:val="center"/>
            </w:pPr>
            <w:r w:rsidRPr="00F11DA6">
              <w:t>2.0</w:t>
            </w:r>
          </w:p>
        </w:tc>
      </w:tr>
      <w:tr w:rsidR="00BE4036" w:rsidRPr="00F11DA6" w14:paraId="11E93A49" w14:textId="77777777" w:rsidTr="00E04C88">
        <w:tc>
          <w:tcPr>
            <w:tcW w:w="2245" w:type="dxa"/>
          </w:tcPr>
          <w:p w14:paraId="741BBFB7" w14:textId="77777777" w:rsidR="00BE4036" w:rsidRPr="00F11DA6" w:rsidRDefault="00BE4036" w:rsidP="00E04C88">
            <w:pPr>
              <w:jc w:val="center"/>
            </w:pPr>
            <w:r>
              <w:t>FFUV</w:t>
            </w:r>
            <w:r w:rsidRPr="00F11DA6">
              <w:t xml:space="preserve"> Treatment</w:t>
            </w:r>
          </w:p>
        </w:tc>
        <w:tc>
          <w:tcPr>
            <w:tcW w:w="1170" w:type="dxa"/>
          </w:tcPr>
          <w:p w14:paraId="6796CB56" w14:textId="77777777" w:rsidR="00BE4036" w:rsidRPr="00F11DA6" w:rsidRDefault="00BE4036" w:rsidP="00E04C88">
            <w:pPr>
              <w:jc w:val="center"/>
            </w:pPr>
            <w:r w:rsidRPr="00F11DA6">
              <w:t>0.0</w:t>
            </w:r>
          </w:p>
        </w:tc>
        <w:tc>
          <w:tcPr>
            <w:tcW w:w="1350" w:type="dxa"/>
          </w:tcPr>
          <w:p w14:paraId="1F0385D3" w14:textId="77777777" w:rsidR="00BE4036" w:rsidRPr="00F11DA6" w:rsidRDefault="00BE4036" w:rsidP="00E04C88">
            <w:pPr>
              <w:jc w:val="center"/>
            </w:pPr>
            <w:r w:rsidRPr="00F11DA6">
              <w:t>1.0</w:t>
            </w:r>
          </w:p>
        </w:tc>
        <w:tc>
          <w:tcPr>
            <w:tcW w:w="1350" w:type="dxa"/>
          </w:tcPr>
          <w:p w14:paraId="6531B27D" w14:textId="77777777" w:rsidR="00BE4036" w:rsidRPr="00F11DA6" w:rsidRDefault="00BE4036" w:rsidP="00E04C88">
            <w:pPr>
              <w:jc w:val="center"/>
            </w:pPr>
            <w:r w:rsidRPr="00F11DA6">
              <w:t>3.0</w:t>
            </w:r>
          </w:p>
        </w:tc>
        <w:tc>
          <w:tcPr>
            <w:tcW w:w="1350" w:type="dxa"/>
          </w:tcPr>
          <w:p w14:paraId="3E994026" w14:textId="77777777" w:rsidR="00BE4036" w:rsidRPr="00F11DA6" w:rsidRDefault="00BE4036" w:rsidP="00E04C88">
            <w:pPr>
              <w:jc w:val="center"/>
            </w:pPr>
            <w:r w:rsidRPr="00F11DA6">
              <w:t>6.4</w:t>
            </w:r>
          </w:p>
        </w:tc>
        <w:tc>
          <w:tcPr>
            <w:tcW w:w="1170" w:type="dxa"/>
          </w:tcPr>
          <w:p w14:paraId="183ECA5F" w14:textId="77777777" w:rsidR="00BE4036" w:rsidRPr="00F11DA6" w:rsidRDefault="00BE4036" w:rsidP="00E04C88">
            <w:pPr>
              <w:jc w:val="center"/>
            </w:pPr>
            <w:r w:rsidRPr="00F11DA6">
              <w:t>8.0</w:t>
            </w:r>
          </w:p>
        </w:tc>
        <w:tc>
          <w:tcPr>
            <w:tcW w:w="1080" w:type="dxa"/>
          </w:tcPr>
          <w:p w14:paraId="3BE66CD0" w14:textId="77777777" w:rsidR="00BE4036" w:rsidRPr="00F11DA6" w:rsidRDefault="00BE4036" w:rsidP="00E04C88">
            <w:pPr>
              <w:jc w:val="center"/>
            </w:pPr>
            <w:r w:rsidRPr="00F11DA6">
              <w:t>76.0</w:t>
            </w:r>
          </w:p>
        </w:tc>
      </w:tr>
    </w:tbl>
    <w:p w14:paraId="3B6DCA60" w14:textId="77777777" w:rsidR="00BE4036" w:rsidRPr="00F11DA6" w:rsidRDefault="00BE4036" w:rsidP="00BE4036"/>
    <w:p w14:paraId="7DF9A621" w14:textId="77777777" w:rsidR="00BE4036" w:rsidRPr="00EF54A8" w:rsidRDefault="00BE4036" w:rsidP="00BE4036">
      <w:pPr>
        <w:spacing w:after="0" w:line="480" w:lineRule="auto"/>
        <w:rPr>
          <w:i/>
          <w:iCs/>
        </w:rPr>
      </w:pPr>
      <w:r>
        <w:rPr>
          <w:i/>
          <w:iCs/>
        </w:rPr>
        <w:t>Model Specification and Results</w:t>
      </w:r>
    </w:p>
    <w:p w14:paraId="6D673759" w14:textId="77777777" w:rsidR="00BE4036" w:rsidRPr="00F11DA6" w:rsidRDefault="00BE4036" w:rsidP="00BE4036">
      <w:pPr>
        <w:spacing w:after="0" w:line="480" w:lineRule="auto"/>
      </w:pPr>
      <w:r w:rsidRPr="00F11DA6">
        <w:t>Normal</w:t>
      </w:r>
      <w:r>
        <w:t xml:space="preserve"> </w:t>
      </w:r>
      <w:r w:rsidRPr="00F11DA6">
        <w:t>(0, 2.5) priors were specified for fixed effects and normal</w:t>
      </w:r>
      <w:r>
        <w:t xml:space="preserve"> </w:t>
      </w:r>
      <w:r w:rsidRPr="00F11DA6">
        <w:t xml:space="preserve">(0, 2) priors for varying intercepts. A student </w:t>
      </w:r>
      <w:proofErr w:type="spellStart"/>
      <w:r w:rsidRPr="00F11DA6">
        <w:t>t</w:t>
      </w:r>
      <w:proofErr w:type="spellEnd"/>
      <w:r>
        <w:t xml:space="preserve"> </w:t>
      </w:r>
      <w:r w:rsidRPr="00F11DA6">
        <w:t>(3, 1.6, 2.5) and gamma</w:t>
      </w:r>
      <w:r>
        <w:t xml:space="preserve"> </w:t>
      </w:r>
      <w:r w:rsidRPr="00F11DA6">
        <w:t xml:space="preserve">(0.01, 0.01) prior were specified for the intercept and negative binomial dispersion parameter, respectively. The model was assessed for convergence and fit using MCMC trace plots, </w:t>
      </w:r>
      <w:proofErr w:type="spellStart"/>
      <w:r w:rsidRPr="00F11DA6">
        <w:t>Rhat</w:t>
      </w:r>
      <w:proofErr w:type="spellEnd"/>
      <w:r w:rsidRPr="00F11DA6">
        <w:t xml:space="preserve"> diagnostic, and posterior predictive checks. </w:t>
      </w:r>
    </w:p>
    <w:p w14:paraId="2BC338CF" w14:textId="77777777" w:rsidR="00BE4036" w:rsidRPr="00F11DA6" w:rsidRDefault="00BE4036" w:rsidP="00BE4036">
      <w:r w:rsidRPr="00F11DA6">
        <w:t>Model Results</w:t>
      </w:r>
    </w:p>
    <w:tbl>
      <w:tblPr>
        <w:tblStyle w:val="TableGrid"/>
        <w:tblW w:w="0" w:type="auto"/>
        <w:tblLook w:val="04A0" w:firstRow="1" w:lastRow="0" w:firstColumn="1" w:lastColumn="0" w:noHBand="0" w:noVBand="1"/>
      </w:tblPr>
      <w:tblGrid>
        <w:gridCol w:w="2252"/>
        <w:gridCol w:w="1766"/>
        <w:gridCol w:w="1734"/>
        <w:gridCol w:w="1799"/>
        <w:gridCol w:w="1799"/>
      </w:tblGrid>
      <w:tr w:rsidR="00BE4036" w:rsidRPr="00F11DA6" w14:paraId="40D71664" w14:textId="77777777" w:rsidTr="00E04C88">
        <w:tc>
          <w:tcPr>
            <w:tcW w:w="9350" w:type="dxa"/>
            <w:gridSpan w:val="5"/>
          </w:tcPr>
          <w:p w14:paraId="7B673131" w14:textId="77777777" w:rsidR="00BE4036" w:rsidRPr="00F11DA6" w:rsidRDefault="00BE4036" w:rsidP="00E04C88">
            <w:pPr>
              <w:jc w:val="center"/>
            </w:pPr>
            <w:r w:rsidRPr="00F11DA6">
              <w:t xml:space="preserve">Negative Binomial Model Results on Analysis Dataset (n experiments=86, n </w:t>
            </w:r>
            <w:proofErr w:type="spellStart"/>
            <w:r w:rsidRPr="00F11DA6">
              <w:t>obs</w:t>
            </w:r>
            <w:proofErr w:type="spellEnd"/>
            <w:r w:rsidRPr="00F11DA6">
              <w:t>=344)</w:t>
            </w:r>
          </w:p>
        </w:tc>
      </w:tr>
      <w:tr w:rsidR="00BE4036" w:rsidRPr="00F11DA6" w14:paraId="139D173A" w14:textId="77777777" w:rsidTr="00E04C88">
        <w:tc>
          <w:tcPr>
            <w:tcW w:w="1870" w:type="dxa"/>
          </w:tcPr>
          <w:p w14:paraId="1682E242" w14:textId="77777777" w:rsidR="00BE4036" w:rsidRPr="00F11DA6" w:rsidRDefault="00BE4036" w:rsidP="00E04C88">
            <w:pPr>
              <w:jc w:val="center"/>
            </w:pPr>
          </w:p>
        </w:tc>
        <w:tc>
          <w:tcPr>
            <w:tcW w:w="1870" w:type="dxa"/>
          </w:tcPr>
          <w:p w14:paraId="362EAEFB" w14:textId="77777777" w:rsidR="00BE4036" w:rsidRPr="00F11DA6" w:rsidRDefault="00BE4036" w:rsidP="00E04C88">
            <w:pPr>
              <w:jc w:val="center"/>
            </w:pPr>
            <w:r w:rsidRPr="00F11DA6">
              <w:t>Estimate for Mean</w:t>
            </w:r>
          </w:p>
        </w:tc>
        <w:tc>
          <w:tcPr>
            <w:tcW w:w="1870" w:type="dxa"/>
          </w:tcPr>
          <w:p w14:paraId="37FBA515" w14:textId="77777777" w:rsidR="00BE4036" w:rsidRPr="00F11DA6" w:rsidRDefault="00BE4036" w:rsidP="00E04C88">
            <w:pPr>
              <w:jc w:val="center"/>
            </w:pPr>
            <w:r w:rsidRPr="00F11DA6">
              <w:t>SE of mean</w:t>
            </w:r>
          </w:p>
        </w:tc>
        <w:tc>
          <w:tcPr>
            <w:tcW w:w="1870" w:type="dxa"/>
          </w:tcPr>
          <w:p w14:paraId="4BF8DE8F" w14:textId="77777777" w:rsidR="00BE4036" w:rsidRPr="00F11DA6" w:rsidRDefault="00BE4036" w:rsidP="00E04C88">
            <w:pPr>
              <w:jc w:val="center"/>
            </w:pPr>
            <w:r w:rsidRPr="00F11DA6">
              <w:t>Lower Limit of 95% Uncertainty Interval</w:t>
            </w:r>
          </w:p>
        </w:tc>
        <w:tc>
          <w:tcPr>
            <w:tcW w:w="1870" w:type="dxa"/>
          </w:tcPr>
          <w:p w14:paraId="257EFC2D" w14:textId="77777777" w:rsidR="00BE4036" w:rsidRPr="00F11DA6" w:rsidRDefault="00BE4036" w:rsidP="00E04C88">
            <w:pPr>
              <w:jc w:val="center"/>
            </w:pPr>
            <w:r w:rsidRPr="00F11DA6">
              <w:t>Upper Limit of 95% Uncertainty Interval</w:t>
            </w:r>
          </w:p>
        </w:tc>
      </w:tr>
      <w:tr w:rsidR="00BE4036" w:rsidRPr="00F11DA6" w14:paraId="237CB637" w14:textId="77777777" w:rsidTr="00E04C88">
        <w:tc>
          <w:tcPr>
            <w:tcW w:w="1870" w:type="dxa"/>
          </w:tcPr>
          <w:p w14:paraId="0C90CD7C" w14:textId="77777777" w:rsidR="00BE4036" w:rsidRPr="00F11DA6" w:rsidRDefault="00BE4036" w:rsidP="00E04C88">
            <w:pPr>
              <w:jc w:val="center"/>
            </w:pPr>
            <w:r w:rsidRPr="00F11DA6">
              <w:t>Intercept</w:t>
            </w:r>
          </w:p>
        </w:tc>
        <w:tc>
          <w:tcPr>
            <w:tcW w:w="1870" w:type="dxa"/>
          </w:tcPr>
          <w:p w14:paraId="2A27D77A" w14:textId="77777777" w:rsidR="00BE4036" w:rsidRPr="00F11DA6" w:rsidRDefault="00BE4036" w:rsidP="00E04C88">
            <w:pPr>
              <w:jc w:val="center"/>
            </w:pPr>
            <w:r w:rsidRPr="00F11DA6">
              <w:t>3.02</w:t>
            </w:r>
          </w:p>
        </w:tc>
        <w:tc>
          <w:tcPr>
            <w:tcW w:w="1870" w:type="dxa"/>
          </w:tcPr>
          <w:p w14:paraId="55823D75" w14:textId="77777777" w:rsidR="00BE4036" w:rsidRPr="00F11DA6" w:rsidRDefault="00BE4036" w:rsidP="00E04C88">
            <w:pPr>
              <w:jc w:val="center"/>
            </w:pPr>
            <w:r w:rsidRPr="00F11DA6">
              <w:t>0.28</w:t>
            </w:r>
          </w:p>
        </w:tc>
        <w:tc>
          <w:tcPr>
            <w:tcW w:w="1870" w:type="dxa"/>
          </w:tcPr>
          <w:p w14:paraId="007C9F0E" w14:textId="77777777" w:rsidR="00BE4036" w:rsidRPr="00F11DA6" w:rsidRDefault="00BE4036" w:rsidP="00E04C88">
            <w:pPr>
              <w:jc w:val="center"/>
            </w:pPr>
            <w:r w:rsidRPr="00F11DA6">
              <w:t>2.46</w:t>
            </w:r>
          </w:p>
        </w:tc>
        <w:tc>
          <w:tcPr>
            <w:tcW w:w="1870" w:type="dxa"/>
          </w:tcPr>
          <w:p w14:paraId="47EE7EA1" w14:textId="77777777" w:rsidR="00BE4036" w:rsidRPr="00F11DA6" w:rsidRDefault="00BE4036" w:rsidP="00E04C88">
            <w:pPr>
              <w:jc w:val="center"/>
            </w:pPr>
            <w:r w:rsidRPr="00F11DA6">
              <w:t>3.58</w:t>
            </w:r>
          </w:p>
        </w:tc>
      </w:tr>
      <w:tr w:rsidR="00BE4036" w:rsidRPr="00F11DA6" w14:paraId="7687B4B7" w14:textId="77777777" w:rsidTr="00E04C88">
        <w:tc>
          <w:tcPr>
            <w:tcW w:w="1870" w:type="dxa"/>
          </w:tcPr>
          <w:p w14:paraId="0267251D" w14:textId="77777777" w:rsidR="00BE4036" w:rsidRPr="00F11DA6" w:rsidRDefault="00BE4036" w:rsidP="00E04C88">
            <w:pPr>
              <w:jc w:val="center"/>
            </w:pPr>
            <w:r w:rsidRPr="00F11DA6">
              <w:t xml:space="preserve">Treatment </w:t>
            </w:r>
          </w:p>
        </w:tc>
        <w:tc>
          <w:tcPr>
            <w:tcW w:w="1870" w:type="dxa"/>
          </w:tcPr>
          <w:p w14:paraId="4A0787CD" w14:textId="77777777" w:rsidR="00BE4036" w:rsidRPr="00F11DA6" w:rsidRDefault="00BE4036" w:rsidP="00E04C88">
            <w:pPr>
              <w:jc w:val="center"/>
            </w:pPr>
            <w:r w:rsidRPr="00F11DA6">
              <w:t>-5.22</w:t>
            </w:r>
          </w:p>
        </w:tc>
        <w:tc>
          <w:tcPr>
            <w:tcW w:w="1870" w:type="dxa"/>
          </w:tcPr>
          <w:p w14:paraId="1DF19B25" w14:textId="77777777" w:rsidR="00BE4036" w:rsidRPr="00F11DA6" w:rsidRDefault="00BE4036" w:rsidP="00E04C88">
            <w:pPr>
              <w:jc w:val="center"/>
            </w:pPr>
            <w:r w:rsidRPr="00F11DA6">
              <w:t>0.30</w:t>
            </w:r>
          </w:p>
        </w:tc>
        <w:tc>
          <w:tcPr>
            <w:tcW w:w="1870" w:type="dxa"/>
          </w:tcPr>
          <w:p w14:paraId="58D9927D" w14:textId="77777777" w:rsidR="00BE4036" w:rsidRPr="00F11DA6" w:rsidRDefault="00BE4036" w:rsidP="00E04C88">
            <w:pPr>
              <w:jc w:val="center"/>
            </w:pPr>
            <w:r w:rsidRPr="00F11DA6">
              <w:t>-5.38</w:t>
            </w:r>
          </w:p>
        </w:tc>
        <w:tc>
          <w:tcPr>
            <w:tcW w:w="1870" w:type="dxa"/>
          </w:tcPr>
          <w:p w14:paraId="2DD59A28" w14:textId="77777777" w:rsidR="00BE4036" w:rsidRPr="00F11DA6" w:rsidRDefault="00BE4036" w:rsidP="00E04C88">
            <w:pPr>
              <w:jc w:val="center"/>
            </w:pPr>
            <w:r w:rsidRPr="00F11DA6">
              <w:t>-4.65</w:t>
            </w:r>
          </w:p>
        </w:tc>
      </w:tr>
      <w:tr w:rsidR="00BE4036" w:rsidRPr="00F11DA6" w14:paraId="00C9B279" w14:textId="77777777" w:rsidTr="00E04C88">
        <w:tc>
          <w:tcPr>
            <w:tcW w:w="1870" w:type="dxa"/>
          </w:tcPr>
          <w:p w14:paraId="4F2CB58F" w14:textId="77777777" w:rsidR="00BE4036" w:rsidRPr="00F11DA6" w:rsidRDefault="00BE4036" w:rsidP="00E04C88">
            <w:pPr>
              <w:jc w:val="center"/>
            </w:pPr>
            <w:r w:rsidRPr="00F11DA6">
              <w:t>Experiment</w:t>
            </w:r>
          </w:p>
        </w:tc>
        <w:tc>
          <w:tcPr>
            <w:tcW w:w="1870" w:type="dxa"/>
          </w:tcPr>
          <w:p w14:paraId="013E0A24" w14:textId="77777777" w:rsidR="00BE4036" w:rsidRPr="00F11DA6" w:rsidRDefault="00BE4036" w:rsidP="00E04C88">
            <w:pPr>
              <w:jc w:val="center"/>
            </w:pPr>
            <w:r w:rsidRPr="00F11DA6">
              <w:t>0.08</w:t>
            </w:r>
          </w:p>
        </w:tc>
        <w:tc>
          <w:tcPr>
            <w:tcW w:w="1870" w:type="dxa"/>
          </w:tcPr>
          <w:p w14:paraId="4417BCBA" w14:textId="77777777" w:rsidR="00BE4036" w:rsidRPr="00F11DA6" w:rsidRDefault="00BE4036" w:rsidP="00E04C88">
            <w:pPr>
              <w:jc w:val="center"/>
            </w:pPr>
            <w:r w:rsidRPr="00F11DA6">
              <w:t>0.13</w:t>
            </w:r>
          </w:p>
        </w:tc>
        <w:tc>
          <w:tcPr>
            <w:tcW w:w="1870" w:type="dxa"/>
          </w:tcPr>
          <w:p w14:paraId="5DB00782" w14:textId="77777777" w:rsidR="00BE4036" w:rsidRPr="00F11DA6" w:rsidRDefault="00BE4036" w:rsidP="00E04C88">
            <w:pPr>
              <w:jc w:val="center"/>
            </w:pPr>
            <w:r w:rsidRPr="00F11DA6">
              <w:t>-0.18</w:t>
            </w:r>
          </w:p>
        </w:tc>
        <w:tc>
          <w:tcPr>
            <w:tcW w:w="1870" w:type="dxa"/>
          </w:tcPr>
          <w:p w14:paraId="451CE6A9" w14:textId="77777777" w:rsidR="00BE4036" w:rsidRPr="00F11DA6" w:rsidRDefault="00BE4036" w:rsidP="00E04C88">
            <w:pPr>
              <w:jc w:val="center"/>
            </w:pPr>
            <w:r w:rsidRPr="00F11DA6">
              <w:t>0.34</w:t>
            </w:r>
          </w:p>
        </w:tc>
      </w:tr>
      <w:tr w:rsidR="00BE4036" w:rsidRPr="00F11DA6" w14:paraId="75F32E0E" w14:textId="77777777" w:rsidTr="00E04C88">
        <w:tc>
          <w:tcPr>
            <w:tcW w:w="1870" w:type="dxa"/>
          </w:tcPr>
          <w:p w14:paraId="54D06D99" w14:textId="77777777" w:rsidR="00BE4036" w:rsidRPr="00F11DA6" w:rsidRDefault="00BE4036" w:rsidP="00E04C88">
            <w:pPr>
              <w:jc w:val="center"/>
            </w:pPr>
            <w:proofErr w:type="spellStart"/>
            <w:proofErr w:type="gramStart"/>
            <w:r w:rsidRPr="00F11DA6">
              <w:t>Treatment:Experiment</w:t>
            </w:r>
            <w:proofErr w:type="spellEnd"/>
            <w:proofErr w:type="gramEnd"/>
          </w:p>
        </w:tc>
        <w:tc>
          <w:tcPr>
            <w:tcW w:w="1870" w:type="dxa"/>
          </w:tcPr>
          <w:p w14:paraId="5B0975C7" w14:textId="77777777" w:rsidR="00BE4036" w:rsidRPr="00F11DA6" w:rsidRDefault="00BE4036" w:rsidP="00E04C88">
            <w:pPr>
              <w:jc w:val="center"/>
            </w:pPr>
            <w:r w:rsidRPr="00F11DA6">
              <w:t>3.52</w:t>
            </w:r>
          </w:p>
        </w:tc>
        <w:tc>
          <w:tcPr>
            <w:tcW w:w="1870" w:type="dxa"/>
          </w:tcPr>
          <w:p w14:paraId="14F82784" w14:textId="77777777" w:rsidR="00BE4036" w:rsidRPr="00F11DA6" w:rsidRDefault="00BE4036" w:rsidP="00E04C88">
            <w:pPr>
              <w:jc w:val="center"/>
            </w:pPr>
            <w:r w:rsidRPr="00F11DA6">
              <w:t>0.33</w:t>
            </w:r>
          </w:p>
        </w:tc>
        <w:tc>
          <w:tcPr>
            <w:tcW w:w="1870" w:type="dxa"/>
          </w:tcPr>
          <w:p w14:paraId="0F10ACBA" w14:textId="77777777" w:rsidR="00BE4036" w:rsidRPr="00F11DA6" w:rsidRDefault="00BE4036" w:rsidP="00E04C88">
            <w:pPr>
              <w:jc w:val="center"/>
            </w:pPr>
            <w:r w:rsidRPr="00F11DA6">
              <w:t>2.90</w:t>
            </w:r>
          </w:p>
        </w:tc>
        <w:tc>
          <w:tcPr>
            <w:tcW w:w="1870" w:type="dxa"/>
          </w:tcPr>
          <w:p w14:paraId="0DBF10C6" w14:textId="77777777" w:rsidR="00BE4036" w:rsidRPr="00F11DA6" w:rsidRDefault="00BE4036" w:rsidP="00E04C88">
            <w:pPr>
              <w:jc w:val="center"/>
            </w:pPr>
            <w:r w:rsidRPr="00F11DA6">
              <w:t>4.18</w:t>
            </w:r>
          </w:p>
        </w:tc>
      </w:tr>
    </w:tbl>
    <w:p w14:paraId="0D3ABCC9" w14:textId="77777777" w:rsidR="00BE4036" w:rsidRDefault="00BE4036" w:rsidP="00BE4036">
      <w:pPr>
        <w:rPr>
          <w:i/>
          <w:iCs/>
        </w:rPr>
      </w:pPr>
    </w:p>
    <w:p w14:paraId="21691B80" w14:textId="77777777" w:rsidR="00BE4036" w:rsidRPr="00EF54A8" w:rsidRDefault="00BE4036" w:rsidP="00BE4036">
      <w:pPr>
        <w:rPr>
          <w:i/>
          <w:iCs/>
        </w:rPr>
      </w:pPr>
      <w:r w:rsidRPr="00EF54A8">
        <w:rPr>
          <w:i/>
          <w:iCs/>
        </w:rPr>
        <w:t xml:space="preserve">Sensitivity Analysis </w:t>
      </w:r>
    </w:p>
    <w:p w14:paraId="5850C4FB" w14:textId="77777777" w:rsidR="00BE4036" w:rsidRPr="00F11DA6" w:rsidRDefault="00BE4036" w:rsidP="00BE4036">
      <w:r w:rsidRPr="00F11DA6">
        <w:t>The results of the analysis model for both the analysis dataset and the full dataset (minus the 2 erroneous experiments) are shown below. The estimates differed slightly, but the conclusions remained the same, despite the lack of overlap in the controls for UV and bleach group in the full dataset.</w:t>
      </w:r>
    </w:p>
    <w:tbl>
      <w:tblPr>
        <w:tblStyle w:val="TableGrid"/>
        <w:tblW w:w="0" w:type="auto"/>
        <w:tblLook w:val="04A0" w:firstRow="1" w:lastRow="0" w:firstColumn="1" w:lastColumn="0" w:noHBand="0" w:noVBand="1"/>
      </w:tblPr>
      <w:tblGrid>
        <w:gridCol w:w="2252"/>
        <w:gridCol w:w="1766"/>
        <w:gridCol w:w="1734"/>
        <w:gridCol w:w="1799"/>
        <w:gridCol w:w="1799"/>
      </w:tblGrid>
      <w:tr w:rsidR="00BE4036" w:rsidRPr="00F11DA6" w14:paraId="2FCE83F9" w14:textId="77777777" w:rsidTr="00E04C88">
        <w:tc>
          <w:tcPr>
            <w:tcW w:w="9350" w:type="dxa"/>
            <w:gridSpan w:val="5"/>
          </w:tcPr>
          <w:p w14:paraId="2DA1B5F7" w14:textId="77777777" w:rsidR="00BE4036" w:rsidRPr="00F11DA6" w:rsidRDefault="00BE4036" w:rsidP="00E04C88">
            <w:pPr>
              <w:jc w:val="center"/>
            </w:pPr>
            <w:r w:rsidRPr="00F11DA6">
              <w:t xml:space="preserve">Negative Binomial Model Results on Analysis Dataset (n experiments=86, n </w:t>
            </w:r>
            <w:proofErr w:type="spellStart"/>
            <w:r w:rsidRPr="00F11DA6">
              <w:t>obs</w:t>
            </w:r>
            <w:proofErr w:type="spellEnd"/>
            <w:r w:rsidRPr="00F11DA6">
              <w:t>=344)</w:t>
            </w:r>
          </w:p>
        </w:tc>
      </w:tr>
      <w:tr w:rsidR="00BE4036" w:rsidRPr="00F11DA6" w14:paraId="43EAADAC" w14:textId="77777777" w:rsidTr="00E04C88">
        <w:tc>
          <w:tcPr>
            <w:tcW w:w="1870" w:type="dxa"/>
          </w:tcPr>
          <w:p w14:paraId="20A9A6A0" w14:textId="77777777" w:rsidR="00BE4036" w:rsidRPr="00F11DA6" w:rsidRDefault="00BE4036" w:rsidP="00E04C88">
            <w:pPr>
              <w:jc w:val="center"/>
            </w:pPr>
          </w:p>
        </w:tc>
        <w:tc>
          <w:tcPr>
            <w:tcW w:w="1870" w:type="dxa"/>
          </w:tcPr>
          <w:p w14:paraId="276A0053" w14:textId="77777777" w:rsidR="00BE4036" w:rsidRPr="00F11DA6" w:rsidRDefault="00BE4036" w:rsidP="00E04C88">
            <w:pPr>
              <w:jc w:val="center"/>
            </w:pPr>
            <w:r w:rsidRPr="00F11DA6">
              <w:t>Estimate for Mean</w:t>
            </w:r>
          </w:p>
        </w:tc>
        <w:tc>
          <w:tcPr>
            <w:tcW w:w="1870" w:type="dxa"/>
          </w:tcPr>
          <w:p w14:paraId="289B2C79" w14:textId="77777777" w:rsidR="00BE4036" w:rsidRPr="00F11DA6" w:rsidRDefault="00BE4036" w:rsidP="00E04C88">
            <w:pPr>
              <w:jc w:val="center"/>
            </w:pPr>
            <w:r w:rsidRPr="00F11DA6">
              <w:t>SE of mean</w:t>
            </w:r>
          </w:p>
        </w:tc>
        <w:tc>
          <w:tcPr>
            <w:tcW w:w="1870" w:type="dxa"/>
          </w:tcPr>
          <w:p w14:paraId="6405D9E6" w14:textId="77777777" w:rsidR="00BE4036" w:rsidRPr="00F11DA6" w:rsidRDefault="00BE4036" w:rsidP="00E04C88">
            <w:pPr>
              <w:jc w:val="center"/>
            </w:pPr>
            <w:r w:rsidRPr="00F11DA6">
              <w:t>Lower Limit of 95% Uncertainty Interval</w:t>
            </w:r>
          </w:p>
        </w:tc>
        <w:tc>
          <w:tcPr>
            <w:tcW w:w="1870" w:type="dxa"/>
          </w:tcPr>
          <w:p w14:paraId="4F853262" w14:textId="77777777" w:rsidR="00BE4036" w:rsidRPr="00F11DA6" w:rsidRDefault="00BE4036" w:rsidP="00E04C88">
            <w:pPr>
              <w:jc w:val="center"/>
            </w:pPr>
            <w:r w:rsidRPr="00F11DA6">
              <w:t>Upper Limit of 95% Uncertainty Interval</w:t>
            </w:r>
          </w:p>
        </w:tc>
      </w:tr>
      <w:tr w:rsidR="00BE4036" w:rsidRPr="00F11DA6" w14:paraId="40019263" w14:textId="77777777" w:rsidTr="00E04C88">
        <w:tc>
          <w:tcPr>
            <w:tcW w:w="1870" w:type="dxa"/>
          </w:tcPr>
          <w:p w14:paraId="1D1571AF" w14:textId="77777777" w:rsidR="00BE4036" w:rsidRPr="00F11DA6" w:rsidRDefault="00BE4036" w:rsidP="00E04C88">
            <w:pPr>
              <w:jc w:val="center"/>
            </w:pPr>
            <w:r w:rsidRPr="00F11DA6">
              <w:t>Intercept</w:t>
            </w:r>
          </w:p>
        </w:tc>
        <w:tc>
          <w:tcPr>
            <w:tcW w:w="1870" w:type="dxa"/>
          </w:tcPr>
          <w:p w14:paraId="5AB70404" w14:textId="77777777" w:rsidR="00BE4036" w:rsidRPr="00F11DA6" w:rsidRDefault="00BE4036" w:rsidP="00E04C88">
            <w:pPr>
              <w:jc w:val="center"/>
            </w:pPr>
            <w:r w:rsidRPr="00F11DA6">
              <w:t>3.02</w:t>
            </w:r>
          </w:p>
        </w:tc>
        <w:tc>
          <w:tcPr>
            <w:tcW w:w="1870" w:type="dxa"/>
          </w:tcPr>
          <w:p w14:paraId="3A21E532" w14:textId="77777777" w:rsidR="00BE4036" w:rsidRPr="00F11DA6" w:rsidRDefault="00BE4036" w:rsidP="00E04C88">
            <w:pPr>
              <w:jc w:val="center"/>
            </w:pPr>
            <w:r w:rsidRPr="00F11DA6">
              <w:t>0.28</w:t>
            </w:r>
          </w:p>
        </w:tc>
        <w:tc>
          <w:tcPr>
            <w:tcW w:w="1870" w:type="dxa"/>
          </w:tcPr>
          <w:p w14:paraId="41627D8A" w14:textId="77777777" w:rsidR="00BE4036" w:rsidRPr="00F11DA6" w:rsidRDefault="00BE4036" w:rsidP="00E04C88">
            <w:pPr>
              <w:jc w:val="center"/>
            </w:pPr>
            <w:r w:rsidRPr="00F11DA6">
              <w:t>2.46</w:t>
            </w:r>
          </w:p>
        </w:tc>
        <w:tc>
          <w:tcPr>
            <w:tcW w:w="1870" w:type="dxa"/>
          </w:tcPr>
          <w:p w14:paraId="7A76F0D2" w14:textId="77777777" w:rsidR="00BE4036" w:rsidRPr="00F11DA6" w:rsidRDefault="00BE4036" w:rsidP="00E04C88">
            <w:pPr>
              <w:jc w:val="center"/>
            </w:pPr>
            <w:r w:rsidRPr="00F11DA6">
              <w:t>3.58</w:t>
            </w:r>
          </w:p>
        </w:tc>
      </w:tr>
      <w:tr w:rsidR="00BE4036" w:rsidRPr="00F11DA6" w14:paraId="616F6EFC" w14:textId="77777777" w:rsidTr="00E04C88">
        <w:tc>
          <w:tcPr>
            <w:tcW w:w="1870" w:type="dxa"/>
          </w:tcPr>
          <w:p w14:paraId="1759C199" w14:textId="77777777" w:rsidR="00BE4036" w:rsidRPr="00F11DA6" w:rsidRDefault="00BE4036" w:rsidP="00E04C88">
            <w:pPr>
              <w:jc w:val="center"/>
            </w:pPr>
            <w:r w:rsidRPr="00F11DA6">
              <w:t xml:space="preserve">Treatment </w:t>
            </w:r>
          </w:p>
        </w:tc>
        <w:tc>
          <w:tcPr>
            <w:tcW w:w="1870" w:type="dxa"/>
          </w:tcPr>
          <w:p w14:paraId="6964D80E" w14:textId="77777777" w:rsidR="00BE4036" w:rsidRPr="00F11DA6" w:rsidRDefault="00BE4036" w:rsidP="00E04C88">
            <w:pPr>
              <w:jc w:val="center"/>
            </w:pPr>
            <w:r w:rsidRPr="00F11DA6">
              <w:t>-5.22</w:t>
            </w:r>
          </w:p>
        </w:tc>
        <w:tc>
          <w:tcPr>
            <w:tcW w:w="1870" w:type="dxa"/>
          </w:tcPr>
          <w:p w14:paraId="5CC18A3E" w14:textId="77777777" w:rsidR="00BE4036" w:rsidRPr="00F11DA6" w:rsidRDefault="00BE4036" w:rsidP="00E04C88">
            <w:pPr>
              <w:jc w:val="center"/>
            </w:pPr>
            <w:r w:rsidRPr="00F11DA6">
              <w:t>0.30</w:t>
            </w:r>
          </w:p>
        </w:tc>
        <w:tc>
          <w:tcPr>
            <w:tcW w:w="1870" w:type="dxa"/>
          </w:tcPr>
          <w:p w14:paraId="07E161B7" w14:textId="77777777" w:rsidR="00BE4036" w:rsidRPr="00F11DA6" w:rsidRDefault="00BE4036" w:rsidP="00E04C88">
            <w:pPr>
              <w:jc w:val="center"/>
            </w:pPr>
            <w:r w:rsidRPr="00F11DA6">
              <w:t>-5.38</w:t>
            </w:r>
          </w:p>
        </w:tc>
        <w:tc>
          <w:tcPr>
            <w:tcW w:w="1870" w:type="dxa"/>
          </w:tcPr>
          <w:p w14:paraId="6C6E6040" w14:textId="77777777" w:rsidR="00BE4036" w:rsidRPr="00F11DA6" w:rsidRDefault="00BE4036" w:rsidP="00E04C88">
            <w:pPr>
              <w:jc w:val="center"/>
            </w:pPr>
            <w:r w:rsidRPr="00F11DA6">
              <w:t>-4.65</w:t>
            </w:r>
          </w:p>
        </w:tc>
      </w:tr>
      <w:tr w:rsidR="00BE4036" w:rsidRPr="00F11DA6" w14:paraId="7CABA6EE" w14:textId="77777777" w:rsidTr="00E04C88">
        <w:tc>
          <w:tcPr>
            <w:tcW w:w="1870" w:type="dxa"/>
          </w:tcPr>
          <w:p w14:paraId="0B019D94" w14:textId="77777777" w:rsidR="00BE4036" w:rsidRPr="00F11DA6" w:rsidRDefault="00BE4036" w:rsidP="00E04C88">
            <w:pPr>
              <w:jc w:val="center"/>
            </w:pPr>
            <w:r w:rsidRPr="00F11DA6">
              <w:t>Experiment</w:t>
            </w:r>
          </w:p>
        </w:tc>
        <w:tc>
          <w:tcPr>
            <w:tcW w:w="1870" w:type="dxa"/>
          </w:tcPr>
          <w:p w14:paraId="5806FD0C" w14:textId="77777777" w:rsidR="00BE4036" w:rsidRPr="00F11DA6" w:rsidRDefault="00BE4036" w:rsidP="00E04C88">
            <w:pPr>
              <w:jc w:val="center"/>
            </w:pPr>
            <w:r w:rsidRPr="00F11DA6">
              <w:t>0.08</w:t>
            </w:r>
          </w:p>
        </w:tc>
        <w:tc>
          <w:tcPr>
            <w:tcW w:w="1870" w:type="dxa"/>
          </w:tcPr>
          <w:p w14:paraId="1F269DBD" w14:textId="77777777" w:rsidR="00BE4036" w:rsidRPr="00F11DA6" w:rsidRDefault="00BE4036" w:rsidP="00E04C88">
            <w:pPr>
              <w:jc w:val="center"/>
            </w:pPr>
            <w:r w:rsidRPr="00F11DA6">
              <w:t>0.13</w:t>
            </w:r>
          </w:p>
        </w:tc>
        <w:tc>
          <w:tcPr>
            <w:tcW w:w="1870" w:type="dxa"/>
          </w:tcPr>
          <w:p w14:paraId="277E101D" w14:textId="77777777" w:rsidR="00BE4036" w:rsidRPr="00F11DA6" w:rsidRDefault="00BE4036" w:rsidP="00E04C88">
            <w:pPr>
              <w:jc w:val="center"/>
            </w:pPr>
            <w:r w:rsidRPr="00F11DA6">
              <w:t>-0.18</w:t>
            </w:r>
          </w:p>
        </w:tc>
        <w:tc>
          <w:tcPr>
            <w:tcW w:w="1870" w:type="dxa"/>
          </w:tcPr>
          <w:p w14:paraId="2A3CE1B5" w14:textId="77777777" w:rsidR="00BE4036" w:rsidRPr="00F11DA6" w:rsidRDefault="00BE4036" w:rsidP="00E04C88">
            <w:pPr>
              <w:jc w:val="center"/>
            </w:pPr>
            <w:r w:rsidRPr="00F11DA6">
              <w:t>0.34</w:t>
            </w:r>
          </w:p>
        </w:tc>
      </w:tr>
      <w:tr w:rsidR="00BE4036" w:rsidRPr="00F11DA6" w14:paraId="649B542D" w14:textId="77777777" w:rsidTr="00E04C88">
        <w:tc>
          <w:tcPr>
            <w:tcW w:w="1870" w:type="dxa"/>
          </w:tcPr>
          <w:p w14:paraId="602FF1EB" w14:textId="77777777" w:rsidR="00BE4036" w:rsidRPr="00F11DA6" w:rsidRDefault="00BE4036" w:rsidP="00E04C88">
            <w:pPr>
              <w:jc w:val="center"/>
            </w:pPr>
            <w:proofErr w:type="spellStart"/>
            <w:proofErr w:type="gramStart"/>
            <w:r w:rsidRPr="00F11DA6">
              <w:lastRenderedPageBreak/>
              <w:t>Treatment:Experiment</w:t>
            </w:r>
            <w:proofErr w:type="spellEnd"/>
            <w:proofErr w:type="gramEnd"/>
          </w:p>
        </w:tc>
        <w:tc>
          <w:tcPr>
            <w:tcW w:w="1870" w:type="dxa"/>
          </w:tcPr>
          <w:p w14:paraId="2A60AF25" w14:textId="77777777" w:rsidR="00BE4036" w:rsidRPr="00F11DA6" w:rsidRDefault="00BE4036" w:rsidP="00E04C88">
            <w:pPr>
              <w:jc w:val="center"/>
            </w:pPr>
            <w:r w:rsidRPr="00F11DA6">
              <w:t>3.52</w:t>
            </w:r>
          </w:p>
        </w:tc>
        <w:tc>
          <w:tcPr>
            <w:tcW w:w="1870" w:type="dxa"/>
          </w:tcPr>
          <w:p w14:paraId="5A2BF20F" w14:textId="77777777" w:rsidR="00BE4036" w:rsidRPr="00F11DA6" w:rsidRDefault="00BE4036" w:rsidP="00E04C88">
            <w:pPr>
              <w:jc w:val="center"/>
            </w:pPr>
            <w:r w:rsidRPr="00F11DA6">
              <w:t>0.33</w:t>
            </w:r>
          </w:p>
        </w:tc>
        <w:tc>
          <w:tcPr>
            <w:tcW w:w="1870" w:type="dxa"/>
          </w:tcPr>
          <w:p w14:paraId="62F21E8F" w14:textId="77777777" w:rsidR="00BE4036" w:rsidRPr="00F11DA6" w:rsidRDefault="00BE4036" w:rsidP="00E04C88">
            <w:pPr>
              <w:jc w:val="center"/>
            </w:pPr>
            <w:r w:rsidRPr="00F11DA6">
              <w:t>2.90</w:t>
            </w:r>
          </w:p>
        </w:tc>
        <w:tc>
          <w:tcPr>
            <w:tcW w:w="1870" w:type="dxa"/>
          </w:tcPr>
          <w:p w14:paraId="7D8B507A" w14:textId="77777777" w:rsidR="00BE4036" w:rsidRPr="00F11DA6" w:rsidRDefault="00BE4036" w:rsidP="00E04C88">
            <w:pPr>
              <w:jc w:val="center"/>
            </w:pPr>
            <w:r w:rsidRPr="00F11DA6">
              <w:t>4.18</w:t>
            </w:r>
          </w:p>
        </w:tc>
      </w:tr>
    </w:tbl>
    <w:p w14:paraId="35F925EE" w14:textId="77777777" w:rsidR="00BE4036" w:rsidRPr="00F11DA6" w:rsidRDefault="00BE4036" w:rsidP="00BE4036"/>
    <w:tbl>
      <w:tblPr>
        <w:tblStyle w:val="TableGrid"/>
        <w:tblW w:w="0" w:type="auto"/>
        <w:tblLook w:val="04A0" w:firstRow="1" w:lastRow="0" w:firstColumn="1" w:lastColumn="0" w:noHBand="0" w:noVBand="1"/>
      </w:tblPr>
      <w:tblGrid>
        <w:gridCol w:w="2252"/>
        <w:gridCol w:w="1766"/>
        <w:gridCol w:w="1734"/>
        <w:gridCol w:w="1799"/>
        <w:gridCol w:w="1799"/>
      </w:tblGrid>
      <w:tr w:rsidR="00BE4036" w:rsidRPr="00F11DA6" w14:paraId="17CCE45A" w14:textId="77777777" w:rsidTr="00E04C88">
        <w:tc>
          <w:tcPr>
            <w:tcW w:w="9350" w:type="dxa"/>
            <w:gridSpan w:val="5"/>
          </w:tcPr>
          <w:p w14:paraId="3230DE4C" w14:textId="77777777" w:rsidR="00BE4036" w:rsidRPr="00F11DA6" w:rsidRDefault="00BE4036" w:rsidP="00E04C88">
            <w:pPr>
              <w:jc w:val="center"/>
            </w:pPr>
            <w:r w:rsidRPr="00F11DA6">
              <w:t xml:space="preserve">Negative Binomial Model Results on Full Dataset (n experiments=98, n </w:t>
            </w:r>
            <w:proofErr w:type="spellStart"/>
            <w:r w:rsidRPr="00F11DA6">
              <w:t>obs</w:t>
            </w:r>
            <w:proofErr w:type="spellEnd"/>
            <w:r w:rsidRPr="00F11DA6">
              <w:t>=392)</w:t>
            </w:r>
          </w:p>
        </w:tc>
      </w:tr>
      <w:tr w:rsidR="00BE4036" w:rsidRPr="00F11DA6" w14:paraId="0B5AB055" w14:textId="77777777" w:rsidTr="00E04C88">
        <w:tc>
          <w:tcPr>
            <w:tcW w:w="1870" w:type="dxa"/>
          </w:tcPr>
          <w:p w14:paraId="2A6102E6" w14:textId="77777777" w:rsidR="00BE4036" w:rsidRPr="00F11DA6" w:rsidRDefault="00BE4036" w:rsidP="00E04C88">
            <w:pPr>
              <w:jc w:val="center"/>
            </w:pPr>
          </w:p>
        </w:tc>
        <w:tc>
          <w:tcPr>
            <w:tcW w:w="1870" w:type="dxa"/>
          </w:tcPr>
          <w:p w14:paraId="66B8FFDA" w14:textId="77777777" w:rsidR="00BE4036" w:rsidRPr="00F11DA6" w:rsidRDefault="00BE4036" w:rsidP="00E04C88">
            <w:pPr>
              <w:jc w:val="center"/>
            </w:pPr>
            <w:r w:rsidRPr="00F11DA6">
              <w:t>Estimate for Mean</w:t>
            </w:r>
          </w:p>
        </w:tc>
        <w:tc>
          <w:tcPr>
            <w:tcW w:w="1870" w:type="dxa"/>
          </w:tcPr>
          <w:p w14:paraId="623C4747" w14:textId="77777777" w:rsidR="00BE4036" w:rsidRPr="00F11DA6" w:rsidRDefault="00BE4036" w:rsidP="00E04C88">
            <w:pPr>
              <w:jc w:val="center"/>
            </w:pPr>
            <w:r w:rsidRPr="00F11DA6">
              <w:t>SE of mean</w:t>
            </w:r>
          </w:p>
        </w:tc>
        <w:tc>
          <w:tcPr>
            <w:tcW w:w="1870" w:type="dxa"/>
          </w:tcPr>
          <w:p w14:paraId="3D875D03" w14:textId="77777777" w:rsidR="00BE4036" w:rsidRPr="00F11DA6" w:rsidRDefault="00BE4036" w:rsidP="00E04C88">
            <w:pPr>
              <w:jc w:val="center"/>
            </w:pPr>
            <w:r w:rsidRPr="00F11DA6">
              <w:t>Lower Limit of 95% Uncertainty Interval</w:t>
            </w:r>
          </w:p>
        </w:tc>
        <w:tc>
          <w:tcPr>
            <w:tcW w:w="1870" w:type="dxa"/>
          </w:tcPr>
          <w:p w14:paraId="0D081D5A" w14:textId="77777777" w:rsidR="00BE4036" w:rsidRPr="00F11DA6" w:rsidRDefault="00BE4036" w:rsidP="00E04C88">
            <w:pPr>
              <w:jc w:val="center"/>
            </w:pPr>
            <w:r w:rsidRPr="00F11DA6">
              <w:t>Upper Limit of 95% Uncertainty Interval</w:t>
            </w:r>
          </w:p>
        </w:tc>
      </w:tr>
      <w:tr w:rsidR="00BE4036" w:rsidRPr="00F11DA6" w14:paraId="066E4B52" w14:textId="77777777" w:rsidTr="00E04C88">
        <w:tc>
          <w:tcPr>
            <w:tcW w:w="1870" w:type="dxa"/>
          </w:tcPr>
          <w:p w14:paraId="312B6DEB" w14:textId="77777777" w:rsidR="00BE4036" w:rsidRPr="00F11DA6" w:rsidRDefault="00BE4036" w:rsidP="00E04C88">
            <w:pPr>
              <w:jc w:val="center"/>
            </w:pPr>
            <w:r w:rsidRPr="00F11DA6">
              <w:t>Intercept</w:t>
            </w:r>
          </w:p>
        </w:tc>
        <w:tc>
          <w:tcPr>
            <w:tcW w:w="1870" w:type="dxa"/>
          </w:tcPr>
          <w:p w14:paraId="6A249D52" w14:textId="77777777" w:rsidR="00BE4036" w:rsidRPr="00F11DA6" w:rsidRDefault="00BE4036" w:rsidP="00E04C88">
            <w:pPr>
              <w:jc w:val="center"/>
            </w:pPr>
            <w:r w:rsidRPr="00F11DA6">
              <w:t>3.19</w:t>
            </w:r>
          </w:p>
        </w:tc>
        <w:tc>
          <w:tcPr>
            <w:tcW w:w="1870" w:type="dxa"/>
          </w:tcPr>
          <w:p w14:paraId="19B44189" w14:textId="77777777" w:rsidR="00BE4036" w:rsidRPr="00F11DA6" w:rsidRDefault="00BE4036" w:rsidP="00E04C88">
            <w:pPr>
              <w:jc w:val="center"/>
            </w:pPr>
            <w:r w:rsidRPr="00F11DA6">
              <w:t>0.32</w:t>
            </w:r>
          </w:p>
        </w:tc>
        <w:tc>
          <w:tcPr>
            <w:tcW w:w="1870" w:type="dxa"/>
          </w:tcPr>
          <w:p w14:paraId="3342EA14" w14:textId="77777777" w:rsidR="00BE4036" w:rsidRPr="00F11DA6" w:rsidRDefault="00BE4036" w:rsidP="00E04C88">
            <w:pPr>
              <w:jc w:val="center"/>
            </w:pPr>
            <w:r w:rsidRPr="00F11DA6">
              <w:t>2.53</w:t>
            </w:r>
          </w:p>
        </w:tc>
        <w:tc>
          <w:tcPr>
            <w:tcW w:w="1870" w:type="dxa"/>
          </w:tcPr>
          <w:p w14:paraId="291ADBC8" w14:textId="77777777" w:rsidR="00BE4036" w:rsidRPr="00F11DA6" w:rsidRDefault="00BE4036" w:rsidP="00E04C88">
            <w:pPr>
              <w:jc w:val="center"/>
            </w:pPr>
            <w:r w:rsidRPr="00F11DA6">
              <w:t>3.84</w:t>
            </w:r>
          </w:p>
        </w:tc>
      </w:tr>
      <w:tr w:rsidR="00BE4036" w:rsidRPr="00F11DA6" w14:paraId="06CE9015" w14:textId="77777777" w:rsidTr="00E04C88">
        <w:tc>
          <w:tcPr>
            <w:tcW w:w="1870" w:type="dxa"/>
          </w:tcPr>
          <w:p w14:paraId="504C3D17" w14:textId="77777777" w:rsidR="00BE4036" w:rsidRPr="00F11DA6" w:rsidRDefault="00BE4036" w:rsidP="00E04C88">
            <w:pPr>
              <w:jc w:val="center"/>
            </w:pPr>
            <w:r w:rsidRPr="00F11DA6">
              <w:t xml:space="preserve">Treatment </w:t>
            </w:r>
          </w:p>
        </w:tc>
        <w:tc>
          <w:tcPr>
            <w:tcW w:w="1870" w:type="dxa"/>
          </w:tcPr>
          <w:p w14:paraId="17D06CF5" w14:textId="77777777" w:rsidR="00BE4036" w:rsidRPr="00F11DA6" w:rsidRDefault="00BE4036" w:rsidP="00E04C88">
            <w:pPr>
              <w:jc w:val="center"/>
            </w:pPr>
            <w:r w:rsidRPr="00F11DA6">
              <w:t>-5.16</w:t>
            </w:r>
          </w:p>
        </w:tc>
        <w:tc>
          <w:tcPr>
            <w:tcW w:w="1870" w:type="dxa"/>
          </w:tcPr>
          <w:p w14:paraId="31F09F10" w14:textId="77777777" w:rsidR="00BE4036" w:rsidRPr="00F11DA6" w:rsidRDefault="00BE4036" w:rsidP="00E04C88">
            <w:pPr>
              <w:jc w:val="center"/>
            </w:pPr>
            <w:r w:rsidRPr="00F11DA6">
              <w:t>0.25</w:t>
            </w:r>
          </w:p>
        </w:tc>
        <w:tc>
          <w:tcPr>
            <w:tcW w:w="1870" w:type="dxa"/>
          </w:tcPr>
          <w:p w14:paraId="7712FB28" w14:textId="77777777" w:rsidR="00BE4036" w:rsidRPr="00F11DA6" w:rsidRDefault="00BE4036" w:rsidP="00E04C88">
            <w:pPr>
              <w:jc w:val="center"/>
            </w:pPr>
            <w:r w:rsidRPr="00F11DA6">
              <w:t>-5.67</w:t>
            </w:r>
          </w:p>
        </w:tc>
        <w:tc>
          <w:tcPr>
            <w:tcW w:w="1870" w:type="dxa"/>
          </w:tcPr>
          <w:p w14:paraId="2E3A1F46" w14:textId="77777777" w:rsidR="00BE4036" w:rsidRPr="00F11DA6" w:rsidRDefault="00BE4036" w:rsidP="00E04C88">
            <w:pPr>
              <w:jc w:val="center"/>
            </w:pPr>
            <w:r w:rsidRPr="00F11DA6">
              <w:t>-4.68</w:t>
            </w:r>
          </w:p>
        </w:tc>
      </w:tr>
      <w:tr w:rsidR="00BE4036" w:rsidRPr="00F11DA6" w14:paraId="722B2AFA" w14:textId="77777777" w:rsidTr="00E04C88">
        <w:tc>
          <w:tcPr>
            <w:tcW w:w="1870" w:type="dxa"/>
          </w:tcPr>
          <w:p w14:paraId="3D7A2C54" w14:textId="77777777" w:rsidR="00BE4036" w:rsidRPr="00F11DA6" w:rsidRDefault="00BE4036" w:rsidP="00E04C88">
            <w:pPr>
              <w:jc w:val="center"/>
            </w:pPr>
            <w:r w:rsidRPr="00F11DA6">
              <w:t>Experiment</w:t>
            </w:r>
          </w:p>
        </w:tc>
        <w:tc>
          <w:tcPr>
            <w:tcW w:w="1870" w:type="dxa"/>
          </w:tcPr>
          <w:p w14:paraId="13035CEC" w14:textId="77777777" w:rsidR="00BE4036" w:rsidRPr="00F11DA6" w:rsidRDefault="00BE4036" w:rsidP="00E04C88">
            <w:pPr>
              <w:jc w:val="center"/>
            </w:pPr>
            <w:r w:rsidRPr="00F11DA6">
              <w:t>0.30</w:t>
            </w:r>
          </w:p>
        </w:tc>
        <w:tc>
          <w:tcPr>
            <w:tcW w:w="1870" w:type="dxa"/>
          </w:tcPr>
          <w:p w14:paraId="03108B60" w14:textId="77777777" w:rsidR="00BE4036" w:rsidRPr="00F11DA6" w:rsidRDefault="00BE4036" w:rsidP="00E04C88">
            <w:pPr>
              <w:jc w:val="center"/>
            </w:pPr>
            <w:r w:rsidRPr="00F11DA6">
              <w:t>0.14</w:t>
            </w:r>
          </w:p>
        </w:tc>
        <w:tc>
          <w:tcPr>
            <w:tcW w:w="1870" w:type="dxa"/>
          </w:tcPr>
          <w:p w14:paraId="2CBF99D9" w14:textId="77777777" w:rsidR="00BE4036" w:rsidRPr="00F11DA6" w:rsidRDefault="00BE4036" w:rsidP="00E04C88">
            <w:pPr>
              <w:jc w:val="center"/>
            </w:pPr>
            <w:r w:rsidRPr="00F11DA6">
              <w:t>0.01</w:t>
            </w:r>
          </w:p>
        </w:tc>
        <w:tc>
          <w:tcPr>
            <w:tcW w:w="1870" w:type="dxa"/>
          </w:tcPr>
          <w:p w14:paraId="4D7DE79C" w14:textId="77777777" w:rsidR="00BE4036" w:rsidRPr="00F11DA6" w:rsidRDefault="00BE4036" w:rsidP="00E04C88">
            <w:pPr>
              <w:jc w:val="center"/>
            </w:pPr>
            <w:r w:rsidRPr="00F11DA6">
              <w:t>0.57</w:t>
            </w:r>
          </w:p>
        </w:tc>
      </w:tr>
      <w:tr w:rsidR="00BE4036" w:rsidRPr="00F11DA6" w14:paraId="646B14E2" w14:textId="77777777" w:rsidTr="00E04C88">
        <w:tc>
          <w:tcPr>
            <w:tcW w:w="1870" w:type="dxa"/>
          </w:tcPr>
          <w:p w14:paraId="7D1CBAD1" w14:textId="77777777" w:rsidR="00BE4036" w:rsidRPr="00F11DA6" w:rsidRDefault="00BE4036" w:rsidP="00E04C88">
            <w:pPr>
              <w:jc w:val="center"/>
            </w:pPr>
            <w:proofErr w:type="spellStart"/>
            <w:proofErr w:type="gramStart"/>
            <w:r w:rsidRPr="00F11DA6">
              <w:t>Treatment:Experiment</w:t>
            </w:r>
            <w:proofErr w:type="spellEnd"/>
            <w:proofErr w:type="gramEnd"/>
          </w:p>
        </w:tc>
        <w:tc>
          <w:tcPr>
            <w:tcW w:w="1870" w:type="dxa"/>
          </w:tcPr>
          <w:p w14:paraId="5237E9D2" w14:textId="77777777" w:rsidR="00BE4036" w:rsidRPr="00F11DA6" w:rsidRDefault="00BE4036" w:rsidP="00E04C88">
            <w:pPr>
              <w:jc w:val="center"/>
            </w:pPr>
            <w:r w:rsidRPr="00F11DA6">
              <w:t>3.25</w:t>
            </w:r>
          </w:p>
        </w:tc>
        <w:tc>
          <w:tcPr>
            <w:tcW w:w="1870" w:type="dxa"/>
          </w:tcPr>
          <w:p w14:paraId="46120DE8" w14:textId="77777777" w:rsidR="00BE4036" w:rsidRPr="00F11DA6" w:rsidRDefault="00BE4036" w:rsidP="00E04C88">
            <w:pPr>
              <w:jc w:val="center"/>
            </w:pPr>
            <w:r w:rsidRPr="00F11DA6">
              <w:t>0.28</w:t>
            </w:r>
          </w:p>
        </w:tc>
        <w:tc>
          <w:tcPr>
            <w:tcW w:w="1870" w:type="dxa"/>
          </w:tcPr>
          <w:p w14:paraId="3DAC5758" w14:textId="77777777" w:rsidR="00BE4036" w:rsidRPr="00F11DA6" w:rsidRDefault="00BE4036" w:rsidP="00E04C88">
            <w:pPr>
              <w:jc w:val="center"/>
            </w:pPr>
            <w:r w:rsidRPr="00F11DA6">
              <w:t>2.70</w:t>
            </w:r>
          </w:p>
        </w:tc>
        <w:tc>
          <w:tcPr>
            <w:tcW w:w="1870" w:type="dxa"/>
          </w:tcPr>
          <w:p w14:paraId="179FB18C" w14:textId="77777777" w:rsidR="00BE4036" w:rsidRPr="00F11DA6" w:rsidRDefault="00BE4036" w:rsidP="00E04C88">
            <w:pPr>
              <w:jc w:val="center"/>
            </w:pPr>
            <w:r w:rsidRPr="00F11DA6">
              <w:t>3.82</w:t>
            </w:r>
          </w:p>
        </w:tc>
      </w:tr>
    </w:tbl>
    <w:p w14:paraId="7B0D17D0" w14:textId="77777777" w:rsidR="00BE4036" w:rsidRPr="00F11DA6" w:rsidRDefault="00BE4036" w:rsidP="00BE4036"/>
    <w:p w14:paraId="40576E1D" w14:textId="77777777" w:rsidR="00BE4036" w:rsidRPr="00EF54A8" w:rsidRDefault="00BE4036" w:rsidP="00BE4036">
      <w:pPr>
        <w:rPr>
          <w:i/>
          <w:iCs/>
        </w:rPr>
      </w:pPr>
      <w:r w:rsidRPr="00EF54A8">
        <w:rPr>
          <w:i/>
          <w:iCs/>
        </w:rPr>
        <w:t>Group-level effects</w:t>
      </w:r>
    </w:p>
    <w:p w14:paraId="75282992" w14:textId="77777777" w:rsidR="00BE4036" w:rsidRPr="00F11DA6" w:rsidRDefault="00BE4036" w:rsidP="00BE4036">
      <w:r w:rsidRPr="00F11DA6">
        <w:t>Results of the varying intercepts in the hierarchical structure of the data are reported below.</w:t>
      </w:r>
    </w:p>
    <w:tbl>
      <w:tblPr>
        <w:tblStyle w:val="TableGrid"/>
        <w:tblW w:w="0" w:type="auto"/>
        <w:tblLook w:val="04A0" w:firstRow="1" w:lastRow="0" w:firstColumn="1" w:lastColumn="0" w:noHBand="0" w:noVBand="1"/>
      </w:tblPr>
      <w:tblGrid>
        <w:gridCol w:w="2252"/>
        <w:gridCol w:w="1766"/>
        <w:gridCol w:w="1734"/>
        <w:gridCol w:w="1799"/>
        <w:gridCol w:w="1799"/>
      </w:tblGrid>
      <w:tr w:rsidR="00BE4036" w:rsidRPr="00F11DA6" w14:paraId="5C31BEA6" w14:textId="77777777" w:rsidTr="00E04C88">
        <w:tc>
          <w:tcPr>
            <w:tcW w:w="9350" w:type="dxa"/>
            <w:gridSpan w:val="5"/>
          </w:tcPr>
          <w:p w14:paraId="20CFBA7B" w14:textId="77777777" w:rsidR="00BE4036" w:rsidRPr="00F11DA6" w:rsidRDefault="00BE4036" w:rsidP="00E04C88">
            <w:pPr>
              <w:jc w:val="center"/>
            </w:pPr>
            <w:r w:rsidRPr="00F11DA6">
              <w:t>Negative Binomial Model Results on Analysis Dataset: Group-level effects</w:t>
            </w:r>
          </w:p>
        </w:tc>
      </w:tr>
      <w:tr w:rsidR="00BE4036" w:rsidRPr="00F11DA6" w14:paraId="1547BFF8" w14:textId="77777777" w:rsidTr="00E04C88">
        <w:tc>
          <w:tcPr>
            <w:tcW w:w="2252" w:type="dxa"/>
          </w:tcPr>
          <w:p w14:paraId="7B6BC875" w14:textId="77777777" w:rsidR="00BE4036" w:rsidRPr="00F11DA6" w:rsidRDefault="00BE4036" w:rsidP="00E04C88">
            <w:pPr>
              <w:jc w:val="center"/>
            </w:pPr>
            <w:r w:rsidRPr="00F11DA6">
              <w:t>Varying Intercept</w:t>
            </w:r>
          </w:p>
        </w:tc>
        <w:tc>
          <w:tcPr>
            <w:tcW w:w="1766" w:type="dxa"/>
          </w:tcPr>
          <w:p w14:paraId="70F62EC1" w14:textId="77777777" w:rsidR="00BE4036" w:rsidRPr="00F11DA6" w:rsidRDefault="00BE4036" w:rsidP="00E04C88">
            <w:pPr>
              <w:jc w:val="center"/>
            </w:pPr>
            <w:r w:rsidRPr="00F11DA6">
              <w:t>Estimate for Mean of SD</w:t>
            </w:r>
          </w:p>
        </w:tc>
        <w:tc>
          <w:tcPr>
            <w:tcW w:w="1734" w:type="dxa"/>
          </w:tcPr>
          <w:p w14:paraId="2F6CA4DD" w14:textId="77777777" w:rsidR="00BE4036" w:rsidRPr="00F11DA6" w:rsidRDefault="00BE4036" w:rsidP="00E04C88">
            <w:pPr>
              <w:jc w:val="center"/>
            </w:pPr>
            <w:r w:rsidRPr="00F11DA6">
              <w:t>SE of mean</w:t>
            </w:r>
          </w:p>
        </w:tc>
        <w:tc>
          <w:tcPr>
            <w:tcW w:w="1799" w:type="dxa"/>
          </w:tcPr>
          <w:p w14:paraId="75FD8AC6" w14:textId="77777777" w:rsidR="00BE4036" w:rsidRPr="00F11DA6" w:rsidRDefault="00BE4036" w:rsidP="00E04C88">
            <w:pPr>
              <w:jc w:val="center"/>
            </w:pPr>
            <w:r w:rsidRPr="00F11DA6">
              <w:t>Lower Limit of 95% Uncertainty Interval</w:t>
            </w:r>
          </w:p>
        </w:tc>
        <w:tc>
          <w:tcPr>
            <w:tcW w:w="1799" w:type="dxa"/>
          </w:tcPr>
          <w:p w14:paraId="1AC1BBA1" w14:textId="77777777" w:rsidR="00BE4036" w:rsidRPr="00F11DA6" w:rsidRDefault="00BE4036" w:rsidP="00E04C88">
            <w:pPr>
              <w:jc w:val="center"/>
            </w:pPr>
            <w:r w:rsidRPr="00F11DA6">
              <w:t>Upper Limit of 95% Uncertainty Interval</w:t>
            </w:r>
          </w:p>
        </w:tc>
      </w:tr>
      <w:tr w:rsidR="00BE4036" w:rsidRPr="00F11DA6" w14:paraId="749F0C63" w14:textId="77777777" w:rsidTr="00E04C88">
        <w:tc>
          <w:tcPr>
            <w:tcW w:w="2252" w:type="dxa"/>
          </w:tcPr>
          <w:p w14:paraId="7C9C5492" w14:textId="77777777" w:rsidR="00BE4036" w:rsidRPr="00F11DA6" w:rsidRDefault="00BE4036" w:rsidP="00E04C88">
            <w:pPr>
              <w:jc w:val="center"/>
            </w:pPr>
            <w:r w:rsidRPr="00F11DA6">
              <w:t>Objects</w:t>
            </w:r>
          </w:p>
        </w:tc>
        <w:tc>
          <w:tcPr>
            <w:tcW w:w="1766" w:type="dxa"/>
          </w:tcPr>
          <w:p w14:paraId="1465702F" w14:textId="77777777" w:rsidR="00BE4036" w:rsidRPr="00F11DA6" w:rsidRDefault="00BE4036" w:rsidP="00E04C88">
            <w:pPr>
              <w:jc w:val="center"/>
            </w:pPr>
            <w:r w:rsidRPr="00F11DA6">
              <w:t>0.47</w:t>
            </w:r>
          </w:p>
        </w:tc>
        <w:tc>
          <w:tcPr>
            <w:tcW w:w="1734" w:type="dxa"/>
          </w:tcPr>
          <w:p w14:paraId="128D7A64" w14:textId="77777777" w:rsidR="00BE4036" w:rsidRPr="00F11DA6" w:rsidRDefault="00BE4036" w:rsidP="00E04C88">
            <w:pPr>
              <w:jc w:val="center"/>
            </w:pPr>
            <w:r w:rsidRPr="00F11DA6">
              <w:t>0.34</w:t>
            </w:r>
          </w:p>
        </w:tc>
        <w:tc>
          <w:tcPr>
            <w:tcW w:w="1799" w:type="dxa"/>
          </w:tcPr>
          <w:p w14:paraId="589D1476" w14:textId="77777777" w:rsidR="00BE4036" w:rsidRPr="00F11DA6" w:rsidRDefault="00BE4036" w:rsidP="00E04C88">
            <w:pPr>
              <w:jc w:val="center"/>
            </w:pPr>
            <w:r w:rsidRPr="00F11DA6">
              <w:t>0.04</w:t>
            </w:r>
          </w:p>
        </w:tc>
        <w:tc>
          <w:tcPr>
            <w:tcW w:w="1799" w:type="dxa"/>
          </w:tcPr>
          <w:p w14:paraId="1D26CD4F" w14:textId="77777777" w:rsidR="00BE4036" w:rsidRPr="00F11DA6" w:rsidRDefault="00BE4036" w:rsidP="00E04C88">
            <w:pPr>
              <w:jc w:val="center"/>
            </w:pPr>
            <w:r w:rsidRPr="00F11DA6">
              <w:t>1.36</w:t>
            </w:r>
          </w:p>
        </w:tc>
      </w:tr>
      <w:tr w:rsidR="00BE4036" w:rsidRPr="00F11DA6" w14:paraId="6DE91201" w14:textId="77777777" w:rsidTr="00E04C88">
        <w:tc>
          <w:tcPr>
            <w:tcW w:w="2252" w:type="dxa"/>
          </w:tcPr>
          <w:p w14:paraId="14AB371E" w14:textId="77777777" w:rsidR="00BE4036" w:rsidRPr="00F11DA6" w:rsidRDefault="00BE4036" w:rsidP="00E04C88">
            <w:pPr>
              <w:jc w:val="center"/>
            </w:pPr>
            <w:r w:rsidRPr="00F11DA6">
              <w:t>Experiments</w:t>
            </w:r>
          </w:p>
        </w:tc>
        <w:tc>
          <w:tcPr>
            <w:tcW w:w="1766" w:type="dxa"/>
          </w:tcPr>
          <w:p w14:paraId="076E24D6" w14:textId="77777777" w:rsidR="00BE4036" w:rsidRPr="00F11DA6" w:rsidRDefault="00BE4036" w:rsidP="00E04C88">
            <w:pPr>
              <w:jc w:val="center"/>
            </w:pPr>
            <w:r w:rsidRPr="00F11DA6">
              <w:t>0.86</w:t>
            </w:r>
          </w:p>
        </w:tc>
        <w:tc>
          <w:tcPr>
            <w:tcW w:w="1734" w:type="dxa"/>
          </w:tcPr>
          <w:p w14:paraId="2787DC4B" w14:textId="77777777" w:rsidR="00BE4036" w:rsidRPr="00F11DA6" w:rsidRDefault="00BE4036" w:rsidP="00E04C88">
            <w:pPr>
              <w:jc w:val="center"/>
            </w:pPr>
            <w:r w:rsidRPr="00F11DA6">
              <w:t>0.10</w:t>
            </w:r>
          </w:p>
        </w:tc>
        <w:tc>
          <w:tcPr>
            <w:tcW w:w="1799" w:type="dxa"/>
          </w:tcPr>
          <w:p w14:paraId="221AE5B7" w14:textId="77777777" w:rsidR="00BE4036" w:rsidRPr="00F11DA6" w:rsidRDefault="00BE4036" w:rsidP="00E04C88">
            <w:pPr>
              <w:jc w:val="center"/>
            </w:pPr>
            <w:r w:rsidRPr="00F11DA6">
              <w:t>0.66</w:t>
            </w:r>
          </w:p>
        </w:tc>
        <w:tc>
          <w:tcPr>
            <w:tcW w:w="1799" w:type="dxa"/>
          </w:tcPr>
          <w:p w14:paraId="7CEB675B" w14:textId="77777777" w:rsidR="00BE4036" w:rsidRPr="00F11DA6" w:rsidRDefault="00BE4036" w:rsidP="00E04C88">
            <w:pPr>
              <w:jc w:val="center"/>
            </w:pPr>
            <w:r w:rsidRPr="00F11DA6">
              <w:t>1.07</w:t>
            </w:r>
          </w:p>
        </w:tc>
      </w:tr>
      <w:tr w:rsidR="00BE4036" w:rsidRPr="00F11DA6" w14:paraId="690F7EC9" w14:textId="77777777" w:rsidTr="00E04C88">
        <w:tc>
          <w:tcPr>
            <w:tcW w:w="2252" w:type="dxa"/>
          </w:tcPr>
          <w:p w14:paraId="2164AB9F" w14:textId="77777777" w:rsidR="00BE4036" w:rsidRPr="00F11DA6" w:rsidRDefault="00BE4036" w:rsidP="00E04C88">
            <w:pPr>
              <w:jc w:val="center"/>
            </w:pPr>
            <w:r w:rsidRPr="00F11DA6">
              <w:t>Matched Pairs</w:t>
            </w:r>
          </w:p>
        </w:tc>
        <w:tc>
          <w:tcPr>
            <w:tcW w:w="1766" w:type="dxa"/>
          </w:tcPr>
          <w:p w14:paraId="2E18C4F6" w14:textId="77777777" w:rsidR="00BE4036" w:rsidRPr="00F11DA6" w:rsidRDefault="00BE4036" w:rsidP="00E04C88">
            <w:pPr>
              <w:jc w:val="center"/>
            </w:pPr>
            <w:r w:rsidRPr="00F11DA6">
              <w:t>0.34</w:t>
            </w:r>
          </w:p>
        </w:tc>
        <w:tc>
          <w:tcPr>
            <w:tcW w:w="1734" w:type="dxa"/>
          </w:tcPr>
          <w:p w14:paraId="0748CED0" w14:textId="77777777" w:rsidR="00BE4036" w:rsidRPr="00F11DA6" w:rsidRDefault="00BE4036" w:rsidP="00E04C88">
            <w:pPr>
              <w:jc w:val="center"/>
            </w:pPr>
            <w:r w:rsidRPr="00F11DA6">
              <w:t>0.16</w:t>
            </w:r>
          </w:p>
        </w:tc>
        <w:tc>
          <w:tcPr>
            <w:tcW w:w="1799" w:type="dxa"/>
          </w:tcPr>
          <w:p w14:paraId="0F32B2F2" w14:textId="77777777" w:rsidR="00BE4036" w:rsidRPr="00F11DA6" w:rsidRDefault="00BE4036" w:rsidP="00E04C88">
            <w:pPr>
              <w:jc w:val="center"/>
            </w:pPr>
            <w:r w:rsidRPr="00F11DA6">
              <w:t>0.03</w:t>
            </w:r>
          </w:p>
        </w:tc>
        <w:tc>
          <w:tcPr>
            <w:tcW w:w="1799" w:type="dxa"/>
          </w:tcPr>
          <w:p w14:paraId="270795ED" w14:textId="77777777" w:rsidR="00BE4036" w:rsidRPr="00F11DA6" w:rsidRDefault="00BE4036" w:rsidP="00E04C88">
            <w:pPr>
              <w:jc w:val="center"/>
            </w:pPr>
            <w:r w:rsidRPr="00F11DA6">
              <w:t>0.63</w:t>
            </w:r>
          </w:p>
        </w:tc>
      </w:tr>
    </w:tbl>
    <w:p w14:paraId="127FCF1F" w14:textId="77777777" w:rsidR="00BE4036" w:rsidRPr="00F11DA6" w:rsidRDefault="00BE4036" w:rsidP="00BE4036"/>
    <w:p w14:paraId="4C399388" w14:textId="77777777" w:rsidR="00BE4036" w:rsidRPr="00F11DA6" w:rsidRDefault="00BE4036" w:rsidP="00BE4036">
      <w:r w:rsidRPr="00F11DA6">
        <w:t xml:space="preserve">The largest variability appears to be at the experiment level, indicating that variability was higher between experiments than between objects or between matched pairs. </w:t>
      </w:r>
    </w:p>
    <w:p w14:paraId="57DD95E2" w14:textId="77777777" w:rsidR="00BE4036" w:rsidRPr="00F11DA6" w:rsidRDefault="00BE4036" w:rsidP="00BE4036">
      <w:r w:rsidRPr="00F11DA6">
        <w:t xml:space="preserve">The varying intercepts for object are shown below. The varying intercepts are deviations </w:t>
      </w:r>
      <w:proofErr w:type="gramStart"/>
      <w:r w:rsidRPr="00F11DA6">
        <w:t>off of</w:t>
      </w:r>
      <w:proofErr w:type="gramEnd"/>
      <w:r w:rsidRPr="00F11DA6">
        <w:t xml:space="preserve"> the population-level intercept, thus positive numbers indicate values higher than the population-level intercept and negative indicate values less than the population-level intercept. The population-level intercept can be viewed as the ‘average’ on the scale of the linear predictor (</w:t>
      </w:r>
      <w:r>
        <w:t xml:space="preserve">natural </w:t>
      </w:r>
      <w:r w:rsidRPr="00F11DA6">
        <w:t>log).</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1280"/>
        <w:gridCol w:w="1710"/>
        <w:gridCol w:w="2430"/>
        <w:gridCol w:w="2700"/>
      </w:tblGrid>
      <w:tr w:rsidR="00BE4036" w:rsidRPr="00F11DA6" w14:paraId="7EA636E9" w14:textId="77777777" w:rsidTr="00E04C88">
        <w:trPr>
          <w:trHeight w:val="300"/>
        </w:trPr>
        <w:tc>
          <w:tcPr>
            <w:tcW w:w="1055" w:type="dxa"/>
            <w:shd w:val="clear" w:color="auto" w:fill="auto"/>
            <w:noWrap/>
            <w:vAlign w:val="bottom"/>
            <w:hideMark/>
          </w:tcPr>
          <w:p w14:paraId="6ACBD1E5" w14:textId="77777777" w:rsidR="00BE4036" w:rsidRPr="00F11DA6" w:rsidRDefault="00BE4036" w:rsidP="00E04C88">
            <w:pPr>
              <w:spacing w:after="0" w:line="240" w:lineRule="auto"/>
            </w:pPr>
          </w:p>
        </w:tc>
        <w:tc>
          <w:tcPr>
            <w:tcW w:w="1280" w:type="dxa"/>
            <w:shd w:val="clear" w:color="auto" w:fill="auto"/>
            <w:noWrap/>
            <w:hideMark/>
          </w:tcPr>
          <w:p w14:paraId="28403362" w14:textId="77777777" w:rsidR="00BE4036" w:rsidRPr="00F11DA6" w:rsidRDefault="00BE4036" w:rsidP="00E04C88">
            <w:pPr>
              <w:spacing w:after="0" w:line="240" w:lineRule="auto"/>
              <w:jc w:val="center"/>
            </w:pPr>
            <w:r w:rsidRPr="00F11DA6">
              <w:t>Estimate for Mean</w:t>
            </w:r>
          </w:p>
        </w:tc>
        <w:tc>
          <w:tcPr>
            <w:tcW w:w="1710" w:type="dxa"/>
            <w:shd w:val="clear" w:color="auto" w:fill="auto"/>
            <w:noWrap/>
            <w:hideMark/>
          </w:tcPr>
          <w:p w14:paraId="41FFED60" w14:textId="77777777" w:rsidR="00BE4036" w:rsidRPr="00F11DA6" w:rsidRDefault="00BE4036" w:rsidP="00E04C88">
            <w:pPr>
              <w:spacing w:after="0" w:line="240" w:lineRule="auto"/>
              <w:jc w:val="center"/>
            </w:pPr>
            <w:r w:rsidRPr="00F11DA6">
              <w:t>SE of mean</w:t>
            </w:r>
          </w:p>
        </w:tc>
        <w:tc>
          <w:tcPr>
            <w:tcW w:w="2430" w:type="dxa"/>
            <w:shd w:val="clear" w:color="auto" w:fill="auto"/>
            <w:noWrap/>
            <w:hideMark/>
          </w:tcPr>
          <w:p w14:paraId="12424D40" w14:textId="77777777" w:rsidR="00BE4036" w:rsidRPr="00F11DA6" w:rsidRDefault="00BE4036" w:rsidP="00E04C88">
            <w:pPr>
              <w:spacing w:after="0" w:line="240" w:lineRule="auto"/>
              <w:jc w:val="center"/>
            </w:pPr>
            <w:r w:rsidRPr="00F11DA6">
              <w:t>Lower Limit of 95% Uncertainty Interval</w:t>
            </w:r>
          </w:p>
        </w:tc>
        <w:tc>
          <w:tcPr>
            <w:tcW w:w="2700" w:type="dxa"/>
            <w:shd w:val="clear" w:color="auto" w:fill="auto"/>
            <w:noWrap/>
            <w:hideMark/>
          </w:tcPr>
          <w:p w14:paraId="149A4DC5" w14:textId="77777777" w:rsidR="00BE4036" w:rsidRPr="00F11DA6" w:rsidRDefault="00BE4036" w:rsidP="00E04C88">
            <w:pPr>
              <w:spacing w:after="0" w:line="240" w:lineRule="auto"/>
              <w:jc w:val="center"/>
            </w:pPr>
            <w:r w:rsidRPr="00F11DA6">
              <w:t>Upper Limit of 95% Uncertainty Interval</w:t>
            </w:r>
          </w:p>
        </w:tc>
      </w:tr>
      <w:tr w:rsidR="00BE4036" w:rsidRPr="00F11DA6" w14:paraId="1D537CBB" w14:textId="77777777" w:rsidTr="00E04C88">
        <w:trPr>
          <w:trHeight w:val="300"/>
        </w:trPr>
        <w:tc>
          <w:tcPr>
            <w:tcW w:w="1055" w:type="dxa"/>
            <w:shd w:val="clear" w:color="auto" w:fill="auto"/>
            <w:noWrap/>
            <w:vAlign w:val="bottom"/>
            <w:hideMark/>
          </w:tcPr>
          <w:p w14:paraId="49957943" w14:textId="77777777" w:rsidR="00BE4036" w:rsidRPr="00F11DA6" w:rsidRDefault="00BE4036" w:rsidP="00E04C88">
            <w:pPr>
              <w:spacing w:after="0" w:line="240" w:lineRule="auto"/>
            </w:pPr>
            <w:r w:rsidRPr="00F11DA6">
              <w:t>bedrail</w:t>
            </w:r>
          </w:p>
        </w:tc>
        <w:tc>
          <w:tcPr>
            <w:tcW w:w="1280" w:type="dxa"/>
            <w:shd w:val="clear" w:color="auto" w:fill="auto"/>
            <w:noWrap/>
            <w:vAlign w:val="bottom"/>
            <w:hideMark/>
          </w:tcPr>
          <w:p w14:paraId="0659D97C" w14:textId="77777777" w:rsidR="00BE4036" w:rsidRPr="00F11DA6" w:rsidRDefault="00BE4036" w:rsidP="00E04C88">
            <w:pPr>
              <w:spacing w:after="0" w:line="240" w:lineRule="auto"/>
              <w:jc w:val="center"/>
            </w:pPr>
            <w:r w:rsidRPr="00F11DA6">
              <w:t>-0.24</w:t>
            </w:r>
          </w:p>
        </w:tc>
        <w:tc>
          <w:tcPr>
            <w:tcW w:w="1710" w:type="dxa"/>
            <w:shd w:val="clear" w:color="auto" w:fill="auto"/>
            <w:noWrap/>
            <w:vAlign w:val="bottom"/>
            <w:hideMark/>
          </w:tcPr>
          <w:p w14:paraId="3FF90ADE" w14:textId="77777777" w:rsidR="00BE4036" w:rsidRPr="00F11DA6" w:rsidRDefault="00BE4036" w:rsidP="00E04C88">
            <w:pPr>
              <w:spacing w:after="0" w:line="240" w:lineRule="auto"/>
              <w:jc w:val="center"/>
            </w:pPr>
            <w:r w:rsidRPr="00F11DA6">
              <w:t>0.32</w:t>
            </w:r>
          </w:p>
        </w:tc>
        <w:tc>
          <w:tcPr>
            <w:tcW w:w="2430" w:type="dxa"/>
            <w:shd w:val="clear" w:color="auto" w:fill="auto"/>
            <w:noWrap/>
            <w:vAlign w:val="bottom"/>
            <w:hideMark/>
          </w:tcPr>
          <w:p w14:paraId="5022AF8E" w14:textId="77777777" w:rsidR="00BE4036" w:rsidRPr="00F11DA6" w:rsidRDefault="00BE4036" w:rsidP="00E04C88">
            <w:pPr>
              <w:spacing w:after="0" w:line="240" w:lineRule="auto"/>
              <w:jc w:val="center"/>
            </w:pPr>
            <w:r w:rsidRPr="00F11DA6">
              <w:t>-0.95</w:t>
            </w:r>
          </w:p>
        </w:tc>
        <w:tc>
          <w:tcPr>
            <w:tcW w:w="2700" w:type="dxa"/>
            <w:shd w:val="clear" w:color="auto" w:fill="auto"/>
            <w:noWrap/>
            <w:vAlign w:val="bottom"/>
            <w:hideMark/>
          </w:tcPr>
          <w:p w14:paraId="5DB5AA4F" w14:textId="77777777" w:rsidR="00BE4036" w:rsidRPr="00F11DA6" w:rsidRDefault="00BE4036" w:rsidP="00E04C88">
            <w:pPr>
              <w:spacing w:after="0" w:line="240" w:lineRule="auto"/>
              <w:jc w:val="center"/>
            </w:pPr>
            <w:r w:rsidRPr="00F11DA6">
              <w:t>0.33</w:t>
            </w:r>
          </w:p>
        </w:tc>
      </w:tr>
      <w:tr w:rsidR="00BE4036" w:rsidRPr="00F11DA6" w14:paraId="32C16CBB" w14:textId="77777777" w:rsidTr="00E04C88">
        <w:trPr>
          <w:trHeight w:val="300"/>
        </w:trPr>
        <w:tc>
          <w:tcPr>
            <w:tcW w:w="1055" w:type="dxa"/>
            <w:shd w:val="clear" w:color="auto" w:fill="auto"/>
            <w:noWrap/>
            <w:vAlign w:val="bottom"/>
            <w:hideMark/>
          </w:tcPr>
          <w:p w14:paraId="26E4D838" w14:textId="77777777" w:rsidR="00BE4036" w:rsidRPr="00F11DA6" w:rsidRDefault="00BE4036" w:rsidP="00E04C88">
            <w:pPr>
              <w:spacing w:after="0" w:line="240" w:lineRule="auto"/>
            </w:pPr>
            <w:r w:rsidRPr="00F11DA6">
              <w:t>keyboard</w:t>
            </w:r>
          </w:p>
        </w:tc>
        <w:tc>
          <w:tcPr>
            <w:tcW w:w="1280" w:type="dxa"/>
            <w:shd w:val="clear" w:color="auto" w:fill="auto"/>
            <w:noWrap/>
            <w:vAlign w:val="bottom"/>
            <w:hideMark/>
          </w:tcPr>
          <w:p w14:paraId="34479E5B" w14:textId="77777777" w:rsidR="00BE4036" w:rsidRPr="00F11DA6" w:rsidRDefault="00BE4036" w:rsidP="00E04C88">
            <w:pPr>
              <w:spacing w:after="0" w:line="240" w:lineRule="auto"/>
              <w:jc w:val="center"/>
            </w:pPr>
            <w:r w:rsidRPr="00F11DA6">
              <w:t>0.14</w:t>
            </w:r>
          </w:p>
        </w:tc>
        <w:tc>
          <w:tcPr>
            <w:tcW w:w="1710" w:type="dxa"/>
            <w:shd w:val="clear" w:color="auto" w:fill="auto"/>
            <w:noWrap/>
            <w:vAlign w:val="bottom"/>
            <w:hideMark/>
          </w:tcPr>
          <w:p w14:paraId="3A92E3DF" w14:textId="77777777" w:rsidR="00BE4036" w:rsidRPr="00F11DA6" w:rsidRDefault="00BE4036" w:rsidP="00E04C88">
            <w:pPr>
              <w:spacing w:after="0" w:line="240" w:lineRule="auto"/>
              <w:jc w:val="center"/>
            </w:pPr>
            <w:r w:rsidRPr="00F11DA6">
              <w:t>0.30</w:t>
            </w:r>
          </w:p>
        </w:tc>
        <w:tc>
          <w:tcPr>
            <w:tcW w:w="2430" w:type="dxa"/>
            <w:shd w:val="clear" w:color="auto" w:fill="auto"/>
            <w:noWrap/>
            <w:vAlign w:val="bottom"/>
            <w:hideMark/>
          </w:tcPr>
          <w:p w14:paraId="303CC18C" w14:textId="77777777" w:rsidR="00BE4036" w:rsidRPr="00F11DA6" w:rsidRDefault="00BE4036" w:rsidP="00E04C88">
            <w:pPr>
              <w:spacing w:after="0" w:line="240" w:lineRule="auto"/>
              <w:jc w:val="center"/>
            </w:pPr>
            <w:r w:rsidRPr="00F11DA6">
              <w:t>-0.44</w:t>
            </w:r>
          </w:p>
        </w:tc>
        <w:tc>
          <w:tcPr>
            <w:tcW w:w="2700" w:type="dxa"/>
            <w:shd w:val="clear" w:color="auto" w:fill="auto"/>
            <w:noWrap/>
            <w:vAlign w:val="bottom"/>
            <w:hideMark/>
          </w:tcPr>
          <w:p w14:paraId="25D9E20A" w14:textId="77777777" w:rsidR="00BE4036" w:rsidRPr="00F11DA6" w:rsidRDefault="00BE4036" w:rsidP="00E04C88">
            <w:pPr>
              <w:spacing w:after="0" w:line="240" w:lineRule="auto"/>
              <w:jc w:val="center"/>
            </w:pPr>
            <w:r w:rsidRPr="00F11DA6">
              <w:t>0.80</w:t>
            </w:r>
          </w:p>
        </w:tc>
      </w:tr>
      <w:tr w:rsidR="00BE4036" w:rsidRPr="00F11DA6" w14:paraId="731B1128" w14:textId="77777777" w:rsidTr="00E04C88">
        <w:trPr>
          <w:trHeight w:val="300"/>
        </w:trPr>
        <w:tc>
          <w:tcPr>
            <w:tcW w:w="1055" w:type="dxa"/>
            <w:shd w:val="clear" w:color="auto" w:fill="auto"/>
            <w:noWrap/>
            <w:vAlign w:val="bottom"/>
            <w:hideMark/>
          </w:tcPr>
          <w:p w14:paraId="41750645" w14:textId="77777777" w:rsidR="00BE4036" w:rsidRPr="00F11DA6" w:rsidRDefault="00BE4036" w:rsidP="00E04C88">
            <w:pPr>
              <w:spacing w:after="0" w:line="240" w:lineRule="auto"/>
            </w:pPr>
            <w:r w:rsidRPr="00F11DA6">
              <w:t>manikin</w:t>
            </w:r>
          </w:p>
        </w:tc>
        <w:tc>
          <w:tcPr>
            <w:tcW w:w="1280" w:type="dxa"/>
            <w:shd w:val="clear" w:color="auto" w:fill="auto"/>
            <w:noWrap/>
            <w:vAlign w:val="bottom"/>
            <w:hideMark/>
          </w:tcPr>
          <w:p w14:paraId="417E51B8" w14:textId="77777777" w:rsidR="00BE4036" w:rsidRPr="00F11DA6" w:rsidRDefault="00BE4036" w:rsidP="00E04C88">
            <w:pPr>
              <w:spacing w:after="0" w:line="240" w:lineRule="auto"/>
              <w:jc w:val="center"/>
            </w:pPr>
            <w:r w:rsidRPr="00F11DA6">
              <w:t>0.33</w:t>
            </w:r>
          </w:p>
        </w:tc>
        <w:tc>
          <w:tcPr>
            <w:tcW w:w="1710" w:type="dxa"/>
            <w:shd w:val="clear" w:color="auto" w:fill="auto"/>
            <w:noWrap/>
            <w:vAlign w:val="bottom"/>
            <w:hideMark/>
          </w:tcPr>
          <w:p w14:paraId="2611D2B7" w14:textId="77777777" w:rsidR="00BE4036" w:rsidRPr="00F11DA6" w:rsidRDefault="00BE4036" w:rsidP="00E04C88">
            <w:pPr>
              <w:spacing w:after="0" w:line="240" w:lineRule="auto"/>
              <w:jc w:val="center"/>
            </w:pPr>
            <w:r w:rsidRPr="00F11DA6">
              <w:t>0.34</w:t>
            </w:r>
          </w:p>
        </w:tc>
        <w:tc>
          <w:tcPr>
            <w:tcW w:w="2430" w:type="dxa"/>
            <w:shd w:val="clear" w:color="auto" w:fill="auto"/>
            <w:noWrap/>
            <w:vAlign w:val="bottom"/>
            <w:hideMark/>
          </w:tcPr>
          <w:p w14:paraId="14CD8C47" w14:textId="77777777" w:rsidR="00BE4036" w:rsidRPr="00F11DA6" w:rsidRDefault="00BE4036" w:rsidP="00E04C88">
            <w:pPr>
              <w:spacing w:after="0" w:line="240" w:lineRule="auto"/>
              <w:jc w:val="center"/>
            </w:pPr>
            <w:r w:rsidRPr="00F11DA6">
              <w:t>-0.21</w:t>
            </w:r>
          </w:p>
        </w:tc>
        <w:tc>
          <w:tcPr>
            <w:tcW w:w="2700" w:type="dxa"/>
            <w:shd w:val="clear" w:color="auto" w:fill="auto"/>
            <w:noWrap/>
            <w:vAlign w:val="bottom"/>
            <w:hideMark/>
          </w:tcPr>
          <w:p w14:paraId="2C8B3272" w14:textId="77777777" w:rsidR="00BE4036" w:rsidRPr="00F11DA6" w:rsidRDefault="00BE4036" w:rsidP="00E04C88">
            <w:pPr>
              <w:spacing w:after="0" w:line="240" w:lineRule="auto"/>
              <w:jc w:val="center"/>
            </w:pPr>
            <w:r w:rsidRPr="00F11DA6">
              <w:t>1.09</w:t>
            </w:r>
          </w:p>
        </w:tc>
      </w:tr>
      <w:tr w:rsidR="00BE4036" w:rsidRPr="00F11DA6" w14:paraId="7C8F3DED" w14:textId="77777777" w:rsidTr="00E04C88">
        <w:trPr>
          <w:trHeight w:val="300"/>
        </w:trPr>
        <w:tc>
          <w:tcPr>
            <w:tcW w:w="1055" w:type="dxa"/>
            <w:shd w:val="clear" w:color="auto" w:fill="auto"/>
            <w:noWrap/>
            <w:vAlign w:val="bottom"/>
            <w:hideMark/>
          </w:tcPr>
          <w:p w14:paraId="706E3240" w14:textId="77777777" w:rsidR="00BE4036" w:rsidRPr="00F11DA6" w:rsidRDefault="00BE4036" w:rsidP="00E04C88">
            <w:pPr>
              <w:spacing w:after="0" w:line="240" w:lineRule="auto"/>
            </w:pPr>
            <w:r w:rsidRPr="00F11DA6">
              <w:t>table</w:t>
            </w:r>
          </w:p>
        </w:tc>
        <w:tc>
          <w:tcPr>
            <w:tcW w:w="1280" w:type="dxa"/>
            <w:shd w:val="clear" w:color="auto" w:fill="auto"/>
            <w:noWrap/>
            <w:vAlign w:val="bottom"/>
            <w:hideMark/>
          </w:tcPr>
          <w:p w14:paraId="4E8AB1DE" w14:textId="77777777" w:rsidR="00BE4036" w:rsidRPr="00F11DA6" w:rsidRDefault="00BE4036" w:rsidP="00E04C88">
            <w:pPr>
              <w:spacing w:after="0" w:line="240" w:lineRule="auto"/>
              <w:jc w:val="center"/>
            </w:pPr>
            <w:r w:rsidRPr="00F11DA6">
              <w:t>-0.29</w:t>
            </w:r>
          </w:p>
        </w:tc>
        <w:tc>
          <w:tcPr>
            <w:tcW w:w="1710" w:type="dxa"/>
            <w:shd w:val="clear" w:color="auto" w:fill="auto"/>
            <w:noWrap/>
            <w:vAlign w:val="bottom"/>
            <w:hideMark/>
          </w:tcPr>
          <w:p w14:paraId="39D66BCA" w14:textId="77777777" w:rsidR="00BE4036" w:rsidRPr="00F11DA6" w:rsidRDefault="00BE4036" w:rsidP="00E04C88">
            <w:pPr>
              <w:spacing w:after="0" w:line="240" w:lineRule="auto"/>
              <w:jc w:val="center"/>
            </w:pPr>
            <w:r w:rsidRPr="00F11DA6">
              <w:t>0.32</w:t>
            </w:r>
          </w:p>
        </w:tc>
        <w:tc>
          <w:tcPr>
            <w:tcW w:w="2430" w:type="dxa"/>
            <w:shd w:val="clear" w:color="auto" w:fill="auto"/>
            <w:noWrap/>
            <w:vAlign w:val="bottom"/>
            <w:hideMark/>
          </w:tcPr>
          <w:p w14:paraId="71F1EB90" w14:textId="77777777" w:rsidR="00BE4036" w:rsidRPr="00F11DA6" w:rsidRDefault="00BE4036" w:rsidP="00E04C88">
            <w:pPr>
              <w:spacing w:after="0" w:line="240" w:lineRule="auto"/>
              <w:jc w:val="center"/>
            </w:pPr>
            <w:r w:rsidRPr="00F11DA6">
              <w:t>-1.01</w:t>
            </w:r>
          </w:p>
        </w:tc>
        <w:tc>
          <w:tcPr>
            <w:tcW w:w="2700" w:type="dxa"/>
            <w:shd w:val="clear" w:color="auto" w:fill="auto"/>
            <w:noWrap/>
            <w:vAlign w:val="bottom"/>
            <w:hideMark/>
          </w:tcPr>
          <w:p w14:paraId="68E6E294" w14:textId="77777777" w:rsidR="00BE4036" w:rsidRPr="00F11DA6" w:rsidRDefault="00BE4036" w:rsidP="00E04C88">
            <w:pPr>
              <w:spacing w:after="0" w:line="240" w:lineRule="auto"/>
              <w:jc w:val="center"/>
            </w:pPr>
            <w:r w:rsidRPr="00F11DA6">
              <w:t>0.26</w:t>
            </w:r>
          </w:p>
        </w:tc>
      </w:tr>
      <w:tr w:rsidR="00BE4036" w:rsidRPr="00F11DA6" w14:paraId="5748DAA3" w14:textId="77777777" w:rsidTr="00E04C88">
        <w:trPr>
          <w:trHeight w:val="300"/>
        </w:trPr>
        <w:tc>
          <w:tcPr>
            <w:tcW w:w="1055" w:type="dxa"/>
            <w:shd w:val="clear" w:color="auto" w:fill="auto"/>
            <w:noWrap/>
            <w:vAlign w:val="bottom"/>
            <w:hideMark/>
          </w:tcPr>
          <w:p w14:paraId="1E479819" w14:textId="77777777" w:rsidR="00BE4036" w:rsidRPr="00F11DA6" w:rsidRDefault="00BE4036" w:rsidP="00E04C88">
            <w:pPr>
              <w:spacing w:after="0" w:line="240" w:lineRule="auto"/>
            </w:pPr>
            <w:r w:rsidRPr="00F11DA6">
              <w:t>wow</w:t>
            </w:r>
          </w:p>
        </w:tc>
        <w:tc>
          <w:tcPr>
            <w:tcW w:w="1280" w:type="dxa"/>
            <w:shd w:val="clear" w:color="auto" w:fill="auto"/>
            <w:noWrap/>
            <w:vAlign w:val="bottom"/>
            <w:hideMark/>
          </w:tcPr>
          <w:p w14:paraId="3BA2B93F" w14:textId="77777777" w:rsidR="00BE4036" w:rsidRPr="00F11DA6" w:rsidRDefault="00BE4036" w:rsidP="00E04C88">
            <w:pPr>
              <w:spacing w:after="0" w:line="240" w:lineRule="auto"/>
              <w:jc w:val="center"/>
            </w:pPr>
            <w:r w:rsidRPr="00F11DA6">
              <w:t>0.03</w:t>
            </w:r>
          </w:p>
        </w:tc>
        <w:tc>
          <w:tcPr>
            <w:tcW w:w="1710" w:type="dxa"/>
            <w:shd w:val="clear" w:color="auto" w:fill="auto"/>
            <w:noWrap/>
            <w:vAlign w:val="bottom"/>
            <w:hideMark/>
          </w:tcPr>
          <w:p w14:paraId="6CA96845" w14:textId="77777777" w:rsidR="00BE4036" w:rsidRPr="00F11DA6" w:rsidRDefault="00BE4036" w:rsidP="00E04C88">
            <w:pPr>
              <w:spacing w:after="0" w:line="240" w:lineRule="auto"/>
              <w:jc w:val="center"/>
            </w:pPr>
            <w:r w:rsidRPr="00F11DA6">
              <w:t>0.30</w:t>
            </w:r>
          </w:p>
        </w:tc>
        <w:tc>
          <w:tcPr>
            <w:tcW w:w="2430" w:type="dxa"/>
            <w:shd w:val="clear" w:color="auto" w:fill="auto"/>
            <w:noWrap/>
            <w:vAlign w:val="bottom"/>
            <w:hideMark/>
          </w:tcPr>
          <w:p w14:paraId="3A121CB9" w14:textId="77777777" w:rsidR="00BE4036" w:rsidRPr="00F11DA6" w:rsidRDefault="00BE4036" w:rsidP="00E04C88">
            <w:pPr>
              <w:spacing w:after="0" w:line="240" w:lineRule="auto"/>
              <w:jc w:val="center"/>
            </w:pPr>
            <w:r w:rsidRPr="00F11DA6">
              <w:t>-0.60</w:t>
            </w:r>
          </w:p>
        </w:tc>
        <w:tc>
          <w:tcPr>
            <w:tcW w:w="2700" w:type="dxa"/>
            <w:shd w:val="clear" w:color="auto" w:fill="auto"/>
            <w:noWrap/>
            <w:vAlign w:val="bottom"/>
            <w:hideMark/>
          </w:tcPr>
          <w:p w14:paraId="63E4B035" w14:textId="77777777" w:rsidR="00BE4036" w:rsidRPr="00F11DA6" w:rsidRDefault="00BE4036" w:rsidP="00E04C88">
            <w:pPr>
              <w:spacing w:after="0" w:line="240" w:lineRule="auto"/>
              <w:jc w:val="center"/>
            </w:pPr>
            <w:r w:rsidRPr="00F11DA6">
              <w:t>0.66</w:t>
            </w:r>
          </w:p>
        </w:tc>
      </w:tr>
    </w:tbl>
    <w:p w14:paraId="20F882F2" w14:textId="77777777" w:rsidR="00BE4036" w:rsidRPr="00F11DA6" w:rsidRDefault="00BE4036" w:rsidP="00BE4036"/>
    <w:p w14:paraId="78C44EAF" w14:textId="77777777" w:rsidR="00BE4036" w:rsidRPr="00F11DA6" w:rsidRDefault="00BE4036" w:rsidP="00BE4036">
      <w:r w:rsidRPr="00F11DA6">
        <w:t>The results suggest that the manikin had the highest bioburden for controls, while the table had the lowest, however the 95% uncertainty intervals cross zero for all estimates.</w:t>
      </w:r>
    </w:p>
    <w:p w14:paraId="3F737289" w14:textId="77777777" w:rsidR="0098345E" w:rsidRDefault="0098345E"/>
    <w:sectPr w:rsidR="009834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36"/>
    <w:rsid w:val="0098345E"/>
    <w:rsid w:val="00BE4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2284B"/>
  <w15:chartTrackingRefBased/>
  <w15:docId w15:val="{275A8614-3E0D-4798-89E9-01B90F82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0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4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2940</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Chatterjee, Piyali</dc:creator>
  <cp:keywords/>
  <dc:description/>
  <cp:lastModifiedBy>Chatterjee, Piyali</cp:lastModifiedBy>
  <cp:revision>1</cp:revision>
  <dcterms:created xsi:type="dcterms:W3CDTF">2022-11-03T20:21:00Z</dcterms:created>
  <dcterms:modified xsi:type="dcterms:W3CDTF">2022-11-03T20:22:00Z</dcterms:modified>
</cp:coreProperties>
</file>