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6B" w:rsidRDefault="00EE6A6B">
      <w:pPr>
        <w:rPr>
          <w:lang w:val="en-US"/>
        </w:rPr>
      </w:pPr>
      <w:r>
        <w:rPr>
          <w:lang w:val="en-US"/>
        </w:rPr>
        <w:t>Appendix</w:t>
      </w:r>
    </w:p>
    <w:p w:rsidR="00EE6A6B" w:rsidRDefault="00EE6A6B">
      <w:pPr>
        <w:rPr>
          <w:lang w:val="en-US"/>
        </w:rPr>
      </w:pPr>
    </w:p>
    <w:p w:rsidR="004A2399" w:rsidRDefault="00BB2D87">
      <w:pPr>
        <w:rPr>
          <w:lang w:val="en-US"/>
        </w:rPr>
      </w:pPr>
      <w:r>
        <w:rPr>
          <w:lang w:val="en-US"/>
        </w:rPr>
        <w:t>Table S1: ICES Covariate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BB2D87" w:rsidRPr="001B271B" w:rsidTr="00961841">
        <w:trPr>
          <w:tblHeader/>
        </w:trPr>
        <w:tc>
          <w:tcPr>
            <w:tcW w:w="2376" w:type="dxa"/>
            <w:shd w:val="clear" w:color="auto" w:fill="auto"/>
          </w:tcPr>
          <w:p w:rsidR="00BB2D87" w:rsidRPr="00364B6F" w:rsidRDefault="00BB2D87" w:rsidP="00961841">
            <w:pPr>
              <w:rPr>
                <w:rFonts w:ascii="Times New Roman" w:hAnsi="Times New Roman" w:cs="Times New Roman"/>
                <w:sz w:val="20"/>
                <w:szCs w:val="20"/>
                <w:lang w:eastAsia="en-US"/>
              </w:rPr>
            </w:pPr>
            <w:r w:rsidRPr="00364B6F">
              <w:rPr>
                <w:rFonts w:ascii="Times New Roman" w:hAnsi="Times New Roman" w:cs="Times New Roman"/>
                <w:sz w:val="20"/>
                <w:szCs w:val="20"/>
                <w:lang w:eastAsia="en-US"/>
              </w:rPr>
              <w:t>Variable</w:t>
            </w:r>
          </w:p>
        </w:tc>
        <w:tc>
          <w:tcPr>
            <w:tcW w:w="6804" w:type="dxa"/>
            <w:shd w:val="clear" w:color="auto" w:fill="auto"/>
          </w:tcPr>
          <w:p w:rsidR="00BB2D87" w:rsidRPr="00364B6F" w:rsidRDefault="00BB2D87" w:rsidP="00961841">
            <w:pPr>
              <w:rPr>
                <w:rFonts w:ascii="Times New Roman" w:hAnsi="Times New Roman" w:cs="Times New Roman"/>
                <w:sz w:val="20"/>
                <w:szCs w:val="20"/>
                <w:lang w:eastAsia="en-US"/>
              </w:rPr>
            </w:pPr>
            <w:r w:rsidRPr="00364B6F">
              <w:rPr>
                <w:rFonts w:ascii="Times New Roman" w:hAnsi="Times New Roman" w:cs="Times New Roman"/>
                <w:sz w:val="20"/>
                <w:szCs w:val="20"/>
                <w:lang w:eastAsia="en-US"/>
              </w:rPr>
              <w:t>Definition</w:t>
            </w:r>
          </w:p>
        </w:tc>
      </w:tr>
      <w:tr w:rsidR="00BB2D87" w:rsidRPr="001B271B" w:rsidTr="00961841">
        <w:tc>
          <w:tcPr>
            <w:tcW w:w="2376" w:type="dxa"/>
            <w:shd w:val="clear" w:color="auto" w:fill="auto"/>
          </w:tcPr>
          <w:p w:rsidR="00BB2D87" w:rsidRPr="00364B6F" w:rsidRDefault="00BB2D87" w:rsidP="00961841">
            <w:pPr>
              <w:rPr>
                <w:rFonts w:ascii="Times New Roman" w:hAnsi="Times New Roman" w:cs="Times New Roman"/>
                <w:sz w:val="20"/>
                <w:szCs w:val="20"/>
                <w:lang w:eastAsia="en-US"/>
              </w:rPr>
            </w:pPr>
            <w:r w:rsidRPr="00364B6F">
              <w:rPr>
                <w:rFonts w:ascii="Times New Roman" w:hAnsi="Times New Roman" w:cs="Times New Roman"/>
                <w:sz w:val="20"/>
                <w:szCs w:val="20"/>
                <w:lang w:eastAsia="en-US"/>
              </w:rPr>
              <w:t>Age</w:t>
            </w:r>
          </w:p>
        </w:tc>
        <w:tc>
          <w:tcPr>
            <w:tcW w:w="6804" w:type="dxa"/>
            <w:shd w:val="clear" w:color="auto" w:fill="auto"/>
          </w:tcPr>
          <w:p w:rsidR="00BB2D87" w:rsidRPr="00364B6F" w:rsidRDefault="00BB2D87" w:rsidP="00961841">
            <w:pPr>
              <w:rPr>
                <w:rFonts w:ascii="Times New Roman" w:hAnsi="Times New Roman" w:cs="Times New Roman"/>
                <w:sz w:val="20"/>
                <w:szCs w:val="20"/>
                <w:lang w:eastAsia="en-US"/>
              </w:rPr>
            </w:pPr>
            <w:r w:rsidRPr="00364B6F">
              <w:rPr>
                <w:rFonts w:ascii="Times New Roman" w:hAnsi="Times New Roman" w:cs="Times New Roman"/>
                <w:sz w:val="20"/>
                <w:szCs w:val="20"/>
                <w:lang w:eastAsia="en-US"/>
              </w:rPr>
              <w:t xml:space="preserve">Age was determined from the Registered Persons Database. </w:t>
            </w:r>
          </w:p>
        </w:tc>
      </w:tr>
      <w:tr w:rsidR="00BB2D87" w:rsidRPr="001B271B" w:rsidTr="00961841">
        <w:tc>
          <w:tcPr>
            <w:tcW w:w="2376" w:type="dxa"/>
            <w:shd w:val="clear" w:color="auto" w:fill="auto"/>
          </w:tcPr>
          <w:p w:rsidR="00BB2D87" w:rsidRPr="00364B6F" w:rsidRDefault="00BB2D87" w:rsidP="00961841">
            <w:pPr>
              <w:rPr>
                <w:rFonts w:ascii="Times New Roman" w:hAnsi="Times New Roman" w:cs="Times New Roman"/>
                <w:sz w:val="20"/>
                <w:szCs w:val="20"/>
                <w:lang w:eastAsia="en-US"/>
              </w:rPr>
            </w:pPr>
            <w:r w:rsidRPr="00364B6F">
              <w:rPr>
                <w:rFonts w:ascii="Times New Roman" w:hAnsi="Times New Roman" w:cs="Times New Roman"/>
                <w:sz w:val="20"/>
                <w:szCs w:val="20"/>
                <w:lang w:eastAsia="en-US"/>
              </w:rPr>
              <w:t>Sex</w:t>
            </w:r>
          </w:p>
        </w:tc>
        <w:tc>
          <w:tcPr>
            <w:tcW w:w="6804" w:type="dxa"/>
            <w:shd w:val="clear" w:color="auto" w:fill="auto"/>
          </w:tcPr>
          <w:p w:rsidR="00BB2D87" w:rsidRPr="00364B6F" w:rsidRDefault="00BB2D87" w:rsidP="00961841">
            <w:pPr>
              <w:rPr>
                <w:rFonts w:ascii="Times New Roman" w:hAnsi="Times New Roman" w:cs="Times New Roman"/>
                <w:sz w:val="20"/>
                <w:szCs w:val="20"/>
                <w:lang w:eastAsia="en-US"/>
              </w:rPr>
            </w:pPr>
            <w:r w:rsidRPr="00364B6F">
              <w:rPr>
                <w:rFonts w:ascii="Times New Roman" w:hAnsi="Times New Roman" w:cs="Times New Roman"/>
                <w:sz w:val="20"/>
                <w:szCs w:val="20"/>
                <w:lang w:eastAsia="en-US"/>
              </w:rPr>
              <w:t xml:space="preserve">Sex was determined from the Registered Persons Database. </w:t>
            </w:r>
          </w:p>
        </w:tc>
      </w:tr>
      <w:tr w:rsidR="00BB2D87" w:rsidRPr="001B271B" w:rsidTr="00961841">
        <w:tc>
          <w:tcPr>
            <w:tcW w:w="2376" w:type="dxa"/>
            <w:shd w:val="clear" w:color="auto" w:fill="auto"/>
          </w:tcPr>
          <w:p w:rsidR="00BB2D87" w:rsidRPr="001B271B" w:rsidRDefault="00BB2D87" w:rsidP="00961841">
            <w:pPr>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Chronic heart disease</w:t>
            </w:r>
          </w:p>
        </w:tc>
        <w:tc>
          <w:tcPr>
            <w:tcW w:w="6804" w:type="dxa"/>
            <w:shd w:val="clear" w:color="auto" w:fill="auto"/>
          </w:tcPr>
          <w:p w:rsidR="00BB2D87" w:rsidRPr="001B271B" w:rsidRDefault="00BB2D87" w:rsidP="00961841">
            <w:pPr>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Individuals were defined as having “chronic heart disease” if they had congestive heart failure (CHF), ischemic heart disease, or atrial fibrillation. The definitions for these conditions are as follows:</w:t>
            </w:r>
          </w:p>
          <w:p w:rsidR="00BB2D87" w:rsidRPr="001B271B" w:rsidRDefault="00BB2D87" w:rsidP="00961841">
            <w:pPr>
              <w:contextualSpacing/>
              <w:rPr>
                <w:rFonts w:ascii="Times New Roman" w:eastAsiaTheme="minorHAnsi" w:hAnsi="Times New Roman" w:cs="Times New Roman"/>
                <w:sz w:val="20"/>
                <w:szCs w:val="20"/>
                <w:lang w:eastAsia="en-US"/>
              </w:rPr>
            </w:pPr>
          </w:p>
          <w:p w:rsidR="00BB2D87" w:rsidRPr="001B271B" w:rsidRDefault="00BB2D87" w:rsidP="00961841">
            <w:pPr>
              <w:contextualSpacing/>
              <w:rPr>
                <w:rFonts w:ascii="Times New Roman" w:eastAsiaTheme="minorHAnsi" w:hAnsi="Times New Roman" w:cs="Times New Roman"/>
                <w:sz w:val="20"/>
                <w:szCs w:val="20"/>
                <w:lang w:eastAsia="ko-KR"/>
              </w:rPr>
            </w:pPr>
            <w:r w:rsidRPr="001B271B">
              <w:rPr>
                <w:rFonts w:ascii="Times New Roman" w:eastAsiaTheme="minorHAnsi" w:hAnsi="Times New Roman" w:cs="Times New Roman"/>
                <w:sz w:val="20"/>
                <w:szCs w:val="20"/>
                <w:u w:val="single"/>
                <w:lang w:eastAsia="en-US"/>
              </w:rPr>
              <w:t>CHF:</w:t>
            </w:r>
            <w:r w:rsidRPr="001B271B">
              <w:rPr>
                <w:rFonts w:ascii="Times New Roman" w:eastAsiaTheme="minorHAnsi" w:hAnsi="Times New Roman" w:cs="Times New Roman"/>
                <w:sz w:val="20"/>
                <w:szCs w:val="20"/>
                <w:lang w:eastAsia="en-US"/>
              </w:rPr>
              <w:fldChar w:fldCharType="begin" w:fldLock="1"/>
            </w:r>
            <w:r>
              <w:rPr>
                <w:rFonts w:ascii="Times New Roman" w:eastAsiaTheme="minorHAnsi" w:hAnsi="Times New Roman" w:cs="Times New Roman"/>
                <w:sz w:val="20"/>
                <w:szCs w:val="20"/>
                <w:lang w:eastAsia="en-US"/>
              </w:rPr>
              <w:instrText>ADDIN CSL_CITATION { "citationItems" : [ { "id" : "ITEM-1", "itemData" : { "ISSN" : "1925-6523", "PMID" : "23735455", "abstract" : "INTRODUCTION To determine if using a combination of hospital administrative data and ambulatory care physician billings can accurately identify patients with congestive heart failure (CHF), we tested 9 algorithms for identifying individuals with CHF from administrative data. METHODS The validation cohort against which the 9 algorithms were tested combined data from a random sample of adult patients from EMRALD, an electronic medical record database of primary care physicians in Ontario, Canada, and data collected in 2004/05 from a random sample of primary care patients for a study of hypertension. Algorithms were evaluated on sensitivity, specificity, positive predictive value, area under the curve on the ROC graph and the combination of likelihood ratio positive and negative. RESULTS We found that that one hospital record or one physician billing followed by a second record from either source within one year had the best result, with a sensitivity of 84.8% and a specificity of 97.0%. CONCLUSION Population prevalence of CHF can be accurately measured using combined administrative data from hospitalization and ambulatory care. TITLE Rep\u00e9rage des cas d\u2019insuffisance cardiaque congestive \u00e0 partir de donn\u00e9es administratives : \u00e9tude de validation utilisant des dossiers de patients en soins primaires. INTRODUCTION En vue de d\u00e9terminer si l\u2019utilisation conjugu\u00e9e des donn\u00e9es administratives hospitali\u00e8res et des factures pr\u00e9sent\u00e9es par les m\u00e9decins au titre des soins ambulatoires pouvait permettre de rep\u00e9rer avec exactitude les patients souffrant d\u2019insuffisance cardiaque congestive (ICC), nous avons mis \u00e0 l\u2019essai neuf algorithmes pour rep\u00e9rer \u00e0 partir de donn\u00e9es administratives les personnes souffrant d\u2019ICC. M\u00c9THODOLOGIE La cohorte de validation par rapport \u00e0 laquelle les essais ont \u00e9t\u00e9 effectu\u00e9s combinait des donn\u00e9es provenant d\u2019un \u00e9chantillon al\u00e9atoire de patients adultes inscrits dans la base de donn\u00e9es EMRALD de dossiers m\u00e9dicaux \u00e9lectroniques des m\u00e9decins de premier recours en Ontario, au Canada, et des donn\u00e9es recueillies en 2004-2005 \u00e0 partir d\u2019un \u00e9chantillon al\u00e9atoire de patients en soins primaires pour une \u00e9tude sur l\u2019hypertension. On a \u00e9valu\u00e9 la sensibilit\u00e9, la sp\u00e9cificit\u00e9, la valeur pr\u00e9dictive positive, l\u2019aire sous la courbe ROC et la combinaison des rapports de vraisemblance positif et n\u00e9gatif des algorithmes. R\u00c9SULTATS Nous avons constat\u00e9 qu\u2019un dossier d\u2019hospitalisation ou de facturation de m\u00e9decin suivi d\u2019un second dossier provenant de l\u2019une ou l\u2019au\u2026", "author" : [ { "dropping-particle" : "", "family" : "Schultz", "given" : "Sue E", "non-dropping-particle" : "", "parse-names" : false, "suffix" : "" }, { "dropping-particle" : "", "family" : "Rothwell", "given" : "D M", "non-dropping-particle" : "", "parse-names" : false, "suffix" : "" }, { "dropping-particle" : "", "family" : "Chen", "given" : "Z", "non-dropping-particle" : "", "parse-names" : false, "suffix" : "" }, { "dropping-particle" : "", "family" : "Tu", "given" : "Karen", "non-dropping-particle" : "", "parse-names" : false, "suffix" : "" } ], "container-title" : "Chronic diseases and injuries in Canada", "id" : "ITEM-1", "issue" : "3", "issued" : { "date-parts" : [ [ "2013", "6" ] ] }, "page" : "160-6", "title" : "Identifying cases of congestive heart failure from administrative data: a validation study using primary care patient records.", "type" : "article-journal", "volume" : "33" }, "uris" : [ "http://www.mendeley.com/documents/?uuid=bc8ff4fa-5003-3515-97c4-d22c23611214" ] } ], "mendeley" : { "formattedCitation" : "&lt;sup&gt;2&lt;/sup&gt;", "plainTextFormattedCitation" : "2", "previouslyFormattedCitation" : "[3]" }, "properties" : { "noteIndex" : 0 }, "schema" : "https://github.com/citation-style-language/schema/raw/master/csl-citation.json" }</w:instrText>
            </w:r>
            <w:r w:rsidRPr="001B271B">
              <w:rPr>
                <w:rFonts w:ascii="Times New Roman" w:eastAsiaTheme="minorHAnsi" w:hAnsi="Times New Roman" w:cs="Times New Roman"/>
                <w:sz w:val="20"/>
                <w:szCs w:val="20"/>
                <w:lang w:eastAsia="en-US"/>
              </w:rPr>
              <w:fldChar w:fldCharType="separate"/>
            </w:r>
            <w:r w:rsidRPr="0013049B">
              <w:rPr>
                <w:rFonts w:ascii="Times New Roman" w:eastAsiaTheme="minorHAnsi" w:hAnsi="Times New Roman" w:cs="Times New Roman"/>
                <w:noProof/>
                <w:sz w:val="20"/>
                <w:szCs w:val="20"/>
                <w:vertAlign w:val="superscript"/>
                <w:lang w:eastAsia="en-US"/>
              </w:rPr>
              <w:t>2</w:t>
            </w:r>
            <w:r w:rsidRPr="001B271B">
              <w:rPr>
                <w:rFonts w:ascii="Times New Roman" w:eastAsiaTheme="minorHAnsi" w:hAnsi="Times New Roman" w:cs="Times New Roman"/>
                <w:sz w:val="20"/>
                <w:szCs w:val="20"/>
                <w:lang w:eastAsia="en-US"/>
              </w:rPr>
              <w:fldChar w:fldCharType="end"/>
            </w:r>
            <w:r w:rsidRPr="001B271B">
              <w:rPr>
                <w:rFonts w:ascii="Times New Roman" w:eastAsiaTheme="minorHAnsi" w:hAnsi="Times New Roman" w:cs="Times New Roman"/>
                <w:sz w:val="20"/>
                <w:szCs w:val="20"/>
                <w:lang w:eastAsia="en-US"/>
              </w:rPr>
              <w:t xml:space="preserve"> </w:t>
            </w:r>
            <w:r w:rsidRPr="001B271B">
              <w:rPr>
                <w:rFonts w:ascii="Times New Roman" w:eastAsiaTheme="minorHAnsi" w:hAnsi="Times New Roman" w:cs="Times New Roman"/>
                <w:sz w:val="20"/>
                <w:szCs w:val="20"/>
                <w:lang w:eastAsia="en-US"/>
              </w:rPr>
              <w:br/>
              <w:t xml:space="preserve">An ICES-derived CHF database was used to identify patients with CHF, based on 1 NACRS, DAD, SDS, or OHIP claim and a second claim (from either) in 1 year. The CHF database is limited to those aged 40 years or older. </w:t>
            </w:r>
          </w:p>
          <w:p w:rsidR="00BB2D87" w:rsidRPr="001B271B" w:rsidRDefault="00BB2D87" w:rsidP="00961841">
            <w:pPr>
              <w:contextualSpacing/>
              <w:rPr>
                <w:rFonts w:ascii="Times New Roman" w:eastAsiaTheme="minorHAnsi" w:hAnsi="Times New Roman" w:cs="Times New Roman"/>
                <w:sz w:val="20"/>
                <w:szCs w:val="20"/>
                <w:lang w:eastAsia="ko-KR"/>
              </w:rPr>
            </w:pPr>
            <w:r w:rsidRPr="001B271B">
              <w:rPr>
                <w:rFonts w:ascii="Times New Roman" w:eastAsiaTheme="minorHAnsi" w:hAnsi="Times New Roman" w:cs="Times New Roman"/>
                <w:sz w:val="20"/>
                <w:szCs w:val="20"/>
                <w:lang w:eastAsia="ko-KR"/>
              </w:rPr>
              <w:t>OHIP: 428</w:t>
            </w:r>
          </w:p>
          <w:p w:rsidR="00BB2D87" w:rsidRPr="001B271B" w:rsidRDefault="00BB2D87" w:rsidP="00961841">
            <w:pPr>
              <w:contextualSpacing/>
              <w:rPr>
                <w:rFonts w:ascii="Times New Roman" w:eastAsiaTheme="minorHAnsi" w:hAnsi="Times New Roman" w:cs="Times New Roman"/>
                <w:sz w:val="20"/>
                <w:szCs w:val="20"/>
                <w:lang w:eastAsia="ko-KR"/>
              </w:rPr>
            </w:pPr>
            <w:r w:rsidRPr="001B271B">
              <w:rPr>
                <w:rFonts w:ascii="Times New Roman" w:eastAsiaTheme="minorHAnsi" w:hAnsi="Times New Roman" w:cs="Times New Roman"/>
                <w:sz w:val="20"/>
                <w:szCs w:val="20"/>
                <w:lang w:eastAsia="ko-KR"/>
              </w:rPr>
              <w:t>DAD, SDS: ICD-9: 428, ICD-10: I500, I501, I509</w:t>
            </w:r>
          </w:p>
          <w:p w:rsidR="00BB2D87" w:rsidRPr="001B271B" w:rsidRDefault="00BB2D87" w:rsidP="00961841">
            <w:pPr>
              <w:contextualSpacing/>
              <w:rPr>
                <w:rFonts w:ascii="Times New Roman" w:eastAsiaTheme="minorHAnsi" w:hAnsi="Times New Roman" w:cs="Times New Roman"/>
                <w:sz w:val="20"/>
                <w:szCs w:val="20"/>
                <w:lang w:eastAsia="ko-KR"/>
              </w:rPr>
            </w:pPr>
          </w:p>
          <w:p w:rsidR="00BB2D87" w:rsidRPr="001B271B" w:rsidRDefault="00BB2D87" w:rsidP="00961841">
            <w:pPr>
              <w:rPr>
                <w:rFonts w:ascii="Times New Roman" w:eastAsia="Times New Roman" w:hAnsi="Times New Roman" w:cs="Times New Roman"/>
                <w:color w:val="000000"/>
                <w:sz w:val="20"/>
                <w:szCs w:val="20"/>
                <w:lang w:eastAsia="ko-KR"/>
              </w:rPr>
            </w:pPr>
            <w:r w:rsidRPr="001B271B">
              <w:rPr>
                <w:rFonts w:ascii="Times New Roman" w:eastAsia="Times New Roman" w:hAnsi="Times New Roman" w:cs="Times New Roman"/>
                <w:color w:val="000000"/>
                <w:sz w:val="20"/>
                <w:szCs w:val="20"/>
                <w:u w:val="single"/>
                <w:lang w:eastAsia="ko-KR"/>
              </w:rPr>
              <w:t>Cardiac ischemic disease:</w:t>
            </w:r>
            <w:r w:rsidRPr="001B271B">
              <w:rPr>
                <w:rFonts w:ascii="Times New Roman" w:eastAsia="Times New Roman" w:hAnsi="Times New Roman" w:cs="Times New Roman"/>
                <w:color w:val="000000"/>
                <w:sz w:val="20"/>
                <w:szCs w:val="20"/>
                <w:u w:val="single"/>
                <w:lang w:eastAsia="ja-JP"/>
              </w:rPr>
              <w:fldChar w:fldCharType="begin" w:fldLock="1"/>
            </w:r>
            <w:r>
              <w:rPr>
                <w:rFonts w:ascii="Times New Roman" w:eastAsia="Times New Roman" w:hAnsi="Times New Roman" w:cs="Times New Roman"/>
                <w:color w:val="000000"/>
                <w:sz w:val="20"/>
                <w:szCs w:val="20"/>
                <w:u w:val="single"/>
                <w:lang w:eastAsia="ko-KR"/>
              </w:rPr>
              <w:instrText>ADDIN CSL_CITATION { "citationItems" : [ { "id" : "ITEM-1", "itemData" : { "DOI" : "10.1161/CIRCOUTCOMES.114.001416", "ISSN" : "1941-7705 (Electronic) 1941-7713 (Linking)", "author" : [ { "dropping-particle" : "V", "family" : "Tu", "given" : "J", "non-dropping-particle" : "", "parse-names" : false, "suffix" : "" }, { "dropping-particle" : "", "family" : "Chu", "given" : "A", "non-dropping-particle" : "", "parse-names" : false, "suffix" : "" }, { "dropping-particle" : "", "family" : "Donovan", "given" : "L R", "non-dropping-particle" : "", "parse-names" : false, "suffix" : "" }, { "dropping-particle" : "", "family" : "Ko", "given" : "D T", "non-dropping-particle" : "", "parse-names" : false, "suffix" : "" }, { "dropping-particle" : "", "family" : "Booth", "given" : "G L", "non-dropping-particle" : "", "parse-names" : false, "suffix" : "" }, { "dropping-particle" : "", "family" : "Tu", "given" : "K", "non-dropping-particle" : "", "parse-names" : false, "suffix" : "" }, { "dropping-particle" : "", "family" : "Maclagan", "given" : "L C", "non-dropping-particle" : "", "parse-names" : false, "suffix" : "" }, { "dropping-particle" : "", "family" : "Guo", "given" : "H", "non-dropping-particle" : "", "parse-names" : false, "suffix" : "" }, { "dropping-particle" : "", "family" : "Austin", "given" : "P C", "non-dropping-particle" : "", "parse-names" : false, "suffix" : "" }, { "dropping-particle" : "", "family" : "Hogg", "given" : "W", "non-dropping-particle" : "", "parse-names" : false, "suffix" : "" }, { "dropping-particle" : "", "family" : "Kapral", "given" : "M K", "non-dropping-particle" : "", "parse-names" : false, "suffix" : "" }, { "dropping-particle" : "", "family" : "Wijeysundera", "given" : "H C", "non-dropping-particle" : "", "parse-names" : false, "suffix" : "" }, { "dropping-particle" : "", "family" : "Atzema", "given" : "C L", "non-dropping-particle" : "", "parse-names" : false, "suffix" : "" }, { "dropping-particle" : "", "family" : "Gershon", "given" : "A S", "non-dropping-particle" : "", "parse-names" : false, "suffix" : "" }, { "dropping-particle" : "", "family" : "Alter", "given" : "D A", "non-dropping-particle" : "", "parse-names" : false, "suffix" : "" }, { "dropping-particle" : "", "family" : "Lee", "given" : "D S", "non-dropping-particle" : "", "parse-names" : false, "suffix" : "" }, { "dropping-particle" : "", "family" : "Jackevicius", "given" : "C A", "non-dropping-particle" : "", "parse-names" : false, "suffix" : "" }, { "dropping-particle" : "", "family" : "Bhatia", "given" : "R S", "non-dropping-particle" : "", "parse-names" : false, "suffix" : "" }, { "dropping-particle" : "", "family" : "Udell", "given" : "J A", "non-dropping-particle" : "", "parse-names" : false, "suffix" : "" }, { "dropping-particle" : "", "family" : "Rezai", "given" : "M R", "non-dropping-particle" : "", "parse-names" : false, "suffix" : "" }, { "dropping-particle" : "", "family" : "Stukel", "given" : "T A", "non-dropping-particle" : "", "parse-names" : false, "suffix" : "" } ], "container-title" : "Circ Cardiovasc Qual Outcomes", "id" : "ITEM-1", "issue" : "2", "issued" : { "date-parts" : [ [ "2015" ] ] }, "page" : "204-212", "title" : "The Cardiovascular Health in Ambulatory Care Research Team (CANHEART): using big data to measure and improve cardiovascular health and healthcare services", "type" : "article-journal", "volume" : "8" }, "uris" : [ "http://www.mendeley.com/documents/?uuid=59bc3994-a02b-4840-afb5-f8b86b9a0039" ] } ], "mendeley" : { "formattedCitation" : "&lt;sup&gt;4&lt;/sup&gt;", "plainTextFormattedCitation" : "4", "previouslyFormattedCitation" : "[5]" }, "properties" : { "noteIndex" : 0 }, "schema" : "https://github.com/citation-style-language/schema/raw/master/csl-citation.json" }</w:instrText>
            </w:r>
            <w:r w:rsidRPr="001B271B">
              <w:rPr>
                <w:rFonts w:ascii="Times New Roman" w:eastAsia="Times New Roman" w:hAnsi="Times New Roman" w:cs="Times New Roman"/>
                <w:color w:val="000000"/>
                <w:sz w:val="20"/>
                <w:szCs w:val="20"/>
                <w:u w:val="single"/>
                <w:lang w:eastAsia="ja-JP"/>
              </w:rPr>
              <w:fldChar w:fldCharType="separate"/>
            </w:r>
            <w:r w:rsidRPr="0013049B">
              <w:rPr>
                <w:rFonts w:ascii="Times New Roman" w:eastAsia="Times New Roman" w:hAnsi="Times New Roman" w:cs="Times New Roman"/>
                <w:noProof/>
                <w:color w:val="000000"/>
                <w:sz w:val="20"/>
                <w:szCs w:val="20"/>
                <w:vertAlign w:val="superscript"/>
                <w:lang w:eastAsia="ko-KR"/>
              </w:rPr>
              <w:t>4</w:t>
            </w:r>
            <w:r w:rsidRPr="001B271B">
              <w:rPr>
                <w:rFonts w:ascii="Times New Roman" w:eastAsia="Times New Roman" w:hAnsi="Times New Roman" w:cs="Times New Roman"/>
                <w:color w:val="000000"/>
                <w:sz w:val="20"/>
                <w:szCs w:val="20"/>
                <w:u w:val="single"/>
                <w:lang w:eastAsia="ja-JP"/>
              </w:rPr>
              <w:fldChar w:fldCharType="end"/>
            </w:r>
            <w:r w:rsidRPr="001B271B">
              <w:rPr>
                <w:rFonts w:ascii="Times New Roman" w:eastAsia="Times New Roman" w:hAnsi="Times New Roman" w:cs="Times New Roman"/>
                <w:color w:val="000000"/>
                <w:sz w:val="20"/>
                <w:szCs w:val="20"/>
                <w:lang w:eastAsia="ko-KR"/>
              </w:rPr>
              <w:t xml:space="preserve"> </w:t>
            </w:r>
          </w:p>
          <w:p w:rsidR="00BB2D87" w:rsidRPr="001B271B" w:rsidRDefault="00BB2D87" w:rsidP="00961841">
            <w:pPr>
              <w:rPr>
                <w:rFonts w:ascii="Times New Roman" w:eastAsia="Times New Roman" w:hAnsi="Times New Roman" w:cs="Times New Roman"/>
                <w:color w:val="000000"/>
                <w:sz w:val="20"/>
                <w:szCs w:val="20"/>
                <w:lang w:eastAsia="ko-KR"/>
              </w:rPr>
            </w:pPr>
            <w:r w:rsidRPr="001B271B">
              <w:rPr>
                <w:rFonts w:ascii="Times New Roman" w:eastAsia="Times New Roman" w:hAnsi="Times New Roman" w:cs="Times New Roman"/>
                <w:color w:val="000000"/>
                <w:sz w:val="20"/>
                <w:szCs w:val="20"/>
                <w:lang w:eastAsia="ko-KR"/>
              </w:rPr>
              <w:t>Any comorbidity in the past 5 years (DAD, any diagnosis field) or history of procedure in past 20 years (DAD, SDS), of the following:</w:t>
            </w:r>
          </w:p>
          <w:p w:rsidR="00BB2D87" w:rsidRPr="001B271B" w:rsidRDefault="00BB2D87" w:rsidP="00961841">
            <w:pPr>
              <w:rPr>
                <w:rFonts w:ascii="Times New Roman" w:eastAsia="Times New Roman" w:hAnsi="Times New Roman" w:cs="Times New Roman"/>
                <w:color w:val="000000"/>
                <w:sz w:val="20"/>
                <w:szCs w:val="20"/>
                <w:lang w:eastAsia="ko-KR"/>
              </w:rPr>
            </w:pPr>
            <w:r w:rsidRPr="001B271B">
              <w:rPr>
                <w:rFonts w:ascii="Times New Roman" w:eastAsia="Times New Roman" w:hAnsi="Times New Roman" w:cs="Times New Roman"/>
                <w:color w:val="000000"/>
                <w:sz w:val="20"/>
                <w:szCs w:val="20"/>
                <w:lang w:eastAsia="ko-KR"/>
              </w:rPr>
              <w:t> </w:t>
            </w:r>
          </w:p>
          <w:p w:rsidR="00BB2D87" w:rsidRPr="001B271B" w:rsidRDefault="00BB2D87" w:rsidP="00961841">
            <w:pPr>
              <w:rPr>
                <w:rFonts w:ascii="Times New Roman" w:eastAsia="Times New Roman" w:hAnsi="Times New Roman" w:cs="Times New Roman"/>
                <w:color w:val="000000"/>
                <w:sz w:val="20"/>
                <w:szCs w:val="20"/>
                <w:lang w:eastAsia="ko-KR"/>
              </w:rPr>
            </w:pPr>
            <w:r w:rsidRPr="001B271B">
              <w:rPr>
                <w:rFonts w:ascii="Times New Roman" w:eastAsia="Times New Roman" w:hAnsi="Times New Roman" w:cs="Times New Roman"/>
                <w:color w:val="000000"/>
                <w:sz w:val="20"/>
                <w:szCs w:val="20"/>
                <w:lang w:eastAsia="ko-KR"/>
              </w:rPr>
              <w:t>Comorbidity (DAD, any diagnosis in the past 5 years):</w:t>
            </w:r>
          </w:p>
          <w:p w:rsidR="00BB2D87" w:rsidRPr="001B271B" w:rsidRDefault="00BB2D87" w:rsidP="00961841">
            <w:pPr>
              <w:rPr>
                <w:rFonts w:ascii="Times New Roman" w:eastAsia="Times New Roman" w:hAnsi="Times New Roman" w:cs="Times New Roman"/>
                <w:color w:val="000000"/>
                <w:sz w:val="20"/>
                <w:szCs w:val="20"/>
                <w:lang w:eastAsia="ko-KR"/>
              </w:rPr>
            </w:pPr>
            <w:r w:rsidRPr="001B271B">
              <w:rPr>
                <w:rFonts w:ascii="Times New Roman" w:eastAsia="Times New Roman" w:hAnsi="Times New Roman" w:cs="Times New Roman"/>
                <w:color w:val="000000"/>
                <w:sz w:val="20"/>
                <w:szCs w:val="20"/>
                <w:lang w:eastAsia="ko-KR"/>
              </w:rPr>
              <w:t>Angina: ICD-10: I20</w:t>
            </w:r>
          </w:p>
          <w:p w:rsidR="00BB2D87" w:rsidRPr="001B271B" w:rsidRDefault="00BB2D87" w:rsidP="00961841">
            <w:pPr>
              <w:rPr>
                <w:rFonts w:ascii="Times New Roman" w:eastAsia="Times New Roman" w:hAnsi="Times New Roman" w:cs="Times New Roman"/>
                <w:color w:val="000000"/>
                <w:sz w:val="20"/>
                <w:szCs w:val="20"/>
                <w:lang w:eastAsia="ko-KR"/>
              </w:rPr>
            </w:pPr>
            <w:r w:rsidRPr="001B271B">
              <w:rPr>
                <w:rFonts w:ascii="Times New Roman" w:eastAsia="Times New Roman" w:hAnsi="Times New Roman" w:cs="Times New Roman"/>
                <w:color w:val="000000"/>
                <w:sz w:val="20"/>
                <w:szCs w:val="20"/>
                <w:lang w:eastAsia="ko-KR"/>
              </w:rPr>
              <w:t> </w:t>
            </w:r>
          </w:p>
          <w:p w:rsidR="00BB2D87" w:rsidRPr="001B271B" w:rsidRDefault="00BB2D87" w:rsidP="00961841">
            <w:pPr>
              <w:rPr>
                <w:rFonts w:ascii="Times New Roman" w:eastAsia="Times New Roman" w:hAnsi="Times New Roman" w:cs="Times New Roman"/>
                <w:color w:val="000000"/>
                <w:sz w:val="20"/>
                <w:szCs w:val="20"/>
                <w:lang w:eastAsia="ko-KR"/>
              </w:rPr>
            </w:pPr>
            <w:r w:rsidRPr="001B271B">
              <w:rPr>
                <w:rFonts w:ascii="Times New Roman" w:eastAsia="Times New Roman" w:hAnsi="Times New Roman" w:cs="Times New Roman"/>
                <w:color w:val="000000"/>
                <w:sz w:val="20"/>
                <w:szCs w:val="20"/>
                <w:lang w:eastAsia="ko-KR"/>
              </w:rPr>
              <w:t>Chronic Ischemic Heart Disease: ICD-10: I25; </w:t>
            </w:r>
          </w:p>
          <w:p w:rsidR="00BB2D87" w:rsidRPr="001B271B" w:rsidRDefault="00BB2D87" w:rsidP="00961841">
            <w:pPr>
              <w:rPr>
                <w:rFonts w:ascii="Times New Roman" w:eastAsia="Times New Roman" w:hAnsi="Times New Roman" w:cs="Times New Roman"/>
                <w:color w:val="000000"/>
                <w:sz w:val="20"/>
                <w:szCs w:val="20"/>
                <w:lang w:eastAsia="ko-KR"/>
              </w:rPr>
            </w:pPr>
            <w:r w:rsidRPr="001B271B">
              <w:rPr>
                <w:rFonts w:ascii="Times New Roman" w:eastAsia="Times New Roman" w:hAnsi="Times New Roman" w:cs="Times New Roman"/>
                <w:color w:val="000000"/>
                <w:sz w:val="20"/>
                <w:szCs w:val="20"/>
                <w:lang w:eastAsia="ko-KR"/>
              </w:rPr>
              <w:t>Myocardial infarction: ICD-10: I21, I22</w:t>
            </w:r>
          </w:p>
          <w:p w:rsidR="00BB2D87" w:rsidRPr="001B271B" w:rsidRDefault="00BB2D87" w:rsidP="00961841">
            <w:pPr>
              <w:rPr>
                <w:rFonts w:ascii="Times New Roman" w:eastAsia="Times New Roman" w:hAnsi="Times New Roman" w:cs="Times New Roman"/>
                <w:color w:val="000000"/>
                <w:sz w:val="20"/>
                <w:szCs w:val="20"/>
                <w:lang w:eastAsia="ko-KR"/>
              </w:rPr>
            </w:pPr>
          </w:p>
          <w:p w:rsidR="00BB2D87" w:rsidRPr="001B271B" w:rsidRDefault="00BB2D87" w:rsidP="00961841">
            <w:pPr>
              <w:rPr>
                <w:rFonts w:ascii="Times New Roman" w:eastAsia="Times New Roman" w:hAnsi="Times New Roman" w:cs="Times New Roman"/>
                <w:color w:val="000000"/>
                <w:sz w:val="20"/>
                <w:szCs w:val="20"/>
                <w:lang w:eastAsia="ko-KR"/>
              </w:rPr>
            </w:pPr>
            <w:r w:rsidRPr="001B271B">
              <w:rPr>
                <w:rFonts w:ascii="Times New Roman" w:eastAsia="Times New Roman" w:hAnsi="Times New Roman" w:cs="Times New Roman"/>
                <w:color w:val="000000"/>
                <w:sz w:val="20"/>
                <w:szCs w:val="20"/>
                <w:lang w:eastAsia="ko-KR"/>
              </w:rPr>
              <w:t>Procedure (DAD &amp; SDS):</w:t>
            </w:r>
          </w:p>
          <w:p w:rsidR="00BB2D87" w:rsidRPr="001B271B" w:rsidRDefault="00BB2D87" w:rsidP="00961841">
            <w:pPr>
              <w:rPr>
                <w:rFonts w:ascii="Times New Roman" w:eastAsia="Times New Roman" w:hAnsi="Times New Roman" w:cs="Times New Roman"/>
                <w:color w:val="000000"/>
                <w:sz w:val="20"/>
                <w:szCs w:val="20"/>
                <w:lang w:eastAsia="ko-KR"/>
              </w:rPr>
            </w:pPr>
            <w:r w:rsidRPr="001B271B">
              <w:rPr>
                <w:rFonts w:ascii="Times New Roman" w:eastAsia="Times New Roman" w:hAnsi="Times New Roman" w:cs="Times New Roman"/>
                <w:color w:val="000000"/>
                <w:sz w:val="20"/>
                <w:szCs w:val="20"/>
                <w:lang w:eastAsia="ko-KR"/>
              </w:rPr>
              <w:t>Coronary Artery Bypass Grafting: </w:t>
            </w:r>
          </w:p>
          <w:p w:rsidR="00BB2D87" w:rsidRPr="001B271B" w:rsidRDefault="00BB2D87" w:rsidP="00961841">
            <w:pPr>
              <w:rPr>
                <w:rFonts w:ascii="Times New Roman" w:eastAsia="Times New Roman" w:hAnsi="Times New Roman" w:cs="Times New Roman"/>
                <w:color w:val="000000"/>
                <w:sz w:val="20"/>
                <w:szCs w:val="20"/>
                <w:lang w:eastAsia="ko-KR"/>
              </w:rPr>
            </w:pPr>
            <w:r w:rsidRPr="001B271B">
              <w:rPr>
                <w:rFonts w:ascii="Times New Roman" w:eastAsia="Times New Roman" w:hAnsi="Times New Roman" w:cs="Times New Roman"/>
                <w:color w:val="000000"/>
                <w:sz w:val="20"/>
                <w:szCs w:val="20"/>
                <w:lang w:eastAsia="ko-KR"/>
              </w:rPr>
              <w:t>CCI procedure codes: 1IJ76</w:t>
            </w:r>
          </w:p>
          <w:p w:rsidR="00BB2D87" w:rsidRPr="001B271B" w:rsidRDefault="00BB2D87" w:rsidP="00961841">
            <w:pPr>
              <w:rPr>
                <w:rFonts w:ascii="Times New Roman" w:eastAsia="Times New Roman" w:hAnsi="Times New Roman" w:cs="Times New Roman"/>
                <w:color w:val="000000"/>
                <w:sz w:val="20"/>
                <w:szCs w:val="20"/>
                <w:lang w:eastAsia="ko-KR"/>
              </w:rPr>
            </w:pPr>
            <w:r w:rsidRPr="001B271B">
              <w:rPr>
                <w:rFonts w:ascii="Times New Roman" w:eastAsia="Times New Roman" w:hAnsi="Times New Roman" w:cs="Times New Roman"/>
                <w:color w:val="000000"/>
                <w:sz w:val="20"/>
                <w:szCs w:val="20"/>
                <w:lang w:eastAsia="ko-KR"/>
              </w:rPr>
              <w:t>CCP procedure codes: 481</w:t>
            </w:r>
          </w:p>
          <w:p w:rsidR="00BB2D87" w:rsidRPr="001B271B" w:rsidRDefault="00BB2D87" w:rsidP="00961841">
            <w:pPr>
              <w:rPr>
                <w:rFonts w:ascii="Times New Roman" w:eastAsia="Times New Roman" w:hAnsi="Times New Roman" w:cs="Times New Roman"/>
                <w:color w:val="000000"/>
                <w:sz w:val="20"/>
                <w:szCs w:val="20"/>
                <w:lang w:eastAsia="ko-KR"/>
              </w:rPr>
            </w:pPr>
            <w:r w:rsidRPr="001B271B">
              <w:rPr>
                <w:rFonts w:ascii="Times New Roman" w:eastAsia="Times New Roman" w:hAnsi="Times New Roman" w:cs="Times New Roman"/>
                <w:color w:val="000000"/>
                <w:sz w:val="20"/>
                <w:szCs w:val="20"/>
                <w:lang w:eastAsia="ko-KR"/>
              </w:rPr>
              <w:t> </w:t>
            </w:r>
          </w:p>
          <w:p w:rsidR="00BB2D87" w:rsidRPr="001B271B" w:rsidRDefault="00BB2D87" w:rsidP="00961841">
            <w:pPr>
              <w:rPr>
                <w:rFonts w:ascii="Times New Roman" w:eastAsia="Times New Roman" w:hAnsi="Times New Roman" w:cs="Times New Roman"/>
                <w:color w:val="000000"/>
                <w:sz w:val="20"/>
                <w:szCs w:val="20"/>
                <w:lang w:eastAsia="ko-KR"/>
              </w:rPr>
            </w:pPr>
            <w:r w:rsidRPr="001B271B">
              <w:rPr>
                <w:rFonts w:ascii="Times New Roman" w:eastAsia="Times New Roman" w:hAnsi="Times New Roman" w:cs="Times New Roman"/>
                <w:color w:val="000000"/>
                <w:sz w:val="20"/>
                <w:szCs w:val="20"/>
                <w:lang w:eastAsia="ko-KR"/>
              </w:rPr>
              <w:t>Percutaneous Coronary Intervention: </w:t>
            </w:r>
          </w:p>
          <w:p w:rsidR="00BB2D87" w:rsidRPr="001B271B" w:rsidRDefault="00BB2D87" w:rsidP="00961841">
            <w:pPr>
              <w:rPr>
                <w:rFonts w:ascii="Times New Roman" w:eastAsia="Times New Roman" w:hAnsi="Times New Roman" w:cs="Times New Roman"/>
                <w:color w:val="000000"/>
                <w:sz w:val="20"/>
                <w:szCs w:val="20"/>
                <w:lang w:eastAsia="ko-KR"/>
              </w:rPr>
            </w:pPr>
            <w:r w:rsidRPr="001B271B">
              <w:rPr>
                <w:rFonts w:ascii="Times New Roman" w:eastAsia="Times New Roman" w:hAnsi="Times New Roman" w:cs="Times New Roman"/>
                <w:color w:val="000000"/>
                <w:sz w:val="20"/>
                <w:szCs w:val="20"/>
                <w:lang w:eastAsia="ko-KR"/>
              </w:rPr>
              <w:t>CCI procedure codes: 1IJ50, 1IJ54, 1IJ57GQ</w:t>
            </w:r>
          </w:p>
          <w:p w:rsidR="00BB2D87" w:rsidRPr="001B271B" w:rsidRDefault="00BB2D87" w:rsidP="00961841">
            <w:pPr>
              <w:rPr>
                <w:rFonts w:ascii="Times New Roman" w:eastAsia="Times New Roman" w:hAnsi="Times New Roman" w:cs="Times New Roman"/>
                <w:color w:val="000000"/>
                <w:sz w:val="20"/>
                <w:szCs w:val="20"/>
                <w:lang w:eastAsia="ko-KR"/>
              </w:rPr>
            </w:pPr>
            <w:r w:rsidRPr="001B271B">
              <w:rPr>
                <w:rFonts w:ascii="Times New Roman" w:eastAsia="Times New Roman" w:hAnsi="Times New Roman" w:cs="Times New Roman"/>
                <w:color w:val="000000"/>
                <w:sz w:val="20"/>
                <w:szCs w:val="20"/>
                <w:lang w:eastAsia="ko-KR"/>
              </w:rPr>
              <w:t>CCP procedure codes: 4802, 4803</w:t>
            </w:r>
          </w:p>
          <w:p w:rsidR="00BB2D87" w:rsidRPr="001B271B" w:rsidRDefault="00BB2D87" w:rsidP="00961841">
            <w:pPr>
              <w:contextualSpacing/>
              <w:rPr>
                <w:rFonts w:ascii="Times New Roman" w:eastAsiaTheme="minorHAnsi" w:hAnsi="Times New Roman" w:cs="Times New Roman"/>
                <w:sz w:val="20"/>
                <w:szCs w:val="20"/>
                <w:lang w:eastAsia="ko-KR"/>
              </w:rPr>
            </w:pPr>
          </w:p>
          <w:p w:rsidR="00BB2D87" w:rsidRPr="001B271B" w:rsidRDefault="00BB2D87" w:rsidP="00961841">
            <w:pPr>
              <w:contextualSpacing/>
              <w:rPr>
                <w:rFonts w:ascii="Times New Roman" w:eastAsiaTheme="minorHAnsi" w:hAnsi="Times New Roman" w:cs="Times New Roman"/>
                <w:sz w:val="20"/>
                <w:szCs w:val="20"/>
                <w:u w:val="single"/>
                <w:lang w:eastAsia="en-US"/>
              </w:rPr>
            </w:pPr>
            <w:r w:rsidRPr="001B271B">
              <w:rPr>
                <w:rFonts w:ascii="Times New Roman" w:eastAsiaTheme="minorHAnsi" w:hAnsi="Times New Roman" w:cs="Times New Roman"/>
                <w:sz w:val="20"/>
                <w:szCs w:val="20"/>
                <w:u w:val="single"/>
                <w:lang w:eastAsia="ko-KR"/>
              </w:rPr>
              <w:t>Atrial fib</w:t>
            </w:r>
            <w:r w:rsidRPr="001B271B">
              <w:rPr>
                <w:rFonts w:ascii="Times New Roman" w:eastAsiaTheme="minorHAnsi" w:hAnsi="Times New Roman" w:cs="Times New Roman"/>
                <w:sz w:val="20"/>
                <w:szCs w:val="20"/>
                <w:u w:val="single"/>
                <w:lang w:eastAsia="en-US"/>
              </w:rPr>
              <w:t>rillation:</w:t>
            </w:r>
            <w:r w:rsidRPr="001B271B">
              <w:rPr>
                <w:rFonts w:ascii="Times New Roman" w:eastAsiaTheme="minorHAnsi" w:hAnsi="Times New Roman" w:cs="Times New Roman"/>
                <w:sz w:val="20"/>
                <w:szCs w:val="20"/>
                <w:u w:val="single"/>
                <w:lang w:eastAsia="en-US"/>
              </w:rPr>
              <w:fldChar w:fldCharType="begin" w:fldLock="1"/>
            </w:r>
            <w:r>
              <w:rPr>
                <w:rFonts w:ascii="Times New Roman" w:eastAsiaTheme="minorHAnsi" w:hAnsi="Times New Roman" w:cs="Times New Roman"/>
                <w:sz w:val="20"/>
                <w:szCs w:val="20"/>
                <w:u w:val="single"/>
                <w:lang w:eastAsia="en-US"/>
              </w:rPr>
              <w:instrText>ADDIN CSL_CITATION { "citationItems" : [ { "id" : "ITEM-1", "itemData" : { "DOI" : "10.1016/j.cjca.2016.06.006", "ISSN" : "1916-7075 (Electronic) 0828-282X (Linking)", "author" : [ { "dropping-particle" : "", "family" : "Tu", "given" : "K", "non-dropping-particle" : "", "parse-names" : false, "suffix" : "" }, { "dropping-particle" : "", "family" : "Nieuwlaat", "given" : "R", "non-dropping-particle" : "", "parse-names" : false, "suffix" : "" }, { "dropping-particle" : "", "family" : "Cheng", "given" : "S Y", "non-dropping-particle" : "", "parse-names" : false, "suffix" : "" }, { "dropping-particle" : "", "family" : "Wing", "given" : "L", "non-dropping-particle" : "", "parse-names" : false, "suffix" : "" }, { "dropping-particle" : "", "family" : "Ivers", "given" : "N", "non-dropping-particle" : "", "parse-names" : false, "suffix" : "" }, { "dropping-particle" : "", "family" : "Atzema", "given" : "C L", "non-dropping-particle" : "", "parse-names" : false, "suffix" : "" }, { "dropping-particle" : "", "family" : "Healey", "given" : "J S", "non-dropping-particle" : "", "parse-names" : false, "suffix" : "" }, { "dropping-particle" : "", "family" : "Dorian", "given" : "P", "non-dropping-particle" : "", "parse-names" : false, "suffix" : "" } ], "container-title" : "Can J Cardiol", "id" : "ITEM-1", "issue" : "12", "issued" : { "date-parts" : [ [ "2016" ] ] }, "page" : "1561-1565", "title" : "Identifying Patients With Atrial Fibrillation in Administrative Data", "type" : "article-journal", "volume" : "32" }, "uris" : [ "http://www.mendeley.com/documents/?uuid=462d603c-6ca0-4dc8-8efc-bfbb0c464e45" ] } ], "mendeley" : { "formattedCitation" : "&lt;sup&gt;5&lt;/sup&gt;", "plainTextFormattedCitation" : "5", "previouslyFormattedCitation" : "[6]" }, "properties" : { "noteIndex" : 0 }, "schema" : "https://github.com/citation-style-language/schema/raw/master/csl-citation.json" }</w:instrText>
            </w:r>
            <w:r w:rsidRPr="001B271B">
              <w:rPr>
                <w:rFonts w:ascii="Times New Roman" w:eastAsiaTheme="minorHAnsi" w:hAnsi="Times New Roman" w:cs="Times New Roman"/>
                <w:sz w:val="20"/>
                <w:szCs w:val="20"/>
                <w:u w:val="single"/>
                <w:lang w:eastAsia="en-US"/>
              </w:rPr>
              <w:fldChar w:fldCharType="separate"/>
            </w:r>
            <w:r w:rsidRPr="0013049B">
              <w:rPr>
                <w:rFonts w:ascii="Times New Roman" w:eastAsiaTheme="minorHAnsi" w:hAnsi="Times New Roman" w:cs="Times New Roman"/>
                <w:noProof/>
                <w:sz w:val="20"/>
                <w:szCs w:val="20"/>
                <w:vertAlign w:val="superscript"/>
                <w:lang w:eastAsia="en-US"/>
              </w:rPr>
              <w:t>5</w:t>
            </w:r>
            <w:r w:rsidRPr="001B271B">
              <w:rPr>
                <w:rFonts w:ascii="Times New Roman" w:eastAsiaTheme="minorHAnsi" w:hAnsi="Times New Roman" w:cs="Times New Roman"/>
                <w:sz w:val="20"/>
                <w:szCs w:val="20"/>
                <w:u w:val="single"/>
                <w:lang w:eastAsia="en-US"/>
              </w:rPr>
              <w:fldChar w:fldCharType="end"/>
            </w:r>
            <w:r w:rsidRPr="001B271B">
              <w:rPr>
                <w:rFonts w:ascii="Times New Roman" w:eastAsiaTheme="minorHAnsi" w:hAnsi="Times New Roman" w:cs="Times New Roman"/>
                <w:sz w:val="20"/>
                <w:szCs w:val="20"/>
                <w:u w:val="single"/>
                <w:lang w:eastAsia="en-US"/>
              </w:rPr>
              <w:t xml:space="preserve"> </w:t>
            </w:r>
            <w:r w:rsidRPr="001B271B">
              <w:rPr>
                <w:rFonts w:ascii="Times New Roman" w:eastAsiaTheme="minorHAnsi" w:hAnsi="Times New Roman" w:cs="Times New Roman"/>
                <w:sz w:val="20"/>
                <w:szCs w:val="20"/>
                <w:u w:val="single"/>
                <w:lang w:eastAsia="en-US"/>
              </w:rPr>
              <w:br/>
            </w:r>
            <w:r w:rsidRPr="001B271B">
              <w:rPr>
                <w:rFonts w:ascii="Times New Roman" w:eastAsiaTheme="minorHAnsi" w:hAnsi="Times New Roman" w:cs="Times New Roman"/>
                <w:color w:val="000000"/>
                <w:sz w:val="20"/>
                <w:szCs w:val="20"/>
                <w:lang w:eastAsia="en-US"/>
              </w:rPr>
              <w:t>Individuals with 1 hospitalization or 4 MD visits within a year in the past 5 years with the following codes:</w:t>
            </w:r>
          </w:p>
          <w:p w:rsidR="00BB2D87" w:rsidRPr="001B271B" w:rsidRDefault="00BB2D87" w:rsidP="00961841">
            <w:pPr>
              <w:rPr>
                <w:rFonts w:ascii="Times New Roman" w:eastAsia="Times New Roman" w:hAnsi="Times New Roman" w:cs="Times New Roman"/>
                <w:color w:val="000000"/>
                <w:sz w:val="20"/>
                <w:szCs w:val="20"/>
                <w:lang w:eastAsia="ja-JP"/>
              </w:rPr>
            </w:pPr>
            <w:r w:rsidRPr="001B271B">
              <w:rPr>
                <w:rFonts w:ascii="Times New Roman" w:eastAsia="Times New Roman" w:hAnsi="Times New Roman" w:cs="Times New Roman"/>
                <w:color w:val="000000"/>
                <w:sz w:val="20"/>
                <w:szCs w:val="20"/>
                <w:lang w:eastAsia="ja-JP"/>
              </w:rPr>
              <w:t>ICD-9: 427.31, 427.32</w:t>
            </w:r>
          </w:p>
          <w:p w:rsidR="00BB2D87" w:rsidRPr="001B271B" w:rsidRDefault="00BB2D87" w:rsidP="00961841">
            <w:pPr>
              <w:rPr>
                <w:rFonts w:ascii="Times New Roman" w:eastAsia="Times New Roman" w:hAnsi="Times New Roman" w:cs="Times New Roman"/>
                <w:color w:val="000000"/>
                <w:sz w:val="20"/>
                <w:szCs w:val="20"/>
                <w:lang w:eastAsia="ja-JP"/>
              </w:rPr>
            </w:pPr>
            <w:r w:rsidRPr="001B271B">
              <w:rPr>
                <w:rFonts w:ascii="Times New Roman" w:eastAsia="Times New Roman" w:hAnsi="Times New Roman" w:cs="Times New Roman"/>
                <w:color w:val="000000"/>
                <w:sz w:val="20"/>
                <w:szCs w:val="20"/>
                <w:lang w:eastAsia="ja-JP"/>
              </w:rPr>
              <w:t>ICD-10: I48</w:t>
            </w:r>
          </w:p>
          <w:p w:rsidR="00BB2D87" w:rsidRPr="001B271B" w:rsidRDefault="00BB2D87" w:rsidP="00961841">
            <w:pPr>
              <w:rPr>
                <w:rFonts w:ascii="Times New Roman" w:eastAsia="Times New Roman" w:hAnsi="Times New Roman" w:cs="Times New Roman"/>
                <w:color w:val="000000"/>
                <w:sz w:val="20"/>
                <w:szCs w:val="20"/>
                <w:lang w:eastAsia="ja-JP"/>
              </w:rPr>
            </w:pPr>
            <w:r w:rsidRPr="001B271B">
              <w:rPr>
                <w:rFonts w:ascii="Times New Roman" w:eastAsia="Times New Roman" w:hAnsi="Times New Roman" w:cs="Times New Roman"/>
                <w:color w:val="000000"/>
                <w:sz w:val="20"/>
                <w:szCs w:val="20"/>
                <w:lang w:eastAsia="ja-JP"/>
              </w:rPr>
              <w:t xml:space="preserve">OHIP </w:t>
            </w:r>
            <w:proofErr w:type="spellStart"/>
            <w:r w:rsidRPr="001B271B">
              <w:rPr>
                <w:rFonts w:ascii="Times New Roman" w:eastAsia="Times New Roman" w:hAnsi="Times New Roman" w:cs="Times New Roman"/>
                <w:color w:val="000000"/>
                <w:sz w:val="20"/>
                <w:szCs w:val="20"/>
                <w:lang w:eastAsia="ja-JP"/>
              </w:rPr>
              <w:t>dxcode</w:t>
            </w:r>
            <w:proofErr w:type="spellEnd"/>
            <w:r w:rsidRPr="001B271B">
              <w:rPr>
                <w:rFonts w:ascii="Times New Roman" w:eastAsia="Times New Roman" w:hAnsi="Times New Roman" w:cs="Times New Roman"/>
                <w:color w:val="000000"/>
                <w:sz w:val="20"/>
                <w:szCs w:val="20"/>
                <w:lang w:eastAsia="ja-JP"/>
              </w:rPr>
              <w:t>: 427</w:t>
            </w:r>
          </w:p>
          <w:p w:rsidR="00BB2D87" w:rsidRPr="001B271B" w:rsidRDefault="00BB2D87" w:rsidP="00961841">
            <w:pPr>
              <w:rPr>
                <w:rFonts w:ascii="Times New Roman" w:eastAsia="Times New Roman" w:hAnsi="Times New Roman" w:cs="Times New Roman"/>
                <w:color w:val="000000"/>
                <w:sz w:val="20"/>
                <w:szCs w:val="20"/>
                <w:lang w:eastAsia="ja-JP"/>
              </w:rPr>
            </w:pPr>
          </w:p>
        </w:tc>
      </w:tr>
      <w:tr w:rsidR="00BB2D87" w:rsidRPr="001B271B" w:rsidTr="00961841">
        <w:tc>
          <w:tcPr>
            <w:tcW w:w="2376" w:type="dxa"/>
            <w:shd w:val="clear" w:color="auto" w:fill="auto"/>
          </w:tcPr>
          <w:p w:rsidR="00BB2D87" w:rsidRPr="001B271B" w:rsidRDefault="00BB2D87" w:rsidP="00961841">
            <w:pPr>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Chronic respiratory disease</w:t>
            </w:r>
          </w:p>
        </w:tc>
        <w:tc>
          <w:tcPr>
            <w:tcW w:w="6804" w:type="dxa"/>
            <w:shd w:val="clear" w:color="auto" w:fill="auto"/>
          </w:tcPr>
          <w:p w:rsidR="00BB2D87" w:rsidRPr="001B271B" w:rsidRDefault="00BB2D87" w:rsidP="00961841">
            <w:pPr>
              <w:contextualSpacing/>
              <w:rPr>
                <w:rFonts w:ascii="Times New Roman" w:eastAsiaTheme="minorHAnsi" w:hAnsi="Times New Roman" w:cs="Times New Roman"/>
                <w:sz w:val="20"/>
                <w:szCs w:val="20"/>
                <w:u w:val="single"/>
                <w:lang w:val="fi-FI" w:eastAsia="en-US"/>
              </w:rPr>
            </w:pPr>
            <w:r w:rsidRPr="001B271B">
              <w:rPr>
                <w:rFonts w:ascii="Times New Roman" w:eastAsiaTheme="minorHAnsi" w:hAnsi="Times New Roman" w:cs="Times New Roman"/>
                <w:sz w:val="20"/>
                <w:szCs w:val="20"/>
                <w:u w:val="single"/>
                <w:lang w:val="fi-FI" w:eastAsia="en-US"/>
              </w:rPr>
              <w:t>Asthma:</w:t>
            </w:r>
            <w:r w:rsidRPr="001B271B">
              <w:rPr>
                <w:rFonts w:ascii="Times New Roman" w:eastAsiaTheme="minorHAnsi" w:hAnsi="Times New Roman" w:cs="Times New Roman"/>
                <w:sz w:val="20"/>
                <w:szCs w:val="20"/>
                <w:u w:val="single"/>
                <w:lang w:eastAsia="en-US"/>
              </w:rPr>
              <w:fldChar w:fldCharType="begin" w:fldLock="1"/>
            </w:r>
            <w:r>
              <w:rPr>
                <w:rFonts w:ascii="Times New Roman" w:eastAsiaTheme="minorHAnsi" w:hAnsi="Times New Roman" w:cs="Times New Roman"/>
                <w:sz w:val="20"/>
                <w:szCs w:val="20"/>
                <w:u w:val="single"/>
                <w:lang w:val="fi-FI" w:eastAsia="en-US"/>
              </w:rPr>
              <w:instrText>ADDIN CSL_CITATION { "citationItems" : [ { "id" : "ITEM-1", "itemData" : { "ISSN" : "1916-7245", "PMID" : "20011725", "abstract" : "BACKGROUND Asthma imposes a heavy and expensive burden on individuals and populations. A population-based surveillance and research program based on health administrative data could measure and study the burden of asthma; however, the validity of a health administrative data diagnosis of asthma must first be confirmed. OBJECTIVE To evaluate the accuracy of population-based provincial health administrative data in identifying adult patients with asthma for ongoing surveillance and research. METHODS Patients from randomly selected primary care practices were assigned to four categories according to their previous diagnoses: asthma, chronic obstructive pulmonary disease, related respiratory conditions and nonasthma conditions. In each practice, 10 charts from each category were randomly selected, abstracted, then reviewed by a blinded expert panel who identified them as asthma or nonasthma. These reference standard diagnoses were then linked to the patients' provincial records and compared with health administrative algorithms designed to identify asthma. Analyses were performed using the concepts of diagnostic test evaluation. RESULTS A total of 518 charts, including 160 from individuals with asthma, were reviewed. The algorithm of two or more ambulatory care visits and/or one or more hospitalization(s) for asthma in two years had a sensitivity of 83.8% (95% CI 77.1% to 89.1%) and a specificity of 76.5% (95% CI 71.8% to 80.8%). CONCLUSION Definitions of adult asthma using health administrative data are sensitive and specific for identifying adults with asthma. Using these definitions, cohorts of adults with asthma for ongoing population-based surveillance and research can be developed.", "author" : [ { "dropping-particle" : "", "family" : "Gershon", "given" : "Andrea S", "non-dropping-particle" : "", "parse-names" : false, "suffix" : "" }, { "dropping-particle" : "", "family" : "Wang", "given" : "Chengning", "non-dropping-particle" : "", "parse-names" : false, "suffix" : "" }, { "dropping-particle" : "", "family" : "Guan", "given" : "Jun", "non-dropping-particle" : "", "parse-names" : false, "suffix" : "" }, { "dropping-particle" : "", "family" : "Vasilevska-Ristovska", "given" : "Jovonka", "non-dropping-particle" : "", "parse-names" : false, "suffix" : "" }, { "dropping-particle" : "", "family" : "Cicutto", "given" : "Lisa", "non-dropping-particle" : "", "parse-names" : false, "suffix" : "" }, { "dropping-particle" : "", "family" : "To", "given" : "Teresa", "non-dropping-particle" : "", "parse-names" : false, "suffix" : "" } ], "container-title" : "Canadian respiratory journal", "id" : "ITEM-1", "issue" : "6", "issued" : { "date-parts" : [ [ "2009" ] ] }, "page" : "183-8", "title" : "Identifying patients with physician-diagnosed asthma in health administrative databases.", "type" : "article-journal", "volume" : "16" }, "uris" : [ "http://www.mendeley.com/documents/?uuid=1cdf3bb9-9a74-3792-aca4-4e6dacd70567" ] } ], "mendeley" : { "formattedCitation" : "&lt;sup&gt;6&lt;/sup&gt;", "plainTextFormattedCitation" : "6", "previouslyFormattedCitation" : "[7]" }, "properties" : { "noteIndex" : 0 }, "schema" : "https://github.com/citation-style-language/schema/raw/master/csl-citation.json" }</w:instrText>
            </w:r>
            <w:r w:rsidRPr="001B271B">
              <w:rPr>
                <w:rFonts w:ascii="Times New Roman" w:eastAsiaTheme="minorHAnsi" w:hAnsi="Times New Roman" w:cs="Times New Roman"/>
                <w:sz w:val="20"/>
                <w:szCs w:val="20"/>
                <w:u w:val="single"/>
                <w:lang w:eastAsia="en-US"/>
              </w:rPr>
              <w:fldChar w:fldCharType="separate"/>
            </w:r>
            <w:r w:rsidRPr="0013049B">
              <w:rPr>
                <w:rFonts w:ascii="Times New Roman" w:eastAsiaTheme="minorHAnsi" w:hAnsi="Times New Roman" w:cs="Times New Roman"/>
                <w:noProof/>
                <w:sz w:val="20"/>
                <w:szCs w:val="20"/>
                <w:vertAlign w:val="superscript"/>
                <w:lang w:val="fi-FI" w:eastAsia="en-US"/>
              </w:rPr>
              <w:t>6</w:t>
            </w:r>
            <w:r w:rsidRPr="001B271B">
              <w:rPr>
                <w:rFonts w:ascii="Times New Roman" w:eastAsiaTheme="minorHAnsi" w:hAnsi="Times New Roman" w:cs="Times New Roman"/>
                <w:sz w:val="20"/>
                <w:szCs w:val="20"/>
                <w:u w:val="single"/>
                <w:lang w:eastAsia="en-US"/>
              </w:rPr>
              <w:fldChar w:fldCharType="end"/>
            </w:r>
          </w:p>
          <w:p w:rsidR="00BB2D87" w:rsidRPr="001B271B" w:rsidRDefault="00BB2D87" w:rsidP="00961841">
            <w:pPr>
              <w:spacing w:after="160" w:line="256" w:lineRule="auto"/>
              <w:contextualSpacing/>
              <w:rPr>
                <w:rFonts w:ascii="Times New Roman" w:eastAsia="Calibri" w:hAnsi="Times New Roman" w:cs="Times New Roman"/>
                <w:sz w:val="20"/>
                <w:szCs w:val="20"/>
                <w:lang w:val="fi-FI" w:eastAsia="en-US"/>
              </w:rPr>
            </w:pPr>
            <w:r w:rsidRPr="001B271B">
              <w:rPr>
                <w:rFonts w:ascii="Times New Roman" w:eastAsia="Calibri" w:hAnsi="Times New Roman" w:cs="Times New Roman"/>
                <w:sz w:val="20"/>
                <w:szCs w:val="20"/>
                <w:lang w:val="fi-FI" w:eastAsia="en-US"/>
              </w:rPr>
              <w:t>An ICES-specific asthma database was used to identify patients with</w:t>
            </w:r>
          </w:p>
          <w:p w:rsidR="00BB2D87" w:rsidRPr="001B271B" w:rsidRDefault="00BB2D87" w:rsidP="00961841">
            <w:pPr>
              <w:spacing w:after="160" w:line="256" w:lineRule="auto"/>
              <w:contextualSpacing/>
              <w:rPr>
                <w:rFonts w:ascii="Times New Roman" w:eastAsia="Calibri" w:hAnsi="Times New Roman" w:cs="Times New Roman"/>
                <w:sz w:val="20"/>
                <w:szCs w:val="20"/>
                <w:lang w:val="fi-FI" w:eastAsia="en-US"/>
              </w:rPr>
            </w:pPr>
            <w:r w:rsidRPr="001B271B">
              <w:rPr>
                <w:rFonts w:ascii="Times New Roman" w:eastAsia="Calibri" w:hAnsi="Times New Roman" w:cs="Times New Roman"/>
                <w:sz w:val="20"/>
                <w:szCs w:val="20"/>
                <w:lang w:val="fi-FI" w:eastAsia="en-US"/>
              </w:rPr>
              <w:t>asthma, based on 2 or more ambulatory care visits and/or 1 or more</w:t>
            </w:r>
          </w:p>
          <w:p w:rsidR="00BB2D87" w:rsidRPr="00A2430E" w:rsidRDefault="00BB2D87" w:rsidP="00961841">
            <w:pPr>
              <w:spacing w:after="160" w:line="256" w:lineRule="auto"/>
              <w:contextualSpacing/>
              <w:rPr>
                <w:rFonts w:ascii="Times New Roman" w:eastAsia="Calibri" w:hAnsi="Times New Roman" w:cs="Times New Roman"/>
                <w:sz w:val="20"/>
                <w:szCs w:val="20"/>
                <w:lang w:val="fi-FI" w:eastAsia="en-US"/>
              </w:rPr>
            </w:pPr>
            <w:r w:rsidRPr="001B271B">
              <w:rPr>
                <w:rFonts w:ascii="Times New Roman" w:eastAsia="Calibri" w:hAnsi="Times New Roman" w:cs="Times New Roman"/>
                <w:sz w:val="20"/>
                <w:szCs w:val="20"/>
                <w:lang w:val="fi-FI" w:eastAsia="en-US"/>
              </w:rPr>
              <w:t xml:space="preserve">hospitalizations. </w:t>
            </w:r>
          </w:p>
          <w:p w:rsidR="00BB2D87" w:rsidRPr="00A2430E" w:rsidRDefault="00BB2D87" w:rsidP="00961841">
            <w:pPr>
              <w:spacing w:after="160" w:line="256" w:lineRule="auto"/>
              <w:contextualSpacing/>
              <w:rPr>
                <w:rFonts w:ascii="Times New Roman" w:eastAsia="Calibri" w:hAnsi="Times New Roman" w:cs="Times New Roman"/>
                <w:sz w:val="20"/>
                <w:szCs w:val="20"/>
                <w:lang w:val="fi-FI" w:eastAsia="en-US"/>
              </w:rPr>
            </w:pPr>
          </w:p>
          <w:p w:rsidR="00BB2D87" w:rsidRPr="00A2430E" w:rsidRDefault="00BB2D87" w:rsidP="00961841">
            <w:pPr>
              <w:spacing w:after="160" w:line="256" w:lineRule="auto"/>
              <w:contextualSpacing/>
              <w:rPr>
                <w:rFonts w:ascii="Times New Roman" w:eastAsia="Calibri" w:hAnsi="Times New Roman" w:cs="Times New Roman"/>
                <w:sz w:val="20"/>
                <w:szCs w:val="20"/>
                <w:lang w:val="fi-FI" w:eastAsia="en-US"/>
              </w:rPr>
            </w:pPr>
            <w:r w:rsidRPr="00A2430E">
              <w:rPr>
                <w:rFonts w:ascii="Times New Roman" w:eastAsia="Calibri" w:hAnsi="Times New Roman" w:cs="Times New Roman"/>
                <w:sz w:val="20"/>
                <w:szCs w:val="20"/>
                <w:lang w:val="fi-FI" w:eastAsia="en-US"/>
              </w:rPr>
              <w:t>OHIP</w:t>
            </w:r>
          </w:p>
          <w:p w:rsidR="00BB2D87" w:rsidRPr="00A2430E" w:rsidRDefault="00BB2D87" w:rsidP="00961841">
            <w:pPr>
              <w:spacing w:after="160" w:line="256" w:lineRule="auto"/>
              <w:contextualSpacing/>
              <w:rPr>
                <w:rFonts w:ascii="Times New Roman" w:eastAsia="Calibri" w:hAnsi="Times New Roman" w:cs="Times New Roman"/>
                <w:sz w:val="20"/>
                <w:szCs w:val="20"/>
                <w:lang w:val="fi-FI" w:eastAsia="en-US"/>
              </w:rPr>
            </w:pPr>
            <w:r w:rsidRPr="00A2430E">
              <w:rPr>
                <w:rFonts w:ascii="Times New Roman" w:eastAsia="Calibri" w:hAnsi="Times New Roman" w:cs="Times New Roman"/>
                <w:sz w:val="20"/>
                <w:szCs w:val="20"/>
                <w:lang w:val="fi-FI" w:eastAsia="en-US"/>
              </w:rPr>
              <w:t>OHIP diagnostic code: 493</w:t>
            </w:r>
          </w:p>
          <w:p w:rsidR="00BB2D87" w:rsidRPr="00A2430E" w:rsidRDefault="00BB2D87" w:rsidP="00961841">
            <w:pPr>
              <w:spacing w:after="160" w:line="256" w:lineRule="auto"/>
              <w:contextualSpacing/>
              <w:rPr>
                <w:rFonts w:ascii="Times New Roman" w:eastAsia="Calibri" w:hAnsi="Times New Roman" w:cs="Times New Roman"/>
                <w:sz w:val="20"/>
                <w:szCs w:val="20"/>
                <w:lang w:val="fi-FI" w:eastAsia="en-US"/>
              </w:rPr>
            </w:pPr>
          </w:p>
          <w:p w:rsidR="00BB2D87" w:rsidRPr="00A2430E" w:rsidRDefault="00BB2D87" w:rsidP="00961841">
            <w:pPr>
              <w:spacing w:after="160" w:line="256" w:lineRule="auto"/>
              <w:contextualSpacing/>
              <w:rPr>
                <w:rFonts w:ascii="Times New Roman" w:eastAsia="Calibri" w:hAnsi="Times New Roman" w:cs="Times New Roman"/>
                <w:sz w:val="20"/>
                <w:szCs w:val="20"/>
                <w:lang w:val="fi-FI" w:eastAsia="en-US"/>
              </w:rPr>
            </w:pPr>
            <w:r w:rsidRPr="00A2430E">
              <w:rPr>
                <w:rFonts w:ascii="Times New Roman" w:eastAsia="Calibri" w:hAnsi="Times New Roman" w:cs="Times New Roman"/>
                <w:sz w:val="20"/>
                <w:szCs w:val="20"/>
                <w:lang w:val="fi-FI" w:eastAsia="en-US"/>
              </w:rPr>
              <w:t>DAD</w:t>
            </w:r>
          </w:p>
          <w:p w:rsidR="00BB2D87" w:rsidRPr="00A2430E" w:rsidRDefault="00BB2D87" w:rsidP="00961841">
            <w:pPr>
              <w:spacing w:after="160" w:line="256" w:lineRule="auto"/>
              <w:contextualSpacing/>
              <w:rPr>
                <w:rFonts w:ascii="Times New Roman" w:eastAsia="Calibri" w:hAnsi="Times New Roman" w:cs="Times New Roman"/>
                <w:sz w:val="20"/>
                <w:szCs w:val="20"/>
                <w:lang w:val="fi-FI" w:eastAsia="en-US"/>
              </w:rPr>
            </w:pPr>
            <w:r w:rsidRPr="00A2430E">
              <w:rPr>
                <w:rFonts w:ascii="Times New Roman" w:eastAsia="Calibri" w:hAnsi="Times New Roman" w:cs="Times New Roman"/>
                <w:sz w:val="20"/>
                <w:szCs w:val="20"/>
                <w:lang w:val="fi-FI" w:eastAsia="en-US"/>
              </w:rPr>
              <w:t>ICD-9 diagnostic code: 493</w:t>
            </w:r>
          </w:p>
          <w:p w:rsidR="00BB2D87" w:rsidRPr="00A2430E" w:rsidRDefault="00BB2D87" w:rsidP="00961841">
            <w:pPr>
              <w:contextualSpacing/>
              <w:rPr>
                <w:rFonts w:ascii="Times New Roman" w:eastAsia="Calibri" w:hAnsi="Times New Roman" w:cs="Times New Roman"/>
                <w:sz w:val="20"/>
                <w:szCs w:val="20"/>
                <w:lang w:val="fi-FI" w:eastAsia="en-US"/>
              </w:rPr>
            </w:pPr>
            <w:r w:rsidRPr="00A2430E">
              <w:rPr>
                <w:rFonts w:ascii="Times New Roman" w:eastAsia="Calibri" w:hAnsi="Times New Roman" w:cs="Times New Roman"/>
                <w:sz w:val="20"/>
                <w:szCs w:val="20"/>
                <w:lang w:val="fi-FI" w:eastAsia="en-US"/>
              </w:rPr>
              <w:t>ICD-10 diagnostic codes: J45, J46</w:t>
            </w:r>
          </w:p>
          <w:p w:rsidR="00BB2D87" w:rsidRPr="00A2430E" w:rsidRDefault="00BB2D87" w:rsidP="00961841">
            <w:pPr>
              <w:contextualSpacing/>
              <w:rPr>
                <w:rFonts w:ascii="Times New Roman" w:eastAsia="Calibri" w:hAnsi="Times New Roman" w:cs="Times New Roman"/>
                <w:sz w:val="20"/>
                <w:szCs w:val="20"/>
                <w:lang w:val="fi-FI" w:eastAsia="en-US"/>
              </w:rPr>
            </w:pPr>
          </w:p>
          <w:p w:rsidR="00BB2D87" w:rsidRPr="001B271B" w:rsidRDefault="00BB2D87" w:rsidP="00961841">
            <w:pPr>
              <w:contextualSpacing/>
              <w:rPr>
                <w:rFonts w:ascii="Times New Roman" w:eastAsia="Calibri" w:hAnsi="Times New Roman" w:cs="Times New Roman"/>
                <w:sz w:val="20"/>
                <w:szCs w:val="20"/>
                <w:lang w:val="en-US" w:eastAsia="ko-KR"/>
              </w:rPr>
            </w:pPr>
            <w:r w:rsidRPr="00A2430E">
              <w:rPr>
                <w:rFonts w:ascii="Times New Roman" w:eastAsia="Calibri" w:hAnsi="Times New Roman" w:cs="Times New Roman"/>
                <w:sz w:val="20"/>
                <w:szCs w:val="20"/>
                <w:lang w:val="fi-FI" w:eastAsia="en-US"/>
              </w:rPr>
              <w:t>Chronic obstructive pulmonary disease (COPD):</w:t>
            </w:r>
            <w:r w:rsidRPr="001B271B">
              <w:rPr>
                <w:rFonts w:ascii="Times New Roman" w:eastAsia="Calibri" w:hAnsi="Times New Roman" w:cs="Times New Roman"/>
                <w:sz w:val="20"/>
                <w:szCs w:val="20"/>
                <w:lang w:val="en-US" w:eastAsia="en-US"/>
              </w:rPr>
              <w:fldChar w:fldCharType="begin" w:fldLock="1"/>
            </w:r>
            <w:r w:rsidRPr="00A2430E">
              <w:rPr>
                <w:rFonts w:ascii="Times New Roman" w:eastAsia="Calibri" w:hAnsi="Times New Roman" w:cs="Times New Roman"/>
                <w:sz w:val="20"/>
                <w:szCs w:val="20"/>
                <w:lang w:val="fi-FI" w:eastAsia="en-US"/>
              </w:rPr>
              <w:instrText xml:space="preserve">ADDIN CSL_CITATION { "citationItems" : [ { "id" : "ITEM-1", "itemData" : { "ISSN" : "1541-2563", "PMID" : "19863368", "abstract" : "Chronic Obstructive Pulmonary Disease (COPD) is a common chronic respiratory disease responsible for significant morbidity and mortality. Population-based health administrative databases provide a powerful and unbiased way of studying COPD in the population, however, their ability to accurately identify patients with this disease must first be confirmed. The objective was to validate population-based health administrative definitions of COPD. Previously abstracted medical records of adults over the age of 35 randomly selected from primary care practices in Ontario, Canada were reviewed by an expert panel to establish if an individual did or did not have a diagnosis of COPD. These reference designations were then linked to each individual's respective health administrative database record and compared with predefine health administrative data definitions of COPD. Concepts of diagnostic test evaluation were used to calculate and compare their test characteristics. The most sensitive health administrative definition of COPD was 1 or more ambulatory claims and/or 1 or more hospitalizations for COPD that yielded a sensitivity of 85.0% (95% confidence interval 77.0 to 91.0) and a specificity of 78.4% (95% </w:instrText>
            </w:r>
            <w:r>
              <w:rPr>
                <w:rFonts w:ascii="Times New Roman" w:eastAsia="Calibri" w:hAnsi="Times New Roman" w:cs="Times New Roman"/>
                <w:sz w:val="20"/>
                <w:szCs w:val="20"/>
                <w:lang w:val="en-US" w:eastAsia="en-US"/>
              </w:rPr>
              <w:instrText>confidence interval 73.6 to 82.7). As number of ambulatory claims in the definition increased, sensitivity decreased and specificity increased. Individuals with COPD can be accurately identified in health administrative data, and therefore it may be used to create an unbiased population cohort for surveillance and research. This offers a powerful means of generating evidence to inform strategies that optimize the prevention and management of COPD.", "author" : [ { "dropping-particle" : "", "family" : "Gershon", "given" : "Andrea S", "non-dropping-particle" : "", "parse-names" : false, "suffix" : "" }, { "dropping-particle" : "", "family" : "Wang", "given" : "Chengning", "non-dropping-particle" : "", "parse-names" : false, "suffix" : "" }, { "dropping-particle" : "", "family" : "Guan", "given" : "Jun", "non-dropping-particle" : "", "parse-names" : false, "suffix" : "" }, { "dropping-particle" : "", "family" : "Vasilevska-Ristovska", "given" : "Jovonka", "non-dropping-particle" : "", "parse-names" : false, "suffix" : "" }, { "dropping-particle" : "", "family" : "Cicutto", "given" : "Lisa", "non-dropping-particle" : "", "parse-names" : false, "suffix" : "" }, { "dropping-particle" : "", "family" : "To", "given" : "Teresa", "non-dropping-particle" : "", "parse-names" : false, "suffix" : "" } ], "container-title" : "COPD", "id" : "ITEM-1", "issue" : "5", "issued" : { "date-parts" : [ [ "2009", "10" ] ] }, "page" : "388-94", "title" : "Identifying individuals with physcian diagnosed COPD in health administrative databases.", "type" : "article-journal", "volume" : "6" }, "uris" : [ "http://www.mendeley.com/documents/?uuid=be46e733-fd9d-32b5-959b-9abdfb36c2f5" ] } ], "mendeley" : { "formattedCitation" : "&lt;sup&gt;7&lt;/sup&gt;", "plainTextFormattedCitation" : "7", "previouslyFormattedCitation" : "[8]" }, "properties" : { "noteIndex" : 0 }, "schema" : "https://github.com/citation-style-language/schema/raw/master/csl-citation.json" }</w:instrText>
            </w:r>
            <w:r w:rsidRPr="001B271B">
              <w:rPr>
                <w:rFonts w:ascii="Times New Roman" w:eastAsia="Calibri" w:hAnsi="Times New Roman" w:cs="Times New Roman"/>
                <w:sz w:val="20"/>
                <w:szCs w:val="20"/>
                <w:lang w:val="en-US" w:eastAsia="en-US"/>
              </w:rPr>
              <w:fldChar w:fldCharType="separate"/>
            </w:r>
            <w:r w:rsidRPr="0013049B">
              <w:rPr>
                <w:rFonts w:ascii="Times New Roman" w:eastAsia="Calibri" w:hAnsi="Times New Roman" w:cs="Times New Roman"/>
                <w:noProof/>
                <w:sz w:val="20"/>
                <w:szCs w:val="20"/>
                <w:vertAlign w:val="superscript"/>
                <w:lang w:val="en-US" w:eastAsia="ko-KR"/>
              </w:rPr>
              <w:t>7</w:t>
            </w:r>
            <w:r w:rsidRPr="001B271B">
              <w:rPr>
                <w:rFonts w:ascii="Times New Roman" w:eastAsia="Calibri" w:hAnsi="Times New Roman" w:cs="Times New Roman"/>
                <w:sz w:val="20"/>
                <w:szCs w:val="20"/>
                <w:lang w:val="en-US" w:eastAsia="en-US"/>
              </w:rPr>
              <w:fldChar w:fldCharType="end"/>
            </w:r>
          </w:p>
          <w:p w:rsidR="00BB2D87" w:rsidRPr="001B271B" w:rsidRDefault="00BB2D87" w:rsidP="00961841">
            <w:pPr>
              <w:spacing w:after="160" w:line="256" w:lineRule="auto"/>
              <w:contextualSpacing/>
              <w:rPr>
                <w:rFonts w:ascii="Times New Roman" w:eastAsia="Calibri" w:hAnsi="Times New Roman" w:cs="Times New Roman"/>
                <w:sz w:val="20"/>
                <w:szCs w:val="20"/>
                <w:lang w:val="en-US" w:eastAsia="ko-KR"/>
              </w:rPr>
            </w:pPr>
            <w:r w:rsidRPr="001B271B">
              <w:rPr>
                <w:rFonts w:ascii="Times New Roman" w:eastAsia="Calibri" w:hAnsi="Times New Roman" w:cs="Times New Roman"/>
                <w:sz w:val="20"/>
                <w:szCs w:val="20"/>
                <w:lang w:val="en-US" w:eastAsia="ko-KR"/>
              </w:rPr>
              <w:t>An ICES-specific COPD database was used to identify patients with</w:t>
            </w:r>
          </w:p>
          <w:p w:rsidR="00BB2D87" w:rsidRPr="001B271B" w:rsidRDefault="00BB2D87" w:rsidP="00961841">
            <w:pPr>
              <w:spacing w:after="160" w:line="256" w:lineRule="auto"/>
              <w:contextualSpacing/>
              <w:rPr>
                <w:rFonts w:ascii="Times New Roman" w:eastAsia="Calibri" w:hAnsi="Times New Roman" w:cs="Times New Roman"/>
                <w:sz w:val="20"/>
                <w:szCs w:val="20"/>
                <w:lang w:val="en-US" w:eastAsia="ko-KR"/>
              </w:rPr>
            </w:pPr>
            <w:r w:rsidRPr="001B271B">
              <w:rPr>
                <w:rFonts w:ascii="Times New Roman" w:eastAsia="Calibri" w:hAnsi="Times New Roman" w:cs="Times New Roman"/>
                <w:sz w:val="20"/>
                <w:szCs w:val="20"/>
                <w:lang w:val="en-US" w:eastAsia="ko-KR"/>
              </w:rPr>
              <w:t>COPD, based on 1 or more ambulatory care visits and/or 1 or more</w:t>
            </w:r>
          </w:p>
          <w:p w:rsidR="00BB2D87" w:rsidRPr="001B271B" w:rsidRDefault="00BB2D87" w:rsidP="00961841">
            <w:pPr>
              <w:spacing w:after="160" w:line="256" w:lineRule="auto"/>
              <w:contextualSpacing/>
              <w:rPr>
                <w:rFonts w:ascii="Times New Roman" w:eastAsia="Calibri" w:hAnsi="Times New Roman" w:cs="Times New Roman"/>
                <w:sz w:val="20"/>
                <w:szCs w:val="20"/>
                <w:lang w:val="en-US" w:eastAsia="ko-KR"/>
              </w:rPr>
            </w:pPr>
            <w:proofErr w:type="gramStart"/>
            <w:r w:rsidRPr="001B271B">
              <w:rPr>
                <w:rFonts w:ascii="Times New Roman" w:eastAsia="Calibri" w:hAnsi="Times New Roman" w:cs="Times New Roman"/>
                <w:sz w:val="20"/>
                <w:szCs w:val="20"/>
                <w:lang w:val="en-US" w:eastAsia="ko-KR"/>
              </w:rPr>
              <w:t>hospitalizations</w:t>
            </w:r>
            <w:proofErr w:type="gramEnd"/>
            <w:r w:rsidRPr="001B271B">
              <w:rPr>
                <w:rFonts w:ascii="Times New Roman" w:eastAsia="Calibri" w:hAnsi="Times New Roman" w:cs="Times New Roman"/>
                <w:sz w:val="20"/>
                <w:szCs w:val="20"/>
                <w:lang w:val="en-US" w:eastAsia="ko-KR"/>
              </w:rPr>
              <w:t>. The algorithm to identify COPD patients was only</w:t>
            </w:r>
          </w:p>
          <w:p w:rsidR="00BB2D87" w:rsidRPr="001B271B" w:rsidRDefault="00BB2D87" w:rsidP="00961841">
            <w:pPr>
              <w:spacing w:after="160" w:line="256" w:lineRule="auto"/>
              <w:contextualSpacing/>
              <w:rPr>
                <w:rFonts w:ascii="Times New Roman" w:eastAsia="Calibri" w:hAnsi="Times New Roman" w:cs="Times New Roman"/>
                <w:sz w:val="20"/>
                <w:szCs w:val="20"/>
                <w:lang w:val="en-US" w:eastAsia="ko-KR"/>
              </w:rPr>
            </w:pPr>
            <w:proofErr w:type="gramStart"/>
            <w:r w:rsidRPr="001B271B">
              <w:rPr>
                <w:rFonts w:ascii="Times New Roman" w:eastAsia="Calibri" w:hAnsi="Times New Roman" w:cs="Times New Roman"/>
                <w:sz w:val="20"/>
                <w:szCs w:val="20"/>
                <w:lang w:val="en-US" w:eastAsia="ko-KR"/>
              </w:rPr>
              <w:t>validated</w:t>
            </w:r>
            <w:proofErr w:type="gramEnd"/>
            <w:r w:rsidRPr="001B271B">
              <w:rPr>
                <w:rFonts w:ascii="Times New Roman" w:eastAsia="Calibri" w:hAnsi="Times New Roman" w:cs="Times New Roman"/>
                <w:sz w:val="20"/>
                <w:szCs w:val="20"/>
                <w:lang w:val="en-US" w:eastAsia="ko-KR"/>
              </w:rPr>
              <w:t xml:space="preserve"> in those aged 35 years or older. </w:t>
            </w:r>
          </w:p>
          <w:p w:rsidR="00BB2D87" w:rsidRPr="001B271B" w:rsidRDefault="00BB2D87" w:rsidP="00961841">
            <w:pPr>
              <w:spacing w:after="160" w:line="256" w:lineRule="auto"/>
              <w:contextualSpacing/>
              <w:rPr>
                <w:rFonts w:ascii="Times New Roman" w:eastAsia="Calibri" w:hAnsi="Times New Roman" w:cs="Times New Roman"/>
                <w:sz w:val="20"/>
                <w:szCs w:val="20"/>
                <w:lang w:val="en-US" w:eastAsia="ko-KR"/>
              </w:rPr>
            </w:pPr>
          </w:p>
          <w:p w:rsidR="00BB2D87" w:rsidRPr="001B271B" w:rsidRDefault="00BB2D87" w:rsidP="00961841">
            <w:pPr>
              <w:spacing w:after="160" w:line="256" w:lineRule="auto"/>
              <w:contextualSpacing/>
              <w:rPr>
                <w:rFonts w:ascii="Times New Roman" w:eastAsia="Calibri" w:hAnsi="Times New Roman" w:cs="Times New Roman"/>
                <w:sz w:val="20"/>
                <w:szCs w:val="20"/>
                <w:lang w:val="en-US" w:eastAsia="ko-KR"/>
              </w:rPr>
            </w:pPr>
            <w:r w:rsidRPr="001B271B">
              <w:rPr>
                <w:rFonts w:ascii="Times New Roman" w:eastAsia="Calibri" w:hAnsi="Times New Roman" w:cs="Times New Roman"/>
                <w:sz w:val="20"/>
                <w:szCs w:val="20"/>
                <w:lang w:val="en-US" w:eastAsia="ko-KR"/>
              </w:rPr>
              <w:t>OHIP</w:t>
            </w:r>
          </w:p>
          <w:p w:rsidR="00BB2D87" w:rsidRPr="001B271B" w:rsidRDefault="00BB2D87" w:rsidP="00961841">
            <w:pPr>
              <w:spacing w:after="160" w:line="256" w:lineRule="auto"/>
              <w:contextualSpacing/>
              <w:rPr>
                <w:rFonts w:ascii="Times New Roman" w:eastAsia="Calibri" w:hAnsi="Times New Roman" w:cs="Times New Roman"/>
                <w:sz w:val="20"/>
                <w:szCs w:val="20"/>
                <w:lang w:val="en-US" w:eastAsia="ko-KR"/>
              </w:rPr>
            </w:pPr>
            <w:r w:rsidRPr="001B271B">
              <w:rPr>
                <w:rFonts w:ascii="Times New Roman" w:eastAsia="Calibri" w:hAnsi="Times New Roman" w:cs="Times New Roman"/>
                <w:sz w:val="20"/>
                <w:szCs w:val="20"/>
                <w:lang w:val="en-US" w:eastAsia="ko-KR"/>
              </w:rPr>
              <w:t>OHIP diagnostic codes: 491, 492, 496</w:t>
            </w:r>
          </w:p>
          <w:p w:rsidR="00BB2D87" w:rsidRPr="001B271B" w:rsidRDefault="00BB2D87" w:rsidP="00961841">
            <w:pPr>
              <w:spacing w:after="160" w:line="256" w:lineRule="auto"/>
              <w:contextualSpacing/>
              <w:rPr>
                <w:rFonts w:ascii="Times New Roman" w:eastAsia="Calibri" w:hAnsi="Times New Roman" w:cs="Times New Roman"/>
                <w:sz w:val="20"/>
                <w:szCs w:val="20"/>
                <w:lang w:val="en-US" w:eastAsia="ko-KR"/>
              </w:rPr>
            </w:pPr>
          </w:p>
          <w:p w:rsidR="00BB2D87" w:rsidRPr="001B271B" w:rsidRDefault="00BB2D87" w:rsidP="00961841">
            <w:pPr>
              <w:spacing w:after="160" w:line="256" w:lineRule="auto"/>
              <w:contextualSpacing/>
              <w:rPr>
                <w:rFonts w:ascii="Times New Roman" w:eastAsia="Calibri" w:hAnsi="Times New Roman" w:cs="Times New Roman"/>
                <w:sz w:val="20"/>
                <w:szCs w:val="20"/>
                <w:lang w:val="en-US" w:eastAsia="ko-KR"/>
              </w:rPr>
            </w:pPr>
            <w:r w:rsidRPr="001B271B">
              <w:rPr>
                <w:rFonts w:ascii="Times New Roman" w:eastAsia="Calibri" w:hAnsi="Times New Roman" w:cs="Times New Roman"/>
                <w:sz w:val="20"/>
                <w:szCs w:val="20"/>
                <w:lang w:val="en-US" w:eastAsia="ko-KR"/>
              </w:rPr>
              <w:t>DAD</w:t>
            </w:r>
          </w:p>
          <w:p w:rsidR="00BB2D87" w:rsidRPr="001B271B" w:rsidRDefault="00BB2D87" w:rsidP="00961841">
            <w:pPr>
              <w:spacing w:after="160" w:line="256" w:lineRule="auto"/>
              <w:contextualSpacing/>
              <w:rPr>
                <w:rFonts w:ascii="Times New Roman" w:eastAsia="Calibri" w:hAnsi="Times New Roman" w:cs="Times New Roman"/>
                <w:sz w:val="20"/>
                <w:szCs w:val="20"/>
                <w:lang w:val="en-US" w:eastAsia="ko-KR"/>
              </w:rPr>
            </w:pPr>
            <w:r w:rsidRPr="001B271B">
              <w:rPr>
                <w:rFonts w:ascii="Times New Roman" w:eastAsia="Calibri" w:hAnsi="Times New Roman" w:cs="Times New Roman"/>
                <w:sz w:val="20"/>
                <w:szCs w:val="20"/>
                <w:lang w:val="en-US" w:eastAsia="ko-KR"/>
              </w:rPr>
              <w:t>ICD-9 diagnostic codes: 491, 492, 496</w:t>
            </w:r>
          </w:p>
          <w:p w:rsidR="00BB2D87" w:rsidRPr="001B271B" w:rsidRDefault="00BB2D87" w:rsidP="00961841">
            <w:pPr>
              <w:contextualSpacing/>
              <w:rPr>
                <w:rFonts w:ascii="Times New Roman" w:eastAsiaTheme="minorHAnsi" w:hAnsi="Times New Roman" w:cs="Times New Roman"/>
                <w:sz w:val="20"/>
                <w:szCs w:val="20"/>
                <w:lang w:eastAsia="ko-KR"/>
              </w:rPr>
            </w:pPr>
            <w:r w:rsidRPr="001B271B">
              <w:rPr>
                <w:rFonts w:ascii="Times New Roman" w:eastAsia="Calibri" w:hAnsi="Times New Roman" w:cs="Times New Roman"/>
                <w:sz w:val="20"/>
                <w:szCs w:val="20"/>
                <w:lang w:val="en-US" w:eastAsia="ko-KR"/>
              </w:rPr>
              <w:t>ICD-10 diagnostic codes: J41, J42, J43, J44</w:t>
            </w:r>
          </w:p>
        </w:tc>
      </w:tr>
      <w:tr w:rsidR="00BB2D87" w:rsidRPr="001B271B" w:rsidTr="00961841">
        <w:tc>
          <w:tcPr>
            <w:tcW w:w="2376" w:type="dxa"/>
            <w:shd w:val="clear" w:color="auto" w:fill="auto"/>
          </w:tcPr>
          <w:p w:rsidR="00BB2D87" w:rsidRPr="001B271B" w:rsidRDefault="00BB2D87" w:rsidP="00961841">
            <w:pPr>
              <w:contextualSpacing/>
              <w:rPr>
                <w:rFonts w:ascii="Times New Roman" w:eastAsiaTheme="minorHAnsi" w:hAnsi="Times New Roman" w:cs="Times New Roman"/>
                <w:sz w:val="20"/>
                <w:szCs w:val="20"/>
                <w:lang w:eastAsia="ko-KR"/>
              </w:rPr>
            </w:pPr>
            <w:r w:rsidRPr="001B271B">
              <w:rPr>
                <w:rFonts w:ascii="Times New Roman" w:eastAsiaTheme="minorHAnsi" w:hAnsi="Times New Roman" w:cs="Times New Roman"/>
                <w:sz w:val="20"/>
                <w:szCs w:val="20"/>
                <w:lang w:eastAsia="ko-KR"/>
              </w:rPr>
              <w:lastRenderedPageBreak/>
              <w:t>Hypertension</w:t>
            </w:r>
          </w:p>
        </w:tc>
        <w:tc>
          <w:tcPr>
            <w:tcW w:w="6804" w:type="dxa"/>
            <w:shd w:val="clear" w:color="auto" w:fill="auto"/>
          </w:tcPr>
          <w:p w:rsidR="00BB2D87" w:rsidRPr="001B271B" w:rsidRDefault="00BB2D87" w:rsidP="00961841">
            <w:pPr>
              <w:contextualSpacing/>
              <w:rPr>
                <w:rFonts w:ascii="Times New Roman" w:eastAsiaTheme="minorHAnsi" w:hAnsi="Times New Roman" w:cs="Times New Roman"/>
                <w:sz w:val="20"/>
                <w:szCs w:val="20"/>
                <w:lang w:eastAsia="ko-KR"/>
              </w:rPr>
            </w:pPr>
            <w:r w:rsidRPr="001B271B">
              <w:rPr>
                <w:rFonts w:ascii="Times New Roman" w:eastAsiaTheme="minorHAnsi" w:hAnsi="Times New Roman" w:cs="Times New Roman"/>
                <w:sz w:val="20"/>
                <w:szCs w:val="20"/>
                <w:lang w:eastAsia="ko-KR"/>
              </w:rPr>
              <w:t>An ICES-specific hypertension database was used to identify patients with hypertension, based on 1 or more DAD diagnoses or 2 or more OHIP diagnoses in a two-year period; or 1 OHIP diagnosis followed by an OHIP/DAD diagnosis within two years.</w:t>
            </w:r>
            <w:r w:rsidRPr="001B271B">
              <w:rPr>
                <w:rFonts w:ascii="Times New Roman" w:eastAsiaTheme="minorHAnsi" w:hAnsi="Times New Roman" w:cs="Times New Roman"/>
                <w:sz w:val="20"/>
                <w:szCs w:val="20"/>
                <w:lang w:eastAsia="en-US"/>
              </w:rPr>
              <w:fldChar w:fldCharType="begin" w:fldLock="1"/>
            </w:r>
            <w:r>
              <w:rPr>
                <w:rFonts w:ascii="Times New Roman" w:eastAsiaTheme="minorHAnsi" w:hAnsi="Times New Roman" w:cs="Times New Roman"/>
                <w:sz w:val="20"/>
                <w:szCs w:val="20"/>
                <w:lang w:eastAsia="ko-KR"/>
              </w:rPr>
              <w:instrText>ADDIN CSL_CITATION { "citationItems" : [ { "id" : "ITEM-1", "itemData" : { "author" : [ { "dropping-particle" : "", "family" : "Tu", "given" : "K", "non-dropping-particle" : "", "parse-names" : false, "suffix" : "" }, { "dropping-particle" : "", "family" : "Campbell", "given" : "N", "non-dropping-particle" : "", "parse-names" : false, "suffix" : "" }, { "dropping-particle" : "", "family" : "Chen", "given" : "Z-L.", "non-dropping-particle" : "", "parse-names" : false, "suffix" : "" }, { "dropping-particle" : "", "family" : "Cauch-Dudek", "given" : "K J", "non-dropping-particle" : "", "parse-names" : false, "suffix" : "" }, { "dropping-particle" : "", "family" : "McAlister", "given" : "F A", "non-dropping-particle" : "", "parse-names" : false, "suffix" : "" } ], "container-title" : "Open Medicine", "id" : "ITEM-1", "issue" : "1", "issued" : { "date-parts" : [ [ "2007" ] ] }, "page" : "E18-E26", "title" : "Accuracy of administrative databases in identifying patients with hypertension", "type" : "article-journal", "volume" : "1" }, "uris" : [ "http://www.mendeley.com/documents/?uuid=11726b62-2bf2-44aa-be4c-4970e0bd41a5" ] } ], "mendeley" : { "formattedCitation" : "&lt;sup&gt;8&lt;/sup&gt;", "plainTextFormattedCitation" : "8", "previouslyFormattedCitation" : "[9]" }, "properties" : { "noteIndex" : 0 }, "schema" : "https://github.com/citation-style-language/schema/raw/master/csl-citation.json" }</w:instrText>
            </w:r>
            <w:r w:rsidRPr="001B271B">
              <w:rPr>
                <w:rFonts w:ascii="Times New Roman" w:eastAsiaTheme="minorHAnsi" w:hAnsi="Times New Roman" w:cs="Times New Roman"/>
                <w:sz w:val="20"/>
                <w:szCs w:val="20"/>
                <w:lang w:eastAsia="en-US"/>
              </w:rPr>
              <w:fldChar w:fldCharType="separate"/>
            </w:r>
            <w:r w:rsidRPr="0013049B">
              <w:rPr>
                <w:rFonts w:ascii="Times New Roman" w:eastAsiaTheme="minorHAnsi" w:hAnsi="Times New Roman" w:cs="Times New Roman"/>
                <w:noProof/>
                <w:sz w:val="20"/>
                <w:szCs w:val="20"/>
                <w:vertAlign w:val="superscript"/>
                <w:lang w:eastAsia="en-US"/>
              </w:rPr>
              <w:t>8</w:t>
            </w:r>
            <w:r w:rsidRPr="001B271B">
              <w:rPr>
                <w:rFonts w:ascii="Times New Roman" w:eastAsiaTheme="minorHAnsi" w:hAnsi="Times New Roman" w:cs="Times New Roman"/>
                <w:sz w:val="20"/>
                <w:szCs w:val="20"/>
                <w:lang w:eastAsia="en-US"/>
              </w:rPr>
              <w:fldChar w:fldCharType="end"/>
            </w:r>
            <w:r w:rsidRPr="001B271B">
              <w:rPr>
                <w:rFonts w:ascii="Times New Roman" w:eastAsiaTheme="minorHAnsi" w:hAnsi="Times New Roman" w:cs="Times New Roman"/>
                <w:sz w:val="20"/>
                <w:szCs w:val="20"/>
                <w:lang w:eastAsia="en-US"/>
              </w:rPr>
              <w:t xml:space="preserve"> </w:t>
            </w:r>
          </w:p>
          <w:p w:rsidR="00BB2D87" w:rsidRPr="001B271B" w:rsidRDefault="00BB2D87" w:rsidP="00961841">
            <w:pPr>
              <w:contextualSpacing/>
              <w:rPr>
                <w:rFonts w:ascii="Times New Roman" w:eastAsiaTheme="minorHAnsi" w:hAnsi="Times New Roman" w:cs="Times New Roman"/>
                <w:sz w:val="20"/>
                <w:szCs w:val="20"/>
                <w:lang w:eastAsia="ko-KR"/>
              </w:rPr>
            </w:pPr>
          </w:p>
          <w:p w:rsidR="00BB2D87" w:rsidRPr="001B271B" w:rsidRDefault="00BB2D87" w:rsidP="00961841">
            <w:pPr>
              <w:contextualSpacing/>
              <w:rPr>
                <w:rFonts w:ascii="Times New Roman" w:eastAsiaTheme="minorHAnsi" w:hAnsi="Times New Roman" w:cs="Times New Roman"/>
                <w:sz w:val="20"/>
                <w:szCs w:val="20"/>
                <w:lang w:eastAsia="ko-KR"/>
              </w:rPr>
            </w:pPr>
            <w:r w:rsidRPr="001B271B">
              <w:rPr>
                <w:rFonts w:ascii="Times New Roman" w:eastAsiaTheme="minorHAnsi" w:hAnsi="Times New Roman" w:cs="Times New Roman"/>
                <w:sz w:val="20"/>
                <w:szCs w:val="20"/>
                <w:lang w:eastAsia="ko-KR"/>
              </w:rPr>
              <w:t>DAD, SDS: ICD-9: 401, 402, 403, 404, 405; ICD-10: I10, I11, I12, I13, I15</w:t>
            </w:r>
          </w:p>
          <w:p w:rsidR="00BB2D87" w:rsidRPr="001B271B" w:rsidRDefault="00BB2D87" w:rsidP="00961841">
            <w:pPr>
              <w:contextualSpacing/>
              <w:rPr>
                <w:rFonts w:ascii="Times New Roman" w:eastAsiaTheme="minorHAnsi" w:hAnsi="Times New Roman" w:cs="Times New Roman"/>
                <w:sz w:val="20"/>
                <w:szCs w:val="20"/>
                <w:lang w:eastAsia="ko-KR"/>
              </w:rPr>
            </w:pPr>
          </w:p>
          <w:p w:rsidR="00BB2D87" w:rsidRPr="001B271B" w:rsidRDefault="00BB2D87" w:rsidP="00961841">
            <w:pPr>
              <w:contextualSpacing/>
              <w:rPr>
                <w:rFonts w:ascii="Times New Roman" w:eastAsiaTheme="minorHAnsi" w:hAnsi="Times New Roman" w:cs="Times New Roman"/>
                <w:sz w:val="20"/>
                <w:szCs w:val="20"/>
                <w:lang w:eastAsia="ko-KR"/>
              </w:rPr>
            </w:pPr>
            <w:r w:rsidRPr="001B271B">
              <w:rPr>
                <w:rFonts w:ascii="Times New Roman" w:eastAsiaTheme="minorHAnsi" w:hAnsi="Times New Roman" w:cs="Times New Roman"/>
                <w:sz w:val="20"/>
                <w:szCs w:val="20"/>
                <w:lang w:eastAsia="ko-KR"/>
              </w:rPr>
              <w:t>OHIP diagnostic codes: 401, 402, 403, 404, or 405</w:t>
            </w:r>
          </w:p>
          <w:p w:rsidR="00BB2D87" w:rsidRPr="001B271B" w:rsidRDefault="00BB2D87" w:rsidP="00961841">
            <w:pPr>
              <w:contextualSpacing/>
              <w:rPr>
                <w:rFonts w:ascii="Times New Roman" w:eastAsiaTheme="minorHAnsi" w:hAnsi="Times New Roman" w:cs="Times New Roman"/>
                <w:sz w:val="20"/>
                <w:szCs w:val="20"/>
                <w:lang w:eastAsia="ko-KR"/>
              </w:rPr>
            </w:pPr>
          </w:p>
        </w:tc>
      </w:tr>
      <w:tr w:rsidR="00BB2D87" w:rsidRPr="001B271B" w:rsidTr="00961841">
        <w:tc>
          <w:tcPr>
            <w:tcW w:w="2376" w:type="dxa"/>
            <w:shd w:val="clear" w:color="auto" w:fill="auto"/>
          </w:tcPr>
          <w:p w:rsidR="00BB2D87" w:rsidRPr="001B271B" w:rsidRDefault="00BB2D87" w:rsidP="00961841">
            <w:pPr>
              <w:rPr>
                <w:rFonts w:ascii="Times New Roman" w:eastAsiaTheme="minorHAnsi" w:hAnsi="Times New Roman" w:cs="Times New Roman"/>
                <w:sz w:val="20"/>
                <w:szCs w:val="20"/>
                <w:lang w:eastAsia="ko-KR"/>
              </w:rPr>
            </w:pPr>
            <w:r w:rsidRPr="001B271B">
              <w:rPr>
                <w:rFonts w:ascii="Times New Roman" w:eastAsiaTheme="minorHAnsi" w:hAnsi="Times New Roman" w:cs="Times New Roman"/>
                <w:sz w:val="20"/>
                <w:szCs w:val="20"/>
                <w:lang w:eastAsia="ko-KR"/>
              </w:rPr>
              <w:t>Diabetes</w:t>
            </w:r>
          </w:p>
        </w:tc>
        <w:tc>
          <w:tcPr>
            <w:tcW w:w="6804" w:type="dxa"/>
            <w:shd w:val="clear" w:color="auto" w:fill="auto"/>
          </w:tcPr>
          <w:p w:rsidR="00BB2D87" w:rsidRPr="001B271B" w:rsidRDefault="00BB2D87" w:rsidP="00961841">
            <w:pPr>
              <w:rPr>
                <w:rFonts w:ascii="Times New Roman" w:eastAsiaTheme="minorHAnsi" w:hAnsi="Times New Roman" w:cs="Times New Roman"/>
                <w:sz w:val="20"/>
                <w:szCs w:val="20"/>
                <w:lang w:eastAsia="ko-KR"/>
              </w:rPr>
            </w:pPr>
            <w:r w:rsidRPr="001B271B">
              <w:rPr>
                <w:rFonts w:ascii="Times New Roman" w:eastAsiaTheme="minorHAnsi" w:hAnsi="Times New Roman" w:cs="Times New Roman"/>
                <w:sz w:val="20"/>
                <w:szCs w:val="20"/>
                <w:lang w:eastAsia="ko-KR"/>
              </w:rPr>
              <w:t>An ICES-specific diabetes database was used to identify patients with diabetes, based on 2 OHIP diagnostic codes or 1 OHIP service code or 1 DAD admission within 2 years.</w:t>
            </w:r>
            <w:r w:rsidRPr="001B271B">
              <w:rPr>
                <w:rFonts w:ascii="Times New Roman" w:eastAsiaTheme="minorHAnsi" w:hAnsi="Times New Roman" w:cs="Times New Roman"/>
                <w:sz w:val="20"/>
                <w:szCs w:val="20"/>
                <w:lang w:eastAsia="en-US"/>
              </w:rPr>
              <w:fldChar w:fldCharType="begin" w:fldLock="1"/>
            </w:r>
            <w:r>
              <w:rPr>
                <w:rFonts w:ascii="Times New Roman" w:eastAsiaTheme="minorHAnsi" w:hAnsi="Times New Roman" w:cs="Times New Roman"/>
                <w:sz w:val="20"/>
                <w:szCs w:val="20"/>
                <w:lang w:eastAsia="ko-KR"/>
              </w:rPr>
              <w:instrText>ADDIN CSL_CITATION { "citationItems" : [ { "id" : "ITEM-1", "itemData" : { "ISSN" : "0149-5992", "PMID" : "11874939", "abstract" : "OBJECTIVE Accurate information about the magnitude and distribution of diabetes can inform policy and support health care evaluation. We linked physician service claims (PSCs) and hospital discharge abstracts (HDAs) to determine diabetes prevalence and incidence. RESEARCH DESIGN AND METHODS A retrospective cohort was constructed using administrative data from the national HDA database, PSCs for Ontario (population 11 million), and registries carrying demographics and vital statistics. All HDAs and PSCs bearing a diagnosis of diabetes (ICD9-CM 250) were selected for 1991-1999. Two previously reported algorithms for identification of diabetes were applied as follows: \"1-claim\" (any HDA or PSC showing diabetes) and \"2-claim\" (one HDA or two PSCs within 2 years showing diabetes). Incident cases were defined as individuals who met the criteria for diabetes for the first time after at least 2 years of observation. For validation, diagnostic data abstracted from primary care charts (n=3,317) of 57 randomly selected physicians were linked to the administrative data cohort, and sensitivity and specificity were calculated. RESULTS -In 1998, 696,938 individuals met the 1-claim criteria and 528,280 met the 2-claim criteria. Sensitivity for diabetes was 90 and 86%; for the 1- and 2-claim algorithms, specificity was 92 and 97%, respectively, and positive predictive values were 61 and 80%, respectively. Using the 2-claim algorithm, the all-age prevalence increased from 3.2% in 1993 to 4.5% in 1998 (6.1% in adults). Incidence remained stable. CONCLUSIONS Administrative data can be used to establish population-based incidence and prevalence of diabetes. Diabetes prevalence is increasing in Ontario and is considerably higher than self-reported rates.", "author" : [ { "dropping-particle" : "", "family" : "Hux", "given" : "Janet E", "non-dropping-particle" : "", "parse-names" : false, "suffix" : "" }, { "dropping-particle" : "", "family" : "Ivis", "given" : "Frank", "non-dropping-particle" : "", "parse-names" : false, "suffix" : "" }, { "dropping-particle" : "", "family" : "Flintoft", "given" : "Virginia", "non-dropping-particle" : "", "parse-names" : false, "suffix" : "" }, { "dropping-particle" : "", "family" : "Bica", "given" : "Adina", "non-dropping-particle" : "", "parse-names" : false, "suffix" : "" } ], "container-title" : "Diabetes care", "id" : "ITEM-1", "issue" : "3", "issued" : { "date-parts" : [ [ "2002", "3" ] ] }, "page" : "512-6", "title" : "Diabetes in Ontario: determination of prevalence and incidence using a validated administrative data algorithm.", "type" : "article-journal", "volume" : "25" }, "uris" : [ "http://www.mendeley.com/documents/?uuid=d9985896-0737-326e-b718-49d3cdb08ddd" ] } ], "mendeley" : { "formattedCitation" : "&lt;sup&gt;9&lt;/sup&gt;", "plainTextFormattedCitation" : "9", "previouslyFormattedCitation" : "[10]" }, "properties" : { "noteIndex" : 0 }, "schema" : "https://github.com/citation-style-language/schema/raw/master/csl-citation.json" }</w:instrText>
            </w:r>
            <w:r w:rsidRPr="001B271B">
              <w:rPr>
                <w:rFonts w:ascii="Times New Roman" w:eastAsiaTheme="minorHAnsi" w:hAnsi="Times New Roman" w:cs="Times New Roman"/>
                <w:sz w:val="20"/>
                <w:szCs w:val="20"/>
                <w:lang w:eastAsia="en-US"/>
              </w:rPr>
              <w:fldChar w:fldCharType="separate"/>
            </w:r>
            <w:r w:rsidRPr="0013049B">
              <w:rPr>
                <w:rFonts w:ascii="Times New Roman" w:eastAsiaTheme="minorHAnsi" w:hAnsi="Times New Roman" w:cs="Times New Roman"/>
                <w:noProof/>
                <w:sz w:val="20"/>
                <w:szCs w:val="20"/>
                <w:vertAlign w:val="superscript"/>
                <w:lang w:eastAsia="en-US"/>
              </w:rPr>
              <w:t>9</w:t>
            </w:r>
            <w:r w:rsidRPr="001B271B">
              <w:rPr>
                <w:rFonts w:ascii="Times New Roman" w:eastAsiaTheme="minorHAnsi" w:hAnsi="Times New Roman" w:cs="Times New Roman"/>
                <w:sz w:val="20"/>
                <w:szCs w:val="20"/>
                <w:lang w:eastAsia="en-US"/>
              </w:rPr>
              <w:fldChar w:fldCharType="end"/>
            </w:r>
            <w:r w:rsidRPr="001B271B">
              <w:rPr>
                <w:rFonts w:ascii="Times New Roman" w:eastAsiaTheme="minorHAnsi" w:hAnsi="Times New Roman" w:cs="Times New Roman"/>
                <w:sz w:val="20"/>
                <w:szCs w:val="20"/>
                <w:lang w:eastAsia="en-US"/>
              </w:rPr>
              <w:t xml:space="preserve"> </w:t>
            </w:r>
          </w:p>
          <w:p w:rsidR="00BB2D87" w:rsidRPr="001B271B" w:rsidRDefault="00BB2D87" w:rsidP="00961841">
            <w:pPr>
              <w:rPr>
                <w:rFonts w:ascii="Times New Roman" w:eastAsiaTheme="minorHAnsi" w:hAnsi="Times New Roman" w:cs="Times New Roman"/>
                <w:sz w:val="20"/>
                <w:szCs w:val="20"/>
                <w:lang w:eastAsia="ko-KR"/>
              </w:rPr>
            </w:pPr>
          </w:p>
          <w:p w:rsidR="00BB2D87" w:rsidRPr="001B271B" w:rsidRDefault="00BB2D87" w:rsidP="00961841">
            <w:pPr>
              <w:rPr>
                <w:rFonts w:ascii="Times New Roman" w:eastAsiaTheme="minorHAnsi" w:hAnsi="Times New Roman" w:cs="Times New Roman"/>
                <w:sz w:val="20"/>
                <w:szCs w:val="20"/>
                <w:lang w:eastAsia="ko-KR"/>
              </w:rPr>
            </w:pPr>
            <w:r w:rsidRPr="001B271B">
              <w:rPr>
                <w:rFonts w:ascii="Times New Roman" w:eastAsiaTheme="minorHAnsi" w:hAnsi="Times New Roman" w:cs="Times New Roman"/>
                <w:sz w:val="20"/>
                <w:szCs w:val="20"/>
                <w:lang w:eastAsia="ko-KR"/>
              </w:rPr>
              <w:t>DAD, SDS: ICD-9: 250; ICD-10: E10, E11, E13, E14</w:t>
            </w:r>
          </w:p>
          <w:p w:rsidR="00BB2D87" w:rsidRPr="001B271B" w:rsidRDefault="00BB2D87" w:rsidP="00961841">
            <w:pPr>
              <w:rPr>
                <w:rFonts w:ascii="Times New Roman" w:eastAsiaTheme="minorHAnsi" w:hAnsi="Times New Roman" w:cs="Times New Roman"/>
                <w:sz w:val="20"/>
                <w:szCs w:val="20"/>
                <w:lang w:eastAsia="ko-KR"/>
              </w:rPr>
            </w:pPr>
            <w:r w:rsidRPr="001B271B">
              <w:rPr>
                <w:rFonts w:ascii="Times New Roman" w:eastAsiaTheme="minorHAnsi" w:hAnsi="Times New Roman" w:cs="Times New Roman"/>
                <w:sz w:val="20"/>
                <w:szCs w:val="20"/>
                <w:lang w:eastAsia="ko-KR"/>
              </w:rPr>
              <w:t>OHIP: 250</w:t>
            </w:r>
          </w:p>
          <w:p w:rsidR="00BB2D87" w:rsidRPr="001B271B" w:rsidRDefault="00BB2D87" w:rsidP="00961841">
            <w:pPr>
              <w:rPr>
                <w:rFonts w:ascii="Times New Roman" w:eastAsiaTheme="minorHAnsi" w:hAnsi="Times New Roman" w:cs="Times New Roman"/>
                <w:sz w:val="20"/>
                <w:szCs w:val="20"/>
                <w:lang w:eastAsia="ko-KR"/>
              </w:rPr>
            </w:pPr>
            <w:r w:rsidRPr="001B271B">
              <w:rPr>
                <w:rFonts w:ascii="Times New Roman" w:eastAsiaTheme="minorHAnsi" w:hAnsi="Times New Roman" w:cs="Times New Roman"/>
                <w:sz w:val="20"/>
                <w:szCs w:val="20"/>
                <w:lang w:eastAsia="ko-KR"/>
              </w:rPr>
              <w:t>OHIP service codes: Q040, K029, K030, K045, K046</w:t>
            </w:r>
          </w:p>
          <w:p w:rsidR="00BB2D87" w:rsidRPr="001B271B" w:rsidRDefault="00BB2D87" w:rsidP="00961841">
            <w:pPr>
              <w:rPr>
                <w:rFonts w:ascii="Times New Roman" w:eastAsiaTheme="minorHAnsi" w:hAnsi="Times New Roman" w:cs="Times New Roman"/>
                <w:sz w:val="20"/>
                <w:szCs w:val="20"/>
                <w:lang w:eastAsia="ko-KR"/>
              </w:rPr>
            </w:pPr>
          </w:p>
        </w:tc>
      </w:tr>
      <w:tr w:rsidR="00BB2D87" w:rsidRPr="001B271B" w:rsidTr="00961841">
        <w:tc>
          <w:tcPr>
            <w:tcW w:w="2376" w:type="dxa"/>
            <w:shd w:val="clear" w:color="auto" w:fill="auto"/>
          </w:tcPr>
          <w:p w:rsidR="00BB2D87" w:rsidRPr="001B271B" w:rsidRDefault="00BB2D87" w:rsidP="00961841">
            <w:pPr>
              <w:contextualSpacing/>
              <w:rPr>
                <w:rFonts w:ascii="Times New Roman" w:eastAsiaTheme="minorHAnsi" w:hAnsi="Times New Roman" w:cs="Times New Roman"/>
                <w:sz w:val="20"/>
                <w:szCs w:val="20"/>
                <w:lang w:eastAsia="ko-KR"/>
              </w:rPr>
            </w:pPr>
            <w:r w:rsidRPr="001B271B">
              <w:rPr>
                <w:rFonts w:ascii="Times New Roman" w:eastAsiaTheme="minorHAnsi" w:hAnsi="Times New Roman" w:cs="Times New Roman"/>
                <w:sz w:val="20"/>
                <w:szCs w:val="20"/>
                <w:lang w:eastAsia="ko-KR"/>
              </w:rPr>
              <w:t>Immunocompromised (HIV, transplant, immunosuppressive therapy)</w:t>
            </w:r>
          </w:p>
        </w:tc>
        <w:tc>
          <w:tcPr>
            <w:tcW w:w="6804" w:type="dxa"/>
            <w:shd w:val="clear" w:color="auto" w:fill="auto"/>
          </w:tcPr>
          <w:p w:rsidR="00BB2D87" w:rsidRPr="001B271B" w:rsidRDefault="00BB2D87" w:rsidP="00961841">
            <w:pPr>
              <w:contextualSpacing/>
              <w:rPr>
                <w:rFonts w:ascii="Times New Roman" w:eastAsiaTheme="minorHAnsi" w:hAnsi="Times New Roman" w:cs="Times New Roman"/>
                <w:sz w:val="20"/>
                <w:szCs w:val="20"/>
                <w:lang w:val="de-DE" w:eastAsia="en-US"/>
              </w:rPr>
            </w:pPr>
          </w:p>
          <w:p w:rsidR="00BB2D87" w:rsidRPr="001B271B" w:rsidRDefault="00BB2D87" w:rsidP="00961841">
            <w:pPr>
              <w:contextualSpacing/>
              <w:rPr>
                <w:rFonts w:ascii="Times New Roman" w:eastAsiaTheme="minorHAnsi" w:hAnsi="Times New Roman" w:cs="Times New Roman"/>
                <w:sz w:val="20"/>
                <w:szCs w:val="20"/>
                <w:u w:val="single"/>
                <w:lang w:val="de-DE" w:eastAsia="en-US"/>
              </w:rPr>
            </w:pPr>
            <w:r w:rsidRPr="001B271B">
              <w:rPr>
                <w:rFonts w:ascii="Times New Roman" w:eastAsiaTheme="minorHAnsi" w:hAnsi="Times New Roman" w:cs="Times New Roman"/>
                <w:sz w:val="20"/>
                <w:szCs w:val="20"/>
                <w:u w:val="single"/>
                <w:lang w:val="de-DE" w:eastAsia="en-US"/>
              </w:rPr>
              <w:t>HIV:</w:t>
            </w:r>
            <w:r w:rsidRPr="001B271B">
              <w:rPr>
                <w:rFonts w:ascii="Times New Roman" w:eastAsiaTheme="minorHAnsi" w:hAnsi="Times New Roman" w:cs="Times New Roman"/>
                <w:sz w:val="20"/>
                <w:szCs w:val="20"/>
                <w:u w:val="single"/>
                <w:lang w:eastAsia="en-US"/>
              </w:rPr>
              <w:fldChar w:fldCharType="begin" w:fldLock="1"/>
            </w:r>
            <w:r>
              <w:rPr>
                <w:rFonts w:ascii="Times New Roman" w:eastAsiaTheme="minorHAnsi" w:hAnsi="Times New Roman" w:cs="Times New Roman"/>
                <w:sz w:val="20"/>
                <w:szCs w:val="20"/>
                <w:u w:val="single"/>
                <w:lang w:val="de-DE" w:eastAsia="en-US"/>
              </w:rPr>
              <w:instrText>ADDIN CSL_CITATION { "citationItems" : [ { "id" : "ITEM-1", "itemData" : { "ISSN" : "1932-6203", "PMID" : "21738786", "abstract" : "OBJECTIVE We sought to validate a case-finding algorithm for human immunodeficiency virus (HIV) infection using administrative health databases in Ontario, Canada. METHODS We constructed 48 case-finding algorithms using combinations of physician billing claims, hospital and emergency room separations and prescription drug claims. We determined the test characteristics of each algorithm over various time frames for identifying HIV infection, using data abstracted from the charts of 2,040 randomly selected patients receiving care at two medical practices in Toronto, Ontario as the reference standard. RESULTS With the exception of algorithms using only a single physician claim, the specificity of all algorithms exceeded 99%. An algorithm consisting of three physician claims over a three year period had a sensitivity and specificity of 96.2% (95% CI 95.2%-97.9%) and 99.6% (95% CI 99.1%-99.8%), respectively. Application of the algorithm to the province of Ontario identified 12,179 HIV-infected patients in care for the period spanning April 1, 2007 to March 31, 2009. CONCLUSIONS Case-finding algorithms generated from administrative data can accurately identify adults living with HIV. A relatively simple \"3 claims in 3 years\" definition can be used for assembling a population-based cohort and facilitating future research examining trends in health service use and outcomes among HIV-infected adults in Ontario.", "author" : [ { "dropping-particle" : "", "family" : "Antoniou", "given" : "Tony", "non-dropping-particle" : "", "parse-names" : false, "suffix" : "" }, { "dropping-particle" : "", "family" : "Zagorski", "given" : "Brandon", "non-dropping-particle" : "", "parse-names" : false, "suffix" : "" }, { "dropping-particle" : "", "family" : "Loutfy", "given" : "Mona R", "non-dropping-particle" : "", "parse-names" : false, "suffix" : "" }, { "dropping-particle" : "", "family" : "Strike", "given" : "Carol", "non-dropping-particle" : "", "parse-names" : false, "suffix" : "" }, { "dropping-particle" : "", "family" : "Glazier", "given" : "Richard H", "non-dropping-particle" : "", "parse-names" : false, "suffix" : "" } ], "container-title" : "PloS one", "id" : "ITEM-1", "issue" : "6", "issued" : { "date-parts" : [ [ "2011", "6", "30" ] ] }, "page" : "e21748", "title" : "Validation of case-finding algorithms derived from administrative data for identifying adults living with human immunodeficiency virus infection.", "type" : "article-journal", "volume" : "6" }, "uris" : [ "http://www.mendeley.com/documents/?uuid=629052b5-f06d-3d6a-b233-44e0d0bc4f10" ] } ], "mendeley" : { "formattedCitation" : "&lt;sup&gt;10&lt;/sup&gt;", "plainTextFormattedCitation" : "10", "previouslyFormattedCitation" : "[11]" }, "properties" : { "noteIndex" : 0 }, "schema" : "https://github.com/citation-style-language/schema/raw/master/csl-citation.json" }</w:instrText>
            </w:r>
            <w:r w:rsidRPr="001B271B">
              <w:rPr>
                <w:rFonts w:ascii="Times New Roman" w:eastAsiaTheme="minorHAnsi" w:hAnsi="Times New Roman" w:cs="Times New Roman"/>
                <w:sz w:val="20"/>
                <w:szCs w:val="20"/>
                <w:u w:val="single"/>
                <w:lang w:eastAsia="en-US"/>
              </w:rPr>
              <w:fldChar w:fldCharType="separate"/>
            </w:r>
            <w:r w:rsidRPr="0013049B">
              <w:rPr>
                <w:rFonts w:ascii="Times New Roman" w:eastAsiaTheme="minorHAnsi" w:hAnsi="Times New Roman" w:cs="Times New Roman"/>
                <w:noProof/>
                <w:sz w:val="20"/>
                <w:szCs w:val="20"/>
                <w:vertAlign w:val="superscript"/>
                <w:lang w:val="de-DE" w:eastAsia="en-US"/>
              </w:rPr>
              <w:t>10</w:t>
            </w:r>
            <w:r w:rsidRPr="001B271B">
              <w:rPr>
                <w:rFonts w:ascii="Times New Roman" w:eastAsiaTheme="minorHAnsi" w:hAnsi="Times New Roman" w:cs="Times New Roman"/>
                <w:sz w:val="20"/>
                <w:szCs w:val="20"/>
                <w:u w:val="single"/>
                <w:lang w:eastAsia="en-US"/>
              </w:rPr>
              <w:fldChar w:fldCharType="end"/>
            </w:r>
            <w:r w:rsidRPr="001B271B">
              <w:rPr>
                <w:rFonts w:ascii="Times New Roman" w:eastAsiaTheme="minorHAnsi" w:hAnsi="Times New Roman" w:cs="Times New Roman"/>
                <w:sz w:val="20"/>
                <w:szCs w:val="20"/>
                <w:u w:val="single"/>
                <w:lang w:val="de-DE" w:eastAsia="en-US"/>
              </w:rPr>
              <w:t xml:space="preserve"> </w:t>
            </w:r>
          </w:p>
          <w:p w:rsidR="00BB2D87" w:rsidRPr="001B271B" w:rsidRDefault="00BB2D87" w:rsidP="00961841">
            <w:pPr>
              <w:contextualSpacing/>
              <w:rPr>
                <w:rFonts w:ascii="Times New Roman" w:eastAsiaTheme="minorHAnsi" w:hAnsi="Times New Roman" w:cs="Times New Roman"/>
                <w:sz w:val="20"/>
                <w:szCs w:val="20"/>
                <w:lang w:val="de-DE" w:eastAsia="en-US"/>
              </w:rPr>
            </w:pPr>
            <w:r w:rsidRPr="001B271B">
              <w:rPr>
                <w:rFonts w:ascii="Times New Roman" w:eastAsiaTheme="minorHAnsi" w:hAnsi="Times New Roman" w:cs="Times New Roman"/>
                <w:sz w:val="20"/>
                <w:szCs w:val="20"/>
                <w:lang w:val="de-DE" w:eastAsia="en-US"/>
              </w:rPr>
              <w:t>An ICES-specific HIV database was used to identify patients with HIV</w:t>
            </w:r>
            <w:r w:rsidRPr="001B271B">
              <w:rPr>
                <w:rFonts w:ascii="Times New Roman" w:eastAsiaTheme="minorHAnsi" w:hAnsi="Times New Roman" w:cs="Times New Roman"/>
                <w:color w:val="000000"/>
                <w:sz w:val="20"/>
                <w:szCs w:val="20"/>
                <w:shd w:val="clear" w:color="auto" w:fill="FFFFFF"/>
                <w:lang w:val="de-DE" w:eastAsia="en-US"/>
              </w:rPr>
              <w:t xml:space="preserve">, based on </w:t>
            </w:r>
            <w:r w:rsidRPr="001B271B">
              <w:rPr>
                <w:rFonts w:ascii="Times New Roman" w:eastAsiaTheme="minorHAnsi" w:hAnsi="Times New Roman" w:cs="Times New Roman"/>
                <w:sz w:val="20"/>
                <w:szCs w:val="20"/>
                <w:lang w:val="de-DE" w:eastAsia="en-US"/>
              </w:rPr>
              <w:t>3 physician claims in 3 years with OHIP diagnostic codes: 042, 043 or 044</w:t>
            </w:r>
          </w:p>
          <w:p w:rsidR="00BB2D87" w:rsidRPr="001B271B" w:rsidRDefault="00BB2D87" w:rsidP="00961841">
            <w:pPr>
              <w:contextualSpacing/>
              <w:rPr>
                <w:rFonts w:ascii="Times New Roman" w:eastAsiaTheme="minorHAnsi" w:hAnsi="Times New Roman" w:cs="Times New Roman"/>
                <w:sz w:val="20"/>
                <w:szCs w:val="20"/>
                <w:lang w:val="de-DE" w:eastAsia="en-US"/>
              </w:rPr>
            </w:pPr>
          </w:p>
          <w:p w:rsidR="00BB2D87" w:rsidRPr="001B271B" w:rsidRDefault="00BB2D87" w:rsidP="00961841">
            <w:pPr>
              <w:rPr>
                <w:rFonts w:ascii="Times New Roman" w:eastAsia="Times New Roman" w:hAnsi="Times New Roman" w:cs="Times New Roman"/>
                <w:color w:val="000000"/>
                <w:sz w:val="20"/>
                <w:szCs w:val="20"/>
                <w:lang w:eastAsia="ja-JP"/>
              </w:rPr>
            </w:pPr>
            <w:r w:rsidRPr="001B271B">
              <w:rPr>
                <w:rFonts w:ascii="Times New Roman" w:eastAsia="Times New Roman" w:hAnsi="Times New Roman" w:cs="Times New Roman"/>
                <w:color w:val="000000"/>
                <w:sz w:val="20"/>
                <w:szCs w:val="20"/>
                <w:u w:val="single"/>
                <w:lang w:eastAsia="ja-JP"/>
              </w:rPr>
              <w:t>Solid organ transplant recipients:</w:t>
            </w:r>
          </w:p>
          <w:p w:rsidR="00BB2D87" w:rsidRPr="001B271B" w:rsidRDefault="00BB2D87" w:rsidP="00961841">
            <w:pPr>
              <w:rPr>
                <w:rFonts w:ascii="Times New Roman" w:eastAsia="Times New Roman" w:hAnsi="Times New Roman" w:cs="Times New Roman"/>
                <w:color w:val="000000"/>
                <w:sz w:val="20"/>
                <w:szCs w:val="20"/>
                <w:lang w:eastAsia="ja-JP"/>
              </w:rPr>
            </w:pPr>
            <w:r w:rsidRPr="001B271B">
              <w:rPr>
                <w:rFonts w:ascii="Times New Roman" w:eastAsia="Times New Roman" w:hAnsi="Times New Roman" w:cs="Times New Roman"/>
                <w:color w:val="000000"/>
                <w:sz w:val="20"/>
                <w:szCs w:val="20"/>
                <w:lang w:eastAsia="ja-JP"/>
              </w:rPr>
              <w:t>CORRLINK is an ICES-specific database which links CORR (Canadian Organ Replacement Register) and DAD data. This database only includes patients that have received an organ transplant and does not include dialysis patients.</w:t>
            </w:r>
          </w:p>
          <w:p w:rsidR="00BB2D87" w:rsidRPr="001B271B" w:rsidRDefault="00BB2D87" w:rsidP="00961841">
            <w:pPr>
              <w:numPr>
                <w:ilvl w:val="0"/>
                <w:numId w:val="6"/>
              </w:numPr>
              <w:spacing w:after="160" w:line="256" w:lineRule="auto"/>
              <w:rPr>
                <w:rFonts w:ascii="Times New Roman" w:eastAsia="Times New Roman" w:hAnsi="Times New Roman" w:cs="Times New Roman"/>
                <w:color w:val="000000"/>
                <w:sz w:val="20"/>
                <w:szCs w:val="20"/>
                <w:lang w:eastAsia="ja-JP"/>
              </w:rPr>
            </w:pPr>
            <w:r w:rsidRPr="001B271B">
              <w:rPr>
                <w:rFonts w:ascii="Times New Roman" w:eastAsia="Times New Roman" w:hAnsi="Times New Roman" w:cs="Times New Roman"/>
                <w:color w:val="000000"/>
                <w:sz w:val="20"/>
                <w:szCs w:val="20"/>
                <w:lang w:eastAsia="ja-JP"/>
              </w:rPr>
              <w:t>For transplants before December 31, 2019: individuals are a transplant recipient if they have a treatment code of 171, where the treatment was before the index date</w:t>
            </w:r>
          </w:p>
          <w:p w:rsidR="00BB2D87" w:rsidRPr="001B271B" w:rsidRDefault="00BB2D87" w:rsidP="00961841">
            <w:pPr>
              <w:numPr>
                <w:ilvl w:val="0"/>
                <w:numId w:val="6"/>
              </w:numPr>
              <w:spacing w:after="160" w:line="256" w:lineRule="auto"/>
              <w:rPr>
                <w:rFonts w:ascii="Times New Roman" w:eastAsia="Times New Roman" w:hAnsi="Times New Roman" w:cs="Times New Roman"/>
                <w:color w:val="000000"/>
                <w:sz w:val="20"/>
                <w:szCs w:val="20"/>
                <w:lang w:eastAsia="ja-JP"/>
              </w:rPr>
            </w:pPr>
            <w:r w:rsidRPr="001B271B">
              <w:rPr>
                <w:rFonts w:ascii="Times New Roman" w:eastAsia="Times New Roman" w:hAnsi="Times New Roman" w:cs="Times New Roman"/>
                <w:color w:val="000000"/>
                <w:sz w:val="20"/>
                <w:szCs w:val="20"/>
                <w:lang w:eastAsia="ja-JP"/>
              </w:rPr>
              <w:t xml:space="preserve">For transplants on/after January 1, 2020: Identify ICD-10 codes, CCI procedure codes, and OHIP </w:t>
            </w:r>
            <w:proofErr w:type="spellStart"/>
            <w:r w:rsidRPr="001B271B">
              <w:rPr>
                <w:rFonts w:ascii="Times New Roman" w:eastAsia="Times New Roman" w:hAnsi="Times New Roman" w:cs="Times New Roman"/>
                <w:color w:val="000000"/>
                <w:sz w:val="20"/>
                <w:szCs w:val="20"/>
                <w:lang w:eastAsia="ja-JP"/>
              </w:rPr>
              <w:t>feecodes</w:t>
            </w:r>
            <w:proofErr w:type="spellEnd"/>
            <w:r w:rsidRPr="001B271B">
              <w:rPr>
                <w:rFonts w:ascii="Times New Roman" w:eastAsia="Times New Roman" w:hAnsi="Times New Roman" w:cs="Times New Roman"/>
                <w:color w:val="000000"/>
                <w:sz w:val="20"/>
                <w:szCs w:val="20"/>
                <w:lang w:eastAsia="ja-JP"/>
              </w:rPr>
              <w:t xml:space="preserve"> from DAD, NACRS, and OHIP (codes available upon request)</w:t>
            </w:r>
          </w:p>
          <w:p w:rsidR="00BB2D87" w:rsidRPr="001B271B" w:rsidRDefault="00BB2D87" w:rsidP="00961841">
            <w:pPr>
              <w:rPr>
                <w:rFonts w:ascii="Times New Roman" w:eastAsia="Times New Roman" w:hAnsi="Times New Roman" w:cs="Times New Roman"/>
                <w:color w:val="000000"/>
                <w:sz w:val="20"/>
                <w:szCs w:val="20"/>
                <w:lang w:eastAsia="ja-JP"/>
              </w:rPr>
            </w:pPr>
            <w:r w:rsidRPr="001B271B">
              <w:rPr>
                <w:rFonts w:ascii="Times New Roman" w:eastAsia="Times New Roman" w:hAnsi="Times New Roman" w:cs="Times New Roman"/>
                <w:color w:val="000000"/>
                <w:sz w:val="20"/>
                <w:szCs w:val="20"/>
                <w:lang w:eastAsia="ja-JP"/>
              </w:rPr>
              <w:t> </w:t>
            </w:r>
          </w:p>
          <w:p w:rsidR="00BB2D87" w:rsidRPr="001B271B" w:rsidRDefault="00BB2D87" w:rsidP="00961841">
            <w:pPr>
              <w:rPr>
                <w:rFonts w:ascii="Times New Roman" w:eastAsia="Times New Roman" w:hAnsi="Times New Roman" w:cs="Times New Roman"/>
                <w:color w:val="000000"/>
                <w:sz w:val="20"/>
                <w:szCs w:val="20"/>
                <w:lang w:eastAsia="ja-JP"/>
              </w:rPr>
            </w:pPr>
            <w:proofErr w:type="spellStart"/>
            <w:r w:rsidRPr="001B271B">
              <w:rPr>
                <w:rFonts w:ascii="Times New Roman" w:eastAsia="Times New Roman" w:hAnsi="Times New Roman" w:cs="Times New Roman"/>
                <w:color w:val="000000"/>
                <w:sz w:val="20"/>
                <w:szCs w:val="20"/>
                <w:u w:val="single"/>
                <w:lang w:eastAsia="ja-JP"/>
              </w:rPr>
              <w:t>Allogenic</w:t>
            </w:r>
            <w:proofErr w:type="spellEnd"/>
            <w:r w:rsidRPr="001B271B">
              <w:rPr>
                <w:rFonts w:ascii="Times New Roman" w:eastAsia="Times New Roman" w:hAnsi="Times New Roman" w:cs="Times New Roman"/>
                <w:color w:val="000000"/>
                <w:sz w:val="20"/>
                <w:szCs w:val="20"/>
                <w:u w:val="single"/>
                <w:lang w:eastAsia="ja-JP"/>
              </w:rPr>
              <w:t>/autologous bone marrow transplant recipients:</w:t>
            </w:r>
          </w:p>
          <w:p w:rsidR="00BB2D87" w:rsidRPr="001B271B" w:rsidRDefault="00BB2D87" w:rsidP="00961841">
            <w:pPr>
              <w:rPr>
                <w:rFonts w:ascii="Times New Roman" w:eastAsia="Times New Roman" w:hAnsi="Times New Roman" w:cs="Times New Roman"/>
                <w:color w:val="000000"/>
                <w:sz w:val="20"/>
                <w:szCs w:val="20"/>
                <w:lang w:eastAsia="ja-JP"/>
              </w:rPr>
            </w:pPr>
            <w:r w:rsidRPr="001B271B">
              <w:rPr>
                <w:rFonts w:ascii="Times New Roman" w:eastAsia="Times New Roman" w:hAnsi="Times New Roman" w:cs="Times New Roman"/>
                <w:color w:val="000000"/>
                <w:sz w:val="20"/>
                <w:szCs w:val="20"/>
                <w:lang w:eastAsia="ja-JP"/>
              </w:rPr>
              <w:t xml:space="preserve">We identified those who had a history of </w:t>
            </w:r>
            <w:proofErr w:type="spellStart"/>
            <w:r w:rsidRPr="001B271B">
              <w:rPr>
                <w:rFonts w:ascii="Times New Roman" w:eastAsia="Times New Roman" w:hAnsi="Times New Roman" w:cs="Times New Roman"/>
                <w:color w:val="000000"/>
                <w:sz w:val="20"/>
                <w:szCs w:val="20"/>
                <w:lang w:eastAsia="ja-JP"/>
              </w:rPr>
              <w:t>allogenic</w:t>
            </w:r>
            <w:proofErr w:type="spellEnd"/>
            <w:r w:rsidRPr="001B271B">
              <w:rPr>
                <w:rFonts w:ascii="Times New Roman" w:eastAsia="Times New Roman" w:hAnsi="Times New Roman" w:cs="Times New Roman"/>
                <w:color w:val="000000"/>
                <w:sz w:val="20"/>
                <w:szCs w:val="20"/>
                <w:lang w:eastAsia="ja-JP"/>
              </w:rPr>
              <w:t xml:space="preserve"> bone marrow transplant before the index date using the following combination of diagnostic codes:</w:t>
            </w:r>
          </w:p>
          <w:p w:rsidR="00BB2D87" w:rsidRPr="001B271B" w:rsidRDefault="00BB2D87" w:rsidP="00961841">
            <w:pPr>
              <w:rPr>
                <w:rFonts w:ascii="Times New Roman" w:eastAsia="Times New Roman" w:hAnsi="Times New Roman" w:cs="Times New Roman"/>
                <w:color w:val="000000"/>
                <w:sz w:val="20"/>
                <w:szCs w:val="20"/>
                <w:lang w:eastAsia="ja-JP"/>
              </w:rPr>
            </w:pPr>
            <w:r w:rsidRPr="001B271B">
              <w:rPr>
                <w:rFonts w:ascii="Times New Roman" w:eastAsia="Times New Roman" w:hAnsi="Times New Roman" w:cs="Times New Roman"/>
                <w:color w:val="000000"/>
                <w:sz w:val="20"/>
                <w:szCs w:val="20"/>
                <w:lang w:eastAsia="ja-JP"/>
              </w:rPr>
              <w:t>DAD:</w:t>
            </w:r>
          </w:p>
          <w:p w:rsidR="00BB2D87" w:rsidRPr="001B271B" w:rsidRDefault="00BB2D87" w:rsidP="00961841">
            <w:pPr>
              <w:numPr>
                <w:ilvl w:val="0"/>
                <w:numId w:val="5"/>
              </w:numPr>
              <w:spacing w:after="160" w:line="256" w:lineRule="auto"/>
              <w:rPr>
                <w:rFonts w:ascii="Times New Roman" w:eastAsia="Times New Roman" w:hAnsi="Times New Roman" w:cs="Times New Roman"/>
                <w:color w:val="000000"/>
                <w:sz w:val="20"/>
                <w:szCs w:val="20"/>
                <w:lang w:eastAsia="ja-JP"/>
              </w:rPr>
            </w:pPr>
            <w:r w:rsidRPr="001B271B">
              <w:rPr>
                <w:rFonts w:ascii="Times New Roman" w:eastAsia="Times New Roman" w:hAnsi="Times New Roman" w:cs="Times New Roman"/>
                <w:color w:val="000000"/>
                <w:sz w:val="20"/>
                <w:szCs w:val="20"/>
                <w:lang w:eastAsia="ja-JP"/>
              </w:rPr>
              <w:t>CCP procedure codes = 53.0</w:t>
            </w:r>
          </w:p>
          <w:p w:rsidR="00BB2D87" w:rsidRPr="001B271B" w:rsidRDefault="00BB2D87" w:rsidP="00961841">
            <w:pPr>
              <w:numPr>
                <w:ilvl w:val="0"/>
                <w:numId w:val="5"/>
              </w:numPr>
              <w:spacing w:after="160" w:line="256" w:lineRule="auto"/>
              <w:rPr>
                <w:rFonts w:ascii="Times New Roman" w:eastAsia="Times New Roman" w:hAnsi="Times New Roman" w:cs="Times New Roman"/>
                <w:color w:val="000000"/>
                <w:sz w:val="20"/>
                <w:szCs w:val="20"/>
                <w:lang w:eastAsia="ja-JP"/>
              </w:rPr>
            </w:pPr>
            <w:r w:rsidRPr="001B271B">
              <w:rPr>
                <w:rFonts w:ascii="Times New Roman" w:eastAsia="Times New Roman" w:hAnsi="Times New Roman" w:cs="Times New Roman"/>
                <w:color w:val="000000"/>
                <w:sz w:val="20"/>
                <w:szCs w:val="20"/>
                <w:lang w:eastAsia="ja-JP"/>
              </w:rPr>
              <w:lastRenderedPageBreak/>
              <w:t>CCI procedure codes = 1WY19, 1LZ19HHU7, 1LZ19HHU8</w:t>
            </w:r>
          </w:p>
          <w:p w:rsidR="00BB2D87" w:rsidRPr="001B271B" w:rsidRDefault="00BB2D87" w:rsidP="00961841">
            <w:pPr>
              <w:rPr>
                <w:rFonts w:ascii="Times New Roman" w:eastAsia="Times New Roman" w:hAnsi="Times New Roman" w:cs="Times New Roman"/>
                <w:color w:val="000000"/>
                <w:sz w:val="20"/>
                <w:szCs w:val="20"/>
                <w:lang w:eastAsia="ja-JP"/>
              </w:rPr>
            </w:pPr>
            <w:r w:rsidRPr="001B271B">
              <w:rPr>
                <w:rFonts w:ascii="Times New Roman" w:eastAsia="Times New Roman" w:hAnsi="Times New Roman" w:cs="Times New Roman"/>
                <w:color w:val="000000"/>
                <w:sz w:val="20"/>
                <w:szCs w:val="20"/>
                <w:lang w:eastAsia="ja-JP"/>
              </w:rPr>
              <w:t>OHIP:</w:t>
            </w:r>
          </w:p>
          <w:p w:rsidR="00BB2D87" w:rsidRPr="001B271B" w:rsidRDefault="00BB2D87" w:rsidP="00961841">
            <w:pPr>
              <w:numPr>
                <w:ilvl w:val="0"/>
                <w:numId w:val="4"/>
              </w:numPr>
              <w:spacing w:after="160" w:line="256" w:lineRule="auto"/>
              <w:rPr>
                <w:rFonts w:ascii="Times New Roman" w:eastAsia="Times New Roman" w:hAnsi="Times New Roman" w:cs="Times New Roman"/>
                <w:color w:val="000000"/>
                <w:sz w:val="20"/>
                <w:szCs w:val="20"/>
                <w:lang w:eastAsia="ja-JP"/>
              </w:rPr>
            </w:pPr>
            <w:proofErr w:type="spellStart"/>
            <w:r w:rsidRPr="001B271B">
              <w:rPr>
                <w:rFonts w:ascii="Times New Roman" w:eastAsia="Times New Roman" w:hAnsi="Times New Roman" w:cs="Times New Roman"/>
                <w:color w:val="000000"/>
                <w:sz w:val="20"/>
                <w:szCs w:val="20"/>
                <w:lang w:eastAsia="ja-JP"/>
              </w:rPr>
              <w:t>Feecode</w:t>
            </w:r>
            <w:proofErr w:type="spellEnd"/>
            <w:r w:rsidRPr="001B271B">
              <w:rPr>
                <w:rFonts w:ascii="Times New Roman" w:eastAsia="Times New Roman" w:hAnsi="Times New Roman" w:cs="Times New Roman"/>
                <w:color w:val="000000"/>
                <w:sz w:val="20"/>
                <w:szCs w:val="20"/>
                <w:lang w:eastAsia="ja-JP"/>
              </w:rPr>
              <w:t xml:space="preserve"> = Z426</w:t>
            </w:r>
          </w:p>
          <w:p w:rsidR="00BB2D87" w:rsidRPr="001B271B" w:rsidRDefault="00BB2D87" w:rsidP="00961841">
            <w:pPr>
              <w:rPr>
                <w:rFonts w:ascii="Times New Roman" w:eastAsia="Times New Roman" w:hAnsi="Times New Roman" w:cs="Times New Roman"/>
                <w:color w:val="000000"/>
                <w:sz w:val="20"/>
                <w:szCs w:val="20"/>
                <w:lang w:eastAsia="ja-JP"/>
              </w:rPr>
            </w:pPr>
            <w:r w:rsidRPr="001B271B">
              <w:rPr>
                <w:rFonts w:ascii="Times New Roman" w:eastAsia="Times New Roman" w:hAnsi="Times New Roman" w:cs="Times New Roman"/>
                <w:color w:val="000000"/>
                <w:sz w:val="20"/>
                <w:szCs w:val="20"/>
                <w:lang w:eastAsia="ja-JP"/>
              </w:rPr>
              <w:t> </w:t>
            </w:r>
          </w:p>
          <w:p w:rsidR="00BB2D87" w:rsidRPr="001B271B" w:rsidRDefault="00BB2D87" w:rsidP="00961841">
            <w:pPr>
              <w:rPr>
                <w:rFonts w:ascii="Times New Roman" w:eastAsia="Times New Roman" w:hAnsi="Times New Roman" w:cs="Times New Roman"/>
                <w:color w:val="000000"/>
                <w:sz w:val="20"/>
                <w:szCs w:val="20"/>
                <w:lang w:eastAsia="ja-JP"/>
              </w:rPr>
            </w:pPr>
            <w:r w:rsidRPr="001B271B">
              <w:rPr>
                <w:rFonts w:ascii="Times New Roman" w:eastAsia="Times New Roman" w:hAnsi="Times New Roman" w:cs="Times New Roman"/>
                <w:color w:val="000000"/>
                <w:sz w:val="20"/>
                <w:szCs w:val="20"/>
                <w:u w:val="single"/>
                <w:lang w:eastAsia="ja-JP"/>
              </w:rPr>
              <w:t>Other immune disorders</w:t>
            </w:r>
            <w:r w:rsidRPr="001B271B">
              <w:rPr>
                <w:rFonts w:ascii="Times New Roman" w:eastAsia="Times New Roman" w:hAnsi="Times New Roman" w:cs="Times New Roman"/>
                <w:color w:val="000000"/>
                <w:sz w:val="20"/>
                <w:szCs w:val="20"/>
                <w:lang w:eastAsia="ja-JP"/>
              </w:rPr>
              <w:t>:</w:t>
            </w:r>
          </w:p>
          <w:p w:rsidR="00BB2D87" w:rsidRPr="001B271B" w:rsidRDefault="00BB2D87" w:rsidP="00961841">
            <w:pPr>
              <w:rPr>
                <w:rFonts w:ascii="Times New Roman" w:eastAsiaTheme="minorHAnsi" w:hAnsi="Times New Roman" w:cs="Times New Roman"/>
                <w:sz w:val="20"/>
                <w:szCs w:val="20"/>
                <w:lang w:eastAsia="en-US"/>
              </w:rPr>
            </w:pPr>
            <w:r w:rsidRPr="001B271B">
              <w:rPr>
                <w:rFonts w:ascii="Times New Roman" w:eastAsiaTheme="minorHAnsi" w:hAnsi="Times New Roman" w:cs="Times New Roman"/>
                <w:color w:val="000000"/>
                <w:sz w:val="20"/>
                <w:szCs w:val="20"/>
                <w:lang w:eastAsia="en-US"/>
              </w:rPr>
              <w:t>Individuals were identified as having disorders of the immune system based on health care encounters recorded in DAD, SDS, NACRS, and OHIP in the 2-years prior to index using Expanded Diagnostic Clusters from the Johns Hopkins ACG</w:t>
            </w:r>
            <w:r w:rsidRPr="001B271B">
              <w:rPr>
                <w:rFonts w:ascii="MS Gothic" w:eastAsia="MS Gothic" w:hAnsi="MS Gothic" w:cs="MS Gothic" w:hint="eastAsia"/>
                <w:color w:val="000000"/>
                <w:sz w:val="20"/>
                <w:szCs w:val="20"/>
                <w:lang w:eastAsia="en-US"/>
              </w:rPr>
              <w:t>Ⓡ</w:t>
            </w:r>
            <w:r w:rsidRPr="001B271B">
              <w:rPr>
                <w:rFonts w:ascii="Times New Roman" w:eastAsiaTheme="minorHAnsi" w:hAnsi="Times New Roman" w:cs="Times New Roman"/>
                <w:color w:val="000000"/>
                <w:sz w:val="20"/>
                <w:szCs w:val="20"/>
                <w:lang w:eastAsia="en-US"/>
              </w:rPr>
              <w:t xml:space="preserve"> System Version</w:t>
            </w:r>
            <w:r w:rsidRPr="001B271B">
              <w:rPr>
                <w:rFonts w:ascii="Times New Roman" w:eastAsiaTheme="minorHAnsi" w:hAnsi="Times New Roman" w:cs="Times New Roman"/>
                <w:sz w:val="20"/>
                <w:szCs w:val="20"/>
                <w:lang w:eastAsia="en-US"/>
              </w:rPr>
              <w:t xml:space="preserve"> 10.</w:t>
            </w:r>
            <w:r w:rsidRPr="001B271B">
              <w:rPr>
                <w:rFonts w:ascii="Times New Roman" w:eastAsiaTheme="minorHAnsi" w:hAnsi="Times New Roman" w:cs="Times New Roman"/>
                <w:sz w:val="20"/>
                <w:szCs w:val="20"/>
                <w:lang w:eastAsia="en-US"/>
              </w:rPr>
              <w:fldChar w:fldCharType="begin" w:fldLock="1"/>
            </w:r>
            <w:r>
              <w:rPr>
                <w:rFonts w:ascii="Times New Roman" w:eastAsiaTheme="minorHAnsi" w:hAnsi="Times New Roman" w:cs="Times New Roman"/>
                <w:sz w:val="20"/>
                <w:szCs w:val="20"/>
                <w:lang w:eastAsia="en-US"/>
              </w:rPr>
              <w:instrText>ADDIN CSL_CITATION { "citationItems" : [ { "id" : "ITEM-1", "itemData" : { "id" : "ITEM-1", "issued" : { "date-parts" : [ [ "2011" ] ] }, "publisher" : "The Johns Hopkins University", "title" : "Johns Hopkins ACG(c) System. Technical Reference Guide (Version 10.0)", "type" : "article" }, "uris" : [ "http://www.mendeley.com/documents/?uuid=89009a3e-bfeb-4d70-b51d-042fa69d8eb5" ] } ], "mendeley" : { "formattedCitation" : "&lt;sup&gt;11&lt;/sup&gt;", "plainTextFormattedCitation" : "11", "previouslyFormattedCitation" : "[12]" }, "properties" : { "noteIndex" : 0 }, "schema" : "https://github.com/citation-style-language/schema/raw/master/csl-citation.json" }</w:instrText>
            </w:r>
            <w:r w:rsidRPr="001B271B">
              <w:rPr>
                <w:rFonts w:ascii="Times New Roman" w:eastAsiaTheme="minorHAnsi" w:hAnsi="Times New Roman" w:cs="Times New Roman"/>
                <w:sz w:val="20"/>
                <w:szCs w:val="20"/>
                <w:lang w:eastAsia="en-US"/>
              </w:rPr>
              <w:fldChar w:fldCharType="separate"/>
            </w:r>
            <w:r w:rsidRPr="0013049B">
              <w:rPr>
                <w:rFonts w:ascii="Times New Roman" w:eastAsiaTheme="minorHAnsi" w:hAnsi="Times New Roman" w:cs="Times New Roman"/>
                <w:noProof/>
                <w:sz w:val="20"/>
                <w:szCs w:val="20"/>
                <w:vertAlign w:val="superscript"/>
                <w:lang w:eastAsia="en-US"/>
              </w:rPr>
              <w:t>11</w:t>
            </w:r>
            <w:r w:rsidRPr="001B271B">
              <w:rPr>
                <w:rFonts w:ascii="Times New Roman" w:eastAsiaTheme="minorHAnsi" w:hAnsi="Times New Roman" w:cs="Times New Roman"/>
                <w:sz w:val="20"/>
                <w:szCs w:val="20"/>
                <w:lang w:eastAsia="en-US"/>
              </w:rPr>
              <w:fldChar w:fldCharType="end"/>
            </w:r>
            <w:r w:rsidRPr="001B271B">
              <w:rPr>
                <w:rFonts w:ascii="Times New Roman" w:eastAsiaTheme="minorHAnsi" w:hAnsi="Times New Roman" w:cs="Times New Roman"/>
                <w:sz w:val="20"/>
                <w:szCs w:val="20"/>
                <w:lang w:eastAsia="en-US"/>
              </w:rPr>
              <w:t xml:space="preserve"> </w:t>
            </w:r>
          </w:p>
          <w:p w:rsidR="00BB2D87" w:rsidRPr="001B271B" w:rsidRDefault="00BB2D87" w:rsidP="00961841">
            <w:pPr>
              <w:rPr>
                <w:rFonts w:ascii="Times New Roman" w:eastAsiaTheme="minorHAnsi" w:hAnsi="Times New Roman" w:cs="Times New Roman"/>
                <w:sz w:val="20"/>
                <w:szCs w:val="20"/>
                <w:lang w:eastAsia="en-US"/>
              </w:rPr>
            </w:pPr>
          </w:p>
          <w:p w:rsidR="00BB2D87" w:rsidRPr="001B271B" w:rsidRDefault="00BB2D87" w:rsidP="00961841">
            <w:pPr>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u w:val="single"/>
                <w:lang w:eastAsia="en-US"/>
              </w:rPr>
              <w:t>Any hospitalization (any diagnosis field) with the following codes</w:t>
            </w:r>
            <w:r w:rsidRPr="001B271B">
              <w:rPr>
                <w:rFonts w:ascii="Times New Roman" w:eastAsiaTheme="minorHAnsi" w:hAnsi="Times New Roman" w:cs="Times New Roman"/>
                <w:sz w:val="20"/>
                <w:szCs w:val="20"/>
                <w:lang w:eastAsia="en-US"/>
              </w:rPr>
              <w:t>:</w:t>
            </w:r>
          </w:p>
          <w:p w:rsidR="00BB2D87" w:rsidRPr="001B271B" w:rsidRDefault="00BB2D87" w:rsidP="00961841">
            <w:pPr>
              <w:numPr>
                <w:ilvl w:val="0"/>
                <w:numId w:val="1"/>
              </w:numPr>
              <w:spacing w:after="160" w:line="256" w:lineRule="auto"/>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Sickle-cell disease (ICD-10 D57</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0 – D57</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2; D57</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8 OR ICD-9 282</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6);</w:t>
            </w:r>
          </w:p>
          <w:p w:rsidR="00BB2D87" w:rsidRPr="001B271B" w:rsidRDefault="00BB2D87" w:rsidP="00961841">
            <w:pPr>
              <w:numPr>
                <w:ilvl w:val="0"/>
                <w:numId w:val="1"/>
              </w:numPr>
              <w:spacing w:after="160" w:line="256" w:lineRule="auto"/>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Other immune system disorders (ICD-9 273</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2, 279</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0, 279</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1, 279</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2, 279</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3, 279</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8, 279</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9, 289</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 xml:space="preserve">8; ICD-10 D80, D81, D82, D83, D84, D89; OHIP </w:t>
            </w:r>
            <w:proofErr w:type="spellStart"/>
            <w:r w:rsidRPr="001B271B">
              <w:rPr>
                <w:rFonts w:ascii="Times New Roman" w:eastAsiaTheme="minorHAnsi" w:hAnsi="Times New Roman" w:cs="Times New Roman"/>
                <w:sz w:val="20"/>
                <w:szCs w:val="20"/>
                <w:lang w:eastAsia="en-US"/>
              </w:rPr>
              <w:t>dxcode</w:t>
            </w:r>
            <w:proofErr w:type="spellEnd"/>
            <w:r w:rsidRPr="001B271B">
              <w:rPr>
                <w:rFonts w:ascii="Times New Roman" w:eastAsiaTheme="minorHAnsi" w:hAnsi="Times New Roman" w:cs="Times New Roman"/>
                <w:sz w:val="20"/>
                <w:szCs w:val="20"/>
                <w:lang w:eastAsia="en-US"/>
              </w:rPr>
              <w:t xml:space="preserve"> 279)</w:t>
            </w:r>
          </w:p>
          <w:p w:rsidR="00BB2D87" w:rsidRPr="001B271B" w:rsidRDefault="00BB2D87" w:rsidP="00961841">
            <w:pPr>
              <w:numPr>
                <w:ilvl w:val="0"/>
                <w:numId w:val="1"/>
              </w:numPr>
              <w:spacing w:after="160" w:line="256" w:lineRule="auto"/>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 xml:space="preserve">Immunosuppressive therapy (&gt;30 days (total days supplied) of oral corticosteroid in the 6 months before index date; receipt of other </w:t>
            </w:r>
            <w:proofErr w:type="spellStart"/>
            <w:r w:rsidRPr="001B271B">
              <w:rPr>
                <w:rFonts w:ascii="Times New Roman" w:eastAsiaTheme="minorHAnsi" w:hAnsi="Times New Roman" w:cs="Times New Roman"/>
                <w:sz w:val="20"/>
                <w:szCs w:val="20"/>
                <w:lang w:eastAsia="en-US"/>
              </w:rPr>
              <w:t>immunocompromising</w:t>
            </w:r>
            <w:proofErr w:type="spellEnd"/>
            <w:r w:rsidRPr="001B271B">
              <w:rPr>
                <w:rFonts w:ascii="Times New Roman" w:eastAsiaTheme="minorHAnsi" w:hAnsi="Times New Roman" w:cs="Times New Roman"/>
                <w:sz w:val="20"/>
                <w:szCs w:val="20"/>
                <w:lang w:eastAsia="en-US"/>
              </w:rPr>
              <w:t xml:space="preserve"> drug, including </w:t>
            </w:r>
            <w:proofErr w:type="spellStart"/>
            <w:r w:rsidRPr="001B271B">
              <w:rPr>
                <w:rFonts w:ascii="Times New Roman" w:eastAsiaTheme="minorHAnsi" w:hAnsi="Times New Roman" w:cs="Times New Roman"/>
                <w:sz w:val="20"/>
                <w:szCs w:val="20"/>
                <w:lang w:eastAsia="en-US"/>
              </w:rPr>
              <w:t>antineoplastics</w:t>
            </w:r>
            <w:proofErr w:type="spellEnd"/>
            <w:r w:rsidRPr="001B271B">
              <w:rPr>
                <w:rFonts w:ascii="Times New Roman" w:eastAsiaTheme="minorHAnsi" w:hAnsi="Times New Roman" w:cs="Times New Roman"/>
                <w:sz w:val="20"/>
                <w:szCs w:val="20"/>
                <w:lang w:eastAsia="en-US"/>
              </w:rPr>
              <w:t>, in the 6 months before index date)</w:t>
            </w:r>
          </w:p>
          <w:p w:rsidR="00BB2D87" w:rsidRPr="001B271B" w:rsidRDefault="00BB2D87" w:rsidP="00961841">
            <w:pPr>
              <w:rPr>
                <w:rFonts w:ascii="Times New Roman" w:eastAsiaTheme="minorHAnsi" w:hAnsi="Times New Roman" w:cs="Times New Roman"/>
                <w:sz w:val="20"/>
                <w:szCs w:val="20"/>
                <w:lang w:eastAsia="en-US"/>
              </w:rPr>
            </w:pPr>
          </w:p>
          <w:p w:rsidR="00BB2D87" w:rsidRPr="001B271B" w:rsidRDefault="00BB2D87" w:rsidP="00961841">
            <w:pPr>
              <w:rPr>
                <w:rFonts w:ascii="Times New Roman" w:eastAsiaTheme="minorHAnsi" w:hAnsi="Times New Roman" w:cs="Times New Roman"/>
                <w:sz w:val="20"/>
                <w:szCs w:val="20"/>
                <w:u w:val="single"/>
                <w:lang w:eastAsia="en-US"/>
              </w:rPr>
            </w:pPr>
            <w:r w:rsidRPr="001B271B">
              <w:rPr>
                <w:rFonts w:ascii="Times New Roman" w:eastAsiaTheme="minorHAnsi" w:hAnsi="Times New Roman" w:cs="Times New Roman"/>
                <w:sz w:val="20"/>
                <w:szCs w:val="20"/>
                <w:u w:val="single"/>
                <w:lang w:eastAsia="en-US"/>
              </w:rPr>
              <w:t>Active cancer:</w:t>
            </w:r>
          </w:p>
          <w:p w:rsidR="00BB2D87" w:rsidRPr="001B271B" w:rsidRDefault="00BB2D87" w:rsidP="00961841">
            <w:pPr>
              <w:numPr>
                <w:ilvl w:val="0"/>
                <w:numId w:val="7"/>
              </w:numPr>
              <w:spacing w:after="160" w:line="256" w:lineRule="auto"/>
              <w:contextualSpacing/>
              <w:rPr>
                <w:rFonts w:ascii="Times New Roman" w:eastAsiaTheme="minorHAnsi" w:hAnsi="Times New Roman" w:cs="Times New Roman"/>
                <w:sz w:val="20"/>
                <w:szCs w:val="20"/>
                <w:u w:val="single"/>
                <w:lang w:eastAsia="en-US"/>
              </w:rPr>
            </w:pPr>
            <w:r w:rsidRPr="001B271B">
              <w:rPr>
                <w:rFonts w:ascii="Times New Roman" w:eastAsiaTheme="minorHAnsi" w:hAnsi="Times New Roman" w:cs="Times New Roman"/>
                <w:color w:val="000000"/>
                <w:sz w:val="20"/>
                <w:szCs w:val="20"/>
                <w:lang w:eastAsia="en-US"/>
              </w:rPr>
              <w:t>Any of the following treatments in the past 6 months: cancer surgery (codes available upon request), radiation (if the ICD-10 code listed was Z510 in NACRS), chemotherapy (if the ICD-10 code listed was Z511 or Z512 and any evidence of cancer diagnosis in the Ontario Cancer Registry (OCR) prior to the last treatment date)</w:t>
            </w:r>
          </w:p>
          <w:p w:rsidR="00BB2D87" w:rsidRPr="001B271B" w:rsidRDefault="00BB2D87" w:rsidP="00961841">
            <w:pPr>
              <w:numPr>
                <w:ilvl w:val="0"/>
                <w:numId w:val="2"/>
              </w:numPr>
              <w:spacing w:after="160" w:line="256" w:lineRule="auto"/>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color w:val="000000"/>
                <w:sz w:val="20"/>
                <w:szCs w:val="20"/>
                <w:lang w:eastAsia="en-US"/>
              </w:rPr>
              <w:t>If not any of the above, individuals still classified as having cancer if they had a cancer diagnosis in OCR in the year before the index date</w:t>
            </w:r>
          </w:p>
          <w:p w:rsidR="00BB2D87" w:rsidRPr="001B271B" w:rsidRDefault="00BB2D87" w:rsidP="00961841">
            <w:pPr>
              <w:rPr>
                <w:rFonts w:ascii="Times New Roman" w:eastAsiaTheme="minorHAnsi" w:hAnsi="Times New Roman" w:cs="Times New Roman"/>
                <w:sz w:val="20"/>
                <w:szCs w:val="20"/>
                <w:lang w:eastAsia="en-US"/>
              </w:rPr>
            </w:pPr>
          </w:p>
        </w:tc>
      </w:tr>
      <w:tr w:rsidR="00BB2D87" w:rsidRPr="001B271B" w:rsidTr="00961841">
        <w:tc>
          <w:tcPr>
            <w:tcW w:w="2376" w:type="dxa"/>
            <w:shd w:val="clear" w:color="auto" w:fill="auto"/>
          </w:tcPr>
          <w:p w:rsidR="00BB2D87" w:rsidRPr="001B271B" w:rsidRDefault="00BB2D87" w:rsidP="00961841">
            <w:pPr>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lastRenderedPageBreak/>
              <w:t>Autoimmune disease</w:t>
            </w:r>
          </w:p>
        </w:tc>
        <w:tc>
          <w:tcPr>
            <w:tcW w:w="6804" w:type="dxa"/>
            <w:shd w:val="clear" w:color="auto" w:fill="auto"/>
          </w:tcPr>
          <w:p w:rsidR="00BB2D87" w:rsidRPr="001B271B" w:rsidRDefault="00BB2D87" w:rsidP="00961841">
            <w:pPr>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Individuals considered to have autoimmune disease if they had any of the following:</w:t>
            </w:r>
          </w:p>
          <w:p w:rsidR="00BB2D87" w:rsidRPr="001B271B" w:rsidRDefault="00BB2D87" w:rsidP="00961841">
            <w:pPr>
              <w:numPr>
                <w:ilvl w:val="0"/>
                <w:numId w:val="3"/>
              </w:numPr>
              <w:spacing w:after="160" w:line="256" w:lineRule="auto"/>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Rheumatoid arthritis (identified in the Ontario Rheumatoid Arthritis Database)</w:t>
            </w:r>
            <w:r w:rsidRPr="001B271B">
              <w:rPr>
                <w:rFonts w:ascii="Times New Roman" w:eastAsiaTheme="minorHAnsi" w:hAnsi="Times New Roman" w:cs="Times New Roman"/>
                <w:sz w:val="20"/>
                <w:szCs w:val="20"/>
                <w:lang w:eastAsia="en-US"/>
              </w:rPr>
              <w:fldChar w:fldCharType="begin" w:fldLock="1"/>
            </w:r>
            <w:r>
              <w:rPr>
                <w:rFonts w:ascii="Times New Roman" w:eastAsiaTheme="minorHAnsi" w:hAnsi="Times New Roman" w:cs="Times New Roman"/>
                <w:sz w:val="20"/>
                <w:szCs w:val="20"/>
                <w:lang w:eastAsia="en-US"/>
              </w:rPr>
              <w:instrText>ADDIN CSL_CITATION { "citationItems" : [ { "id" : "ITEM-1", "itemData" : { "DOI" : "10.1002/acr.22031", "ISSN" : "2151-4658 (Electronic) 2151-464X (Linking)", "author" : [ { "dropping-particle" : "", "family" : "Widdifield", "given" : "J", "non-dropping-particle" : "", "parse-names" : false, "suffix" : "" }, { "dropping-particle" : "", "family" : "Bernatsky", "given" : "S", "non-dropping-particle" : "", "parse-names" : false, "suffix" : "" }, { "dropping-particle" : "", "family" : "Paterson", "given" : "J M", "non-dropping-particle" : "", "parse-names" : false, "suffix" : "" }, { "dropping-particle" : "", "family" : "Tu", "given" : "K", "non-dropping-particle" : "", "parse-names" : false, "suffix" : "" }, { "dropping-particle" : "", "family" : "Ng", "given" : "R", "non-dropping-particle" : "", "parse-names" : false, "suffix" : "" }, { "dropping-particle" : "", "family" : "Thorne", "given" : "J C", "non-dropping-particle" : "", "parse-names" : false, "suffix" : "" }, { "dropping-particle" : "", "family" : "Pope", "given" : "J E", "non-dropping-particle" : "", "parse-names" : false, "suffix" : "" }, { "dropping-particle" : "", "family" : "Bombardier", "given" : "C", "non-dropping-particle" : "", "parse-names" : false, "suffix" : "" } ], "container-title" : "Arthritis Care Res (Hoboken)", "id" : "ITEM-1", "issue" : "10", "issued" : { "date-parts" : [ [ "2013" ] ] }, "page" : "1582-1591", "title" : "Accuracy of Canadian health administrative databases in identifying patients with rheumatoid arthritis: a validation study using the medical records of rheumatologists", "type" : "article-journal", "volume" : "65" }, "uris" : [ "http://www.mendeley.com/documents/?uuid=2fda83fb-093b-4ce1-8eeb-a3c30f620390" ] }, { "id" : "ITEM-2", "itemData" : { "DOI" : "10.1186/1471-2474-15-216", "ISSN" : "1471-2474 (Electronic) 1471-2474 (Linking)", "author" : [ { "dropping-particle" : "", "family" : "Widdifield", "given" : "J", "non-dropping-particle" : "", "parse-names" : false, "suffix" : "" }, { "dropping-particle" : "", "family" : "Bombardier", "given" : "C", "non-dropping-particle" : "", "parse-names" : false, "suffix" : "" }, { "dropping-particle" : "", "family" : "Bernatsky", "given" : "S", "non-dropping-particle" : "", "parse-names" : false, "suffix" : "" }, { "dropping-particle" : "", "family" : "Paterson", "given" : "J M", "non-dropping-particle" : "", "parse-names" : false, "suffix" : "" }, { "dropping-particle" : "", "family" : "Green", "given" : "D", "non-dropping-particle" : "", "parse-names" : false, "suffix" : "" }, { "dropping-particle" : "", "family" : "Young", "given" : "J", "non-dropping-particle" : "", "parse-names" : false, "suffix" : "" }, { "dropping-particle" : "", "family" : "Ivers", "given" : "N", "non-dropping-particle" : "", "parse-names" : false, "suffix" : "" }, { "dropping-particle" : "", "family" : "Butt", "given" : "D A", "non-dropping-particle" : "", "parse-names" : false, "suffix" : "" }, { "dropping-particle" : "", "family" : "Jaakkimainen", "given" : "R L", "non-dropping-particle" : "", "parse-names" : false, "suffix" : "" }, { "dropping-particle" : "", "family" : "Thorne", "given" : "J C", "non-dropping-particle" : "", "parse-names" : false, "suffix" : "" }, { "dropping-particle" : "", "family" : "Tu", "given" : "K", "non-dropping-particle" : "", "parse-names" : false, "suffix" : "" } ], "container-title" : "BMC Musculoskelet Disord", "id" : "ITEM-2", "issued" : { "date-parts" : [ [ "2014" ] ] }, "page" : "216", "title" : "An administrative data validation study of the accuracy of algorithms for identifying rheumatoid arthritis: the influence of the reference standard on algorithm performance", "type" : "article-journal", "volume" : "15" }, "uris" : [ "http://www.mendeley.com/documents/?uuid=653e634b-72ad-4e7e-896a-1af3c068fd44" ] } ], "mendeley" : { "formattedCitation" : "&lt;sup&gt;12,13&lt;/sup&gt;", "plainTextFormattedCitation" : "12,13", "previouslyFormattedCitation" : "[13,14]" }, "properties" : { "noteIndex" : 0 }, "schema" : "https://github.com/citation-style-language/schema/raw/master/csl-citation.json" }</w:instrText>
            </w:r>
            <w:r w:rsidRPr="001B271B">
              <w:rPr>
                <w:rFonts w:ascii="Times New Roman" w:eastAsiaTheme="minorHAnsi" w:hAnsi="Times New Roman" w:cs="Times New Roman"/>
                <w:sz w:val="20"/>
                <w:szCs w:val="20"/>
                <w:lang w:eastAsia="en-US"/>
              </w:rPr>
              <w:fldChar w:fldCharType="separate"/>
            </w:r>
            <w:r w:rsidRPr="0013049B">
              <w:rPr>
                <w:rFonts w:ascii="Times New Roman" w:eastAsiaTheme="minorHAnsi" w:hAnsi="Times New Roman" w:cs="Times New Roman"/>
                <w:noProof/>
                <w:sz w:val="20"/>
                <w:szCs w:val="20"/>
                <w:vertAlign w:val="superscript"/>
                <w:lang w:eastAsia="en-US"/>
              </w:rPr>
              <w:t>12,13</w:t>
            </w:r>
            <w:r w:rsidRPr="001B271B">
              <w:rPr>
                <w:rFonts w:ascii="Times New Roman" w:eastAsiaTheme="minorHAnsi" w:hAnsi="Times New Roman" w:cs="Times New Roman"/>
                <w:sz w:val="20"/>
                <w:szCs w:val="20"/>
                <w:lang w:eastAsia="en-US"/>
              </w:rPr>
              <w:fldChar w:fldCharType="end"/>
            </w:r>
          </w:p>
          <w:p w:rsidR="00BB2D87" w:rsidRPr="001B271B" w:rsidRDefault="00BB2D87" w:rsidP="00961841">
            <w:pPr>
              <w:numPr>
                <w:ilvl w:val="0"/>
                <w:numId w:val="3"/>
              </w:numPr>
              <w:spacing w:after="160" w:line="256" w:lineRule="auto"/>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 xml:space="preserve">Inflammatory bowel disease (identified in the Ontario </w:t>
            </w:r>
            <w:proofErr w:type="spellStart"/>
            <w:r w:rsidRPr="001B271B">
              <w:rPr>
                <w:rFonts w:ascii="Times New Roman" w:eastAsiaTheme="minorHAnsi" w:hAnsi="Times New Roman" w:cs="Times New Roman"/>
                <w:sz w:val="20"/>
                <w:szCs w:val="20"/>
                <w:lang w:eastAsia="en-US"/>
              </w:rPr>
              <w:t>Crohn’s</w:t>
            </w:r>
            <w:proofErr w:type="spellEnd"/>
            <w:r w:rsidRPr="001B271B">
              <w:rPr>
                <w:rFonts w:ascii="Times New Roman" w:eastAsiaTheme="minorHAnsi" w:hAnsi="Times New Roman" w:cs="Times New Roman"/>
                <w:sz w:val="20"/>
                <w:szCs w:val="20"/>
                <w:lang w:eastAsia="en-US"/>
              </w:rPr>
              <w:t xml:space="preserve"> and Colitis Cohort)</w:t>
            </w:r>
            <w:r w:rsidRPr="001B271B">
              <w:rPr>
                <w:rFonts w:ascii="Times New Roman" w:eastAsiaTheme="minorHAnsi" w:hAnsi="Times New Roman" w:cs="Times New Roman"/>
                <w:sz w:val="20"/>
                <w:szCs w:val="20"/>
                <w:lang w:eastAsia="en-US"/>
              </w:rPr>
              <w:fldChar w:fldCharType="begin" w:fldLock="1"/>
            </w:r>
            <w:r>
              <w:rPr>
                <w:rFonts w:ascii="Times New Roman" w:eastAsiaTheme="minorHAnsi" w:hAnsi="Times New Roman" w:cs="Times New Roman"/>
                <w:sz w:val="20"/>
                <w:szCs w:val="20"/>
                <w:lang w:eastAsia="en-US"/>
              </w:rPr>
              <w:instrText>ADDIN CSL_CITATION { "citationItems" : [ { "id" : "ITEM-1", "itemData" : { "DOI" : "10.1136/gut.2009.188383", "ISSN" : "1468-3288 (Electronic) 0017-5749 (Linking)", "author" : [ { "dropping-particle" : "", "family" : "Benchimol", "given" : "E I", "non-dropping-particle" : "", "parse-names" : false, "suffix" : "" }, { "dropping-particle" : "", "family" : "Guttmann", "given" : "A", "non-dropping-particle" : "", "parse-names" : false, "suffix" : "" }, { "dropping-particle" : "", "family" : "Griffiths", "given" : "A M", "non-dropping-particle" : "", "parse-names" : false, "suffix" : "" }, { "dropping-particle" : "", "family" : "Rabeneck", "given" : "L", "non-dropping-particle" : "", "parse-names" : false, "suffix" : "" }, { "dropping-particle" : "", "family" : "Mack", "given" : "D R", "non-dropping-particle" : "", "parse-names" : false, "suffix" : "" }, { "dropping-particle" : "", "family" : "Brill", "given" : "H", "non-dropping-particle" : "", "parse-names" : false, "suffix" : "" }, { "dropping-particle" : "", "family" : "Howard", "given" : "J", "non-dropping-particle" : "", "parse-names" : false, "suffix" : "" }, { "dropping-particle" : "", "family" : "Guan", "given" : "J", "non-dropping-particle" : "", "parse-names" : false, "suffix" : "" }, { "dropping-particle" : "", "family" : "To", "given" : "T", "non-dropping-particle" : "", "parse-names" : false, "suffix" : "" } ], "container-title" : "Gut", "id" : "ITEM-1", "issue" : "11", "issued" : { "date-parts" : [ [ "2009" ] ] }, "page" : "1490-1497", "title" : "Increasing incidence of paediatric inflammatory bowel disease in Ontario, Canada: evidence from health administrative data", "type" : "article-journal", "volume" : "58" }, "uris" : [ "http://www.mendeley.com/documents/?uuid=a204bd4f-2456-48d5-b86c-c195fb1f74ff" ] }, { "id" : "ITEM-2", "itemData" : { "DOI" : "10.1016/j.jclinepi.2014.02.019", "ISSN" : "1878-5921 (Electronic) 0895-4356 (Linking)", "author" : [ { "dropping-particle" : "", "family" : "Benchimol", "given" : "E I", "non-dropping-particle" : "", "parse-names" : false, "suffix" : "" }, { "dropping-particle" : "", "family" : "Guttmann", "given" : "A", "non-dropping-particle" : "", "parse-names" : false, "suffix" : "" }, { "dropping-particle" : "", "family" : "Mack", "given" : "D R", "non-dropping-particle" : "", "parse-names" : false, "suffix" : "" }, { "dropping-particle" : "", "family" : "Nguyen", "given" : "G C", "non-dropping-particle" : "", "parse-names" : false, "suffix" : "" }, { "dropping-particle" : "", "family" : "Marshall", "given" : "J K", "non-dropping-particle" : "", "parse-names" : false, "suffix" : "" }, { "dropping-particle" : "", "family" : "Gregor", "given" : "J C", "non-dropping-particle" : "", "parse-names" : false, "suffix" : "" }, { "dropping-particle" : "", "family" : "Wong", "given" : "J", "non-dropping-particle" : "", "parse-names" : false, "suffix" : "" }, { "dropping-particle" : "", "family" : "Forster", "given" : "A J", "non-dropping-particle" : "", "parse-names" : false, "suffix" : "" }, { "dropping-particle" : "", "family" : "Manuel", "given" : "D G", "non-dropping-particle" : "", "parse-names" : false, "suffix" : "" } ], "container-title" : "J Clin Epidemiol", "id" : "ITEM-2", "issue" : "8", "issued" : { "date-parts" : [ [ "2014" ] ] }, "page" : "887-896", "title" : "Validation of international algorithms to identify adults with inflammatory bowel disease in health administrative data from Ontario, Canada", "type" : "article-journal", "volume" : "67" }, "uris" : [ "http://www.mendeley.com/documents/?uuid=6f5ebf4b-46eb-4f53-b00f-19187c7ddbeb" ] } ], "mendeley" : { "formattedCitation" : "&lt;sup&gt;14,15&lt;/sup&gt;", "plainTextFormattedCitation" : "14,15", "previouslyFormattedCitation" : "[15,16]" }, "properties" : { "noteIndex" : 0 }, "schema" : "https://github.com/citation-style-language/schema/raw/master/csl-citation.json" }</w:instrText>
            </w:r>
            <w:r w:rsidRPr="001B271B">
              <w:rPr>
                <w:rFonts w:ascii="Times New Roman" w:eastAsiaTheme="minorHAnsi" w:hAnsi="Times New Roman" w:cs="Times New Roman"/>
                <w:sz w:val="20"/>
                <w:szCs w:val="20"/>
                <w:lang w:eastAsia="en-US"/>
              </w:rPr>
              <w:fldChar w:fldCharType="separate"/>
            </w:r>
            <w:r w:rsidRPr="0013049B">
              <w:rPr>
                <w:rFonts w:ascii="Times New Roman" w:eastAsiaTheme="minorHAnsi" w:hAnsi="Times New Roman" w:cs="Times New Roman"/>
                <w:noProof/>
                <w:sz w:val="20"/>
                <w:szCs w:val="20"/>
                <w:vertAlign w:val="superscript"/>
                <w:lang w:eastAsia="en-US"/>
              </w:rPr>
              <w:t>14,15</w:t>
            </w:r>
            <w:r w:rsidRPr="001B271B">
              <w:rPr>
                <w:rFonts w:ascii="Times New Roman" w:eastAsiaTheme="minorHAnsi" w:hAnsi="Times New Roman" w:cs="Times New Roman"/>
                <w:sz w:val="20"/>
                <w:szCs w:val="20"/>
                <w:lang w:eastAsia="en-US"/>
              </w:rPr>
              <w:fldChar w:fldCharType="end"/>
            </w:r>
          </w:p>
          <w:p w:rsidR="00BB2D87" w:rsidRPr="001B271B" w:rsidRDefault="00BB2D87" w:rsidP="00961841">
            <w:pPr>
              <w:numPr>
                <w:ilvl w:val="0"/>
                <w:numId w:val="3"/>
              </w:numPr>
              <w:spacing w:after="160" w:line="256" w:lineRule="auto"/>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Psoriasis/psoriatic arthritis</w:t>
            </w:r>
            <w:r w:rsidRPr="001B271B">
              <w:rPr>
                <w:rFonts w:ascii="Times New Roman" w:eastAsiaTheme="minorHAnsi" w:hAnsi="Times New Roman" w:cs="Times New Roman"/>
                <w:sz w:val="20"/>
                <w:szCs w:val="20"/>
                <w:lang w:eastAsia="en-US"/>
              </w:rPr>
              <w:fldChar w:fldCharType="begin" w:fldLock="1"/>
            </w:r>
            <w:r>
              <w:rPr>
                <w:rFonts w:ascii="Times New Roman" w:eastAsiaTheme="minorHAnsi" w:hAnsi="Times New Roman" w:cs="Times New Roman"/>
                <w:sz w:val="20"/>
                <w:szCs w:val="20"/>
                <w:lang w:eastAsia="en-US"/>
              </w:rPr>
              <w:instrText>ADDIN CSL_CITATION { "citationItems" : [ { "id" : "ITEM-1", "itemData" : { "DOI" : "10.3899/jrheum.190659", "ISSN" : "0315-162X (Print) 0315-162X (Linking)", "author" : [ { "dropping-particle" : "", "family" : "Eder", "given" : "L", "non-dropping-particle" : "", "parse-names" : false, "suffix" : "" }, { "dropping-particle" : "", "family" : "Widdifield", "given" : "J", "non-dropping-particle" : "", "parse-names" : false, "suffix" : "" }, { "dropping-particle" : "", "family" : "Rosen", "given" : "C F", "non-dropping-particle" : "", "parse-names" : false, "suffix" : "" }, { "dropping-particle" : "", "family" : "Alhusayen", "given" : "R", "non-dropping-particle" : "", "parse-names" : false, "suffix" : "" }, { "dropping-particle" : "", "family" : "Cheng", "given" : "S Y", "non-dropping-particle" : "", "parse-names" : false, "suffix" : "" }, { "dropping-particle" : "", "family" : "Young", "given" : "J", "non-dropping-particle" : "", "parse-names" : false, "suffix" : "" }, { "dropping-particle" : "", "family" : "Campbell", "given" : "W", "non-dropping-particle" : "", "parse-names" : false, "suffix" : "" }, { "dropping-particle" : "", "family" : "Bernatsky", "given" : "S", "non-dropping-particle" : "", "parse-names" : false, "suffix" : "" }, { "dropping-particle" : "", "family" : "Gladman", "given" : "D D", "non-dropping-particle" : "", "parse-names" : false, "suffix" : "" }, { "dropping-particle" : "", "family" : "Paterson", "given" : "M", "non-dropping-particle" : "", "parse-names" : false, "suffix" : "" }, { "dropping-particle" : "", "family" : "Tu", "given" : "K", "non-dropping-particle" : "", "parse-names" : false, "suffix" : "" } ], "container-title" : "J Rheumatol", "id" : "ITEM-1", "issue" : "11", "issued" : { "date-parts" : [ [ "2020" ] ] }, "page" : "1644-1651", "title" : "Identifying and Characterizing Psoriasis and Psoriatic Arthritis Patients in Ontario Administrative Data: A Population-based Study From 1991 to 2015", "type" : "article-journal", "volume" : "47" }, "uris" : [ "http://www.mendeley.com/documents/?uuid=3bb4b66a-207d-4200-a5f7-45da09290ac5" ] } ], "mendeley" : { "formattedCitation" : "&lt;sup&gt;16&lt;/sup&gt;", "plainTextFormattedCitation" : "16", "previouslyFormattedCitation" : "[17]" }, "properties" : { "noteIndex" : 0 }, "schema" : "https://github.com/citation-style-language/schema/raw/master/csl-citation.json" }</w:instrText>
            </w:r>
            <w:r w:rsidRPr="001B271B">
              <w:rPr>
                <w:rFonts w:ascii="Times New Roman" w:eastAsiaTheme="minorHAnsi" w:hAnsi="Times New Roman" w:cs="Times New Roman"/>
                <w:sz w:val="20"/>
                <w:szCs w:val="20"/>
                <w:lang w:eastAsia="en-US"/>
              </w:rPr>
              <w:fldChar w:fldCharType="separate"/>
            </w:r>
            <w:r w:rsidRPr="0013049B">
              <w:rPr>
                <w:rFonts w:ascii="Times New Roman" w:eastAsiaTheme="minorHAnsi" w:hAnsi="Times New Roman" w:cs="Times New Roman"/>
                <w:noProof/>
                <w:sz w:val="20"/>
                <w:szCs w:val="20"/>
                <w:vertAlign w:val="superscript"/>
                <w:lang w:eastAsia="en-US"/>
              </w:rPr>
              <w:t>16</w:t>
            </w:r>
            <w:r w:rsidRPr="001B271B">
              <w:rPr>
                <w:rFonts w:ascii="Times New Roman" w:eastAsiaTheme="minorHAnsi" w:hAnsi="Times New Roman" w:cs="Times New Roman"/>
                <w:sz w:val="20"/>
                <w:szCs w:val="20"/>
                <w:lang w:eastAsia="en-US"/>
              </w:rPr>
              <w:fldChar w:fldCharType="end"/>
            </w:r>
          </w:p>
          <w:p w:rsidR="00BB2D87" w:rsidRPr="001B271B" w:rsidRDefault="00BB2D87" w:rsidP="00961841">
            <w:pPr>
              <w:numPr>
                <w:ilvl w:val="1"/>
                <w:numId w:val="3"/>
              </w:numPr>
              <w:spacing w:after="160" w:line="256" w:lineRule="auto"/>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Psoriasis: 1 hospitalization or 3 physician billings prior to index date. DAD: ICD-9: 696</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1, 696</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8; ICD-10: L40</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0, L40</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1, L40</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2, L40</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3, L40</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4, L40</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8, L40</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 xml:space="preserve">9. OHIP: </w:t>
            </w:r>
            <w:proofErr w:type="spellStart"/>
            <w:r w:rsidRPr="001B271B">
              <w:rPr>
                <w:rFonts w:ascii="Times New Roman" w:eastAsiaTheme="minorHAnsi" w:hAnsi="Times New Roman" w:cs="Times New Roman"/>
                <w:sz w:val="20"/>
                <w:szCs w:val="20"/>
                <w:lang w:eastAsia="en-US"/>
              </w:rPr>
              <w:t>dxcode</w:t>
            </w:r>
            <w:proofErr w:type="spellEnd"/>
            <w:r w:rsidRPr="001B271B">
              <w:rPr>
                <w:rFonts w:ascii="Times New Roman" w:eastAsiaTheme="minorHAnsi" w:hAnsi="Times New Roman" w:cs="Times New Roman"/>
                <w:sz w:val="20"/>
                <w:szCs w:val="20"/>
                <w:lang w:eastAsia="en-US"/>
              </w:rPr>
              <w:t xml:space="preserve"> = 696</w:t>
            </w:r>
          </w:p>
          <w:p w:rsidR="00BB2D87" w:rsidRPr="001B271B" w:rsidRDefault="00BB2D87" w:rsidP="00961841">
            <w:pPr>
              <w:numPr>
                <w:ilvl w:val="1"/>
                <w:numId w:val="3"/>
              </w:numPr>
              <w:spacing w:after="160" w:line="256" w:lineRule="auto"/>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Psoriatic arthritis: 1 hospitalization or: (3 physician billings for psoriatic arthritis + 1 billing for psoriasis [696]). DAD: ICD-9: 696</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0; ICD-10: L40</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5, M07</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0, M07</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1, M07</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2, M07</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3, M09</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 xml:space="preserve">0. OHIP: </w:t>
            </w:r>
            <w:proofErr w:type="spellStart"/>
            <w:r w:rsidRPr="001B271B">
              <w:rPr>
                <w:rFonts w:ascii="Times New Roman" w:eastAsiaTheme="minorHAnsi" w:hAnsi="Times New Roman" w:cs="Times New Roman"/>
                <w:sz w:val="20"/>
                <w:szCs w:val="20"/>
                <w:lang w:eastAsia="en-US"/>
              </w:rPr>
              <w:t>dxcode</w:t>
            </w:r>
            <w:proofErr w:type="spellEnd"/>
            <w:r w:rsidRPr="001B271B">
              <w:rPr>
                <w:rFonts w:ascii="Times New Roman" w:eastAsiaTheme="minorHAnsi" w:hAnsi="Times New Roman" w:cs="Times New Roman"/>
                <w:sz w:val="20"/>
                <w:szCs w:val="20"/>
                <w:lang w:eastAsia="en-US"/>
              </w:rPr>
              <w:t xml:space="preserve"> = 721 (at least one of these billings must be billed by a rheumatologist).</w:t>
            </w:r>
          </w:p>
          <w:p w:rsidR="00BB2D87" w:rsidRPr="001B271B" w:rsidRDefault="00BB2D87" w:rsidP="00961841">
            <w:pPr>
              <w:numPr>
                <w:ilvl w:val="0"/>
                <w:numId w:val="3"/>
              </w:numPr>
              <w:spacing w:after="160" w:line="256" w:lineRule="auto"/>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Multiple sclerosis</w:t>
            </w:r>
            <w:r w:rsidRPr="001B271B">
              <w:rPr>
                <w:rFonts w:ascii="Times New Roman" w:eastAsiaTheme="minorHAnsi" w:hAnsi="Times New Roman" w:cs="Times New Roman"/>
                <w:sz w:val="20"/>
                <w:szCs w:val="20"/>
                <w:lang w:eastAsia="en-US"/>
              </w:rPr>
              <w:fldChar w:fldCharType="begin" w:fldLock="1"/>
            </w:r>
            <w:r>
              <w:rPr>
                <w:rFonts w:ascii="Times New Roman" w:eastAsiaTheme="minorHAnsi" w:hAnsi="Times New Roman" w:cs="Times New Roman"/>
                <w:sz w:val="20"/>
                <w:szCs w:val="20"/>
                <w:lang w:eastAsia="en-US"/>
              </w:rPr>
              <w:instrText>ADDIN CSL_CITATION { "citationItems" : [ { "id" : "ITEM-1", "itemData" : { "DOI" : "10.1177/1352458514556303", "ISSN" : "1477-0970 (Electronic) 1352-4585 (Linking)", "author" : [ { "dropping-particle" : "", "family" : "Widdifield", "given" : "J", "non-dropping-particle" : "", "parse-names" : false, "suffix" : "" }, { "dropping-particle" : "", "family" : "Ivers", "given" : "N M", "non-dropping-particle" : "", "parse-names" : false, "suffix" : "" }, { "dropping-particle" : "", "family" : "Young", "given" : "J", "non-dropping-particle" : "", "parse-names" : false, "suffix" : "" }, { "dropping-particle" : "", "family" : "Green", "given" : "D", "non-dropping-particle" : "", "parse-names" : false, "suffix" : "" }, { "dropping-particle" : "", "family" : "Jaakkimainen", "given" : "L", "non-dropping-particle" : "", "parse-names" : false, "suffix" : "" }, { "dropping-particle" : "", "family" : "Butt", "given" : "D A", "non-dropping-particle" : "", "parse-names" : false, "suffix" : "" }, { "dropping-particle" : "", "family" : "O'Connor", "given" : "P", "non-dropping-particle" : "", "parse-names" : false, "suffix" : "" }, { "dropping-particle" : "", "family" : "Hollands", "given" : "S", "non-dropping-particle" : "", "parse-names" : false, "suffix" : "" }, { "dropping-particle" : "", "family" : "Tu", "given" : "K", "non-dropping-particle" : "", "parse-names" : false, "suffix" : "" } ], "container-title" : "Mult Scler", "id" : "ITEM-1", "issue" : "8", "issued" : { "date-parts" : [ [ "2015" ] ] }, "page" : "1045-1054", "title" : "Development and validation of an administrative data algorithm to estimate the disease burden and epidemiology of multiple sclerosis in Ontario, Canada", "type" : "article-journal", "volume" : "21" }, "uris" : [ "http://www.mendeley.com/documents/?uuid=7e55375e-45d0-413b-958d-2c3e77071077" ] } ], "mendeley" : { "formattedCitation" : "&lt;sup&gt;17&lt;/sup&gt;", "plainTextFormattedCitation" : "17", "previouslyFormattedCitation" : "[18]" }, "properties" : { "noteIndex" : 0 }, "schema" : "https://github.com/citation-style-language/schema/raw/master/csl-citation.json" }</w:instrText>
            </w:r>
            <w:r w:rsidRPr="001B271B">
              <w:rPr>
                <w:rFonts w:ascii="Times New Roman" w:eastAsiaTheme="minorHAnsi" w:hAnsi="Times New Roman" w:cs="Times New Roman"/>
                <w:sz w:val="20"/>
                <w:szCs w:val="20"/>
                <w:lang w:eastAsia="en-US"/>
              </w:rPr>
              <w:fldChar w:fldCharType="separate"/>
            </w:r>
            <w:r w:rsidRPr="0013049B">
              <w:rPr>
                <w:rFonts w:ascii="Times New Roman" w:eastAsiaTheme="minorHAnsi" w:hAnsi="Times New Roman" w:cs="Times New Roman"/>
                <w:noProof/>
                <w:sz w:val="20"/>
                <w:szCs w:val="20"/>
                <w:vertAlign w:val="superscript"/>
                <w:lang w:eastAsia="en-US"/>
              </w:rPr>
              <w:t>17</w:t>
            </w:r>
            <w:r w:rsidRPr="001B271B">
              <w:rPr>
                <w:rFonts w:ascii="Times New Roman" w:eastAsiaTheme="minorHAnsi" w:hAnsi="Times New Roman" w:cs="Times New Roman"/>
                <w:sz w:val="20"/>
                <w:szCs w:val="20"/>
                <w:lang w:eastAsia="en-US"/>
              </w:rPr>
              <w:fldChar w:fldCharType="end"/>
            </w:r>
          </w:p>
          <w:p w:rsidR="00BB2D87" w:rsidRPr="001B271B" w:rsidRDefault="00BB2D87" w:rsidP="00961841">
            <w:pPr>
              <w:numPr>
                <w:ilvl w:val="1"/>
                <w:numId w:val="3"/>
              </w:numPr>
              <w:spacing w:after="160" w:line="256" w:lineRule="auto"/>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 xml:space="preserve">Individuals with one hospitalization or 5 physician billings over 2 years. DAD: ICD-9: 340; ICD-10: G35. OHIP: </w:t>
            </w:r>
            <w:proofErr w:type="spellStart"/>
            <w:r w:rsidRPr="001B271B">
              <w:rPr>
                <w:rFonts w:ascii="Times New Roman" w:eastAsiaTheme="minorHAnsi" w:hAnsi="Times New Roman" w:cs="Times New Roman"/>
                <w:sz w:val="20"/>
                <w:szCs w:val="20"/>
                <w:lang w:eastAsia="en-US"/>
              </w:rPr>
              <w:t>dxcode</w:t>
            </w:r>
            <w:proofErr w:type="spellEnd"/>
            <w:r w:rsidRPr="001B271B">
              <w:rPr>
                <w:rFonts w:ascii="Times New Roman" w:eastAsiaTheme="minorHAnsi" w:hAnsi="Times New Roman" w:cs="Times New Roman"/>
                <w:sz w:val="20"/>
                <w:szCs w:val="20"/>
                <w:lang w:eastAsia="en-US"/>
              </w:rPr>
              <w:t xml:space="preserve"> = 340.</w:t>
            </w:r>
          </w:p>
          <w:p w:rsidR="00BB2D87" w:rsidRPr="001B271B" w:rsidRDefault="00BB2D87" w:rsidP="00961841">
            <w:pPr>
              <w:rPr>
                <w:rFonts w:ascii="Times New Roman" w:eastAsiaTheme="minorHAnsi" w:hAnsi="Times New Roman" w:cs="Times New Roman"/>
                <w:sz w:val="20"/>
                <w:szCs w:val="20"/>
                <w:lang w:eastAsia="en-US"/>
              </w:rPr>
            </w:pPr>
          </w:p>
        </w:tc>
      </w:tr>
      <w:tr w:rsidR="00BB2D87" w:rsidRPr="001B271B" w:rsidTr="00961841">
        <w:tc>
          <w:tcPr>
            <w:tcW w:w="2376" w:type="dxa"/>
            <w:vMerge w:val="restart"/>
            <w:shd w:val="clear" w:color="auto" w:fill="auto"/>
          </w:tcPr>
          <w:p w:rsidR="00BB2D87" w:rsidRPr="001B271B" w:rsidRDefault="00BB2D87" w:rsidP="00961841">
            <w:pPr>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lastRenderedPageBreak/>
              <w:t>Chronic kidney disease (CKD)</w:t>
            </w:r>
          </w:p>
        </w:tc>
        <w:tc>
          <w:tcPr>
            <w:tcW w:w="6804" w:type="dxa"/>
            <w:shd w:val="clear" w:color="auto" w:fill="auto"/>
          </w:tcPr>
          <w:p w:rsidR="00BB2D87" w:rsidRPr="001B271B" w:rsidRDefault="00BB2D87" w:rsidP="00961841">
            <w:pPr>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 xml:space="preserve">We defined this variable as having a CKD diagnosis code in DAD, NACRS, OHIP in the past 5 years, </w:t>
            </w:r>
            <w:r w:rsidRPr="001B271B">
              <w:rPr>
                <w:rFonts w:ascii="Times New Roman" w:eastAsiaTheme="minorHAnsi" w:hAnsi="Times New Roman" w:cs="Times New Roman"/>
                <w:sz w:val="20"/>
                <w:szCs w:val="20"/>
                <w:u w:val="single"/>
                <w:lang w:eastAsia="en-US"/>
              </w:rPr>
              <w:t>or:</w:t>
            </w:r>
            <w:r w:rsidRPr="001B271B">
              <w:rPr>
                <w:rFonts w:ascii="Times New Roman" w:eastAsiaTheme="minorHAnsi" w:hAnsi="Times New Roman" w:cs="Times New Roman"/>
                <w:sz w:val="20"/>
                <w:szCs w:val="20"/>
                <w:lang w:eastAsia="en-US"/>
              </w:rPr>
              <w:t xml:space="preserve"> at least 1 dialysis code in each of the 3 months prior to index.</w:t>
            </w:r>
            <w:r w:rsidRPr="001B271B">
              <w:rPr>
                <w:rFonts w:ascii="Times New Roman" w:eastAsiaTheme="minorHAnsi" w:hAnsi="Times New Roman" w:cs="Times New Roman"/>
                <w:sz w:val="20"/>
                <w:szCs w:val="20"/>
                <w:lang w:eastAsia="en-US"/>
              </w:rPr>
              <w:fldChar w:fldCharType="begin" w:fldLock="1"/>
            </w:r>
            <w:r>
              <w:rPr>
                <w:rFonts w:ascii="Times New Roman" w:eastAsiaTheme="minorHAnsi" w:hAnsi="Times New Roman" w:cs="Times New Roman"/>
                <w:sz w:val="20"/>
                <w:szCs w:val="20"/>
                <w:lang w:eastAsia="en-US"/>
              </w:rPr>
              <w:instrText>ADDIN CSL_CITATION { "citationItems" : [ { "id" : "ITEM-1", "itemData" : { "DOI" : "10.1186/1471-2369-14-81", "ISSN" : "1471-2369", "PMID" : "23560464", "abstract" : "BACKGROUND Large, population-based administrative healthcare databases can be used to identify patients with chronic kidney disease (CKD) when serum creatinine laboratory results are unavailable. We examined the validity of algorithms that used combined hospital encounter and physician claims database codes for the detection of CKD in Ontario, Canada. METHODS We accrued 123,499 patients over the age of 65 from 2007 to 2010. All patients had a baseline serum creatinine value to estimate glomerular filtration rate (eGFR). We developed an algorithm of physician claims and hospital encounter codes to search administrative databases for the presence of CKD. We determined the sensitivity, specificity, positive and negative predictive values of this algorithm to detect our primary threshold of CKD, an eGFR &lt;45 mL/min per 1.73 m\u00b2 (15.4% of patients). We also assessed serum creatinine and eGFR values in patients with and without CKD codes (algorithm positive and negative, respectively). RESULTS Our algorithm required evidence of at least one of eleven CKD codes and 7.7% of patients were algorithm positive. The sensitivity was 32.7% [95% confidence interval: (95% CI): 32.0 to 33.3%]. Sensitivity was lower in women compared to men (25.7 vs. 43.7%; p &lt;0.001) and in the oldest age category (over 80 vs. 66 to 80; 28.4 vs. 37.6 %; p &lt; 0.001). All specificities were over 94%. The positive and negative predictive values were 65.4% (95% CI: 64.4 to 66.3%) and 88.8% (95% CI: 88.6 to 89.0%), respectively. In algorithm positive patients, the median [interquartile range (IQR)] baseline serum creatinine value was 135 \u03bcmol/L (106 to 179 \u03bcmol/L) compared to 82 \u03bcmol/L (69 to 98 \u03bcmol/L) for algorithm negative patients. Corresponding eGFR values were 38 mL/min per 1.73 m\u00b2 (26 to 51 mL/min per 1.73 m\u00b2) vs. 69 mL/min per 1.73 m\u00b2 (56 to 82 mL/min per 1.73 m\u00b2), respectively. CONCLUSIONS Patients with CKD as identified by our database algorithm had distinctly higher baseline serum creatinine values and lower eGFR values than those without such codes. However, because of limited sensitivity, the prevalence of CKD was underestimated.", "author" : [ { "dropping-particle" : "", "family" : "Fleet", "given" : "Jamie L", "non-dropping-particle" : "", "parse-names" : false, "suffix" : "" }, { "dropping-particle" : "", "family" : "Dixon", "given" : "Stephanie N", "non-dropping-particle" : "", "parse-names" : false, "suffix" : "" }, { "dropping-particle" : "", "family" : "Shariff", "given" : "Salimah Z", "non-dropping-particle" : "", "parse-names" : false, "suffix" : "" }, { "dropping-particle" : "", "family" : "Quinn", "given" : "Robert R", "non-dropping-particle" : "", "parse-names" : false, "suffix" : "" }, { "dropping-particle" : "", "family" : "Nash", "given" : "Danielle M", "non-dropping-particle" : "", "parse-names" : false, "suffix" : "" }, { "dropping-particle" : "", "family" : "Harel", "given" : "Ziv", "non-dropping-particle" : "", "parse-names" : false, "suffix" : "" }, { "dropping-particle" : "", "family" : "Garg", "given" : "Amit X", "non-dropping-particle" : "", "parse-names" : false, "suffix" : "" } ], "container-title" : "BMC nephrology", "id" : "ITEM-1", "issue" : "1", "issued" : { "date-parts" : [ [ "2013", "4", "5" ] ] }, "page" : "81", "title" : "Detecting chronic kidney disease in population-based administrative databases using an algorithm of hospital encounter and physician claim codes.", "type" : "article-journal", "volume" : "14" }, "uris" : [ "http://www.mendeley.com/documents/?uuid=72a6a391-696e-3461-9000-5bebbb3dc844" ] } ], "mendeley" : { "formattedCitation" : "&lt;sup&gt;18&lt;/sup&gt;", "plainTextFormattedCitation" : "18", "previouslyFormattedCitation" : "[19]" }, "properties" : { "noteIndex" : 0 }, "schema" : "https://github.com/citation-style-language/schema/raw/master/csl-citation.json" }</w:instrText>
            </w:r>
            <w:r w:rsidRPr="001B271B">
              <w:rPr>
                <w:rFonts w:ascii="Times New Roman" w:eastAsiaTheme="minorHAnsi" w:hAnsi="Times New Roman" w:cs="Times New Roman"/>
                <w:sz w:val="20"/>
                <w:szCs w:val="20"/>
                <w:lang w:eastAsia="en-US"/>
              </w:rPr>
              <w:fldChar w:fldCharType="separate"/>
            </w:r>
            <w:r w:rsidRPr="0013049B">
              <w:rPr>
                <w:rFonts w:ascii="Times New Roman" w:eastAsiaTheme="minorHAnsi" w:hAnsi="Times New Roman" w:cs="Times New Roman"/>
                <w:noProof/>
                <w:sz w:val="20"/>
                <w:szCs w:val="20"/>
                <w:vertAlign w:val="superscript"/>
                <w:lang w:eastAsia="en-US"/>
              </w:rPr>
              <w:t>18</w:t>
            </w:r>
            <w:r w:rsidRPr="001B271B">
              <w:rPr>
                <w:rFonts w:ascii="Times New Roman" w:eastAsiaTheme="minorHAnsi" w:hAnsi="Times New Roman" w:cs="Times New Roman"/>
                <w:sz w:val="20"/>
                <w:szCs w:val="20"/>
                <w:lang w:eastAsia="en-US"/>
              </w:rPr>
              <w:fldChar w:fldCharType="end"/>
            </w:r>
          </w:p>
          <w:p w:rsidR="00BB2D87" w:rsidRPr="001B271B" w:rsidRDefault="00BB2D87" w:rsidP="00961841">
            <w:pPr>
              <w:rPr>
                <w:rFonts w:ascii="Times New Roman" w:eastAsiaTheme="minorHAnsi" w:hAnsi="Times New Roman" w:cs="Times New Roman"/>
                <w:sz w:val="20"/>
                <w:szCs w:val="20"/>
                <w:u w:val="single"/>
                <w:lang w:eastAsia="en-US"/>
              </w:rPr>
            </w:pPr>
          </w:p>
          <w:p w:rsidR="00BB2D87" w:rsidRPr="001B271B" w:rsidRDefault="00BB2D87" w:rsidP="00961841">
            <w:pPr>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OHIP: 403, 585</w:t>
            </w:r>
          </w:p>
          <w:p w:rsidR="00BB2D87" w:rsidRPr="001B271B" w:rsidRDefault="00BB2D87" w:rsidP="00961841">
            <w:pPr>
              <w:rPr>
                <w:rFonts w:ascii="Times New Roman" w:eastAsiaTheme="minorHAnsi" w:hAnsi="Times New Roman" w:cs="Times New Roman"/>
                <w:sz w:val="20"/>
                <w:szCs w:val="20"/>
                <w:lang w:eastAsia="en-US"/>
              </w:rPr>
            </w:pPr>
          </w:p>
          <w:p w:rsidR="00BB2D87" w:rsidRPr="001B271B" w:rsidRDefault="00BB2D87" w:rsidP="00961841">
            <w:pPr>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ICD-10: E102, E112, E132, E142, I12, I13, N08, N18, N19</w:t>
            </w:r>
          </w:p>
          <w:p w:rsidR="00BB2D87" w:rsidRPr="001B271B" w:rsidRDefault="00BB2D87" w:rsidP="00961841">
            <w:pPr>
              <w:contextualSpacing/>
              <w:rPr>
                <w:rFonts w:ascii="Times New Roman" w:eastAsiaTheme="minorHAnsi" w:hAnsi="Times New Roman" w:cs="Times New Roman"/>
                <w:sz w:val="20"/>
                <w:szCs w:val="20"/>
                <w:lang w:eastAsia="en-US"/>
              </w:rPr>
            </w:pPr>
          </w:p>
        </w:tc>
      </w:tr>
      <w:tr w:rsidR="00BB2D87" w:rsidRPr="001B271B" w:rsidTr="00961841">
        <w:tc>
          <w:tcPr>
            <w:tcW w:w="2376" w:type="dxa"/>
            <w:vMerge/>
            <w:shd w:val="clear" w:color="auto" w:fill="auto"/>
          </w:tcPr>
          <w:p w:rsidR="00BB2D87" w:rsidRPr="001B271B" w:rsidRDefault="00BB2D87" w:rsidP="00961841">
            <w:pPr>
              <w:rPr>
                <w:rFonts w:ascii="Times New Roman" w:eastAsiaTheme="minorHAnsi" w:hAnsi="Times New Roman" w:cs="Times New Roman"/>
                <w:sz w:val="20"/>
                <w:szCs w:val="20"/>
                <w:lang w:eastAsia="en-US"/>
              </w:rPr>
            </w:pPr>
          </w:p>
        </w:tc>
        <w:tc>
          <w:tcPr>
            <w:tcW w:w="6804" w:type="dxa"/>
            <w:shd w:val="clear" w:color="auto" w:fill="auto"/>
          </w:tcPr>
          <w:p w:rsidR="00BB2D87" w:rsidRPr="001B271B" w:rsidRDefault="00BB2D87" w:rsidP="00961841">
            <w:pPr>
              <w:rPr>
                <w:rFonts w:ascii="Times New Roman" w:eastAsiaTheme="minorHAnsi" w:hAnsi="Times New Roman" w:cs="Times New Roman"/>
                <w:sz w:val="20"/>
                <w:szCs w:val="20"/>
                <w:u w:val="single"/>
                <w:lang w:eastAsia="en-US"/>
              </w:rPr>
            </w:pPr>
            <w:r w:rsidRPr="001B271B">
              <w:rPr>
                <w:rFonts w:ascii="Times New Roman" w:eastAsiaTheme="minorHAnsi" w:hAnsi="Times New Roman" w:cs="Times New Roman"/>
                <w:sz w:val="20"/>
                <w:szCs w:val="20"/>
                <w:lang w:eastAsia="en-US"/>
              </w:rPr>
              <w:t>Patients who were on chronic dialysis in the year before index date, identified as those with at least 2 of any of the following codes in OHIP, DAD, or SDS separated by at least 90 days, but less than 150 days:</w:t>
            </w:r>
            <w:r w:rsidRPr="001B271B">
              <w:rPr>
                <w:rFonts w:ascii="Times New Roman" w:eastAsiaTheme="minorHAnsi" w:hAnsi="Times New Roman" w:cs="Times New Roman"/>
                <w:sz w:val="20"/>
                <w:szCs w:val="20"/>
                <w:lang w:eastAsia="en-US"/>
              </w:rPr>
              <w:fldChar w:fldCharType="begin" w:fldLock="1"/>
            </w:r>
            <w:r>
              <w:rPr>
                <w:rFonts w:ascii="Times New Roman" w:eastAsiaTheme="minorHAnsi" w:hAnsi="Times New Roman" w:cs="Times New Roman"/>
                <w:sz w:val="20"/>
                <w:szCs w:val="20"/>
                <w:lang w:eastAsia="en-US"/>
              </w:rPr>
              <w:instrText>ADDIN CSL_CITATION { "citationItems" : [ { "id" : "ITEM-1", "itemData" : { "DOI" : "10.1097/MLR.0b013e3181e419fd", "ISSN" : "1537-1948", "PMID" : "20613656", "abstract" : "BACKGROUND The use of administrative health data and other secondary data sources to conduct research are increasing, and the quality of these data requires careful scrutiny to ensure that findings of studies based on them are accurate. METHODS We conducted a multicenter, chart-abstraction study in Ontario, Canada to evaluate the ability of linked administrative databases to identify important baseline demographic and treatment information, changes in dialysis treatment modality over time, and the occurrence of important outcome events in incident dialysis patients. The medical record was considered the reference standard. RESULTS Within administrative databases, demographic information was very well coded, as was the location where individuals started dialysis, the first treatment modality, the first outpatient modality, and the treatment that was in use 90 days after the start of therapy. The ability to accurately recreate an individual patient's entire dialysis treatment history using physician billing claims was somewhat limited. The treatment changes were often identified in the correct temporal sequence, but the dates that the events occurred did not agree well. Finally, important outcomes including the death and kidney transplantation were captured well, although the recovery of kidney function could not be evaluated because of poor inter-rater reliability. CONCLUSIONS This validation study provides important information concerning the ability to detect variables related to dialysis care using administrative datasets. Validation work should focus not only on the ability of secondary data to identify baseline comorbidities, but should also attempt to verify that other key variables required to conduct analyses are reliably captured.", "author" : [ { "dropping-particle" : "", "family" : "Quinn", "given" : "Robert R", "non-dropping-particle" : "", "parse-names" : false, "suffix" : "" }, { "dropping-particle" : "", "family" : "Laupacis", "given" : "Andreas", "non-dropping-particle" : "", "parse-names" : false, "suffix" : "" }, { "dropping-particle" : "", "family" : "Austin", "given" : "Peter C", "non-dropping-particle" : "", "parse-names" : false, "suffix" : "" }, { "dropping-particle" : "", "family" : "Hux", "given" : "Janet E", "non-dropping-particle" : "", "parse-names" : false, "suffix" : "" }, { "dropping-particle" : "", "family" : "Garg", "given" : "Amit X", "non-dropping-particle" : "", "parse-names" : false, "suffix" : "" }, { "dropping-particle" : "", "family" : "Hemmelgarn", "given" : "Brenda R", "non-dropping-particle" : "", "parse-names" : false, "suffix" : "" }, { "dropping-particle" : "", "family" : "Oliver", "given" : "Matthew J", "non-dropping-particle" : "", "parse-names" : false, "suffix" : "" } ], "container-title" : "Medical care", "id" : "ITEM-1", "issue" : "8", "issued" : { "date-parts" : [ [ "2010", "8" ] ] }, "page" : "745-50", "title" : "Using administrative datasets to study outcomes in dialysis patients: a validation study.", "type" : "article-journal", "volume" : "48" }, "uris" : [ "http://www.mendeley.com/documents/?uuid=524cee2e-83f3-3085-924b-367f09f97c75" ] } ], "mendeley" : { "formattedCitation" : "&lt;sup&gt;19&lt;/sup&gt;", "plainTextFormattedCitation" : "19", "previouslyFormattedCitation" : "[20]" }, "properties" : { "noteIndex" : 0 }, "schema" : "https://github.com/citation-style-language/schema/raw/master/csl-citation.json" }</w:instrText>
            </w:r>
            <w:r w:rsidRPr="001B271B">
              <w:rPr>
                <w:rFonts w:ascii="Times New Roman" w:eastAsiaTheme="minorHAnsi" w:hAnsi="Times New Roman" w:cs="Times New Roman"/>
                <w:sz w:val="20"/>
                <w:szCs w:val="20"/>
                <w:lang w:eastAsia="en-US"/>
              </w:rPr>
              <w:fldChar w:fldCharType="separate"/>
            </w:r>
            <w:r w:rsidRPr="0013049B">
              <w:rPr>
                <w:rFonts w:ascii="Times New Roman" w:eastAsiaTheme="minorHAnsi" w:hAnsi="Times New Roman" w:cs="Times New Roman"/>
                <w:noProof/>
                <w:sz w:val="20"/>
                <w:szCs w:val="20"/>
                <w:vertAlign w:val="superscript"/>
                <w:lang w:eastAsia="en-US"/>
              </w:rPr>
              <w:t>19</w:t>
            </w:r>
            <w:r w:rsidRPr="001B271B">
              <w:rPr>
                <w:rFonts w:ascii="Times New Roman" w:eastAsiaTheme="minorHAnsi" w:hAnsi="Times New Roman" w:cs="Times New Roman"/>
                <w:sz w:val="20"/>
                <w:szCs w:val="20"/>
                <w:lang w:eastAsia="en-US"/>
              </w:rPr>
              <w:fldChar w:fldCharType="end"/>
            </w:r>
            <w:r w:rsidRPr="001B271B">
              <w:rPr>
                <w:rFonts w:ascii="Times New Roman" w:eastAsiaTheme="minorHAnsi" w:hAnsi="Times New Roman" w:cs="Times New Roman"/>
                <w:sz w:val="20"/>
                <w:szCs w:val="20"/>
                <w:lang w:eastAsia="en-US"/>
              </w:rPr>
              <w:fldChar w:fldCharType="begin"/>
            </w:r>
            <w:r w:rsidRPr="001B271B">
              <w:rPr>
                <w:rFonts w:ascii="Times New Roman" w:eastAsiaTheme="minorHAnsi" w:hAnsi="Times New Roman" w:cs="Times New Roman"/>
                <w:sz w:val="20"/>
                <w:szCs w:val="20"/>
                <w:lang w:eastAsia="en-US"/>
              </w:rPr>
              <w:instrText xml:space="preserve"> ADDIN EN.CITE &lt;EndNote&gt;&lt;Cite&gt;&lt;Author&gt;Quinn&lt;/Author&gt;&lt;Year&gt;2010&lt;/Year&gt;&lt;RecNum&gt;22&lt;/RecNum&gt;&lt;DisplayText&gt;&lt;style face="superscript"&gt;17&lt;/style&gt;&lt;/DisplayText&gt;&lt;record&gt;&lt;rec-number&gt;22&lt;/rec-number&gt;&lt;foreign-keys&gt;&lt;key app="EN" db-id="9rzas2zspfvf9hefzvhvxwao5atzpxafz0ea" timestamp="1620820743"&gt;22&lt;/key&gt;&lt;/foreign-keys&gt;&lt;ref-type name="Journal Article"&gt;17&lt;/ref-type&gt;&lt;contributors&gt;&lt;authors&gt;&lt;author&gt;Quinn, R. R.&lt;/author&gt;&lt;author&gt;Laupacis, A.&lt;/author&gt;&lt;author&gt;Austin, P. C.&lt;/author&gt;&lt;author&gt;Hux, J. E.&lt;/author&gt;&lt;author&gt;Garg, A. X.&lt;/author&gt;&lt;author&gt;Hemmelgarn, B. R.&lt;/author&gt;&lt;author&gt;Oliver, M. J.&lt;/author&gt;&lt;/authors&gt;&lt;/contributors&gt;&lt;titles&gt;&lt;title&gt;Using administrative datasets to study outcomes in dialysis patients: A validation study&lt;/title&gt;&lt;secondary-title&gt;Medical Care&lt;/secondary-title&gt;&lt;/titles&gt;&lt;periodical&gt;&lt;full-title&gt;Medical Care&lt;/full-title&gt;&lt;/periodical&gt;&lt;pages&gt;745-750&lt;/pages&gt;&lt;volume&gt;48&lt;/volume&gt;&lt;number&gt;8&lt;/number&gt;&lt;dates&gt;&lt;year&gt;2010&lt;/year&gt;&lt;/dates&gt;&lt;urls&gt;&lt;/urls&gt;&lt;/record&gt;&lt;/Cite&gt;&lt;/EndNote&gt;</w:instrText>
            </w:r>
            <w:r w:rsidRPr="001B271B">
              <w:rPr>
                <w:rFonts w:ascii="Times New Roman" w:eastAsiaTheme="minorHAnsi" w:hAnsi="Times New Roman" w:cs="Times New Roman"/>
                <w:sz w:val="20"/>
                <w:szCs w:val="20"/>
                <w:lang w:eastAsia="en-US"/>
              </w:rPr>
              <w:fldChar w:fldCharType="end"/>
            </w:r>
          </w:p>
          <w:p w:rsidR="00BB2D87" w:rsidRPr="001B271B" w:rsidRDefault="00BB2D87" w:rsidP="00961841">
            <w:pPr>
              <w:rPr>
                <w:rFonts w:ascii="Times New Roman" w:eastAsiaTheme="minorHAnsi" w:hAnsi="Times New Roman" w:cs="Times New Roman"/>
                <w:sz w:val="20"/>
                <w:szCs w:val="20"/>
                <w:u w:val="single"/>
                <w:lang w:eastAsia="en-US"/>
              </w:rPr>
            </w:pPr>
          </w:p>
          <w:p w:rsidR="00BB2D87" w:rsidRPr="001B271B" w:rsidRDefault="00BB2D87" w:rsidP="00961841">
            <w:pPr>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OHIP service codes: R849, G323, G325, G326, G860, G862, G865 G863, G866, G330, G331, G332, G333, G861, G082, G083, G085, G090, G091, G092, G093, G094, G095, G096, G294, G295, G864, H540, H740</w:t>
            </w:r>
          </w:p>
          <w:p w:rsidR="00BB2D87" w:rsidRPr="001B271B" w:rsidRDefault="00BB2D87" w:rsidP="00961841">
            <w:pPr>
              <w:rPr>
                <w:rFonts w:ascii="Times New Roman" w:eastAsiaTheme="minorHAnsi" w:hAnsi="Times New Roman" w:cs="Times New Roman"/>
                <w:sz w:val="20"/>
                <w:szCs w:val="20"/>
                <w:lang w:eastAsia="en-US"/>
              </w:rPr>
            </w:pPr>
          </w:p>
          <w:p w:rsidR="00BB2D87" w:rsidRPr="001B271B" w:rsidRDefault="00BB2D87" w:rsidP="00961841">
            <w:pPr>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DAD, SDS:</w:t>
            </w:r>
          </w:p>
          <w:p w:rsidR="00BB2D87" w:rsidRPr="001B271B" w:rsidRDefault="00BB2D87" w:rsidP="00961841">
            <w:pPr>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CCI procedure codes: 5195, 6698</w:t>
            </w:r>
          </w:p>
          <w:p w:rsidR="00BB2D87" w:rsidRPr="001B271B" w:rsidRDefault="00BB2D87" w:rsidP="00961841">
            <w:pPr>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CCP procedure code: 1PZ21</w:t>
            </w:r>
          </w:p>
          <w:p w:rsidR="00BB2D87" w:rsidRPr="001B271B" w:rsidRDefault="00BB2D87" w:rsidP="00961841">
            <w:pPr>
              <w:rPr>
                <w:rFonts w:ascii="Times New Roman" w:eastAsiaTheme="minorHAnsi" w:hAnsi="Times New Roman" w:cs="Times New Roman"/>
                <w:sz w:val="20"/>
                <w:szCs w:val="20"/>
                <w:u w:val="single"/>
                <w:lang w:eastAsia="en-US"/>
              </w:rPr>
            </w:pPr>
          </w:p>
        </w:tc>
      </w:tr>
      <w:tr w:rsidR="00BB2D87" w:rsidRPr="001B271B" w:rsidTr="00961841">
        <w:tc>
          <w:tcPr>
            <w:tcW w:w="2376" w:type="dxa"/>
            <w:shd w:val="clear" w:color="auto" w:fill="auto"/>
          </w:tcPr>
          <w:p w:rsidR="00BB2D87" w:rsidRPr="001B271B" w:rsidRDefault="00BB2D87" w:rsidP="00961841">
            <w:pPr>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Dementia</w:t>
            </w:r>
          </w:p>
        </w:tc>
        <w:tc>
          <w:tcPr>
            <w:tcW w:w="6804" w:type="dxa"/>
            <w:shd w:val="clear" w:color="auto" w:fill="auto"/>
          </w:tcPr>
          <w:p w:rsidR="00BB2D87" w:rsidRPr="001B271B" w:rsidRDefault="00BB2D87" w:rsidP="00961841">
            <w:pPr>
              <w:rPr>
                <w:rFonts w:ascii="Times New Roman" w:eastAsiaTheme="minorHAnsi" w:hAnsi="Times New Roman" w:cs="Times New Roman"/>
                <w:sz w:val="20"/>
                <w:szCs w:val="20"/>
                <w:u w:val="single"/>
                <w:lang w:eastAsia="en-US"/>
              </w:rPr>
            </w:pPr>
            <w:r w:rsidRPr="001B271B">
              <w:rPr>
                <w:rFonts w:ascii="Times New Roman" w:eastAsiaTheme="minorHAnsi" w:hAnsi="Times New Roman" w:cs="Times New Roman"/>
                <w:sz w:val="20"/>
                <w:szCs w:val="20"/>
                <w:u w:val="single"/>
                <w:lang w:eastAsia="en-US"/>
              </w:rPr>
              <w:t>Dementia (ICES cohort) definition:</w:t>
            </w:r>
          </w:p>
          <w:p w:rsidR="00BB2D87" w:rsidRPr="001B271B" w:rsidRDefault="00BB2D87" w:rsidP="00961841">
            <w:pPr>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1 hospitalization for dementia and/or 3 ambulatory visits for dementia, each separated by at least 30 days, within 2 years and/or 1 prescription from ODB.</w:t>
            </w:r>
            <w:r w:rsidRPr="001B271B">
              <w:rPr>
                <w:rFonts w:ascii="Times New Roman" w:eastAsiaTheme="minorHAnsi" w:hAnsi="Times New Roman" w:cs="Times New Roman"/>
                <w:sz w:val="20"/>
                <w:szCs w:val="20"/>
                <w:lang w:eastAsia="en-US"/>
              </w:rPr>
              <w:fldChar w:fldCharType="begin" w:fldLock="1"/>
            </w:r>
            <w:r>
              <w:rPr>
                <w:rFonts w:ascii="Times New Roman" w:eastAsiaTheme="minorHAnsi" w:hAnsi="Times New Roman" w:cs="Times New Roman"/>
                <w:sz w:val="20"/>
                <w:szCs w:val="20"/>
                <w:lang w:eastAsia="en-US"/>
              </w:rPr>
              <w:instrText>ADDIN CSL_CITATION { "citationItems" : [ { "id" : "ITEM-1", "itemData" : { "author" : [ { "dropping-particle" : "", "family" : "Jaakkimainen", "given" : "L", "non-dropping-particle" : "", "parse-names" : false, "suffix" : "" }, { "dropping-particle" : "", "family" : "Bronskill", "given" : "S E", "non-dropping-particle" : "", "parse-names" : false, "suffix" : "" }, { "dropping-particle" : "", "family" : "Tierney", "given" : "M C", "non-dropping-particle" : "", "parse-names" : false, "suffix" : "" }, { "dropping-particle" : "", "family" : "Herrmann", "given" : "N", "non-dropping-particle" : "", "parse-names" : false, "suffix" : "" }, { "dropping-particle" : "", "family" : "Green", "given" : "D", "non-dropping-particle" : "", "parse-names" : false, "suffix" : "" }, { "dropping-particle" : "", "family" : "Young", "given" : "J", "non-dropping-particle" : "", "parse-names" : false, "suffix" : "" }, { "dropping-particle" : "", "family" : "Ivers", "given" : "N", "non-dropping-particle" : "", "parse-names" : false, "suffix" : "" }, { "dropping-particle" : "", "family" : "Butt", "given" : "D", "non-dropping-particle" : "", "parse-names" : false, "suffix" : "" }, { "dropping-particle" : "", "family" : "Widdifield", "given" : "J", "non-dropping-particle" : "", "parse-names" : false, "suffix" : "" }, { "dropping-particle" : "", "family" : "Tu", "given" : "K", "non-dropping-particle" : "", "parse-names" : false, "suffix" : "" } ], "container-title" : "Journal of Alzheimer's Disease", "id" : "ITEM-1", "issue" : "1", "issued" : { "date-parts" : [ [ "2016" ] ] }, "page" : "337-349", "title" : "Identification of physician-diagnosied Alzheimer\u2019s disease and related dementias in population-based administrative data: A validation study using family physicians\u2019 electronic medical records", "type" : "article-journal", "volume" : "54" }, "uris" : [ "http://www.mendeley.com/documents/?uuid=27ea7adb-ee5d-4828-b52b-c96d8d6d7ef3" ] } ], "mendeley" : { "formattedCitation" : "&lt;sup&gt;21&lt;/sup&gt;", "plainTextFormattedCitation" : "21", "previouslyFormattedCitation" : "[22]" }, "properties" : { "noteIndex" : 0 }, "schema" : "https://github.com/citation-style-language/schema/raw/master/csl-citation.json" }</w:instrText>
            </w:r>
            <w:r w:rsidRPr="001B271B">
              <w:rPr>
                <w:rFonts w:ascii="Times New Roman" w:eastAsiaTheme="minorHAnsi" w:hAnsi="Times New Roman" w:cs="Times New Roman"/>
                <w:sz w:val="20"/>
                <w:szCs w:val="20"/>
                <w:lang w:eastAsia="en-US"/>
              </w:rPr>
              <w:fldChar w:fldCharType="separate"/>
            </w:r>
            <w:r w:rsidRPr="0013049B">
              <w:rPr>
                <w:rFonts w:ascii="Times New Roman" w:eastAsiaTheme="minorHAnsi" w:hAnsi="Times New Roman" w:cs="Times New Roman"/>
                <w:noProof/>
                <w:sz w:val="20"/>
                <w:szCs w:val="20"/>
                <w:vertAlign w:val="superscript"/>
                <w:lang w:eastAsia="en-US"/>
              </w:rPr>
              <w:t>21</w:t>
            </w:r>
            <w:r w:rsidRPr="001B271B">
              <w:rPr>
                <w:rFonts w:ascii="Times New Roman" w:eastAsiaTheme="minorHAnsi" w:hAnsi="Times New Roman" w:cs="Times New Roman"/>
                <w:sz w:val="20"/>
                <w:szCs w:val="20"/>
                <w:lang w:eastAsia="en-US"/>
              </w:rPr>
              <w:fldChar w:fldCharType="end"/>
            </w:r>
            <w:r w:rsidRPr="001B271B">
              <w:rPr>
                <w:rFonts w:ascii="Times New Roman" w:eastAsiaTheme="minorHAnsi" w:hAnsi="Times New Roman" w:cs="Times New Roman"/>
                <w:sz w:val="20"/>
                <w:szCs w:val="20"/>
                <w:lang w:eastAsia="en-US"/>
              </w:rPr>
              <w:t xml:space="preserve"> </w:t>
            </w:r>
          </w:p>
          <w:p w:rsidR="00BB2D87" w:rsidRPr="001B271B" w:rsidRDefault="00BB2D87" w:rsidP="00961841">
            <w:pPr>
              <w:contextualSpacing/>
              <w:rPr>
                <w:rFonts w:ascii="Times New Roman" w:eastAsiaTheme="minorHAnsi" w:hAnsi="Times New Roman" w:cs="Times New Roman"/>
                <w:sz w:val="20"/>
                <w:szCs w:val="20"/>
                <w:u w:val="single"/>
                <w:lang w:eastAsia="en-US"/>
              </w:rPr>
            </w:pPr>
          </w:p>
          <w:p w:rsidR="00BB2D87" w:rsidRPr="001B271B" w:rsidRDefault="00BB2D87" w:rsidP="00961841">
            <w:pPr>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OHIP: 290, 331</w:t>
            </w:r>
          </w:p>
          <w:p w:rsidR="00BB2D87" w:rsidRPr="001B271B" w:rsidRDefault="00BB2D87" w:rsidP="00961841">
            <w:pPr>
              <w:contextualSpacing/>
              <w:rPr>
                <w:rFonts w:ascii="Times New Roman" w:eastAsiaTheme="minorHAnsi" w:hAnsi="Times New Roman" w:cs="Times New Roman"/>
                <w:sz w:val="20"/>
                <w:szCs w:val="20"/>
                <w:lang w:eastAsia="en-US"/>
              </w:rPr>
            </w:pPr>
          </w:p>
          <w:p w:rsidR="00BB2D87" w:rsidRPr="001B271B" w:rsidRDefault="00BB2D87" w:rsidP="00961841">
            <w:pPr>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DAD, SDS:</w:t>
            </w:r>
          </w:p>
          <w:p w:rsidR="00BB2D87" w:rsidRPr="001B271B" w:rsidRDefault="00BB2D87" w:rsidP="00961841">
            <w:pPr>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ICD-9: 0461, 290</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0, 290</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1, 290</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2, 290</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3, 290</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4, 294, 331</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0, 331</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1, 331</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5</w:t>
            </w:r>
          </w:p>
          <w:p w:rsidR="00BB2D87" w:rsidRPr="001B271B" w:rsidRDefault="00BB2D87" w:rsidP="00961841">
            <w:pPr>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ICD-10: F00, F01, F02, F03, G30</w:t>
            </w:r>
          </w:p>
          <w:p w:rsidR="00BB2D87" w:rsidRPr="001B271B" w:rsidRDefault="00BB2D87" w:rsidP="00961841">
            <w:pPr>
              <w:contextualSpacing/>
              <w:rPr>
                <w:rFonts w:ascii="Times New Roman" w:eastAsiaTheme="minorHAnsi" w:hAnsi="Times New Roman" w:cs="Times New Roman"/>
                <w:sz w:val="20"/>
                <w:szCs w:val="20"/>
                <w:lang w:eastAsia="en-US"/>
              </w:rPr>
            </w:pPr>
          </w:p>
          <w:p w:rsidR="00BB2D87" w:rsidRPr="001B271B" w:rsidRDefault="00BB2D87" w:rsidP="00961841">
            <w:pPr>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ODB:</w:t>
            </w:r>
          </w:p>
          <w:p w:rsidR="00BB2D87" w:rsidRPr="001B271B" w:rsidRDefault="00BB2D87" w:rsidP="00961841">
            <w:pPr>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1 prescription for a cholinesterase inhibitor</w:t>
            </w:r>
          </w:p>
          <w:p w:rsidR="00BB2D87" w:rsidRPr="001B271B" w:rsidRDefault="00BB2D87" w:rsidP="00961841">
            <w:pPr>
              <w:rPr>
                <w:rFonts w:ascii="Times New Roman" w:eastAsiaTheme="minorHAnsi" w:hAnsi="Times New Roman" w:cs="Times New Roman"/>
                <w:sz w:val="20"/>
                <w:szCs w:val="20"/>
                <w:lang w:eastAsia="en-US"/>
              </w:rPr>
            </w:pPr>
          </w:p>
        </w:tc>
      </w:tr>
      <w:tr w:rsidR="006B0C57" w:rsidRPr="001B271B" w:rsidTr="00961841">
        <w:tc>
          <w:tcPr>
            <w:tcW w:w="2376" w:type="dxa"/>
            <w:shd w:val="clear" w:color="auto" w:fill="auto"/>
          </w:tcPr>
          <w:p w:rsidR="006B0C57" w:rsidRPr="001B271B" w:rsidRDefault="006B0C57" w:rsidP="006B0C57">
            <w:pPr>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Advanced liver disease (Cirrhosis or Decompensated Cirrhosis)</w:t>
            </w:r>
          </w:p>
        </w:tc>
        <w:tc>
          <w:tcPr>
            <w:tcW w:w="6804" w:type="dxa"/>
            <w:shd w:val="clear" w:color="auto" w:fill="auto"/>
          </w:tcPr>
          <w:p w:rsidR="006B0C57" w:rsidRPr="001B271B" w:rsidRDefault="006B0C57" w:rsidP="006B0C57">
            <w:pPr>
              <w:contextualSpacing/>
              <w:rPr>
                <w:rFonts w:ascii="Times New Roman" w:eastAsiaTheme="minorHAnsi" w:hAnsi="Times New Roman" w:cs="Times New Roman"/>
                <w:sz w:val="20"/>
                <w:szCs w:val="20"/>
                <w:lang w:eastAsia="en-US"/>
              </w:rPr>
            </w:pPr>
          </w:p>
          <w:p w:rsidR="006B0C57" w:rsidRPr="001B271B" w:rsidRDefault="006B0C57" w:rsidP="006B0C57">
            <w:pPr>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 xml:space="preserve">Defined using the Cirrhosis Algorithm 9 [from </w:t>
            </w:r>
            <w:r w:rsidRPr="001B271B">
              <w:rPr>
                <w:rFonts w:ascii="Times New Roman" w:eastAsiaTheme="minorHAnsi" w:hAnsi="Times New Roman" w:cs="Times New Roman"/>
                <w:sz w:val="20"/>
                <w:szCs w:val="20"/>
                <w:lang w:eastAsia="en-US"/>
              </w:rPr>
              <w:fldChar w:fldCharType="begin" w:fldLock="1"/>
            </w:r>
            <w:r>
              <w:rPr>
                <w:rFonts w:ascii="Times New Roman" w:eastAsiaTheme="minorHAnsi" w:hAnsi="Times New Roman" w:cs="Times New Roman"/>
                <w:sz w:val="20"/>
                <w:szCs w:val="20"/>
                <w:lang w:eastAsia="en-US"/>
              </w:rPr>
              <w:instrText>ADDIN CSL_CITATION { "citationItems" : [ { "id" : "ITEM-1", "itemData" : { "DOI" : "10.1371/journal.pone.0201120", "ISSN" : "1932-6203 (Electronic) 1932-6203 (Linking)", "author" : [ { "dropping-particle" : "", "family" : "Lapointe-Shaw", "given" : "L", "non-dropping-particle" : "", "parse-names" : false, "suffix" : "" }, { "dropping-particle" : "", "family" : "Georgie", "given" : "F", "non-dropping-particle" : "", "parse-names" : false, "suffix" : "" }, { "dropping-particle" : "", "family" : "Carlone", "given" : "D", "non-dropping-particle" : "", "parse-names" : false, "suffix" : "" }, { "dropping-particle" : "", "family" : "Cerocchi", "given" : "O", "non-dropping-particle" : "", "parse-names" : false, "suffix" : "" }, { "dropping-particle" : "", "family" : "Chung", "given" : "H", "non-dropping-particle" : "", "parse-names" : false, "suffix" : "" }, { "dropping-particle" : "", "family" : "Dewit", "given" : "Y", "non-dropping-particle" : "", "parse-names" : false, "suffix" : "" }, { "dropping-particle" : "", "family" : "Feld", "given" : "J J", "non-dropping-particle" : "", "parse-names" : false, "suffix" : "" }, { "dropping-particle" : "", "family" : "Holder", "given" : "L", "non-dropping-particle" : "", "parse-names" : false, "suffix" : "" }, { "dropping-particle" : "", "family" : "Kwong", "given" : "J C", "non-dropping-particle" : "", "parse-names" : false, "suffix" : "" }, { "dropping-particle" : "", "family" : "Sander", "given" : "B", "non-dropping-particle" : "", "parse-names" : false, "suffix" : "" }, { "dropping-particle" : "", "family" : "Flemming", "given" : "J A", "non-dropping-particle" : "", "parse-names" : false, "suffix" : "" } ], "container-title" : "PLoS One", "id" : "ITEM-1", "issue" : "8", "issued" : { "date-parts" : [ [ "2018" ] ] }, "page" : "e0201120", "title" : "Identifying cirrhosis, decompensated cirrhosis and hepatocellular carcinoma in health administrative data: A validation study", "type" : "article-journal", "volume" : "13" }, "uris" : [ "http://www.mendeley.com/documents/?uuid=dc4659dc-a140-42d0-8d91-814550992178" ] } ], "mendeley" : { "formattedCitation" : "&lt;sup&gt;20&lt;/sup&gt;", "plainTextFormattedCitation" : "20", "previouslyFormattedCitation" : "[21]" }, "properties" : { "noteIndex" : 0 }, "schema" : "https://github.com/citation-style-language/schema/raw/master/csl-citation.json" }</w:instrText>
            </w:r>
            <w:r w:rsidRPr="001B271B">
              <w:rPr>
                <w:rFonts w:ascii="Times New Roman" w:eastAsiaTheme="minorHAnsi" w:hAnsi="Times New Roman" w:cs="Times New Roman"/>
                <w:sz w:val="20"/>
                <w:szCs w:val="20"/>
                <w:lang w:eastAsia="en-US"/>
              </w:rPr>
              <w:fldChar w:fldCharType="separate"/>
            </w:r>
            <w:r w:rsidRPr="0013049B">
              <w:rPr>
                <w:rFonts w:ascii="Times New Roman" w:eastAsiaTheme="minorHAnsi" w:hAnsi="Times New Roman" w:cs="Times New Roman"/>
                <w:noProof/>
                <w:sz w:val="20"/>
                <w:szCs w:val="20"/>
                <w:vertAlign w:val="superscript"/>
                <w:lang w:eastAsia="en-US"/>
              </w:rPr>
              <w:t>20</w:t>
            </w:r>
            <w:r w:rsidRPr="001B271B">
              <w:rPr>
                <w:rFonts w:ascii="Times New Roman" w:eastAsiaTheme="minorHAnsi" w:hAnsi="Times New Roman" w:cs="Times New Roman"/>
                <w:sz w:val="20"/>
                <w:szCs w:val="20"/>
                <w:lang w:eastAsia="en-US"/>
              </w:rPr>
              <w:fldChar w:fldCharType="end"/>
            </w:r>
            <w:r w:rsidRPr="001B271B">
              <w:rPr>
                <w:rFonts w:ascii="Times New Roman" w:eastAsiaTheme="minorHAnsi" w:hAnsi="Times New Roman" w:cs="Times New Roman"/>
                <w:sz w:val="20"/>
                <w:szCs w:val="20"/>
                <w:lang w:eastAsia="en-US"/>
              </w:rPr>
              <w:fldChar w:fldCharType="begin">
                <w:fldData xml:space="preserve">PEVuZE5vdGU+PENpdGU+PEF1dGhvcj5MYXBvaW50ZS1TaGF3PC9BdXRob3I+PFllYXI+MjAxODwv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</w:fldData>
              </w:fldChar>
            </w:r>
            <w:r w:rsidRPr="001B271B">
              <w:rPr>
                <w:rFonts w:ascii="Times New Roman" w:eastAsiaTheme="minorHAnsi" w:hAnsi="Times New Roman" w:cs="Times New Roman"/>
                <w:sz w:val="20"/>
                <w:szCs w:val="20"/>
                <w:lang w:eastAsia="en-US"/>
              </w:rPr>
              <w:instrText xml:space="preserve"> ADDIN EN.CITE </w:instrText>
            </w:r>
            <w:r w:rsidRPr="001B271B">
              <w:rPr>
                <w:rFonts w:ascii="Times New Roman" w:eastAsiaTheme="minorHAnsi" w:hAnsi="Times New Roman" w:cs="Times New Roman"/>
                <w:sz w:val="20"/>
                <w:szCs w:val="20"/>
                <w:lang w:eastAsia="en-US"/>
              </w:rPr>
              <w:fldChar w:fldCharType="begin">
                <w:fldData xml:space="preserve">PEVuZE5vdGU+PENpdGU+PEF1dGhvcj5MYXBvaW50ZS1TaGF3PC9BdXRob3I+PFllYXI+MjAxODwv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</w:fldData>
              </w:fldChar>
            </w:r>
            <w:r w:rsidRPr="001B271B">
              <w:rPr>
                <w:rFonts w:ascii="Times New Roman" w:eastAsiaTheme="minorHAnsi" w:hAnsi="Times New Roman" w:cs="Times New Roman"/>
                <w:sz w:val="20"/>
                <w:szCs w:val="20"/>
                <w:lang w:eastAsia="en-US"/>
              </w:rPr>
              <w:instrText xml:space="preserve"> ADDIN EN.CITE.DATA </w:instrText>
            </w:r>
            <w:r w:rsidRPr="001B271B">
              <w:rPr>
                <w:rFonts w:ascii="Times New Roman" w:eastAsiaTheme="minorHAnsi" w:hAnsi="Times New Roman" w:cs="Times New Roman"/>
                <w:sz w:val="20"/>
                <w:szCs w:val="20"/>
                <w:lang w:eastAsia="en-US"/>
              </w:rPr>
            </w:r>
            <w:r w:rsidRPr="001B271B">
              <w:rPr>
                <w:rFonts w:ascii="Times New Roman" w:eastAsiaTheme="minorHAnsi" w:hAnsi="Times New Roman" w:cs="Times New Roman"/>
                <w:sz w:val="20"/>
                <w:szCs w:val="20"/>
                <w:lang w:eastAsia="en-US"/>
              </w:rPr>
              <w:fldChar w:fldCharType="end"/>
            </w:r>
            <w:r w:rsidRPr="001B271B">
              <w:rPr>
                <w:rFonts w:ascii="Times New Roman" w:eastAsiaTheme="minorHAnsi" w:hAnsi="Times New Roman" w:cs="Times New Roman"/>
                <w:sz w:val="20"/>
                <w:szCs w:val="20"/>
                <w:lang w:eastAsia="en-US"/>
              </w:rPr>
            </w:r>
            <w:r w:rsidRPr="001B271B">
              <w:rPr>
                <w:rFonts w:ascii="Times New Roman" w:eastAsiaTheme="minorHAnsi" w:hAnsi="Times New Roman" w:cs="Times New Roman"/>
                <w:sz w:val="20"/>
                <w:szCs w:val="20"/>
                <w:lang w:eastAsia="en-US"/>
              </w:rPr>
              <w:fldChar w:fldCharType="end"/>
            </w:r>
            <w:r w:rsidRPr="001B271B">
              <w:rPr>
                <w:rFonts w:ascii="Times New Roman" w:eastAsiaTheme="minorHAnsi" w:hAnsi="Times New Roman" w:cs="Times New Roman"/>
                <w:sz w:val="20"/>
                <w:szCs w:val="20"/>
                <w:lang w:eastAsia="en-US"/>
              </w:rPr>
              <w:t>]:</w:t>
            </w:r>
          </w:p>
          <w:p w:rsidR="006B0C57" w:rsidRPr="001B271B" w:rsidRDefault="006B0C57" w:rsidP="006B0C57">
            <w:pPr>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 xml:space="preserve">Two or more physician visits (diagnosis code 571), </w:t>
            </w:r>
            <w:r w:rsidRPr="001B271B">
              <w:rPr>
                <w:rFonts w:ascii="Times New Roman" w:eastAsiaTheme="minorHAnsi" w:hAnsi="Times New Roman" w:cs="Times New Roman"/>
                <w:bCs/>
                <w:sz w:val="20"/>
                <w:szCs w:val="20"/>
                <w:lang w:eastAsia="en-US"/>
              </w:rPr>
              <w:t>or</w:t>
            </w:r>
          </w:p>
          <w:p w:rsidR="006B0C57" w:rsidRPr="001B271B" w:rsidRDefault="006B0C57" w:rsidP="006B0C57">
            <w:pPr>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one or more hospital diagnosis of cirrhosis, using the following diagnostic codes:</w:t>
            </w:r>
          </w:p>
          <w:p w:rsidR="006B0C57" w:rsidRPr="001B271B" w:rsidRDefault="006B0C57" w:rsidP="006B0C57">
            <w:pPr>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ICD-9 : 456</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1, 571</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2, 571</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5</w:t>
            </w:r>
          </w:p>
          <w:p w:rsidR="006B0C57" w:rsidRPr="001B271B" w:rsidRDefault="006B0C57" w:rsidP="006B0C57">
            <w:pPr>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ICD-10: I85</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9, I98</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2, K70</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3,K71</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7, K74</w:t>
            </w:r>
            <w:r w:rsidRPr="001B271B">
              <w:rPr>
                <w:rFonts w:ascii="Times New Roman" w:eastAsiaTheme="minorHAnsi" w:hAnsi="Times New Roman" w:cs="Times New Roman"/>
                <w:color w:val="000000"/>
                <w:sz w:val="20"/>
                <w:szCs w:val="20"/>
                <w:lang w:val="en-US" w:eastAsia="en-US"/>
              </w:rPr>
              <w:t>.</w:t>
            </w:r>
            <w:r w:rsidRPr="001B271B">
              <w:rPr>
                <w:rFonts w:ascii="Times New Roman" w:eastAsiaTheme="minorHAnsi" w:hAnsi="Times New Roman" w:cs="Times New Roman"/>
                <w:sz w:val="20"/>
                <w:szCs w:val="20"/>
                <w:lang w:eastAsia="en-US"/>
              </w:rPr>
              <w:t>6</w:t>
            </w:r>
          </w:p>
          <w:p w:rsidR="006B0C57" w:rsidRPr="001B271B" w:rsidRDefault="006B0C57" w:rsidP="006B0C57">
            <w:pPr>
              <w:contextualSpacing/>
              <w:rPr>
                <w:rFonts w:ascii="Times New Roman" w:eastAsiaTheme="minorHAnsi" w:hAnsi="Times New Roman" w:cs="Times New Roman"/>
                <w:sz w:val="20"/>
                <w:szCs w:val="20"/>
                <w:lang w:eastAsia="en-US"/>
              </w:rPr>
            </w:pPr>
          </w:p>
          <w:p w:rsidR="006B0C57" w:rsidRPr="001B271B" w:rsidRDefault="006B0C57" w:rsidP="006B0C57">
            <w:pPr>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 xml:space="preserve">Defined using the Decompensated Cirrhosis Algorithm 5 (from </w:t>
            </w:r>
            <w:r w:rsidRPr="001B271B">
              <w:rPr>
                <w:rFonts w:ascii="Times New Roman" w:eastAsiaTheme="minorHAnsi" w:hAnsi="Times New Roman" w:cs="Times New Roman"/>
                <w:sz w:val="20"/>
                <w:szCs w:val="20"/>
                <w:lang w:eastAsia="en-US"/>
              </w:rPr>
              <w:fldChar w:fldCharType="begin" w:fldLock="1"/>
            </w:r>
            <w:r>
              <w:rPr>
                <w:rFonts w:ascii="Times New Roman" w:eastAsiaTheme="minorHAnsi" w:hAnsi="Times New Roman" w:cs="Times New Roman"/>
                <w:sz w:val="20"/>
                <w:szCs w:val="20"/>
                <w:lang w:eastAsia="en-US"/>
              </w:rPr>
              <w:instrText>ADDIN CSL_CITATION { "citationItems" : [ { "id" : "ITEM-1", "itemData" : { "DOI" : "10.1371/journal.pone.0201120", "ISSN" : "1932-6203 (Electronic) 1932-6203 (Linking)", "author" : [ { "dropping-particle" : "", "family" : "Lapointe-Shaw", "given" : "L", "non-dropping-particle" : "", "parse-names" : false, "suffix" : "" }, { "dropping-particle" : "", "family" : "Georgie", "given" : "F", "non-dropping-particle" : "", "parse-names" : false, "suffix" : "" }, { "dropping-particle" : "", "family" : "Carlone", "given" : "D", "non-dropping-particle" : "", "parse-names" : false, "suffix" : "" }, { "dropping-particle" : "", "family" : "Cerocchi", "given" : "O", "non-dropping-particle" : "", "parse-names" : false, "suffix" : "" }, { "dropping-particle" : "", "family" : "Chung", "given" : "H", "non-dropping-particle" : "", "parse-names" : false, "suffix" : "" }, { "dropping-particle" : "", "family" : "Dewit", "given" : "Y", "non-dropping-particle" : "", "parse-names" : false, "suffix" : "" }, { "dropping-particle" : "", "family" : "Feld", "given" : "J J", "non-dropping-particle" : "", "parse-names" : false, "suffix" : "" }, { "dropping-particle" : "", "family" : "Holder", "given" : "L", "non-dropping-particle" : "", "parse-names" : false, "suffix" : "" }, { "dropping-particle" : "", "family" : "Kwong", "given" : "J C", "non-dropping-particle" : "", "parse-names" : false, "suffix" : "" }, { "dropping-particle" : "", "family" : "Sander", "given" : "B", "non-dropping-particle" : "", "parse-names" : false, "suffix" : "" }, { "dropping-particle" : "", "family" : "Flemming", "given" : "J A", "non-dropping-particle" : "", "parse-names" : false, "suffix" : "" } ], "container-title" : "PLoS One", "id" : "ITEM-1", "issue" : "8", "issued" : { "date-parts" : [ [ "2018" ] ] }, "page" : "e0201120", "title" : "Identifying cirrhosis, decompensated cirrhosis and hepatocellular carcinoma in health administrative data: A validation study", "type" : "article-journal", "volume" : "13" }, "uris" : [ "http://www.mendeley.com/documents/?uuid=dc4659dc-a140-42d0-8d91-814550992178" ] } ], "mendeley" : { "formattedCitation" : "&lt;sup&gt;20&lt;/sup&gt;", "plainTextFormattedCitation" : "20", "previouslyFormattedCitation" : "[21]" }, "properties" : { "noteIndex" : 0 }, "schema" : "https://github.com/citation-style-language/schema/raw/master/csl-citation.json" }</w:instrText>
            </w:r>
            <w:r w:rsidRPr="001B271B">
              <w:rPr>
                <w:rFonts w:ascii="Times New Roman" w:eastAsiaTheme="minorHAnsi" w:hAnsi="Times New Roman" w:cs="Times New Roman"/>
                <w:sz w:val="20"/>
                <w:szCs w:val="20"/>
                <w:lang w:eastAsia="en-US"/>
              </w:rPr>
              <w:fldChar w:fldCharType="separate"/>
            </w:r>
            <w:r w:rsidRPr="0013049B">
              <w:rPr>
                <w:rFonts w:ascii="Times New Roman" w:eastAsiaTheme="minorHAnsi" w:hAnsi="Times New Roman" w:cs="Times New Roman"/>
                <w:noProof/>
                <w:sz w:val="20"/>
                <w:szCs w:val="20"/>
                <w:vertAlign w:val="superscript"/>
                <w:lang w:eastAsia="en-US"/>
              </w:rPr>
              <w:t>20</w:t>
            </w:r>
            <w:r w:rsidRPr="001B271B">
              <w:rPr>
                <w:rFonts w:ascii="Times New Roman" w:eastAsiaTheme="minorHAnsi" w:hAnsi="Times New Roman" w:cs="Times New Roman"/>
                <w:sz w:val="20"/>
                <w:szCs w:val="20"/>
                <w:lang w:eastAsia="en-US"/>
              </w:rPr>
              <w:fldChar w:fldCharType="end"/>
            </w:r>
            <w:r w:rsidRPr="001B271B">
              <w:rPr>
                <w:rFonts w:ascii="Times New Roman" w:eastAsiaTheme="minorHAnsi" w:hAnsi="Times New Roman" w:cs="Times New Roman"/>
                <w:sz w:val="20"/>
                <w:szCs w:val="20"/>
                <w:lang w:eastAsia="en-US"/>
              </w:rPr>
              <w:t>):</w:t>
            </w:r>
          </w:p>
          <w:p w:rsidR="006B0C57" w:rsidRPr="001B271B" w:rsidRDefault="006B0C57" w:rsidP="006B0C57">
            <w:pPr>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One or more physician visits with diagnosis code 571 and (one or more hospital diagnosis or one or more procedure), using the following diagnostic codes:</w:t>
            </w:r>
          </w:p>
          <w:p w:rsidR="006B0C57" w:rsidRPr="001B271B" w:rsidRDefault="006B0C57" w:rsidP="006B0C57">
            <w:pPr>
              <w:contextualSpacing/>
              <w:rPr>
                <w:rFonts w:ascii="Times New Roman" w:eastAsiaTheme="minorHAnsi" w:hAnsi="Times New Roman" w:cs="Times New Roman"/>
                <w:sz w:val="20"/>
                <w:szCs w:val="20"/>
                <w:lang w:eastAsia="en-US"/>
              </w:rPr>
            </w:pPr>
          </w:p>
          <w:p w:rsidR="006B0C57" w:rsidRPr="001B271B" w:rsidRDefault="006B0C57" w:rsidP="006B0C57">
            <w:pPr>
              <w:contextualSpacing/>
              <w:rPr>
                <w:rFonts w:ascii="Times New Roman" w:eastAsiaTheme="minorHAnsi" w:hAnsi="Times New Roman" w:cs="Times New Roman"/>
                <w:sz w:val="20"/>
                <w:szCs w:val="20"/>
                <w:lang w:val="pl-PL" w:eastAsia="en-US"/>
              </w:rPr>
            </w:pPr>
            <w:r w:rsidRPr="001B271B">
              <w:rPr>
                <w:rFonts w:ascii="Times New Roman" w:eastAsiaTheme="minorHAnsi" w:hAnsi="Times New Roman" w:cs="Times New Roman"/>
                <w:sz w:val="20"/>
                <w:szCs w:val="20"/>
                <w:lang w:val="pl-PL" w:eastAsia="en-US"/>
              </w:rPr>
              <w:t>ICD-9: 456</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0, 456</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2, 572</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2, 572</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3, 572</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4, 782</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4, 789</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5l; ICD-10: I85</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0, I86</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4, I98</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20, I98</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3, K721, K729, K76</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6, K76</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7, R17, R18</w:t>
            </w:r>
          </w:p>
          <w:p w:rsidR="006B0C57" w:rsidRPr="001B271B" w:rsidRDefault="006B0C57" w:rsidP="006B0C57">
            <w:pPr>
              <w:contextualSpacing/>
              <w:rPr>
                <w:rFonts w:ascii="Times New Roman" w:eastAsiaTheme="minorHAnsi" w:hAnsi="Times New Roman" w:cs="Times New Roman"/>
                <w:sz w:val="20"/>
                <w:szCs w:val="20"/>
                <w:lang w:val="pl-PL" w:eastAsia="en-US"/>
              </w:rPr>
            </w:pPr>
          </w:p>
          <w:p w:rsidR="006B0C57" w:rsidRPr="001B271B" w:rsidRDefault="006B0C57" w:rsidP="006B0C57">
            <w:pPr>
              <w:contextualSpacing/>
              <w:rPr>
                <w:rFonts w:ascii="Times New Roman" w:eastAsiaTheme="minorHAnsi" w:hAnsi="Times New Roman" w:cs="Times New Roman"/>
                <w:sz w:val="20"/>
                <w:szCs w:val="20"/>
                <w:lang w:val="pl-PL" w:eastAsia="en-US"/>
              </w:rPr>
            </w:pPr>
            <w:r w:rsidRPr="001B271B">
              <w:rPr>
                <w:rFonts w:ascii="Times New Roman" w:eastAsiaTheme="minorHAnsi" w:hAnsi="Times New Roman" w:cs="Times New Roman"/>
                <w:sz w:val="20"/>
                <w:szCs w:val="20"/>
                <w:lang w:val="pl-PL" w:eastAsia="en-US"/>
              </w:rPr>
              <w:t>CCI: 1</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NA</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13</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BA-FA, 1</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NA</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13</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BA-X7, 1</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NA</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13</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BA-BD, 1</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KQ</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76GP-NR, 1</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OT</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52</w:t>
            </w:r>
            <w:r w:rsidRPr="001B271B">
              <w:rPr>
                <w:rFonts w:ascii="Times New Roman" w:eastAsiaTheme="minorHAnsi" w:hAnsi="Times New Roman" w:cs="Times New Roman"/>
                <w:color w:val="000000"/>
                <w:sz w:val="20"/>
                <w:szCs w:val="20"/>
                <w:lang w:val="pl-PL" w:eastAsia="en-US"/>
              </w:rPr>
              <w:t>.</w:t>
            </w:r>
            <w:r w:rsidRPr="001B271B">
              <w:rPr>
                <w:rFonts w:ascii="Times New Roman" w:eastAsiaTheme="minorHAnsi" w:hAnsi="Times New Roman" w:cs="Times New Roman"/>
                <w:sz w:val="20"/>
                <w:szCs w:val="20"/>
                <w:lang w:val="pl-PL" w:eastAsia="en-US"/>
              </w:rPr>
              <w:t>HA</w:t>
            </w:r>
          </w:p>
          <w:p w:rsidR="006B0C57" w:rsidRPr="001B271B" w:rsidRDefault="006B0C57" w:rsidP="006B0C57">
            <w:pPr>
              <w:contextualSpacing/>
              <w:rPr>
                <w:rFonts w:ascii="Times New Roman" w:eastAsiaTheme="minorHAnsi" w:hAnsi="Times New Roman" w:cs="Times New Roman"/>
                <w:sz w:val="20"/>
                <w:szCs w:val="20"/>
                <w:lang w:val="pl-PL" w:eastAsia="en-US"/>
              </w:rPr>
            </w:pPr>
          </w:p>
          <w:p w:rsidR="006B0C57" w:rsidRPr="001B271B" w:rsidRDefault="006B0C57" w:rsidP="006B0C57">
            <w:pPr>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CCP: 1006, 6691</w:t>
            </w:r>
          </w:p>
          <w:p w:rsidR="006B0C57" w:rsidRPr="001B271B" w:rsidRDefault="006B0C57" w:rsidP="006B0C57">
            <w:pPr>
              <w:contextualSpacing/>
              <w:rPr>
                <w:rFonts w:ascii="Times New Roman" w:eastAsiaTheme="minorHAnsi" w:hAnsi="Times New Roman" w:cs="Times New Roman"/>
                <w:sz w:val="20"/>
                <w:szCs w:val="20"/>
                <w:u w:val="single"/>
                <w:lang w:eastAsia="en-US"/>
              </w:rPr>
            </w:pPr>
          </w:p>
          <w:p w:rsidR="006B0C57" w:rsidRPr="001B271B" w:rsidRDefault="006B0C57" w:rsidP="006B0C57">
            <w:pPr>
              <w:contextualSpacing/>
              <w:rPr>
                <w:rFonts w:ascii="Times New Roman" w:eastAsiaTheme="minorHAnsi" w:hAnsi="Times New Roman" w:cs="Times New Roman"/>
                <w:sz w:val="20"/>
                <w:szCs w:val="20"/>
                <w:lang w:eastAsia="en-US"/>
              </w:rPr>
            </w:pPr>
            <w:r w:rsidRPr="001B271B">
              <w:rPr>
                <w:rFonts w:ascii="Times New Roman" w:eastAsiaTheme="minorHAnsi" w:hAnsi="Times New Roman" w:cs="Times New Roman"/>
                <w:sz w:val="20"/>
                <w:szCs w:val="20"/>
                <w:lang w:eastAsia="en-US"/>
              </w:rPr>
              <w:t>OHIP: J057, Z591</w:t>
            </w:r>
          </w:p>
          <w:p w:rsidR="006B0C57" w:rsidRPr="001B271B" w:rsidRDefault="006B0C57" w:rsidP="006B0C57">
            <w:pPr>
              <w:contextualSpacing/>
              <w:rPr>
                <w:rFonts w:ascii="Times New Roman" w:eastAsiaTheme="minorHAnsi" w:hAnsi="Times New Roman" w:cs="Times New Roman"/>
                <w:sz w:val="20"/>
                <w:szCs w:val="20"/>
                <w:lang w:eastAsia="en-US"/>
              </w:rPr>
            </w:pPr>
          </w:p>
        </w:tc>
      </w:tr>
    </w:tbl>
    <w:p w:rsidR="00BB2D87" w:rsidRDefault="00BB2D87">
      <w:pPr>
        <w:rPr>
          <w:lang w:val="en-US"/>
        </w:rPr>
      </w:pPr>
    </w:p>
    <w:p w:rsidR="003C65F1" w:rsidRDefault="003C65F1">
      <w:pPr>
        <w:spacing w:after="160" w:line="259" w:lineRule="auto"/>
        <w:rPr>
          <w:lang w:val="en-US"/>
        </w:rPr>
      </w:pPr>
      <w:r>
        <w:rPr>
          <w:lang w:val="en-US"/>
        </w:rPr>
        <w:br w:type="page"/>
      </w:r>
    </w:p>
    <w:p w:rsidR="00F20549" w:rsidRDefault="003C65F1">
      <w:pPr>
        <w:rPr>
          <w:lang w:val="en-US"/>
        </w:rPr>
      </w:pPr>
      <w:r>
        <w:rPr>
          <w:lang w:val="en-US"/>
        </w:rPr>
        <w:lastRenderedPageBreak/>
        <w:t xml:space="preserve">Table S2: Ontario Ministry of Health criteria for </w:t>
      </w:r>
      <w:proofErr w:type="spellStart"/>
      <w:r>
        <w:rPr>
          <w:lang w:val="en-US"/>
        </w:rPr>
        <w:t>nirmatrelvir</w:t>
      </w:r>
      <w:proofErr w:type="spellEnd"/>
      <w:r>
        <w:rPr>
          <w:lang w:val="en-US"/>
        </w:rPr>
        <w:t>/ritonavir</w:t>
      </w:r>
    </w:p>
    <w:tbl>
      <w:tblPr>
        <w:tblStyle w:val="TableGrid"/>
        <w:tblW w:w="0" w:type="auto"/>
        <w:tblLook w:val="04A0" w:firstRow="1" w:lastRow="0" w:firstColumn="1" w:lastColumn="0" w:noHBand="0" w:noVBand="1"/>
      </w:tblPr>
      <w:tblGrid>
        <w:gridCol w:w="9350"/>
      </w:tblGrid>
      <w:tr w:rsidR="003C65F1" w:rsidTr="003C65F1">
        <w:tc>
          <w:tcPr>
            <w:tcW w:w="9350" w:type="dxa"/>
          </w:tcPr>
          <w:p w:rsidR="003C65F1" w:rsidRPr="003C65F1" w:rsidRDefault="003C65F1" w:rsidP="003C65F1">
            <w:pPr>
              <w:numPr>
                <w:ilvl w:val="0"/>
                <w:numId w:val="9"/>
              </w:numPr>
              <w:shd w:val="clear" w:color="auto" w:fill="FFFFFF"/>
              <w:spacing w:before="100" w:beforeAutospacing="1" w:after="100" w:afterAutospacing="1"/>
              <w:rPr>
                <w:rFonts w:ascii="Helvetica" w:eastAsia="Times New Roman" w:hAnsi="Helvetica" w:cs="Helvetica"/>
                <w:color w:val="1A1A1A"/>
                <w:lang w:eastAsia="en-CA"/>
              </w:rPr>
            </w:pPr>
            <w:r>
              <w:rPr>
                <w:rFonts w:ascii="Helvetica" w:eastAsia="Times New Roman" w:hAnsi="Helvetica" w:cs="Helvetica"/>
                <w:color w:val="1A1A1A"/>
                <w:lang w:eastAsia="en-CA"/>
              </w:rPr>
              <w:t>I</w:t>
            </w:r>
            <w:r w:rsidRPr="003C65F1">
              <w:rPr>
                <w:rFonts w:ascii="Helvetica" w:eastAsia="Times New Roman" w:hAnsi="Helvetica" w:cs="Helvetica"/>
                <w:color w:val="1A1A1A"/>
                <w:lang w:eastAsia="en-CA"/>
              </w:rPr>
              <w:t>mmunocompromised (have an immune system that is weakened by a health condition or medications)</w:t>
            </w:r>
          </w:p>
          <w:p w:rsidR="003C65F1" w:rsidRPr="003C65F1" w:rsidRDefault="003C65F1" w:rsidP="003C65F1">
            <w:pPr>
              <w:numPr>
                <w:ilvl w:val="0"/>
                <w:numId w:val="9"/>
              </w:numPr>
              <w:shd w:val="clear" w:color="auto" w:fill="FFFFFF"/>
              <w:spacing w:before="100" w:beforeAutospacing="1" w:after="100" w:afterAutospacing="1"/>
              <w:rPr>
                <w:rFonts w:ascii="Helvetica" w:eastAsia="Times New Roman" w:hAnsi="Helvetica" w:cs="Helvetica"/>
                <w:color w:val="1A1A1A"/>
                <w:lang w:eastAsia="en-CA"/>
              </w:rPr>
            </w:pPr>
            <w:r w:rsidRPr="003C65F1">
              <w:rPr>
                <w:rFonts w:ascii="Helvetica" w:eastAsia="Times New Roman" w:hAnsi="Helvetica" w:cs="Helvetica"/>
                <w:color w:val="1A1A1A"/>
                <w:lang w:eastAsia="en-CA"/>
              </w:rPr>
              <w:t>70 and older</w:t>
            </w:r>
          </w:p>
          <w:p w:rsidR="003C65F1" w:rsidRPr="003C65F1" w:rsidRDefault="003C65F1" w:rsidP="003C65F1">
            <w:pPr>
              <w:numPr>
                <w:ilvl w:val="0"/>
                <w:numId w:val="9"/>
              </w:numPr>
              <w:shd w:val="clear" w:color="auto" w:fill="FFFFFF"/>
              <w:spacing w:before="100" w:beforeAutospacing="1" w:after="100" w:afterAutospacing="1"/>
              <w:rPr>
                <w:rFonts w:ascii="Helvetica" w:eastAsia="Times New Roman" w:hAnsi="Helvetica" w:cs="Helvetica"/>
                <w:color w:val="1A1A1A"/>
                <w:lang w:eastAsia="en-CA"/>
              </w:rPr>
            </w:pPr>
            <w:r w:rsidRPr="003C65F1">
              <w:rPr>
                <w:rFonts w:ascii="Helvetica" w:eastAsia="Times New Roman" w:hAnsi="Helvetica" w:cs="Helvetica"/>
                <w:color w:val="1A1A1A"/>
                <w:lang w:eastAsia="en-CA"/>
              </w:rPr>
              <w:t>60 and older with less than three vaccine doses</w:t>
            </w:r>
          </w:p>
          <w:p w:rsidR="003C65F1" w:rsidRPr="003C65F1" w:rsidRDefault="003C65F1" w:rsidP="003C65F1">
            <w:pPr>
              <w:numPr>
                <w:ilvl w:val="0"/>
                <w:numId w:val="9"/>
              </w:numPr>
              <w:shd w:val="clear" w:color="auto" w:fill="FFFFFF"/>
              <w:spacing w:before="100" w:beforeAutospacing="1" w:after="100" w:afterAutospacing="1"/>
              <w:rPr>
                <w:rFonts w:ascii="Helvetica" w:eastAsia="Times New Roman" w:hAnsi="Helvetica" w:cs="Helvetica"/>
                <w:color w:val="1A1A1A"/>
                <w:lang w:eastAsia="en-CA"/>
              </w:rPr>
            </w:pPr>
            <w:r w:rsidRPr="003C65F1">
              <w:rPr>
                <w:rFonts w:ascii="Helvetica" w:eastAsia="Times New Roman" w:hAnsi="Helvetica" w:cs="Helvetica"/>
                <w:color w:val="1A1A1A"/>
                <w:lang w:eastAsia="en-CA"/>
              </w:rPr>
              <w:t>18 and older with less than three vaccine doses and at least one of the following risk conditions:</w:t>
            </w:r>
          </w:p>
          <w:p w:rsidR="003C65F1" w:rsidRPr="003C65F1" w:rsidRDefault="003C65F1" w:rsidP="003C65F1">
            <w:pPr>
              <w:numPr>
                <w:ilvl w:val="1"/>
                <w:numId w:val="9"/>
              </w:numPr>
              <w:shd w:val="clear" w:color="auto" w:fill="FFFFFF"/>
              <w:spacing w:before="100" w:beforeAutospacing="1" w:after="100" w:afterAutospacing="1"/>
              <w:rPr>
                <w:rFonts w:ascii="Helvetica" w:eastAsia="Times New Roman" w:hAnsi="Helvetica" w:cs="Helvetica"/>
                <w:color w:val="1A1A1A"/>
                <w:lang w:eastAsia="en-CA"/>
              </w:rPr>
            </w:pPr>
            <w:r w:rsidRPr="003C65F1">
              <w:rPr>
                <w:rFonts w:ascii="Helvetica" w:eastAsia="Times New Roman" w:hAnsi="Helvetica" w:cs="Helvetica"/>
                <w:color w:val="1A1A1A"/>
                <w:lang w:eastAsia="en-CA"/>
              </w:rPr>
              <w:t>obesity</w:t>
            </w:r>
          </w:p>
          <w:p w:rsidR="003C65F1" w:rsidRPr="003C65F1" w:rsidRDefault="003C65F1" w:rsidP="003C65F1">
            <w:pPr>
              <w:numPr>
                <w:ilvl w:val="1"/>
                <w:numId w:val="9"/>
              </w:numPr>
              <w:shd w:val="clear" w:color="auto" w:fill="FFFFFF"/>
              <w:spacing w:before="100" w:beforeAutospacing="1" w:after="100" w:afterAutospacing="1"/>
              <w:rPr>
                <w:rFonts w:ascii="Helvetica" w:eastAsia="Times New Roman" w:hAnsi="Helvetica" w:cs="Helvetica"/>
                <w:color w:val="1A1A1A"/>
                <w:lang w:eastAsia="en-CA"/>
              </w:rPr>
            </w:pPr>
            <w:r w:rsidRPr="003C65F1">
              <w:rPr>
                <w:rFonts w:ascii="Helvetica" w:eastAsia="Times New Roman" w:hAnsi="Helvetica" w:cs="Helvetica"/>
                <w:color w:val="1A1A1A"/>
                <w:lang w:eastAsia="en-CA"/>
              </w:rPr>
              <w:t>diabetes</w:t>
            </w:r>
          </w:p>
          <w:p w:rsidR="003C65F1" w:rsidRPr="003C65F1" w:rsidRDefault="003C65F1" w:rsidP="003C65F1">
            <w:pPr>
              <w:numPr>
                <w:ilvl w:val="1"/>
                <w:numId w:val="9"/>
              </w:numPr>
              <w:shd w:val="clear" w:color="auto" w:fill="FFFFFF"/>
              <w:spacing w:before="100" w:beforeAutospacing="1" w:after="100" w:afterAutospacing="1"/>
              <w:rPr>
                <w:rFonts w:ascii="Helvetica" w:eastAsia="Times New Roman" w:hAnsi="Helvetica" w:cs="Helvetica"/>
                <w:color w:val="1A1A1A"/>
                <w:lang w:eastAsia="en-CA"/>
              </w:rPr>
            </w:pPr>
            <w:r w:rsidRPr="003C65F1">
              <w:rPr>
                <w:rFonts w:ascii="Helvetica" w:eastAsia="Times New Roman" w:hAnsi="Helvetica" w:cs="Helvetica"/>
                <w:color w:val="1A1A1A"/>
                <w:lang w:eastAsia="en-CA"/>
              </w:rPr>
              <w:t>heart disease</w:t>
            </w:r>
          </w:p>
          <w:p w:rsidR="003C65F1" w:rsidRPr="003C65F1" w:rsidRDefault="003C65F1" w:rsidP="003C65F1">
            <w:pPr>
              <w:numPr>
                <w:ilvl w:val="1"/>
                <w:numId w:val="9"/>
              </w:numPr>
              <w:shd w:val="clear" w:color="auto" w:fill="FFFFFF"/>
              <w:spacing w:before="100" w:beforeAutospacing="1" w:after="100" w:afterAutospacing="1"/>
              <w:rPr>
                <w:rFonts w:ascii="Helvetica" w:eastAsia="Times New Roman" w:hAnsi="Helvetica" w:cs="Helvetica"/>
                <w:color w:val="1A1A1A"/>
                <w:lang w:eastAsia="en-CA"/>
              </w:rPr>
            </w:pPr>
            <w:r w:rsidRPr="003C65F1">
              <w:rPr>
                <w:rFonts w:ascii="Helvetica" w:eastAsia="Times New Roman" w:hAnsi="Helvetica" w:cs="Helvetica"/>
                <w:color w:val="1A1A1A"/>
                <w:lang w:eastAsia="en-CA"/>
              </w:rPr>
              <w:t>hypertension</w:t>
            </w:r>
          </w:p>
          <w:p w:rsidR="003C65F1" w:rsidRPr="003C65F1" w:rsidRDefault="003C65F1" w:rsidP="003C65F1">
            <w:pPr>
              <w:numPr>
                <w:ilvl w:val="1"/>
                <w:numId w:val="9"/>
              </w:numPr>
              <w:shd w:val="clear" w:color="auto" w:fill="FFFFFF"/>
              <w:spacing w:before="100" w:beforeAutospacing="1" w:after="100" w:afterAutospacing="1"/>
              <w:rPr>
                <w:rFonts w:ascii="Helvetica" w:eastAsia="Times New Roman" w:hAnsi="Helvetica" w:cs="Helvetica"/>
                <w:color w:val="1A1A1A"/>
                <w:lang w:eastAsia="en-CA"/>
              </w:rPr>
            </w:pPr>
            <w:r w:rsidRPr="003C65F1">
              <w:rPr>
                <w:rFonts w:ascii="Helvetica" w:eastAsia="Times New Roman" w:hAnsi="Helvetica" w:cs="Helvetica"/>
                <w:color w:val="1A1A1A"/>
                <w:lang w:eastAsia="en-CA"/>
              </w:rPr>
              <w:t>congestive heart failure</w:t>
            </w:r>
          </w:p>
          <w:p w:rsidR="003C65F1" w:rsidRPr="003C65F1" w:rsidRDefault="003C65F1" w:rsidP="003C65F1">
            <w:pPr>
              <w:numPr>
                <w:ilvl w:val="1"/>
                <w:numId w:val="9"/>
              </w:numPr>
              <w:shd w:val="clear" w:color="auto" w:fill="FFFFFF"/>
              <w:spacing w:before="100" w:beforeAutospacing="1" w:after="100" w:afterAutospacing="1"/>
              <w:rPr>
                <w:rFonts w:ascii="Helvetica" w:eastAsia="Times New Roman" w:hAnsi="Helvetica" w:cs="Helvetica"/>
                <w:color w:val="1A1A1A"/>
                <w:lang w:eastAsia="en-CA"/>
              </w:rPr>
            </w:pPr>
            <w:r w:rsidRPr="003C65F1">
              <w:rPr>
                <w:rFonts w:ascii="Helvetica" w:eastAsia="Times New Roman" w:hAnsi="Helvetica" w:cs="Helvetica"/>
                <w:color w:val="1A1A1A"/>
                <w:lang w:eastAsia="en-CA"/>
              </w:rPr>
              <w:t>chronic respiratory disease (including cystic fibrosis)</w:t>
            </w:r>
          </w:p>
          <w:p w:rsidR="003C65F1" w:rsidRPr="003C65F1" w:rsidRDefault="003C65F1" w:rsidP="003C65F1">
            <w:pPr>
              <w:numPr>
                <w:ilvl w:val="1"/>
                <w:numId w:val="9"/>
              </w:numPr>
              <w:shd w:val="clear" w:color="auto" w:fill="FFFFFF"/>
              <w:spacing w:before="100" w:beforeAutospacing="1" w:after="100" w:afterAutospacing="1"/>
              <w:rPr>
                <w:rFonts w:ascii="Helvetica" w:eastAsia="Times New Roman" w:hAnsi="Helvetica" w:cs="Helvetica"/>
                <w:color w:val="1A1A1A"/>
                <w:lang w:eastAsia="en-CA"/>
              </w:rPr>
            </w:pPr>
            <w:r w:rsidRPr="003C65F1">
              <w:rPr>
                <w:rFonts w:ascii="Helvetica" w:eastAsia="Times New Roman" w:hAnsi="Helvetica" w:cs="Helvetica"/>
                <w:color w:val="1A1A1A"/>
                <w:lang w:eastAsia="en-CA"/>
              </w:rPr>
              <w:t>cerebral palsy</w:t>
            </w:r>
          </w:p>
          <w:p w:rsidR="003C65F1" w:rsidRPr="003C65F1" w:rsidRDefault="003C65F1" w:rsidP="003C65F1">
            <w:pPr>
              <w:numPr>
                <w:ilvl w:val="1"/>
                <w:numId w:val="9"/>
              </w:numPr>
              <w:shd w:val="clear" w:color="auto" w:fill="FFFFFF"/>
              <w:spacing w:before="100" w:beforeAutospacing="1" w:after="100" w:afterAutospacing="1"/>
              <w:rPr>
                <w:rFonts w:ascii="Helvetica" w:eastAsia="Times New Roman" w:hAnsi="Helvetica" w:cs="Helvetica"/>
                <w:color w:val="1A1A1A"/>
                <w:lang w:eastAsia="en-CA"/>
              </w:rPr>
            </w:pPr>
            <w:r w:rsidRPr="003C65F1">
              <w:rPr>
                <w:rFonts w:ascii="Helvetica" w:eastAsia="Times New Roman" w:hAnsi="Helvetica" w:cs="Helvetica"/>
                <w:color w:val="1A1A1A"/>
                <w:lang w:eastAsia="en-CA"/>
              </w:rPr>
              <w:t>intellectual or developmental disability</w:t>
            </w:r>
          </w:p>
          <w:p w:rsidR="003C65F1" w:rsidRPr="003C65F1" w:rsidRDefault="003C65F1" w:rsidP="003C65F1">
            <w:pPr>
              <w:numPr>
                <w:ilvl w:val="1"/>
                <w:numId w:val="9"/>
              </w:numPr>
              <w:shd w:val="clear" w:color="auto" w:fill="FFFFFF"/>
              <w:spacing w:before="100" w:beforeAutospacing="1" w:after="100" w:afterAutospacing="1"/>
              <w:rPr>
                <w:rFonts w:ascii="Helvetica" w:eastAsia="Times New Roman" w:hAnsi="Helvetica" w:cs="Helvetica"/>
                <w:color w:val="1A1A1A"/>
                <w:lang w:eastAsia="en-CA"/>
              </w:rPr>
            </w:pPr>
            <w:r w:rsidRPr="003C65F1">
              <w:rPr>
                <w:rFonts w:ascii="Helvetica" w:eastAsia="Times New Roman" w:hAnsi="Helvetica" w:cs="Helvetica"/>
                <w:color w:val="1A1A1A"/>
                <w:lang w:eastAsia="en-CA"/>
              </w:rPr>
              <w:t>sickle cell disease</w:t>
            </w:r>
          </w:p>
          <w:p w:rsidR="003C65F1" w:rsidRPr="003C65F1" w:rsidRDefault="003C65F1" w:rsidP="003C65F1">
            <w:pPr>
              <w:numPr>
                <w:ilvl w:val="1"/>
                <w:numId w:val="9"/>
              </w:numPr>
              <w:shd w:val="clear" w:color="auto" w:fill="FFFFFF"/>
              <w:spacing w:before="100" w:beforeAutospacing="1" w:after="100" w:afterAutospacing="1"/>
              <w:rPr>
                <w:rFonts w:ascii="Helvetica" w:eastAsia="Times New Roman" w:hAnsi="Helvetica" w:cs="Helvetica"/>
                <w:color w:val="1A1A1A"/>
                <w:lang w:eastAsia="en-CA"/>
              </w:rPr>
            </w:pPr>
            <w:r w:rsidRPr="003C65F1">
              <w:rPr>
                <w:rFonts w:ascii="Helvetica" w:eastAsia="Times New Roman" w:hAnsi="Helvetica" w:cs="Helvetica"/>
                <w:color w:val="1A1A1A"/>
                <w:lang w:eastAsia="en-CA"/>
              </w:rPr>
              <w:t>moderate or severe kidney disease</w:t>
            </w:r>
          </w:p>
          <w:p w:rsidR="003C65F1" w:rsidRPr="003C65F1" w:rsidRDefault="003C65F1" w:rsidP="003C65F1">
            <w:pPr>
              <w:numPr>
                <w:ilvl w:val="1"/>
                <w:numId w:val="9"/>
              </w:numPr>
              <w:shd w:val="clear" w:color="auto" w:fill="FFFFFF"/>
              <w:spacing w:before="100" w:beforeAutospacing="1" w:after="100" w:afterAutospacing="1"/>
              <w:rPr>
                <w:rFonts w:ascii="Helvetica" w:eastAsia="Times New Roman" w:hAnsi="Helvetica" w:cs="Helvetica"/>
                <w:color w:val="1A1A1A"/>
                <w:lang w:eastAsia="en-CA"/>
              </w:rPr>
            </w:pPr>
            <w:r w:rsidRPr="003C65F1">
              <w:rPr>
                <w:rFonts w:ascii="Helvetica" w:eastAsia="Times New Roman" w:hAnsi="Helvetica" w:cs="Helvetica"/>
                <w:color w:val="1A1A1A"/>
                <w:lang w:eastAsia="en-CA"/>
              </w:rPr>
              <w:t>moderate or severe liver disease</w:t>
            </w:r>
          </w:p>
          <w:p w:rsidR="003C65F1" w:rsidRPr="003C65F1" w:rsidRDefault="003C65F1" w:rsidP="003C65F1">
            <w:pPr>
              <w:numPr>
                <w:ilvl w:val="1"/>
                <w:numId w:val="9"/>
              </w:numPr>
              <w:shd w:val="clear" w:color="auto" w:fill="FFFFFF"/>
              <w:spacing w:before="100" w:beforeAutospacing="1" w:after="100" w:afterAutospacing="1"/>
              <w:rPr>
                <w:rFonts w:ascii="Helvetica" w:eastAsia="Times New Roman" w:hAnsi="Helvetica" w:cs="Helvetica"/>
                <w:color w:val="1A1A1A"/>
                <w:lang w:eastAsia="en-CA"/>
              </w:rPr>
            </w:pPr>
            <w:r w:rsidRPr="003C65F1">
              <w:rPr>
                <w:rFonts w:ascii="Helvetica" w:eastAsia="Times New Roman" w:hAnsi="Helvetica" w:cs="Helvetica"/>
                <w:color w:val="1A1A1A"/>
                <w:lang w:eastAsia="en-CA"/>
              </w:rPr>
              <w:t>pregnancy</w:t>
            </w:r>
          </w:p>
          <w:p w:rsidR="003C65F1" w:rsidRDefault="003C65F1">
            <w:pPr>
              <w:rPr>
                <w:lang w:val="en-US"/>
              </w:rPr>
            </w:pPr>
          </w:p>
        </w:tc>
      </w:tr>
    </w:tbl>
    <w:p w:rsidR="003C65F1" w:rsidRDefault="003C65F1">
      <w:pPr>
        <w:rPr>
          <w:lang w:val="en-US"/>
        </w:rPr>
      </w:pPr>
    </w:p>
    <w:p w:rsidR="00E96EF1" w:rsidRDefault="00E96EF1">
      <w:pPr>
        <w:rPr>
          <w:lang w:val="en-US"/>
        </w:rPr>
      </w:pPr>
    </w:p>
    <w:p w:rsidR="00D212AB" w:rsidRDefault="001A6D25">
      <w:pPr>
        <w:rPr>
          <w:lang w:val="en-US"/>
        </w:rPr>
      </w:pPr>
      <w:r>
        <w:rPr>
          <w:noProof/>
          <w:lang w:eastAsia="en-CA"/>
        </w:rPr>
        <w:drawing>
          <wp:inline distT="0" distB="0" distL="0" distR="0" wp14:anchorId="07D95244" wp14:editId="3126D424">
            <wp:extent cx="5943600" cy="3613150"/>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212AB" w:rsidRPr="00D212AB" w:rsidRDefault="00D212AB" w:rsidP="00D212AB">
      <w:pPr>
        <w:rPr>
          <w:lang w:val="en-US"/>
        </w:rPr>
      </w:pPr>
    </w:p>
    <w:p w:rsidR="00D212AB" w:rsidRPr="00D212AB" w:rsidRDefault="00D212AB" w:rsidP="00D212AB">
      <w:pPr>
        <w:rPr>
          <w:lang w:val="en-US"/>
        </w:rPr>
      </w:pPr>
    </w:p>
    <w:p w:rsidR="00D212AB" w:rsidRPr="00D212AB" w:rsidRDefault="00D212AB" w:rsidP="00D212AB">
      <w:pPr>
        <w:rPr>
          <w:lang w:val="en-US"/>
        </w:rPr>
      </w:pPr>
    </w:p>
    <w:p w:rsidR="00D212AB" w:rsidRDefault="00D212AB" w:rsidP="00D212AB">
      <w:pPr>
        <w:rPr>
          <w:lang w:val="en-US"/>
        </w:rPr>
      </w:pPr>
    </w:p>
    <w:p w:rsidR="00D212AB" w:rsidRDefault="00D212AB" w:rsidP="00D212AB">
      <w:pPr>
        <w:rPr>
          <w:lang w:val="en-US"/>
        </w:rPr>
      </w:pPr>
    </w:p>
    <w:p w:rsidR="0034278F" w:rsidRDefault="0034278F" w:rsidP="00D212AB">
      <w:pPr>
        <w:rPr>
          <w:lang w:val="en-US"/>
        </w:rPr>
      </w:pPr>
    </w:p>
    <w:p w:rsidR="0034278F" w:rsidRDefault="0034278F" w:rsidP="00D212AB">
      <w:pPr>
        <w:rPr>
          <w:lang w:val="en-US"/>
        </w:rPr>
      </w:pPr>
    </w:p>
    <w:p w:rsidR="00961841" w:rsidRDefault="002A7810" w:rsidP="00D212AB">
      <w:pPr>
        <w:rPr>
          <w:lang w:val="en-US"/>
        </w:rPr>
      </w:pPr>
      <w:r>
        <w:rPr>
          <w:lang w:val="en-US"/>
        </w:rPr>
        <w:t>Table S2</w:t>
      </w:r>
      <w:r w:rsidR="00961841">
        <w:rPr>
          <w:lang w:val="en-US"/>
        </w:rPr>
        <w:t xml:space="preserve">: Drug-drug interactions with </w:t>
      </w:r>
      <w:proofErr w:type="spellStart"/>
      <w:r w:rsidR="00961841">
        <w:rPr>
          <w:lang w:val="en-US"/>
        </w:rPr>
        <w:t>nirmatrelvir</w:t>
      </w:r>
      <w:proofErr w:type="spellEnd"/>
      <w:r w:rsidR="00961841">
        <w:rPr>
          <w:lang w:val="en-US"/>
        </w:rPr>
        <w:t>/ritonavir</w:t>
      </w:r>
    </w:p>
    <w:p w:rsidR="00961841" w:rsidRDefault="00961841" w:rsidP="00D212AB">
      <w:pPr>
        <w:rPr>
          <w:lang w:val="en-US"/>
        </w:rPr>
      </w:pPr>
    </w:p>
    <w:tbl>
      <w:tblPr>
        <w:tblStyle w:val="TableGrid"/>
        <w:tblW w:w="0" w:type="auto"/>
        <w:tblLook w:val="04A0" w:firstRow="1" w:lastRow="0" w:firstColumn="1" w:lastColumn="0" w:noHBand="0" w:noVBand="1"/>
      </w:tblPr>
      <w:tblGrid>
        <w:gridCol w:w="4032"/>
        <w:gridCol w:w="3072"/>
        <w:gridCol w:w="2246"/>
      </w:tblGrid>
      <w:tr w:rsidR="0034278F" w:rsidRPr="0034278F" w:rsidTr="0034278F">
        <w:trPr>
          <w:trHeight w:val="705"/>
        </w:trPr>
        <w:tc>
          <w:tcPr>
            <w:tcW w:w="4203" w:type="dxa"/>
            <w:noWrap/>
            <w:hideMark/>
          </w:tcPr>
          <w:p w:rsidR="0034278F" w:rsidRPr="0034278F" w:rsidRDefault="0034278F" w:rsidP="0034278F">
            <w:pPr>
              <w:rPr>
                <w:b/>
                <w:bCs/>
              </w:rPr>
            </w:pPr>
            <w:r w:rsidRPr="0034278F">
              <w:rPr>
                <w:b/>
                <w:bCs/>
              </w:rPr>
              <w:t>Drug Class (AHFS Classification)</w:t>
            </w:r>
          </w:p>
        </w:tc>
        <w:tc>
          <w:tcPr>
            <w:tcW w:w="2811" w:type="dxa"/>
            <w:hideMark/>
          </w:tcPr>
          <w:p w:rsidR="0034278F" w:rsidRPr="0034278F" w:rsidRDefault="0034278F" w:rsidP="0034278F">
            <w:pPr>
              <w:rPr>
                <w:b/>
                <w:bCs/>
              </w:rPr>
            </w:pPr>
            <w:r w:rsidRPr="0034278F">
              <w:rPr>
                <w:b/>
                <w:bCs/>
              </w:rPr>
              <w:t xml:space="preserve"> Drug Name</w:t>
            </w:r>
          </w:p>
        </w:tc>
        <w:tc>
          <w:tcPr>
            <w:tcW w:w="2336" w:type="dxa"/>
            <w:hideMark/>
          </w:tcPr>
          <w:p w:rsidR="0034278F" w:rsidRPr="0034278F" w:rsidRDefault="008C19D2" w:rsidP="008C19D2">
            <w:pPr>
              <w:rPr>
                <w:b/>
                <w:bCs/>
              </w:rPr>
            </w:pPr>
            <w:r>
              <w:rPr>
                <w:b/>
                <w:bCs/>
              </w:rPr>
              <w:t>DDI Severity, 1=contraindicated, 2=mitigation required</w:t>
            </w:r>
          </w:p>
        </w:tc>
      </w:tr>
      <w:tr w:rsidR="0034278F" w:rsidRPr="0034278F" w:rsidTr="0034278F">
        <w:trPr>
          <w:trHeight w:val="290"/>
        </w:trPr>
        <w:tc>
          <w:tcPr>
            <w:tcW w:w="4203" w:type="dxa"/>
            <w:noWrap/>
            <w:hideMark/>
          </w:tcPr>
          <w:p w:rsidR="0034278F" w:rsidRPr="0034278F" w:rsidRDefault="0034278F">
            <w:pPr>
              <w:rPr>
                <w:b/>
                <w:bCs/>
              </w:rPr>
            </w:pPr>
            <w:r w:rsidRPr="0034278F">
              <w:rPr>
                <w:b/>
                <w:bCs/>
              </w:rPr>
              <w:t>08:00 Anti-infective Agents</w:t>
            </w:r>
          </w:p>
        </w:tc>
        <w:tc>
          <w:tcPr>
            <w:tcW w:w="2811" w:type="dxa"/>
            <w:hideMark/>
          </w:tcPr>
          <w:p w:rsidR="0034278F" w:rsidRPr="0034278F" w:rsidRDefault="0034278F">
            <w:pPr>
              <w:rPr>
                <w:b/>
                <w:bCs/>
              </w:rPr>
            </w:pPr>
            <w:r w:rsidRPr="0034278F">
              <w:rPr>
                <w:b/>
                <w:bCs/>
              </w:rPr>
              <w:t> </w:t>
            </w:r>
          </w:p>
        </w:tc>
        <w:tc>
          <w:tcPr>
            <w:tcW w:w="2336" w:type="dxa"/>
            <w:hideMark/>
          </w:tcPr>
          <w:p w:rsidR="0034278F" w:rsidRPr="0034278F" w:rsidRDefault="0034278F">
            <w:pPr>
              <w:rPr>
                <w:b/>
                <w:bCs/>
              </w:rPr>
            </w:pPr>
            <w:r w:rsidRPr="0034278F">
              <w:rPr>
                <w:b/>
                <w:bCs/>
              </w:rPr>
              <w:t> </w:t>
            </w:r>
          </w:p>
        </w:tc>
      </w:tr>
      <w:tr w:rsidR="0034278F" w:rsidRPr="0034278F" w:rsidTr="0034278F">
        <w:trPr>
          <w:trHeight w:val="290"/>
        </w:trPr>
        <w:tc>
          <w:tcPr>
            <w:tcW w:w="4203" w:type="dxa"/>
            <w:noWrap/>
            <w:hideMark/>
          </w:tcPr>
          <w:p w:rsidR="0034278F" w:rsidRPr="0034278F" w:rsidRDefault="0034278F">
            <w:r w:rsidRPr="0034278F">
              <w:t>08:00 Anti-infective Agents</w:t>
            </w:r>
          </w:p>
        </w:tc>
        <w:tc>
          <w:tcPr>
            <w:tcW w:w="2811" w:type="dxa"/>
            <w:hideMark/>
          </w:tcPr>
          <w:p w:rsidR="0034278F" w:rsidRPr="0034278F" w:rsidRDefault="0034278F">
            <w:proofErr w:type="spellStart"/>
            <w:r w:rsidRPr="0034278F">
              <w:t>Rifabutin</w:t>
            </w:r>
            <w:proofErr w:type="spellEnd"/>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08:00 Anti-infective Agents</w:t>
            </w:r>
          </w:p>
        </w:tc>
        <w:tc>
          <w:tcPr>
            <w:tcW w:w="2811" w:type="dxa"/>
            <w:noWrap/>
            <w:hideMark/>
          </w:tcPr>
          <w:p w:rsidR="0034278F" w:rsidRPr="0034278F" w:rsidRDefault="0034278F">
            <w:r w:rsidRPr="0034278F">
              <w:t>Rifampin</w:t>
            </w:r>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08:00 Anti-infective Agents</w:t>
            </w:r>
          </w:p>
        </w:tc>
        <w:tc>
          <w:tcPr>
            <w:tcW w:w="2811" w:type="dxa"/>
            <w:hideMark/>
          </w:tcPr>
          <w:p w:rsidR="0034278F" w:rsidRPr="0034278F" w:rsidRDefault="0034278F">
            <w:proofErr w:type="spellStart"/>
            <w:r w:rsidRPr="0034278F">
              <w:t>Rifapentine</w:t>
            </w:r>
            <w:proofErr w:type="spellEnd"/>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08:00 Anti-infective Agents</w:t>
            </w:r>
          </w:p>
        </w:tc>
        <w:tc>
          <w:tcPr>
            <w:tcW w:w="2811" w:type="dxa"/>
            <w:hideMark/>
          </w:tcPr>
          <w:p w:rsidR="0034278F" w:rsidRPr="0034278F" w:rsidRDefault="0034278F">
            <w:proofErr w:type="spellStart"/>
            <w:r w:rsidRPr="0034278F">
              <w:t>Glecaprevir</w:t>
            </w:r>
            <w:proofErr w:type="spellEnd"/>
            <w:r w:rsidRPr="0034278F">
              <w:t>/</w:t>
            </w:r>
            <w:proofErr w:type="spellStart"/>
            <w:r w:rsidRPr="0034278F">
              <w:t>Pibrentasvir</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08:00 Anti-infective Agents</w:t>
            </w:r>
          </w:p>
        </w:tc>
        <w:tc>
          <w:tcPr>
            <w:tcW w:w="2811" w:type="dxa"/>
            <w:hideMark/>
          </w:tcPr>
          <w:p w:rsidR="0034278F" w:rsidRPr="0034278F" w:rsidRDefault="0034278F">
            <w:r w:rsidRPr="0034278F">
              <w:t>Quinine</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pPr>
              <w:rPr>
                <w:b/>
                <w:bCs/>
              </w:rPr>
            </w:pPr>
            <w:r w:rsidRPr="0034278F">
              <w:rPr>
                <w:b/>
                <w:bCs/>
              </w:rPr>
              <w:t>10:00 Antineoplastic Agents</w:t>
            </w:r>
          </w:p>
        </w:tc>
        <w:tc>
          <w:tcPr>
            <w:tcW w:w="2811" w:type="dxa"/>
            <w:noWrap/>
            <w:hideMark/>
          </w:tcPr>
          <w:p w:rsidR="0034278F" w:rsidRPr="0034278F" w:rsidRDefault="0034278F">
            <w:r w:rsidRPr="0034278F">
              <w:t> </w:t>
            </w:r>
          </w:p>
        </w:tc>
        <w:tc>
          <w:tcPr>
            <w:tcW w:w="2336" w:type="dxa"/>
            <w:noWrap/>
            <w:hideMark/>
          </w:tcPr>
          <w:p w:rsidR="0034278F" w:rsidRPr="0034278F" w:rsidRDefault="0034278F">
            <w:r w:rsidRPr="0034278F">
              <w:t> </w:t>
            </w:r>
          </w:p>
        </w:tc>
      </w:tr>
      <w:tr w:rsidR="0034278F" w:rsidRPr="0034278F" w:rsidTr="0034278F">
        <w:trPr>
          <w:trHeight w:val="290"/>
        </w:trPr>
        <w:tc>
          <w:tcPr>
            <w:tcW w:w="4203" w:type="dxa"/>
            <w:noWrap/>
            <w:hideMark/>
          </w:tcPr>
          <w:p w:rsidR="0034278F" w:rsidRPr="0034278F" w:rsidRDefault="0034278F">
            <w:r w:rsidRPr="0034278F">
              <w:t>10:00 Antineoplastic Agents</w:t>
            </w:r>
          </w:p>
        </w:tc>
        <w:tc>
          <w:tcPr>
            <w:tcW w:w="2811" w:type="dxa"/>
            <w:noWrap/>
            <w:hideMark/>
          </w:tcPr>
          <w:p w:rsidR="0034278F" w:rsidRPr="0034278F" w:rsidRDefault="0034278F">
            <w:proofErr w:type="spellStart"/>
            <w:r w:rsidRPr="0034278F">
              <w:t>Abemaciclib</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10:00 Antineoplastic Agents</w:t>
            </w:r>
          </w:p>
        </w:tc>
        <w:tc>
          <w:tcPr>
            <w:tcW w:w="2811" w:type="dxa"/>
            <w:noWrap/>
            <w:hideMark/>
          </w:tcPr>
          <w:p w:rsidR="0034278F" w:rsidRPr="0034278F" w:rsidRDefault="0034278F">
            <w:proofErr w:type="spellStart"/>
            <w:r w:rsidRPr="0034278F">
              <w:t>Apalutamide</w:t>
            </w:r>
            <w:proofErr w:type="spellEnd"/>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10:00 Antineoplastic Agents</w:t>
            </w:r>
          </w:p>
        </w:tc>
        <w:tc>
          <w:tcPr>
            <w:tcW w:w="2811" w:type="dxa"/>
            <w:noWrap/>
            <w:hideMark/>
          </w:tcPr>
          <w:p w:rsidR="0034278F" w:rsidRPr="0034278F" w:rsidRDefault="0034278F">
            <w:proofErr w:type="spellStart"/>
            <w:r w:rsidRPr="0034278F">
              <w:t>Bosutinib</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10:00 Antineoplastic Agents</w:t>
            </w:r>
          </w:p>
        </w:tc>
        <w:tc>
          <w:tcPr>
            <w:tcW w:w="2811" w:type="dxa"/>
            <w:noWrap/>
            <w:hideMark/>
          </w:tcPr>
          <w:p w:rsidR="0034278F" w:rsidRPr="0034278F" w:rsidRDefault="0034278F">
            <w:proofErr w:type="spellStart"/>
            <w:r w:rsidRPr="0034278F">
              <w:t>Ceritinib</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10:00 Antineoplastic Agents</w:t>
            </w:r>
          </w:p>
        </w:tc>
        <w:tc>
          <w:tcPr>
            <w:tcW w:w="2811" w:type="dxa"/>
            <w:noWrap/>
            <w:hideMark/>
          </w:tcPr>
          <w:p w:rsidR="0034278F" w:rsidRPr="0034278F" w:rsidRDefault="0034278F">
            <w:proofErr w:type="spellStart"/>
            <w:r w:rsidRPr="0034278F">
              <w:t>Cobimetinib</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10:00 Antineoplastic Agents</w:t>
            </w:r>
          </w:p>
        </w:tc>
        <w:tc>
          <w:tcPr>
            <w:tcW w:w="2811" w:type="dxa"/>
            <w:noWrap/>
            <w:hideMark/>
          </w:tcPr>
          <w:p w:rsidR="0034278F" w:rsidRPr="0034278F" w:rsidRDefault="0034278F">
            <w:proofErr w:type="spellStart"/>
            <w:r w:rsidRPr="0034278F">
              <w:t>Dabrafenib</w:t>
            </w:r>
            <w:proofErr w:type="spellEnd"/>
            <w:r w:rsidRPr="0034278F">
              <w:t xml:space="preserve"> </w:t>
            </w:r>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10:00 Antineoplastic Agents</w:t>
            </w:r>
          </w:p>
        </w:tc>
        <w:tc>
          <w:tcPr>
            <w:tcW w:w="2811" w:type="dxa"/>
            <w:noWrap/>
            <w:hideMark/>
          </w:tcPr>
          <w:p w:rsidR="0034278F" w:rsidRPr="0034278F" w:rsidRDefault="0034278F">
            <w:proofErr w:type="spellStart"/>
            <w:r w:rsidRPr="0034278F">
              <w:t>Dasatinib</w:t>
            </w:r>
            <w:proofErr w:type="spellEnd"/>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10:00 Antineoplastic Agents</w:t>
            </w:r>
          </w:p>
        </w:tc>
        <w:tc>
          <w:tcPr>
            <w:tcW w:w="2811" w:type="dxa"/>
            <w:noWrap/>
            <w:hideMark/>
          </w:tcPr>
          <w:p w:rsidR="0034278F" w:rsidRPr="0034278F" w:rsidRDefault="0034278F">
            <w:proofErr w:type="spellStart"/>
            <w:r w:rsidRPr="0034278F">
              <w:t>Encorafenib</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10:00 Antineoplastic Agents</w:t>
            </w:r>
          </w:p>
        </w:tc>
        <w:tc>
          <w:tcPr>
            <w:tcW w:w="2811" w:type="dxa"/>
            <w:noWrap/>
            <w:hideMark/>
          </w:tcPr>
          <w:p w:rsidR="0034278F" w:rsidRPr="0034278F" w:rsidRDefault="0034278F">
            <w:proofErr w:type="spellStart"/>
            <w:r w:rsidRPr="0034278F">
              <w:t>Enzalutamide</w:t>
            </w:r>
            <w:proofErr w:type="spellEnd"/>
            <w:r w:rsidRPr="0034278F">
              <w:t xml:space="preserve"> </w:t>
            </w:r>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10:00 Antineoplastic Agents</w:t>
            </w:r>
          </w:p>
        </w:tc>
        <w:tc>
          <w:tcPr>
            <w:tcW w:w="2811" w:type="dxa"/>
            <w:noWrap/>
            <w:hideMark/>
          </w:tcPr>
          <w:p w:rsidR="0034278F" w:rsidRPr="0034278F" w:rsidRDefault="0034278F">
            <w:proofErr w:type="spellStart"/>
            <w:r w:rsidRPr="0034278F">
              <w:t>Ibrutinib</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10:00 Antineoplastic Agents</w:t>
            </w:r>
          </w:p>
        </w:tc>
        <w:tc>
          <w:tcPr>
            <w:tcW w:w="2811" w:type="dxa"/>
            <w:noWrap/>
            <w:hideMark/>
          </w:tcPr>
          <w:p w:rsidR="0034278F" w:rsidRPr="0034278F" w:rsidRDefault="0034278F">
            <w:proofErr w:type="spellStart"/>
            <w:r w:rsidRPr="0034278F">
              <w:t>Lorlatinib</w:t>
            </w:r>
            <w:proofErr w:type="spellEnd"/>
            <w:r w:rsidRPr="0034278F">
              <w:t xml:space="preserve"> </w:t>
            </w:r>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10:00 Antineoplastic Agents</w:t>
            </w:r>
          </w:p>
        </w:tc>
        <w:tc>
          <w:tcPr>
            <w:tcW w:w="2811" w:type="dxa"/>
            <w:hideMark/>
          </w:tcPr>
          <w:p w:rsidR="0034278F" w:rsidRPr="0034278F" w:rsidRDefault="0034278F">
            <w:proofErr w:type="spellStart"/>
            <w:r w:rsidRPr="0034278F">
              <w:t>Mitotane</w:t>
            </w:r>
            <w:proofErr w:type="spellEnd"/>
            <w:r w:rsidRPr="0034278F">
              <w:t xml:space="preserve"> </w:t>
            </w:r>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10:00 Antineoplastic Agents</w:t>
            </w:r>
          </w:p>
        </w:tc>
        <w:tc>
          <w:tcPr>
            <w:tcW w:w="2811" w:type="dxa"/>
            <w:hideMark/>
          </w:tcPr>
          <w:p w:rsidR="0034278F" w:rsidRPr="0034278F" w:rsidRDefault="0034278F">
            <w:proofErr w:type="spellStart"/>
            <w:r w:rsidRPr="0034278F">
              <w:t>Neratinib</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10:00 Antineoplastic Agents</w:t>
            </w:r>
          </w:p>
        </w:tc>
        <w:tc>
          <w:tcPr>
            <w:tcW w:w="2811" w:type="dxa"/>
            <w:hideMark/>
          </w:tcPr>
          <w:p w:rsidR="0034278F" w:rsidRPr="0034278F" w:rsidRDefault="0034278F">
            <w:proofErr w:type="spellStart"/>
            <w:r w:rsidRPr="0034278F">
              <w:t>Nilotinib</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10:00 Antineoplastic Agents</w:t>
            </w:r>
          </w:p>
        </w:tc>
        <w:tc>
          <w:tcPr>
            <w:tcW w:w="2811" w:type="dxa"/>
            <w:hideMark/>
          </w:tcPr>
          <w:p w:rsidR="0034278F" w:rsidRPr="0034278F" w:rsidRDefault="0034278F">
            <w:proofErr w:type="spellStart"/>
            <w:r w:rsidRPr="0034278F">
              <w:t>Sonidegib</w:t>
            </w:r>
            <w:proofErr w:type="spellEnd"/>
            <w:r w:rsidRPr="0034278F">
              <w:t xml:space="preserve"> </w:t>
            </w:r>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10:00 Antineoplastic Agents</w:t>
            </w:r>
          </w:p>
        </w:tc>
        <w:tc>
          <w:tcPr>
            <w:tcW w:w="2811" w:type="dxa"/>
            <w:hideMark/>
          </w:tcPr>
          <w:p w:rsidR="0034278F" w:rsidRPr="0034278F" w:rsidRDefault="0034278F">
            <w:proofErr w:type="spellStart"/>
            <w:r w:rsidRPr="0034278F">
              <w:t>Tepotinib</w:t>
            </w:r>
            <w:proofErr w:type="spellEnd"/>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10:00 Antineoplastic Agents</w:t>
            </w:r>
          </w:p>
        </w:tc>
        <w:tc>
          <w:tcPr>
            <w:tcW w:w="2811" w:type="dxa"/>
            <w:hideMark/>
          </w:tcPr>
          <w:p w:rsidR="0034278F" w:rsidRPr="0034278F" w:rsidRDefault="0034278F">
            <w:proofErr w:type="spellStart"/>
            <w:r w:rsidRPr="0034278F">
              <w:t>Venetoclax</w:t>
            </w:r>
            <w:proofErr w:type="spellEnd"/>
            <w:r w:rsidRPr="0034278F">
              <w:t xml:space="preserve"> </w:t>
            </w:r>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10:00 Antineoplastic Agents</w:t>
            </w:r>
          </w:p>
        </w:tc>
        <w:tc>
          <w:tcPr>
            <w:tcW w:w="2811" w:type="dxa"/>
            <w:hideMark/>
          </w:tcPr>
          <w:p w:rsidR="0034278F" w:rsidRPr="0034278F" w:rsidRDefault="0034278F">
            <w:proofErr w:type="spellStart"/>
            <w:r w:rsidRPr="0034278F">
              <w:t>vinBLAStine</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10:00 Antineoplastic Agents</w:t>
            </w:r>
          </w:p>
        </w:tc>
        <w:tc>
          <w:tcPr>
            <w:tcW w:w="2811" w:type="dxa"/>
            <w:noWrap/>
            <w:hideMark/>
          </w:tcPr>
          <w:p w:rsidR="0034278F" w:rsidRPr="0034278F" w:rsidRDefault="0034278F">
            <w:proofErr w:type="spellStart"/>
            <w:r w:rsidRPr="0034278F">
              <w:t>vinCRIStine</w:t>
            </w:r>
            <w:proofErr w:type="spellEnd"/>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pPr>
              <w:rPr>
                <w:b/>
                <w:bCs/>
              </w:rPr>
            </w:pPr>
            <w:r w:rsidRPr="0034278F">
              <w:rPr>
                <w:b/>
                <w:bCs/>
              </w:rPr>
              <w:t>12:12 Sympathomimetic Agents</w:t>
            </w:r>
          </w:p>
        </w:tc>
        <w:tc>
          <w:tcPr>
            <w:tcW w:w="2811" w:type="dxa"/>
            <w:noWrap/>
            <w:hideMark/>
          </w:tcPr>
          <w:p w:rsidR="0034278F" w:rsidRPr="0034278F" w:rsidRDefault="0034278F">
            <w:r w:rsidRPr="0034278F">
              <w:t> </w:t>
            </w:r>
          </w:p>
        </w:tc>
        <w:tc>
          <w:tcPr>
            <w:tcW w:w="2336" w:type="dxa"/>
            <w:noWrap/>
            <w:hideMark/>
          </w:tcPr>
          <w:p w:rsidR="0034278F" w:rsidRPr="0034278F" w:rsidRDefault="0034278F">
            <w:r w:rsidRPr="0034278F">
              <w:t> </w:t>
            </w:r>
          </w:p>
        </w:tc>
      </w:tr>
      <w:tr w:rsidR="0034278F" w:rsidRPr="0034278F" w:rsidTr="0034278F">
        <w:trPr>
          <w:trHeight w:val="290"/>
        </w:trPr>
        <w:tc>
          <w:tcPr>
            <w:tcW w:w="4203" w:type="dxa"/>
            <w:noWrap/>
            <w:hideMark/>
          </w:tcPr>
          <w:p w:rsidR="0034278F" w:rsidRPr="0034278F" w:rsidRDefault="0034278F">
            <w:r w:rsidRPr="0034278F">
              <w:t>12:12 Sympathomimetic Agents</w:t>
            </w:r>
          </w:p>
        </w:tc>
        <w:tc>
          <w:tcPr>
            <w:tcW w:w="2811" w:type="dxa"/>
            <w:noWrap/>
            <w:hideMark/>
          </w:tcPr>
          <w:p w:rsidR="0034278F" w:rsidRPr="0034278F" w:rsidRDefault="0034278F">
            <w:proofErr w:type="spellStart"/>
            <w:r w:rsidRPr="0034278F">
              <w:t>Salmeterol</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12:12 Sympathomimetic Agents</w:t>
            </w:r>
          </w:p>
        </w:tc>
        <w:tc>
          <w:tcPr>
            <w:tcW w:w="2811" w:type="dxa"/>
            <w:noWrap/>
            <w:hideMark/>
          </w:tcPr>
          <w:p w:rsidR="0034278F" w:rsidRPr="0034278F" w:rsidRDefault="0034278F">
            <w:proofErr w:type="spellStart"/>
            <w:r w:rsidRPr="0034278F">
              <w:t>Alfuzosin</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12:12 Sympathomimetic Agents</w:t>
            </w:r>
          </w:p>
        </w:tc>
        <w:tc>
          <w:tcPr>
            <w:tcW w:w="2811" w:type="dxa"/>
            <w:noWrap/>
            <w:hideMark/>
          </w:tcPr>
          <w:p w:rsidR="0034278F" w:rsidRPr="0034278F" w:rsidRDefault="0034278F">
            <w:proofErr w:type="spellStart"/>
            <w:r w:rsidRPr="0034278F">
              <w:t>Silodosin</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12:12 Sympathomimetic Agents</w:t>
            </w:r>
          </w:p>
        </w:tc>
        <w:tc>
          <w:tcPr>
            <w:tcW w:w="2811" w:type="dxa"/>
            <w:hideMark/>
          </w:tcPr>
          <w:p w:rsidR="0034278F" w:rsidRPr="0034278F" w:rsidRDefault="0034278F">
            <w:proofErr w:type="spellStart"/>
            <w:r w:rsidRPr="0034278F">
              <w:t>Tamsulosin</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9350" w:type="dxa"/>
            <w:gridSpan w:val="3"/>
            <w:noWrap/>
            <w:hideMark/>
          </w:tcPr>
          <w:p w:rsidR="0034278F" w:rsidRPr="0034278F" w:rsidRDefault="0034278F">
            <w:pPr>
              <w:rPr>
                <w:b/>
                <w:bCs/>
              </w:rPr>
            </w:pPr>
            <w:r w:rsidRPr="0034278F">
              <w:rPr>
                <w:b/>
                <w:bCs/>
              </w:rPr>
              <w:t>20:00 Blood Formation, Coagulation and Thrombosis Agents</w:t>
            </w:r>
          </w:p>
        </w:tc>
      </w:tr>
      <w:tr w:rsidR="0034278F" w:rsidRPr="0034278F" w:rsidTr="0034278F">
        <w:trPr>
          <w:trHeight w:val="290"/>
        </w:trPr>
        <w:tc>
          <w:tcPr>
            <w:tcW w:w="4203" w:type="dxa"/>
            <w:noWrap/>
            <w:hideMark/>
          </w:tcPr>
          <w:p w:rsidR="0034278F" w:rsidRPr="0034278F" w:rsidRDefault="0034278F">
            <w:r w:rsidRPr="0034278F">
              <w:lastRenderedPageBreak/>
              <w:t>20:00 Blood Formation, Coagulation and Thrombosis Agents</w:t>
            </w:r>
          </w:p>
        </w:tc>
        <w:tc>
          <w:tcPr>
            <w:tcW w:w="2811" w:type="dxa"/>
            <w:noWrap/>
            <w:hideMark/>
          </w:tcPr>
          <w:p w:rsidR="0034278F" w:rsidRPr="0034278F" w:rsidRDefault="0034278F">
            <w:r w:rsidRPr="0034278F">
              <w:t>Warfarin</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20:00 Blood Formation, Coagulation and Thrombosis Agents</w:t>
            </w:r>
          </w:p>
        </w:tc>
        <w:tc>
          <w:tcPr>
            <w:tcW w:w="2811" w:type="dxa"/>
            <w:noWrap/>
            <w:hideMark/>
          </w:tcPr>
          <w:p w:rsidR="0034278F" w:rsidRPr="0034278F" w:rsidRDefault="0034278F">
            <w:proofErr w:type="spellStart"/>
            <w:r w:rsidRPr="0034278F">
              <w:t>Dabigatran</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20:00 Blood Formation, Coagulation and Thrombosis Agents</w:t>
            </w:r>
          </w:p>
        </w:tc>
        <w:tc>
          <w:tcPr>
            <w:tcW w:w="2811" w:type="dxa"/>
            <w:noWrap/>
            <w:hideMark/>
          </w:tcPr>
          <w:p w:rsidR="0034278F" w:rsidRPr="0034278F" w:rsidRDefault="0034278F">
            <w:proofErr w:type="spellStart"/>
            <w:r w:rsidRPr="0034278F">
              <w:t>Apixaban</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20:00 Blood Formation, Coagulation and Thrombosis Agents</w:t>
            </w:r>
          </w:p>
        </w:tc>
        <w:tc>
          <w:tcPr>
            <w:tcW w:w="2811" w:type="dxa"/>
            <w:noWrap/>
            <w:hideMark/>
          </w:tcPr>
          <w:p w:rsidR="0034278F" w:rsidRPr="0034278F" w:rsidRDefault="0034278F">
            <w:proofErr w:type="spellStart"/>
            <w:r w:rsidRPr="0034278F">
              <w:t>Edoxaban</w:t>
            </w:r>
            <w:proofErr w:type="spellEnd"/>
            <w:r w:rsidRPr="0034278F">
              <w:t xml:space="preserve"> </w:t>
            </w:r>
            <w:proofErr w:type="spellStart"/>
            <w:r w:rsidRPr="0034278F">
              <w:t>Tosylate</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20:00 Blood Formation, Coagulation and Thrombosis Agents</w:t>
            </w:r>
          </w:p>
        </w:tc>
        <w:tc>
          <w:tcPr>
            <w:tcW w:w="2811" w:type="dxa"/>
            <w:noWrap/>
            <w:hideMark/>
          </w:tcPr>
          <w:p w:rsidR="0034278F" w:rsidRPr="0034278F" w:rsidRDefault="0034278F">
            <w:proofErr w:type="spellStart"/>
            <w:r w:rsidRPr="0034278F">
              <w:t>Rivaroxaban</w:t>
            </w:r>
            <w:proofErr w:type="spellEnd"/>
            <w:r w:rsidRPr="0034278F">
              <w:t xml:space="preserve"> </w:t>
            </w:r>
          </w:p>
        </w:tc>
        <w:tc>
          <w:tcPr>
            <w:tcW w:w="2336" w:type="dxa"/>
            <w:noWrap/>
            <w:hideMark/>
          </w:tcPr>
          <w:p w:rsidR="0034278F" w:rsidRPr="0034278F" w:rsidRDefault="008C19D2" w:rsidP="008C19D2">
            <w:r>
              <w:t>2</w:t>
            </w:r>
          </w:p>
        </w:tc>
      </w:tr>
      <w:tr w:rsidR="0034278F" w:rsidRPr="0034278F" w:rsidTr="0034278F">
        <w:trPr>
          <w:trHeight w:val="290"/>
        </w:trPr>
        <w:tc>
          <w:tcPr>
            <w:tcW w:w="4203" w:type="dxa"/>
            <w:noWrap/>
            <w:hideMark/>
          </w:tcPr>
          <w:p w:rsidR="0034278F" w:rsidRPr="0034278F" w:rsidRDefault="0034278F">
            <w:r w:rsidRPr="0034278F">
              <w:t>20:00 Blood Formation, Coagulation and Thrombosis Agents</w:t>
            </w:r>
          </w:p>
        </w:tc>
        <w:tc>
          <w:tcPr>
            <w:tcW w:w="2811" w:type="dxa"/>
            <w:noWrap/>
            <w:hideMark/>
          </w:tcPr>
          <w:p w:rsidR="0034278F" w:rsidRPr="0034278F" w:rsidRDefault="0034278F">
            <w:proofErr w:type="spellStart"/>
            <w:r w:rsidRPr="0034278F">
              <w:t>Clopidogrel</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20:00 Blood Formation, Coagulation and Thrombosis Agents</w:t>
            </w:r>
          </w:p>
        </w:tc>
        <w:tc>
          <w:tcPr>
            <w:tcW w:w="2811" w:type="dxa"/>
            <w:hideMark/>
          </w:tcPr>
          <w:p w:rsidR="0034278F" w:rsidRPr="0034278F" w:rsidRDefault="0034278F">
            <w:proofErr w:type="spellStart"/>
            <w:r w:rsidRPr="0034278F">
              <w:t>Ticagrelor</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20:00 Blood Formation, Coagulation and Thrombosis Agents</w:t>
            </w:r>
          </w:p>
        </w:tc>
        <w:tc>
          <w:tcPr>
            <w:tcW w:w="2811" w:type="dxa"/>
            <w:hideMark/>
          </w:tcPr>
          <w:p w:rsidR="0034278F" w:rsidRPr="0034278F" w:rsidRDefault="0034278F">
            <w:proofErr w:type="spellStart"/>
            <w:r w:rsidRPr="0034278F">
              <w:t>Fostamatinib</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pPr>
              <w:rPr>
                <w:b/>
                <w:bCs/>
              </w:rPr>
            </w:pPr>
            <w:r w:rsidRPr="0034278F">
              <w:rPr>
                <w:b/>
                <w:bCs/>
              </w:rPr>
              <w:t>24:00 Cardiovascular Drugs</w:t>
            </w:r>
          </w:p>
        </w:tc>
        <w:tc>
          <w:tcPr>
            <w:tcW w:w="2811" w:type="dxa"/>
            <w:hideMark/>
          </w:tcPr>
          <w:p w:rsidR="0034278F" w:rsidRPr="0034278F" w:rsidRDefault="0034278F">
            <w:r w:rsidRPr="0034278F">
              <w:t> </w:t>
            </w:r>
          </w:p>
        </w:tc>
        <w:tc>
          <w:tcPr>
            <w:tcW w:w="2336" w:type="dxa"/>
            <w:noWrap/>
            <w:hideMark/>
          </w:tcPr>
          <w:p w:rsidR="0034278F" w:rsidRPr="0034278F" w:rsidRDefault="0034278F">
            <w:r w:rsidRPr="0034278F">
              <w:t> </w:t>
            </w:r>
          </w:p>
        </w:tc>
      </w:tr>
      <w:tr w:rsidR="0034278F" w:rsidRPr="0034278F" w:rsidTr="0034278F">
        <w:trPr>
          <w:trHeight w:val="290"/>
        </w:trPr>
        <w:tc>
          <w:tcPr>
            <w:tcW w:w="4203" w:type="dxa"/>
            <w:noWrap/>
            <w:hideMark/>
          </w:tcPr>
          <w:p w:rsidR="0034278F" w:rsidRPr="0034278F" w:rsidRDefault="0034278F">
            <w:r w:rsidRPr="0034278F">
              <w:t>24:00 Cardiovascular Drugs</w:t>
            </w:r>
          </w:p>
        </w:tc>
        <w:tc>
          <w:tcPr>
            <w:tcW w:w="2811" w:type="dxa"/>
            <w:hideMark/>
          </w:tcPr>
          <w:p w:rsidR="0034278F" w:rsidRPr="0034278F" w:rsidRDefault="0034278F">
            <w:proofErr w:type="spellStart"/>
            <w:r w:rsidRPr="0034278F">
              <w:t>quiNIDine</w:t>
            </w:r>
            <w:proofErr w:type="spellEnd"/>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24:00 Cardiovascular Drugs</w:t>
            </w:r>
          </w:p>
        </w:tc>
        <w:tc>
          <w:tcPr>
            <w:tcW w:w="2811" w:type="dxa"/>
            <w:hideMark/>
          </w:tcPr>
          <w:p w:rsidR="0034278F" w:rsidRPr="0034278F" w:rsidRDefault="0034278F">
            <w:r w:rsidRPr="0034278F">
              <w:t xml:space="preserve">Phenytoin </w:t>
            </w:r>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24:00 Cardiovascular Drugs</w:t>
            </w:r>
          </w:p>
        </w:tc>
        <w:tc>
          <w:tcPr>
            <w:tcW w:w="2811" w:type="dxa"/>
            <w:noWrap/>
            <w:hideMark/>
          </w:tcPr>
          <w:p w:rsidR="0034278F" w:rsidRPr="0034278F" w:rsidRDefault="0034278F">
            <w:proofErr w:type="spellStart"/>
            <w:r w:rsidRPr="0034278F">
              <w:t>Flecainide</w:t>
            </w:r>
            <w:proofErr w:type="spellEnd"/>
            <w:r w:rsidRPr="0034278F">
              <w:t xml:space="preserve"> </w:t>
            </w:r>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24:00 Cardiovascular Drugs</w:t>
            </w:r>
          </w:p>
        </w:tc>
        <w:tc>
          <w:tcPr>
            <w:tcW w:w="2811" w:type="dxa"/>
            <w:noWrap/>
            <w:hideMark/>
          </w:tcPr>
          <w:p w:rsidR="0034278F" w:rsidRPr="0034278F" w:rsidRDefault="0034278F">
            <w:proofErr w:type="spellStart"/>
            <w:r w:rsidRPr="0034278F">
              <w:t>Propafenone</w:t>
            </w:r>
            <w:proofErr w:type="spellEnd"/>
            <w:r w:rsidRPr="0034278F">
              <w:t xml:space="preserve"> </w:t>
            </w:r>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24:00 Cardiovascular Drugs</w:t>
            </w:r>
          </w:p>
        </w:tc>
        <w:tc>
          <w:tcPr>
            <w:tcW w:w="2811" w:type="dxa"/>
            <w:hideMark/>
          </w:tcPr>
          <w:p w:rsidR="0034278F" w:rsidRPr="0034278F" w:rsidRDefault="0034278F">
            <w:proofErr w:type="spellStart"/>
            <w:r w:rsidRPr="0034278F">
              <w:t>Amiodarone</w:t>
            </w:r>
            <w:proofErr w:type="spellEnd"/>
            <w:r w:rsidRPr="0034278F">
              <w:t xml:space="preserve"> </w:t>
            </w:r>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24:00 Cardiovascular Drugs</w:t>
            </w:r>
          </w:p>
        </w:tc>
        <w:tc>
          <w:tcPr>
            <w:tcW w:w="2811" w:type="dxa"/>
            <w:noWrap/>
            <w:hideMark/>
          </w:tcPr>
          <w:p w:rsidR="0034278F" w:rsidRPr="0034278F" w:rsidRDefault="0034278F">
            <w:proofErr w:type="spellStart"/>
            <w:r w:rsidRPr="0034278F">
              <w:t>Dofetilide</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24:00 Cardiovascular Drugs</w:t>
            </w:r>
          </w:p>
        </w:tc>
        <w:tc>
          <w:tcPr>
            <w:tcW w:w="2811" w:type="dxa"/>
            <w:noWrap/>
            <w:hideMark/>
          </w:tcPr>
          <w:p w:rsidR="0034278F" w:rsidRPr="0034278F" w:rsidRDefault="0034278F">
            <w:proofErr w:type="spellStart"/>
            <w:r w:rsidRPr="0034278F">
              <w:t>Dronedarone</w:t>
            </w:r>
            <w:proofErr w:type="spellEnd"/>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24:00 Cardiovascular Drugs</w:t>
            </w:r>
          </w:p>
        </w:tc>
        <w:tc>
          <w:tcPr>
            <w:tcW w:w="2811" w:type="dxa"/>
            <w:noWrap/>
            <w:hideMark/>
          </w:tcPr>
          <w:p w:rsidR="0034278F" w:rsidRPr="0034278F" w:rsidRDefault="0034278F">
            <w:r w:rsidRPr="0034278F">
              <w:t xml:space="preserve">Digoxin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24:00 Cardiovascular Drugs</w:t>
            </w:r>
          </w:p>
        </w:tc>
        <w:tc>
          <w:tcPr>
            <w:tcW w:w="2811" w:type="dxa"/>
            <w:hideMark/>
          </w:tcPr>
          <w:p w:rsidR="0034278F" w:rsidRPr="0034278F" w:rsidRDefault="0034278F">
            <w:proofErr w:type="spellStart"/>
            <w:r w:rsidRPr="0034278F">
              <w:t>Ranolazine</w:t>
            </w:r>
            <w:proofErr w:type="spellEnd"/>
            <w:r w:rsidRPr="0034278F">
              <w:t xml:space="preserve"> </w:t>
            </w:r>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24:00 Cardiovascular Drugs</w:t>
            </w:r>
          </w:p>
        </w:tc>
        <w:tc>
          <w:tcPr>
            <w:tcW w:w="2811" w:type="dxa"/>
            <w:hideMark/>
          </w:tcPr>
          <w:p w:rsidR="0034278F" w:rsidRPr="0034278F" w:rsidRDefault="0034278F">
            <w:r w:rsidRPr="0034278F">
              <w:t>Atorvastatin</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24:00 Cardiovascular Drugs</w:t>
            </w:r>
          </w:p>
        </w:tc>
        <w:tc>
          <w:tcPr>
            <w:tcW w:w="2811" w:type="dxa"/>
            <w:hideMark/>
          </w:tcPr>
          <w:p w:rsidR="0034278F" w:rsidRPr="0034278F" w:rsidRDefault="0034278F">
            <w:r w:rsidRPr="0034278F">
              <w:t>Lovastatin</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24:00 Cardiovascular Drugs</w:t>
            </w:r>
          </w:p>
        </w:tc>
        <w:tc>
          <w:tcPr>
            <w:tcW w:w="2811" w:type="dxa"/>
            <w:hideMark/>
          </w:tcPr>
          <w:p w:rsidR="0034278F" w:rsidRPr="0034278F" w:rsidRDefault="0034278F">
            <w:proofErr w:type="spellStart"/>
            <w:r w:rsidRPr="0034278F">
              <w:t>Rosuvastatin</w:t>
            </w:r>
            <w:proofErr w:type="spellEnd"/>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24:00 Cardiovascular Drugs</w:t>
            </w:r>
          </w:p>
        </w:tc>
        <w:tc>
          <w:tcPr>
            <w:tcW w:w="2811" w:type="dxa"/>
            <w:hideMark/>
          </w:tcPr>
          <w:p w:rsidR="0034278F" w:rsidRPr="0034278F" w:rsidRDefault="0034278F">
            <w:r w:rsidRPr="0034278F">
              <w:t xml:space="preserve">Simvastatin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24:00 Cardiovascular Drugs</w:t>
            </w:r>
          </w:p>
        </w:tc>
        <w:tc>
          <w:tcPr>
            <w:tcW w:w="2811" w:type="dxa"/>
            <w:hideMark/>
          </w:tcPr>
          <w:p w:rsidR="0034278F" w:rsidRPr="0034278F" w:rsidRDefault="0034278F">
            <w:proofErr w:type="spellStart"/>
            <w:r w:rsidRPr="0034278F">
              <w:t>Lomitapide</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24:00 Cardiovascular Drugs</w:t>
            </w:r>
          </w:p>
        </w:tc>
        <w:tc>
          <w:tcPr>
            <w:tcW w:w="2811" w:type="dxa"/>
            <w:noWrap/>
            <w:hideMark/>
          </w:tcPr>
          <w:p w:rsidR="0034278F" w:rsidRPr="0034278F" w:rsidRDefault="0034278F">
            <w:r w:rsidRPr="0034278F">
              <w:t xml:space="preserve">Sildenafil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24:00 Cardiovascular Drugs</w:t>
            </w:r>
          </w:p>
        </w:tc>
        <w:tc>
          <w:tcPr>
            <w:tcW w:w="2811" w:type="dxa"/>
            <w:noWrap/>
            <w:hideMark/>
          </w:tcPr>
          <w:p w:rsidR="0034278F" w:rsidRPr="0034278F" w:rsidRDefault="0034278F">
            <w:proofErr w:type="spellStart"/>
            <w:r w:rsidRPr="0034278F">
              <w:t>Tadalafil</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24:00 Cardiovascular Drugs</w:t>
            </w:r>
          </w:p>
        </w:tc>
        <w:tc>
          <w:tcPr>
            <w:tcW w:w="2811" w:type="dxa"/>
            <w:noWrap/>
            <w:hideMark/>
          </w:tcPr>
          <w:p w:rsidR="0034278F" w:rsidRPr="0034278F" w:rsidRDefault="0034278F">
            <w:proofErr w:type="spellStart"/>
            <w:r w:rsidRPr="0034278F">
              <w:t>Vardenafil</w:t>
            </w:r>
            <w:proofErr w:type="spellEnd"/>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24:00 Cardiovascular Drugs</w:t>
            </w:r>
          </w:p>
        </w:tc>
        <w:tc>
          <w:tcPr>
            <w:tcW w:w="2811" w:type="dxa"/>
            <w:noWrap/>
            <w:hideMark/>
          </w:tcPr>
          <w:p w:rsidR="0034278F" w:rsidRPr="0034278F" w:rsidRDefault="0034278F">
            <w:proofErr w:type="spellStart"/>
            <w:r w:rsidRPr="0034278F">
              <w:t>Bosentan</w:t>
            </w:r>
            <w:proofErr w:type="spellEnd"/>
            <w:r w:rsidRPr="0034278F">
              <w:t xml:space="preserve"> </w:t>
            </w:r>
          </w:p>
        </w:tc>
        <w:tc>
          <w:tcPr>
            <w:tcW w:w="2336" w:type="dxa"/>
            <w:noWrap/>
            <w:hideMark/>
          </w:tcPr>
          <w:p w:rsidR="0034278F" w:rsidRPr="0034278F" w:rsidRDefault="008C19D2">
            <w:r>
              <w:t>1</w:t>
            </w:r>
          </w:p>
        </w:tc>
      </w:tr>
      <w:tr w:rsidR="0034278F" w:rsidRPr="0034278F" w:rsidTr="0034278F">
        <w:trPr>
          <w:trHeight w:val="290"/>
        </w:trPr>
        <w:tc>
          <w:tcPr>
            <w:tcW w:w="7014" w:type="dxa"/>
            <w:gridSpan w:val="2"/>
            <w:noWrap/>
            <w:hideMark/>
          </w:tcPr>
          <w:p w:rsidR="0034278F" w:rsidRPr="0034278F" w:rsidRDefault="0034278F">
            <w:pPr>
              <w:rPr>
                <w:b/>
                <w:bCs/>
              </w:rPr>
            </w:pPr>
            <w:r w:rsidRPr="0034278F">
              <w:rPr>
                <w:b/>
                <w:bCs/>
              </w:rPr>
              <w:t>24:28 Calcium-Channel Blocking Agents</w:t>
            </w:r>
          </w:p>
        </w:tc>
        <w:tc>
          <w:tcPr>
            <w:tcW w:w="2336" w:type="dxa"/>
            <w:noWrap/>
            <w:hideMark/>
          </w:tcPr>
          <w:p w:rsidR="0034278F" w:rsidRPr="0034278F" w:rsidRDefault="0034278F">
            <w:r w:rsidRPr="0034278F">
              <w:t> </w:t>
            </w:r>
          </w:p>
        </w:tc>
      </w:tr>
      <w:tr w:rsidR="0034278F" w:rsidRPr="0034278F" w:rsidTr="0034278F">
        <w:trPr>
          <w:trHeight w:val="290"/>
        </w:trPr>
        <w:tc>
          <w:tcPr>
            <w:tcW w:w="4203" w:type="dxa"/>
            <w:noWrap/>
            <w:hideMark/>
          </w:tcPr>
          <w:p w:rsidR="0034278F" w:rsidRPr="0034278F" w:rsidRDefault="0034278F">
            <w:r w:rsidRPr="0034278F">
              <w:t>24:28 Calcium-Channel Blocking Agents</w:t>
            </w:r>
          </w:p>
        </w:tc>
        <w:tc>
          <w:tcPr>
            <w:tcW w:w="2811" w:type="dxa"/>
            <w:noWrap/>
            <w:hideMark/>
          </w:tcPr>
          <w:p w:rsidR="0034278F" w:rsidRPr="0034278F" w:rsidRDefault="0034278F">
            <w:proofErr w:type="spellStart"/>
            <w:r w:rsidRPr="0034278F">
              <w:t>amLODIPine</w:t>
            </w:r>
            <w:proofErr w:type="spellEnd"/>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24:28 Calcium-Channel Blocking Agents</w:t>
            </w:r>
          </w:p>
        </w:tc>
        <w:tc>
          <w:tcPr>
            <w:tcW w:w="2811" w:type="dxa"/>
            <w:noWrap/>
            <w:hideMark/>
          </w:tcPr>
          <w:p w:rsidR="0034278F" w:rsidRPr="0034278F" w:rsidRDefault="0034278F">
            <w:proofErr w:type="spellStart"/>
            <w:r w:rsidRPr="0034278F">
              <w:t>Felodipine</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24:28 Calcium-Channel Blocking Agents</w:t>
            </w:r>
          </w:p>
        </w:tc>
        <w:tc>
          <w:tcPr>
            <w:tcW w:w="2811" w:type="dxa"/>
            <w:noWrap/>
            <w:hideMark/>
          </w:tcPr>
          <w:p w:rsidR="0034278F" w:rsidRPr="0034278F" w:rsidRDefault="0034278F">
            <w:proofErr w:type="spellStart"/>
            <w:r w:rsidRPr="0034278F">
              <w:t>NIFEdipine</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lastRenderedPageBreak/>
              <w:t>24:28 Calcium-Channel Blocking Agents</w:t>
            </w:r>
          </w:p>
        </w:tc>
        <w:tc>
          <w:tcPr>
            <w:tcW w:w="2811" w:type="dxa"/>
            <w:noWrap/>
            <w:hideMark/>
          </w:tcPr>
          <w:p w:rsidR="0034278F" w:rsidRPr="0034278F" w:rsidRDefault="0034278F">
            <w:proofErr w:type="spellStart"/>
            <w:r w:rsidRPr="0034278F">
              <w:t>dilTIAZem</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24:28 Calcium-Channel Blocking Agents</w:t>
            </w:r>
          </w:p>
        </w:tc>
        <w:tc>
          <w:tcPr>
            <w:tcW w:w="2811" w:type="dxa"/>
            <w:noWrap/>
            <w:hideMark/>
          </w:tcPr>
          <w:p w:rsidR="0034278F" w:rsidRPr="0034278F" w:rsidRDefault="0034278F">
            <w:r w:rsidRPr="0034278F">
              <w:t xml:space="preserve">Verapamil </w:t>
            </w:r>
          </w:p>
        </w:tc>
        <w:tc>
          <w:tcPr>
            <w:tcW w:w="2336" w:type="dxa"/>
            <w:noWrap/>
            <w:hideMark/>
          </w:tcPr>
          <w:p w:rsidR="0034278F" w:rsidRPr="0034278F" w:rsidRDefault="008C19D2">
            <w:r>
              <w:t>2</w:t>
            </w:r>
          </w:p>
        </w:tc>
      </w:tr>
      <w:tr w:rsidR="0034278F" w:rsidRPr="0034278F" w:rsidTr="0034278F">
        <w:trPr>
          <w:trHeight w:val="290"/>
        </w:trPr>
        <w:tc>
          <w:tcPr>
            <w:tcW w:w="7014" w:type="dxa"/>
            <w:gridSpan w:val="2"/>
            <w:noWrap/>
            <w:hideMark/>
          </w:tcPr>
          <w:p w:rsidR="0034278F" w:rsidRPr="0034278F" w:rsidRDefault="0034278F">
            <w:pPr>
              <w:rPr>
                <w:b/>
                <w:bCs/>
              </w:rPr>
            </w:pPr>
            <w:r w:rsidRPr="0034278F">
              <w:rPr>
                <w:b/>
                <w:bCs/>
              </w:rPr>
              <w:t>28:00 Central Nervous System Drugs</w:t>
            </w:r>
          </w:p>
        </w:tc>
        <w:tc>
          <w:tcPr>
            <w:tcW w:w="2336" w:type="dxa"/>
            <w:noWrap/>
            <w:hideMark/>
          </w:tcPr>
          <w:p w:rsidR="0034278F" w:rsidRPr="0034278F" w:rsidRDefault="0034278F">
            <w:r w:rsidRPr="0034278F">
              <w:t> </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fentaNYL</w:t>
            </w:r>
            <w:proofErr w:type="spellEnd"/>
            <w:r w:rsidRPr="0034278F">
              <w:t xml:space="preserve"> </w:t>
            </w:r>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HYDROcodone</w:t>
            </w:r>
            <w:proofErr w:type="spellEnd"/>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Meperidine</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oxyCODONE</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traMADol</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PHENobarbital</w:t>
            </w:r>
            <w:proofErr w:type="spellEnd"/>
            <w:r w:rsidRPr="0034278F">
              <w:t xml:space="preserve"> </w:t>
            </w:r>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Primidone</w:t>
            </w:r>
            <w:proofErr w:type="spellEnd"/>
            <w:r w:rsidRPr="0034278F">
              <w:t xml:space="preserve"> </w:t>
            </w:r>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r w:rsidRPr="0034278F">
              <w:t xml:space="preserve">Phenytoin </w:t>
            </w:r>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carBAMazepine</w:t>
            </w:r>
            <w:proofErr w:type="spellEnd"/>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Eslicarbazepine</w:t>
            </w:r>
            <w:proofErr w:type="spellEnd"/>
            <w:r w:rsidRPr="0034278F">
              <w:t xml:space="preserve"> </w:t>
            </w:r>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Oxcarbazepine</w:t>
            </w:r>
            <w:proofErr w:type="spellEnd"/>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ARIPiprazole</w:t>
            </w:r>
            <w:proofErr w:type="spellEnd"/>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Brexpiprazole</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cloZAPine</w:t>
            </w:r>
            <w:proofErr w:type="spellEnd"/>
            <w:r w:rsidRPr="0034278F">
              <w:t xml:space="preserve"> </w:t>
            </w:r>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Lurasidone</w:t>
            </w:r>
            <w:proofErr w:type="spellEnd"/>
            <w:r w:rsidRPr="0034278F">
              <w:t xml:space="preserve"> </w:t>
            </w:r>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QUEtiapine</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risperiDONE</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Ziprasidone</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Pimozide</w:t>
            </w:r>
            <w:proofErr w:type="spellEnd"/>
            <w:r w:rsidRPr="0034278F">
              <w:t xml:space="preserve"> </w:t>
            </w:r>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Modafinil</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ALPRAZolam</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Clorazepate</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diazePAM</w:t>
            </w:r>
            <w:proofErr w:type="spellEnd"/>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Flurazepam</w:t>
            </w:r>
            <w:proofErr w:type="spellEnd"/>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r w:rsidRPr="0034278F">
              <w:t>Midazolam</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Triazolam</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clonazePAM</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Nitrazepam</w:t>
            </w:r>
            <w:proofErr w:type="spellEnd"/>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busPIRone</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Zolpidem</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Zopiclone</w:t>
            </w:r>
            <w:proofErr w:type="spellEnd"/>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proofErr w:type="spellStart"/>
            <w:r w:rsidRPr="0034278F">
              <w:t>Dihydroergotamine</w:t>
            </w:r>
            <w:proofErr w:type="spellEnd"/>
            <w:r w:rsidRPr="0034278F">
              <w:t xml:space="preserve"> </w:t>
            </w:r>
            <w:proofErr w:type="spellStart"/>
            <w:r w:rsidRPr="0034278F">
              <w:t>Mesylate</w:t>
            </w:r>
            <w:proofErr w:type="spellEnd"/>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28:00 Central Nervous System Drugs</w:t>
            </w:r>
          </w:p>
        </w:tc>
        <w:tc>
          <w:tcPr>
            <w:tcW w:w="2811" w:type="dxa"/>
            <w:noWrap/>
            <w:hideMark/>
          </w:tcPr>
          <w:p w:rsidR="0034278F" w:rsidRPr="0034278F" w:rsidRDefault="0034278F">
            <w:r w:rsidRPr="0034278F">
              <w:t>Ergotamine</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pPr>
              <w:rPr>
                <w:b/>
                <w:bCs/>
              </w:rPr>
            </w:pPr>
            <w:r w:rsidRPr="0034278F">
              <w:rPr>
                <w:b/>
                <w:bCs/>
              </w:rPr>
              <w:t>56:00 Gastrointestinal Drugs</w:t>
            </w:r>
          </w:p>
        </w:tc>
        <w:tc>
          <w:tcPr>
            <w:tcW w:w="2811" w:type="dxa"/>
            <w:noWrap/>
            <w:hideMark/>
          </w:tcPr>
          <w:p w:rsidR="0034278F" w:rsidRPr="0034278F" w:rsidRDefault="0034278F">
            <w:r w:rsidRPr="0034278F">
              <w:t> </w:t>
            </w:r>
          </w:p>
        </w:tc>
        <w:tc>
          <w:tcPr>
            <w:tcW w:w="2336" w:type="dxa"/>
            <w:noWrap/>
            <w:hideMark/>
          </w:tcPr>
          <w:p w:rsidR="0034278F" w:rsidRPr="0034278F" w:rsidRDefault="0034278F">
            <w:r w:rsidRPr="0034278F">
              <w:t> </w:t>
            </w:r>
          </w:p>
        </w:tc>
      </w:tr>
      <w:tr w:rsidR="0034278F" w:rsidRPr="0034278F" w:rsidTr="0034278F">
        <w:trPr>
          <w:trHeight w:val="290"/>
        </w:trPr>
        <w:tc>
          <w:tcPr>
            <w:tcW w:w="4203" w:type="dxa"/>
            <w:noWrap/>
            <w:hideMark/>
          </w:tcPr>
          <w:p w:rsidR="0034278F" w:rsidRPr="0034278F" w:rsidRDefault="0034278F">
            <w:r w:rsidRPr="0034278F">
              <w:t>56:00 Gastrointestinal Drugs</w:t>
            </w:r>
          </w:p>
        </w:tc>
        <w:tc>
          <w:tcPr>
            <w:tcW w:w="2811" w:type="dxa"/>
            <w:noWrap/>
            <w:hideMark/>
          </w:tcPr>
          <w:p w:rsidR="0034278F" w:rsidRPr="0034278F" w:rsidRDefault="0034278F">
            <w:proofErr w:type="spellStart"/>
            <w:r w:rsidRPr="0034278F">
              <w:t>Cisapride</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7014" w:type="dxa"/>
            <w:gridSpan w:val="2"/>
            <w:noWrap/>
            <w:hideMark/>
          </w:tcPr>
          <w:p w:rsidR="0034278F" w:rsidRPr="0034278F" w:rsidRDefault="0034278F">
            <w:pPr>
              <w:rPr>
                <w:b/>
                <w:bCs/>
              </w:rPr>
            </w:pPr>
            <w:r w:rsidRPr="0034278F">
              <w:rPr>
                <w:b/>
                <w:bCs/>
              </w:rPr>
              <w:t>68:00 Hormones and Synthetic Substitutes</w:t>
            </w:r>
          </w:p>
        </w:tc>
        <w:tc>
          <w:tcPr>
            <w:tcW w:w="2336" w:type="dxa"/>
            <w:noWrap/>
            <w:hideMark/>
          </w:tcPr>
          <w:p w:rsidR="0034278F" w:rsidRPr="0034278F" w:rsidRDefault="0034278F">
            <w:r w:rsidRPr="0034278F">
              <w:t> </w:t>
            </w:r>
          </w:p>
        </w:tc>
      </w:tr>
      <w:tr w:rsidR="0034278F" w:rsidRPr="0034278F" w:rsidTr="0034278F">
        <w:trPr>
          <w:trHeight w:val="290"/>
        </w:trPr>
        <w:tc>
          <w:tcPr>
            <w:tcW w:w="4203" w:type="dxa"/>
            <w:noWrap/>
            <w:hideMark/>
          </w:tcPr>
          <w:p w:rsidR="0034278F" w:rsidRPr="0034278F" w:rsidRDefault="0034278F">
            <w:r w:rsidRPr="0034278F">
              <w:lastRenderedPageBreak/>
              <w:t>68:00 Hormones and Synthetic Substitutes</w:t>
            </w:r>
          </w:p>
        </w:tc>
        <w:tc>
          <w:tcPr>
            <w:tcW w:w="2811" w:type="dxa"/>
            <w:noWrap/>
            <w:hideMark/>
          </w:tcPr>
          <w:p w:rsidR="0034278F" w:rsidRPr="0034278F" w:rsidRDefault="0034278F">
            <w:r w:rsidRPr="0034278F">
              <w:t>Dexamethasone</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68:00 Hormones and Synthetic Substitutes</w:t>
            </w:r>
          </w:p>
        </w:tc>
        <w:tc>
          <w:tcPr>
            <w:tcW w:w="2811" w:type="dxa"/>
            <w:noWrap/>
            <w:hideMark/>
          </w:tcPr>
          <w:p w:rsidR="0034278F" w:rsidRPr="0034278F" w:rsidRDefault="0034278F">
            <w:proofErr w:type="spellStart"/>
            <w:r w:rsidRPr="0034278F">
              <w:t>Elagolix</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pPr>
              <w:rPr>
                <w:b/>
                <w:bCs/>
              </w:rPr>
            </w:pPr>
            <w:r w:rsidRPr="0034278F">
              <w:rPr>
                <w:b/>
                <w:bCs/>
              </w:rPr>
              <w:t xml:space="preserve">76:00 </w:t>
            </w:r>
            <w:proofErr w:type="spellStart"/>
            <w:r w:rsidRPr="0034278F">
              <w:rPr>
                <w:b/>
                <w:bCs/>
              </w:rPr>
              <w:t>Oxytocics</w:t>
            </w:r>
            <w:proofErr w:type="spellEnd"/>
          </w:p>
        </w:tc>
        <w:tc>
          <w:tcPr>
            <w:tcW w:w="2811" w:type="dxa"/>
            <w:noWrap/>
            <w:hideMark/>
          </w:tcPr>
          <w:p w:rsidR="0034278F" w:rsidRPr="0034278F" w:rsidRDefault="0034278F">
            <w:r w:rsidRPr="0034278F">
              <w:t> </w:t>
            </w:r>
          </w:p>
        </w:tc>
        <w:tc>
          <w:tcPr>
            <w:tcW w:w="2336" w:type="dxa"/>
            <w:noWrap/>
            <w:hideMark/>
          </w:tcPr>
          <w:p w:rsidR="0034278F" w:rsidRPr="0034278F" w:rsidRDefault="0034278F">
            <w:r w:rsidRPr="0034278F">
              <w:t> </w:t>
            </w:r>
          </w:p>
        </w:tc>
      </w:tr>
      <w:tr w:rsidR="0034278F" w:rsidRPr="0034278F" w:rsidTr="0034278F">
        <w:trPr>
          <w:trHeight w:val="290"/>
        </w:trPr>
        <w:tc>
          <w:tcPr>
            <w:tcW w:w="4203" w:type="dxa"/>
            <w:noWrap/>
            <w:hideMark/>
          </w:tcPr>
          <w:p w:rsidR="0034278F" w:rsidRPr="0034278F" w:rsidRDefault="0034278F">
            <w:r w:rsidRPr="0034278F">
              <w:t xml:space="preserve">76:00 </w:t>
            </w:r>
            <w:proofErr w:type="spellStart"/>
            <w:r w:rsidRPr="0034278F">
              <w:t>Oxytocics</w:t>
            </w:r>
            <w:proofErr w:type="spellEnd"/>
          </w:p>
        </w:tc>
        <w:tc>
          <w:tcPr>
            <w:tcW w:w="2811" w:type="dxa"/>
            <w:noWrap/>
            <w:hideMark/>
          </w:tcPr>
          <w:p w:rsidR="0034278F" w:rsidRPr="0034278F" w:rsidRDefault="0034278F">
            <w:proofErr w:type="spellStart"/>
            <w:r w:rsidRPr="0034278F">
              <w:t>Ergonavine</w:t>
            </w:r>
            <w:proofErr w:type="spellEnd"/>
            <w:r w:rsidRPr="0034278F">
              <w:t>/</w:t>
            </w:r>
            <w:proofErr w:type="spellStart"/>
            <w:r w:rsidRPr="0034278F">
              <w:t>Methylergonovine</w:t>
            </w:r>
            <w:proofErr w:type="spellEnd"/>
          </w:p>
        </w:tc>
        <w:tc>
          <w:tcPr>
            <w:tcW w:w="2336" w:type="dxa"/>
            <w:noWrap/>
            <w:hideMark/>
          </w:tcPr>
          <w:p w:rsidR="0034278F" w:rsidRPr="0034278F" w:rsidRDefault="008C19D2">
            <w:r>
              <w:t>2</w:t>
            </w:r>
          </w:p>
        </w:tc>
      </w:tr>
      <w:tr w:rsidR="0034278F" w:rsidRPr="0034278F" w:rsidTr="0034278F">
        <w:trPr>
          <w:trHeight w:val="290"/>
        </w:trPr>
        <w:tc>
          <w:tcPr>
            <w:tcW w:w="7014" w:type="dxa"/>
            <w:gridSpan w:val="2"/>
            <w:noWrap/>
            <w:hideMark/>
          </w:tcPr>
          <w:p w:rsidR="0034278F" w:rsidRPr="0034278F" w:rsidRDefault="0034278F">
            <w:pPr>
              <w:rPr>
                <w:b/>
                <w:bCs/>
              </w:rPr>
            </w:pPr>
            <w:r w:rsidRPr="0034278F">
              <w:rPr>
                <w:b/>
                <w:bCs/>
              </w:rPr>
              <w:t>92:00 Miscellaneous Therapeutic Agents</w:t>
            </w:r>
          </w:p>
        </w:tc>
        <w:tc>
          <w:tcPr>
            <w:tcW w:w="2336" w:type="dxa"/>
            <w:noWrap/>
            <w:hideMark/>
          </w:tcPr>
          <w:p w:rsidR="0034278F" w:rsidRPr="0034278F" w:rsidRDefault="0034278F">
            <w:pPr>
              <w:rPr>
                <w:b/>
                <w:bCs/>
              </w:rPr>
            </w:pPr>
            <w:r w:rsidRPr="0034278F">
              <w:rPr>
                <w:b/>
                <w:bCs/>
              </w:rPr>
              <w:t> </w:t>
            </w:r>
          </w:p>
        </w:tc>
      </w:tr>
      <w:tr w:rsidR="0034278F" w:rsidRPr="0034278F" w:rsidTr="0034278F">
        <w:trPr>
          <w:trHeight w:val="290"/>
        </w:trPr>
        <w:tc>
          <w:tcPr>
            <w:tcW w:w="4203" w:type="dxa"/>
            <w:noWrap/>
            <w:hideMark/>
          </w:tcPr>
          <w:p w:rsidR="0034278F" w:rsidRPr="0034278F" w:rsidRDefault="0034278F">
            <w:r w:rsidRPr="0034278F">
              <w:t>92:00 Miscellaneous Therapeutic Agents</w:t>
            </w:r>
          </w:p>
        </w:tc>
        <w:tc>
          <w:tcPr>
            <w:tcW w:w="2811" w:type="dxa"/>
            <w:noWrap/>
            <w:hideMark/>
          </w:tcPr>
          <w:p w:rsidR="0034278F" w:rsidRPr="0034278F" w:rsidRDefault="0034278F">
            <w:r w:rsidRPr="0034278F">
              <w:t xml:space="preserve">Colchicine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92:00 Miscellaneous Therapeutic Agents</w:t>
            </w:r>
          </w:p>
        </w:tc>
        <w:tc>
          <w:tcPr>
            <w:tcW w:w="2811" w:type="dxa"/>
            <w:noWrap/>
            <w:hideMark/>
          </w:tcPr>
          <w:p w:rsidR="0034278F" w:rsidRPr="0034278F" w:rsidRDefault="0034278F">
            <w:proofErr w:type="spellStart"/>
            <w:r w:rsidRPr="0034278F">
              <w:t>cycloSPORINE</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92:00 Miscellaneous Therapeutic Agents</w:t>
            </w:r>
          </w:p>
        </w:tc>
        <w:tc>
          <w:tcPr>
            <w:tcW w:w="2811" w:type="dxa"/>
            <w:noWrap/>
            <w:hideMark/>
          </w:tcPr>
          <w:p w:rsidR="0034278F" w:rsidRPr="0034278F" w:rsidRDefault="0034278F">
            <w:proofErr w:type="spellStart"/>
            <w:r w:rsidRPr="0034278F">
              <w:t>Sirolimus</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92:00 Miscellaneous Therapeutic Agents</w:t>
            </w:r>
          </w:p>
        </w:tc>
        <w:tc>
          <w:tcPr>
            <w:tcW w:w="2811" w:type="dxa"/>
            <w:noWrap/>
            <w:hideMark/>
          </w:tcPr>
          <w:p w:rsidR="0034278F" w:rsidRPr="0034278F" w:rsidRDefault="0034278F">
            <w:proofErr w:type="spellStart"/>
            <w:r w:rsidRPr="0034278F">
              <w:t>Tacrolimus</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92:00 Miscellaneous Therapeutic Agents</w:t>
            </w:r>
          </w:p>
        </w:tc>
        <w:tc>
          <w:tcPr>
            <w:tcW w:w="2811" w:type="dxa"/>
            <w:noWrap/>
            <w:hideMark/>
          </w:tcPr>
          <w:p w:rsidR="0034278F" w:rsidRPr="0034278F" w:rsidRDefault="0034278F">
            <w:proofErr w:type="spellStart"/>
            <w:r w:rsidRPr="0034278F">
              <w:t>Everolimus</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r w:rsidRPr="0034278F">
              <w:t>92:00 Miscellaneous Therapeutic Agents</w:t>
            </w:r>
          </w:p>
        </w:tc>
        <w:tc>
          <w:tcPr>
            <w:tcW w:w="2811" w:type="dxa"/>
            <w:noWrap/>
            <w:hideMark/>
          </w:tcPr>
          <w:p w:rsidR="0034278F" w:rsidRPr="0034278F" w:rsidRDefault="0034278F">
            <w:proofErr w:type="spellStart"/>
            <w:r w:rsidRPr="0034278F">
              <w:t>Tacrolimus</w:t>
            </w:r>
            <w:proofErr w:type="spellEnd"/>
            <w:r w:rsidRPr="0034278F">
              <w:t xml:space="preserve"> </w:t>
            </w:r>
          </w:p>
        </w:tc>
        <w:tc>
          <w:tcPr>
            <w:tcW w:w="2336" w:type="dxa"/>
            <w:noWrap/>
            <w:hideMark/>
          </w:tcPr>
          <w:p w:rsidR="0034278F" w:rsidRPr="0034278F" w:rsidRDefault="008C19D2">
            <w:r>
              <w:t>2</w:t>
            </w:r>
          </w:p>
        </w:tc>
      </w:tr>
      <w:tr w:rsidR="0034278F" w:rsidRPr="0034278F" w:rsidTr="0034278F">
        <w:trPr>
          <w:trHeight w:val="290"/>
        </w:trPr>
        <w:tc>
          <w:tcPr>
            <w:tcW w:w="4203" w:type="dxa"/>
            <w:noWrap/>
            <w:hideMark/>
          </w:tcPr>
          <w:p w:rsidR="0034278F" w:rsidRPr="0034278F" w:rsidRDefault="0034278F">
            <w:pPr>
              <w:rPr>
                <w:b/>
                <w:bCs/>
              </w:rPr>
            </w:pPr>
            <w:r w:rsidRPr="0034278F">
              <w:rPr>
                <w:b/>
                <w:bCs/>
              </w:rPr>
              <w:t>Other</w:t>
            </w:r>
          </w:p>
        </w:tc>
        <w:tc>
          <w:tcPr>
            <w:tcW w:w="2811" w:type="dxa"/>
            <w:noWrap/>
            <w:hideMark/>
          </w:tcPr>
          <w:p w:rsidR="0034278F" w:rsidRPr="0034278F" w:rsidRDefault="0034278F">
            <w:r w:rsidRPr="0034278F">
              <w:t> </w:t>
            </w:r>
          </w:p>
        </w:tc>
        <w:tc>
          <w:tcPr>
            <w:tcW w:w="2336" w:type="dxa"/>
            <w:noWrap/>
            <w:hideMark/>
          </w:tcPr>
          <w:p w:rsidR="0034278F" w:rsidRPr="0034278F" w:rsidRDefault="0034278F">
            <w:r w:rsidRPr="0034278F">
              <w:t> </w:t>
            </w:r>
          </w:p>
        </w:tc>
      </w:tr>
      <w:tr w:rsidR="0034278F" w:rsidRPr="0034278F" w:rsidTr="0034278F">
        <w:trPr>
          <w:trHeight w:val="290"/>
        </w:trPr>
        <w:tc>
          <w:tcPr>
            <w:tcW w:w="4203" w:type="dxa"/>
            <w:noWrap/>
            <w:hideMark/>
          </w:tcPr>
          <w:p w:rsidR="0034278F" w:rsidRPr="0034278F" w:rsidRDefault="0034278F">
            <w:r w:rsidRPr="0034278F">
              <w:t>Other</w:t>
            </w:r>
          </w:p>
        </w:tc>
        <w:tc>
          <w:tcPr>
            <w:tcW w:w="2811" w:type="dxa"/>
            <w:noWrap/>
            <w:hideMark/>
          </w:tcPr>
          <w:p w:rsidR="0034278F" w:rsidRPr="0034278F" w:rsidRDefault="0034278F">
            <w:r w:rsidRPr="0034278F">
              <w:t xml:space="preserve">St. John's </w:t>
            </w:r>
            <w:proofErr w:type="spellStart"/>
            <w:r w:rsidRPr="0034278F">
              <w:t>Wort</w:t>
            </w:r>
            <w:proofErr w:type="spellEnd"/>
          </w:p>
        </w:tc>
        <w:tc>
          <w:tcPr>
            <w:tcW w:w="2336" w:type="dxa"/>
            <w:noWrap/>
            <w:hideMark/>
          </w:tcPr>
          <w:p w:rsidR="0034278F" w:rsidRPr="0034278F" w:rsidRDefault="008C19D2">
            <w:r>
              <w:t>1</w:t>
            </w:r>
          </w:p>
        </w:tc>
      </w:tr>
      <w:tr w:rsidR="0034278F" w:rsidRPr="0034278F" w:rsidTr="0034278F">
        <w:trPr>
          <w:trHeight w:val="290"/>
        </w:trPr>
        <w:tc>
          <w:tcPr>
            <w:tcW w:w="4203" w:type="dxa"/>
            <w:noWrap/>
            <w:hideMark/>
          </w:tcPr>
          <w:p w:rsidR="0034278F" w:rsidRPr="0034278F" w:rsidRDefault="0034278F"/>
        </w:tc>
        <w:tc>
          <w:tcPr>
            <w:tcW w:w="2811" w:type="dxa"/>
            <w:noWrap/>
            <w:hideMark/>
          </w:tcPr>
          <w:p w:rsidR="0034278F" w:rsidRPr="0034278F" w:rsidRDefault="0034278F"/>
        </w:tc>
        <w:tc>
          <w:tcPr>
            <w:tcW w:w="2336" w:type="dxa"/>
            <w:noWrap/>
            <w:hideMark/>
          </w:tcPr>
          <w:p w:rsidR="0034278F" w:rsidRPr="0034278F" w:rsidRDefault="0034278F"/>
        </w:tc>
      </w:tr>
      <w:tr w:rsidR="0034278F" w:rsidRPr="0034278F" w:rsidTr="006B0C57">
        <w:trPr>
          <w:trHeight w:val="3190"/>
        </w:trPr>
        <w:tc>
          <w:tcPr>
            <w:tcW w:w="9350" w:type="dxa"/>
            <w:gridSpan w:val="3"/>
            <w:hideMark/>
          </w:tcPr>
          <w:p w:rsidR="0034278F" w:rsidRPr="0034278F" w:rsidRDefault="0034278F">
            <w:r w:rsidRPr="0034278F">
              <w:rPr>
                <w:b/>
                <w:bCs/>
              </w:rPr>
              <w:t>Source</w:t>
            </w:r>
            <w:r w:rsidRPr="0034278F">
              <w:t xml:space="preserve">: Ontario COVID-19 Drugs and Biologics Clinical Practice Guidelines Working Group, University of Waterloo School of Pharmacy. </w:t>
            </w:r>
            <w:proofErr w:type="spellStart"/>
            <w:r w:rsidRPr="0034278F">
              <w:t>Nirmatrelvir</w:t>
            </w:r>
            <w:proofErr w:type="spellEnd"/>
            <w:r w:rsidRPr="0034278F">
              <w:t>/Ritonavir (</w:t>
            </w:r>
            <w:proofErr w:type="spellStart"/>
            <w:r w:rsidRPr="0034278F">
              <w:t>Paxlovid</w:t>
            </w:r>
            <w:proofErr w:type="spellEnd"/>
            <w:r w:rsidRPr="0034278F">
              <w:t xml:space="preserve">): What prescribers and pharmacists need to </w:t>
            </w:r>
            <w:proofErr w:type="gramStart"/>
            <w:r w:rsidRPr="0034278F">
              <w:t>know.</w:t>
            </w:r>
            <w:proofErr w:type="gramEnd"/>
            <w:r w:rsidRPr="0034278F">
              <w:t xml:space="preserve"> Ontario COVID-19 Science Advisory Table. 2022</w:t>
            </w:r>
            <w:proofErr w:type="gramStart"/>
            <w:r w:rsidRPr="0034278F">
              <w:t>;3</w:t>
            </w:r>
            <w:proofErr w:type="gramEnd"/>
            <w:r w:rsidRPr="0034278F">
              <w:t>(58). https://doi.org/10.47326/ocsat.2022.03.58.1.0</w:t>
            </w:r>
          </w:p>
        </w:tc>
      </w:tr>
    </w:tbl>
    <w:p w:rsidR="00961841" w:rsidRDefault="00961841" w:rsidP="00D212AB">
      <w:pPr>
        <w:rPr>
          <w:lang w:val="en-US"/>
        </w:rPr>
      </w:pPr>
    </w:p>
    <w:p w:rsidR="00EE6A6B" w:rsidRDefault="00EE6A6B">
      <w:pPr>
        <w:spacing w:after="160" w:line="259" w:lineRule="auto"/>
        <w:rPr>
          <w:lang w:val="en-US"/>
        </w:rPr>
      </w:pPr>
      <w:r>
        <w:rPr>
          <w:lang w:val="en-US"/>
        </w:rPr>
        <w:br w:type="page"/>
      </w:r>
    </w:p>
    <w:p w:rsidR="00823EC8" w:rsidRDefault="00823EC8" w:rsidP="00D212AB">
      <w:pPr>
        <w:rPr>
          <w:lang w:val="en-US"/>
        </w:rPr>
      </w:pPr>
      <w:r>
        <w:rPr>
          <w:lang w:val="en-US"/>
        </w:rPr>
        <w:lastRenderedPageBreak/>
        <w:t>T</w:t>
      </w:r>
      <w:r w:rsidR="00841EAC">
        <w:rPr>
          <w:lang w:val="en-US"/>
        </w:rPr>
        <w:t xml:space="preserve">able S3: Pre-weighted variable numbers </w:t>
      </w:r>
      <w:r>
        <w:rPr>
          <w:lang w:val="en-US"/>
        </w:rPr>
        <w:t>for stratification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843"/>
        <w:gridCol w:w="1984"/>
        <w:gridCol w:w="1701"/>
      </w:tblGrid>
      <w:tr w:rsidR="00823EC8" w:rsidRPr="00231431" w:rsidTr="00A03C21">
        <w:trPr>
          <w:trHeight w:val="290"/>
        </w:trPr>
        <w:tc>
          <w:tcPr>
            <w:tcW w:w="3544" w:type="dxa"/>
            <w:tcBorders>
              <w:top w:val="single" w:sz="4" w:space="0" w:color="auto"/>
              <w:bottom w:val="single" w:sz="4" w:space="0" w:color="auto"/>
            </w:tcBorders>
            <w:noWrap/>
            <w:hideMark/>
          </w:tcPr>
          <w:p w:rsidR="00823EC8" w:rsidRPr="00F451EE" w:rsidRDefault="00823EC8" w:rsidP="00823EC8">
            <w:pPr>
              <w:rPr>
                <w:rFonts w:ascii="Calibri" w:eastAsia="Times New Roman" w:hAnsi="Calibri" w:cs="Calibri"/>
                <w:b/>
                <w:lang w:eastAsia="en-CA"/>
              </w:rPr>
            </w:pPr>
            <w:r w:rsidRPr="00F451EE">
              <w:rPr>
                <w:rFonts w:ascii="Calibri" w:eastAsia="Times New Roman" w:hAnsi="Calibri" w:cs="Calibri"/>
                <w:b/>
                <w:lang w:eastAsia="en-CA"/>
              </w:rPr>
              <w:t>variable</w:t>
            </w:r>
          </w:p>
        </w:tc>
        <w:tc>
          <w:tcPr>
            <w:tcW w:w="1843" w:type="dxa"/>
            <w:tcBorders>
              <w:top w:val="single" w:sz="4" w:space="0" w:color="auto"/>
              <w:bottom w:val="single" w:sz="4" w:space="0" w:color="auto"/>
            </w:tcBorders>
            <w:noWrap/>
            <w:hideMark/>
          </w:tcPr>
          <w:p w:rsidR="00823EC8" w:rsidRPr="00F451EE" w:rsidRDefault="00823EC8" w:rsidP="00823EC8">
            <w:pPr>
              <w:rPr>
                <w:rFonts w:ascii="Calibri" w:eastAsia="Times New Roman" w:hAnsi="Calibri" w:cs="Calibri"/>
                <w:b/>
                <w:lang w:eastAsia="en-CA"/>
              </w:rPr>
            </w:pPr>
            <w:r>
              <w:rPr>
                <w:rFonts w:ascii="Calibri" w:eastAsia="Times New Roman" w:hAnsi="Calibri" w:cs="Calibri"/>
                <w:b/>
                <w:lang w:eastAsia="en-CA"/>
              </w:rPr>
              <w:t>Total</w:t>
            </w:r>
            <w:r w:rsidR="0076025F">
              <w:rPr>
                <w:rFonts w:ascii="Calibri" w:eastAsia="Times New Roman" w:hAnsi="Calibri" w:cs="Calibri"/>
                <w:b/>
                <w:lang w:eastAsia="en-CA"/>
              </w:rPr>
              <w:t xml:space="preserve"> n=177,545</w:t>
            </w:r>
          </w:p>
        </w:tc>
        <w:tc>
          <w:tcPr>
            <w:tcW w:w="1984" w:type="dxa"/>
            <w:tcBorders>
              <w:top w:val="single" w:sz="4" w:space="0" w:color="auto"/>
              <w:bottom w:val="single" w:sz="4" w:space="0" w:color="auto"/>
            </w:tcBorders>
            <w:noWrap/>
            <w:hideMark/>
          </w:tcPr>
          <w:p w:rsidR="00823EC8" w:rsidRPr="00F451EE" w:rsidRDefault="00823EC8" w:rsidP="00823EC8">
            <w:pPr>
              <w:rPr>
                <w:rFonts w:ascii="Calibri" w:eastAsia="Times New Roman" w:hAnsi="Calibri" w:cs="Calibri"/>
                <w:b/>
                <w:lang w:eastAsia="en-CA"/>
              </w:rPr>
            </w:pPr>
            <w:r>
              <w:rPr>
                <w:rFonts w:ascii="Calibri" w:eastAsia="Times New Roman" w:hAnsi="Calibri" w:cs="Calibri"/>
                <w:b/>
                <w:lang w:eastAsia="en-CA"/>
              </w:rPr>
              <w:t>Unexposed</w:t>
            </w:r>
            <w:r w:rsidRPr="00F451EE">
              <w:rPr>
                <w:rFonts w:ascii="Calibri" w:eastAsia="Times New Roman" w:hAnsi="Calibri" w:cs="Calibri"/>
                <w:b/>
                <w:lang w:eastAsia="en-CA"/>
              </w:rPr>
              <w:t xml:space="preserve"> </w:t>
            </w:r>
            <w:r w:rsidR="0076025F">
              <w:rPr>
                <w:rFonts w:ascii="Calibri" w:eastAsia="Times New Roman" w:hAnsi="Calibri" w:cs="Calibri"/>
                <w:b/>
                <w:lang w:eastAsia="en-CA"/>
              </w:rPr>
              <w:t>n=168,669</w:t>
            </w:r>
            <w:r w:rsidRPr="00231431">
              <w:rPr>
                <w:rFonts w:ascii="Calibri" w:eastAsia="Times New Roman" w:hAnsi="Calibri" w:cs="Calibri"/>
                <w:b/>
                <w:lang w:eastAsia="en-CA"/>
              </w:rPr>
              <w:t xml:space="preserve"> </w:t>
            </w:r>
          </w:p>
        </w:tc>
        <w:tc>
          <w:tcPr>
            <w:tcW w:w="1701" w:type="dxa"/>
            <w:tcBorders>
              <w:top w:val="single" w:sz="4" w:space="0" w:color="auto"/>
              <w:bottom w:val="single" w:sz="4" w:space="0" w:color="auto"/>
            </w:tcBorders>
            <w:noWrap/>
            <w:hideMark/>
          </w:tcPr>
          <w:p w:rsidR="00823EC8" w:rsidRPr="00F451EE" w:rsidRDefault="0076025F" w:rsidP="00823EC8">
            <w:pPr>
              <w:rPr>
                <w:rFonts w:ascii="Calibri" w:eastAsia="Times New Roman" w:hAnsi="Calibri" w:cs="Calibri"/>
                <w:b/>
                <w:lang w:eastAsia="en-CA"/>
              </w:rPr>
            </w:pPr>
            <w:r>
              <w:rPr>
                <w:rFonts w:ascii="Calibri" w:eastAsia="Times New Roman" w:hAnsi="Calibri" w:cs="Calibri"/>
                <w:b/>
                <w:lang w:eastAsia="en-CA"/>
              </w:rPr>
              <w:t>Exposed n=8,876</w:t>
            </w:r>
          </w:p>
        </w:tc>
      </w:tr>
      <w:tr w:rsidR="0076025F" w:rsidRPr="00F451EE" w:rsidTr="00525AAD">
        <w:trPr>
          <w:trHeight w:val="290"/>
        </w:trPr>
        <w:tc>
          <w:tcPr>
            <w:tcW w:w="3544" w:type="dxa"/>
            <w:tcBorders>
              <w:top w:val="single" w:sz="4" w:space="0" w:color="auto"/>
            </w:tcBorders>
            <w:noWrap/>
            <w:hideMark/>
          </w:tcPr>
          <w:p w:rsidR="0076025F" w:rsidRPr="00F451EE" w:rsidRDefault="0076025F" w:rsidP="0076025F">
            <w:pPr>
              <w:rPr>
                <w:rFonts w:ascii="Calibri" w:eastAsia="Times New Roman" w:hAnsi="Calibri" w:cs="Calibri"/>
                <w:b/>
                <w:lang w:eastAsia="en-CA"/>
              </w:rPr>
            </w:pPr>
            <w:r w:rsidRPr="00F451EE">
              <w:rPr>
                <w:rFonts w:ascii="Calibri" w:eastAsia="Times New Roman" w:hAnsi="Calibri" w:cs="Calibri"/>
                <w:b/>
                <w:lang w:eastAsia="en-CA"/>
              </w:rPr>
              <w:t>Age</w:t>
            </w:r>
            <w:r>
              <w:rPr>
                <w:rFonts w:ascii="Calibri" w:eastAsia="Times New Roman" w:hAnsi="Calibri" w:cs="Calibri"/>
                <w:b/>
                <w:lang w:eastAsia="en-CA"/>
              </w:rPr>
              <w:t xml:space="preserve"> &lt;70y</w:t>
            </w:r>
          </w:p>
        </w:tc>
        <w:tc>
          <w:tcPr>
            <w:tcW w:w="1843" w:type="dxa"/>
            <w:tcBorders>
              <w:top w:val="nil"/>
              <w:left w:val="nil"/>
              <w:bottom w:val="nil"/>
              <w:right w:val="nil"/>
            </w:tcBorders>
            <w:shd w:val="clear" w:color="auto" w:fill="auto"/>
            <w:noWrap/>
            <w:hideMark/>
          </w:tcPr>
          <w:p w:rsidR="0076025F" w:rsidRPr="001F6507" w:rsidRDefault="0076025F" w:rsidP="0076025F">
            <w:r w:rsidRPr="001F6507">
              <w:t>132,090 (74.4%)</w:t>
            </w:r>
          </w:p>
        </w:tc>
        <w:tc>
          <w:tcPr>
            <w:tcW w:w="1984" w:type="dxa"/>
            <w:tcBorders>
              <w:top w:val="nil"/>
              <w:left w:val="nil"/>
              <w:bottom w:val="nil"/>
              <w:right w:val="nil"/>
            </w:tcBorders>
            <w:shd w:val="clear" w:color="auto" w:fill="auto"/>
            <w:noWrap/>
            <w:hideMark/>
          </w:tcPr>
          <w:p w:rsidR="0076025F" w:rsidRPr="001F6507" w:rsidRDefault="0076025F" w:rsidP="0076025F">
            <w:r w:rsidRPr="001F6507">
              <w:t>129,647 (76.9%)</w:t>
            </w:r>
          </w:p>
        </w:tc>
        <w:tc>
          <w:tcPr>
            <w:tcW w:w="1701" w:type="dxa"/>
            <w:tcBorders>
              <w:top w:val="nil"/>
              <w:left w:val="nil"/>
              <w:bottom w:val="nil"/>
            </w:tcBorders>
            <w:shd w:val="clear" w:color="auto" w:fill="auto"/>
            <w:noWrap/>
            <w:hideMark/>
          </w:tcPr>
          <w:p w:rsidR="0076025F" w:rsidRPr="001F6507" w:rsidRDefault="0076025F" w:rsidP="0076025F">
            <w:r w:rsidRPr="001F6507">
              <w:t>2,443 (27.5%)</w:t>
            </w:r>
          </w:p>
        </w:tc>
      </w:tr>
      <w:tr w:rsidR="0076025F" w:rsidRPr="00F451EE" w:rsidTr="00525AAD">
        <w:trPr>
          <w:trHeight w:val="290"/>
        </w:trPr>
        <w:tc>
          <w:tcPr>
            <w:tcW w:w="3544" w:type="dxa"/>
            <w:noWrap/>
          </w:tcPr>
          <w:p w:rsidR="0076025F" w:rsidRPr="00F451EE" w:rsidRDefault="0076025F" w:rsidP="0076025F">
            <w:pPr>
              <w:rPr>
                <w:rFonts w:ascii="Calibri" w:eastAsia="Times New Roman" w:hAnsi="Calibri" w:cs="Calibri"/>
                <w:b/>
                <w:lang w:eastAsia="en-CA"/>
              </w:rPr>
            </w:pPr>
            <w:r>
              <w:rPr>
                <w:rFonts w:ascii="Calibri" w:eastAsia="Times New Roman" w:hAnsi="Calibri" w:cs="Calibri"/>
                <w:b/>
                <w:lang w:eastAsia="en-CA"/>
              </w:rPr>
              <w:t>Age 70+y</w:t>
            </w:r>
          </w:p>
        </w:tc>
        <w:tc>
          <w:tcPr>
            <w:tcW w:w="1843" w:type="dxa"/>
            <w:tcBorders>
              <w:top w:val="nil"/>
              <w:left w:val="nil"/>
              <w:bottom w:val="nil"/>
              <w:right w:val="nil"/>
            </w:tcBorders>
            <w:shd w:val="clear" w:color="auto" w:fill="auto"/>
            <w:noWrap/>
          </w:tcPr>
          <w:p w:rsidR="0076025F" w:rsidRPr="001F6507" w:rsidRDefault="0076025F" w:rsidP="0076025F">
            <w:r w:rsidRPr="001F6507">
              <w:t>45,455 (25.6%)</w:t>
            </w:r>
          </w:p>
        </w:tc>
        <w:tc>
          <w:tcPr>
            <w:tcW w:w="1984" w:type="dxa"/>
            <w:tcBorders>
              <w:top w:val="nil"/>
              <w:left w:val="nil"/>
              <w:bottom w:val="nil"/>
              <w:right w:val="nil"/>
            </w:tcBorders>
            <w:shd w:val="clear" w:color="auto" w:fill="auto"/>
            <w:noWrap/>
          </w:tcPr>
          <w:p w:rsidR="0076025F" w:rsidRPr="001F6507" w:rsidRDefault="0076025F" w:rsidP="0076025F">
            <w:r w:rsidRPr="001F6507">
              <w:t>39,022 (23.1%)</w:t>
            </w:r>
          </w:p>
        </w:tc>
        <w:tc>
          <w:tcPr>
            <w:tcW w:w="1701" w:type="dxa"/>
            <w:tcBorders>
              <w:top w:val="nil"/>
              <w:left w:val="nil"/>
              <w:bottom w:val="nil"/>
            </w:tcBorders>
            <w:shd w:val="clear" w:color="auto" w:fill="auto"/>
            <w:noWrap/>
          </w:tcPr>
          <w:p w:rsidR="0076025F" w:rsidRDefault="0076025F" w:rsidP="0076025F">
            <w:r w:rsidRPr="001F6507">
              <w:t>6,433 (72.5%)</w:t>
            </w:r>
          </w:p>
        </w:tc>
      </w:tr>
      <w:tr w:rsidR="0076025F" w:rsidRPr="00F451EE" w:rsidTr="00525AAD">
        <w:trPr>
          <w:trHeight w:val="290"/>
        </w:trPr>
        <w:tc>
          <w:tcPr>
            <w:tcW w:w="3544" w:type="dxa"/>
            <w:shd w:val="clear" w:color="auto" w:fill="E7E6E6" w:themeFill="background2"/>
            <w:noWrap/>
            <w:hideMark/>
          </w:tcPr>
          <w:p w:rsidR="0076025F" w:rsidRPr="00F451EE" w:rsidRDefault="0076025F" w:rsidP="0076025F">
            <w:pPr>
              <w:rPr>
                <w:rFonts w:ascii="Calibri" w:eastAsia="Times New Roman" w:hAnsi="Calibri" w:cs="Calibri"/>
                <w:b/>
                <w:lang w:eastAsia="en-CA"/>
              </w:rPr>
            </w:pPr>
            <w:r>
              <w:rPr>
                <w:rFonts w:ascii="Calibri" w:eastAsia="Times New Roman" w:hAnsi="Calibri" w:cs="Calibri"/>
                <w:b/>
                <w:lang w:eastAsia="en-CA"/>
              </w:rPr>
              <w:t>&gt;0 vaccine doses</w:t>
            </w:r>
          </w:p>
        </w:tc>
        <w:tc>
          <w:tcPr>
            <w:tcW w:w="1843" w:type="dxa"/>
            <w:tcBorders>
              <w:top w:val="nil"/>
              <w:left w:val="nil"/>
              <w:bottom w:val="nil"/>
              <w:right w:val="nil"/>
            </w:tcBorders>
            <w:shd w:val="clear" w:color="auto" w:fill="E7E6E6" w:themeFill="background2"/>
            <w:noWrap/>
            <w:hideMark/>
          </w:tcPr>
          <w:p w:rsidR="0076025F" w:rsidRPr="00474212" w:rsidRDefault="0076025F" w:rsidP="0076025F">
            <w:r w:rsidRPr="00474212">
              <w:t>166,644 (93.9%)</w:t>
            </w:r>
          </w:p>
        </w:tc>
        <w:tc>
          <w:tcPr>
            <w:tcW w:w="1984" w:type="dxa"/>
            <w:tcBorders>
              <w:top w:val="nil"/>
              <w:left w:val="nil"/>
              <w:bottom w:val="nil"/>
              <w:right w:val="nil"/>
            </w:tcBorders>
            <w:shd w:val="clear" w:color="auto" w:fill="E7E6E6" w:themeFill="background2"/>
            <w:noWrap/>
            <w:hideMark/>
          </w:tcPr>
          <w:p w:rsidR="0076025F" w:rsidRPr="00474212" w:rsidRDefault="0076025F" w:rsidP="0076025F">
            <w:r w:rsidRPr="00474212">
              <w:t>158,235 (93.8%)</w:t>
            </w:r>
          </w:p>
        </w:tc>
        <w:tc>
          <w:tcPr>
            <w:tcW w:w="1701" w:type="dxa"/>
            <w:tcBorders>
              <w:top w:val="nil"/>
              <w:left w:val="nil"/>
              <w:bottom w:val="nil"/>
            </w:tcBorders>
            <w:shd w:val="clear" w:color="auto" w:fill="E7E6E6" w:themeFill="background2"/>
            <w:noWrap/>
            <w:hideMark/>
          </w:tcPr>
          <w:p w:rsidR="0076025F" w:rsidRPr="00474212" w:rsidRDefault="0076025F" w:rsidP="0076025F">
            <w:r w:rsidRPr="00474212">
              <w:t>8,409 (94.7%)</w:t>
            </w:r>
          </w:p>
        </w:tc>
      </w:tr>
      <w:tr w:rsidR="0076025F" w:rsidRPr="00F451EE" w:rsidTr="00525AAD">
        <w:trPr>
          <w:trHeight w:val="290"/>
        </w:trPr>
        <w:tc>
          <w:tcPr>
            <w:tcW w:w="3544" w:type="dxa"/>
            <w:shd w:val="clear" w:color="auto" w:fill="E7E6E6" w:themeFill="background2"/>
            <w:noWrap/>
          </w:tcPr>
          <w:p w:rsidR="0076025F" w:rsidRPr="00F451EE" w:rsidRDefault="0076025F" w:rsidP="0076025F">
            <w:pPr>
              <w:rPr>
                <w:rFonts w:ascii="Calibri" w:eastAsia="Times New Roman" w:hAnsi="Calibri" w:cs="Calibri"/>
                <w:b/>
                <w:lang w:eastAsia="en-CA"/>
              </w:rPr>
            </w:pPr>
            <w:r>
              <w:rPr>
                <w:rFonts w:ascii="Calibri" w:eastAsia="Times New Roman" w:hAnsi="Calibri" w:cs="Calibri"/>
                <w:b/>
                <w:lang w:eastAsia="en-CA"/>
              </w:rPr>
              <w:t>0 vaccine doses</w:t>
            </w:r>
          </w:p>
        </w:tc>
        <w:tc>
          <w:tcPr>
            <w:tcW w:w="1843" w:type="dxa"/>
            <w:tcBorders>
              <w:top w:val="nil"/>
              <w:left w:val="nil"/>
              <w:bottom w:val="nil"/>
              <w:right w:val="nil"/>
            </w:tcBorders>
            <w:shd w:val="clear" w:color="auto" w:fill="E7E6E6" w:themeFill="background2"/>
            <w:noWrap/>
          </w:tcPr>
          <w:p w:rsidR="0076025F" w:rsidRPr="00474212" w:rsidRDefault="0076025F" w:rsidP="0076025F">
            <w:r w:rsidRPr="00474212">
              <w:t>10,901 (6.1%)</w:t>
            </w:r>
          </w:p>
        </w:tc>
        <w:tc>
          <w:tcPr>
            <w:tcW w:w="1984" w:type="dxa"/>
            <w:tcBorders>
              <w:top w:val="nil"/>
              <w:left w:val="nil"/>
              <w:bottom w:val="nil"/>
              <w:right w:val="nil"/>
            </w:tcBorders>
            <w:shd w:val="clear" w:color="auto" w:fill="E7E6E6" w:themeFill="background2"/>
            <w:noWrap/>
          </w:tcPr>
          <w:p w:rsidR="0076025F" w:rsidRPr="00474212" w:rsidRDefault="0076025F" w:rsidP="0076025F">
            <w:r w:rsidRPr="00474212">
              <w:t>10,434 (6.2%)</w:t>
            </w:r>
          </w:p>
        </w:tc>
        <w:tc>
          <w:tcPr>
            <w:tcW w:w="1701" w:type="dxa"/>
            <w:tcBorders>
              <w:top w:val="nil"/>
              <w:left w:val="nil"/>
              <w:bottom w:val="nil"/>
            </w:tcBorders>
            <w:shd w:val="clear" w:color="auto" w:fill="E7E6E6" w:themeFill="background2"/>
            <w:noWrap/>
          </w:tcPr>
          <w:p w:rsidR="0076025F" w:rsidRDefault="0076025F" w:rsidP="0076025F">
            <w:r w:rsidRPr="00474212">
              <w:t>467 (5.3%)</w:t>
            </w:r>
          </w:p>
        </w:tc>
      </w:tr>
      <w:tr w:rsidR="0076025F" w:rsidRPr="00F451EE" w:rsidTr="00525AAD">
        <w:trPr>
          <w:trHeight w:val="290"/>
        </w:trPr>
        <w:tc>
          <w:tcPr>
            <w:tcW w:w="3544" w:type="dxa"/>
            <w:noWrap/>
            <w:hideMark/>
          </w:tcPr>
          <w:p w:rsidR="0076025F" w:rsidRPr="00A03C21" w:rsidRDefault="0076025F" w:rsidP="0076025F">
            <w:pPr>
              <w:rPr>
                <w:rFonts w:ascii="Calibri" w:eastAsia="Times New Roman" w:hAnsi="Calibri" w:cs="Calibri"/>
                <w:b/>
                <w:lang w:eastAsia="en-CA"/>
              </w:rPr>
            </w:pPr>
            <w:r>
              <w:rPr>
                <w:rFonts w:ascii="Calibri" w:eastAsia="Times New Roman" w:hAnsi="Calibri" w:cs="Calibri"/>
                <w:b/>
                <w:lang w:eastAsia="en-CA"/>
              </w:rPr>
              <w:t>&lt;1 or 3+ vaccine doses</w:t>
            </w:r>
          </w:p>
        </w:tc>
        <w:tc>
          <w:tcPr>
            <w:tcW w:w="1843" w:type="dxa"/>
            <w:tcBorders>
              <w:top w:val="nil"/>
              <w:left w:val="nil"/>
              <w:bottom w:val="nil"/>
              <w:right w:val="nil"/>
            </w:tcBorders>
            <w:shd w:val="clear" w:color="auto" w:fill="auto"/>
            <w:noWrap/>
            <w:hideMark/>
          </w:tcPr>
          <w:p w:rsidR="0076025F" w:rsidRPr="00DE0AF6" w:rsidRDefault="0076025F" w:rsidP="0076025F">
            <w:r w:rsidRPr="00DE0AF6">
              <w:t>146,331 (82.4%)</w:t>
            </w:r>
          </w:p>
        </w:tc>
        <w:tc>
          <w:tcPr>
            <w:tcW w:w="1984" w:type="dxa"/>
            <w:tcBorders>
              <w:top w:val="nil"/>
              <w:left w:val="nil"/>
              <w:bottom w:val="nil"/>
              <w:right w:val="nil"/>
            </w:tcBorders>
            <w:shd w:val="clear" w:color="auto" w:fill="auto"/>
            <w:noWrap/>
            <w:hideMark/>
          </w:tcPr>
          <w:p w:rsidR="0076025F" w:rsidRPr="00DE0AF6" w:rsidRDefault="0076025F" w:rsidP="0076025F">
            <w:r w:rsidRPr="00DE0AF6">
              <w:t>138,340 (82.0%)</w:t>
            </w:r>
          </w:p>
        </w:tc>
        <w:tc>
          <w:tcPr>
            <w:tcW w:w="1701" w:type="dxa"/>
            <w:tcBorders>
              <w:top w:val="nil"/>
              <w:left w:val="nil"/>
              <w:bottom w:val="nil"/>
            </w:tcBorders>
            <w:shd w:val="clear" w:color="auto" w:fill="auto"/>
            <w:noWrap/>
            <w:hideMark/>
          </w:tcPr>
          <w:p w:rsidR="0076025F" w:rsidRPr="00DE0AF6" w:rsidRDefault="0076025F" w:rsidP="0076025F">
            <w:r w:rsidRPr="00DE0AF6">
              <w:t>7,991 (90.0%)</w:t>
            </w:r>
          </w:p>
        </w:tc>
      </w:tr>
      <w:tr w:rsidR="0076025F" w:rsidRPr="00F451EE" w:rsidTr="00525AAD">
        <w:trPr>
          <w:trHeight w:val="290"/>
        </w:trPr>
        <w:tc>
          <w:tcPr>
            <w:tcW w:w="3544" w:type="dxa"/>
            <w:noWrap/>
          </w:tcPr>
          <w:p w:rsidR="0076025F" w:rsidRPr="00F451EE" w:rsidRDefault="0076025F" w:rsidP="0076025F">
            <w:pPr>
              <w:rPr>
                <w:rFonts w:ascii="Calibri" w:eastAsia="Times New Roman" w:hAnsi="Calibri" w:cs="Calibri"/>
                <w:b/>
                <w:lang w:eastAsia="en-CA"/>
              </w:rPr>
            </w:pPr>
            <w:r>
              <w:rPr>
                <w:rFonts w:ascii="Calibri" w:eastAsia="Times New Roman" w:hAnsi="Calibri" w:cs="Calibri"/>
                <w:b/>
                <w:lang w:eastAsia="en-CA"/>
              </w:rPr>
              <w:t>1-2 vaccine doses</w:t>
            </w:r>
          </w:p>
        </w:tc>
        <w:tc>
          <w:tcPr>
            <w:tcW w:w="1843" w:type="dxa"/>
            <w:tcBorders>
              <w:top w:val="nil"/>
              <w:left w:val="nil"/>
              <w:bottom w:val="nil"/>
              <w:right w:val="nil"/>
            </w:tcBorders>
            <w:shd w:val="clear" w:color="auto" w:fill="auto"/>
            <w:noWrap/>
          </w:tcPr>
          <w:p w:rsidR="0076025F" w:rsidRPr="00DE0AF6" w:rsidRDefault="0076025F" w:rsidP="0076025F">
            <w:r w:rsidRPr="00DE0AF6">
              <w:t>31,214 (17.6%)</w:t>
            </w:r>
          </w:p>
        </w:tc>
        <w:tc>
          <w:tcPr>
            <w:tcW w:w="1984" w:type="dxa"/>
            <w:tcBorders>
              <w:top w:val="nil"/>
              <w:left w:val="nil"/>
              <w:bottom w:val="nil"/>
              <w:right w:val="nil"/>
            </w:tcBorders>
            <w:shd w:val="clear" w:color="auto" w:fill="auto"/>
            <w:noWrap/>
          </w:tcPr>
          <w:p w:rsidR="0076025F" w:rsidRPr="00DE0AF6" w:rsidRDefault="0076025F" w:rsidP="0076025F">
            <w:r w:rsidRPr="00DE0AF6">
              <w:t>30,329 (18.0%)</w:t>
            </w:r>
          </w:p>
        </w:tc>
        <w:tc>
          <w:tcPr>
            <w:tcW w:w="1701" w:type="dxa"/>
            <w:tcBorders>
              <w:top w:val="nil"/>
              <w:left w:val="nil"/>
              <w:bottom w:val="nil"/>
            </w:tcBorders>
            <w:shd w:val="clear" w:color="auto" w:fill="auto"/>
            <w:noWrap/>
          </w:tcPr>
          <w:p w:rsidR="0076025F" w:rsidRDefault="0076025F" w:rsidP="0076025F">
            <w:r w:rsidRPr="00DE0AF6">
              <w:t>885 (10.0%)</w:t>
            </w:r>
          </w:p>
        </w:tc>
      </w:tr>
      <w:tr w:rsidR="0076025F" w:rsidRPr="00F451EE" w:rsidTr="00525AAD">
        <w:trPr>
          <w:trHeight w:val="290"/>
        </w:trPr>
        <w:tc>
          <w:tcPr>
            <w:tcW w:w="3544" w:type="dxa"/>
            <w:shd w:val="clear" w:color="auto" w:fill="E7E6E6" w:themeFill="background2"/>
            <w:noWrap/>
            <w:hideMark/>
          </w:tcPr>
          <w:p w:rsidR="0076025F" w:rsidRPr="00F451EE" w:rsidRDefault="0076025F" w:rsidP="0076025F">
            <w:pPr>
              <w:rPr>
                <w:rFonts w:ascii="Calibri" w:eastAsia="Times New Roman" w:hAnsi="Calibri" w:cs="Calibri"/>
                <w:b/>
                <w:lang w:eastAsia="en-CA"/>
              </w:rPr>
            </w:pPr>
            <w:r>
              <w:rPr>
                <w:rFonts w:ascii="Calibri" w:eastAsia="Times New Roman" w:hAnsi="Calibri" w:cs="Calibri"/>
                <w:b/>
                <w:lang w:eastAsia="en-CA"/>
              </w:rPr>
              <w:t>&lt;3 vaccine doses</w:t>
            </w:r>
          </w:p>
        </w:tc>
        <w:tc>
          <w:tcPr>
            <w:tcW w:w="1843" w:type="dxa"/>
            <w:tcBorders>
              <w:top w:val="nil"/>
              <w:left w:val="nil"/>
              <w:bottom w:val="nil"/>
              <w:right w:val="nil"/>
            </w:tcBorders>
            <w:shd w:val="clear" w:color="auto" w:fill="E7E6E6" w:themeFill="background2"/>
            <w:noWrap/>
            <w:hideMark/>
          </w:tcPr>
          <w:p w:rsidR="0076025F" w:rsidRPr="00236E5D" w:rsidRDefault="0076025F" w:rsidP="0076025F">
            <w:r w:rsidRPr="00236E5D">
              <w:t>42,115 (23.7%)</w:t>
            </w:r>
          </w:p>
        </w:tc>
        <w:tc>
          <w:tcPr>
            <w:tcW w:w="1984" w:type="dxa"/>
            <w:tcBorders>
              <w:top w:val="nil"/>
              <w:left w:val="nil"/>
              <w:bottom w:val="nil"/>
              <w:right w:val="nil"/>
            </w:tcBorders>
            <w:shd w:val="clear" w:color="auto" w:fill="E7E6E6" w:themeFill="background2"/>
            <w:noWrap/>
            <w:hideMark/>
          </w:tcPr>
          <w:p w:rsidR="0076025F" w:rsidRPr="00236E5D" w:rsidRDefault="0076025F" w:rsidP="0076025F">
            <w:r w:rsidRPr="00236E5D">
              <w:t>40,763 (24.2%)</w:t>
            </w:r>
          </w:p>
        </w:tc>
        <w:tc>
          <w:tcPr>
            <w:tcW w:w="1701" w:type="dxa"/>
            <w:tcBorders>
              <w:top w:val="nil"/>
              <w:left w:val="nil"/>
              <w:bottom w:val="nil"/>
            </w:tcBorders>
            <w:shd w:val="clear" w:color="auto" w:fill="E7E6E6" w:themeFill="background2"/>
            <w:noWrap/>
            <w:hideMark/>
          </w:tcPr>
          <w:p w:rsidR="0076025F" w:rsidRPr="00236E5D" w:rsidRDefault="0076025F" w:rsidP="0076025F">
            <w:r w:rsidRPr="00236E5D">
              <w:t>1,352 (15.2%)</w:t>
            </w:r>
          </w:p>
        </w:tc>
      </w:tr>
      <w:tr w:rsidR="0076025F" w:rsidRPr="00F451EE" w:rsidTr="00525AAD">
        <w:trPr>
          <w:trHeight w:val="290"/>
        </w:trPr>
        <w:tc>
          <w:tcPr>
            <w:tcW w:w="3544" w:type="dxa"/>
            <w:shd w:val="clear" w:color="auto" w:fill="E7E6E6" w:themeFill="background2"/>
            <w:noWrap/>
            <w:hideMark/>
          </w:tcPr>
          <w:p w:rsidR="0076025F" w:rsidRPr="00F451EE" w:rsidRDefault="0076025F" w:rsidP="0076025F">
            <w:pPr>
              <w:rPr>
                <w:rFonts w:ascii="Calibri" w:eastAsia="Times New Roman" w:hAnsi="Calibri" w:cs="Calibri"/>
                <w:b/>
                <w:lang w:eastAsia="en-CA"/>
              </w:rPr>
            </w:pPr>
            <w:r w:rsidRPr="00F451EE">
              <w:rPr>
                <w:rFonts w:ascii="Calibri" w:eastAsia="Times New Roman" w:hAnsi="Calibri" w:cs="Calibri"/>
                <w:b/>
                <w:lang w:eastAsia="en-CA"/>
              </w:rPr>
              <w:t>3+</w:t>
            </w:r>
            <w:r>
              <w:rPr>
                <w:rFonts w:ascii="Calibri" w:eastAsia="Times New Roman" w:hAnsi="Calibri" w:cs="Calibri"/>
                <w:b/>
                <w:lang w:eastAsia="en-CA"/>
              </w:rPr>
              <w:t xml:space="preserve"> vaccine doses</w:t>
            </w:r>
          </w:p>
        </w:tc>
        <w:tc>
          <w:tcPr>
            <w:tcW w:w="1843" w:type="dxa"/>
            <w:tcBorders>
              <w:top w:val="nil"/>
              <w:left w:val="nil"/>
              <w:bottom w:val="nil"/>
              <w:right w:val="nil"/>
            </w:tcBorders>
            <w:shd w:val="clear" w:color="auto" w:fill="E7E6E6" w:themeFill="background2"/>
            <w:noWrap/>
            <w:hideMark/>
          </w:tcPr>
          <w:p w:rsidR="0076025F" w:rsidRPr="00236E5D" w:rsidRDefault="0076025F" w:rsidP="0076025F">
            <w:r w:rsidRPr="00236E5D">
              <w:t>135,430 (76.3%)</w:t>
            </w:r>
          </w:p>
        </w:tc>
        <w:tc>
          <w:tcPr>
            <w:tcW w:w="1984" w:type="dxa"/>
            <w:tcBorders>
              <w:top w:val="nil"/>
              <w:left w:val="nil"/>
              <w:bottom w:val="nil"/>
              <w:right w:val="nil"/>
            </w:tcBorders>
            <w:shd w:val="clear" w:color="auto" w:fill="E7E6E6" w:themeFill="background2"/>
            <w:noWrap/>
            <w:hideMark/>
          </w:tcPr>
          <w:p w:rsidR="0076025F" w:rsidRPr="00236E5D" w:rsidRDefault="0076025F" w:rsidP="0076025F">
            <w:r w:rsidRPr="00236E5D">
              <w:t>127,906 (75.8%)</w:t>
            </w:r>
          </w:p>
        </w:tc>
        <w:tc>
          <w:tcPr>
            <w:tcW w:w="1701" w:type="dxa"/>
            <w:tcBorders>
              <w:top w:val="nil"/>
              <w:left w:val="nil"/>
              <w:bottom w:val="nil"/>
            </w:tcBorders>
            <w:shd w:val="clear" w:color="auto" w:fill="E7E6E6" w:themeFill="background2"/>
            <w:noWrap/>
            <w:hideMark/>
          </w:tcPr>
          <w:p w:rsidR="0076025F" w:rsidRDefault="0076025F" w:rsidP="0076025F">
            <w:r w:rsidRPr="00236E5D">
              <w:t>7,524 (84.8%)</w:t>
            </w:r>
          </w:p>
        </w:tc>
      </w:tr>
      <w:tr w:rsidR="0076025F" w:rsidRPr="00F451EE" w:rsidTr="00525AAD">
        <w:trPr>
          <w:trHeight w:val="290"/>
        </w:trPr>
        <w:tc>
          <w:tcPr>
            <w:tcW w:w="3544" w:type="dxa"/>
            <w:noWrap/>
            <w:hideMark/>
          </w:tcPr>
          <w:p w:rsidR="0076025F" w:rsidRPr="00F451EE" w:rsidRDefault="0076025F" w:rsidP="0076025F">
            <w:pPr>
              <w:rPr>
                <w:rFonts w:ascii="Calibri" w:eastAsia="Times New Roman" w:hAnsi="Calibri" w:cs="Calibri"/>
                <w:b/>
                <w:lang w:eastAsia="en-CA"/>
              </w:rPr>
            </w:pPr>
            <w:r>
              <w:rPr>
                <w:rFonts w:ascii="Calibri" w:eastAsia="Times New Roman" w:hAnsi="Calibri" w:cs="Calibri"/>
                <w:b/>
                <w:lang w:eastAsia="en-CA"/>
              </w:rPr>
              <w:t>Comorbidities &lt;3</w:t>
            </w:r>
          </w:p>
        </w:tc>
        <w:tc>
          <w:tcPr>
            <w:tcW w:w="1843" w:type="dxa"/>
            <w:tcBorders>
              <w:top w:val="nil"/>
              <w:left w:val="nil"/>
              <w:bottom w:val="nil"/>
              <w:right w:val="nil"/>
            </w:tcBorders>
            <w:shd w:val="clear" w:color="auto" w:fill="auto"/>
            <w:noWrap/>
            <w:hideMark/>
          </w:tcPr>
          <w:p w:rsidR="0076025F" w:rsidRPr="009216A2" w:rsidRDefault="0076025F" w:rsidP="0076025F">
            <w:r w:rsidRPr="009216A2">
              <w:t>146,852 (82.7%)</w:t>
            </w:r>
          </w:p>
        </w:tc>
        <w:tc>
          <w:tcPr>
            <w:tcW w:w="1984" w:type="dxa"/>
            <w:tcBorders>
              <w:top w:val="nil"/>
              <w:left w:val="nil"/>
              <w:bottom w:val="nil"/>
              <w:right w:val="nil"/>
            </w:tcBorders>
            <w:shd w:val="clear" w:color="auto" w:fill="auto"/>
            <w:noWrap/>
            <w:hideMark/>
          </w:tcPr>
          <w:p w:rsidR="0076025F" w:rsidRPr="009216A2" w:rsidRDefault="0076025F" w:rsidP="0076025F">
            <w:r w:rsidRPr="009216A2">
              <w:t>141,781 (84.1%)</w:t>
            </w:r>
          </w:p>
        </w:tc>
        <w:tc>
          <w:tcPr>
            <w:tcW w:w="1701" w:type="dxa"/>
            <w:tcBorders>
              <w:top w:val="nil"/>
              <w:left w:val="nil"/>
              <w:bottom w:val="nil"/>
            </w:tcBorders>
            <w:shd w:val="clear" w:color="auto" w:fill="auto"/>
            <w:noWrap/>
            <w:hideMark/>
          </w:tcPr>
          <w:p w:rsidR="0076025F" w:rsidRPr="009216A2" w:rsidRDefault="0076025F" w:rsidP="0076025F">
            <w:r w:rsidRPr="009216A2">
              <w:t>5,071 (57.1%)</w:t>
            </w:r>
          </w:p>
        </w:tc>
      </w:tr>
      <w:tr w:rsidR="0076025F" w:rsidRPr="00F451EE" w:rsidTr="00525AAD">
        <w:trPr>
          <w:trHeight w:val="290"/>
        </w:trPr>
        <w:tc>
          <w:tcPr>
            <w:tcW w:w="3544" w:type="dxa"/>
            <w:noWrap/>
          </w:tcPr>
          <w:p w:rsidR="0076025F" w:rsidRDefault="0076025F" w:rsidP="0076025F">
            <w:pPr>
              <w:rPr>
                <w:rFonts w:ascii="Calibri" w:eastAsia="Times New Roman" w:hAnsi="Calibri" w:cs="Calibri"/>
                <w:b/>
                <w:lang w:eastAsia="en-CA"/>
              </w:rPr>
            </w:pPr>
            <w:r>
              <w:rPr>
                <w:rFonts w:ascii="Calibri" w:eastAsia="Times New Roman" w:hAnsi="Calibri" w:cs="Calibri"/>
                <w:b/>
                <w:lang w:eastAsia="en-CA"/>
              </w:rPr>
              <w:t>Comorbidities 3+</w:t>
            </w:r>
          </w:p>
        </w:tc>
        <w:tc>
          <w:tcPr>
            <w:tcW w:w="1843" w:type="dxa"/>
            <w:tcBorders>
              <w:top w:val="nil"/>
              <w:left w:val="nil"/>
              <w:bottom w:val="nil"/>
              <w:right w:val="nil"/>
            </w:tcBorders>
            <w:shd w:val="clear" w:color="auto" w:fill="auto"/>
            <w:noWrap/>
          </w:tcPr>
          <w:p w:rsidR="0076025F" w:rsidRPr="009216A2" w:rsidRDefault="0076025F" w:rsidP="0076025F">
            <w:r w:rsidRPr="009216A2">
              <w:t>30,693 (17.3%)</w:t>
            </w:r>
          </w:p>
        </w:tc>
        <w:tc>
          <w:tcPr>
            <w:tcW w:w="1984" w:type="dxa"/>
            <w:tcBorders>
              <w:top w:val="nil"/>
              <w:left w:val="nil"/>
              <w:bottom w:val="nil"/>
              <w:right w:val="nil"/>
            </w:tcBorders>
            <w:shd w:val="clear" w:color="auto" w:fill="auto"/>
            <w:noWrap/>
          </w:tcPr>
          <w:p w:rsidR="0076025F" w:rsidRPr="009216A2" w:rsidRDefault="0076025F" w:rsidP="0076025F">
            <w:r w:rsidRPr="009216A2">
              <w:t>26,888 (15.9%)</w:t>
            </w:r>
          </w:p>
        </w:tc>
        <w:tc>
          <w:tcPr>
            <w:tcW w:w="1701" w:type="dxa"/>
            <w:tcBorders>
              <w:top w:val="nil"/>
              <w:left w:val="nil"/>
              <w:bottom w:val="nil"/>
            </w:tcBorders>
            <w:shd w:val="clear" w:color="auto" w:fill="auto"/>
            <w:noWrap/>
          </w:tcPr>
          <w:p w:rsidR="0076025F" w:rsidRDefault="0076025F" w:rsidP="0076025F">
            <w:r w:rsidRPr="009216A2">
              <w:t>3,805 (42.9%)</w:t>
            </w:r>
          </w:p>
        </w:tc>
      </w:tr>
      <w:tr w:rsidR="0076025F" w:rsidRPr="00F451EE" w:rsidTr="00525AAD">
        <w:trPr>
          <w:trHeight w:val="290"/>
        </w:trPr>
        <w:tc>
          <w:tcPr>
            <w:tcW w:w="3544" w:type="dxa"/>
            <w:shd w:val="clear" w:color="auto" w:fill="E7E6E6" w:themeFill="background2"/>
            <w:noWrap/>
            <w:hideMark/>
          </w:tcPr>
          <w:p w:rsidR="0076025F" w:rsidRPr="00F451EE" w:rsidRDefault="0076025F" w:rsidP="0076025F">
            <w:pPr>
              <w:rPr>
                <w:rFonts w:ascii="Calibri" w:eastAsia="Times New Roman" w:hAnsi="Calibri" w:cs="Calibri"/>
                <w:b/>
                <w:lang w:eastAsia="en-CA"/>
              </w:rPr>
            </w:pPr>
            <w:r>
              <w:rPr>
                <w:rFonts w:ascii="Calibri" w:eastAsia="Times New Roman" w:hAnsi="Calibri" w:cs="Calibri"/>
                <w:b/>
                <w:lang w:eastAsia="en-CA"/>
              </w:rPr>
              <w:t>OST Standard</w:t>
            </w:r>
            <w:r w:rsidRPr="00F451EE">
              <w:rPr>
                <w:rFonts w:ascii="Calibri" w:eastAsia="Times New Roman" w:hAnsi="Calibri" w:cs="Calibri"/>
                <w:b/>
                <w:lang w:eastAsia="en-CA"/>
              </w:rPr>
              <w:t xml:space="preserve"> risk</w:t>
            </w:r>
          </w:p>
        </w:tc>
        <w:tc>
          <w:tcPr>
            <w:tcW w:w="1843" w:type="dxa"/>
            <w:tcBorders>
              <w:top w:val="nil"/>
              <w:left w:val="nil"/>
              <w:bottom w:val="nil"/>
              <w:right w:val="nil"/>
            </w:tcBorders>
            <w:shd w:val="clear" w:color="auto" w:fill="E7E6E6" w:themeFill="background2"/>
            <w:noWrap/>
            <w:hideMark/>
          </w:tcPr>
          <w:p w:rsidR="0076025F" w:rsidRPr="007C0975" w:rsidRDefault="0076025F" w:rsidP="0076025F">
            <w:r w:rsidRPr="007C0975">
              <w:t>148,326 (83.5%)</w:t>
            </w:r>
          </w:p>
        </w:tc>
        <w:tc>
          <w:tcPr>
            <w:tcW w:w="1984" w:type="dxa"/>
            <w:tcBorders>
              <w:top w:val="nil"/>
              <w:left w:val="nil"/>
              <w:bottom w:val="nil"/>
              <w:right w:val="nil"/>
            </w:tcBorders>
            <w:shd w:val="clear" w:color="auto" w:fill="E7E6E6" w:themeFill="background2"/>
            <w:noWrap/>
            <w:hideMark/>
          </w:tcPr>
          <w:p w:rsidR="0076025F" w:rsidRPr="007C0975" w:rsidRDefault="0076025F" w:rsidP="0076025F">
            <w:r w:rsidRPr="007C0975">
              <w:t>143,170 (84.9%)</w:t>
            </w:r>
          </w:p>
        </w:tc>
        <w:tc>
          <w:tcPr>
            <w:tcW w:w="1701" w:type="dxa"/>
            <w:tcBorders>
              <w:top w:val="nil"/>
              <w:left w:val="nil"/>
              <w:bottom w:val="nil"/>
            </w:tcBorders>
            <w:shd w:val="clear" w:color="auto" w:fill="E7E6E6" w:themeFill="background2"/>
            <w:noWrap/>
            <w:hideMark/>
          </w:tcPr>
          <w:p w:rsidR="0076025F" w:rsidRPr="007C0975" w:rsidRDefault="0076025F" w:rsidP="0076025F">
            <w:r w:rsidRPr="007C0975">
              <w:t>5,156 (58.1%)</w:t>
            </w:r>
          </w:p>
        </w:tc>
      </w:tr>
      <w:tr w:rsidR="0076025F" w:rsidRPr="00F451EE" w:rsidTr="00525AAD">
        <w:trPr>
          <w:trHeight w:val="290"/>
        </w:trPr>
        <w:tc>
          <w:tcPr>
            <w:tcW w:w="3544" w:type="dxa"/>
            <w:shd w:val="clear" w:color="auto" w:fill="E7E6E6" w:themeFill="background2"/>
            <w:noWrap/>
            <w:hideMark/>
          </w:tcPr>
          <w:p w:rsidR="0076025F" w:rsidRPr="00F451EE" w:rsidRDefault="0076025F" w:rsidP="0076025F">
            <w:pPr>
              <w:rPr>
                <w:rFonts w:ascii="Calibri" w:eastAsia="Times New Roman" w:hAnsi="Calibri" w:cs="Calibri"/>
                <w:b/>
                <w:lang w:eastAsia="en-CA"/>
              </w:rPr>
            </w:pPr>
            <w:r>
              <w:rPr>
                <w:rFonts w:ascii="Calibri" w:eastAsia="Times New Roman" w:hAnsi="Calibri" w:cs="Calibri"/>
                <w:b/>
                <w:lang w:eastAsia="en-CA"/>
              </w:rPr>
              <w:t>OST High</w:t>
            </w:r>
            <w:r w:rsidRPr="00F451EE">
              <w:rPr>
                <w:rFonts w:ascii="Calibri" w:eastAsia="Times New Roman" w:hAnsi="Calibri" w:cs="Calibri"/>
                <w:b/>
                <w:lang w:eastAsia="en-CA"/>
              </w:rPr>
              <w:t xml:space="preserve"> risk</w:t>
            </w:r>
          </w:p>
        </w:tc>
        <w:tc>
          <w:tcPr>
            <w:tcW w:w="1843" w:type="dxa"/>
            <w:tcBorders>
              <w:top w:val="nil"/>
              <w:left w:val="nil"/>
              <w:bottom w:val="nil"/>
              <w:right w:val="nil"/>
            </w:tcBorders>
            <w:shd w:val="clear" w:color="auto" w:fill="E7E6E6" w:themeFill="background2"/>
            <w:noWrap/>
            <w:hideMark/>
          </w:tcPr>
          <w:p w:rsidR="0076025F" w:rsidRPr="007C0975" w:rsidRDefault="0076025F" w:rsidP="0076025F">
            <w:r w:rsidRPr="007C0975">
              <w:t>29,219 (16.5%)</w:t>
            </w:r>
          </w:p>
        </w:tc>
        <w:tc>
          <w:tcPr>
            <w:tcW w:w="1984" w:type="dxa"/>
            <w:tcBorders>
              <w:top w:val="nil"/>
              <w:left w:val="nil"/>
              <w:bottom w:val="nil"/>
              <w:right w:val="nil"/>
            </w:tcBorders>
            <w:shd w:val="clear" w:color="auto" w:fill="E7E6E6" w:themeFill="background2"/>
            <w:noWrap/>
            <w:hideMark/>
          </w:tcPr>
          <w:p w:rsidR="0076025F" w:rsidRPr="007C0975" w:rsidRDefault="0076025F" w:rsidP="0076025F">
            <w:r w:rsidRPr="007C0975">
              <w:t>25,499 (15.1%)</w:t>
            </w:r>
          </w:p>
        </w:tc>
        <w:tc>
          <w:tcPr>
            <w:tcW w:w="1701" w:type="dxa"/>
            <w:tcBorders>
              <w:top w:val="nil"/>
              <w:left w:val="nil"/>
              <w:bottom w:val="nil"/>
            </w:tcBorders>
            <w:shd w:val="clear" w:color="auto" w:fill="E7E6E6" w:themeFill="background2"/>
            <w:noWrap/>
            <w:hideMark/>
          </w:tcPr>
          <w:p w:rsidR="0076025F" w:rsidRDefault="0076025F" w:rsidP="0076025F">
            <w:r w:rsidRPr="007C0975">
              <w:t>3,720 (41.9%)</w:t>
            </w:r>
          </w:p>
        </w:tc>
      </w:tr>
      <w:tr w:rsidR="0076025F" w:rsidRPr="00F451EE" w:rsidTr="00525AAD">
        <w:trPr>
          <w:trHeight w:val="290"/>
        </w:trPr>
        <w:tc>
          <w:tcPr>
            <w:tcW w:w="3544" w:type="dxa"/>
            <w:noWrap/>
          </w:tcPr>
          <w:p w:rsidR="0076025F" w:rsidRDefault="0076025F" w:rsidP="0076025F">
            <w:pPr>
              <w:ind w:left="34"/>
              <w:rPr>
                <w:rFonts w:ascii="Calibri" w:eastAsia="Times New Roman" w:hAnsi="Calibri" w:cs="Calibri"/>
                <w:b/>
                <w:lang w:eastAsia="en-CA"/>
              </w:rPr>
            </w:pPr>
            <w:r>
              <w:rPr>
                <w:rFonts w:ascii="Calibri" w:eastAsia="Times New Roman" w:hAnsi="Calibri" w:cs="Calibri"/>
                <w:b/>
                <w:lang w:eastAsia="en-CA"/>
              </w:rPr>
              <w:t>April to June 2022</w:t>
            </w:r>
          </w:p>
        </w:tc>
        <w:tc>
          <w:tcPr>
            <w:tcW w:w="1843" w:type="dxa"/>
            <w:tcBorders>
              <w:top w:val="nil"/>
              <w:left w:val="nil"/>
              <w:bottom w:val="nil"/>
              <w:right w:val="nil"/>
            </w:tcBorders>
            <w:shd w:val="clear" w:color="auto" w:fill="auto"/>
            <w:noWrap/>
          </w:tcPr>
          <w:p w:rsidR="0076025F" w:rsidRPr="00780C5F" w:rsidRDefault="0076025F" w:rsidP="0076025F">
            <w:r w:rsidRPr="00780C5F">
              <w:t>109,961 (61.9%)</w:t>
            </w:r>
          </w:p>
        </w:tc>
        <w:tc>
          <w:tcPr>
            <w:tcW w:w="1984" w:type="dxa"/>
            <w:tcBorders>
              <w:top w:val="nil"/>
              <w:left w:val="nil"/>
              <w:bottom w:val="nil"/>
              <w:right w:val="nil"/>
            </w:tcBorders>
            <w:shd w:val="clear" w:color="auto" w:fill="auto"/>
            <w:noWrap/>
          </w:tcPr>
          <w:p w:rsidR="0076025F" w:rsidRPr="00780C5F" w:rsidRDefault="0076025F" w:rsidP="0076025F">
            <w:r w:rsidRPr="00780C5F">
              <w:t>105,755 (62.7%)</w:t>
            </w:r>
          </w:p>
        </w:tc>
        <w:tc>
          <w:tcPr>
            <w:tcW w:w="1701" w:type="dxa"/>
            <w:tcBorders>
              <w:top w:val="nil"/>
              <w:left w:val="nil"/>
              <w:bottom w:val="nil"/>
            </w:tcBorders>
            <w:shd w:val="clear" w:color="auto" w:fill="auto"/>
            <w:noWrap/>
          </w:tcPr>
          <w:p w:rsidR="0076025F" w:rsidRPr="00780C5F" w:rsidRDefault="0076025F" w:rsidP="0076025F">
            <w:r w:rsidRPr="00780C5F">
              <w:t>4,206 (47.4%)</w:t>
            </w:r>
          </w:p>
        </w:tc>
      </w:tr>
      <w:tr w:rsidR="0076025F" w:rsidRPr="00F451EE" w:rsidTr="00525AAD">
        <w:trPr>
          <w:trHeight w:val="290"/>
        </w:trPr>
        <w:tc>
          <w:tcPr>
            <w:tcW w:w="3544" w:type="dxa"/>
            <w:noWrap/>
          </w:tcPr>
          <w:p w:rsidR="0076025F" w:rsidRDefault="0076025F" w:rsidP="0076025F">
            <w:pPr>
              <w:ind w:left="34"/>
              <w:rPr>
                <w:rFonts w:ascii="Calibri" w:eastAsia="Times New Roman" w:hAnsi="Calibri" w:cs="Calibri"/>
                <w:b/>
                <w:lang w:eastAsia="en-CA"/>
              </w:rPr>
            </w:pPr>
            <w:r>
              <w:rPr>
                <w:rFonts w:ascii="Calibri" w:eastAsia="Times New Roman" w:hAnsi="Calibri" w:cs="Calibri"/>
                <w:b/>
                <w:lang w:eastAsia="en-CA"/>
              </w:rPr>
              <w:t>July to August 2022</w:t>
            </w:r>
          </w:p>
        </w:tc>
        <w:tc>
          <w:tcPr>
            <w:tcW w:w="1843" w:type="dxa"/>
            <w:tcBorders>
              <w:top w:val="nil"/>
              <w:left w:val="nil"/>
              <w:bottom w:val="nil"/>
              <w:right w:val="nil"/>
            </w:tcBorders>
            <w:shd w:val="clear" w:color="auto" w:fill="auto"/>
            <w:noWrap/>
          </w:tcPr>
          <w:p w:rsidR="0076025F" w:rsidRPr="00780C5F" w:rsidRDefault="0076025F" w:rsidP="0076025F">
            <w:r w:rsidRPr="00780C5F">
              <w:t>67,584 (38.1%)</w:t>
            </w:r>
          </w:p>
        </w:tc>
        <w:tc>
          <w:tcPr>
            <w:tcW w:w="1984" w:type="dxa"/>
            <w:tcBorders>
              <w:top w:val="nil"/>
              <w:left w:val="nil"/>
              <w:bottom w:val="nil"/>
              <w:right w:val="nil"/>
            </w:tcBorders>
            <w:shd w:val="clear" w:color="auto" w:fill="auto"/>
            <w:noWrap/>
          </w:tcPr>
          <w:p w:rsidR="0076025F" w:rsidRPr="00780C5F" w:rsidRDefault="0076025F" w:rsidP="0076025F">
            <w:r w:rsidRPr="00780C5F">
              <w:t>62,914 (37.3%)</w:t>
            </w:r>
          </w:p>
        </w:tc>
        <w:tc>
          <w:tcPr>
            <w:tcW w:w="1701" w:type="dxa"/>
            <w:tcBorders>
              <w:top w:val="nil"/>
              <w:left w:val="nil"/>
              <w:bottom w:val="nil"/>
            </w:tcBorders>
            <w:shd w:val="clear" w:color="auto" w:fill="auto"/>
            <w:noWrap/>
          </w:tcPr>
          <w:p w:rsidR="0076025F" w:rsidRDefault="0076025F" w:rsidP="0076025F">
            <w:r w:rsidRPr="00780C5F">
              <w:t>4,670 (52.6%)</w:t>
            </w:r>
          </w:p>
        </w:tc>
      </w:tr>
      <w:tr w:rsidR="0076025F" w:rsidRPr="00F451EE" w:rsidTr="00525AAD">
        <w:trPr>
          <w:trHeight w:val="290"/>
        </w:trPr>
        <w:tc>
          <w:tcPr>
            <w:tcW w:w="3544" w:type="dxa"/>
            <w:shd w:val="clear" w:color="auto" w:fill="E7E6E6" w:themeFill="background2"/>
            <w:noWrap/>
          </w:tcPr>
          <w:p w:rsidR="0076025F" w:rsidRDefault="0076025F" w:rsidP="0076025F">
            <w:pPr>
              <w:ind w:left="34"/>
              <w:rPr>
                <w:rFonts w:ascii="Calibri" w:eastAsia="Times New Roman" w:hAnsi="Calibri" w:cs="Calibri"/>
                <w:b/>
                <w:lang w:eastAsia="en-CA"/>
              </w:rPr>
            </w:pPr>
            <w:r>
              <w:rPr>
                <w:rFonts w:ascii="Calibri" w:eastAsia="Times New Roman" w:hAnsi="Calibri" w:cs="Calibri"/>
                <w:b/>
                <w:lang w:eastAsia="en-CA"/>
              </w:rPr>
              <w:t>No DDI or level 2</w:t>
            </w:r>
            <w:r w:rsidR="00525AAD">
              <w:rPr>
                <w:rFonts w:ascii="Calibri" w:eastAsia="Times New Roman" w:hAnsi="Calibri" w:cs="Calibri"/>
                <w:b/>
                <w:lang w:eastAsia="en-CA"/>
              </w:rPr>
              <w:t>*</w:t>
            </w:r>
          </w:p>
        </w:tc>
        <w:tc>
          <w:tcPr>
            <w:tcW w:w="1843" w:type="dxa"/>
            <w:tcBorders>
              <w:top w:val="nil"/>
              <w:left w:val="nil"/>
              <w:bottom w:val="nil"/>
              <w:right w:val="nil"/>
            </w:tcBorders>
            <w:shd w:val="clear" w:color="auto" w:fill="E7E6E6" w:themeFill="background2"/>
            <w:noWrap/>
          </w:tcPr>
          <w:p w:rsidR="0076025F" w:rsidRPr="0091456C" w:rsidRDefault="0076025F" w:rsidP="0076025F">
            <w:r w:rsidRPr="0091456C">
              <w:t>44,616 (98.2%)</w:t>
            </w:r>
          </w:p>
        </w:tc>
        <w:tc>
          <w:tcPr>
            <w:tcW w:w="1984" w:type="dxa"/>
            <w:tcBorders>
              <w:top w:val="nil"/>
              <w:left w:val="nil"/>
              <w:bottom w:val="nil"/>
              <w:right w:val="nil"/>
            </w:tcBorders>
            <w:shd w:val="clear" w:color="auto" w:fill="E7E6E6" w:themeFill="background2"/>
            <w:noWrap/>
          </w:tcPr>
          <w:p w:rsidR="0076025F" w:rsidRPr="0091456C" w:rsidRDefault="0076025F" w:rsidP="0076025F">
            <w:r w:rsidRPr="0091456C">
              <w:t>38,217 (97.9%)</w:t>
            </w:r>
          </w:p>
        </w:tc>
        <w:tc>
          <w:tcPr>
            <w:tcW w:w="1701" w:type="dxa"/>
            <w:tcBorders>
              <w:top w:val="nil"/>
              <w:left w:val="nil"/>
              <w:bottom w:val="nil"/>
            </w:tcBorders>
            <w:shd w:val="clear" w:color="auto" w:fill="E7E6E6" w:themeFill="background2"/>
            <w:noWrap/>
          </w:tcPr>
          <w:p w:rsidR="0076025F" w:rsidRPr="0091456C" w:rsidRDefault="0076025F" w:rsidP="0076025F">
            <w:r w:rsidRPr="0091456C">
              <w:t>6,399 (99.5%)</w:t>
            </w:r>
          </w:p>
        </w:tc>
      </w:tr>
      <w:tr w:rsidR="0076025F" w:rsidRPr="00F451EE" w:rsidTr="00525AAD">
        <w:trPr>
          <w:trHeight w:val="290"/>
        </w:trPr>
        <w:tc>
          <w:tcPr>
            <w:tcW w:w="3544" w:type="dxa"/>
            <w:shd w:val="clear" w:color="auto" w:fill="E7E6E6" w:themeFill="background2"/>
            <w:noWrap/>
          </w:tcPr>
          <w:p w:rsidR="0076025F" w:rsidRDefault="0076025F" w:rsidP="0076025F">
            <w:pPr>
              <w:ind w:left="34"/>
              <w:rPr>
                <w:rFonts w:ascii="Calibri" w:eastAsia="Times New Roman" w:hAnsi="Calibri" w:cs="Calibri"/>
                <w:b/>
                <w:lang w:eastAsia="en-CA"/>
              </w:rPr>
            </w:pPr>
            <w:r>
              <w:rPr>
                <w:rFonts w:ascii="Calibri" w:eastAsia="Times New Roman" w:hAnsi="Calibri" w:cs="Calibri"/>
                <w:b/>
                <w:lang w:eastAsia="en-CA"/>
              </w:rPr>
              <w:t>DDI level 1</w:t>
            </w:r>
            <w:r w:rsidR="00525AAD">
              <w:rPr>
                <w:rFonts w:ascii="Calibri" w:eastAsia="Times New Roman" w:hAnsi="Calibri" w:cs="Calibri"/>
                <w:b/>
                <w:lang w:eastAsia="en-CA"/>
              </w:rPr>
              <w:t>*</w:t>
            </w:r>
          </w:p>
        </w:tc>
        <w:tc>
          <w:tcPr>
            <w:tcW w:w="1843" w:type="dxa"/>
            <w:tcBorders>
              <w:top w:val="nil"/>
              <w:left w:val="nil"/>
              <w:bottom w:val="nil"/>
              <w:right w:val="nil"/>
            </w:tcBorders>
            <w:shd w:val="clear" w:color="auto" w:fill="E7E6E6" w:themeFill="background2"/>
            <w:noWrap/>
          </w:tcPr>
          <w:p w:rsidR="0076025F" w:rsidRPr="0091456C" w:rsidRDefault="0076025F" w:rsidP="0076025F">
            <w:r w:rsidRPr="0091456C">
              <w:t>839 (1.8%)</w:t>
            </w:r>
          </w:p>
        </w:tc>
        <w:tc>
          <w:tcPr>
            <w:tcW w:w="1984" w:type="dxa"/>
            <w:tcBorders>
              <w:top w:val="nil"/>
              <w:left w:val="nil"/>
              <w:bottom w:val="nil"/>
              <w:right w:val="nil"/>
            </w:tcBorders>
            <w:shd w:val="clear" w:color="auto" w:fill="E7E6E6" w:themeFill="background2"/>
            <w:noWrap/>
          </w:tcPr>
          <w:p w:rsidR="0076025F" w:rsidRPr="0091456C" w:rsidRDefault="0076025F" w:rsidP="0076025F">
            <w:r w:rsidRPr="0091456C">
              <w:t>805 (2.1%)</w:t>
            </w:r>
          </w:p>
        </w:tc>
        <w:tc>
          <w:tcPr>
            <w:tcW w:w="1701" w:type="dxa"/>
            <w:tcBorders>
              <w:top w:val="nil"/>
              <w:left w:val="nil"/>
              <w:bottom w:val="nil"/>
            </w:tcBorders>
            <w:shd w:val="clear" w:color="auto" w:fill="E7E6E6" w:themeFill="background2"/>
            <w:noWrap/>
          </w:tcPr>
          <w:p w:rsidR="0076025F" w:rsidRDefault="0076025F" w:rsidP="0076025F">
            <w:r w:rsidRPr="0091456C">
              <w:t>34 (0.5%)</w:t>
            </w:r>
          </w:p>
        </w:tc>
      </w:tr>
      <w:tr w:rsidR="0076025F" w:rsidRPr="00F451EE" w:rsidTr="00525AAD">
        <w:trPr>
          <w:trHeight w:val="290"/>
        </w:trPr>
        <w:tc>
          <w:tcPr>
            <w:tcW w:w="3544" w:type="dxa"/>
            <w:noWrap/>
          </w:tcPr>
          <w:p w:rsidR="0076025F" w:rsidRDefault="0076025F" w:rsidP="0076025F">
            <w:pPr>
              <w:ind w:left="34"/>
              <w:rPr>
                <w:rFonts w:ascii="Calibri" w:eastAsia="Times New Roman" w:hAnsi="Calibri" w:cs="Calibri"/>
                <w:b/>
                <w:lang w:eastAsia="en-CA"/>
              </w:rPr>
            </w:pPr>
            <w:r>
              <w:rPr>
                <w:rFonts w:ascii="Calibri" w:eastAsia="Times New Roman" w:hAnsi="Calibri" w:cs="Calibri"/>
                <w:b/>
                <w:lang w:eastAsia="en-CA"/>
              </w:rPr>
              <w:t>No DDI or level 1</w:t>
            </w:r>
            <w:r w:rsidR="00525AAD">
              <w:rPr>
                <w:rFonts w:ascii="Calibri" w:eastAsia="Times New Roman" w:hAnsi="Calibri" w:cs="Calibri"/>
                <w:b/>
                <w:lang w:eastAsia="en-CA"/>
              </w:rPr>
              <w:t>*</w:t>
            </w:r>
          </w:p>
        </w:tc>
        <w:tc>
          <w:tcPr>
            <w:tcW w:w="1843" w:type="dxa"/>
            <w:tcBorders>
              <w:top w:val="nil"/>
              <w:left w:val="nil"/>
              <w:bottom w:val="nil"/>
              <w:right w:val="nil"/>
            </w:tcBorders>
            <w:shd w:val="clear" w:color="auto" w:fill="auto"/>
            <w:noWrap/>
          </w:tcPr>
          <w:p w:rsidR="0076025F" w:rsidRPr="00A771EE" w:rsidRDefault="0076025F" w:rsidP="0076025F">
            <w:r w:rsidRPr="00A771EE">
              <w:t>16,856 (37.1%)</w:t>
            </w:r>
          </w:p>
        </w:tc>
        <w:tc>
          <w:tcPr>
            <w:tcW w:w="1984" w:type="dxa"/>
            <w:tcBorders>
              <w:top w:val="nil"/>
              <w:left w:val="nil"/>
              <w:bottom w:val="nil"/>
              <w:right w:val="nil"/>
            </w:tcBorders>
            <w:shd w:val="clear" w:color="auto" w:fill="auto"/>
            <w:noWrap/>
          </w:tcPr>
          <w:p w:rsidR="0076025F" w:rsidRPr="00A771EE" w:rsidRDefault="0076025F" w:rsidP="0076025F">
            <w:r w:rsidRPr="00A771EE">
              <w:t>14,680 (37.6%)</w:t>
            </w:r>
          </w:p>
        </w:tc>
        <w:tc>
          <w:tcPr>
            <w:tcW w:w="1701" w:type="dxa"/>
            <w:tcBorders>
              <w:top w:val="nil"/>
              <w:left w:val="nil"/>
              <w:bottom w:val="nil"/>
            </w:tcBorders>
            <w:shd w:val="clear" w:color="auto" w:fill="auto"/>
            <w:noWrap/>
          </w:tcPr>
          <w:p w:rsidR="0076025F" w:rsidRPr="00A771EE" w:rsidRDefault="0076025F" w:rsidP="0076025F">
            <w:r w:rsidRPr="00A771EE">
              <w:t>2,176 (33.8%)</w:t>
            </w:r>
          </w:p>
        </w:tc>
      </w:tr>
      <w:tr w:rsidR="0076025F" w:rsidRPr="00F451EE" w:rsidTr="00525AAD">
        <w:trPr>
          <w:trHeight w:val="290"/>
        </w:trPr>
        <w:tc>
          <w:tcPr>
            <w:tcW w:w="3544" w:type="dxa"/>
            <w:noWrap/>
          </w:tcPr>
          <w:p w:rsidR="0076025F" w:rsidRDefault="0076025F" w:rsidP="0076025F">
            <w:pPr>
              <w:ind w:left="34"/>
              <w:rPr>
                <w:rFonts w:ascii="Calibri" w:eastAsia="Times New Roman" w:hAnsi="Calibri" w:cs="Calibri"/>
                <w:b/>
                <w:lang w:eastAsia="en-CA"/>
              </w:rPr>
            </w:pPr>
            <w:r>
              <w:rPr>
                <w:rFonts w:ascii="Calibri" w:eastAsia="Times New Roman" w:hAnsi="Calibri" w:cs="Calibri"/>
                <w:b/>
                <w:lang w:eastAsia="en-CA"/>
              </w:rPr>
              <w:t>DDI level 2</w:t>
            </w:r>
            <w:r w:rsidR="00525AAD">
              <w:rPr>
                <w:rFonts w:ascii="Calibri" w:eastAsia="Times New Roman" w:hAnsi="Calibri" w:cs="Calibri"/>
                <w:b/>
                <w:lang w:eastAsia="en-CA"/>
              </w:rPr>
              <w:t>*</w:t>
            </w:r>
          </w:p>
        </w:tc>
        <w:tc>
          <w:tcPr>
            <w:tcW w:w="1843" w:type="dxa"/>
            <w:tcBorders>
              <w:top w:val="nil"/>
              <w:left w:val="nil"/>
              <w:bottom w:val="nil"/>
              <w:right w:val="nil"/>
            </w:tcBorders>
            <w:shd w:val="clear" w:color="auto" w:fill="auto"/>
            <w:noWrap/>
          </w:tcPr>
          <w:p w:rsidR="0076025F" w:rsidRPr="00A771EE" w:rsidRDefault="0076025F" w:rsidP="0076025F">
            <w:r w:rsidRPr="00A771EE">
              <w:t>28,599 (62.9%)</w:t>
            </w:r>
          </w:p>
        </w:tc>
        <w:tc>
          <w:tcPr>
            <w:tcW w:w="1984" w:type="dxa"/>
            <w:tcBorders>
              <w:top w:val="nil"/>
              <w:left w:val="nil"/>
              <w:bottom w:val="nil"/>
              <w:right w:val="nil"/>
            </w:tcBorders>
            <w:shd w:val="clear" w:color="auto" w:fill="auto"/>
            <w:noWrap/>
          </w:tcPr>
          <w:p w:rsidR="0076025F" w:rsidRPr="00A771EE" w:rsidRDefault="0076025F" w:rsidP="0076025F">
            <w:r w:rsidRPr="00A771EE">
              <w:t>24,342 (62.4%)</w:t>
            </w:r>
          </w:p>
        </w:tc>
        <w:tc>
          <w:tcPr>
            <w:tcW w:w="1701" w:type="dxa"/>
            <w:tcBorders>
              <w:top w:val="nil"/>
              <w:left w:val="nil"/>
              <w:bottom w:val="nil"/>
            </w:tcBorders>
            <w:shd w:val="clear" w:color="auto" w:fill="auto"/>
            <w:noWrap/>
          </w:tcPr>
          <w:p w:rsidR="0076025F" w:rsidRDefault="0076025F" w:rsidP="0076025F">
            <w:r w:rsidRPr="00A771EE">
              <w:t>4,257 (66.2%)</w:t>
            </w:r>
          </w:p>
        </w:tc>
      </w:tr>
      <w:tr w:rsidR="0076025F" w:rsidRPr="00F451EE" w:rsidTr="00525AAD">
        <w:trPr>
          <w:trHeight w:val="290"/>
        </w:trPr>
        <w:tc>
          <w:tcPr>
            <w:tcW w:w="3544" w:type="dxa"/>
            <w:shd w:val="clear" w:color="auto" w:fill="E7E6E6" w:themeFill="background2"/>
            <w:noWrap/>
          </w:tcPr>
          <w:p w:rsidR="0076025F" w:rsidRDefault="0076025F" w:rsidP="0076025F">
            <w:pPr>
              <w:ind w:left="34"/>
              <w:rPr>
                <w:rFonts w:ascii="Calibri" w:eastAsia="Times New Roman" w:hAnsi="Calibri" w:cs="Calibri"/>
                <w:b/>
                <w:lang w:eastAsia="en-CA"/>
              </w:rPr>
            </w:pPr>
            <w:r>
              <w:rPr>
                <w:rFonts w:ascii="Calibri" w:eastAsia="Times New Roman" w:hAnsi="Calibri" w:cs="Calibri"/>
                <w:b/>
                <w:lang w:eastAsia="en-CA"/>
              </w:rPr>
              <w:t>DDI level 1 or 2</w:t>
            </w:r>
            <w:r w:rsidR="00525AAD">
              <w:rPr>
                <w:rFonts w:ascii="Calibri" w:eastAsia="Times New Roman" w:hAnsi="Calibri" w:cs="Calibri"/>
                <w:b/>
                <w:lang w:eastAsia="en-CA"/>
              </w:rPr>
              <w:t>*</w:t>
            </w:r>
          </w:p>
        </w:tc>
        <w:tc>
          <w:tcPr>
            <w:tcW w:w="1843" w:type="dxa"/>
            <w:tcBorders>
              <w:top w:val="nil"/>
              <w:left w:val="nil"/>
              <w:bottom w:val="nil"/>
              <w:right w:val="nil"/>
            </w:tcBorders>
            <w:shd w:val="clear" w:color="auto" w:fill="E7E6E6" w:themeFill="background2"/>
            <w:noWrap/>
          </w:tcPr>
          <w:p w:rsidR="0076025F" w:rsidRPr="000F7922" w:rsidRDefault="0076025F" w:rsidP="0076025F">
            <w:r w:rsidRPr="000F7922">
              <w:t>29,438 (64.8%)</w:t>
            </w:r>
          </w:p>
        </w:tc>
        <w:tc>
          <w:tcPr>
            <w:tcW w:w="1984" w:type="dxa"/>
            <w:tcBorders>
              <w:top w:val="nil"/>
              <w:left w:val="nil"/>
              <w:bottom w:val="nil"/>
              <w:right w:val="nil"/>
            </w:tcBorders>
            <w:shd w:val="clear" w:color="auto" w:fill="E7E6E6" w:themeFill="background2"/>
            <w:noWrap/>
          </w:tcPr>
          <w:p w:rsidR="0076025F" w:rsidRPr="000F7922" w:rsidRDefault="0076025F" w:rsidP="0076025F">
            <w:r w:rsidRPr="000F7922">
              <w:t>25,147 (64.4%)</w:t>
            </w:r>
          </w:p>
        </w:tc>
        <w:tc>
          <w:tcPr>
            <w:tcW w:w="1701" w:type="dxa"/>
            <w:tcBorders>
              <w:top w:val="nil"/>
              <w:left w:val="nil"/>
              <w:bottom w:val="nil"/>
            </w:tcBorders>
            <w:shd w:val="clear" w:color="auto" w:fill="E7E6E6" w:themeFill="background2"/>
            <w:noWrap/>
          </w:tcPr>
          <w:p w:rsidR="0076025F" w:rsidRPr="000F7922" w:rsidRDefault="0076025F" w:rsidP="0076025F">
            <w:r w:rsidRPr="000F7922">
              <w:t>4,291 (66.7%)</w:t>
            </w:r>
          </w:p>
        </w:tc>
      </w:tr>
      <w:tr w:rsidR="0076025F" w:rsidRPr="00F451EE" w:rsidTr="00525AAD">
        <w:trPr>
          <w:trHeight w:val="290"/>
        </w:trPr>
        <w:tc>
          <w:tcPr>
            <w:tcW w:w="3544" w:type="dxa"/>
            <w:shd w:val="clear" w:color="auto" w:fill="E7E6E6" w:themeFill="background2"/>
            <w:noWrap/>
          </w:tcPr>
          <w:p w:rsidR="0076025F" w:rsidRDefault="0076025F" w:rsidP="0076025F">
            <w:pPr>
              <w:ind w:left="34"/>
              <w:rPr>
                <w:rFonts w:ascii="Calibri" w:eastAsia="Times New Roman" w:hAnsi="Calibri" w:cs="Calibri"/>
                <w:b/>
                <w:lang w:eastAsia="en-CA"/>
              </w:rPr>
            </w:pPr>
            <w:r>
              <w:rPr>
                <w:rFonts w:ascii="Calibri" w:eastAsia="Times New Roman" w:hAnsi="Calibri" w:cs="Calibri"/>
                <w:b/>
                <w:lang w:eastAsia="en-CA"/>
              </w:rPr>
              <w:t>No DDI</w:t>
            </w:r>
            <w:r w:rsidR="00525AAD">
              <w:rPr>
                <w:rFonts w:ascii="Calibri" w:eastAsia="Times New Roman" w:hAnsi="Calibri" w:cs="Calibri"/>
                <w:b/>
                <w:lang w:eastAsia="en-CA"/>
              </w:rPr>
              <w:t>*</w:t>
            </w:r>
          </w:p>
        </w:tc>
        <w:tc>
          <w:tcPr>
            <w:tcW w:w="1843" w:type="dxa"/>
            <w:tcBorders>
              <w:top w:val="nil"/>
              <w:left w:val="nil"/>
              <w:bottom w:val="nil"/>
              <w:right w:val="nil"/>
            </w:tcBorders>
            <w:shd w:val="clear" w:color="auto" w:fill="E7E6E6" w:themeFill="background2"/>
            <w:noWrap/>
          </w:tcPr>
          <w:p w:rsidR="0076025F" w:rsidRPr="000F7922" w:rsidRDefault="0076025F" w:rsidP="0076025F">
            <w:r w:rsidRPr="000F7922">
              <w:t>16,017 (35.2%)</w:t>
            </w:r>
          </w:p>
        </w:tc>
        <w:tc>
          <w:tcPr>
            <w:tcW w:w="1984" w:type="dxa"/>
            <w:tcBorders>
              <w:top w:val="nil"/>
              <w:left w:val="nil"/>
              <w:bottom w:val="nil"/>
              <w:right w:val="nil"/>
            </w:tcBorders>
            <w:shd w:val="clear" w:color="auto" w:fill="E7E6E6" w:themeFill="background2"/>
            <w:noWrap/>
          </w:tcPr>
          <w:p w:rsidR="0076025F" w:rsidRPr="000F7922" w:rsidRDefault="0076025F" w:rsidP="0076025F">
            <w:r w:rsidRPr="000F7922">
              <w:t>13,875 (35.6%)</w:t>
            </w:r>
          </w:p>
        </w:tc>
        <w:tc>
          <w:tcPr>
            <w:tcW w:w="1701" w:type="dxa"/>
            <w:tcBorders>
              <w:top w:val="nil"/>
              <w:left w:val="nil"/>
              <w:bottom w:val="nil"/>
            </w:tcBorders>
            <w:shd w:val="clear" w:color="auto" w:fill="E7E6E6" w:themeFill="background2"/>
            <w:noWrap/>
          </w:tcPr>
          <w:p w:rsidR="0076025F" w:rsidRDefault="0076025F" w:rsidP="0076025F">
            <w:r w:rsidRPr="000F7922">
              <w:t>2,142 (33.3%)</w:t>
            </w:r>
          </w:p>
        </w:tc>
      </w:tr>
      <w:tr w:rsidR="0076025F" w:rsidRPr="00F451EE" w:rsidTr="00525AAD">
        <w:trPr>
          <w:trHeight w:val="290"/>
        </w:trPr>
        <w:tc>
          <w:tcPr>
            <w:tcW w:w="3544" w:type="dxa"/>
            <w:noWrap/>
            <w:hideMark/>
          </w:tcPr>
          <w:p w:rsidR="0076025F" w:rsidRPr="00F451EE" w:rsidRDefault="0076025F" w:rsidP="0076025F">
            <w:pPr>
              <w:rPr>
                <w:rFonts w:ascii="Calibri" w:eastAsia="Times New Roman" w:hAnsi="Calibri" w:cs="Calibri"/>
                <w:b/>
                <w:lang w:eastAsia="en-CA"/>
              </w:rPr>
            </w:pPr>
            <w:r>
              <w:rPr>
                <w:rFonts w:ascii="Calibri" w:eastAsia="Times New Roman" w:hAnsi="Calibri" w:cs="Calibri"/>
                <w:b/>
                <w:lang w:eastAsia="en-CA"/>
              </w:rPr>
              <w:t xml:space="preserve">Not a </w:t>
            </w:r>
            <w:r w:rsidRPr="00F451EE">
              <w:rPr>
                <w:rFonts w:ascii="Calibri" w:eastAsia="Times New Roman" w:hAnsi="Calibri" w:cs="Calibri"/>
                <w:b/>
                <w:lang w:eastAsia="en-CA"/>
              </w:rPr>
              <w:t>LTC resident</w:t>
            </w:r>
          </w:p>
        </w:tc>
        <w:tc>
          <w:tcPr>
            <w:tcW w:w="1843" w:type="dxa"/>
            <w:tcBorders>
              <w:top w:val="nil"/>
              <w:left w:val="nil"/>
              <w:right w:val="nil"/>
            </w:tcBorders>
            <w:shd w:val="clear" w:color="auto" w:fill="auto"/>
            <w:noWrap/>
            <w:hideMark/>
          </w:tcPr>
          <w:p w:rsidR="0076025F" w:rsidRPr="00F06068" w:rsidRDefault="0076025F" w:rsidP="0076025F">
            <w:r w:rsidRPr="00F06068">
              <w:t>161,944 (91.2%)</w:t>
            </w:r>
          </w:p>
        </w:tc>
        <w:tc>
          <w:tcPr>
            <w:tcW w:w="1984" w:type="dxa"/>
            <w:tcBorders>
              <w:top w:val="nil"/>
              <w:left w:val="nil"/>
              <w:right w:val="nil"/>
            </w:tcBorders>
            <w:shd w:val="clear" w:color="auto" w:fill="auto"/>
            <w:noWrap/>
            <w:hideMark/>
          </w:tcPr>
          <w:p w:rsidR="0076025F" w:rsidRPr="00F06068" w:rsidRDefault="0076025F" w:rsidP="0076025F">
            <w:r w:rsidRPr="00F06068">
              <w:t>155,863 (92.4%)</w:t>
            </w:r>
          </w:p>
        </w:tc>
        <w:tc>
          <w:tcPr>
            <w:tcW w:w="1701" w:type="dxa"/>
            <w:tcBorders>
              <w:top w:val="nil"/>
              <w:left w:val="nil"/>
            </w:tcBorders>
            <w:shd w:val="clear" w:color="auto" w:fill="auto"/>
            <w:noWrap/>
            <w:hideMark/>
          </w:tcPr>
          <w:p w:rsidR="0076025F" w:rsidRPr="00F06068" w:rsidRDefault="0076025F" w:rsidP="0076025F">
            <w:r w:rsidRPr="00F06068">
              <w:t>6,081 (68.5%)</w:t>
            </w:r>
          </w:p>
        </w:tc>
      </w:tr>
      <w:tr w:rsidR="0076025F" w:rsidRPr="00F451EE" w:rsidTr="00525AAD">
        <w:trPr>
          <w:trHeight w:val="290"/>
        </w:trPr>
        <w:tc>
          <w:tcPr>
            <w:tcW w:w="3544" w:type="dxa"/>
            <w:tcBorders>
              <w:bottom w:val="single" w:sz="4" w:space="0" w:color="auto"/>
            </w:tcBorders>
            <w:noWrap/>
          </w:tcPr>
          <w:p w:rsidR="0076025F" w:rsidRPr="00F451EE" w:rsidRDefault="0076025F" w:rsidP="0076025F">
            <w:pPr>
              <w:rPr>
                <w:rFonts w:ascii="Calibri" w:eastAsia="Times New Roman" w:hAnsi="Calibri" w:cs="Calibri"/>
                <w:b/>
                <w:lang w:eastAsia="en-CA"/>
              </w:rPr>
            </w:pPr>
            <w:r>
              <w:rPr>
                <w:rFonts w:ascii="Calibri" w:eastAsia="Times New Roman" w:hAnsi="Calibri" w:cs="Calibri"/>
                <w:b/>
                <w:lang w:eastAsia="en-CA"/>
              </w:rPr>
              <w:t xml:space="preserve">LTC resident </w:t>
            </w:r>
          </w:p>
        </w:tc>
        <w:tc>
          <w:tcPr>
            <w:tcW w:w="1843" w:type="dxa"/>
            <w:tcBorders>
              <w:top w:val="nil"/>
              <w:left w:val="nil"/>
              <w:bottom w:val="single" w:sz="4" w:space="0" w:color="auto"/>
              <w:right w:val="nil"/>
            </w:tcBorders>
            <w:shd w:val="clear" w:color="auto" w:fill="auto"/>
            <w:noWrap/>
          </w:tcPr>
          <w:p w:rsidR="0076025F" w:rsidRPr="00F06068" w:rsidRDefault="0076025F" w:rsidP="0076025F">
            <w:r w:rsidRPr="00F06068">
              <w:t>15,601 (8.8%)</w:t>
            </w:r>
          </w:p>
        </w:tc>
        <w:tc>
          <w:tcPr>
            <w:tcW w:w="1984" w:type="dxa"/>
            <w:tcBorders>
              <w:top w:val="nil"/>
              <w:left w:val="nil"/>
              <w:bottom w:val="single" w:sz="4" w:space="0" w:color="auto"/>
              <w:right w:val="nil"/>
            </w:tcBorders>
            <w:shd w:val="clear" w:color="auto" w:fill="auto"/>
            <w:noWrap/>
          </w:tcPr>
          <w:p w:rsidR="0076025F" w:rsidRPr="00F06068" w:rsidRDefault="0076025F" w:rsidP="0076025F">
            <w:r w:rsidRPr="00F06068">
              <w:t>12,806 (7.6%)</w:t>
            </w:r>
          </w:p>
        </w:tc>
        <w:tc>
          <w:tcPr>
            <w:tcW w:w="1701" w:type="dxa"/>
            <w:tcBorders>
              <w:top w:val="nil"/>
              <w:left w:val="nil"/>
              <w:bottom w:val="single" w:sz="4" w:space="0" w:color="auto"/>
            </w:tcBorders>
            <w:shd w:val="clear" w:color="auto" w:fill="auto"/>
            <w:noWrap/>
          </w:tcPr>
          <w:p w:rsidR="0076025F" w:rsidRDefault="0076025F" w:rsidP="0076025F">
            <w:r w:rsidRPr="00F06068">
              <w:t>2,795 (31.5%)</w:t>
            </w:r>
          </w:p>
        </w:tc>
      </w:tr>
    </w:tbl>
    <w:p w:rsidR="00823EC8" w:rsidRDefault="00525AAD" w:rsidP="00D212AB">
      <w:pPr>
        <w:rPr>
          <w:lang w:val="en-US"/>
        </w:rPr>
      </w:pPr>
      <w:r>
        <w:rPr>
          <w:lang w:val="en-US"/>
        </w:rPr>
        <w:t>*Limited to those 70 years of age or older</w:t>
      </w:r>
    </w:p>
    <w:p w:rsidR="00823EC8" w:rsidRDefault="00823EC8" w:rsidP="00D212AB">
      <w:pPr>
        <w:rPr>
          <w:lang w:val="en-US"/>
        </w:rPr>
      </w:pPr>
    </w:p>
    <w:p w:rsidR="00823EC8" w:rsidRDefault="00823EC8" w:rsidP="00D212AB">
      <w:pPr>
        <w:rPr>
          <w:lang w:val="en-US"/>
        </w:rPr>
      </w:pPr>
    </w:p>
    <w:p w:rsidR="003F2978" w:rsidRDefault="003F2978" w:rsidP="00D212AB">
      <w:pPr>
        <w:rPr>
          <w:lang w:val="en-US"/>
        </w:rPr>
      </w:pPr>
    </w:p>
    <w:p w:rsidR="00EE6A6B" w:rsidRDefault="00EE6A6B">
      <w:pPr>
        <w:spacing w:after="160" w:line="259" w:lineRule="auto"/>
        <w:rPr>
          <w:lang w:val="en-US"/>
        </w:rPr>
      </w:pPr>
      <w:r>
        <w:rPr>
          <w:lang w:val="en-US"/>
        </w:rPr>
        <w:br w:type="page"/>
      </w:r>
    </w:p>
    <w:p w:rsidR="00BE3DDA" w:rsidRDefault="00126032" w:rsidP="003F2978">
      <w:pPr>
        <w:rPr>
          <w:lang w:val="en-US"/>
        </w:rPr>
      </w:pPr>
      <w:bookmarkStart w:id="0" w:name="_GoBack"/>
      <w:bookmarkEnd w:id="0"/>
      <w:r>
        <w:rPr>
          <w:lang w:val="en-US"/>
        </w:rPr>
        <w:lastRenderedPageBreak/>
        <w:t xml:space="preserve">Figure S2: Forest plot of number needed to treat (NNT) with 95%CIs for hospitalization or death and death at 30 days between those exposed to </w:t>
      </w:r>
      <w:proofErr w:type="spellStart"/>
      <w:r>
        <w:rPr>
          <w:lang w:val="en-US"/>
        </w:rPr>
        <w:t>nirmatrelvir</w:t>
      </w:r>
      <w:proofErr w:type="spellEnd"/>
      <w:r>
        <w:rPr>
          <w:lang w:val="en-US"/>
        </w:rPr>
        <w:t>/ritonavir and unexposed groups using weighted logistic regression models with IPTW.</w:t>
      </w:r>
    </w:p>
    <w:p w:rsidR="00803C22" w:rsidRDefault="00803C22" w:rsidP="003F2978">
      <w:pPr>
        <w:rPr>
          <w:lang w:val="en-US"/>
        </w:rPr>
      </w:pPr>
    </w:p>
    <w:p w:rsidR="00803C22" w:rsidRPr="003F2978" w:rsidRDefault="00803C22" w:rsidP="003F2978">
      <w:pPr>
        <w:rPr>
          <w:lang w:val="en-US"/>
        </w:rPr>
      </w:pPr>
      <w:r w:rsidRPr="00803C22">
        <w:rPr>
          <w:noProof/>
          <w:lang w:eastAsia="en-CA"/>
        </w:rPr>
        <w:drawing>
          <wp:inline distT="0" distB="0" distL="0" distR="0">
            <wp:extent cx="5943600" cy="31625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162544"/>
                    </a:xfrm>
                    <a:prstGeom prst="rect">
                      <a:avLst/>
                    </a:prstGeom>
                    <a:noFill/>
                    <a:ln>
                      <a:noFill/>
                    </a:ln>
                  </pic:spPr>
                </pic:pic>
              </a:graphicData>
            </a:graphic>
          </wp:inline>
        </w:drawing>
      </w:r>
    </w:p>
    <w:sectPr w:rsidR="00803C22" w:rsidRPr="003F29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0DC"/>
    <w:multiLevelType w:val="hybridMultilevel"/>
    <w:tmpl w:val="3EB4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780E"/>
    <w:multiLevelType w:val="multilevel"/>
    <w:tmpl w:val="0F548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D02AD"/>
    <w:multiLevelType w:val="hybridMultilevel"/>
    <w:tmpl w:val="065E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72D2D"/>
    <w:multiLevelType w:val="hybridMultilevel"/>
    <w:tmpl w:val="C7FA3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E308D"/>
    <w:multiLevelType w:val="hybridMultilevel"/>
    <w:tmpl w:val="BBC2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800D6"/>
    <w:multiLevelType w:val="hybridMultilevel"/>
    <w:tmpl w:val="8928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D59C0"/>
    <w:multiLevelType w:val="hybridMultilevel"/>
    <w:tmpl w:val="A48049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A45BC3"/>
    <w:multiLevelType w:val="multilevel"/>
    <w:tmpl w:val="014055AA"/>
    <w:lvl w:ilvl="0">
      <w:start w:val="1"/>
      <w:numFmt w:val="decimal"/>
      <w:lvlText w:val="%1"/>
      <w:lvlJc w:val="left"/>
      <w:pPr>
        <w:ind w:left="440" w:hanging="440"/>
      </w:pPr>
      <w:rPr>
        <w:rFonts w:hint="default"/>
      </w:rPr>
    </w:lvl>
    <w:lvl w:ilvl="1">
      <w:start w:val="1"/>
      <w:numFmt w:val="decimal"/>
      <w:lvlText w:val="%1-%2"/>
      <w:lvlJc w:val="left"/>
      <w:pPr>
        <w:ind w:left="758" w:hanging="44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8" w15:restartNumberingAfterBreak="0">
    <w:nsid w:val="7AC35398"/>
    <w:multiLevelType w:val="hybridMultilevel"/>
    <w:tmpl w:val="906AC962"/>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num w:numId="1">
    <w:abstractNumId w:val="6"/>
  </w:num>
  <w:num w:numId="2">
    <w:abstractNumId w:val="4"/>
  </w:num>
  <w:num w:numId="3">
    <w:abstractNumId w:val="3"/>
  </w:num>
  <w:num w:numId="4">
    <w:abstractNumId w:val="8"/>
  </w:num>
  <w:num w:numId="5">
    <w:abstractNumId w:val="2"/>
  </w:num>
  <w:num w:numId="6">
    <w:abstractNumId w:val="5"/>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D6"/>
    <w:rsid w:val="000D3B71"/>
    <w:rsid w:val="00126032"/>
    <w:rsid w:val="001A6D25"/>
    <w:rsid w:val="00282442"/>
    <w:rsid w:val="002A7810"/>
    <w:rsid w:val="0030127A"/>
    <w:rsid w:val="0034278F"/>
    <w:rsid w:val="003C65F1"/>
    <w:rsid w:val="003F2978"/>
    <w:rsid w:val="00425FCA"/>
    <w:rsid w:val="004A2399"/>
    <w:rsid w:val="00525AAD"/>
    <w:rsid w:val="006B0C57"/>
    <w:rsid w:val="0076025F"/>
    <w:rsid w:val="00803C22"/>
    <w:rsid w:val="00823EC8"/>
    <w:rsid w:val="00841EAC"/>
    <w:rsid w:val="008C19D2"/>
    <w:rsid w:val="0095531A"/>
    <w:rsid w:val="00961841"/>
    <w:rsid w:val="00991218"/>
    <w:rsid w:val="00A03C21"/>
    <w:rsid w:val="00AB3BFB"/>
    <w:rsid w:val="00AF3AF5"/>
    <w:rsid w:val="00B56E74"/>
    <w:rsid w:val="00B76F36"/>
    <w:rsid w:val="00BB2D87"/>
    <w:rsid w:val="00BE3DDA"/>
    <w:rsid w:val="00C01A8F"/>
    <w:rsid w:val="00CE700D"/>
    <w:rsid w:val="00D159D6"/>
    <w:rsid w:val="00D212AB"/>
    <w:rsid w:val="00D5731E"/>
    <w:rsid w:val="00D92A74"/>
    <w:rsid w:val="00DC2C08"/>
    <w:rsid w:val="00E96EF1"/>
    <w:rsid w:val="00EE6A6B"/>
    <w:rsid w:val="00F07FDA"/>
    <w:rsid w:val="00F20549"/>
    <w:rsid w:val="00F300B8"/>
    <w:rsid w:val="00FA4F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7A86D-7C75-4191-B037-36A18E09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9D6"/>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2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EC8"/>
    <w:pPr>
      <w:ind w:left="720"/>
      <w:contextualSpacing/>
    </w:pPr>
  </w:style>
  <w:style w:type="paragraph" w:styleId="NormalWeb">
    <w:name w:val="Normal (Web)"/>
    <w:basedOn w:val="Normal"/>
    <w:uiPriority w:val="99"/>
    <w:semiHidden/>
    <w:unhideWhenUsed/>
    <w:rsid w:val="003C65F1"/>
    <w:pPr>
      <w:spacing w:before="100" w:beforeAutospacing="1" w:after="100" w:afterAutospacing="1"/>
    </w:pPr>
    <w:rPr>
      <w:rFonts w:ascii="Times New Roman" w:eastAsia="Times New Roman" w:hAnsi="Times New Roman"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25413">
      <w:bodyDiv w:val="1"/>
      <w:marLeft w:val="0"/>
      <w:marRight w:val="0"/>
      <w:marTop w:val="0"/>
      <w:marBottom w:val="0"/>
      <w:divBdr>
        <w:top w:val="none" w:sz="0" w:space="0" w:color="auto"/>
        <w:left w:val="none" w:sz="0" w:space="0" w:color="auto"/>
        <w:bottom w:val="none" w:sz="0" w:space="0" w:color="auto"/>
        <w:right w:val="none" w:sz="0" w:space="0" w:color="auto"/>
      </w:divBdr>
    </w:div>
    <w:div w:id="1264336898">
      <w:bodyDiv w:val="1"/>
      <w:marLeft w:val="0"/>
      <w:marRight w:val="0"/>
      <w:marTop w:val="0"/>
      <w:marBottom w:val="0"/>
      <w:divBdr>
        <w:top w:val="none" w:sz="0" w:space="0" w:color="auto"/>
        <w:left w:val="none" w:sz="0" w:space="0" w:color="auto"/>
        <w:bottom w:val="none" w:sz="0" w:space="0" w:color="auto"/>
        <w:right w:val="none" w:sz="0" w:space="0" w:color="auto"/>
      </w:divBdr>
    </w:div>
    <w:div w:id="1326518114">
      <w:bodyDiv w:val="1"/>
      <w:marLeft w:val="0"/>
      <w:marRight w:val="0"/>
      <w:marTop w:val="0"/>
      <w:marBottom w:val="0"/>
      <w:divBdr>
        <w:top w:val="none" w:sz="0" w:space="0" w:color="auto"/>
        <w:left w:val="none" w:sz="0" w:space="0" w:color="auto"/>
        <w:bottom w:val="none" w:sz="0" w:space="0" w:color="auto"/>
        <w:right w:val="none" w:sz="0" w:space="0" w:color="auto"/>
      </w:divBdr>
    </w:div>
    <w:div w:id="148323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evin.schwartz\Dropbox\Paxlovid\Copy%20of%20TTD_dist_17OCT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CA"/>
              <a:t>Figure S1: Time-To-Dispense: Days from positive SARS-CoV-2 test to nirmatrelvir/ritonovir dispensing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With_ATT_weight!$J$1</c:f>
              <c:strCache>
                <c:ptCount val="1"/>
                <c:pt idx="0">
                  <c:v>Cases</c:v>
                </c:pt>
              </c:strCache>
            </c:strRef>
          </c:tx>
          <c:spPr>
            <a:solidFill>
              <a:schemeClr val="accent1"/>
            </a:solidFill>
            <a:ln>
              <a:noFill/>
            </a:ln>
            <a:effectLst/>
          </c:spPr>
          <c:invertIfNegative val="0"/>
          <c:cat>
            <c:numRef>
              <c:f>With_ATT_weight!$I$2:$I$7</c:f>
              <c:numCache>
                <c:formatCode>General</c:formatCode>
                <c:ptCount val="6"/>
                <c:pt idx="0">
                  <c:v>0</c:v>
                </c:pt>
                <c:pt idx="1">
                  <c:v>1</c:v>
                </c:pt>
                <c:pt idx="2">
                  <c:v>2</c:v>
                </c:pt>
                <c:pt idx="3">
                  <c:v>3</c:v>
                </c:pt>
                <c:pt idx="4">
                  <c:v>4</c:v>
                </c:pt>
                <c:pt idx="5">
                  <c:v>5</c:v>
                </c:pt>
              </c:numCache>
            </c:numRef>
          </c:cat>
          <c:val>
            <c:numRef>
              <c:f>With_ATT_weight!$J$2:$J$7</c:f>
              <c:numCache>
                <c:formatCode>0.0</c:formatCode>
                <c:ptCount val="6"/>
                <c:pt idx="0">
                  <c:v>37.091447443343597</c:v>
                </c:pt>
                <c:pt idx="1">
                  <c:v>30.964582621569299</c:v>
                </c:pt>
                <c:pt idx="2">
                  <c:v>17.902289033139699</c:v>
                </c:pt>
                <c:pt idx="3">
                  <c:v>8.6550506775993608</c:v>
                </c:pt>
                <c:pt idx="4">
                  <c:v>3.7011729871313102</c:v>
                </c:pt>
                <c:pt idx="5">
                  <c:v>1.68545723721672</c:v>
                </c:pt>
              </c:numCache>
            </c:numRef>
          </c:val>
        </c:ser>
        <c:ser>
          <c:idx val="1"/>
          <c:order val="1"/>
          <c:tx>
            <c:strRef>
              <c:f>With_ATT_weight!$K$1</c:f>
              <c:strCache>
                <c:ptCount val="1"/>
                <c:pt idx="0">
                  <c:v>Controls (imputed)</c:v>
                </c:pt>
              </c:strCache>
            </c:strRef>
          </c:tx>
          <c:spPr>
            <a:solidFill>
              <a:schemeClr val="accent2"/>
            </a:solidFill>
            <a:ln>
              <a:noFill/>
            </a:ln>
            <a:effectLst/>
          </c:spPr>
          <c:invertIfNegative val="0"/>
          <c:cat>
            <c:numRef>
              <c:f>With_ATT_weight!$I$2:$I$7</c:f>
              <c:numCache>
                <c:formatCode>General</c:formatCode>
                <c:ptCount val="6"/>
                <c:pt idx="0">
                  <c:v>0</c:v>
                </c:pt>
                <c:pt idx="1">
                  <c:v>1</c:v>
                </c:pt>
                <c:pt idx="2">
                  <c:v>2</c:v>
                </c:pt>
                <c:pt idx="3">
                  <c:v>3</c:v>
                </c:pt>
                <c:pt idx="4">
                  <c:v>4</c:v>
                </c:pt>
                <c:pt idx="5">
                  <c:v>5</c:v>
                </c:pt>
              </c:numCache>
            </c:numRef>
          </c:cat>
          <c:val>
            <c:numRef>
              <c:f>With_ATT_weight!$K$2:$K$7</c:f>
              <c:numCache>
                <c:formatCode>0.00</c:formatCode>
                <c:ptCount val="6"/>
                <c:pt idx="0">
                  <c:v>37.010632983018397</c:v>
                </c:pt>
                <c:pt idx="1">
                  <c:v>31.177193815804198</c:v>
                </c:pt>
                <c:pt idx="2">
                  <c:v>17.744286649103099</c:v>
                </c:pt>
                <c:pt idx="3">
                  <c:v>8.7189054180723602</c:v>
                </c:pt>
                <c:pt idx="4">
                  <c:v>3.6814114819495498</c:v>
                </c:pt>
                <c:pt idx="5">
                  <c:v>1.6675696520524199</c:v>
                </c:pt>
              </c:numCache>
            </c:numRef>
          </c:val>
        </c:ser>
        <c:dLbls>
          <c:showLegendKey val="0"/>
          <c:showVal val="0"/>
          <c:showCatName val="0"/>
          <c:showSerName val="0"/>
          <c:showPercent val="0"/>
          <c:showBubbleSize val="0"/>
        </c:dLbls>
        <c:gapWidth val="219"/>
        <c:overlap val="-27"/>
        <c:axId val="1010051096"/>
        <c:axId val="724808992"/>
      </c:barChart>
      <c:catAx>
        <c:axId val="10100510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CA"/>
                  <a:t>Day from test for SARS-CoV-2</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24808992"/>
        <c:crosses val="autoZero"/>
        <c:auto val="1"/>
        <c:lblAlgn val="ctr"/>
        <c:lblOffset val="100"/>
        <c:noMultiLvlLbl val="0"/>
      </c:catAx>
      <c:valAx>
        <c:axId val="724808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CA"/>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10051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1616</TotalTime>
  <Pages>12</Pages>
  <Words>10133</Words>
  <Characters>58876</Characters>
  <Application>Microsoft Office Word</Application>
  <DocSecurity>0</DocSecurity>
  <Lines>1731</Lines>
  <Paragraphs>1113</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67896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Schwartz</dc:creator>
  <cp:keywords/>
  <dc:description/>
  <cp:lastModifiedBy>Kevin Schwartz</cp:lastModifiedBy>
  <cp:revision>6</cp:revision>
  <dcterms:created xsi:type="dcterms:W3CDTF">2022-10-27T18:51:00Z</dcterms:created>
  <dcterms:modified xsi:type="dcterms:W3CDTF">2022-11-02T20:53:00Z</dcterms:modified>
</cp:coreProperties>
</file>