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CA8E8" w14:textId="785F78EC" w:rsidR="00E84E8D" w:rsidRPr="00057D13" w:rsidRDefault="00E84E8D" w:rsidP="00EF09B7">
      <w:pPr>
        <w:rPr>
          <w:rStyle w:val="CommentReference"/>
          <w:rFonts w:ascii="Times New Roman" w:hAnsi="Times New Roman" w:cs="Times New Roman"/>
          <w:bCs/>
          <w:sz w:val="20"/>
          <w:szCs w:val="22"/>
        </w:rPr>
      </w:pPr>
      <w:bookmarkStart w:id="0" w:name="_GoBack"/>
      <w:bookmarkEnd w:id="0"/>
      <w:r w:rsidRPr="00057D13">
        <w:rPr>
          <w:rStyle w:val="CommentReference"/>
          <w:rFonts w:ascii="Times New Roman" w:hAnsi="Times New Roman" w:cs="Times New Roman"/>
          <w:b/>
          <w:bCs/>
          <w:sz w:val="22"/>
          <w:szCs w:val="22"/>
        </w:rPr>
        <w:t>Supplement</w:t>
      </w:r>
      <w:r w:rsidR="00F1305D" w:rsidRPr="00057D13">
        <w:rPr>
          <w:rStyle w:val="CommentReference"/>
          <w:rFonts w:ascii="Times New Roman" w:hAnsi="Times New Roman" w:cs="Times New Roman"/>
          <w:b/>
          <w:bCs/>
          <w:sz w:val="22"/>
          <w:szCs w:val="22"/>
        </w:rPr>
        <w:t xml:space="preserve"> </w:t>
      </w:r>
      <w:r w:rsidRPr="00057D13">
        <w:rPr>
          <w:rStyle w:val="CommentReference"/>
          <w:rFonts w:ascii="Times New Roman" w:hAnsi="Times New Roman" w:cs="Times New Roman"/>
          <w:b/>
          <w:bCs/>
          <w:sz w:val="22"/>
          <w:szCs w:val="22"/>
        </w:rPr>
        <w:t>(Online-only material)</w:t>
      </w:r>
    </w:p>
    <w:p w14:paraId="2B966425" w14:textId="77777777" w:rsidR="008B5124" w:rsidRPr="00057D13" w:rsidRDefault="008B5124" w:rsidP="008B5124">
      <w:pPr>
        <w:pStyle w:val="Heading1"/>
        <w:rPr>
          <w:rFonts w:ascii="Times New Roman" w:hAnsi="Times New Roman" w:cs="Times New Roman"/>
        </w:rPr>
      </w:pPr>
      <w:bookmarkStart w:id="1" w:name="OLE_LINK1"/>
      <w:bookmarkStart w:id="2" w:name="Table2"/>
      <w:r w:rsidRPr="00057D13">
        <w:rPr>
          <w:rFonts w:ascii="Times New Roman" w:hAnsi="Times New Roman" w:cs="Times New Roman"/>
        </w:rPr>
        <w:t>Supplementary Table 1. Database Descriptions</w:t>
      </w:r>
    </w:p>
    <w:tbl>
      <w:tblPr>
        <w:tblStyle w:val="TableGrid"/>
        <w:tblW w:w="140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4"/>
        <w:gridCol w:w="3696"/>
        <w:gridCol w:w="1260"/>
        <w:gridCol w:w="1440"/>
        <w:gridCol w:w="1710"/>
        <w:gridCol w:w="2250"/>
        <w:gridCol w:w="2160"/>
      </w:tblGrid>
      <w:tr w:rsidR="00C71388" w:rsidRPr="00057D13" w14:paraId="31302664" w14:textId="63611E54" w:rsidTr="00C71388">
        <w:trPr>
          <w:cnfStyle w:val="100000000000" w:firstRow="1" w:lastRow="0" w:firstColumn="0" w:lastColumn="0" w:oddVBand="0" w:evenVBand="0" w:oddHBand="0" w:evenHBand="0" w:firstRowFirstColumn="0" w:firstRowLastColumn="0" w:lastRowFirstColumn="0" w:lastRowLastColumn="0"/>
          <w:trHeight w:val="569"/>
          <w:tblHeader/>
        </w:trPr>
        <w:tc>
          <w:tcPr>
            <w:cnfStyle w:val="001000000000" w:firstRow="0" w:lastRow="0" w:firstColumn="1" w:lastColumn="0" w:oddVBand="0" w:evenVBand="0" w:oddHBand="0" w:evenHBand="0" w:firstRowFirstColumn="0" w:firstRowLastColumn="0" w:lastRowFirstColumn="0" w:lastRowLastColumn="0"/>
            <w:tcW w:w="1524" w:type="dxa"/>
            <w:shd w:val="clear" w:color="auto" w:fill="DEEAF6" w:themeFill="accent1" w:themeFillTint="33"/>
          </w:tcPr>
          <w:p w14:paraId="76BE893F" w14:textId="77777777" w:rsidR="00C71388" w:rsidRPr="00057D13" w:rsidRDefault="00C71388" w:rsidP="000B15EC">
            <w:r w:rsidRPr="00057D13">
              <w:rPr>
                <w:szCs w:val="22"/>
              </w:rPr>
              <w:t>Database</w:t>
            </w:r>
          </w:p>
        </w:tc>
        <w:tc>
          <w:tcPr>
            <w:tcW w:w="3696" w:type="dxa"/>
            <w:shd w:val="clear" w:color="auto" w:fill="DEEAF6" w:themeFill="accent1" w:themeFillTint="33"/>
          </w:tcPr>
          <w:p w14:paraId="06A4277B"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szCs w:val="22"/>
              </w:rPr>
            </w:pPr>
            <w:r w:rsidRPr="00057D13">
              <w:rPr>
                <w:szCs w:val="22"/>
              </w:rPr>
              <w:t>Description</w:t>
            </w:r>
          </w:p>
        </w:tc>
        <w:tc>
          <w:tcPr>
            <w:tcW w:w="1260" w:type="dxa"/>
            <w:shd w:val="clear" w:color="auto" w:fill="DEEAF6" w:themeFill="accent1" w:themeFillTint="33"/>
          </w:tcPr>
          <w:p w14:paraId="628B5B3E"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pPr>
            <w:r w:rsidRPr="00057D13">
              <w:t>Claims Type</w:t>
            </w:r>
          </w:p>
        </w:tc>
        <w:tc>
          <w:tcPr>
            <w:tcW w:w="1440" w:type="dxa"/>
            <w:shd w:val="clear" w:color="auto" w:fill="DEEAF6" w:themeFill="accent1" w:themeFillTint="33"/>
            <w:noWrap/>
            <w:hideMark/>
          </w:tcPr>
          <w:p w14:paraId="17385742"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szCs w:val="22"/>
              </w:rPr>
            </w:pPr>
            <w:r w:rsidRPr="00057D13">
              <w:rPr>
                <w:sz w:val="18"/>
                <w:szCs w:val="22"/>
              </w:rPr>
              <w:t>Update frequency</w:t>
            </w:r>
          </w:p>
        </w:tc>
        <w:tc>
          <w:tcPr>
            <w:tcW w:w="1710" w:type="dxa"/>
            <w:shd w:val="clear" w:color="auto" w:fill="DEEAF6" w:themeFill="accent1" w:themeFillTint="33"/>
          </w:tcPr>
          <w:p w14:paraId="0803AB86"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szCs w:val="22"/>
              </w:rPr>
            </w:pPr>
            <w:r w:rsidRPr="00057D13">
              <w:rPr>
                <w:szCs w:val="22"/>
              </w:rPr>
              <w:t>Data Lag,</w:t>
            </w:r>
          </w:p>
          <w:p w14:paraId="0FD7F58C" w14:textId="3DDA5671"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szCs w:val="22"/>
              </w:rPr>
            </w:pPr>
            <w:r w:rsidRPr="00057D13">
              <w:rPr>
                <w:szCs w:val="22"/>
              </w:rPr>
              <w:t xml:space="preserve">Time to 80% </w:t>
            </w:r>
            <w:proofErr w:type="spellStart"/>
            <w:r w:rsidRPr="00057D13">
              <w:rPr>
                <w:szCs w:val="22"/>
              </w:rPr>
              <w:t>Completeness</w:t>
            </w:r>
            <w:r w:rsidRPr="00057D13">
              <w:rPr>
                <w:szCs w:val="22"/>
                <w:vertAlign w:val="superscript"/>
              </w:rPr>
              <w:t>a</w:t>
            </w:r>
            <w:proofErr w:type="spellEnd"/>
          </w:p>
        </w:tc>
        <w:tc>
          <w:tcPr>
            <w:tcW w:w="2250" w:type="dxa"/>
            <w:shd w:val="clear" w:color="auto" w:fill="DEEAF6" w:themeFill="accent1" w:themeFillTint="33"/>
          </w:tcPr>
          <w:p w14:paraId="0FAD3F24"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szCs w:val="22"/>
              </w:rPr>
            </w:pPr>
            <w:r w:rsidRPr="00057D13">
              <w:rPr>
                <w:szCs w:val="22"/>
              </w:rPr>
              <w:t xml:space="preserve">Enrollees </w:t>
            </w:r>
          </w:p>
          <w:p w14:paraId="6AF3A25F" w14:textId="1C1B11D6"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szCs w:val="22"/>
                <w:vertAlign w:val="superscript"/>
              </w:rPr>
            </w:pPr>
            <w:r w:rsidRPr="00057D13">
              <w:rPr>
                <w:szCs w:val="22"/>
              </w:rPr>
              <w:t xml:space="preserve">Ages 5-17 </w:t>
            </w:r>
            <w:proofErr w:type="spellStart"/>
            <w:r w:rsidRPr="00057D13">
              <w:rPr>
                <w:szCs w:val="22"/>
              </w:rPr>
              <w:t>years</w:t>
            </w:r>
            <w:r w:rsidRPr="00057D13">
              <w:rPr>
                <w:szCs w:val="22"/>
                <w:vertAlign w:val="superscript"/>
              </w:rPr>
              <w:t>b</w:t>
            </w:r>
            <w:proofErr w:type="spellEnd"/>
          </w:p>
        </w:tc>
        <w:tc>
          <w:tcPr>
            <w:tcW w:w="2160" w:type="dxa"/>
            <w:shd w:val="clear" w:color="auto" w:fill="DEEAF6" w:themeFill="accent1" w:themeFillTint="33"/>
          </w:tcPr>
          <w:p w14:paraId="1FD5603F" w14:textId="058DFD78" w:rsidR="00C71388" w:rsidRPr="00057D13" w:rsidRDefault="005B29CE" w:rsidP="000B15EC">
            <w:pPr>
              <w:cnfStyle w:val="100000000000" w:firstRow="1" w:lastRow="0" w:firstColumn="0" w:lastColumn="0" w:oddVBand="0" w:evenVBand="0" w:oddHBand="0" w:evenHBand="0" w:firstRowFirstColumn="0" w:firstRowLastColumn="0" w:lastRowFirstColumn="0" w:lastRowLastColumn="0"/>
            </w:pPr>
            <w:r w:rsidRPr="00057D13">
              <w:t xml:space="preserve">Count of </w:t>
            </w:r>
            <w:r w:rsidR="00C71388" w:rsidRPr="00057D13">
              <w:t>IIS Jurisdictions Incorporated into Analysis</w:t>
            </w:r>
          </w:p>
        </w:tc>
      </w:tr>
      <w:tr w:rsidR="00C71388" w:rsidRPr="00057D13" w14:paraId="4788CD08" w14:textId="57DA21A9" w:rsidTr="00C71388">
        <w:trPr>
          <w:cnfStyle w:val="100000000000" w:firstRow="1" w:lastRow="0" w:firstColumn="0" w:lastColumn="0" w:oddVBand="0" w:evenVBand="0" w:oddHBand="0" w:evenHBand="0" w:firstRowFirstColumn="0" w:firstRowLastColumn="0" w:lastRowFirstColumn="0" w:lastRowLastColumn="0"/>
          <w:trHeight w:val="569"/>
          <w:tblHeader/>
        </w:trPr>
        <w:tc>
          <w:tcPr>
            <w:cnfStyle w:val="001000000000" w:firstRow="0" w:lastRow="0" w:firstColumn="1" w:lastColumn="0" w:oddVBand="0" w:evenVBand="0" w:oddHBand="0" w:evenHBand="0" w:firstRowFirstColumn="0" w:firstRowLastColumn="0" w:lastRowFirstColumn="0" w:lastRowLastColumn="0"/>
            <w:tcW w:w="1524" w:type="dxa"/>
            <w:shd w:val="clear" w:color="auto" w:fill="auto"/>
          </w:tcPr>
          <w:p w14:paraId="1F3D8513" w14:textId="77777777" w:rsidR="00C71388" w:rsidRPr="00057D13" w:rsidRDefault="00C71388" w:rsidP="000B15EC">
            <w:pPr>
              <w:rPr>
                <w:b w:val="0"/>
              </w:rPr>
            </w:pPr>
            <w:r w:rsidRPr="00057D13">
              <w:rPr>
                <w:b w:val="0"/>
              </w:rPr>
              <w:t>CVS Health</w:t>
            </w:r>
          </w:p>
        </w:tc>
        <w:tc>
          <w:tcPr>
            <w:tcW w:w="3696" w:type="dxa"/>
            <w:shd w:val="clear" w:color="auto" w:fill="auto"/>
          </w:tcPr>
          <w:p w14:paraId="1626ECF7"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p>
          <w:p w14:paraId="6E5D8902" w14:textId="067F6652"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 xml:space="preserve">CVS Health Clinical Trial Services (CVS CTS) transforms enrollment, demographic, and medical and drug claims data, for individuals enrolled from January 2018 forward in Aetna commercial including Affordable Care act (ACA) Marketplace, and Medicare Advantage health plans into a patient-centered, comprehensive Common Data Model (CDM).  </w:t>
            </w:r>
          </w:p>
          <w:p w14:paraId="155E044B"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p>
        </w:tc>
        <w:tc>
          <w:tcPr>
            <w:tcW w:w="1260" w:type="dxa"/>
            <w:shd w:val="clear" w:color="auto" w:fill="auto"/>
          </w:tcPr>
          <w:p w14:paraId="52D780BF"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Fully Adjudicated</w:t>
            </w:r>
          </w:p>
        </w:tc>
        <w:tc>
          <w:tcPr>
            <w:tcW w:w="1440" w:type="dxa"/>
            <w:shd w:val="clear" w:color="auto" w:fill="auto"/>
            <w:noWrap/>
          </w:tcPr>
          <w:p w14:paraId="3072EE83"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Monthly</w:t>
            </w:r>
          </w:p>
        </w:tc>
        <w:tc>
          <w:tcPr>
            <w:tcW w:w="1710" w:type="dxa"/>
            <w:shd w:val="clear" w:color="auto" w:fill="auto"/>
          </w:tcPr>
          <w:p w14:paraId="3D0AE70C"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 3-4 months for IP claims, 2-3 months for OP claims, and 1-2 months for professional claims</w:t>
            </w:r>
          </w:p>
        </w:tc>
        <w:tc>
          <w:tcPr>
            <w:tcW w:w="2250" w:type="dxa"/>
            <w:shd w:val="clear" w:color="auto" w:fill="auto"/>
          </w:tcPr>
          <w:p w14:paraId="3C718727" w14:textId="2F0DF0E7" w:rsidR="00C71388" w:rsidRPr="00057D13" w:rsidRDefault="00C71388" w:rsidP="0028618C">
            <w:pPr>
              <w:cnfStyle w:val="100000000000" w:firstRow="1" w:lastRow="0" w:firstColumn="0" w:lastColumn="0" w:oddVBand="0" w:evenVBand="0" w:oddHBand="0" w:evenHBand="0" w:firstRowFirstColumn="0" w:firstRowLastColumn="0" w:lastRowFirstColumn="0" w:lastRowLastColumn="0"/>
              <w:rPr>
                <w:b w:val="0"/>
              </w:rPr>
            </w:pPr>
            <w:r w:rsidRPr="00057D13">
              <w:rPr>
                <w:b w:val="0"/>
              </w:rPr>
              <w:t>5-11 years: &gt; 1.5 million</w:t>
            </w:r>
          </w:p>
          <w:p w14:paraId="7CF14686" w14:textId="44DFA941" w:rsidR="00C71388" w:rsidRPr="00057D13" w:rsidRDefault="00C71388" w:rsidP="0028618C">
            <w:pPr>
              <w:cnfStyle w:val="100000000000" w:firstRow="1" w:lastRow="0" w:firstColumn="0" w:lastColumn="0" w:oddVBand="0" w:evenVBand="0" w:oddHBand="0" w:evenHBand="0" w:firstRowFirstColumn="0" w:firstRowLastColumn="0" w:lastRowFirstColumn="0" w:lastRowLastColumn="0"/>
              <w:rPr>
                <w:b w:val="0"/>
              </w:rPr>
            </w:pPr>
            <w:r w:rsidRPr="00057D13">
              <w:rPr>
                <w:b w:val="0"/>
              </w:rPr>
              <w:t>12-15 years: &gt; 991k</w:t>
            </w:r>
          </w:p>
          <w:p w14:paraId="664E9CBC" w14:textId="4F2B6D27" w:rsidR="00C71388" w:rsidRPr="00057D13" w:rsidRDefault="00C71388" w:rsidP="0028618C">
            <w:pPr>
              <w:cnfStyle w:val="100000000000" w:firstRow="1" w:lastRow="0" w:firstColumn="0" w:lastColumn="0" w:oddVBand="0" w:evenVBand="0" w:oddHBand="0" w:evenHBand="0" w:firstRowFirstColumn="0" w:firstRowLastColumn="0" w:lastRowFirstColumn="0" w:lastRowLastColumn="0"/>
              <w:rPr>
                <w:b w:val="0"/>
              </w:rPr>
            </w:pPr>
            <w:r w:rsidRPr="00057D13">
              <w:rPr>
                <w:b w:val="0"/>
              </w:rPr>
              <w:t>16-17 years: &gt; 558k</w:t>
            </w:r>
          </w:p>
          <w:p w14:paraId="70DFCF48" w14:textId="73E72745"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p>
        </w:tc>
        <w:tc>
          <w:tcPr>
            <w:tcW w:w="2160" w:type="dxa"/>
            <w:shd w:val="clear" w:color="auto" w:fill="auto"/>
          </w:tcPr>
          <w:p w14:paraId="664A22E3" w14:textId="009F7041" w:rsidR="00C71388" w:rsidRPr="00057D13" w:rsidRDefault="005B29CE" w:rsidP="0028618C">
            <w:pPr>
              <w:cnfStyle w:val="100000000000" w:firstRow="1" w:lastRow="0" w:firstColumn="0" w:lastColumn="0" w:oddVBand="0" w:evenVBand="0" w:oddHBand="0" w:evenHBand="0" w:firstRowFirstColumn="0" w:firstRowLastColumn="0" w:lastRowFirstColumn="0" w:lastRowLastColumn="0"/>
              <w:rPr>
                <w:b w:val="0"/>
              </w:rPr>
            </w:pPr>
            <w:r w:rsidRPr="00057D13">
              <w:rPr>
                <w:b w:val="0"/>
              </w:rPr>
              <w:t>14</w:t>
            </w:r>
          </w:p>
        </w:tc>
      </w:tr>
      <w:tr w:rsidR="00C71388" w:rsidRPr="00057D13" w14:paraId="1C11E5F4" w14:textId="45295E25" w:rsidTr="00C71388">
        <w:trPr>
          <w:cnfStyle w:val="100000000000" w:firstRow="1" w:lastRow="0" w:firstColumn="0" w:lastColumn="0" w:oddVBand="0" w:evenVBand="0" w:oddHBand="0" w:evenHBand="0" w:firstRowFirstColumn="0" w:firstRowLastColumn="0" w:lastRowFirstColumn="0" w:lastRowLastColumn="0"/>
          <w:trHeight w:val="1231"/>
          <w:tblHeader/>
        </w:trPr>
        <w:tc>
          <w:tcPr>
            <w:cnfStyle w:val="001000000000" w:firstRow="0" w:lastRow="0" w:firstColumn="1" w:lastColumn="0" w:oddVBand="0" w:evenVBand="0" w:oddHBand="0" w:evenHBand="0" w:firstRowFirstColumn="0" w:firstRowLastColumn="0" w:lastRowFirstColumn="0" w:lastRowLastColumn="0"/>
            <w:tcW w:w="1524" w:type="dxa"/>
            <w:shd w:val="clear" w:color="auto" w:fill="auto"/>
          </w:tcPr>
          <w:p w14:paraId="662E7EB3" w14:textId="77777777" w:rsidR="00C71388" w:rsidRPr="00057D13" w:rsidRDefault="00C71388" w:rsidP="000B15EC">
            <w:pPr>
              <w:rPr>
                <w:b w:val="0"/>
              </w:rPr>
            </w:pPr>
            <w:r w:rsidRPr="00057D13">
              <w:rPr>
                <w:b w:val="0"/>
              </w:rPr>
              <w:t>Optum Pre-adjudicated Claims</w:t>
            </w:r>
          </w:p>
        </w:tc>
        <w:tc>
          <w:tcPr>
            <w:tcW w:w="3696" w:type="dxa"/>
            <w:shd w:val="clear" w:color="auto" w:fill="auto"/>
          </w:tcPr>
          <w:p w14:paraId="20BF8E38"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The Optum data includes enrollment, prescription drug and pre-adjudicated hospital and physician health insurance claims. The pre-adjudicated claims database includes claims for privately insured and Medicare Advantage enrollees. Hospital and physician claims undergo initial processing on a daily basis from a large number of providers across the US who accept patients with health insurance.</w:t>
            </w:r>
          </w:p>
        </w:tc>
        <w:tc>
          <w:tcPr>
            <w:tcW w:w="1260" w:type="dxa"/>
            <w:shd w:val="clear" w:color="auto" w:fill="auto"/>
          </w:tcPr>
          <w:p w14:paraId="6FBFB11D"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Pre-Adjudicated</w:t>
            </w:r>
          </w:p>
        </w:tc>
        <w:tc>
          <w:tcPr>
            <w:tcW w:w="1440" w:type="dxa"/>
            <w:shd w:val="clear" w:color="auto" w:fill="auto"/>
            <w:noWrap/>
          </w:tcPr>
          <w:p w14:paraId="27FA9D46"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Bi-Weekly</w:t>
            </w:r>
          </w:p>
        </w:tc>
        <w:tc>
          <w:tcPr>
            <w:tcW w:w="1710" w:type="dxa"/>
            <w:shd w:val="clear" w:color="auto" w:fill="auto"/>
          </w:tcPr>
          <w:p w14:paraId="71F1395D"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 1-2 months for IP, OP, and professional claims</w:t>
            </w:r>
          </w:p>
        </w:tc>
        <w:tc>
          <w:tcPr>
            <w:tcW w:w="2250" w:type="dxa"/>
            <w:shd w:val="clear" w:color="auto" w:fill="auto"/>
          </w:tcPr>
          <w:p w14:paraId="42E5FC6D" w14:textId="38169076" w:rsidR="00C71388" w:rsidRPr="00057D13" w:rsidRDefault="00C71388" w:rsidP="005518F1">
            <w:pPr>
              <w:cnfStyle w:val="100000000000" w:firstRow="1" w:lastRow="0" w:firstColumn="0" w:lastColumn="0" w:oddVBand="0" w:evenVBand="0" w:oddHBand="0" w:evenHBand="0" w:firstRowFirstColumn="0" w:firstRowLastColumn="0" w:lastRowFirstColumn="0" w:lastRowLastColumn="0"/>
              <w:rPr>
                <w:b w:val="0"/>
              </w:rPr>
            </w:pPr>
            <w:r w:rsidRPr="00057D13">
              <w:rPr>
                <w:b w:val="0"/>
              </w:rPr>
              <w:t xml:space="preserve">5-11 years: &gt; 1.3 million            </w:t>
            </w:r>
          </w:p>
          <w:p w14:paraId="6895F89D" w14:textId="37FB6888" w:rsidR="00C71388" w:rsidRPr="00057D13" w:rsidRDefault="00C71388" w:rsidP="005518F1">
            <w:pPr>
              <w:cnfStyle w:val="100000000000" w:firstRow="1" w:lastRow="0" w:firstColumn="0" w:lastColumn="0" w:oddVBand="0" w:evenVBand="0" w:oddHBand="0" w:evenHBand="0" w:firstRowFirstColumn="0" w:firstRowLastColumn="0" w:lastRowFirstColumn="0" w:lastRowLastColumn="0"/>
              <w:rPr>
                <w:b w:val="0"/>
              </w:rPr>
            </w:pPr>
            <w:r w:rsidRPr="00057D13">
              <w:rPr>
                <w:b w:val="0"/>
              </w:rPr>
              <w:t>12-15 years: &gt; 840k</w:t>
            </w:r>
          </w:p>
          <w:p w14:paraId="045E38C9" w14:textId="5C6F8828" w:rsidR="00C71388" w:rsidRPr="00057D13" w:rsidRDefault="00C71388" w:rsidP="005518F1">
            <w:pPr>
              <w:cnfStyle w:val="100000000000" w:firstRow="1" w:lastRow="0" w:firstColumn="0" w:lastColumn="0" w:oddVBand="0" w:evenVBand="0" w:oddHBand="0" w:evenHBand="0" w:firstRowFirstColumn="0" w:firstRowLastColumn="0" w:lastRowFirstColumn="0" w:lastRowLastColumn="0"/>
              <w:rPr>
                <w:b w:val="0"/>
              </w:rPr>
            </w:pPr>
            <w:r w:rsidRPr="00057D13">
              <w:rPr>
                <w:b w:val="0"/>
              </w:rPr>
              <w:t>16-17 years: &gt; 429k</w:t>
            </w:r>
          </w:p>
        </w:tc>
        <w:tc>
          <w:tcPr>
            <w:tcW w:w="2160" w:type="dxa"/>
            <w:shd w:val="clear" w:color="auto" w:fill="auto"/>
          </w:tcPr>
          <w:p w14:paraId="5F0D78B2" w14:textId="12F76B91" w:rsidR="00C71388" w:rsidRPr="00057D13" w:rsidRDefault="005B29CE" w:rsidP="005518F1">
            <w:pPr>
              <w:cnfStyle w:val="100000000000" w:firstRow="1" w:lastRow="0" w:firstColumn="0" w:lastColumn="0" w:oddVBand="0" w:evenVBand="0" w:oddHBand="0" w:evenHBand="0" w:firstRowFirstColumn="0" w:firstRowLastColumn="0" w:lastRowFirstColumn="0" w:lastRowLastColumn="0"/>
              <w:rPr>
                <w:b w:val="0"/>
              </w:rPr>
            </w:pPr>
            <w:r w:rsidRPr="00057D13">
              <w:rPr>
                <w:b w:val="0"/>
              </w:rPr>
              <w:t>18</w:t>
            </w:r>
          </w:p>
        </w:tc>
      </w:tr>
      <w:tr w:rsidR="00C71388" w:rsidRPr="00057D13" w14:paraId="6FA7D67B" w14:textId="22DC3AE7" w:rsidTr="00C71388">
        <w:trPr>
          <w:cnfStyle w:val="100000000000" w:firstRow="1" w:lastRow="0" w:firstColumn="0" w:lastColumn="0" w:oddVBand="0" w:evenVBand="0" w:oddHBand="0" w:evenHBand="0" w:firstRowFirstColumn="0" w:firstRowLastColumn="0" w:lastRowFirstColumn="0" w:lastRowLastColumn="0"/>
          <w:trHeight w:val="1054"/>
          <w:tblHeader/>
        </w:trPr>
        <w:tc>
          <w:tcPr>
            <w:cnfStyle w:val="001000000000" w:firstRow="0" w:lastRow="0" w:firstColumn="1" w:lastColumn="0" w:oddVBand="0" w:evenVBand="0" w:oddHBand="0" w:evenHBand="0" w:firstRowFirstColumn="0" w:firstRowLastColumn="0" w:lastRowFirstColumn="0" w:lastRowLastColumn="0"/>
            <w:tcW w:w="1524" w:type="dxa"/>
            <w:shd w:val="clear" w:color="auto" w:fill="auto"/>
          </w:tcPr>
          <w:p w14:paraId="75AF951C" w14:textId="77777777" w:rsidR="00C71388" w:rsidRPr="00057D13" w:rsidRDefault="00C71388" w:rsidP="000B15EC">
            <w:pPr>
              <w:rPr>
                <w:b w:val="0"/>
              </w:rPr>
            </w:pPr>
            <w:proofErr w:type="spellStart"/>
            <w:r w:rsidRPr="00057D13">
              <w:rPr>
                <w:b w:val="0"/>
              </w:rPr>
              <w:t>HealthCore</w:t>
            </w:r>
            <w:proofErr w:type="spellEnd"/>
          </w:p>
        </w:tc>
        <w:tc>
          <w:tcPr>
            <w:tcW w:w="3696" w:type="dxa"/>
            <w:shd w:val="clear" w:color="auto" w:fill="auto"/>
          </w:tcPr>
          <w:p w14:paraId="6BF83A59" w14:textId="585905CF"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proofErr w:type="spellStart"/>
            <w:r w:rsidRPr="00057D13">
              <w:rPr>
                <w:b w:val="0"/>
              </w:rPr>
              <w:t>HealthCore</w:t>
            </w:r>
            <w:proofErr w:type="spellEnd"/>
            <w:r w:rsidRPr="00057D13">
              <w:rPr>
                <w:b w:val="0"/>
              </w:rPr>
              <w:t xml:space="preserve">, Inc. is a wholly-owned, research subsidiary of </w:t>
            </w:r>
            <w:proofErr w:type="spellStart"/>
            <w:r w:rsidRPr="00057D13">
              <w:rPr>
                <w:b w:val="0"/>
              </w:rPr>
              <w:t>Elevance</w:t>
            </w:r>
            <w:proofErr w:type="spellEnd"/>
            <w:r w:rsidRPr="00057D13">
              <w:rPr>
                <w:b w:val="0"/>
              </w:rPr>
              <w:t xml:space="preserve"> Health, Inc., a holding company owning several large US health plans associated with Anthem Blue Cross Blue Shield. </w:t>
            </w:r>
            <w:proofErr w:type="spellStart"/>
            <w:r w:rsidRPr="00057D13">
              <w:rPr>
                <w:b w:val="0"/>
              </w:rPr>
              <w:t>HealthCore</w:t>
            </w:r>
            <w:proofErr w:type="spellEnd"/>
            <w:r w:rsidRPr="00057D13">
              <w:rPr>
                <w:b w:val="0"/>
              </w:rPr>
              <w:t xml:space="preserve"> has a US population database including individually insured by commercial and Medicare Advantage plans, the </w:t>
            </w:r>
            <w:proofErr w:type="spellStart"/>
            <w:r w:rsidRPr="00057D13">
              <w:rPr>
                <w:b w:val="0"/>
              </w:rPr>
              <w:t>HealthCore</w:t>
            </w:r>
            <w:proofErr w:type="spellEnd"/>
            <w:r w:rsidRPr="00057D13">
              <w:rPr>
                <w:b w:val="0"/>
              </w:rPr>
              <w:t xml:space="preserve"> Integrated Research Environment (HIRE), with longitudinal data on health plan enrollees.</w:t>
            </w:r>
          </w:p>
        </w:tc>
        <w:tc>
          <w:tcPr>
            <w:tcW w:w="1260" w:type="dxa"/>
            <w:shd w:val="clear" w:color="auto" w:fill="auto"/>
          </w:tcPr>
          <w:p w14:paraId="2CE346D1"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Fully Adjudicated</w:t>
            </w:r>
          </w:p>
        </w:tc>
        <w:tc>
          <w:tcPr>
            <w:tcW w:w="1440" w:type="dxa"/>
            <w:shd w:val="clear" w:color="auto" w:fill="auto"/>
            <w:noWrap/>
          </w:tcPr>
          <w:p w14:paraId="26209BB7"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rPr>
              <w:t>Monthly</w:t>
            </w:r>
          </w:p>
        </w:tc>
        <w:tc>
          <w:tcPr>
            <w:tcW w:w="1710" w:type="dxa"/>
            <w:shd w:val="clear" w:color="auto" w:fill="auto"/>
          </w:tcPr>
          <w:p w14:paraId="1755BCED" w14:textId="77777777"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r w:rsidRPr="00057D13">
              <w:rPr>
                <w:b w:val="0"/>
                <w:color w:val="000000"/>
              </w:rPr>
              <w:t xml:space="preserve">~ 2-3 months for IP claims and 1-2 months for OP and professional claims </w:t>
            </w:r>
          </w:p>
        </w:tc>
        <w:tc>
          <w:tcPr>
            <w:tcW w:w="2250" w:type="dxa"/>
            <w:shd w:val="clear" w:color="auto" w:fill="auto"/>
          </w:tcPr>
          <w:p w14:paraId="41131B14" w14:textId="77777777" w:rsidR="00C71388" w:rsidRPr="00057D13" w:rsidRDefault="00C71388" w:rsidP="005518F1">
            <w:pPr>
              <w:pStyle w:val="NoSpacing"/>
              <w:cnfStyle w:val="100000000000" w:firstRow="1" w:lastRow="0" w:firstColumn="0" w:lastColumn="0" w:oddVBand="0" w:evenVBand="0" w:oddHBand="0" w:evenHBand="0" w:firstRowFirstColumn="0" w:firstRowLastColumn="0" w:lastRowFirstColumn="0" w:lastRowLastColumn="0"/>
              <w:rPr>
                <w:b w:val="0"/>
              </w:rPr>
            </w:pPr>
            <w:r w:rsidRPr="00057D13">
              <w:rPr>
                <w:b w:val="0"/>
              </w:rPr>
              <w:t>5-11 years: &gt; 1.8 million</w:t>
            </w:r>
          </w:p>
          <w:p w14:paraId="1502B020" w14:textId="77777777" w:rsidR="00C71388" w:rsidRPr="00057D13" w:rsidRDefault="00C71388" w:rsidP="005518F1">
            <w:pPr>
              <w:pStyle w:val="NoSpacing"/>
              <w:cnfStyle w:val="100000000000" w:firstRow="1" w:lastRow="0" w:firstColumn="0" w:lastColumn="0" w:oddVBand="0" w:evenVBand="0" w:oddHBand="0" w:evenHBand="0" w:firstRowFirstColumn="0" w:firstRowLastColumn="0" w:lastRowFirstColumn="0" w:lastRowLastColumn="0"/>
              <w:rPr>
                <w:b w:val="0"/>
              </w:rPr>
            </w:pPr>
            <w:r w:rsidRPr="00057D13">
              <w:rPr>
                <w:b w:val="0"/>
              </w:rPr>
              <w:t>12-15 years: &gt; 1.2 million</w:t>
            </w:r>
          </w:p>
          <w:p w14:paraId="232B77A5" w14:textId="77777777" w:rsidR="00C71388" w:rsidRPr="00057D13" w:rsidRDefault="00C71388" w:rsidP="005518F1">
            <w:pPr>
              <w:pStyle w:val="NoSpacing"/>
              <w:cnfStyle w:val="100000000000" w:firstRow="1" w:lastRow="0" w:firstColumn="0" w:lastColumn="0" w:oddVBand="0" w:evenVBand="0" w:oddHBand="0" w:evenHBand="0" w:firstRowFirstColumn="0" w:firstRowLastColumn="0" w:lastRowFirstColumn="0" w:lastRowLastColumn="0"/>
              <w:rPr>
                <w:b w:val="0"/>
              </w:rPr>
            </w:pPr>
            <w:r w:rsidRPr="00057D13">
              <w:rPr>
                <w:b w:val="0"/>
              </w:rPr>
              <w:t>16-17 years: &gt; 647k</w:t>
            </w:r>
          </w:p>
          <w:p w14:paraId="05A59350" w14:textId="134E6205" w:rsidR="00C71388" w:rsidRPr="00057D13" w:rsidRDefault="00C71388" w:rsidP="000B15EC">
            <w:pPr>
              <w:cnfStyle w:val="100000000000" w:firstRow="1" w:lastRow="0" w:firstColumn="0" w:lastColumn="0" w:oddVBand="0" w:evenVBand="0" w:oddHBand="0" w:evenHBand="0" w:firstRowFirstColumn="0" w:firstRowLastColumn="0" w:lastRowFirstColumn="0" w:lastRowLastColumn="0"/>
              <w:rPr>
                <w:b w:val="0"/>
              </w:rPr>
            </w:pPr>
          </w:p>
        </w:tc>
        <w:tc>
          <w:tcPr>
            <w:tcW w:w="2160" w:type="dxa"/>
            <w:shd w:val="clear" w:color="auto" w:fill="auto"/>
          </w:tcPr>
          <w:p w14:paraId="75CC7B85" w14:textId="7974DCF2" w:rsidR="00C71388" w:rsidRPr="00057D13" w:rsidRDefault="005B29CE" w:rsidP="005518F1">
            <w:pPr>
              <w:pStyle w:val="NoSpacing"/>
              <w:cnfStyle w:val="100000000000" w:firstRow="1" w:lastRow="0" w:firstColumn="0" w:lastColumn="0" w:oddVBand="0" w:evenVBand="0" w:oddHBand="0" w:evenHBand="0" w:firstRowFirstColumn="0" w:firstRowLastColumn="0" w:lastRowFirstColumn="0" w:lastRowLastColumn="0"/>
              <w:rPr>
                <w:b w:val="0"/>
              </w:rPr>
            </w:pPr>
            <w:r w:rsidRPr="00057D13">
              <w:rPr>
                <w:b w:val="0"/>
              </w:rPr>
              <w:t>0</w:t>
            </w:r>
          </w:p>
        </w:tc>
      </w:tr>
    </w:tbl>
    <w:p w14:paraId="209682EB" w14:textId="77777777" w:rsidR="00FB3A0A" w:rsidRPr="00057D13" w:rsidRDefault="00FB3A0A" w:rsidP="00FB3A0A">
      <w:pPr>
        <w:spacing w:after="0"/>
        <w:rPr>
          <w:rFonts w:ascii="Times New Roman" w:hAnsi="Times New Roman" w:cs="Times New Roman"/>
          <w:i/>
          <w:sz w:val="20"/>
          <w:szCs w:val="20"/>
        </w:rPr>
      </w:pPr>
      <w:r w:rsidRPr="00057D13">
        <w:rPr>
          <w:rFonts w:ascii="Times New Roman" w:hAnsi="Times New Roman" w:cs="Times New Roman"/>
          <w:i/>
          <w:sz w:val="20"/>
          <w:szCs w:val="20"/>
          <w:vertAlign w:val="superscript"/>
        </w:rPr>
        <w:t xml:space="preserve">a </w:t>
      </w:r>
      <w:r w:rsidRPr="00057D13">
        <w:rPr>
          <w:rFonts w:ascii="Times New Roman" w:hAnsi="Times New Roman" w:cs="Times New Roman"/>
          <w:i/>
          <w:sz w:val="20"/>
          <w:szCs w:val="20"/>
        </w:rPr>
        <w:t>Data lag based on 2020 claims delay distribution</w:t>
      </w:r>
    </w:p>
    <w:p w14:paraId="3AF719E6" w14:textId="77777777" w:rsidR="0035014E" w:rsidRPr="00057D13" w:rsidRDefault="005518F1" w:rsidP="0035014E">
      <w:pPr>
        <w:spacing w:after="0"/>
        <w:rPr>
          <w:rFonts w:ascii="Times New Roman" w:eastAsia="Times New Roman" w:hAnsi="Times New Roman" w:cs="Times New Roman"/>
          <w:i/>
          <w:sz w:val="20"/>
        </w:rPr>
      </w:pPr>
      <w:r w:rsidRPr="00057D13">
        <w:rPr>
          <w:rFonts w:ascii="Times New Roman" w:hAnsi="Times New Roman" w:cs="Times New Roman"/>
          <w:i/>
          <w:iCs/>
          <w:sz w:val="20"/>
          <w:szCs w:val="20"/>
          <w:vertAlign w:val="superscript"/>
        </w:rPr>
        <w:t xml:space="preserve">b </w:t>
      </w:r>
      <w:r w:rsidRPr="00057D13">
        <w:rPr>
          <w:rFonts w:ascii="Times New Roman" w:eastAsia="Times New Roman" w:hAnsi="Times New Roman" w:cs="Times New Roman"/>
          <w:i/>
          <w:sz w:val="20"/>
        </w:rPr>
        <w:t>Average number of annual enrollees in a given age category between 2018-2020</w:t>
      </w:r>
    </w:p>
    <w:p w14:paraId="069CE655" w14:textId="77777777" w:rsidR="0035014E" w:rsidRPr="00057D13" w:rsidRDefault="0035014E" w:rsidP="0035014E">
      <w:pPr>
        <w:spacing w:after="0"/>
        <w:rPr>
          <w:rFonts w:ascii="Times New Roman" w:eastAsia="Times New Roman" w:hAnsi="Times New Roman" w:cs="Times New Roman"/>
          <w:i/>
          <w:sz w:val="20"/>
        </w:rPr>
      </w:pPr>
    </w:p>
    <w:p w14:paraId="3AF6E391" w14:textId="77777777" w:rsidR="0035014E" w:rsidRPr="00057D13" w:rsidRDefault="0035014E" w:rsidP="0035014E">
      <w:pPr>
        <w:spacing w:after="0"/>
        <w:rPr>
          <w:rFonts w:ascii="Times New Roman" w:eastAsia="Times New Roman" w:hAnsi="Times New Roman" w:cs="Times New Roman"/>
          <w:i/>
          <w:sz w:val="20"/>
        </w:rPr>
      </w:pPr>
    </w:p>
    <w:p w14:paraId="2F167CF4" w14:textId="77777777" w:rsidR="0035014E" w:rsidRPr="00057D13" w:rsidRDefault="0035014E" w:rsidP="0035014E">
      <w:pPr>
        <w:spacing w:after="0"/>
        <w:rPr>
          <w:rFonts w:ascii="Times New Roman" w:eastAsia="Times New Roman" w:hAnsi="Times New Roman" w:cs="Times New Roman"/>
          <w:i/>
          <w:sz w:val="20"/>
        </w:rPr>
      </w:pPr>
    </w:p>
    <w:p w14:paraId="1F96CAD3" w14:textId="77777777" w:rsidR="0035014E" w:rsidRPr="00057D13" w:rsidRDefault="0035014E" w:rsidP="0035014E">
      <w:pPr>
        <w:spacing w:after="0"/>
        <w:rPr>
          <w:rFonts w:ascii="Times New Roman" w:eastAsia="Times New Roman" w:hAnsi="Times New Roman" w:cs="Times New Roman"/>
          <w:i/>
          <w:sz w:val="20"/>
        </w:rPr>
      </w:pPr>
    </w:p>
    <w:p w14:paraId="4190FF0E" w14:textId="77777777" w:rsidR="0035014E" w:rsidRPr="00057D13" w:rsidRDefault="0035014E" w:rsidP="0035014E">
      <w:pPr>
        <w:spacing w:after="0"/>
        <w:rPr>
          <w:rFonts w:ascii="Times New Roman" w:eastAsia="Times New Roman" w:hAnsi="Times New Roman" w:cs="Times New Roman"/>
          <w:i/>
          <w:sz w:val="20"/>
        </w:rPr>
      </w:pPr>
    </w:p>
    <w:p w14:paraId="12D447ED" w14:textId="77777777" w:rsidR="0035014E" w:rsidRPr="00057D13" w:rsidRDefault="0035014E" w:rsidP="0035014E">
      <w:pPr>
        <w:spacing w:after="0"/>
        <w:rPr>
          <w:rFonts w:ascii="Times New Roman" w:eastAsia="Times New Roman" w:hAnsi="Times New Roman" w:cs="Times New Roman"/>
          <w:i/>
          <w:sz w:val="20"/>
        </w:rPr>
      </w:pPr>
    </w:p>
    <w:p w14:paraId="37E65B68" w14:textId="77777777" w:rsidR="0035014E" w:rsidRPr="00057D13" w:rsidRDefault="0035014E" w:rsidP="0035014E">
      <w:pPr>
        <w:spacing w:after="0"/>
        <w:rPr>
          <w:rFonts w:ascii="Times New Roman" w:eastAsia="Times New Roman" w:hAnsi="Times New Roman" w:cs="Times New Roman"/>
          <w:i/>
          <w:sz w:val="20"/>
        </w:rPr>
      </w:pPr>
    </w:p>
    <w:p w14:paraId="715EE22C" w14:textId="77777777" w:rsidR="002B68A8" w:rsidRPr="00057D13" w:rsidRDefault="002B68A8">
      <w:pPr>
        <w:rPr>
          <w:rFonts w:ascii="Times New Roman" w:hAnsi="Times New Roman" w:cs="Times New Roman"/>
          <w:b/>
          <w:bCs/>
        </w:rPr>
      </w:pPr>
      <w:r w:rsidRPr="00057D13">
        <w:rPr>
          <w:rFonts w:ascii="Times New Roman" w:hAnsi="Times New Roman" w:cs="Times New Roman"/>
        </w:rPr>
        <w:br w:type="page"/>
      </w:r>
    </w:p>
    <w:p w14:paraId="4A389546" w14:textId="04A60D75" w:rsidR="0035014E" w:rsidRPr="00057D13" w:rsidRDefault="006C776A" w:rsidP="0035014E">
      <w:pPr>
        <w:pStyle w:val="Heading1"/>
        <w:rPr>
          <w:rFonts w:ascii="Times New Roman" w:hAnsi="Times New Roman" w:cs="Times New Roman"/>
        </w:rPr>
      </w:pPr>
      <w:r w:rsidRPr="00057D13">
        <w:rPr>
          <w:rFonts w:ascii="Times New Roman" w:hAnsi="Times New Roman" w:cs="Times New Roman"/>
        </w:rPr>
        <w:t xml:space="preserve">Supplementary </w:t>
      </w:r>
      <w:r w:rsidR="0035014E" w:rsidRPr="00057D13">
        <w:rPr>
          <w:rFonts w:ascii="Times New Roman" w:hAnsi="Times New Roman" w:cs="Times New Roman"/>
        </w:rPr>
        <w:t xml:space="preserve">Table 2. </w:t>
      </w:r>
      <w:r w:rsidR="00673661" w:rsidRPr="00057D13">
        <w:rPr>
          <w:rFonts w:ascii="Times New Roman" w:hAnsi="Times New Roman" w:cs="Times New Roman"/>
        </w:rPr>
        <w:t>Codes for COVID-19 Vaccine Administrations, Utilized in Claims and IIS data</w:t>
      </w:r>
    </w:p>
    <w:tbl>
      <w:tblPr>
        <w:tblW w:w="13590" w:type="dxa"/>
        <w:tblInd w:w="-10" w:type="dxa"/>
        <w:tblLook w:val="04A0" w:firstRow="1" w:lastRow="0" w:firstColumn="1" w:lastColumn="0" w:noHBand="0" w:noVBand="1"/>
      </w:tblPr>
      <w:tblGrid>
        <w:gridCol w:w="1417"/>
        <w:gridCol w:w="1463"/>
        <w:gridCol w:w="1485"/>
        <w:gridCol w:w="1050"/>
        <w:gridCol w:w="1245"/>
        <w:gridCol w:w="2160"/>
        <w:gridCol w:w="1890"/>
        <w:gridCol w:w="2880"/>
      </w:tblGrid>
      <w:tr w:rsidR="00673661" w:rsidRPr="00057D13" w14:paraId="0F91E45D" w14:textId="77777777" w:rsidTr="00565172">
        <w:trPr>
          <w:trHeight w:val="1035"/>
          <w:tblHeader/>
        </w:trPr>
        <w:tc>
          <w:tcPr>
            <w:tcW w:w="1417" w:type="dxa"/>
            <w:tcBorders>
              <w:top w:val="single" w:sz="8" w:space="0" w:color="auto"/>
              <w:left w:val="single" w:sz="8" w:space="0" w:color="auto"/>
              <w:bottom w:val="single" w:sz="8" w:space="0" w:color="auto"/>
              <w:right w:val="single" w:sz="4" w:space="0" w:color="auto"/>
            </w:tcBorders>
            <w:shd w:val="clear" w:color="000000" w:fill="DEEAF6"/>
            <w:vAlign w:val="center"/>
            <w:hideMark/>
          </w:tcPr>
          <w:p w14:paraId="6D786541"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HCPCS/CPT Code</w:t>
            </w:r>
          </w:p>
        </w:tc>
        <w:tc>
          <w:tcPr>
            <w:tcW w:w="1463" w:type="dxa"/>
            <w:tcBorders>
              <w:top w:val="single" w:sz="8" w:space="0" w:color="auto"/>
              <w:left w:val="nil"/>
              <w:bottom w:val="single" w:sz="8" w:space="0" w:color="auto"/>
              <w:right w:val="single" w:sz="4" w:space="0" w:color="auto"/>
            </w:tcBorders>
            <w:shd w:val="clear" w:color="000000" w:fill="DEEAF6"/>
            <w:vAlign w:val="center"/>
            <w:hideMark/>
          </w:tcPr>
          <w:p w14:paraId="3ED161EE"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CVX Codes</w:t>
            </w:r>
            <w:r w:rsidRPr="00057D13">
              <w:rPr>
                <w:rFonts w:ascii="Times New Roman" w:hAnsi="Times New Roman" w:cs="Times New Roman"/>
                <w:sz w:val="20"/>
                <w:szCs w:val="20"/>
              </w:rPr>
              <w:br/>
              <w:t>(IIS-Specific)</w:t>
            </w:r>
          </w:p>
        </w:tc>
        <w:tc>
          <w:tcPr>
            <w:tcW w:w="1485" w:type="dxa"/>
            <w:tcBorders>
              <w:top w:val="single" w:sz="8" w:space="0" w:color="auto"/>
              <w:left w:val="nil"/>
              <w:bottom w:val="single" w:sz="8" w:space="0" w:color="auto"/>
              <w:right w:val="single" w:sz="4" w:space="0" w:color="auto"/>
            </w:tcBorders>
            <w:shd w:val="clear" w:color="000000" w:fill="DEEAF6"/>
            <w:vAlign w:val="center"/>
            <w:hideMark/>
          </w:tcPr>
          <w:p w14:paraId="01A6AFEC"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Manufacturer</w:t>
            </w:r>
          </w:p>
        </w:tc>
        <w:tc>
          <w:tcPr>
            <w:tcW w:w="1050" w:type="dxa"/>
            <w:tcBorders>
              <w:top w:val="single" w:sz="8" w:space="0" w:color="auto"/>
              <w:left w:val="nil"/>
              <w:bottom w:val="single" w:sz="8" w:space="0" w:color="auto"/>
              <w:right w:val="single" w:sz="4" w:space="0" w:color="auto"/>
            </w:tcBorders>
            <w:shd w:val="clear" w:color="000000" w:fill="DEEAF6"/>
            <w:vAlign w:val="center"/>
            <w:hideMark/>
          </w:tcPr>
          <w:p w14:paraId="72B796A5"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Name</w:t>
            </w:r>
          </w:p>
        </w:tc>
        <w:tc>
          <w:tcPr>
            <w:tcW w:w="1245" w:type="dxa"/>
            <w:tcBorders>
              <w:top w:val="single" w:sz="8" w:space="0" w:color="auto"/>
              <w:left w:val="nil"/>
              <w:bottom w:val="single" w:sz="8" w:space="0" w:color="auto"/>
              <w:right w:val="single" w:sz="4" w:space="0" w:color="auto"/>
            </w:tcBorders>
            <w:shd w:val="clear" w:color="000000" w:fill="DEEAF6"/>
            <w:vAlign w:val="center"/>
            <w:hideMark/>
          </w:tcPr>
          <w:p w14:paraId="081B34B4"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Age Group</w:t>
            </w:r>
          </w:p>
        </w:tc>
        <w:tc>
          <w:tcPr>
            <w:tcW w:w="2160" w:type="dxa"/>
            <w:tcBorders>
              <w:top w:val="single" w:sz="8" w:space="0" w:color="auto"/>
              <w:left w:val="nil"/>
              <w:bottom w:val="single" w:sz="8" w:space="0" w:color="auto"/>
              <w:right w:val="single" w:sz="4" w:space="0" w:color="auto"/>
            </w:tcBorders>
            <w:shd w:val="clear" w:color="000000" w:fill="DEEAF6"/>
            <w:vAlign w:val="center"/>
            <w:hideMark/>
          </w:tcPr>
          <w:p w14:paraId="16C186AE"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Vaccine Administration Code</w:t>
            </w:r>
          </w:p>
        </w:tc>
        <w:tc>
          <w:tcPr>
            <w:tcW w:w="1890" w:type="dxa"/>
            <w:tcBorders>
              <w:top w:val="single" w:sz="8" w:space="0" w:color="auto"/>
              <w:left w:val="nil"/>
              <w:bottom w:val="single" w:sz="8" w:space="0" w:color="auto"/>
              <w:right w:val="single" w:sz="4" w:space="0" w:color="auto"/>
            </w:tcBorders>
            <w:shd w:val="clear" w:color="000000" w:fill="DEEAF6"/>
            <w:vAlign w:val="center"/>
            <w:hideMark/>
          </w:tcPr>
          <w:p w14:paraId="195877E9"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NDC 11 Labeler Product ID (Vial)</w:t>
            </w:r>
          </w:p>
        </w:tc>
        <w:tc>
          <w:tcPr>
            <w:tcW w:w="2880" w:type="dxa"/>
            <w:tcBorders>
              <w:top w:val="single" w:sz="8" w:space="0" w:color="auto"/>
              <w:left w:val="nil"/>
              <w:bottom w:val="single" w:sz="8" w:space="0" w:color="auto"/>
              <w:right w:val="single" w:sz="8" w:space="0" w:color="auto"/>
            </w:tcBorders>
            <w:shd w:val="clear" w:color="000000" w:fill="DEEAF6"/>
            <w:vAlign w:val="center"/>
            <w:hideMark/>
          </w:tcPr>
          <w:p w14:paraId="71FCF00C" w14:textId="77777777" w:rsidR="0035014E" w:rsidRPr="00057D13" w:rsidRDefault="0035014E" w:rsidP="00673661">
            <w:pPr>
              <w:pStyle w:val="Heading1"/>
              <w:rPr>
                <w:rFonts w:ascii="Times New Roman" w:hAnsi="Times New Roman" w:cs="Times New Roman"/>
                <w:sz w:val="20"/>
                <w:szCs w:val="20"/>
              </w:rPr>
            </w:pPr>
            <w:r w:rsidRPr="00057D13">
              <w:rPr>
                <w:rFonts w:ascii="Times New Roman" w:hAnsi="Times New Roman" w:cs="Times New Roman"/>
                <w:sz w:val="20"/>
                <w:szCs w:val="20"/>
              </w:rPr>
              <w:t>Dosing Interval</w:t>
            </w:r>
          </w:p>
        </w:tc>
      </w:tr>
      <w:tr w:rsidR="00673661" w:rsidRPr="00057D13" w14:paraId="536CA3E3" w14:textId="77777777" w:rsidTr="00565172">
        <w:trPr>
          <w:trHeight w:val="450"/>
        </w:trPr>
        <w:tc>
          <w:tcPr>
            <w:tcW w:w="1417" w:type="dxa"/>
            <w:vMerge w:val="restart"/>
            <w:tcBorders>
              <w:top w:val="nil"/>
              <w:left w:val="single" w:sz="8" w:space="0" w:color="auto"/>
              <w:bottom w:val="single" w:sz="4" w:space="0" w:color="000000"/>
              <w:right w:val="single" w:sz="4" w:space="0" w:color="auto"/>
            </w:tcBorders>
            <w:shd w:val="clear" w:color="auto" w:fill="auto"/>
            <w:vAlign w:val="center"/>
            <w:hideMark/>
          </w:tcPr>
          <w:p w14:paraId="6AF27BC1"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NA</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14:paraId="73828F40"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NA</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14:paraId="72BE7911"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w:t>
            </w:r>
          </w:p>
        </w:tc>
        <w:tc>
          <w:tcPr>
            <w:tcW w:w="10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3773E5"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Pfizer-BioNTech COVID-19 Vaccine</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14:paraId="3A65CF44"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 years</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CD2A95"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NA</w:t>
            </w:r>
          </w:p>
        </w:tc>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14:paraId="4FE78FE3"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00069-2025-01</w:t>
            </w:r>
            <w:r w:rsidRPr="00057D13">
              <w:rPr>
                <w:rFonts w:ascii="Times New Roman" w:eastAsia="Times New Roman" w:hAnsi="Times New Roman" w:cs="Times New Roman"/>
                <w:sz w:val="20"/>
                <w:szCs w:val="20"/>
              </w:rPr>
              <w:br/>
              <w:t>00069-2025-10</w:t>
            </w:r>
            <w:r w:rsidRPr="00057D13">
              <w:rPr>
                <w:rFonts w:ascii="Times New Roman" w:eastAsia="Times New Roman" w:hAnsi="Times New Roman" w:cs="Times New Roman"/>
                <w:sz w:val="20"/>
                <w:szCs w:val="20"/>
              </w:rPr>
              <w:br/>
              <w:t>00069-2025-25</w:t>
            </w:r>
          </w:p>
        </w:tc>
        <w:tc>
          <w:tcPr>
            <w:tcW w:w="288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187D7C0"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NA</w:t>
            </w:r>
          </w:p>
        </w:tc>
      </w:tr>
      <w:tr w:rsidR="00673661" w:rsidRPr="00057D13" w14:paraId="78F36D97" w14:textId="77777777" w:rsidTr="00565172">
        <w:trPr>
          <w:trHeight w:val="450"/>
        </w:trPr>
        <w:tc>
          <w:tcPr>
            <w:tcW w:w="1417" w:type="dxa"/>
            <w:vMerge/>
            <w:tcBorders>
              <w:top w:val="nil"/>
              <w:left w:val="single" w:sz="8" w:space="0" w:color="auto"/>
              <w:bottom w:val="single" w:sz="4" w:space="0" w:color="000000"/>
              <w:right w:val="single" w:sz="4" w:space="0" w:color="auto"/>
            </w:tcBorders>
            <w:vAlign w:val="center"/>
            <w:hideMark/>
          </w:tcPr>
          <w:p w14:paraId="09D80BB8"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single" w:sz="4" w:space="0" w:color="000000"/>
              <w:right w:val="single" w:sz="4" w:space="0" w:color="auto"/>
            </w:tcBorders>
            <w:vAlign w:val="center"/>
            <w:hideMark/>
          </w:tcPr>
          <w:p w14:paraId="40463F07"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61ECB75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14:paraId="5141C571"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6340552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14:paraId="361039A6"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1890" w:type="dxa"/>
            <w:vMerge/>
            <w:tcBorders>
              <w:top w:val="nil"/>
              <w:left w:val="single" w:sz="4" w:space="0" w:color="auto"/>
              <w:bottom w:val="single" w:sz="4" w:space="0" w:color="000000"/>
              <w:right w:val="single" w:sz="4" w:space="0" w:color="auto"/>
            </w:tcBorders>
            <w:vAlign w:val="center"/>
            <w:hideMark/>
          </w:tcPr>
          <w:p w14:paraId="278065C8"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single" w:sz="4" w:space="0" w:color="000000"/>
              <w:right w:val="single" w:sz="8" w:space="0" w:color="auto"/>
            </w:tcBorders>
            <w:vAlign w:val="center"/>
            <w:hideMark/>
          </w:tcPr>
          <w:p w14:paraId="03CD6048"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2EF20AF7" w14:textId="77777777" w:rsidTr="00565172">
        <w:trPr>
          <w:trHeight w:val="450"/>
        </w:trPr>
        <w:tc>
          <w:tcPr>
            <w:tcW w:w="1417" w:type="dxa"/>
            <w:vMerge/>
            <w:tcBorders>
              <w:top w:val="nil"/>
              <w:left w:val="single" w:sz="8" w:space="0" w:color="auto"/>
              <w:bottom w:val="single" w:sz="4" w:space="0" w:color="000000"/>
              <w:right w:val="single" w:sz="4" w:space="0" w:color="auto"/>
            </w:tcBorders>
            <w:vAlign w:val="center"/>
            <w:hideMark/>
          </w:tcPr>
          <w:p w14:paraId="2DC025F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single" w:sz="4" w:space="0" w:color="000000"/>
              <w:right w:val="single" w:sz="4" w:space="0" w:color="auto"/>
            </w:tcBorders>
            <w:vAlign w:val="center"/>
            <w:hideMark/>
          </w:tcPr>
          <w:p w14:paraId="3F7DC5D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571C3AD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14:paraId="71098971"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15EA974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hideMark/>
          </w:tcPr>
          <w:p w14:paraId="63B98555"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1890" w:type="dxa"/>
            <w:vMerge/>
            <w:tcBorders>
              <w:top w:val="nil"/>
              <w:left w:val="single" w:sz="4" w:space="0" w:color="auto"/>
              <w:bottom w:val="single" w:sz="4" w:space="0" w:color="000000"/>
              <w:right w:val="single" w:sz="4" w:space="0" w:color="auto"/>
            </w:tcBorders>
            <w:vAlign w:val="center"/>
            <w:hideMark/>
          </w:tcPr>
          <w:p w14:paraId="5F3CFD39"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single" w:sz="4" w:space="0" w:color="000000"/>
              <w:right w:val="single" w:sz="8" w:space="0" w:color="auto"/>
            </w:tcBorders>
            <w:vAlign w:val="center"/>
            <w:hideMark/>
          </w:tcPr>
          <w:p w14:paraId="41CB4A66"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75E81D17" w14:textId="77777777" w:rsidTr="00565172">
        <w:trPr>
          <w:trHeight w:val="480"/>
        </w:trPr>
        <w:tc>
          <w:tcPr>
            <w:tcW w:w="1417" w:type="dxa"/>
            <w:vMerge w:val="restart"/>
            <w:tcBorders>
              <w:top w:val="nil"/>
              <w:left w:val="single" w:sz="8" w:space="0" w:color="auto"/>
              <w:bottom w:val="single" w:sz="4" w:space="0" w:color="000000"/>
              <w:right w:val="single" w:sz="4" w:space="0" w:color="auto"/>
            </w:tcBorders>
            <w:shd w:val="clear" w:color="auto" w:fill="auto"/>
            <w:vAlign w:val="center"/>
            <w:hideMark/>
          </w:tcPr>
          <w:p w14:paraId="169B6C64"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91308</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14:paraId="6399F6D1"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219</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14:paraId="249E9C80"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w:t>
            </w:r>
          </w:p>
        </w:tc>
        <w:tc>
          <w:tcPr>
            <w:tcW w:w="1050" w:type="dxa"/>
            <w:vMerge w:val="restart"/>
            <w:tcBorders>
              <w:top w:val="nil"/>
              <w:left w:val="single" w:sz="4" w:space="0" w:color="auto"/>
              <w:bottom w:val="single" w:sz="4" w:space="0" w:color="000000"/>
              <w:right w:val="single" w:sz="4" w:space="0" w:color="auto"/>
            </w:tcBorders>
            <w:shd w:val="clear" w:color="auto" w:fill="auto"/>
            <w:vAlign w:val="center"/>
            <w:hideMark/>
          </w:tcPr>
          <w:p w14:paraId="73E6958A"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Pfizer-BioNTech COVID-19 Vaccine</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14:paraId="7003D46D"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6 month - 5 years</w:t>
            </w:r>
          </w:p>
        </w:tc>
        <w:tc>
          <w:tcPr>
            <w:tcW w:w="2160" w:type="dxa"/>
            <w:tcBorders>
              <w:top w:val="nil"/>
              <w:left w:val="nil"/>
              <w:bottom w:val="single" w:sz="4" w:space="0" w:color="auto"/>
              <w:right w:val="single" w:sz="4" w:space="0" w:color="auto"/>
            </w:tcBorders>
            <w:shd w:val="clear" w:color="auto" w:fill="auto"/>
            <w:vAlign w:val="center"/>
            <w:hideMark/>
          </w:tcPr>
          <w:p w14:paraId="5DF95F31"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0081A (1st dose)</w:t>
            </w:r>
          </w:p>
        </w:tc>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14:paraId="42C5D5E8"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59267-0078-01</w:t>
            </w:r>
            <w:r w:rsidRPr="00057D13">
              <w:rPr>
                <w:rFonts w:ascii="Times New Roman" w:eastAsia="Times New Roman" w:hAnsi="Times New Roman" w:cs="Times New Roman"/>
                <w:sz w:val="20"/>
                <w:szCs w:val="20"/>
              </w:rPr>
              <w:br/>
              <w:t>59267-0078-02</w:t>
            </w:r>
            <w:r w:rsidRPr="00057D13">
              <w:rPr>
                <w:rFonts w:ascii="Times New Roman" w:eastAsia="Times New Roman" w:hAnsi="Times New Roman" w:cs="Times New Roman"/>
                <w:sz w:val="20"/>
                <w:szCs w:val="20"/>
              </w:rPr>
              <w:br/>
              <w:t>59267-0078-04</w:t>
            </w:r>
          </w:p>
        </w:tc>
        <w:tc>
          <w:tcPr>
            <w:tcW w:w="2880"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3AAC0FD4" w14:textId="77777777" w:rsidR="0035014E" w:rsidRPr="00057D13" w:rsidRDefault="0035014E" w:rsidP="0035014E">
            <w:pPr>
              <w:spacing w:after="0" w:line="240" w:lineRule="auto"/>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-21+ days between dose 1 and dose 2</w:t>
            </w:r>
          </w:p>
        </w:tc>
      </w:tr>
      <w:tr w:rsidR="00673661" w:rsidRPr="00057D13" w14:paraId="0A4869BD" w14:textId="77777777" w:rsidTr="00565172">
        <w:trPr>
          <w:trHeight w:val="65"/>
        </w:trPr>
        <w:tc>
          <w:tcPr>
            <w:tcW w:w="1417" w:type="dxa"/>
            <w:vMerge/>
            <w:tcBorders>
              <w:top w:val="nil"/>
              <w:left w:val="single" w:sz="8" w:space="0" w:color="auto"/>
              <w:bottom w:val="single" w:sz="4" w:space="0" w:color="000000"/>
              <w:right w:val="single" w:sz="4" w:space="0" w:color="auto"/>
            </w:tcBorders>
            <w:vAlign w:val="center"/>
            <w:hideMark/>
          </w:tcPr>
          <w:p w14:paraId="64B0FCD4"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1463" w:type="dxa"/>
            <w:vMerge/>
            <w:tcBorders>
              <w:top w:val="nil"/>
              <w:left w:val="single" w:sz="4" w:space="0" w:color="auto"/>
              <w:bottom w:val="single" w:sz="4" w:space="0" w:color="000000"/>
              <w:right w:val="single" w:sz="4" w:space="0" w:color="auto"/>
            </w:tcBorders>
            <w:vAlign w:val="center"/>
            <w:hideMark/>
          </w:tcPr>
          <w:p w14:paraId="74E04C6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14:paraId="5BE0AB4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14:paraId="551830FD"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4" w:space="0" w:color="000000"/>
              <w:right w:val="single" w:sz="4" w:space="0" w:color="auto"/>
            </w:tcBorders>
            <w:vAlign w:val="center"/>
            <w:hideMark/>
          </w:tcPr>
          <w:p w14:paraId="1C1C4476"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37B2196"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0082A (second dose)</w:t>
            </w:r>
          </w:p>
        </w:tc>
        <w:tc>
          <w:tcPr>
            <w:tcW w:w="1890" w:type="dxa"/>
            <w:vMerge/>
            <w:tcBorders>
              <w:top w:val="nil"/>
              <w:left w:val="single" w:sz="4" w:space="0" w:color="auto"/>
              <w:bottom w:val="single" w:sz="4" w:space="0" w:color="000000"/>
              <w:right w:val="single" w:sz="4" w:space="0" w:color="auto"/>
            </w:tcBorders>
            <w:vAlign w:val="center"/>
            <w:hideMark/>
          </w:tcPr>
          <w:p w14:paraId="25C42C3E"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single" w:sz="4" w:space="0" w:color="000000"/>
              <w:right w:val="single" w:sz="8" w:space="0" w:color="auto"/>
            </w:tcBorders>
            <w:vAlign w:val="center"/>
            <w:hideMark/>
          </w:tcPr>
          <w:p w14:paraId="71E21B90"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159CA618" w14:textId="77777777" w:rsidTr="00565172">
        <w:trPr>
          <w:trHeight w:val="570"/>
        </w:trPr>
        <w:tc>
          <w:tcPr>
            <w:tcW w:w="1417" w:type="dxa"/>
            <w:vMerge w:val="restart"/>
            <w:tcBorders>
              <w:top w:val="nil"/>
              <w:left w:val="single" w:sz="8" w:space="0" w:color="auto"/>
              <w:bottom w:val="nil"/>
              <w:right w:val="single" w:sz="4" w:space="0" w:color="auto"/>
            </w:tcBorders>
            <w:shd w:val="clear" w:color="auto" w:fill="auto"/>
            <w:vAlign w:val="center"/>
            <w:hideMark/>
          </w:tcPr>
          <w:p w14:paraId="170D260B"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91307</w:t>
            </w:r>
          </w:p>
        </w:tc>
        <w:tc>
          <w:tcPr>
            <w:tcW w:w="1463" w:type="dxa"/>
            <w:vMerge w:val="restart"/>
            <w:tcBorders>
              <w:top w:val="nil"/>
              <w:left w:val="single" w:sz="4" w:space="0" w:color="auto"/>
              <w:bottom w:val="nil"/>
              <w:right w:val="single" w:sz="4" w:space="0" w:color="auto"/>
            </w:tcBorders>
            <w:shd w:val="clear" w:color="auto" w:fill="auto"/>
            <w:vAlign w:val="center"/>
            <w:hideMark/>
          </w:tcPr>
          <w:p w14:paraId="6E79382E"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218</w:t>
            </w:r>
          </w:p>
        </w:tc>
        <w:tc>
          <w:tcPr>
            <w:tcW w:w="1485" w:type="dxa"/>
            <w:vMerge w:val="restart"/>
            <w:tcBorders>
              <w:top w:val="nil"/>
              <w:left w:val="single" w:sz="4" w:space="0" w:color="auto"/>
              <w:bottom w:val="nil"/>
              <w:right w:val="single" w:sz="4" w:space="0" w:color="auto"/>
            </w:tcBorders>
            <w:shd w:val="clear" w:color="auto" w:fill="auto"/>
            <w:vAlign w:val="center"/>
            <w:hideMark/>
          </w:tcPr>
          <w:p w14:paraId="3B6D21CA"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w:t>
            </w:r>
          </w:p>
        </w:tc>
        <w:tc>
          <w:tcPr>
            <w:tcW w:w="1050" w:type="dxa"/>
            <w:vMerge w:val="restart"/>
            <w:tcBorders>
              <w:top w:val="nil"/>
              <w:left w:val="single" w:sz="4" w:space="0" w:color="auto"/>
              <w:bottom w:val="nil"/>
              <w:right w:val="single" w:sz="4" w:space="0" w:color="auto"/>
            </w:tcBorders>
            <w:shd w:val="clear" w:color="auto" w:fill="auto"/>
            <w:vAlign w:val="center"/>
            <w:hideMark/>
          </w:tcPr>
          <w:p w14:paraId="64B61D92"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Pfizer-BioNTech COVID-19 Pediatric Vaccine</w:t>
            </w:r>
          </w:p>
        </w:tc>
        <w:tc>
          <w:tcPr>
            <w:tcW w:w="1245" w:type="dxa"/>
            <w:vMerge w:val="restart"/>
            <w:tcBorders>
              <w:top w:val="nil"/>
              <w:left w:val="single" w:sz="4" w:space="0" w:color="auto"/>
              <w:bottom w:val="nil"/>
              <w:right w:val="single" w:sz="4" w:space="0" w:color="auto"/>
            </w:tcBorders>
            <w:shd w:val="clear" w:color="auto" w:fill="auto"/>
            <w:vAlign w:val="center"/>
            <w:hideMark/>
          </w:tcPr>
          <w:p w14:paraId="3999460D"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5-11 years</w:t>
            </w:r>
          </w:p>
        </w:tc>
        <w:tc>
          <w:tcPr>
            <w:tcW w:w="2160" w:type="dxa"/>
            <w:tcBorders>
              <w:top w:val="nil"/>
              <w:left w:val="nil"/>
              <w:bottom w:val="single" w:sz="4" w:space="0" w:color="auto"/>
              <w:right w:val="single" w:sz="4" w:space="0" w:color="auto"/>
            </w:tcBorders>
            <w:shd w:val="clear" w:color="auto" w:fill="auto"/>
            <w:vAlign w:val="center"/>
            <w:hideMark/>
          </w:tcPr>
          <w:p w14:paraId="48213CA9"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0071A (1st dose)</w:t>
            </w:r>
          </w:p>
        </w:tc>
        <w:tc>
          <w:tcPr>
            <w:tcW w:w="1890" w:type="dxa"/>
            <w:vMerge w:val="restart"/>
            <w:tcBorders>
              <w:top w:val="nil"/>
              <w:left w:val="single" w:sz="4" w:space="0" w:color="auto"/>
              <w:bottom w:val="nil"/>
              <w:right w:val="single" w:sz="4" w:space="0" w:color="auto"/>
            </w:tcBorders>
            <w:shd w:val="clear" w:color="auto" w:fill="auto"/>
            <w:vAlign w:val="center"/>
            <w:hideMark/>
          </w:tcPr>
          <w:p w14:paraId="3E20F45D"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59267-1055-01</w:t>
            </w:r>
            <w:r w:rsidRPr="00057D13">
              <w:rPr>
                <w:rFonts w:ascii="Times New Roman" w:eastAsia="Times New Roman" w:hAnsi="Times New Roman" w:cs="Times New Roman"/>
                <w:sz w:val="20"/>
                <w:szCs w:val="20"/>
              </w:rPr>
              <w:br/>
              <w:t>59267-1055-02</w:t>
            </w:r>
            <w:r w:rsidRPr="00057D13">
              <w:rPr>
                <w:rFonts w:ascii="Times New Roman" w:eastAsia="Times New Roman" w:hAnsi="Times New Roman" w:cs="Times New Roman"/>
                <w:sz w:val="20"/>
                <w:szCs w:val="20"/>
              </w:rPr>
              <w:br/>
              <w:t>59267-1055-04</w:t>
            </w:r>
          </w:p>
        </w:tc>
        <w:tc>
          <w:tcPr>
            <w:tcW w:w="2880" w:type="dxa"/>
            <w:vMerge w:val="restart"/>
            <w:tcBorders>
              <w:top w:val="nil"/>
              <w:left w:val="single" w:sz="4" w:space="0" w:color="auto"/>
              <w:bottom w:val="nil"/>
              <w:right w:val="single" w:sz="8" w:space="0" w:color="auto"/>
            </w:tcBorders>
            <w:shd w:val="clear" w:color="000000" w:fill="FFFFFF"/>
            <w:vAlign w:val="center"/>
            <w:hideMark/>
          </w:tcPr>
          <w:p w14:paraId="114B6CE1" w14:textId="77777777" w:rsidR="0035014E" w:rsidRPr="00057D13" w:rsidRDefault="0035014E" w:rsidP="0035014E">
            <w:pPr>
              <w:spacing w:after="0" w:line="240" w:lineRule="auto"/>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-21+ days between dose 1 and dose 2</w:t>
            </w:r>
            <w:r w:rsidRPr="00057D13">
              <w:rPr>
                <w:rFonts w:ascii="Times New Roman" w:eastAsia="Times New Roman" w:hAnsi="Times New Roman" w:cs="Times New Roman"/>
                <w:sz w:val="20"/>
                <w:szCs w:val="20"/>
              </w:rPr>
              <w:br/>
              <w:t xml:space="preserve">-For immunocompromised, 21+ days between dose 1 and dose 2, and 28+ days between dose 2 and additional primary dose (dose 3) </w:t>
            </w:r>
          </w:p>
        </w:tc>
      </w:tr>
      <w:tr w:rsidR="00673661" w:rsidRPr="00057D13" w14:paraId="7CA0A766" w14:textId="77777777" w:rsidTr="00565172">
        <w:trPr>
          <w:trHeight w:val="570"/>
        </w:trPr>
        <w:tc>
          <w:tcPr>
            <w:tcW w:w="1417" w:type="dxa"/>
            <w:vMerge/>
            <w:tcBorders>
              <w:top w:val="nil"/>
              <w:left w:val="single" w:sz="8" w:space="0" w:color="auto"/>
              <w:bottom w:val="nil"/>
              <w:right w:val="single" w:sz="4" w:space="0" w:color="auto"/>
            </w:tcBorders>
            <w:vAlign w:val="center"/>
            <w:hideMark/>
          </w:tcPr>
          <w:p w14:paraId="359C9C98"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hideMark/>
          </w:tcPr>
          <w:p w14:paraId="54303DB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nil"/>
              <w:right w:val="single" w:sz="4" w:space="0" w:color="auto"/>
            </w:tcBorders>
            <w:vAlign w:val="center"/>
            <w:hideMark/>
          </w:tcPr>
          <w:p w14:paraId="59BBC4A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nil"/>
              <w:right w:val="single" w:sz="4" w:space="0" w:color="auto"/>
            </w:tcBorders>
            <w:vAlign w:val="center"/>
            <w:hideMark/>
          </w:tcPr>
          <w:p w14:paraId="13735511"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nil"/>
              <w:right w:val="single" w:sz="4" w:space="0" w:color="auto"/>
            </w:tcBorders>
            <w:vAlign w:val="center"/>
            <w:hideMark/>
          </w:tcPr>
          <w:p w14:paraId="4A933B5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nil"/>
              <w:right w:val="single" w:sz="4" w:space="0" w:color="auto"/>
            </w:tcBorders>
            <w:shd w:val="clear" w:color="auto" w:fill="auto"/>
            <w:vAlign w:val="center"/>
            <w:hideMark/>
          </w:tcPr>
          <w:p w14:paraId="0D57CA4E"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0072A (2nd dose)</w:t>
            </w:r>
          </w:p>
        </w:tc>
        <w:tc>
          <w:tcPr>
            <w:tcW w:w="1890" w:type="dxa"/>
            <w:vMerge/>
            <w:tcBorders>
              <w:top w:val="nil"/>
              <w:left w:val="single" w:sz="4" w:space="0" w:color="auto"/>
              <w:bottom w:val="nil"/>
              <w:right w:val="single" w:sz="4" w:space="0" w:color="auto"/>
            </w:tcBorders>
            <w:vAlign w:val="center"/>
            <w:hideMark/>
          </w:tcPr>
          <w:p w14:paraId="7BF8BC11"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nil"/>
              <w:right w:val="single" w:sz="8" w:space="0" w:color="auto"/>
            </w:tcBorders>
            <w:vAlign w:val="center"/>
            <w:hideMark/>
          </w:tcPr>
          <w:p w14:paraId="1053DF0D"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1B45B2DA" w14:textId="77777777" w:rsidTr="00565172">
        <w:trPr>
          <w:trHeight w:val="570"/>
        </w:trPr>
        <w:tc>
          <w:tcPr>
            <w:tcW w:w="1417" w:type="dxa"/>
            <w:vMerge/>
            <w:tcBorders>
              <w:top w:val="nil"/>
              <w:left w:val="single" w:sz="8" w:space="0" w:color="auto"/>
              <w:bottom w:val="nil"/>
              <w:right w:val="single" w:sz="4" w:space="0" w:color="auto"/>
            </w:tcBorders>
            <w:vAlign w:val="center"/>
            <w:hideMark/>
          </w:tcPr>
          <w:p w14:paraId="3A42DE4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hideMark/>
          </w:tcPr>
          <w:p w14:paraId="32571FB1"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nil"/>
              <w:right w:val="single" w:sz="4" w:space="0" w:color="auto"/>
            </w:tcBorders>
            <w:vAlign w:val="center"/>
            <w:hideMark/>
          </w:tcPr>
          <w:p w14:paraId="53679C78"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nil"/>
              <w:right w:val="single" w:sz="4" w:space="0" w:color="auto"/>
            </w:tcBorders>
            <w:vAlign w:val="center"/>
            <w:hideMark/>
          </w:tcPr>
          <w:p w14:paraId="48EA994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nil"/>
              <w:right w:val="single" w:sz="4" w:space="0" w:color="auto"/>
            </w:tcBorders>
            <w:vAlign w:val="center"/>
            <w:hideMark/>
          </w:tcPr>
          <w:p w14:paraId="6B0667D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single" w:sz="4" w:space="0" w:color="auto"/>
              <w:left w:val="nil"/>
              <w:bottom w:val="nil"/>
              <w:right w:val="single" w:sz="4" w:space="0" w:color="auto"/>
            </w:tcBorders>
            <w:shd w:val="clear" w:color="auto" w:fill="auto"/>
            <w:vAlign w:val="center"/>
            <w:hideMark/>
          </w:tcPr>
          <w:p w14:paraId="6FCBA941"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0073A (3rd dose)</w:t>
            </w:r>
          </w:p>
        </w:tc>
        <w:tc>
          <w:tcPr>
            <w:tcW w:w="1890" w:type="dxa"/>
            <w:vMerge/>
            <w:tcBorders>
              <w:top w:val="nil"/>
              <w:left w:val="single" w:sz="4" w:space="0" w:color="auto"/>
              <w:bottom w:val="nil"/>
              <w:right w:val="single" w:sz="4" w:space="0" w:color="auto"/>
            </w:tcBorders>
            <w:vAlign w:val="center"/>
            <w:hideMark/>
          </w:tcPr>
          <w:p w14:paraId="73291B52"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nil"/>
              <w:right w:val="single" w:sz="8" w:space="0" w:color="auto"/>
            </w:tcBorders>
            <w:vAlign w:val="center"/>
            <w:hideMark/>
          </w:tcPr>
          <w:p w14:paraId="0B0A0A9C"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1FA9B051" w14:textId="77777777" w:rsidTr="00565172">
        <w:trPr>
          <w:trHeight w:val="570"/>
        </w:trPr>
        <w:tc>
          <w:tcPr>
            <w:tcW w:w="1417" w:type="dxa"/>
            <w:vMerge/>
            <w:tcBorders>
              <w:top w:val="nil"/>
              <w:left w:val="single" w:sz="8" w:space="0" w:color="auto"/>
              <w:bottom w:val="nil"/>
              <w:right w:val="single" w:sz="4" w:space="0" w:color="auto"/>
            </w:tcBorders>
            <w:vAlign w:val="center"/>
            <w:hideMark/>
          </w:tcPr>
          <w:p w14:paraId="5BEB272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nil"/>
              <w:right w:val="single" w:sz="4" w:space="0" w:color="auto"/>
            </w:tcBorders>
            <w:vAlign w:val="center"/>
            <w:hideMark/>
          </w:tcPr>
          <w:p w14:paraId="674A6B85"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nil"/>
              <w:right w:val="single" w:sz="4" w:space="0" w:color="auto"/>
            </w:tcBorders>
            <w:vAlign w:val="center"/>
            <w:hideMark/>
          </w:tcPr>
          <w:p w14:paraId="2D0BB16C"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nil"/>
              <w:right w:val="single" w:sz="4" w:space="0" w:color="auto"/>
            </w:tcBorders>
            <w:vAlign w:val="center"/>
            <w:hideMark/>
          </w:tcPr>
          <w:p w14:paraId="34A2497D"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nil"/>
              <w:right w:val="single" w:sz="4" w:space="0" w:color="auto"/>
            </w:tcBorders>
            <w:vAlign w:val="center"/>
            <w:hideMark/>
          </w:tcPr>
          <w:p w14:paraId="50E9FE4D"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single" w:sz="4" w:space="0" w:color="auto"/>
              <w:left w:val="nil"/>
              <w:bottom w:val="nil"/>
              <w:right w:val="single" w:sz="4" w:space="0" w:color="auto"/>
            </w:tcBorders>
            <w:shd w:val="clear" w:color="auto" w:fill="auto"/>
            <w:vAlign w:val="center"/>
            <w:hideMark/>
          </w:tcPr>
          <w:p w14:paraId="3BCDAB29" w14:textId="77777777" w:rsidR="0035014E" w:rsidRPr="00057D13" w:rsidRDefault="0035014E" w:rsidP="0035014E">
            <w:pPr>
              <w:spacing w:after="0" w:line="240" w:lineRule="auto"/>
              <w:jc w:val="center"/>
              <w:rPr>
                <w:rFonts w:ascii="Times New Roman" w:eastAsia="Times New Roman" w:hAnsi="Times New Roman" w:cs="Times New Roman"/>
                <w:sz w:val="20"/>
                <w:szCs w:val="20"/>
              </w:rPr>
            </w:pPr>
            <w:r w:rsidRPr="00057D13">
              <w:rPr>
                <w:rFonts w:ascii="Times New Roman" w:eastAsia="Times New Roman" w:hAnsi="Times New Roman" w:cs="Times New Roman"/>
                <w:sz w:val="20"/>
                <w:szCs w:val="20"/>
              </w:rPr>
              <w:t>0074A (booster dose)</w:t>
            </w:r>
          </w:p>
        </w:tc>
        <w:tc>
          <w:tcPr>
            <w:tcW w:w="1890" w:type="dxa"/>
            <w:vMerge/>
            <w:tcBorders>
              <w:top w:val="nil"/>
              <w:left w:val="single" w:sz="4" w:space="0" w:color="auto"/>
              <w:bottom w:val="nil"/>
              <w:right w:val="single" w:sz="4" w:space="0" w:color="auto"/>
            </w:tcBorders>
            <w:vAlign w:val="center"/>
            <w:hideMark/>
          </w:tcPr>
          <w:p w14:paraId="5C2C1FE8" w14:textId="77777777" w:rsidR="0035014E" w:rsidRPr="00057D13" w:rsidRDefault="0035014E" w:rsidP="0035014E">
            <w:pPr>
              <w:spacing w:after="0" w:line="240" w:lineRule="auto"/>
              <w:rPr>
                <w:rFonts w:ascii="Times New Roman" w:eastAsia="Times New Roman" w:hAnsi="Times New Roman" w:cs="Times New Roman"/>
                <w:sz w:val="20"/>
                <w:szCs w:val="20"/>
              </w:rPr>
            </w:pPr>
          </w:p>
        </w:tc>
        <w:tc>
          <w:tcPr>
            <w:tcW w:w="2880" w:type="dxa"/>
            <w:vMerge/>
            <w:tcBorders>
              <w:top w:val="nil"/>
              <w:left w:val="single" w:sz="4" w:space="0" w:color="auto"/>
              <w:bottom w:val="nil"/>
              <w:right w:val="single" w:sz="8" w:space="0" w:color="auto"/>
            </w:tcBorders>
            <w:vAlign w:val="center"/>
            <w:hideMark/>
          </w:tcPr>
          <w:p w14:paraId="23D0E338" w14:textId="77777777" w:rsidR="0035014E" w:rsidRPr="00057D13" w:rsidRDefault="0035014E" w:rsidP="0035014E">
            <w:pPr>
              <w:spacing w:after="0" w:line="240" w:lineRule="auto"/>
              <w:rPr>
                <w:rFonts w:ascii="Times New Roman" w:eastAsia="Times New Roman" w:hAnsi="Times New Roman" w:cs="Times New Roman"/>
                <w:sz w:val="20"/>
                <w:szCs w:val="20"/>
              </w:rPr>
            </w:pPr>
          </w:p>
        </w:tc>
      </w:tr>
      <w:tr w:rsidR="00673661" w:rsidRPr="00057D13" w14:paraId="71C355AD" w14:textId="77777777" w:rsidTr="00565172">
        <w:trPr>
          <w:trHeight w:val="570"/>
        </w:trPr>
        <w:tc>
          <w:tcPr>
            <w:tcW w:w="141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4BDDC627"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91305</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079EE3"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217</w:t>
            </w:r>
          </w:p>
        </w:tc>
        <w:tc>
          <w:tcPr>
            <w:tcW w:w="14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672057"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w:t>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507416"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Pfizer-BioNTech COVID-19 Vaccine</w:t>
            </w:r>
          </w:p>
        </w:tc>
        <w:tc>
          <w:tcPr>
            <w:tcW w:w="1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2389A"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12+ years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BC21FCB"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0051A (1</w:t>
            </w:r>
            <w:r w:rsidRPr="00057D13">
              <w:rPr>
                <w:rFonts w:ascii="Times New Roman" w:eastAsia="Times New Roman" w:hAnsi="Times New Roman" w:cs="Times New Roman"/>
                <w:color w:val="000000"/>
                <w:sz w:val="20"/>
                <w:szCs w:val="20"/>
                <w:vertAlign w:val="superscript"/>
              </w:rPr>
              <w:t>st</w:t>
            </w:r>
            <w:r w:rsidRPr="00057D13">
              <w:rPr>
                <w:rFonts w:ascii="Times New Roman" w:eastAsia="Times New Roman" w:hAnsi="Times New Roman" w:cs="Times New Roman"/>
                <w:color w:val="000000"/>
                <w:sz w:val="20"/>
                <w:szCs w:val="20"/>
              </w:rPr>
              <w:t xml:space="preserve"> dose)</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4AA342"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59267-1025-01</w:t>
            </w:r>
            <w:r w:rsidRPr="00057D13">
              <w:rPr>
                <w:rFonts w:ascii="Times New Roman" w:eastAsia="Times New Roman" w:hAnsi="Times New Roman" w:cs="Times New Roman"/>
                <w:color w:val="000000"/>
                <w:sz w:val="20"/>
                <w:szCs w:val="20"/>
              </w:rPr>
              <w:br/>
              <w:t>59267-1025-02</w:t>
            </w:r>
            <w:r w:rsidRPr="00057D13">
              <w:rPr>
                <w:rFonts w:ascii="Times New Roman" w:eastAsia="Times New Roman" w:hAnsi="Times New Roman" w:cs="Times New Roman"/>
                <w:color w:val="000000"/>
                <w:sz w:val="20"/>
                <w:szCs w:val="20"/>
              </w:rPr>
              <w:br/>
              <w:t>59267-1025-03</w:t>
            </w:r>
            <w:r w:rsidRPr="00057D13">
              <w:rPr>
                <w:rFonts w:ascii="Times New Roman" w:eastAsia="Times New Roman" w:hAnsi="Times New Roman" w:cs="Times New Roman"/>
                <w:color w:val="000000"/>
                <w:sz w:val="20"/>
                <w:szCs w:val="20"/>
              </w:rPr>
              <w:br/>
              <w:t>59267-1025-04</w:t>
            </w:r>
          </w:p>
        </w:tc>
        <w:tc>
          <w:tcPr>
            <w:tcW w:w="2880" w:type="dxa"/>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14:paraId="076611B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-21+ days between dose 1 and dose 2 and 5+ months between dose 2 and third/booster dose</w:t>
            </w:r>
            <w:r w:rsidRPr="00057D13">
              <w:rPr>
                <w:rFonts w:ascii="Times New Roman" w:eastAsia="Times New Roman" w:hAnsi="Times New Roman" w:cs="Times New Roman"/>
                <w:color w:val="000000"/>
                <w:sz w:val="20"/>
                <w:szCs w:val="20"/>
              </w:rPr>
              <w:br/>
              <w:t xml:space="preserve">- For immunocompromised, 21+ days between dose 1 and dose 2, 28+ days between dose 2 and dose 3. Additionally, booster dose recommended 3+ months after primary series </w:t>
            </w:r>
          </w:p>
        </w:tc>
      </w:tr>
      <w:tr w:rsidR="00673661" w:rsidRPr="00057D13" w14:paraId="517FB902" w14:textId="77777777" w:rsidTr="00565172">
        <w:trPr>
          <w:trHeight w:val="660"/>
        </w:trPr>
        <w:tc>
          <w:tcPr>
            <w:tcW w:w="1417" w:type="dxa"/>
            <w:vMerge/>
            <w:tcBorders>
              <w:top w:val="single" w:sz="4" w:space="0" w:color="auto"/>
              <w:left w:val="single" w:sz="8" w:space="0" w:color="auto"/>
              <w:bottom w:val="single" w:sz="4" w:space="0" w:color="000000"/>
              <w:right w:val="single" w:sz="4" w:space="0" w:color="auto"/>
            </w:tcBorders>
            <w:vAlign w:val="center"/>
            <w:hideMark/>
          </w:tcPr>
          <w:p w14:paraId="6DBABBC4"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single" w:sz="4" w:space="0" w:color="auto"/>
              <w:left w:val="single" w:sz="4" w:space="0" w:color="auto"/>
              <w:bottom w:val="single" w:sz="4" w:space="0" w:color="000000"/>
              <w:right w:val="single" w:sz="4" w:space="0" w:color="auto"/>
            </w:tcBorders>
            <w:vAlign w:val="center"/>
            <w:hideMark/>
          </w:tcPr>
          <w:p w14:paraId="2FC23A07"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14:paraId="4938E0B4"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26114224"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14:paraId="7F23365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04E9A572"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0052A (2</w:t>
            </w:r>
            <w:r w:rsidRPr="00057D13">
              <w:rPr>
                <w:rFonts w:ascii="Times New Roman" w:eastAsia="Times New Roman" w:hAnsi="Times New Roman" w:cs="Times New Roman"/>
                <w:color w:val="000000"/>
                <w:sz w:val="20"/>
                <w:szCs w:val="20"/>
                <w:vertAlign w:val="superscript"/>
              </w:rPr>
              <w:t>nd</w:t>
            </w:r>
            <w:r w:rsidRPr="00057D13">
              <w:rPr>
                <w:rFonts w:ascii="Times New Roman" w:eastAsia="Times New Roman" w:hAnsi="Times New Roman" w:cs="Times New Roman"/>
                <w:color w:val="000000"/>
                <w:sz w:val="20"/>
                <w:szCs w:val="20"/>
              </w:rPr>
              <w:t xml:space="preserve"> dose)</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14:paraId="127CAC1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53E3494C"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r w:rsidR="00673661" w:rsidRPr="00057D13" w14:paraId="7AF6EAEC" w14:textId="77777777" w:rsidTr="00565172">
        <w:trPr>
          <w:trHeight w:val="660"/>
        </w:trPr>
        <w:tc>
          <w:tcPr>
            <w:tcW w:w="1417" w:type="dxa"/>
            <w:vMerge/>
            <w:tcBorders>
              <w:top w:val="single" w:sz="4" w:space="0" w:color="auto"/>
              <w:left w:val="single" w:sz="8" w:space="0" w:color="auto"/>
              <w:bottom w:val="single" w:sz="4" w:space="0" w:color="000000"/>
              <w:right w:val="single" w:sz="4" w:space="0" w:color="auto"/>
            </w:tcBorders>
            <w:vAlign w:val="center"/>
            <w:hideMark/>
          </w:tcPr>
          <w:p w14:paraId="2BE957BF"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single" w:sz="4" w:space="0" w:color="auto"/>
              <w:left w:val="single" w:sz="4" w:space="0" w:color="auto"/>
              <w:bottom w:val="single" w:sz="4" w:space="0" w:color="000000"/>
              <w:right w:val="single" w:sz="4" w:space="0" w:color="auto"/>
            </w:tcBorders>
            <w:vAlign w:val="center"/>
            <w:hideMark/>
          </w:tcPr>
          <w:p w14:paraId="31D801F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14:paraId="46CF664C"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1D945318"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14:paraId="5E447F4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nil"/>
              <w:right w:val="single" w:sz="4" w:space="0" w:color="auto"/>
            </w:tcBorders>
            <w:shd w:val="clear" w:color="auto" w:fill="auto"/>
            <w:vAlign w:val="center"/>
            <w:hideMark/>
          </w:tcPr>
          <w:p w14:paraId="04D2E205"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0053A (3</w:t>
            </w:r>
            <w:r w:rsidRPr="00057D13">
              <w:rPr>
                <w:rFonts w:ascii="Times New Roman" w:eastAsia="Times New Roman" w:hAnsi="Times New Roman" w:cs="Times New Roman"/>
                <w:color w:val="000000"/>
                <w:sz w:val="20"/>
                <w:szCs w:val="20"/>
                <w:vertAlign w:val="superscript"/>
              </w:rPr>
              <w:t>rd</w:t>
            </w:r>
            <w:r w:rsidRPr="00057D13">
              <w:rPr>
                <w:rFonts w:ascii="Times New Roman" w:eastAsia="Times New Roman" w:hAnsi="Times New Roman" w:cs="Times New Roman"/>
                <w:color w:val="000000"/>
                <w:sz w:val="20"/>
                <w:szCs w:val="20"/>
              </w:rPr>
              <w:t xml:space="preserve"> dose)</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14:paraId="29358188"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04B6FC3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r w:rsidR="00673661" w:rsidRPr="00057D13" w14:paraId="07486E76" w14:textId="77777777" w:rsidTr="00565172">
        <w:trPr>
          <w:trHeight w:val="660"/>
        </w:trPr>
        <w:tc>
          <w:tcPr>
            <w:tcW w:w="1417" w:type="dxa"/>
            <w:vMerge/>
            <w:tcBorders>
              <w:top w:val="single" w:sz="4" w:space="0" w:color="auto"/>
              <w:left w:val="single" w:sz="8" w:space="0" w:color="auto"/>
              <w:bottom w:val="single" w:sz="4" w:space="0" w:color="000000"/>
              <w:right w:val="single" w:sz="4" w:space="0" w:color="auto"/>
            </w:tcBorders>
            <w:vAlign w:val="center"/>
            <w:hideMark/>
          </w:tcPr>
          <w:p w14:paraId="6D9F663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single" w:sz="4" w:space="0" w:color="auto"/>
              <w:left w:val="single" w:sz="4" w:space="0" w:color="auto"/>
              <w:bottom w:val="single" w:sz="4" w:space="0" w:color="000000"/>
              <w:right w:val="single" w:sz="4" w:space="0" w:color="auto"/>
            </w:tcBorders>
            <w:vAlign w:val="center"/>
            <w:hideMark/>
          </w:tcPr>
          <w:p w14:paraId="1721C11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single" w:sz="4" w:space="0" w:color="auto"/>
              <w:left w:val="single" w:sz="4" w:space="0" w:color="auto"/>
              <w:bottom w:val="single" w:sz="4" w:space="0" w:color="000000"/>
              <w:right w:val="single" w:sz="4" w:space="0" w:color="auto"/>
            </w:tcBorders>
            <w:vAlign w:val="center"/>
            <w:hideMark/>
          </w:tcPr>
          <w:p w14:paraId="04F8AF14"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53613615"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single" w:sz="4" w:space="0" w:color="auto"/>
              <w:left w:val="single" w:sz="4" w:space="0" w:color="auto"/>
              <w:bottom w:val="single" w:sz="4" w:space="0" w:color="000000"/>
              <w:right w:val="single" w:sz="4" w:space="0" w:color="auto"/>
            </w:tcBorders>
            <w:vAlign w:val="center"/>
            <w:hideMark/>
          </w:tcPr>
          <w:p w14:paraId="536496B9"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4F721E7"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0054A (booster dose)</w:t>
            </w:r>
          </w:p>
        </w:tc>
        <w:tc>
          <w:tcPr>
            <w:tcW w:w="1890" w:type="dxa"/>
            <w:vMerge/>
            <w:tcBorders>
              <w:top w:val="single" w:sz="4" w:space="0" w:color="auto"/>
              <w:left w:val="single" w:sz="4" w:space="0" w:color="auto"/>
              <w:bottom w:val="single" w:sz="4" w:space="0" w:color="000000"/>
              <w:right w:val="single" w:sz="4" w:space="0" w:color="auto"/>
            </w:tcBorders>
            <w:vAlign w:val="center"/>
            <w:hideMark/>
          </w:tcPr>
          <w:p w14:paraId="27DC8DEF"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533DDCB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r w:rsidR="00673661" w:rsidRPr="00057D13" w14:paraId="7DD300E0" w14:textId="77777777" w:rsidTr="00565172">
        <w:trPr>
          <w:trHeight w:val="570"/>
        </w:trPr>
        <w:tc>
          <w:tcPr>
            <w:tcW w:w="1417" w:type="dxa"/>
            <w:vMerge w:val="restart"/>
            <w:tcBorders>
              <w:top w:val="nil"/>
              <w:left w:val="single" w:sz="8" w:space="0" w:color="auto"/>
              <w:bottom w:val="single" w:sz="8" w:space="0" w:color="000000"/>
              <w:right w:val="single" w:sz="4" w:space="0" w:color="auto"/>
            </w:tcBorders>
            <w:shd w:val="clear" w:color="auto" w:fill="auto"/>
            <w:vAlign w:val="center"/>
            <w:hideMark/>
          </w:tcPr>
          <w:p w14:paraId="00C25786"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91300</w:t>
            </w:r>
          </w:p>
        </w:tc>
        <w:tc>
          <w:tcPr>
            <w:tcW w:w="1463" w:type="dxa"/>
            <w:vMerge w:val="restart"/>
            <w:tcBorders>
              <w:top w:val="nil"/>
              <w:left w:val="single" w:sz="4" w:space="0" w:color="auto"/>
              <w:bottom w:val="single" w:sz="8" w:space="0" w:color="000000"/>
              <w:right w:val="single" w:sz="4" w:space="0" w:color="auto"/>
            </w:tcBorders>
            <w:shd w:val="clear" w:color="auto" w:fill="auto"/>
            <w:vAlign w:val="center"/>
            <w:hideMark/>
          </w:tcPr>
          <w:p w14:paraId="3AA45B10"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208</w:t>
            </w:r>
          </w:p>
        </w:tc>
        <w:tc>
          <w:tcPr>
            <w:tcW w:w="1485" w:type="dxa"/>
            <w:vMerge w:val="restart"/>
            <w:tcBorders>
              <w:top w:val="nil"/>
              <w:left w:val="single" w:sz="4" w:space="0" w:color="auto"/>
              <w:bottom w:val="single" w:sz="8" w:space="0" w:color="000000"/>
              <w:right w:val="single" w:sz="4" w:space="0" w:color="auto"/>
            </w:tcBorders>
            <w:shd w:val="clear" w:color="auto" w:fill="auto"/>
            <w:vAlign w:val="center"/>
            <w:hideMark/>
          </w:tcPr>
          <w:p w14:paraId="4E46552C"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w:t>
            </w:r>
          </w:p>
        </w:tc>
        <w:tc>
          <w:tcPr>
            <w:tcW w:w="1050" w:type="dxa"/>
            <w:vMerge w:val="restart"/>
            <w:tcBorders>
              <w:top w:val="nil"/>
              <w:left w:val="single" w:sz="4" w:space="0" w:color="auto"/>
              <w:bottom w:val="single" w:sz="8" w:space="0" w:color="000000"/>
              <w:right w:val="single" w:sz="4" w:space="0" w:color="auto"/>
            </w:tcBorders>
            <w:shd w:val="clear" w:color="auto" w:fill="auto"/>
            <w:vAlign w:val="center"/>
            <w:hideMark/>
          </w:tcPr>
          <w:p w14:paraId="7B3E4E8D"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Pfizer-BioNTech COVID-19 Vaccine</w:t>
            </w:r>
          </w:p>
        </w:tc>
        <w:tc>
          <w:tcPr>
            <w:tcW w:w="1245" w:type="dxa"/>
            <w:vMerge w:val="restart"/>
            <w:tcBorders>
              <w:top w:val="nil"/>
              <w:left w:val="single" w:sz="4" w:space="0" w:color="auto"/>
              <w:bottom w:val="single" w:sz="8" w:space="0" w:color="000000"/>
              <w:right w:val="single" w:sz="4" w:space="0" w:color="auto"/>
            </w:tcBorders>
            <w:shd w:val="clear" w:color="auto" w:fill="auto"/>
            <w:vAlign w:val="center"/>
            <w:hideMark/>
          </w:tcPr>
          <w:p w14:paraId="205861B3"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12+ years</w:t>
            </w:r>
          </w:p>
        </w:tc>
        <w:tc>
          <w:tcPr>
            <w:tcW w:w="2160" w:type="dxa"/>
            <w:tcBorders>
              <w:top w:val="nil"/>
              <w:left w:val="nil"/>
              <w:bottom w:val="single" w:sz="4" w:space="0" w:color="auto"/>
              <w:right w:val="single" w:sz="4" w:space="0" w:color="auto"/>
            </w:tcBorders>
            <w:shd w:val="clear" w:color="auto" w:fill="auto"/>
            <w:vAlign w:val="center"/>
            <w:hideMark/>
          </w:tcPr>
          <w:p w14:paraId="79A8C7D9"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0001A (1</w:t>
            </w:r>
            <w:r w:rsidRPr="00057D13">
              <w:rPr>
                <w:rFonts w:ascii="Times New Roman" w:eastAsia="Times New Roman" w:hAnsi="Times New Roman" w:cs="Times New Roman"/>
                <w:color w:val="000000"/>
                <w:sz w:val="20"/>
                <w:szCs w:val="20"/>
                <w:vertAlign w:val="superscript"/>
              </w:rPr>
              <w:t>st</w:t>
            </w:r>
            <w:r w:rsidRPr="00057D13">
              <w:rPr>
                <w:rFonts w:ascii="Times New Roman" w:eastAsia="Times New Roman" w:hAnsi="Times New Roman" w:cs="Times New Roman"/>
                <w:color w:val="000000"/>
                <w:sz w:val="20"/>
                <w:szCs w:val="20"/>
              </w:rPr>
              <w:t xml:space="preserve"> dose)</w:t>
            </w:r>
          </w:p>
        </w:tc>
        <w:tc>
          <w:tcPr>
            <w:tcW w:w="1890" w:type="dxa"/>
            <w:vMerge w:val="restart"/>
            <w:tcBorders>
              <w:top w:val="nil"/>
              <w:left w:val="single" w:sz="4" w:space="0" w:color="auto"/>
              <w:bottom w:val="single" w:sz="8" w:space="0" w:color="000000"/>
              <w:right w:val="single" w:sz="4" w:space="0" w:color="auto"/>
            </w:tcBorders>
            <w:shd w:val="clear" w:color="auto" w:fill="auto"/>
            <w:vAlign w:val="center"/>
            <w:hideMark/>
          </w:tcPr>
          <w:p w14:paraId="5B07B608"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59267-1000-01</w:t>
            </w:r>
            <w:r w:rsidRPr="00057D13">
              <w:rPr>
                <w:rFonts w:ascii="Times New Roman" w:eastAsia="Times New Roman" w:hAnsi="Times New Roman" w:cs="Times New Roman"/>
                <w:color w:val="000000"/>
                <w:sz w:val="20"/>
                <w:szCs w:val="20"/>
              </w:rPr>
              <w:br/>
              <w:t>59267-1000-02</w:t>
            </w:r>
            <w:r w:rsidRPr="00057D13">
              <w:rPr>
                <w:rFonts w:ascii="Times New Roman" w:eastAsia="Times New Roman" w:hAnsi="Times New Roman" w:cs="Times New Roman"/>
                <w:color w:val="000000"/>
                <w:sz w:val="20"/>
                <w:szCs w:val="20"/>
              </w:rPr>
              <w:br/>
              <w:t>59267-1000-03</w:t>
            </w:r>
          </w:p>
        </w:tc>
        <w:tc>
          <w:tcPr>
            <w:tcW w:w="288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1DF47D1"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-21+ days between dose 1 and dose 2 and 5+ months between dose 2 and third/booster dose</w:t>
            </w:r>
            <w:r w:rsidRPr="00057D13">
              <w:rPr>
                <w:rFonts w:ascii="Times New Roman" w:eastAsia="Times New Roman" w:hAnsi="Times New Roman" w:cs="Times New Roman"/>
                <w:color w:val="000000"/>
                <w:sz w:val="20"/>
                <w:szCs w:val="20"/>
              </w:rPr>
              <w:br/>
              <w:t xml:space="preserve">- For immunocompromised, 21+ days between dose 1 and dose 2, 28+ days between dose 2 and dose 3. Additionally, booster dose recommended 3+ months after primary series </w:t>
            </w:r>
          </w:p>
        </w:tc>
      </w:tr>
      <w:tr w:rsidR="00673661" w:rsidRPr="00057D13" w14:paraId="49375EA2" w14:textId="77777777" w:rsidTr="00565172">
        <w:trPr>
          <w:trHeight w:val="570"/>
        </w:trPr>
        <w:tc>
          <w:tcPr>
            <w:tcW w:w="1417" w:type="dxa"/>
            <w:vMerge/>
            <w:tcBorders>
              <w:top w:val="nil"/>
              <w:left w:val="single" w:sz="8" w:space="0" w:color="auto"/>
              <w:bottom w:val="single" w:sz="8" w:space="0" w:color="000000"/>
              <w:right w:val="single" w:sz="4" w:space="0" w:color="auto"/>
            </w:tcBorders>
            <w:vAlign w:val="center"/>
            <w:hideMark/>
          </w:tcPr>
          <w:p w14:paraId="22D59D6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single" w:sz="8" w:space="0" w:color="000000"/>
              <w:right w:val="single" w:sz="4" w:space="0" w:color="auto"/>
            </w:tcBorders>
            <w:vAlign w:val="center"/>
            <w:hideMark/>
          </w:tcPr>
          <w:p w14:paraId="7804D81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8" w:space="0" w:color="000000"/>
              <w:right w:val="single" w:sz="4" w:space="0" w:color="auto"/>
            </w:tcBorders>
            <w:vAlign w:val="center"/>
            <w:hideMark/>
          </w:tcPr>
          <w:p w14:paraId="6CE258AC"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8" w:space="0" w:color="000000"/>
              <w:right w:val="single" w:sz="4" w:space="0" w:color="auto"/>
            </w:tcBorders>
            <w:vAlign w:val="center"/>
            <w:hideMark/>
          </w:tcPr>
          <w:p w14:paraId="42709D6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8" w:space="0" w:color="000000"/>
              <w:right w:val="single" w:sz="4" w:space="0" w:color="auto"/>
            </w:tcBorders>
            <w:vAlign w:val="center"/>
            <w:hideMark/>
          </w:tcPr>
          <w:p w14:paraId="7553F11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hideMark/>
          </w:tcPr>
          <w:p w14:paraId="30556D7B"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0002A (2</w:t>
            </w:r>
            <w:r w:rsidRPr="00057D13">
              <w:rPr>
                <w:rFonts w:ascii="Times New Roman" w:eastAsia="Times New Roman" w:hAnsi="Times New Roman" w:cs="Times New Roman"/>
                <w:color w:val="000000"/>
                <w:sz w:val="20"/>
                <w:szCs w:val="20"/>
                <w:vertAlign w:val="superscript"/>
              </w:rPr>
              <w:t>nd</w:t>
            </w:r>
            <w:r w:rsidRPr="00057D13">
              <w:rPr>
                <w:rFonts w:ascii="Times New Roman" w:eastAsia="Times New Roman" w:hAnsi="Times New Roman" w:cs="Times New Roman"/>
                <w:color w:val="000000"/>
                <w:sz w:val="20"/>
                <w:szCs w:val="20"/>
              </w:rPr>
              <w:t xml:space="preserve"> dose)</w:t>
            </w:r>
          </w:p>
        </w:tc>
        <w:tc>
          <w:tcPr>
            <w:tcW w:w="1890" w:type="dxa"/>
            <w:vMerge/>
            <w:tcBorders>
              <w:top w:val="nil"/>
              <w:left w:val="single" w:sz="4" w:space="0" w:color="auto"/>
              <w:bottom w:val="single" w:sz="8" w:space="0" w:color="000000"/>
              <w:right w:val="single" w:sz="4" w:space="0" w:color="auto"/>
            </w:tcBorders>
            <w:vAlign w:val="center"/>
            <w:hideMark/>
          </w:tcPr>
          <w:p w14:paraId="5855C50C"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nil"/>
              <w:left w:val="single" w:sz="4" w:space="0" w:color="auto"/>
              <w:bottom w:val="single" w:sz="8" w:space="0" w:color="000000"/>
              <w:right w:val="single" w:sz="8" w:space="0" w:color="auto"/>
            </w:tcBorders>
            <w:vAlign w:val="center"/>
            <w:hideMark/>
          </w:tcPr>
          <w:p w14:paraId="6D75547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r w:rsidR="00673661" w:rsidRPr="00057D13" w14:paraId="63C21D02" w14:textId="77777777" w:rsidTr="00565172">
        <w:trPr>
          <w:trHeight w:val="570"/>
        </w:trPr>
        <w:tc>
          <w:tcPr>
            <w:tcW w:w="1417" w:type="dxa"/>
            <w:vMerge/>
            <w:tcBorders>
              <w:top w:val="nil"/>
              <w:left w:val="single" w:sz="8" w:space="0" w:color="auto"/>
              <w:bottom w:val="single" w:sz="8" w:space="0" w:color="000000"/>
              <w:right w:val="single" w:sz="4" w:space="0" w:color="auto"/>
            </w:tcBorders>
            <w:vAlign w:val="center"/>
            <w:hideMark/>
          </w:tcPr>
          <w:p w14:paraId="6C36463D"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single" w:sz="8" w:space="0" w:color="000000"/>
              <w:right w:val="single" w:sz="4" w:space="0" w:color="auto"/>
            </w:tcBorders>
            <w:vAlign w:val="center"/>
            <w:hideMark/>
          </w:tcPr>
          <w:p w14:paraId="793186BF"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8" w:space="0" w:color="000000"/>
              <w:right w:val="single" w:sz="4" w:space="0" w:color="auto"/>
            </w:tcBorders>
            <w:vAlign w:val="center"/>
            <w:hideMark/>
          </w:tcPr>
          <w:p w14:paraId="7C0B3F80"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8" w:space="0" w:color="000000"/>
              <w:right w:val="single" w:sz="4" w:space="0" w:color="auto"/>
            </w:tcBorders>
            <w:vAlign w:val="center"/>
            <w:hideMark/>
          </w:tcPr>
          <w:p w14:paraId="569003EA"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8" w:space="0" w:color="000000"/>
              <w:right w:val="single" w:sz="4" w:space="0" w:color="auto"/>
            </w:tcBorders>
            <w:vAlign w:val="center"/>
            <w:hideMark/>
          </w:tcPr>
          <w:p w14:paraId="6DF30FEE"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nil"/>
              <w:left w:val="nil"/>
              <w:bottom w:val="nil"/>
              <w:right w:val="single" w:sz="4" w:space="0" w:color="auto"/>
            </w:tcBorders>
            <w:shd w:val="clear" w:color="auto" w:fill="auto"/>
            <w:vAlign w:val="center"/>
            <w:hideMark/>
          </w:tcPr>
          <w:p w14:paraId="20B71B31"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0003A (3</w:t>
            </w:r>
            <w:r w:rsidRPr="00057D13">
              <w:rPr>
                <w:rFonts w:ascii="Times New Roman" w:eastAsia="Times New Roman" w:hAnsi="Times New Roman" w:cs="Times New Roman"/>
                <w:color w:val="000000"/>
                <w:sz w:val="20"/>
                <w:szCs w:val="20"/>
                <w:vertAlign w:val="superscript"/>
              </w:rPr>
              <w:t>rd</w:t>
            </w:r>
            <w:r w:rsidRPr="00057D13">
              <w:rPr>
                <w:rFonts w:ascii="Times New Roman" w:eastAsia="Times New Roman" w:hAnsi="Times New Roman" w:cs="Times New Roman"/>
                <w:color w:val="000000"/>
                <w:sz w:val="20"/>
                <w:szCs w:val="20"/>
              </w:rPr>
              <w:t xml:space="preserve"> dose)</w:t>
            </w:r>
          </w:p>
        </w:tc>
        <w:tc>
          <w:tcPr>
            <w:tcW w:w="1890" w:type="dxa"/>
            <w:vMerge/>
            <w:tcBorders>
              <w:top w:val="nil"/>
              <w:left w:val="single" w:sz="4" w:space="0" w:color="auto"/>
              <w:bottom w:val="single" w:sz="8" w:space="0" w:color="000000"/>
              <w:right w:val="single" w:sz="4" w:space="0" w:color="auto"/>
            </w:tcBorders>
            <w:vAlign w:val="center"/>
            <w:hideMark/>
          </w:tcPr>
          <w:p w14:paraId="2B9AF8D9"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nil"/>
              <w:left w:val="single" w:sz="4" w:space="0" w:color="auto"/>
              <w:bottom w:val="single" w:sz="8" w:space="0" w:color="000000"/>
              <w:right w:val="single" w:sz="8" w:space="0" w:color="auto"/>
            </w:tcBorders>
            <w:vAlign w:val="center"/>
            <w:hideMark/>
          </w:tcPr>
          <w:p w14:paraId="734972B2"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r w:rsidR="00673661" w:rsidRPr="00057D13" w14:paraId="4645B401" w14:textId="77777777" w:rsidTr="00565172">
        <w:trPr>
          <w:trHeight w:val="570"/>
        </w:trPr>
        <w:tc>
          <w:tcPr>
            <w:tcW w:w="1417" w:type="dxa"/>
            <w:vMerge/>
            <w:tcBorders>
              <w:top w:val="nil"/>
              <w:left w:val="single" w:sz="8" w:space="0" w:color="auto"/>
              <w:bottom w:val="single" w:sz="8" w:space="0" w:color="000000"/>
              <w:right w:val="single" w:sz="4" w:space="0" w:color="auto"/>
            </w:tcBorders>
            <w:vAlign w:val="center"/>
            <w:hideMark/>
          </w:tcPr>
          <w:p w14:paraId="28DFC9CB"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63" w:type="dxa"/>
            <w:vMerge/>
            <w:tcBorders>
              <w:top w:val="nil"/>
              <w:left w:val="single" w:sz="4" w:space="0" w:color="auto"/>
              <w:bottom w:val="single" w:sz="8" w:space="0" w:color="000000"/>
              <w:right w:val="single" w:sz="4" w:space="0" w:color="auto"/>
            </w:tcBorders>
            <w:vAlign w:val="center"/>
            <w:hideMark/>
          </w:tcPr>
          <w:p w14:paraId="2C4D3216"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485" w:type="dxa"/>
            <w:vMerge/>
            <w:tcBorders>
              <w:top w:val="nil"/>
              <w:left w:val="single" w:sz="4" w:space="0" w:color="auto"/>
              <w:bottom w:val="single" w:sz="8" w:space="0" w:color="000000"/>
              <w:right w:val="single" w:sz="4" w:space="0" w:color="auto"/>
            </w:tcBorders>
            <w:vAlign w:val="center"/>
            <w:hideMark/>
          </w:tcPr>
          <w:p w14:paraId="28873875"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050" w:type="dxa"/>
            <w:vMerge/>
            <w:tcBorders>
              <w:top w:val="nil"/>
              <w:left w:val="single" w:sz="4" w:space="0" w:color="auto"/>
              <w:bottom w:val="single" w:sz="8" w:space="0" w:color="000000"/>
              <w:right w:val="single" w:sz="4" w:space="0" w:color="auto"/>
            </w:tcBorders>
            <w:vAlign w:val="center"/>
            <w:hideMark/>
          </w:tcPr>
          <w:p w14:paraId="668D9866"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1245" w:type="dxa"/>
            <w:vMerge/>
            <w:tcBorders>
              <w:top w:val="nil"/>
              <w:left w:val="single" w:sz="4" w:space="0" w:color="auto"/>
              <w:bottom w:val="single" w:sz="8" w:space="0" w:color="000000"/>
              <w:right w:val="single" w:sz="4" w:space="0" w:color="auto"/>
            </w:tcBorders>
            <w:vAlign w:val="center"/>
            <w:hideMark/>
          </w:tcPr>
          <w:p w14:paraId="611C6E39"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160" w:type="dxa"/>
            <w:tcBorders>
              <w:top w:val="single" w:sz="4" w:space="0" w:color="auto"/>
              <w:left w:val="nil"/>
              <w:bottom w:val="single" w:sz="8" w:space="0" w:color="auto"/>
              <w:right w:val="single" w:sz="4" w:space="0" w:color="auto"/>
            </w:tcBorders>
            <w:shd w:val="clear" w:color="auto" w:fill="auto"/>
            <w:vAlign w:val="center"/>
            <w:hideMark/>
          </w:tcPr>
          <w:p w14:paraId="1ABD7380" w14:textId="77777777" w:rsidR="0035014E" w:rsidRPr="00057D13" w:rsidRDefault="0035014E" w:rsidP="0035014E">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0004A (booster dose)</w:t>
            </w:r>
          </w:p>
        </w:tc>
        <w:tc>
          <w:tcPr>
            <w:tcW w:w="1890" w:type="dxa"/>
            <w:vMerge/>
            <w:tcBorders>
              <w:top w:val="nil"/>
              <w:left w:val="single" w:sz="4" w:space="0" w:color="auto"/>
              <w:bottom w:val="single" w:sz="8" w:space="0" w:color="000000"/>
              <w:right w:val="single" w:sz="4" w:space="0" w:color="auto"/>
            </w:tcBorders>
            <w:vAlign w:val="center"/>
            <w:hideMark/>
          </w:tcPr>
          <w:p w14:paraId="7104B377"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c>
          <w:tcPr>
            <w:tcW w:w="2880" w:type="dxa"/>
            <w:vMerge/>
            <w:tcBorders>
              <w:top w:val="nil"/>
              <w:left w:val="single" w:sz="4" w:space="0" w:color="auto"/>
              <w:bottom w:val="single" w:sz="8" w:space="0" w:color="000000"/>
              <w:right w:val="single" w:sz="8" w:space="0" w:color="auto"/>
            </w:tcBorders>
            <w:vAlign w:val="center"/>
            <w:hideMark/>
          </w:tcPr>
          <w:p w14:paraId="5C65BE63" w14:textId="77777777" w:rsidR="0035014E" w:rsidRPr="00057D13" w:rsidRDefault="0035014E" w:rsidP="0035014E">
            <w:pPr>
              <w:spacing w:after="0" w:line="240" w:lineRule="auto"/>
              <w:rPr>
                <w:rFonts w:ascii="Times New Roman" w:eastAsia="Times New Roman" w:hAnsi="Times New Roman" w:cs="Times New Roman"/>
                <w:color w:val="000000"/>
                <w:sz w:val="20"/>
                <w:szCs w:val="20"/>
              </w:rPr>
            </w:pPr>
          </w:p>
        </w:tc>
      </w:tr>
    </w:tbl>
    <w:p w14:paraId="18A087D1" w14:textId="749FCBCD" w:rsidR="00673661" w:rsidRPr="00057D13" w:rsidRDefault="00673661">
      <w:pPr>
        <w:rPr>
          <w:rFonts w:ascii="Times New Roman" w:hAnsi="Times New Roman" w:cs="Times New Roman"/>
        </w:rPr>
      </w:pPr>
    </w:p>
    <w:p w14:paraId="023671F4" w14:textId="72230193" w:rsidR="00E54D96" w:rsidRPr="00057D13" w:rsidRDefault="00673661" w:rsidP="00E54D96">
      <w:pPr>
        <w:rPr>
          <w:rFonts w:ascii="Times New Roman" w:hAnsi="Times New Roman" w:cs="Times New Roman"/>
        </w:rPr>
      </w:pPr>
      <w:r w:rsidRPr="00057D13">
        <w:rPr>
          <w:rFonts w:ascii="Times New Roman" w:hAnsi="Times New Roman" w:cs="Times New Roman"/>
        </w:rPr>
        <w:br w:type="page"/>
      </w:r>
      <w:r w:rsidR="006C776A" w:rsidRPr="00057D13">
        <w:rPr>
          <w:rFonts w:ascii="Times New Roman" w:hAnsi="Times New Roman" w:cs="Times New Roman"/>
          <w:b/>
        </w:rPr>
        <w:t>Supplementary</w:t>
      </w:r>
      <w:r w:rsidR="006C776A" w:rsidRPr="00057D13">
        <w:rPr>
          <w:rFonts w:ascii="Times New Roman" w:hAnsi="Times New Roman" w:cs="Times New Roman"/>
        </w:rPr>
        <w:t xml:space="preserve"> </w:t>
      </w:r>
      <w:r w:rsidRPr="00057D13">
        <w:rPr>
          <w:rFonts w:ascii="Times New Roman" w:hAnsi="Times New Roman" w:cs="Times New Roman"/>
          <w:b/>
        </w:rPr>
        <w:t>Table 3</w:t>
      </w:r>
      <w:r w:rsidR="00565172" w:rsidRPr="00057D13">
        <w:rPr>
          <w:rFonts w:ascii="Times New Roman" w:hAnsi="Times New Roman" w:cs="Times New Roman"/>
          <w:b/>
        </w:rPr>
        <w:t>.</w:t>
      </w:r>
      <w:r w:rsidRPr="00057D13">
        <w:rPr>
          <w:rFonts w:ascii="Times New Roman" w:hAnsi="Times New Roman" w:cs="Times New Roman"/>
          <w:b/>
        </w:rPr>
        <w:t xml:space="preserve"> </w:t>
      </w:r>
      <w:r w:rsidR="00D16C6B" w:rsidRPr="00057D13">
        <w:rPr>
          <w:rFonts w:ascii="Times New Roman" w:hAnsi="Times New Roman" w:cs="Times New Roman"/>
          <w:b/>
        </w:rPr>
        <w:t>Outcomes</w:t>
      </w:r>
      <w:r w:rsidR="00E54D96" w:rsidRPr="00057D13">
        <w:rPr>
          <w:rFonts w:ascii="Times New Roman" w:hAnsi="Times New Roman" w:cs="Times New Roman"/>
          <w:b/>
        </w:rPr>
        <w:t>, Age Groups, Settings, Clean Windows, Risk Windows, and Analysis Type for the Pediatric Population</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1060"/>
        <w:gridCol w:w="1060"/>
        <w:gridCol w:w="1060"/>
        <w:gridCol w:w="1876"/>
        <w:gridCol w:w="1714"/>
      </w:tblGrid>
      <w:tr w:rsidR="00673661" w:rsidRPr="00057D13" w14:paraId="2BE57311" w14:textId="77777777" w:rsidTr="000B15EC">
        <w:trPr>
          <w:trHeight w:val="379"/>
          <w:tblHeader/>
        </w:trPr>
        <w:tc>
          <w:tcPr>
            <w:tcW w:w="2116" w:type="dxa"/>
            <w:shd w:val="clear" w:color="auto" w:fill="DDEBF7"/>
            <w:vAlign w:val="center"/>
            <w:hideMark/>
          </w:tcPr>
          <w:p w14:paraId="16FF305C" w14:textId="5DA1E5BF" w:rsidR="00673661" w:rsidRPr="00057D13" w:rsidRDefault="00D16C6B" w:rsidP="000B15EC">
            <w:pPr>
              <w:spacing w:after="0" w:line="240" w:lineRule="auto"/>
              <w:jc w:val="center"/>
              <w:rPr>
                <w:rFonts w:ascii="Times New Roman" w:hAnsi="Times New Roman" w:cs="Times New Roman"/>
                <w:b/>
                <w:sz w:val="18"/>
                <w:szCs w:val="18"/>
              </w:rPr>
            </w:pPr>
            <w:r w:rsidRPr="00057D13">
              <w:rPr>
                <w:rFonts w:ascii="Times New Roman" w:hAnsi="Times New Roman" w:cs="Times New Roman"/>
                <w:b/>
                <w:sz w:val="18"/>
                <w:szCs w:val="18"/>
              </w:rPr>
              <w:t>Outcome</w:t>
            </w:r>
          </w:p>
        </w:tc>
        <w:tc>
          <w:tcPr>
            <w:tcW w:w="1060" w:type="dxa"/>
            <w:shd w:val="clear" w:color="auto" w:fill="DDEBF7"/>
            <w:vAlign w:val="center"/>
            <w:hideMark/>
          </w:tcPr>
          <w:p w14:paraId="56EF027A"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Age Group of Interest</w:t>
            </w:r>
          </w:p>
        </w:tc>
        <w:tc>
          <w:tcPr>
            <w:tcW w:w="1060" w:type="dxa"/>
            <w:shd w:val="clear" w:color="auto" w:fill="DDEBF7"/>
            <w:vAlign w:val="center"/>
            <w:hideMark/>
          </w:tcPr>
          <w:p w14:paraId="2A3EDFFB"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Setting</w:t>
            </w:r>
          </w:p>
        </w:tc>
        <w:tc>
          <w:tcPr>
            <w:tcW w:w="1060" w:type="dxa"/>
            <w:shd w:val="clear" w:color="auto" w:fill="DDEBF7"/>
            <w:vAlign w:val="center"/>
            <w:hideMark/>
          </w:tcPr>
          <w:p w14:paraId="49237BF8"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Clean Window</w:t>
            </w:r>
          </w:p>
        </w:tc>
        <w:tc>
          <w:tcPr>
            <w:tcW w:w="1876" w:type="dxa"/>
            <w:shd w:val="clear" w:color="auto" w:fill="DDEBF7"/>
            <w:vAlign w:val="center"/>
            <w:hideMark/>
          </w:tcPr>
          <w:p w14:paraId="7157C67D"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Risk Window</w:t>
            </w:r>
          </w:p>
        </w:tc>
        <w:tc>
          <w:tcPr>
            <w:tcW w:w="1712" w:type="dxa"/>
            <w:shd w:val="clear" w:color="auto" w:fill="DDEBF7"/>
            <w:vAlign w:val="center"/>
          </w:tcPr>
          <w:p w14:paraId="4F668ABE"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Analysis Type</w:t>
            </w:r>
          </w:p>
        </w:tc>
      </w:tr>
      <w:tr w:rsidR="00673661" w:rsidRPr="00057D13" w14:paraId="5F8D8A04" w14:textId="77777777" w:rsidTr="000B15EC">
        <w:trPr>
          <w:trHeight w:val="373"/>
        </w:trPr>
        <w:tc>
          <w:tcPr>
            <w:tcW w:w="8886" w:type="dxa"/>
            <w:gridSpan w:val="6"/>
            <w:shd w:val="clear" w:color="auto" w:fill="BFBFBF" w:themeFill="background1" w:themeFillShade="BF"/>
            <w:vAlign w:val="center"/>
          </w:tcPr>
          <w:p w14:paraId="1C7C1710" w14:textId="77777777" w:rsidR="00673661" w:rsidRPr="00057D13" w:rsidRDefault="00673661" w:rsidP="000B15EC">
            <w:pPr>
              <w:spacing w:after="0" w:line="240" w:lineRule="auto"/>
              <w:jc w:val="center"/>
              <w:rPr>
                <w:rFonts w:ascii="Times New Roman" w:hAnsi="Times New Roman" w:cs="Times New Roman"/>
                <w:b/>
                <w:color w:val="000000"/>
                <w:sz w:val="18"/>
                <w:szCs w:val="18"/>
              </w:rPr>
            </w:pPr>
            <w:r w:rsidRPr="00057D13">
              <w:rPr>
                <w:rFonts w:ascii="Times New Roman" w:hAnsi="Times New Roman" w:cs="Times New Roman"/>
                <w:b/>
                <w:color w:val="000000"/>
                <w:sz w:val="18"/>
                <w:szCs w:val="18"/>
              </w:rPr>
              <w:t>Pediatric Outcomes</w:t>
            </w:r>
          </w:p>
        </w:tc>
      </w:tr>
      <w:tr w:rsidR="00673661" w:rsidRPr="00057D13" w14:paraId="6A575712" w14:textId="77777777" w:rsidTr="000B15EC">
        <w:trPr>
          <w:trHeight w:val="278"/>
        </w:trPr>
        <w:tc>
          <w:tcPr>
            <w:tcW w:w="2116" w:type="dxa"/>
            <w:vMerge w:val="restart"/>
            <w:shd w:val="clear" w:color="auto" w:fill="auto"/>
            <w:vAlign w:val="center"/>
          </w:tcPr>
          <w:p w14:paraId="53F4A70D"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Myocarditis/</w:t>
            </w:r>
          </w:p>
          <w:p w14:paraId="6BB97144"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Pericarditis</w:t>
            </w:r>
          </w:p>
        </w:tc>
        <w:tc>
          <w:tcPr>
            <w:tcW w:w="1060" w:type="dxa"/>
            <w:shd w:val="clear" w:color="auto" w:fill="auto"/>
            <w:vAlign w:val="center"/>
          </w:tcPr>
          <w:p w14:paraId="443B2BD9"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Ages 5-17 years</w:t>
            </w:r>
          </w:p>
        </w:tc>
        <w:tc>
          <w:tcPr>
            <w:tcW w:w="1060" w:type="dxa"/>
            <w:shd w:val="clear" w:color="auto" w:fill="auto"/>
            <w:vAlign w:val="center"/>
          </w:tcPr>
          <w:p w14:paraId="2D0DFE46"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IP, OP/PB</w:t>
            </w:r>
          </w:p>
        </w:tc>
        <w:tc>
          <w:tcPr>
            <w:tcW w:w="1060" w:type="dxa"/>
            <w:shd w:val="clear" w:color="auto" w:fill="auto"/>
            <w:vAlign w:val="center"/>
          </w:tcPr>
          <w:p w14:paraId="0CE08020"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365 days</w:t>
            </w:r>
          </w:p>
        </w:tc>
        <w:tc>
          <w:tcPr>
            <w:tcW w:w="1876" w:type="dxa"/>
            <w:shd w:val="clear" w:color="auto" w:fill="auto"/>
            <w:vAlign w:val="center"/>
          </w:tcPr>
          <w:p w14:paraId="1BA0040C" w14:textId="77777777" w:rsidR="00673661" w:rsidRPr="00057D13" w:rsidRDefault="00673661" w:rsidP="000B15EC">
            <w:pPr>
              <w:spacing w:after="0" w:line="240" w:lineRule="auto"/>
              <w:jc w:val="center"/>
              <w:rPr>
                <w:rFonts w:ascii="Times New Roman" w:hAnsi="Times New Roman" w:cs="Times New Roman"/>
                <w:sz w:val="18"/>
                <w:szCs w:val="18"/>
                <w:vertAlign w:val="superscript"/>
              </w:rPr>
            </w:pPr>
            <w:r w:rsidRPr="00057D13">
              <w:rPr>
                <w:rFonts w:ascii="Times New Roman" w:hAnsi="Times New Roman" w:cs="Times New Roman"/>
                <w:sz w:val="18"/>
                <w:szCs w:val="18"/>
              </w:rPr>
              <w:t xml:space="preserve">1-7 </w:t>
            </w:r>
            <w:proofErr w:type="gramStart"/>
            <w:r w:rsidRPr="00057D13">
              <w:rPr>
                <w:rFonts w:ascii="Times New Roman" w:hAnsi="Times New Roman" w:cs="Times New Roman"/>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w:t>
            </w:r>
          </w:p>
        </w:tc>
        <w:tc>
          <w:tcPr>
            <w:tcW w:w="1712" w:type="dxa"/>
            <w:vAlign w:val="center"/>
          </w:tcPr>
          <w:p w14:paraId="64C81194" w14:textId="77777777" w:rsidR="00673661" w:rsidRPr="00057D13" w:rsidDel="00FD7A2D"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color w:val="000000"/>
                <w:sz w:val="18"/>
                <w:szCs w:val="18"/>
              </w:rPr>
              <w:t>Descriptive and Sequential Testing</w:t>
            </w:r>
          </w:p>
        </w:tc>
      </w:tr>
      <w:tr w:rsidR="00673661" w:rsidRPr="00057D13" w14:paraId="7CFE0BBF" w14:textId="77777777" w:rsidTr="000B15EC">
        <w:trPr>
          <w:trHeight w:val="278"/>
        </w:trPr>
        <w:tc>
          <w:tcPr>
            <w:tcW w:w="2116" w:type="dxa"/>
            <w:vMerge/>
            <w:shd w:val="clear" w:color="auto" w:fill="auto"/>
            <w:vAlign w:val="center"/>
          </w:tcPr>
          <w:p w14:paraId="33B4347E" w14:textId="77777777" w:rsidR="00673661" w:rsidRPr="00057D13" w:rsidRDefault="00673661" w:rsidP="000B15EC">
            <w:pPr>
              <w:spacing w:after="0" w:line="240" w:lineRule="auto"/>
              <w:jc w:val="center"/>
              <w:rPr>
                <w:rFonts w:ascii="Times New Roman" w:hAnsi="Times New Roman" w:cs="Times New Roman"/>
                <w:color w:val="000000"/>
                <w:sz w:val="18"/>
                <w:szCs w:val="18"/>
                <w:highlight w:val="yellow"/>
              </w:rPr>
            </w:pPr>
          </w:p>
        </w:tc>
        <w:tc>
          <w:tcPr>
            <w:tcW w:w="1060" w:type="dxa"/>
            <w:shd w:val="clear" w:color="auto" w:fill="auto"/>
            <w:vAlign w:val="center"/>
          </w:tcPr>
          <w:p w14:paraId="234E8F48"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sz w:val="18"/>
                <w:szCs w:val="18"/>
              </w:rPr>
              <w:t>Ages 5-17 years</w:t>
            </w:r>
          </w:p>
        </w:tc>
        <w:tc>
          <w:tcPr>
            <w:tcW w:w="1060" w:type="dxa"/>
            <w:shd w:val="clear" w:color="auto" w:fill="auto"/>
            <w:vAlign w:val="center"/>
          </w:tcPr>
          <w:p w14:paraId="17DB77E7"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IP, OP/PB</w:t>
            </w:r>
          </w:p>
        </w:tc>
        <w:tc>
          <w:tcPr>
            <w:tcW w:w="1060" w:type="dxa"/>
            <w:shd w:val="clear" w:color="auto" w:fill="auto"/>
            <w:vAlign w:val="center"/>
          </w:tcPr>
          <w:p w14:paraId="59939BFA"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365 days</w:t>
            </w:r>
          </w:p>
        </w:tc>
        <w:tc>
          <w:tcPr>
            <w:tcW w:w="1876" w:type="dxa"/>
            <w:shd w:val="clear" w:color="auto" w:fill="auto"/>
            <w:vAlign w:val="center"/>
          </w:tcPr>
          <w:p w14:paraId="0ED3B577" w14:textId="77777777" w:rsidR="00673661" w:rsidRPr="00057D13" w:rsidDel="00FD7A2D"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 xml:space="preserve">1-21 </w:t>
            </w:r>
            <w:proofErr w:type="gramStart"/>
            <w:r w:rsidRPr="00057D13">
              <w:rPr>
                <w:rFonts w:ascii="Times New Roman" w:hAnsi="Times New Roman" w:cs="Times New Roman"/>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w:t>
            </w:r>
          </w:p>
        </w:tc>
        <w:tc>
          <w:tcPr>
            <w:tcW w:w="1712" w:type="dxa"/>
            <w:vAlign w:val="center"/>
          </w:tcPr>
          <w:p w14:paraId="6AE5626E"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color w:val="000000"/>
                <w:sz w:val="18"/>
                <w:szCs w:val="18"/>
              </w:rPr>
              <w:t>Descriptive and Sequential Testing</w:t>
            </w:r>
          </w:p>
        </w:tc>
      </w:tr>
      <w:tr w:rsidR="00673661" w:rsidRPr="00057D13" w14:paraId="59825372" w14:textId="77777777" w:rsidTr="000B15EC">
        <w:trPr>
          <w:trHeight w:val="278"/>
        </w:trPr>
        <w:tc>
          <w:tcPr>
            <w:tcW w:w="2116" w:type="dxa"/>
            <w:vMerge/>
            <w:shd w:val="clear" w:color="auto" w:fill="auto"/>
            <w:vAlign w:val="center"/>
          </w:tcPr>
          <w:p w14:paraId="39158CE8" w14:textId="77777777" w:rsidR="00673661" w:rsidRPr="00057D13" w:rsidRDefault="00673661" w:rsidP="000B15EC">
            <w:pPr>
              <w:spacing w:after="0" w:line="240" w:lineRule="auto"/>
              <w:jc w:val="center"/>
              <w:rPr>
                <w:rFonts w:ascii="Times New Roman" w:hAnsi="Times New Roman" w:cs="Times New Roman"/>
                <w:color w:val="000000"/>
                <w:sz w:val="18"/>
                <w:szCs w:val="18"/>
                <w:highlight w:val="yellow"/>
              </w:rPr>
            </w:pPr>
          </w:p>
        </w:tc>
        <w:tc>
          <w:tcPr>
            <w:tcW w:w="1060" w:type="dxa"/>
            <w:shd w:val="clear" w:color="auto" w:fill="auto"/>
            <w:vAlign w:val="center"/>
          </w:tcPr>
          <w:p w14:paraId="0ACB7720"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sz w:val="18"/>
                <w:szCs w:val="18"/>
              </w:rPr>
              <w:t>Ages 5-17 years</w:t>
            </w:r>
          </w:p>
        </w:tc>
        <w:tc>
          <w:tcPr>
            <w:tcW w:w="1060" w:type="dxa"/>
            <w:shd w:val="clear" w:color="auto" w:fill="auto"/>
            <w:vAlign w:val="center"/>
          </w:tcPr>
          <w:p w14:paraId="3AA5CE1B"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IP, OP-ED</w:t>
            </w:r>
          </w:p>
        </w:tc>
        <w:tc>
          <w:tcPr>
            <w:tcW w:w="1060" w:type="dxa"/>
            <w:shd w:val="clear" w:color="auto" w:fill="auto"/>
            <w:vAlign w:val="center"/>
          </w:tcPr>
          <w:p w14:paraId="05E0C697"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365 days</w:t>
            </w:r>
          </w:p>
        </w:tc>
        <w:tc>
          <w:tcPr>
            <w:tcW w:w="1876" w:type="dxa"/>
            <w:shd w:val="clear" w:color="auto" w:fill="auto"/>
            <w:vAlign w:val="center"/>
          </w:tcPr>
          <w:p w14:paraId="1B2F4E19"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 xml:space="preserve">1-7 </w:t>
            </w:r>
            <w:proofErr w:type="gramStart"/>
            <w:r w:rsidRPr="00057D13">
              <w:rPr>
                <w:rFonts w:ascii="Times New Roman" w:hAnsi="Times New Roman" w:cs="Times New Roman"/>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w:t>
            </w:r>
          </w:p>
        </w:tc>
        <w:tc>
          <w:tcPr>
            <w:tcW w:w="1712" w:type="dxa"/>
            <w:vAlign w:val="center"/>
          </w:tcPr>
          <w:p w14:paraId="00D3D440"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color w:val="000000"/>
                <w:sz w:val="18"/>
                <w:szCs w:val="18"/>
              </w:rPr>
              <w:t>Descriptive and Sequential Testing</w:t>
            </w:r>
          </w:p>
        </w:tc>
      </w:tr>
      <w:tr w:rsidR="00673661" w:rsidRPr="00057D13" w14:paraId="53866ADF" w14:textId="77777777" w:rsidTr="000B15EC">
        <w:trPr>
          <w:trHeight w:val="278"/>
        </w:trPr>
        <w:tc>
          <w:tcPr>
            <w:tcW w:w="2116" w:type="dxa"/>
            <w:vMerge/>
            <w:shd w:val="clear" w:color="auto" w:fill="auto"/>
            <w:vAlign w:val="center"/>
          </w:tcPr>
          <w:p w14:paraId="77C81F18" w14:textId="77777777" w:rsidR="00673661" w:rsidRPr="00057D13" w:rsidRDefault="00673661" w:rsidP="000B15EC">
            <w:pPr>
              <w:spacing w:after="0" w:line="240" w:lineRule="auto"/>
              <w:jc w:val="center"/>
              <w:rPr>
                <w:rFonts w:ascii="Times New Roman" w:hAnsi="Times New Roman" w:cs="Times New Roman"/>
                <w:color w:val="000000"/>
                <w:sz w:val="18"/>
                <w:szCs w:val="18"/>
                <w:highlight w:val="yellow"/>
              </w:rPr>
            </w:pPr>
          </w:p>
        </w:tc>
        <w:tc>
          <w:tcPr>
            <w:tcW w:w="1060" w:type="dxa"/>
            <w:shd w:val="clear" w:color="auto" w:fill="auto"/>
            <w:vAlign w:val="center"/>
          </w:tcPr>
          <w:p w14:paraId="535DC97D"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sz w:val="18"/>
                <w:szCs w:val="18"/>
              </w:rPr>
              <w:t>Ages 5-17 years</w:t>
            </w:r>
          </w:p>
        </w:tc>
        <w:tc>
          <w:tcPr>
            <w:tcW w:w="1060" w:type="dxa"/>
            <w:shd w:val="clear" w:color="auto" w:fill="auto"/>
            <w:vAlign w:val="center"/>
          </w:tcPr>
          <w:p w14:paraId="50079E4B"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IP, OP-ED</w:t>
            </w:r>
          </w:p>
        </w:tc>
        <w:tc>
          <w:tcPr>
            <w:tcW w:w="1060" w:type="dxa"/>
            <w:shd w:val="clear" w:color="auto" w:fill="auto"/>
            <w:vAlign w:val="center"/>
          </w:tcPr>
          <w:p w14:paraId="4F5093F0"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365 days</w:t>
            </w:r>
          </w:p>
        </w:tc>
        <w:tc>
          <w:tcPr>
            <w:tcW w:w="1876" w:type="dxa"/>
            <w:shd w:val="clear" w:color="auto" w:fill="auto"/>
            <w:vAlign w:val="center"/>
          </w:tcPr>
          <w:p w14:paraId="61483F38"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 xml:space="preserve">1-21 </w:t>
            </w:r>
            <w:proofErr w:type="gramStart"/>
            <w:r w:rsidRPr="00057D13">
              <w:rPr>
                <w:rFonts w:ascii="Times New Roman" w:hAnsi="Times New Roman" w:cs="Times New Roman"/>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w:t>
            </w:r>
          </w:p>
        </w:tc>
        <w:tc>
          <w:tcPr>
            <w:tcW w:w="1712" w:type="dxa"/>
            <w:vAlign w:val="center"/>
          </w:tcPr>
          <w:p w14:paraId="2BAE29CD" w14:textId="77777777" w:rsidR="00673661" w:rsidRPr="00057D13" w:rsidRDefault="00673661" w:rsidP="000B15EC">
            <w:pPr>
              <w:spacing w:after="0" w:line="240" w:lineRule="auto"/>
              <w:jc w:val="center"/>
              <w:rPr>
                <w:rFonts w:ascii="Times New Roman" w:hAnsi="Times New Roman" w:cs="Times New Roman"/>
                <w:sz w:val="18"/>
                <w:szCs w:val="18"/>
                <w:highlight w:val="yellow"/>
              </w:rPr>
            </w:pPr>
            <w:r w:rsidRPr="00057D13">
              <w:rPr>
                <w:rFonts w:ascii="Times New Roman" w:hAnsi="Times New Roman" w:cs="Times New Roman"/>
                <w:color w:val="000000"/>
                <w:sz w:val="18"/>
                <w:szCs w:val="18"/>
              </w:rPr>
              <w:t>Descriptive and Sequential Testing</w:t>
            </w:r>
          </w:p>
        </w:tc>
      </w:tr>
      <w:tr w:rsidR="00673661" w:rsidRPr="00057D13" w14:paraId="6CE5EF9F" w14:textId="77777777" w:rsidTr="000B15EC">
        <w:trPr>
          <w:trHeight w:val="270"/>
        </w:trPr>
        <w:tc>
          <w:tcPr>
            <w:tcW w:w="2116" w:type="dxa"/>
            <w:shd w:val="clear" w:color="auto" w:fill="auto"/>
            <w:vAlign w:val="center"/>
          </w:tcPr>
          <w:p w14:paraId="66BEDF33"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Guillain-Barré syndrome (GBS)</w:t>
            </w:r>
          </w:p>
        </w:tc>
        <w:tc>
          <w:tcPr>
            <w:tcW w:w="1060" w:type="dxa"/>
            <w:shd w:val="clear" w:color="auto" w:fill="auto"/>
            <w:vAlign w:val="center"/>
          </w:tcPr>
          <w:p w14:paraId="4385A0D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Ages 5-17 years</w:t>
            </w:r>
          </w:p>
        </w:tc>
        <w:tc>
          <w:tcPr>
            <w:tcW w:w="1060" w:type="dxa"/>
            <w:shd w:val="clear" w:color="auto" w:fill="auto"/>
            <w:vAlign w:val="center"/>
          </w:tcPr>
          <w:p w14:paraId="78780E80"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primary position only</w:t>
            </w:r>
          </w:p>
        </w:tc>
        <w:tc>
          <w:tcPr>
            <w:tcW w:w="1060" w:type="dxa"/>
            <w:shd w:val="clear" w:color="auto" w:fill="auto"/>
            <w:vAlign w:val="center"/>
          </w:tcPr>
          <w:p w14:paraId="30D13FC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6687C7AC"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3,4]</w:t>
            </w:r>
          </w:p>
        </w:tc>
        <w:tc>
          <w:tcPr>
            <w:tcW w:w="1712" w:type="dxa"/>
            <w:vAlign w:val="center"/>
          </w:tcPr>
          <w:p w14:paraId="0203F54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560BD8AB" w14:textId="77777777" w:rsidTr="000B15EC">
        <w:trPr>
          <w:trHeight w:val="270"/>
        </w:trPr>
        <w:tc>
          <w:tcPr>
            <w:tcW w:w="2116" w:type="dxa"/>
            <w:shd w:val="clear" w:color="auto" w:fill="auto"/>
            <w:vAlign w:val="center"/>
          </w:tcPr>
          <w:p w14:paraId="4C269B80" w14:textId="77777777" w:rsidR="00673661" w:rsidRPr="00057D13" w:rsidRDefault="00673661" w:rsidP="000B15EC">
            <w:pPr>
              <w:spacing w:after="0" w:line="240" w:lineRule="auto"/>
              <w:jc w:val="center"/>
              <w:rPr>
                <w:rFonts w:ascii="Times New Roman" w:hAnsi="Times New Roman" w:cs="Times New Roman"/>
                <w:sz w:val="18"/>
                <w:szCs w:val="18"/>
              </w:rPr>
            </w:pPr>
            <w:r w:rsidRPr="00057D13">
              <w:rPr>
                <w:rFonts w:ascii="Times New Roman" w:hAnsi="Times New Roman" w:cs="Times New Roman"/>
                <w:sz w:val="18"/>
                <w:szCs w:val="18"/>
              </w:rPr>
              <w:t>Multisystem inflammatory syndrome in children (MIS-C)</w:t>
            </w:r>
          </w:p>
        </w:tc>
        <w:tc>
          <w:tcPr>
            <w:tcW w:w="1060" w:type="dxa"/>
            <w:shd w:val="clear" w:color="auto" w:fill="auto"/>
            <w:vAlign w:val="center"/>
          </w:tcPr>
          <w:p w14:paraId="00286E4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Ages 5-17 years</w:t>
            </w:r>
          </w:p>
        </w:tc>
        <w:tc>
          <w:tcPr>
            <w:tcW w:w="1060" w:type="dxa"/>
            <w:shd w:val="clear" w:color="auto" w:fill="auto"/>
            <w:vAlign w:val="center"/>
          </w:tcPr>
          <w:p w14:paraId="2A1B0EB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OP-ED</w:t>
            </w:r>
          </w:p>
        </w:tc>
        <w:tc>
          <w:tcPr>
            <w:tcW w:w="1060" w:type="dxa"/>
            <w:shd w:val="clear" w:color="auto" w:fill="auto"/>
            <w:vAlign w:val="center"/>
          </w:tcPr>
          <w:p w14:paraId="6B0FEDB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5D1FD4B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5]</w:t>
            </w:r>
          </w:p>
        </w:tc>
        <w:tc>
          <w:tcPr>
            <w:tcW w:w="1712" w:type="dxa"/>
            <w:vAlign w:val="center"/>
          </w:tcPr>
          <w:p w14:paraId="2930F3F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2ABDCC10" w14:textId="77777777" w:rsidTr="000B15EC">
        <w:trPr>
          <w:trHeight w:val="270"/>
        </w:trPr>
        <w:tc>
          <w:tcPr>
            <w:tcW w:w="2116" w:type="dxa"/>
            <w:shd w:val="clear" w:color="auto" w:fill="auto"/>
            <w:vAlign w:val="center"/>
          </w:tcPr>
          <w:p w14:paraId="1F83E9B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Encephalitis / myelitis / encephalomyelitis</w:t>
            </w:r>
          </w:p>
        </w:tc>
        <w:tc>
          <w:tcPr>
            <w:tcW w:w="1060" w:type="dxa"/>
            <w:shd w:val="clear" w:color="auto" w:fill="auto"/>
            <w:vAlign w:val="center"/>
          </w:tcPr>
          <w:p w14:paraId="22AA0A44"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Ages 5-17 years</w:t>
            </w:r>
          </w:p>
        </w:tc>
        <w:tc>
          <w:tcPr>
            <w:tcW w:w="1060" w:type="dxa"/>
            <w:shd w:val="clear" w:color="auto" w:fill="auto"/>
            <w:vAlign w:val="center"/>
          </w:tcPr>
          <w:p w14:paraId="7058A50C"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w:t>
            </w:r>
          </w:p>
        </w:tc>
        <w:tc>
          <w:tcPr>
            <w:tcW w:w="1060" w:type="dxa"/>
            <w:shd w:val="clear" w:color="auto" w:fill="auto"/>
            <w:vAlign w:val="center"/>
          </w:tcPr>
          <w:p w14:paraId="13C0AF1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183 days</w:t>
            </w:r>
          </w:p>
        </w:tc>
        <w:tc>
          <w:tcPr>
            <w:tcW w:w="1876" w:type="dxa"/>
            <w:shd w:val="clear" w:color="auto" w:fill="auto"/>
            <w:vAlign w:val="center"/>
          </w:tcPr>
          <w:p w14:paraId="620A481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1-42 days</w:t>
            </w:r>
            <w:r w:rsidRPr="00057D13">
              <w:rPr>
                <w:rFonts w:ascii="Times New Roman" w:hAnsi="Times New Roman" w:cs="Times New Roman"/>
                <w:sz w:val="20"/>
                <w:szCs w:val="20"/>
                <w:vertAlign w:val="superscript"/>
              </w:rPr>
              <w:t>[6]</w:t>
            </w:r>
            <w:r w:rsidRPr="00057D13">
              <w:rPr>
                <w:rFonts w:ascii="Times New Roman" w:hAnsi="Times New Roman" w:cs="Times New Roman"/>
                <w:color w:val="000000"/>
                <w:sz w:val="18"/>
                <w:szCs w:val="18"/>
              </w:rPr>
              <w:fldChar w:fldCharType="begin"/>
            </w:r>
            <w:r w:rsidRPr="00057D13">
              <w:rPr>
                <w:rFonts w:ascii="Times New Roman" w:hAnsi="Times New Roman" w:cs="Times New Roman"/>
                <w:color w:val="000000"/>
                <w:sz w:val="18"/>
                <w:szCs w:val="18"/>
              </w:rPr>
              <w:instrText xml:space="preserve"> ADDIN EN.CITE &lt;EndNote&gt;&lt;Cite&gt;&lt;Author&gt;Pellegrino&lt;/Author&gt;&lt;Year&gt;2013&lt;/Year&gt;&lt;RecNum&gt;44&lt;/RecNum&gt;&lt;DisplayText&gt;&lt;style face="superscript"&gt;[19]&lt;/style&gt;&lt;/DisplayText&gt;&lt;record&gt;&lt;rec-number&gt;3&lt;/rec-number&gt;&lt;foreign-keys&gt;&lt;key app="EN" db-id="axasz5xeqeasftev2smpaxrbzd09stfsstrt" timestamp="1643266043"&gt;3&lt;/key&gt;&lt;/foreign-keys&gt;&lt;ref-type name="Journal Article"&gt;17&lt;/ref-type&gt;&lt;contributors&gt;&lt;authors&gt;&lt;author&gt;Pellegrino, Paolo&lt;/author&gt;&lt;author&gt;Carnovale, Carla&lt;/author&gt;&lt;author&gt;Perrone, Valentina&lt;/author&gt;&lt;author&gt;Pozzi, Marco&lt;/author&gt;&lt;author&gt;Antoniazzi, Stefania&lt;/author&gt;&lt;author&gt;Clementi, Emilio&lt;/author&gt;&lt;author&gt;Radice, Sonia&lt;/author&gt;&lt;/authors&gt;&lt;/contributors&gt;&lt;titles&gt;&lt;title&gt;Acute disseminated encephalomyelitis onset: evaluation based on vaccine adverse events reporting systems&lt;/title&gt;&lt;secondary-title&gt;PloS one&lt;/secondary-title&gt;&lt;/titles&gt;&lt;periodical&gt;&lt;full-title&gt;PloS one&lt;/full-title&gt;&lt;/periodical&gt;&lt;pages&gt;e77766&lt;/pages&gt;&lt;volume&gt;8&lt;/volume&gt;&lt;number&gt;10&lt;/number&gt;&lt;dates&gt;&lt;year&gt;2013&lt;/year&gt;&lt;/dates&gt;&lt;isbn&gt;1932-6203&lt;/isbn&gt;&lt;urls&gt;&lt;/urls&gt;&lt;/record&gt;&lt;/Cite&gt;&lt;/EndNote&gt;</w:instrText>
            </w:r>
            <w:r w:rsidRPr="00057D13">
              <w:rPr>
                <w:rFonts w:ascii="Times New Roman" w:hAnsi="Times New Roman" w:cs="Times New Roman"/>
                <w:color w:val="000000"/>
                <w:sz w:val="18"/>
                <w:szCs w:val="18"/>
              </w:rPr>
              <w:fldChar w:fldCharType="end"/>
            </w:r>
          </w:p>
        </w:tc>
        <w:tc>
          <w:tcPr>
            <w:tcW w:w="1712" w:type="dxa"/>
            <w:vAlign w:val="center"/>
          </w:tcPr>
          <w:p w14:paraId="3F7C9DC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222239AB" w14:textId="77777777" w:rsidTr="000B15EC">
        <w:trPr>
          <w:trHeight w:val="270"/>
        </w:trPr>
        <w:tc>
          <w:tcPr>
            <w:tcW w:w="2116" w:type="dxa"/>
            <w:shd w:val="clear" w:color="auto" w:fill="auto"/>
            <w:vAlign w:val="center"/>
          </w:tcPr>
          <w:p w14:paraId="4E4A4373"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Transverse myelitis</w:t>
            </w:r>
          </w:p>
        </w:tc>
        <w:tc>
          <w:tcPr>
            <w:tcW w:w="1060" w:type="dxa"/>
            <w:shd w:val="clear" w:color="auto" w:fill="auto"/>
            <w:vAlign w:val="center"/>
          </w:tcPr>
          <w:p w14:paraId="120A711D"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Ages 5-17 years</w:t>
            </w:r>
          </w:p>
        </w:tc>
        <w:tc>
          <w:tcPr>
            <w:tcW w:w="1060" w:type="dxa"/>
            <w:shd w:val="clear" w:color="auto" w:fill="auto"/>
            <w:vAlign w:val="center"/>
          </w:tcPr>
          <w:p w14:paraId="35A23350"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OP-ED</w:t>
            </w:r>
          </w:p>
        </w:tc>
        <w:tc>
          <w:tcPr>
            <w:tcW w:w="1060" w:type="dxa"/>
            <w:shd w:val="clear" w:color="auto" w:fill="auto"/>
            <w:vAlign w:val="center"/>
          </w:tcPr>
          <w:p w14:paraId="2A974C5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095996DB"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7]</w:t>
            </w:r>
          </w:p>
        </w:tc>
        <w:tc>
          <w:tcPr>
            <w:tcW w:w="1712" w:type="dxa"/>
            <w:vAlign w:val="center"/>
          </w:tcPr>
          <w:p w14:paraId="4CFD07D4"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1013B826" w14:textId="77777777" w:rsidTr="000B15EC">
        <w:trPr>
          <w:trHeight w:val="270"/>
        </w:trPr>
        <w:tc>
          <w:tcPr>
            <w:tcW w:w="2116" w:type="dxa"/>
            <w:shd w:val="clear" w:color="auto" w:fill="auto"/>
            <w:vAlign w:val="center"/>
          </w:tcPr>
          <w:p w14:paraId="160B0CF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Anaphylaxis</w:t>
            </w:r>
          </w:p>
        </w:tc>
        <w:tc>
          <w:tcPr>
            <w:tcW w:w="1060" w:type="dxa"/>
            <w:shd w:val="clear" w:color="auto" w:fill="auto"/>
            <w:vAlign w:val="center"/>
          </w:tcPr>
          <w:p w14:paraId="40FC5FC1"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2CF23FA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OP-ED</w:t>
            </w:r>
          </w:p>
        </w:tc>
        <w:tc>
          <w:tcPr>
            <w:tcW w:w="1060" w:type="dxa"/>
            <w:shd w:val="clear" w:color="auto" w:fill="auto"/>
            <w:vAlign w:val="center"/>
          </w:tcPr>
          <w:p w14:paraId="64811A5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30 days</w:t>
            </w:r>
          </w:p>
        </w:tc>
        <w:tc>
          <w:tcPr>
            <w:tcW w:w="1876" w:type="dxa"/>
            <w:shd w:val="clear" w:color="auto" w:fill="auto"/>
            <w:vAlign w:val="center"/>
          </w:tcPr>
          <w:p w14:paraId="47DCAE02" w14:textId="77777777" w:rsidR="00673661" w:rsidRPr="00057D13" w:rsidRDefault="00673661" w:rsidP="000B15EC">
            <w:pPr>
              <w:spacing w:after="0" w:line="240" w:lineRule="auto"/>
              <w:jc w:val="center"/>
              <w:rPr>
                <w:rFonts w:ascii="Times New Roman" w:hAnsi="Times New Roman" w:cs="Times New Roman"/>
                <w:b/>
                <w:color w:val="000000"/>
                <w:sz w:val="18"/>
                <w:szCs w:val="18"/>
                <w:vertAlign w:val="superscript"/>
              </w:rPr>
            </w:pPr>
            <w:r w:rsidRPr="00057D13">
              <w:rPr>
                <w:rFonts w:ascii="Times New Roman" w:hAnsi="Times New Roman" w:cs="Times New Roman"/>
                <w:color w:val="000000"/>
                <w:sz w:val="18"/>
                <w:szCs w:val="18"/>
              </w:rPr>
              <w:t xml:space="preserve">0-1 </w:t>
            </w:r>
            <w:proofErr w:type="gramStart"/>
            <w:r w:rsidRPr="00057D13">
              <w:rPr>
                <w:rFonts w:ascii="Times New Roman" w:hAnsi="Times New Roman" w:cs="Times New Roman"/>
                <w:color w:val="000000"/>
                <w:sz w:val="18"/>
                <w:szCs w:val="18"/>
              </w:rPr>
              <w:t>day</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8,9]</w:t>
            </w:r>
          </w:p>
        </w:tc>
        <w:tc>
          <w:tcPr>
            <w:tcW w:w="1712" w:type="dxa"/>
            <w:vAlign w:val="center"/>
          </w:tcPr>
          <w:p w14:paraId="780C6F3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46C4976E" w14:textId="77777777" w:rsidTr="000B15EC">
        <w:trPr>
          <w:trHeight w:val="425"/>
        </w:trPr>
        <w:tc>
          <w:tcPr>
            <w:tcW w:w="2116" w:type="dxa"/>
            <w:shd w:val="clear" w:color="auto" w:fill="auto"/>
            <w:vAlign w:val="center"/>
          </w:tcPr>
          <w:p w14:paraId="5F8C4692" w14:textId="77777777" w:rsidR="00673661" w:rsidRPr="00057D13" w:rsidRDefault="00673661" w:rsidP="000B15EC">
            <w:pPr>
              <w:spacing w:after="0"/>
              <w:jc w:val="center"/>
              <w:rPr>
                <w:rFonts w:ascii="Times New Roman" w:hAnsi="Times New Roman" w:cs="Times New Roman"/>
                <w:sz w:val="18"/>
                <w:szCs w:val="18"/>
              </w:rPr>
            </w:pPr>
            <w:r w:rsidRPr="00057D13">
              <w:rPr>
                <w:rFonts w:ascii="Times New Roman" w:hAnsi="Times New Roman" w:cs="Times New Roman"/>
                <w:sz w:val="18"/>
                <w:szCs w:val="18"/>
              </w:rPr>
              <w:t>Common thromboses with thrombocytopenia</w:t>
            </w:r>
          </w:p>
        </w:tc>
        <w:tc>
          <w:tcPr>
            <w:tcW w:w="1060" w:type="dxa"/>
            <w:shd w:val="clear" w:color="auto" w:fill="auto"/>
            <w:vAlign w:val="center"/>
          </w:tcPr>
          <w:p w14:paraId="237C34CB"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6F021CD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 xml:space="preserve">[Definition </w:t>
            </w:r>
            <w:proofErr w:type="gramStart"/>
            <w:r w:rsidRPr="00057D13">
              <w:rPr>
                <w:rFonts w:ascii="Times New Roman" w:hAnsi="Times New Roman" w:cs="Times New Roman"/>
                <w:color w:val="000000" w:themeColor="text1"/>
                <w:sz w:val="18"/>
                <w:szCs w:val="18"/>
              </w:rPr>
              <w:t>below]*</w:t>
            </w:r>
            <w:proofErr w:type="gramEnd"/>
            <w:r w:rsidRPr="00057D13">
              <w:rPr>
                <w:rFonts w:ascii="Times New Roman" w:hAnsi="Times New Roman" w:cs="Times New Roman"/>
                <w:color w:val="000000" w:themeColor="text1"/>
                <w:sz w:val="18"/>
                <w:szCs w:val="18"/>
              </w:rPr>
              <w:t>*</w:t>
            </w:r>
          </w:p>
        </w:tc>
        <w:tc>
          <w:tcPr>
            <w:tcW w:w="1060" w:type="dxa"/>
            <w:shd w:val="clear" w:color="auto" w:fill="auto"/>
            <w:vAlign w:val="center"/>
          </w:tcPr>
          <w:p w14:paraId="3F19872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5162A03C"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10]</w:t>
            </w:r>
          </w:p>
        </w:tc>
        <w:tc>
          <w:tcPr>
            <w:tcW w:w="1712" w:type="dxa"/>
            <w:vAlign w:val="center"/>
          </w:tcPr>
          <w:p w14:paraId="4FA9F90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1B120678" w14:textId="77777777" w:rsidTr="000B15EC">
        <w:trPr>
          <w:trHeight w:val="278"/>
        </w:trPr>
        <w:tc>
          <w:tcPr>
            <w:tcW w:w="2116" w:type="dxa"/>
            <w:shd w:val="clear" w:color="auto" w:fill="auto"/>
            <w:vAlign w:val="center"/>
          </w:tcPr>
          <w:p w14:paraId="7EF22EC6" w14:textId="77777777" w:rsidR="00673661" w:rsidRPr="00057D13" w:rsidRDefault="00673661" w:rsidP="000B15EC">
            <w:pPr>
              <w:spacing w:after="0"/>
              <w:jc w:val="center"/>
              <w:rPr>
                <w:rFonts w:ascii="Times New Roman" w:hAnsi="Times New Roman" w:cs="Times New Roman"/>
                <w:sz w:val="18"/>
                <w:szCs w:val="18"/>
              </w:rPr>
            </w:pPr>
            <w:r w:rsidRPr="00057D13">
              <w:rPr>
                <w:rFonts w:ascii="Times New Roman" w:hAnsi="Times New Roman" w:cs="Times New Roman"/>
                <w:sz w:val="18"/>
                <w:szCs w:val="18"/>
              </w:rPr>
              <w:t>Unusual site thrombosis (broad)with thrombocytopenia</w:t>
            </w:r>
            <w:r w:rsidRPr="00057D13">
              <w:rPr>
                <w:rFonts w:ascii="Times New Roman" w:eastAsia="Times New Roman" w:hAnsi="Times New Roman" w:cs="Times New Roman"/>
                <w:color w:val="000000"/>
                <w:sz w:val="18"/>
                <w:szCs w:val="18"/>
              </w:rPr>
              <w:t>- cerebral and abdominal thrombosis</w:t>
            </w:r>
          </w:p>
        </w:tc>
        <w:tc>
          <w:tcPr>
            <w:tcW w:w="1060" w:type="dxa"/>
            <w:shd w:val="clear" w:color="auto" w:fill="auto"/>
            <w:vAlign w:val="center"/>
          </w:tcPr>
          <w:p w14:paraId="2BF95DA3"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188A0BDC"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 xml:space="preserve">[Definition </w:t>
            </w:r>
            <w:proofErr w:type="gramStart"/>
            <w:r w:rsidRPr="00057D13">
              <w:rPr>
                <w:rFonts w:ascii="Times New Roman" w:hAnsi="Times New Roman" w:cs="Times New Roman"/>
                <w:color w:val="000000" w:themeColor="text1"/>
                <w:sz w:val="18"/>
                <w:szCs w:val="18"/>
              </w:rPr>
              <w:t>below]*</w:t>
            </w:r>
            <w:proofErr w:type="gramEnd"/>
            <w:r w:rsidRPr="00057D13">
              <w:rPr>
                <w:rFonts w:ascii="Times New Roman" w:hAnsi="Times New Roman" w:cs="Times New Roman"/>
                <w:color w:val="000000" w:themeColor="text1"/>
                <w:sz w:val="18"/>
                <w:szCs w:val="18"/>
              </w:rPr>
              <w:t>*</w:t>
            </w:r>
          </w:p>
        </w:tc>
        <w:tc>
          <w:tcPr>
            <w:tcW w:w="1060" w:type="dxa"/>
            <w:shd w:val="clear" w:color="auto" w:fill="auto"/>
            <w:vAlign w:val="center"/>
          </w:tcPr>
          <w:p w14:paraId="02F5C201"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292053FE"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11]</w:t>
            </w:r>
          </w:p>
        </w:tc>
        <w:tc>
          <w:tcPr>
            <w:tcW w:w="1712" w:type="dxa"/>
            <w:vAlign w:val="center"/>
          </w:tcPr>
          <w:p w14:paraId="5842F08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1AAFE501" w14:textId="77777777" w:rsidTr="000B15EC">
        <w:trPr>
          <w:trHeight w:val="178"/>
        </w:trPr>
        <w:tc>
          <w:tcPr>
            <w:tcW w:w="2116" w:type="dxa"/>
            <w:shd w:val="clear" w:color="auto" w:fill="auto"/>
            <w:vAlign w:val="center"/>
            <w:hideMark/>
          </w:tcPr>
          <w:p w14:paraId="1D8EEF81"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Seizures/Convulsions</w:t>
            </w:r>
          </w:p>
        </w:tc>
        <w:tc>
          <w:tcPr>
            <w:tcW w:w="1060" w:type="dxa"/>
            <w:shd w:val="clear" w:color="auto" w:fill="auto"/>
            <w:vAlign w:val="center"/>
            <w:hideMark/>
          </w:tcPr>
          <w:p w14:paraId="0F86ED6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hideMark/>
          </w:tcPr>
          <w:p w14:paraId="464E2B1C"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OP-ED</w:t>
            </w:r>
          </w:p>
        </w:tc>
        <w:tc>
          <w:tcPr>
            <w:tcW w:w="1060" w:type="dxa"/>
            <w:shd w:val="clear" w:color="auto" w:fill="auto"/>
            <w:vAlign w:val="center"/>
            <w:hideMark/>
          </w:tcPr>
          <w:p w14:paraId="3FD8AED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42 days</w:t>
            </w:r>
          </w:p>
        </w:tc>
        <w:tc>
          <w:tcPr>
            <w:tcW w:w="1876" w:type="dxa"/>
            <w:shd w:val="clear" w:color="auto" w:fill="auto"/>
            <w:vAlign w:val="center"/>
            <w:hideMark/>
          </w:tcPr>
          <w:p w14:paraId="76B7FD2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0-7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12]</w:t>
            </w:r>
          </w:p>
        </w:tc>
        <w:tc>
          <w:tcPr>
            <w:tcW w:w="1712" w:type="dxa"/>
            <w:vAlign w:val="center"/>
          </w:tcPr>
          <w:p w14:paraId="0B7821A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7348FFD0" w14:textId="77777777" w:rsidTr="000B15EC">
        <w:trPr>
          <w:trHeight w:val="178"/>
        </w:trPr>
        <w:tc>
          <w:tcPr>
            <w:tcW w:w="2116" w:type="dxa"/>
            <w:shd w:val="clear" w:color="auto" w:fill="auto"/>
            <w:vAlign w:val="center"/>
          </w:tcPr>
          <w:p w14:paraId="68F108F7"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Bell’s palsy</w:t>
            </w:r>
          </w:p>
        </w:tc>
        <w:tc>
          <w:tcPr>
            <w:tcW w:w="1060" w:type="dxa"/>
            <w:shd w:val="clear" w:color="auto" w:fill="auto"/>
            <w:vAlign w:val="center"/>
          </w:tcPr>
          <w:p w14:paraId="01F1CF04"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349F736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OP/PB</w:t>
            </w:r>
          </w:p>
        </w:tc>
        <w:tc>
          <w:tcPr>
            <w:tcW w:w="1060" w:type="dxa"/>
            <w:shd w:val="clear" w:color="auto" w:fill="auto"/>
            <w:vAlign w:val="center"/>
          </w:tcPr>
          <w:p w14:paraId="641B94B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183 days</w:t>
            </w:r>
          </w:p>
        </w:tc>
        <w:tc>
          <w:tcPr>
            <w:tcW w:w="1876" w:type="dxa"/>
            <w:shd w:val="clear" w:color="auto" w:fill="auto"/>
            <w:vAlign w:val="center"/>
          </w:tcPr>
          <w:p w14:paraId="1125B80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13]</w:t>
            </w:r>
          </w:p>
        </w:tc>
        <w:tc>
          <w:tcPr>
            <w:tcW w:w="1712" w:type="dxa"/>
            <w:vAlign w:val="center"/>
          </w:tcPr>
          <w:p w14:paraId="6F10D1AE"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700B87C6" w14:textId="77777777" w:rsidTr="000B15EC">
        <w:trPr>
          <w:trHeight w:val="178"/>
        </w:trPr>
        <w:tc>
          <w:tcPr>
            <w:tcW w:w="2116" w:type="dxa"/>
            <w:shd w:val="clear" w:color="auto" w:fill="auto"/>
            <w:vAlign w:val="center"/>
          </w:tcPr>
          <w:p w14:paraId="528AB54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Deep vein thrombosis (DVT)</w:t>
            </w:r>
          </w:p>
        </w:tc>
        <w:tc>
          <w:tcPr>
            <w:tcW w:w="1060" w:type="dxa"/>
            <w:shd w:val="clear" w:color="auto" w:fill="auto"/>
            <w:vAlign w:val="center"/>
          </w:tcPr>
          <w:p w14:paraId="2E59B2EC"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4231D5C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OP/PB</w:t>
            </w:r>
          </w:p>
        </w:tc>
        <w:tc>
          <w:tcPr>
            <w:tcW w:w="1060" w:type="dxa"/>
            <w:shd w:val="clear" w:color="auto" w:fill="auto"/>
            <w:vAlign w:val="center"/>
          </w:tcPr>
          <w:p w14:paraId="0CE44A6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2D063F76"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14-16]</w:t>
            </w:r>
          </w:p>
        </w:tc>
        <w:tc>
          <w:tcPr>
            <w:tcW w:w="1712" w:type="dxa"/>
            <w:vAlign w:val="center"/>
          </w:tcPr>
          <w:p w14:paraId="63BD4BA3"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5355B495" w14:textId="77777777" w:rsidTr="000B15EC">
        <w:trPr>
          <w:trHeight w:val="178"/>
        </w:trPr>
        <w:tc>
          <w:tcPr>
            <w:tcW w:w="2116" w:type="dxa"/>
            <w:shd w:val="clear" w:color="auto" w:fill="auto"/>
            <w:vAlign w:val="center"/>
          </w:tcPr>
          <w:p w14:paraId="0564B5C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Pulmonary embolism (PE)</w:t>
            </w:r>
          </w:p>
        </w:tc>
        <w:tc>
          <w:tcPr>
            <w:tcW w:w="1060" w:type="dxa"/>
            <w:shd w:val="clear" w:color="auto" w:fill="auto"/>
            <w:vAlign w:val="center"/>
          </w:tcPr>
          <w:p w14:paraId="039EA76E"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7889DE6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OP/PB</w:t>
            </w:r>
          </w:p>
        </w:tc>
        <w:tc>
          <w:tcPr>
            <w:tcW w:w="1060" w:type="dxa"/>
            <w:shd w:val="clear" w:color="auto" w:fill="auto"/>
            <w:vAlign w:val="center"/>
          </w:tcPr>
          <w:p w14:paraId="5C262581"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3E79AB1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14-16]</w:t>
            </w:r>
          </w:p>
        </w:tc>
        <w:tc>
          <w:tcPr>
            <w:tcW w:w="1712" w:type="dxa"/>
            <w:vAlign w:val="center"/>
          </w:tcPr>
          <w:p w14:paraId="5CA57A67"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689197D4" w14:textId="77777777" w:rsidTr="000B15EC">
        <w:trPr>
          <w:trHeight w:val="178"/>
        </w:trPr>
        <w:tc>
          <w:tcPr>
            <w:tcW w:w="2116" w:type="dxa"/>
            <w:shd w:val="clear" w:color="auto" w:fill="auto"/>
            <w:vAlign w:val="center"/>
          </w:tcPr>
          <w:p w14:paraId="19FD98F0"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Disseminated intravascular coagulation (DIC)</w:t>
            </w:r>
          </w:p>
        </w:tc>
        <w:tc>
          <w:tcPr>
            <w:tcW w:w="1060" w:type="dxa"/>
            <w:shd w:val="clear" w:color="auto" w:fill="auto"/>
            <w:vAlign w:val="center"/>
          </w:tcPr>
          <w:p w14:paraId="30E0FCBD"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424CB86D"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OP-ED</w:t>
            </w:r>
          </w:p>
        </w:tc>
        <w:tc>
          <w:tcPr>
            <w:tcW w:w="1060" w:type="dxa"/>
            <w:shd w:val="clear" w:color="auto" w:fill="auto"/>
            <w:vAlign w:val="center"/>
          </w:tcPr>
          <w:p w14:paraId="144BF84E"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41817F7C"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17]</w:t>
            </w:r>
          </w:p>
        </w:tc>
        <w:tc>
          <w:tcPr>
            <w:tcW w:w="1712" w:type="dxa"/>
            <w:vAlign w:val="center"/>
          </w:tcPr>
          <w:p w14:paraId="200485E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436A4051" w14:textId="77777777" w:rsidTr="000B15EC">
        <w:trPr>
          <w:trHeight w:val="178"/>
        </w:trPr>
        <w:tc>
          <w:tcPr>
            <w:tcW w:w="2116" w:type="dxa"/>
            <w:shd w:val="clear" w:color="auto" w:fill="auto"/>
            <w:vAlign w:val="center"/>
          </w:tcPr>
          <w:p w14:paraId="347A809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sz w:val="18"/>
                <w:szCs w:val="18"/>
              </w:rPr>
              <w:t>Immune thrombocytopenia (ITP)</w:t>
            </w:r>
          </w:p>
        </w:tc>
        <w:tc>
          <w:tcPr>
            <w:tcW w:w="1060" w:type="dxa"/>
            <w:shd w:val="clear" w:color="auto" w:fill="auto"/>
            <w:vAlign w:val="center"/>
          </w:tcPr>
          <w:p w14:paraId="5AA44C97"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6C1B22F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OP/PB</w:t>
            </w:r>
          </w:p>
        </w:tc>
        <w:tc>
          <w:tcPr>
            <w:tcW w:w="1060" w:type="dxa"/>
            <w:shd w:val="clear" w:color="auto" w:fill="auto"/>
            <w:vAlign w:val="center"/>
          </w:tcPr>
          <w:p w14:paraId="6819E720"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44C49EDA"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18,19]</w:t>
            </w:r>
          </w:p>
        </w:tc>
        <w:tc>
          <w:tcPr>
            <w:tcW w:w="1712" w:type="dxa"/>
            <w:vAlign w:val="center"/>
          </w:tcPr>
          <w:p w14:paraId="460EDE1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6A15E20F" w14:textId="77777777" w:rsidTr="000B15EC">
        <w:trPr>
          <w:trHeight w:val="178"/>
        </w:trPr>
        <w:tc>
          <w:tcPr>
            <w:tcW w:w="2116" w:type="dxa"/>
            <w:shd w:val="clear" w:color="auto" w:fill="auto"/>
            <w:vAlign w:val="center"/>
          </w:tcPr>
          <w:p w14:paraId="5E322CD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Kawasaki disease</w:t>
            </w:r>
          </w:p>
        </w:tc>
        <w:tc>
          <w:tcPr>
            <w:tcW w:w="1060" w:type="dxa"/>
            <w:shd w:val="clear" w:color="auto" w:fill="auto"/>
            <w:vAlign w:val="center"/>
          </w:tcPr>
          <w:p w14:paraId="45EFA7B3"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sz w:val="18"/>
                <w:szCs w:val="18"/>
              </w:rPr>
              <w:t>Ages 5-17 years</w:t>
            </w:r>
          </w:p>
        </w:tc>
        <w:tc>
          <w:tcPr>
            <w:tcW w:w="1060" w:type="dxa"/>
            <w:shd w:val="clear" w:color="auto" w:fill="auto"/>
            <w:vAlign w:val="center"/>
          </w:tcPr>
          <w:p w14:paraId="1601453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OP/PB</w:t>
            </w:r>
          </w:p>
        </w:tc>
        <w:tc>
          <w:tcPr>
            <w:tcW w:w="1060" w:type="dxa"/>
            <w:shd w:val="clear" w:color="auto" w:fill="auto"/>
            <w:vAlign w:val="center"/>
          </w:tcPr>
          <w:p w14:paraId="49C8F186"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3CE67167"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20,21]</w:t>
            </w:r>
          </w:p>
        </w:tc>
        <w:tc>
          <w:tcPr>
            <w:tcW w:w="1712" w:type="dxa"/>
            <w:vAlign w:val="center"/>
          </w:tcPr>
          <w:p w14:paraId="6F99607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60B748BF" w14:textId="77777777" w:rsidTr="000B15EC">
        <w:trPr>
          <w:trHeight w:val="178"/>
        </w:trPr>
        <w:tc>
          <w:tcPr>
            <w:tcW w:w="2116" w:type="dxa"/>
            <w:shd w:val="clear" w:color="auto" w:fill="auto"/>
            <w:vAlign w:val="center"/>
          </w:tcPr>
          <w:p w14:paraId="648E41F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Narcolepsy</w:t>
            </w:r>
          </w:p>
        </w:tc>
        <w:tc>
          <w:tcPr>
            <w:tcW w:w="1060" w:type="dxa"/>
            <w:shd w:val="clear" w:color="auto" w:fill="auto"/>
            <w:vAlign w:val="center"/>
          </w:tcPr>
          <w:p w14:paraId="4085D635"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6977868B"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 OP/PB</w:t>
            </w:r>
          </w:p>
        </w:tc>
        <w:tc>
          <w:tcPr>
            <w:tcW w:w="1060" w:type="dxa"/>
            <w:shd w:val="clear" w:color="auto" w:fill="auto"/>
            <w:vAlign w:val="center"/>
          </w:tcPr>
          <w:p w14:paraId="297173C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0073D870" w14:textId="77777777" w:rsidR="00673661" w:rsidRPr="00057D13" w:rsidRDefault="00673661" w:rsidP="000B15EC">
            <w:pPr>
              <w:spacing w:after="0" w:line="240" w:lineRule="auto"/>
              <w:jc w:val="center"/>
              <w:rPr>
                <w:rFonts w:ascii="Times New Roman" w:hAnsi="Times New Roman" w:cs="Times New Roman"/>
                <w:color w:val="000000"/>
                <w:sz w:val="18"/>
                <w:szCs w:val="18"/>
                <w:vertAlign w:val="superscript"/>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22-24]</w:t>
            </w:r>
          </w:p>
        </w:tc>
        <w:tc>
          <w:tcPr>
            <w:tcW w:w="1712" w:type="dxa"/>
            <w:vAlign w:val="center"/>
          </w:tcPr>
          <w:p w14:paraId="7743022C"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44748595" w14:textId="77777777" w:rsidTr="000B15EC">
        <w:trPr>
          <w:trHeight w:val="178"/>
        </w:trPr>
        <w:tc>
          <w:tcPr>
            <w:tcW w:w="2116" w:type="dxa"/>
            <w:shd w:val="clear" w:color="auto" w:fill="auto"/>
            <w:vAlign w:val="center"/>
          </w:tcPr>
          <w:p w14:paraId="726EA904"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Appendicitis</w:t>
            </w:r>
          </w:p>
        </w:tc>
        <w:tc>
          <w:tcPr>
            <w:tcW w:w="1060" w:type="dxa"/>
            <w:shd w:val="clear" w:color="auto" w:fill="auto"/>
            <w:vAlign w:val="center"/>
          </w:tcPr>
          <w:p w14:paraId="1A56F24B"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1499FA3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IP, OP-ED</w:t>
            </w:r>
          </w:p>
        </w:tc>
        <w:tc>
          <w:tcPr>
            <w:tcW w:w="1060" w:type="dxa"/>
            <w:shd w:val="clear" w:color="auto" w:fill="auto"/>
            <w:vAlign w:val="center"/>
          </w:tcPr>
          <w:p w14:paraId="7220068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51A8973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1-42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25,26]</w:t>
            </w:r>
            <w:r w:rsidRPr="00057D13">
              <w:rPr>
                <w:rFonts w:ascii="Times New Roman" w:hAnsi="Times New Roman" w:cs="Times New Roman"/>
                <w:color w:val="000000"/>
                <w:sz w:val="18"/>
                <w:szCs w:val="18"/>
              </w:rPr>
              <w:fldChar w:fldCharType="begin">
                <w:fldData xml:space="preserve">PEVuZE5vdGU+PENpdGU+PEF1dGhvcj5Eb25haHVlPC9BdXRob3I+PFllYXI+MjAxOTwvWWVhcj48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=
</w:fldData>
              </w:fldChar>
            </w:r>
            <w:r w:rsidRPr="00057D13">
              <w:rPr>
                <w:rFonts w:ascii="Times New Roman" w:hAnsi="Times New Roman" w:cs="Times New Roman"/>
                <w:color w:val="000000"/>
                <w:sz w:val="18"/>
                <w:szCs w:val="18"/>
              </w:rPr>
              <w:instrText xml:space="preserve"> ADDIN EN.CITE </w:instrText>
            </w:r>
            <w:r w:rsidRPr="00057D13">
              <w:rPr>
                <w:rFonts w:ascii="Times New Roman" w:hAnsi="Times New Roman" w:cs="Times New Roman"/>
                <w:color w:val="000000"/>
                <w:sz w:val="18"/>
                <w:szCs w:val="18"/>
              </w:rPr>
              <w:fldChar w:fldCharType="begin">
                <w:fldData xml:space="preserve">PEVuZE5vdGU+PENpdGU+PEF1dGhvcj5Eb25haHVlPC9BdXRob3I+PFllYXI+MjAxOTwvWWVhcj48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=
</w:fldData>
              </w:fldChar>
            </w:r>
            <w:r w:rsidRPr="00057D13">
              <w:rPr>
                <w:rFonts w:ascii="Times New Roman" w:hAnsi="Times New Roman" w:cs="Times New Roman"/>
                <w:color w:val="000000"/>
                <w:sz w:val="18"/>
                <w:szCs w:val="18"/>
              </w:rPr>
              <w:instrText xml:space="preserve"> ADDIN EN.CITE.DATA </w:instrText>
            </w:r>
            <w:r w:rsidRPr="00057D13">
              <w:rPr>
                <w:rFonts w:ascii="Times New Roman" w:hAnsi="Times New Roman" w:cs="Times New Roman"/>
                <w:color w:val="000000"/>
                <w:sz w:val="18"/>
                <w:szCs w:val="18"/>
              </w:rPr>
            </w:r>
            <w:r w:rsidRPr="00057D13">
              <w:rPr>
                <w:rFonts w:ascii="Times New Roman" w:hAnsi="Times New Roman" w:cs="Times New Roman"/>
                <w:color w:val="000000"/>
                <w:sz w:val="18"/>
                <w:szCs w:val="18"/>
              </w:rPr>
              <w:fldChar w:fldCharType="end"/>
            </w:r>
            <w:r w:rsidRPr="00057D13">
              <w:rPr>
                <w:rFonts w:ascii="Times New Roman" w:hAnsi="Times New Roman" w:cs="Times New Roman"/>
                <w:color w:val="000000"/>
                <w:sz w:val="18"/>
                <w:szCs w:val="18"/>
              </w:rPr>
            </w:r>
            <w:r w:rsidRPr="00057D13">
              <w:rPr>
                <w:rFonts w:ascii="Times New Roman" w:hAnsi="Times New Roman" w:cs="Times New Roman"/>
                <w:color w:val="000000"/>
                <w:sz w:val="18"/>
                <w:szCs w:val="18"/>
              </w:rPr>
              <w:fldChar w:fldCharType="end"/>
            </w:r>
          </w:p>
        </w:tc>
        <w:tc>
          <w:tcPr>
            <w:tcW w:w="1712" w:type="dxa"/>
            <w:vAlign w:val="center"/>
          </w:tcPr>
          <w:p w14:paraId="4BBD9E73"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05C8EA25" w14:textId="77777777" w:rsidTr="000B15EC">
        <w:trPr>
          <w:trHeight w:val="178"/>
        </w:trPr>
        <w:tc>
          <w:tcPr>
            <w:tcW w:w="2116" w:type="dxa"/>
            <w:shd w:val="clear" w:color="auto" w:fill="auto"/>
            <w:vAlign w:val="center"/>
          </w:tcPr>
          <w:p w14:paraId="45357CD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Non-hemorrhagic stroke</w:t>
            </w:r>
          </w:p>
        </w:tc>
        <w:tc>
          <w:tcPr>
            <w:tcW w:w="1060" w:type="dxa"/>
            <w:shd w:val="clear" w:color="auto" w:fill="auto"/>
            <w:vAlign w:val="center"/>
          </w:tcPr>
          <w:p w14:paraId="30044563" w14:textId="77777777" w:rsidR="00673661" w:rsidRPr="00057D13" w:rsidRDefault="00673661" w:rsidP="000B15EC">
            <w:pPr>
              <w:spacing w:after="0" w:line="240" w:lineRule="auto"/>
              <w:jc w:val="center"/>
              <w:rPr>
                <w:rFonts w:ascii="Times New Roman" w:hAnsi="Times New Roman" w:cs="Times New Roman"/>
                <w:color w:val="000000" w:themeColor="text1"/>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2EE6C0A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w:t>
            </w:r>
          </w:p>
        </w:tc>
        <w:tc>
          <w:tcPr>
            <w:tcW w:w="1060" w:type="dxa"/>
            <w:shd w:val="clear" w:color="auto" w:fill="auto"/>
            <w:vAlign w:val="center"/>
          </w:tcPr>
          <w:p w14:paraId="6579B0C4"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087F30D7"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1-28 days</w:t>
            </w:r>
            <w:r w:rsidRPr="00057D13">
              <w:rPr>
                <w:rFonts w:ascii="Times New Roman" w:hAnsi="Times New Roman" w:cs="Times New Roman"/>
                <w:sz w:val="20"/>
                <w:szCs w:val="20"/>
                <w:vertAlign w:val="superscript"/>
              </w:rPr>
              <w:t>[27,28]</w:t>
            </w:r>
            <w:r w:rsidRPr="00057D13">
              <w:rPr>
                <w:rFonts w:ascii="Times New Roman" w:hAnsi="Times New Roman" w:cs="Times New Roman"/>
                <w:color w:val="000000"/>
                <w:sz w:val="18"/>
                <w:szCs w:val="18"/>
              </w:rPr>
              <w:fldChar w:fldCharType="begin"/>
            </w:r>
            <w:r w:rsidRPr="00057D13">
              <w:rPr>
                <w:rFonts w:ascii="Times New Roman" w:hAnsi="Times New Roman" w:cs="Times New Roman"/>
                <w:color w:val="000000"/>
                <w:sz w:val="18"/>
                <w:szCs w:val="18"/>
              </w:rPr>
              <w:instrText xml:space="preserve"> ADDIN EN.CITE &lt;EndNote&gt;&lt;Cite&gt;&lt;Author&gt;Al Qudah&lt;/Author&gt;&lt;Year&gt;2012&lt;/Year&gt;&lt;RecNum&gt;24&lt;/RecNum&gt;&lt;DisplayText&gt;&lt;style face="superscript"&gt;[25, 26]&lt;/style&gt;&lt;/DisplayText&gt;&lt;record&gt;&lt;rec-number&gt;6&lt;/rec-number&gt;&lt;foreign-keys&gt;&lt;key app="EN" db-id="axasz5xeqeasftev2smpaxrbzd09stfsstrt" timestamp="1643266043"&gt;6&lt;/key&gt;&lt;/foreign-keys&gt;&lt;ref-type name="Journal Article"&gt;17&lt;/ref-type&gt;&lt;contributors&gt;&lt;authors&gt;&lt;author&gt;Al Qudah, Zaid&lt;/author&gt;&lt;author&gt;Abukwaik, Wael&lt;/author&gt;&lt;author&gt;Souayah, Nizar&lt;/author&gt;&lt;/authors&gt;&lt;/contributors&gt;&lt;titles&gt;&lt;title&gt;Stroke after Vaccination in United States. A Report from the CDC/FDA Vaccine Adverse Event Reporting System. [1990–2010] (P01.009)&lt;/title&gt;&lt;secondary-title&gt;Neurology&lt;/secondary-title&gt;&lt;/titles&gt;&lt;periodical&gt;&lt;full-title&gt;Neurology&lt;/full-title&gt;&lt;/periodical&gt;&lt;pages&gt;P01.009-P01.009&lt;/pages&gt;&lt;volume&gt;78&lt;/volume&gt;&lt;number&gt;1 Supplement&lt;/number&gt;&lt;dates&gt;&lt;year&gt;2012&lt;/year&gt;&lt;/dates&gt;&lt;urls&gt;&lt;/urls&gt;&lt;/record&gt;&lt;/Cite&gt;&lt;Cite&gt;&lt;Author&gt;Smeeth&lt;/Author&gt;&lt;Year&gt;2004&lt;/Year&gt;&lt;RecNum&gt;25&lt;/RecNum&gt;&lt;record&gt;&lt;rec-number&gt;7&lt;/rec-number&gt;&lt;foreign-keys&gt;&lt;key app="EN" db-id="axasz5xeqeasftev2smpaxrbzd09stfsstrt" timestamp="1643266043"&gt;7&lt;/key&gt;&lt;/foreign-keys&gt;&lt;ref-type name="Journal Article"&gt;17&lt;/ref-type&gt;&lt;contributors&gt;&lt;authors&gt;&lt;author&gt;Smeeth, Liam&lt;/author&gt;&lt;author&gt;Thomas, Sara L&lt;/author&gt;&lt;author&gt;Hall, Andrew J&lt;/author&gt;&lt;author&gt;Hubbard, Richard&lt;/author&gt;&lt;author&gt;Farrington, Paddy&lt;/author&gt;&lt;author&gt;Vallance, Patrick&lt;/author&gt;&lt;/authors&gt;&lt;/contributors&gt;&lt;titles&gt;&lt;title&gt;Risk of myocardial infarction and stroke after acute infection or vaccination&lt;/title&gt;&lt;secondary-title&gt;New England Journal of Medicine&lt;/secondary-title&gt;&lt;/titles&gt;&lt;periodical&gt;&lt;full-title&gt;New England Journal of Medicine&lt;/full-title&gt;&lt;/periodical&gt;&lt;pages&gt;2611-2618&lt;/pages&gt;&lt;volume&gt;351&lt;/volume&gt;&lt;number&gt;25&lt;/number&gt;&lt;dates&gt;&lt;year&gt;2004&lt;/year&gt;&lt;/dates&gt;&lt;isbn&gt;0028-4793&lt;/isbn&gt;&lt;urls&gt;&lt;/urls&gt;&lt;/record&gt;&lt;/Cite&gt;&lt;/EndNote&gt;</w:instrText>
            </w:r>
            <w:r w:rsidRPr="00057D13">
              <w:rPr>
                <w:rFonts w:ascii="Times New Roman" w:hAnsi="Times New Roman" w:cs="Times New Roman"/>
                <w:color w:val="000000"/>
                <w:sz w:val="18"/>
                <w:szCs w:val="18"/>
              </w:rPr>
              <w:fldChar w:fldCharType="end"/>
            </w:r>
          </w:p>
        </w:tc>
        <w:tc>
          <w:tcPr>
            <w:tcW w:w="1712" w:type="dxa"/>
            <w:vAlign w:val="center"/>
          </w:tcPr>
          <w:p w14:paraId="12814F3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and Sequential Testing</w:t>
            </w:r>
          </w:p>
        </w:tc>
      </w:tr>
      <w:tr w:rsidR="00673661" w:rsidRPr="00057D13" w14:paraId="6497F87D" w14:textId="77777777" w:rsidTr="000B15EC">
        <w:trPr>
          <w:trHeight w:val="178"/>
        </w:trPr>
        <w:tc>
          <w:tcPr>
            <w:tcW w:w="2116" w:type="dxa"/>
            <w:shd w:val="clear" w:color="auto" w:fill="auto"/>
            <w:vAlign w:val="center"/>
          </w:tcPr>
          <w:p w14:paraId="07CB35E8"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Hemorrhagic stroke</w:t>
            </w:r>
          </w:p>
        </w:tc>
        <w:tc>
          <w:tcPr>
            <w:tcW w:w="1060" w:type="dxa"/>
            <w:shd w:val="clear" w:color="auto" w:fill="auto"/>
            <w:vAlign w:val="center"/>
          </w:tcPr>
          <w:p w14:paraId="19DFBC0E"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373E3675"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w:t>
            </w:r>
          </w:p>
        </w:tc>
        <w:tc>
          <w:tcPr>
            <w:tcW w:w="1060" w:type="dxa"/>
            <w:shd w:val="clear" w:color="auto" w:fill="auto"/>
            <w:vAlign w:val="center"/>
          </w:tcPr>
          <w:p w14:paraId="68BC0A6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10E73050"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1-28 days</w:t>
            </w:r>
            <w:r w:rsidRPr="00057D13">
              <w:rPr>
                <w:rFonts w:ascii="Times New Roman" w:hAnsi="Times New Roman" w:cs="Times New Roman"/>
                <w:sz w:val="20"/>
                <w:szCs w:val="20"/>
                <w:vertAlign w:val="superscript"/>
              </w:rPr>
              <w:t>[27,28]</w:t>
            </w:r>
            <w:r w:rsidRPr="00057D13">
              <w:rPr>
                <w:rFonts w:ascii="Times New Roman" w:hAnsi="Times New Roman" w:cs="Times New Roman"/>
                <w:color w:val="000000"/>
                <w:sz w:val="18"/>
                <w:szCs w:val="18"/>
              </w:rPr>
              <w:fldChar w:fldCharType="begin"/>
            </w:r>
            <w:r w:rsidRPr="00057D13">
              <w:rPr>
                <w:rFonts w:ascii="Times New Roman" w:hAnsi="Times New Roman" w:cs="Times New Roman"/>
                <w:color w:val="000000"/>
                <w:sz w:val="18"/>
                <w:szCs w:val="18"/>
              </w:rPr>
              <w:instrText xml:space="preserve"> ADDIN EN.CITE &lt;EndNote&gt;&lt;Cite&gt;&lt;Author&gt;Al Qudah&lt;/Author&gt;&lt;Year&gt;2012&lt;/Year&gt;&lt;RecNum&gt;24&lt;/RecNum&gt;&lt;DisplayText&gt;&lt;style face="superscript"&gt;[25, 26]&lt;/style&gt;&lt;/DisplayText&gt;&lt;record&gt;&lt;rec-number&gt;6&lt;/rec-number&gt;&lt;foreign-keys&gt;&lt;key app="EN" db-id="axasz5xeqeasftev2smpaxrbzd09stfsstrt" timestamp="1643266043"&gt;6&lt;/key&gt;&lt;/foreign-keys&gt;&lt;ref-type name="Journal Article"&gt;17&lt;/ref-type&gt;&lt;contributors&gt;&lt;authors&gt;&lt;author&gt;Al Qudah, Zaid&lt;/author&gt;&lt;author&gt;Abukwaik, Wael&lt;/author&gt;&lt;author&gt;Souayah, Nizar&lt;/author&gt;&lt;/authors&gt;&lt;/contributors&gt;&lt;titles&gt;&lt;title&gt;Stroke after Vaccination in United States. A Report from the CDC/FDA Vaccine Adverse Event Reporting System. [1990–2010] (P01.009)&lt;/title&gt;&lt;secondary-title&gt;Neurology&lt;/secondary-title&gt;&lt;/titles&gt;&lt;periodical&gt;&lt;full-title&gt;Neurology&lt;/full-title&gt;&lt;/periodical&gt;&lt;pages&gt;P01.009-P01.009&lt;/pages&gt;&lt;volume&gt;78&lt;/volume&gt;&lt;number&gt;1 Supplement&lt;/number&gt;&lt;dates&gt;&lt;year&gt;2012&lt;/year&gt;&lt;/dates&gt;&lt;urls&gt;&lt;/urls&gt;&lt;/record&gt;&lt;/Cite&gt;&lt;Cite&gt;&lt;Author&gt;Smeeth&lt;/Author&gt;&lt;Year&gt;2004&lt;/Year&gt;&lt;RecNum&gt;25&lt;/RecNum&gt;&lt;record&gt;&lt;rec-number&gt;7&lt;/rec-number&gt;&lt;foreign-keys&gt;&lt;key app="EN" db-id="axasz5xeqeasftev2smpaxrbzd09stfsstrt" timestamp="1643266043"&gt;7&lt;/key&gt;&lt;/foreign-keys&gt;&lt;ref-type name="Journal Article"&gt;17&lt;/ref-type&gt;&lt;contributors&gt;&lt;authors&gt;&lt;author&gt;Smeeth, Liam&lt;/author&gt;&lt;author&gt;Thomas, Sara L&lt;/author&gt;&lt;author&gt;Hall, Andrew J&lt;/author&gt;&lt;author&gt;Hubbard, Richard&lt;/author&gt;&lt;author&gt;Farrington, Paddy&lt;/author&gt;&lt;author&gt;Vallance, Patrick&lt;/author&gt;&lt;/authors&gt;&lt;/contributors&gt;&lt;titles&gt;&lt;title&gt;Risk of myocardial infarction and stroke after acute infection or vaccination&lt;/title&gt;&lt;secondary-title&gt;New England Journal of Medicine&lt;/secondary-title&gt;&lt;/titles&gt;&lt;periodical&gt;&lt;full-title&gt;New England Journal of Medicine&lt;/full-title&gt;&lt;/periodical&gt;&lt;pages&gt;2611-2618&lt;/pages&gt;&lt;volume&gt;351&lt;/volume&gt;&lt;number&gt;25&lt;/number&gt;&lt;dates&gt;&lt;year&gt;2004&lt;/year&gt;&lt;/dates&gt;&lt;isbn&gt;0028-4793&lt;/isbn&gt;&lt;urls&gt;&lt;/urls&gt;&lt;/record&gt;&lt;/Cite&gt;&lt;/EndNote&gt;</w:instrText>
            </w:r>
            <w:r w:rsidRPr="00057D13">
              <w:rPr>
                <w:rFonts w:ascii="Times New Roman" w:hAnsi="Times New Roman" w:cs="Times New Roman"/>
                <w:color w:val="000000"/>
                <w:sz w:val="18"/>
                <w:szCs w:val="18"/>
              </w:rPr>
              <w:fldChar w:fldCharType="end"/>
            </w:r>
          </w:p>
        </w:tc>
        <w:tc>
          <w:tcPr>
            <w:tcW w:w="1712" w:type="dxa"/>
            <w:vAlign w:val="center"/>
          </w:tcPr>
          <w:p w14:paraId="10353752"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r w:rsidR="00673661" w:rsidRPr="00057D13" w14:paraId="67338DC0" w14:textId="77777777" w:rsidTr="000B15EC">
        <w:trPr>
          <w:trHeight w:val="178"/>
        </w:trPr>
        <w:tc>
          <w:tcPr>
            <w:tcW w:w="2116" w:type="dxa"/>
            <w:shd w:val="clear" w:color="auto" w:fill="auto"/>
            <w:vAlign w:val="center"/>
          </w:tcPr>
          <w:p w14:paraId="3524B9FD"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Acute myocardial infarction</w:t>
            </w:r>
          </w:p>
        </w:tc>
        <w:tc>
          <w:tcPr>
            <w:tcW w:w="1060" w:type="dxa"/>
            <w:shd w:val="clear" w:color="auto" w:fill="auto"/>
            <w:vAlign w:val="center"/>
          </w:tcPr>
          <w:p w14:paraId="5CFFEBEF"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themeColor="text1"/>
                <w:sz w:val="18"/>
                <w:szCs w:val="18"/>
              </w:rPr>
              <w:t>Ages 5-17 years</w:t>
            </w:r>
          </w:p>
        </w:tc>
        <w:tc>
          <w:tcPr>
            <w:tcW w:w="1060" w:type="dxa"/>
            <w:shd w:val="clear" w:color="auto" w:fill="auto"/>
            <w:vAlign w:val="center"/>
          </w:tcPr>
          <w:p w14:paraId="610B2589"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IP</w:t>
            </w:r>
          </w:p>
        </w:tc>
        <w:tc>
          <w:tcPr>
            <w:tcW w:w="1060" w:type="dxa"/>
            <w:shd w:val="clear" w:color="auto" w:fill="auto"/>
            <w:vAlign w:val="center"/>
          </w:tcPr>
          <w:p w14:paraId="03ABE053"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365 days</w:t>
            </w:r>
          </w:p>
        </w:tc>
        <w:tc>
          <w:tcPr>
            <w:tcW w:w="1876" w:type="dxa"/>
            <w:shd w:val="clear" w:color="auto" w:fill="auto"/>
            <w:vAlign w:val="center"/>
          </w:tcPr>
          <w:p w14:paraId="73C984AD"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 xml:space="preserve">1-28 </w:t>
            </w:r>
            <w:proofErr w:type="gramStart"/>
            <w:r w:rsidRPr="00057D13">
              <w:rPr>
                <w:rFonts w:ascii="Times New Roman" w:hAnsi="Times New Roman" w:cs="Times New Roman"/>
                <w:color w:val="000000"/>
                <w:sz w:val="18"/>
                <w:szCs w:val="18"/>
              </w:rPr>
              <w:t>days</w:t>
            </w:r>
            <w:r w:rsidRPr="00057D13">
              <w:rPr>
                <w:rFonts w:ascii="Times New Roman" w:hAnsi="Times New Roman" w:cs="Times New Roman"/>
                <w:sz w:val="20"/>
                <w:szCs w:val="20"/>
                <w:vertAlign w:val="superscript"/>
              </w:rPr>
              <w:t>[</w:t>
            </w:r>
            <w:proofErr w:type="gramEnd"/>
            <w:r w:rsidRPr="00057D13">
              <w:rPr>
                <w:rFonts w:ascii="Times New Roman" w:hAnsi="Times New Roman" w:cs="Times New Roman"/>
                <w:sz w:val="20"/>
                <w:szCs w:val="20"/>
                <w:vertAlign w:val="superscript"/>
              </w:rPr>
              <w:t>27,28]</w:t>
            </w:r>
          </w:p>
        </w:tc>
        <w:tc>
          <w:tcPr>
            <w:tcW w:w="1712" w:type="dxa"/>
            <w:vAlign w:val="center"/>
          </w:tcPr>
          <w:p w14:paraId="14F3C75A" w14:textId="77777777" w:rsidR="00673661" w:rsidRPr="00057D13" w:rsidRDefault="00673661" w:rsidP="000B15EC">
            <w:pPr>
              <w:spacing w:after="0" w:line="240" w:lineRule="auto"/>
              <w:jc w:val="center"/>
              <w:rPr>
                <w:rFonts w:ascii="Times New Roman" w:hAnsi="Times New Roman" w:cs="Times New Roman"/>
                <w:color w:val="000000"/>
                <w:sz w:val="18"/>
                <w:szCs w:val="18"/>
              </w:rPr>
            </w:pPr>
            <w:r w:rsidRPr="00057D13">
              <w:rPr>
                <w:rFonts w:ascii="Times New Roman" w:hAnsi="Times New Roman" w:cs="Times New Roman"/>
                <w:color w:val="000000"/>
                <w:sz w:val="18"/>
                <w:szCs w:val="18"/>
              </w:rPr>
              <w:t>Descriptive Only</w:t>
            </w:r>
          </w:p>
        </w:tc>
      </w:tr>
    </w:tbl>
    <w:bookmarkEnd w:id="1"/>
    <w:bookmarkEnd w:id="2"/>
    <w:p w14:paraId="58392529" w14:textId="612DBF77" w:rsidR="00E54D96" w:rsidRPr="00057D13" w:rsidRDefault="00E54D96" w:rsidP="00E54D96">
      <w:pPr>
        <w:spacing w:after="0"/>
        <w:rPr>
          <w:rFonts w:ascii="Times New Roman" w:hAnsi="Times New Roman" w:cs="Times New Roman"/>
          <w:i/>
          <w:sz w:val="20"/>
          <w:szCs w:val="20"/>
        </w:rPr>
      </w:pPr>
      <w:r w:rsidRPr="00057D13">
        <w:rPr>
          <w:rFonts w:ascii="Times New Roman" w:hAnsi="Times New Roman" w:cs="Times New Roman"/>
          <w:i/>
          <w:sz w:val="20"/>
          <w:szCs w:val="20"/>
        </w:rPr>
        <w:t xml:space="preserve">Definitions: Clean Window is defined as an interval used to define incident outcomes where an individual enters the study cohort only if the </w:t>
      </w:r>
      <w:r w:rsidR="00D16C6B" w:rsidRPr="00057D13">
        <w:rPr>
          <w:rFonts w:ascii="Times New Roman" w:hAnsi="Times New Roman" w:cs="Times New Roman"/>
          <w:i/>
          <w:sz w:val="20"/>
          <w:szCs w:val="20"/>
        </w:rPr>
        <w:t xml:space="preserve">outcome </w:t>
      </w:r>
      <w:r w:rsidRPr="00057D13">
        <w:rPr>
          <w:rFonts w:ascii="Times New Roman" w:hAnsi="Times New Roman" w:cs="Times New Roman"/>
          <w:i/>
          <w:sz w:val="20"/>
          <w:szCs w:val="20"/>
        </w:rPr>
        <w:t xml:space="preserve">of interest did not occur during that interval. Risk Window is defined as an interval during which occurrence of the </w:t>
      </w:r>
      <w:r w:rsidR="00D16C6B" w:rsidRPr="00057D13">
        <w:rPr>
          <w:rFonts w:ascii="Times New Roman" w:hAnsi="Times New Roman" w:cs="Times New Roman"/>
          <w:i/>
          <w:sz w:val="20"/>
          <w:szCs w:val="20"/>
        </w:rPr>
        <w:t xml:space="preserve">outcome </w:t>
      </w:r>
      <w:r w:rsidRPr="00057D13">
        <w:rPr>
          <w:rFonts w:ascii="Times New Roman" w:hAnsi="Times New Roman" w:cs="Times New Roman"/>
          <w:i/>
          <w:sz w:val="20"/>
          <w:szCs w:val="20"/>
        </w:rPr>
        <w:t xml:space="preserve">of interest will be included in the analyses. </w:t>
      </w:r>
    </w:p>
    <w:p w14:paraId="13F0C778" w14:textId="02C73D3C" w:rsidR="000B15EC" w:rsidRPr="00057D13" w:rsidRDefault="00E54D96" w:rsidP="00E54D96">
      <w:pPr>
        <w:spacing w:after="0"/>
        <w:rPr>
          <w:rFonts w:ascii="Times New Roman" w:hAnsi="Times New Roman" w:cs="Times New Roman"/>
          <w:i/>
          <w:sz w:val="20"/>
          <w:szCs w:val="20"/>
        </w:rPr>
      </w:pPr>
      <w:r w:rsidRPr="00057D13">
        <w:rPr>
          <w:rFonts w:ascii="Times New Roman" w:hAnsi="Times New Roman" w:cs="Times New Roman"/>
          <w:i/>
          <w:sz w:val="20"/>
          <w:szCs w:val="20"/>
        </w:rPr>
        <w:t>Setting Definitions: IP refers to inpatient facility claims. OP-ED refers to a subset of outpatient facility claims occurring in the emergency department. OP/PB refers to all outpatient facility claims, and professional/provider claims except those professional/provider claims with a laboratory place of service</w:t>
      </w:r>
      <w:r w:rsidR="000B15EC" w:rsidRPr="00057D13">
        <w:rPr>
          <w:rFonts w:ascii="Times New Roman" w:hAnsi="Times New Roman" w:cs="Times New Roman"/>
          <w:i/>
          <w:sz w:val="20"/>
          <w:szCs w:val="20"/>
        </w:rPr>
        <w:t xml:space="preserve">. For myocarditis/pericarditis, analyses were performed using two different risk windows (1-7 days; 1-21 days) and two different care settings (inpatient, outpatient and provider services; inpatient and outpatient-emergency department) based on clinician input and available literature </w:t>
      </w:r>
    </w:p>
    <w:p w14:paraId="0517407F" w14:textId="2B0A9044" w:rsidR="00FB3A0A" w:rsidRPr="00057D13" w:rsidRDefault="00FB3A0A" w:rsidP="00FB3A0A">
      <w:pPr>
        <w:spacing w:after="0"/>
        <w:rPr>
          <w:rFonts w:ascii="Times New Roman" w:hAnsi="Times New Roman" w:cs="Times New Roman"/>
          <w:i/>
          <w:sz w:val="20"/>
          <w:szCs w:val="20"/>
        </w:rPr>
      </w:pPr>
      <w:r w:rsidRPr="00057D13">
        <w:rPr>
          <w:rFonts w:ascii="Times New Roman" w:hAnsi="Times New Roman" w:cs="Times New Roman"/>
          <w:i/>
          <w:sz w:val="20"/>
          <w:szCs w:val="20"/>
        </w:rPr>
        <w:t xml:space="preserve">*All </w:t>
      </w:r>
      <w:r w:rsidR="00177999" w:rsidRPr="00057D13">
        <w:rPr>
          <w:rFonts w:ascii="Times New Roman" w:hAnsi="Times New Roman" w:cs="Times New Roman"/>
          <w:i/>
          <w:sz w:val="20"/>
          <w:szCs w:val="20"/>
        </w:rPr>
        <w:t>outcomes</w:t>
      </w:r>
      <w:r w:rsidRPr="00057D13">
        <w:rPr>
          <w:rFonts w:ascii="Times New Roman" w:hAnsi="Times New Roman" w:cs="Times New Roman"/>
          <w:i/>
          <w:sz w:val="20"/>
          <w:szCs w:val="20"/>
        </w:rPr>
        <w:t xml:space="preserve"> were identified using ICD-10-CM Diagnosis codes.</w:t>
      </w:r>
      <w:r w:rsidR="00177999" w:rsidRPr="00057D13">
        <w:rPr>
          <w:rFonts w:ascii="Times New Roman" w:hAnsi="Times New Roman" w:cs="Times New Roman"/>
          <w:i/>
          <w:sz w:val="20"/>
          <w:szCs w:val="20"/>
          <w:vertAlign w:val="superscript"/>
        </w:rPr>
        <w:t>29,30</w:t>
      </w:r>
      <w:r w:rsidRPr="00057D13">
        <w:rPr>
          <w:rFonts w:ascii="Times New Roman" w:hAnsi="Times New Roman" w:cs="Times New Roman"/>
          <w:i/>
          <w:sz w:val="20"/>
          <w:szCs w:val="20"/>
        </w:rPr>
        <w:t xml:space="preserve"> The classification of outcomes into those to be monitored descriptively and those monitored via sequential testing is based on the availability of estimable background rates for the outcomes and the expected frequency of events</w:t>
      </w:r>
    </w:p>
    <w:p w14:paraId="5456C0EE" w14:textId="27583CF3" w:rsidR="00E54D96" w:rsidRPr="00057D13" w:rsidRDefault="00E54D96" w:rsidP="00E54D96">
      <w:pPr>
        <w:spacing w:after="0"/>
        <w:rPr>
          <w:rFonts w:ascii="Times New Roman" w:hAnsi="Times New Roman" w:cs="Times New Roman"/>
          <w:i/>
          <w:sz w:val="20"/>
          <w:szCs w:val="20"/>
        </w:rPr>
      </w:pPr>
      <w:r w:rsidRPr="00057D13">
        <w:rPr>
          <w:rFonts w:ascii="Times New Roman" w:hAnsi="Times New Roman" w:cs="Times New Roman"/>
          <w:i/>
          <w:sz w:val="20"/>
          <w:szCs w:val="20"/>
        </w:rPr>
        <w:t>** Both Common thromboses with thrombocytopenia and Unusual site thrombosis (broad) with thrombocytopenia are combined outcomes consisting of a thrombotic event (made up of other events such as acute myocardial infarction, deep vein thrombosis etc.,) and a thrombocytopenia event (defined in the IP, OP/PB setting). The overall setting definition for each outcome depends on individual setting definitions for each of these components</w:t>
      </w:r>
    </w:p>
    <w:p w14:paraId="3704236A" w14:textId="77777777" w:rsidR="00E54D96" w:rsidRPr="00057D13" w:rsidRDefault="00E54D96" w:rsidP="00E54D96">
      <w:pPr>
        <w:spacing w:after="0"/>
        <w:rPr>
          <w:rFonts w:ascii="Times New Roman" w:hAnsi="Times New Roman" w:cs="Times New Roman"/>
          <w:i/>
          <w:sz w:val="20"/>
          <w:szCs w:val="20"/>
        </w:rPr>
      </w:pPr>
    </w:p>
    <w:p w14:paraId="40002021" w14:textId="4A3FCB26" w:rsidR="00673661" w:rsidRPr="00057D13" w:rsidRDefault="00673661">
      <w:pPr>
        <w:rPr>
          <w:rStyle w:val="CommentReference"/>
          <w:rFonts w:ascii="Times New Roman" w:hAnsi="Times New Roman" w:cs="Times New Roman"/>
          <w:b/>
          <w:bCs/>
          <w:sz w:val="22"/>
          <w:szCs w:val="22"/>
        </w:rPr>
      </w:pPr>
      <w:r w:rsidRPr="00057D13">
        <w:rPr>
          <w:rStyle w:val="CommentReference"/>
          <w:rFonts w:ascii="Times New Roman" w:hAnsi="Times New Roman" w:cs="Times New Roman"/>
          <w:b/>
          <w:bCs/>
          <w:sz w:val="22"/>
          <w:szCs w:val="22"/>
        </w:rPr>
        <w:br w:type="page"/>
      </w:r>
    </w:p>
    <w:p w14:paraId="02B16838" w14:textId="0112B7ED" w:rsidR="00B30B4B" w:rsidRPr="00057D13" w:rsidRDefault="008B5124" w:rsidP="00B30B4B">
      <w:pPr>
        <w:pStyle w:val="Heading1"/>
        <w:rPr>
          <w:rFonts w:ascii="Times New Roman" w:hAnsi="Times New Roman" w:cs="Times New Roman"/>
        </w:rPr>
      </w:pPr>
      <w:r w:rsidRPr="00057D13">
        <w:rPr>
          <w:rFonts w:ascii="Times New Roman" w:hAnsi="Times New Roman" w:cs="Times New Roman"/>
        </w:rPr>
        <w:t xml:space="preserve">Supplementary Table 4. </w:t>
      </w:r>
      <w:r w:rsidR="00B30B4B" w:rsidRPr="00057D13">
        <w:rPr>
          <w:rFonts w:ascii="Times New Roman" w:hAnsi="Times New Roman" w:cs="Times New Roman"/>
        </w:rPr>
        <w:t xml:space="preserve">Sequential Testing Results in Health Plan Members Aged 5-17 years by </w:t>
      </w:r>
      <w:r w:rsidR="00177999" w:rsidRPr="00057D13">
        <w:rPr>
          <w:rFonts w:ascii="Times New Roman" w:hAnsi="Times New Roman" w:cs="Times New Roman"/>
        </w:rPr>
        <w:t xml:space="preserve">Outcome </w:t>
      </w:r>
      <w:r w:rsidR="00B30B4B" w:rsidRPr="00057D13">
        <w:rPr>
          <w:rFonts w:ascii="Times New Roman" w:hAnsi="Times New Roman" w:cs="Times New Roman"/>
        </w:rPr>
        <w:t xml:space="preserve">Following BNT162b2 All Doses (Primary Series, Dose 1, Dose 2, and Third/Booster Dose) in </w:t>
      </w:r>
      <w:r w:rsidR="00F9466E" w:rsidRPr="00057D13">
        <w:rPr>
          <w:rFonts w:ascii="Times New Roman" w:hAnsi="Times New Roman" w:cs="Times New Roman"/>
        </w:rPr>
        <w:t xml:space="preserve">CVS Health, </w:t>
      </w:r>
      <w:proofErr w:type="spellStart"/>
      <w:r w:rsidR="00F9466E" w:rsidRPr="00057D13">
        <w:rPr>
          <w:rFonts w:ascii="Times New Roman" w:hAnsi="Times New Roman" w:cs="Times New Roman"/>
        </w:rPr>
        <w:t>HealthCore</w:t>
      </w:r>
      <w:proofErr w:type="spellEnd"/>
      <w:r w:rsidR="00F9466E" w:rsidRPr="00057D13">
        <w:rPr>
          <w:rFonts w:ascii="Times New Roman" w:hAnsi="Times New Roman" w:cs="Times New Roman"/>
        </w:rPr>
        <w:t xml:space="preserve">, and Optum Databases </w:t>
      </w:r>
    </w:p>
    <w:tbl>
      <w:tblPr>
        <w:tblW w:w="13405" w:type="dxa"/>
        <w:tblLayout w:type="fixed"/>
        <w:tblCellMar>
          <w:left w:w="0" w:type="dxa"/>
          <w:right w:w="0" w:type="dxa"/>
        </w:tblCellMar>
        <w:tblLook w:val="04A0" w:firstRow="1" w:lastRow="0" w:firstColumn="1" w:lastColumn="0" w:noHBand="0" w:noVBand="1"/>
      </w:tblPr>
      <w:tblGrid>
        <w:gridCol w:w="1763"/>
        <w:gridCol w:w="700"/>
        <w:gridCol w:w="479"/>
        <w:gridCol w:w="863"/>
        <w:gridCol w:w="854"/>
        <w:gridCol w:w="1013"/>
        <w:gridCol w:w="623"/>
        <w:gridCol w:w="811"/>
        <w:gridCol w:w="855"/>
        <w:gridCol w:w="1014"/>
        <w:gridCol w:w="740"/>
        <w:gridCol w:w="718"/>
        <w:gridCol w:w="882"/>
        <w:gridCol w:w="1045"/>
        <w:gridCol w:w="1045"/>
      </w:tblGrid>
      <w:tr w:rsidR="00177999" w:rsidRPr="00057D13" w14:paraId="2AEA1AD1" w14:textId="77777777" w:rsidTr="00177999">
        <w:trPr>
          <w:trHeight w:val="300"/>
        </w:trPr>
        <w:tc>
          <w:tcPr>
            <w:tcW w:w="1763"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D7ADB34"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Outcome</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DDEBF7"/>
            <w:noWrap/>
            <w:vAlign w:val="center"/>
            <w:hideMark/>
          </w:tcPr>
          <w:p w14:paraId="1D384EB5"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Dose</w:t>
            </w:r>
          </w:p>
        </w:tc>
        <w:tc>
          <w:tcPr>
            <w:tcW w:w="479"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14303020"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Age Group</w:t>
            </w:r>
          </w:p>
        </w:tc>
        <w:tc>
          <w:tcPr>
            <w:tcW w:w="3353" w:type="dxa"/>
            <w:gridSpan w:val="4"/>
            <w:tcBorders>
              <w:top w:val="single" w:sz="4" w:space="0" w:color="auto"/>
              <w:left w:val="nil"/>
              <w:bottom w:val="single" w:sz="4" w:space="0" w:color="auto"/>
              <w:right w:val="single" w:sz="4" w:space="0" w:color="000000"/>
            </w:tcBorders>
            <w:shd w:val="clear" w:color="000000" w:fill="DDEBF7"/>
            <w:noWrap/>
            <w:vAlign w:val="center"/>
            <w:hideMark/>
          </w:tcPr>
          <w:p w14:paraId="17B30236"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CVS</w:t>
            </w:r>
          </w:p>
        </w:tc>
        <w:tc>
          <w:tcPr>
            <w:tcW w:w="3420" w:type="dxa"/>
            <w:gridSpan w:val="4"/>
            <w:tcBorders>
              <w:top w:val="single" w:sz="4" w:space="0" w:color="auto"/>
              <w:left w:val="nil"/>
              <w:bottom w:val="single" w:sz="4" w:space="0" w:color="auto"/>
              <w:right w:val="single" w:sz="4" w:space="0" w:color="000000"/>
            </w:tcBorders>
            <w:shd w:val="clear" w:color="000000" w:fill="DDEBF7"/>
            <w:noWrap/>
            <w:vAlign w:val="center"/>
            <w:hideMark/>
          </w:tcPr>
          <w:p w14:paraId="49688924" w14:textId="3A42BEF6"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proofErr w:type="spellStart"/>
            <w:r w:rsidRPr="00057D13">
              <w:rPr>
                <w:rFonts w:ascii="Times New Roman" w:eastAsia="Times New Roman" w:hAnsi="Times New Roman" w:cs="Times New Roman"/>
                <w:b/>
                <w:bCs/>
                <w:color w:val="000000"/>
                <w:sz w:val="18"/>
                <w:szCs w:val="18"/>
              </w:rPr>
              <w:t>H</w:t>
            </w:r>
            <w:r w:rsidR="00933019">
              <w:rPr>
                <w:rFonts w:ascii="Times New Roman" w:eastAsia="Times New Roman" w:hAnsi="Times New Roman" w:cs="Times New Roman"/>
                <w:b/>
                <w:bCs/>
                <w:color w:val="000000"/>
                <w:sz w:val="18"/>
                <w:szCs w:val="18"/>
              </w:rPr>
              <w:t>ealthCore</w:t>
            </w:r>
            <w:proofErr w:type="spellEnd"/>
          </w:p>
        </w:tc>
        <w:tc>
          <w:tcPr>
            <w:tcW w:w="3690" w:type="dxa"/>
            <w:gridSpan w:val="4"/>
            <w:tcBorders>
              <w:top w:val="single" w:sz="4" w:space="0" w:color="auto"/>
              <w:left w:val="nil"/>
              <w:bottom w:val="single" w:sz="4" w:space="0" w:color="auto"/>
              <w:right w:val="single" w:sz="4" w:space="0" w:color="000000"/>
            </w:tcBorders>
            <w:shd w:val="clear" w:color="000000" w:fill="DDEBF7"/>
            <w:noWrap/>
            <w:vAlign w:val="center"/>
            <w:hideMark/>
          </w:tcPr>
          <w:p w14:paraId="4A61F468"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Optum</w:t>
            </w:r>
          </w:p>
        </w:tc>
      </w:tr>
      <w:tr w:rsidR="00177999" w:rsidRPr="00057D13" w14:paraId="1DE3DA78" w14:textId="77777777" w:rsidTr="00177999">
        <w:trPr>
          <w:trHeight w:val="480"/>
        </w:trPr>
        <w:tc>
          <w:tcPr>
            <w:tcW w:w="1763" w:type="dxa"/>
            <w:vMerge/>
            <w:tcBorders>
              <w:top w:val="single" w:sz="4" w:space="0" w:color="auto"/>
              <w:left w:val="single" w:sz="4" w:space="0" w:color="auto"/>
              <w:bottom w:val="single" w:sz="4" w:space="0" w:color="000000"/>
              <w:right w:val="single" w:sz="4" w:space="0" w:color="auto"/>
            </w:tcBorders>
            <w:vAlign w:val="center"/>
            <w:hideMark/>
          </w:tcPr>
          <w:p w14:paraId="72138004"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14:paraId="71230D37"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p>
        </w:tc>
        <w:tc>
          <w:tcPr>
            <w:tcW w:w="479" w:type="dxa"/>
            <w:vMerge/>
            <w:tcBorders>
              <w:top w:val="single" w:sz="4" w:space="0" w:color="auto"/>
              <w:left w:val="single" w:sz="4" w:space="0" w:color="auto"/>
              <w:bottom w:val="single" w:sz="4" w:space="0" w:color="000000"/>
              <w:right w:val="single" w:sz="4" w:space="0" w:color="auto"/>
            </w:tcBorders>
            <w:vAlign w:val="center"/>
            <w:hideMark/>
          </w:tcPr>
          <w:p w14:paraId="68BEE93E"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p>
        </w:tc>
        <w:tc>
          <w:tcPr>
            <w:tcW w:w="863" w:type="dxa"/>
            <w:tcBorders>
              <w:top w:val="nil"/>
              <w:left w:val="nil"/>
              <w:bottom w:val="single" w:sz="4" w:space="0" w:color="auto"/>
              <w:right w:val="single" w:sz="4" w:space="0" w:color="auto"/>
            </w:tcBorders>
            <w:shd w:val="clear" w:color="000000" w:fill="DDEBF7"/>
            <w:noWrap/>
            <w:vAlign w:val="center"/>
            <w:hideMark/>
          </w:tcPr>
          <w:p w14:paraId="7F06EFDF"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 of Doses</w:t>
            </w:r>
          </w:p>
        </w:tc>
        <w:tc>
          <w:tcPr>
            <w:tcW w:w="854" w:type="dxa"/>
            <w:tcBorders>
              <w:top w:val="nil"/>
              <w:left w:val="nil"/>
              <w:bottom w:val="single" w:sz="4" w:space="0" w:color="auto"/>
              <w:right w:val="single" w:sz="4" w:space="0" w:color="auto"/>
            </w:tcBorders>
            <w:shd w:val="clear" w:color="000000" w:fill="DDEBF7"/>
            <w:noWrap/>
            <w:vAlign w:val="center"/>
            <w:hideMark/>
          </w:tcPr>
          <w:p w14:paraId="482D43FC"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Outcomes</w:t>
            </w:r>
          </w:p>
        </w:tc>
        <w:tc>
          <w:tcPr>
            <w:tcW w:w="1013" w:type="dxa"/>
            <w:tcBorders>
              <w:top w:val="nil"/>
              <w:left w:val="nil"/>
              <w:bottom w:val="single" w:sz="4" w:space="0" w:color="auto"/>
              <w:right w:val="single" w:sz="4" w:space="0" w:color="auto"/>
            </w:tcBorders>
            <w:shd w:val="clear" w:color="000000" w:fill="DDEBF7"/>
            <w:vAlign w:val="center"/>
            <w:hideMark/>
          </w:tcPr>
          <w:p w14:paraId="0B95EBB3"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Person-Time (Days)</w:t>
            </w:r>
          </w:p>
        </w:tc>
        <w:tc>
          <w:tcPr>
            <w:tcW w:w="623" w:type="dxa"/>
            <w:tcBorders>
              <w:top w:val="nil"/>
              <w:left w:val="nil"/>
              <w:bottom w:val="single" w:sz="4" w:space="0" w:color="auto"/>
              <w:right w:val="single" w:sz="4" w:space="0" w:color="auto"/>
            </w:tcBorders>
            <w:shd w:val="clear" w:color="000000" w:fill="DDEBF7"/>
            <w:noWrap/>
            <w:vAlign w:val="center"/>
            <w:hideMark/>
          </w:tcPr>
          <w:p w14:paraId="117FDAA4"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RR</w:t>
            </w:r>
          </w:p>
        </w:tc>
        <w:tc>
          <w:tcPr>
            <w:tcW w:w="811" w:type="dxa"/>
            <w:tcBorders>
              <w:top w:val="nil"/>
              <w:left w:val="nil"/>
              <w:bottom w:val="single" w:sz="4" w:space="0" w:color="auto"/>
              <w:right w:val="single" w:sz="4" w:space="0" w:color="auto"/>
            </w:tcBorders>
            <w:shd w:val="clear" w:color="000000" w:fill="DDEBF7"/>
            <w:noWrap/>
            <w:vAlign w:val="center"/>
            <w:hideMark/>
          </w:tcPr>
          <w:p w14:paraId="70F38A49"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 of Doses</w:t>
            </w:r>
          </w:p>
        </w:tc>
        <w:tc>
          <w:tcPr>
            <w:tcW w:w="855" w:type="dxa"/>
            <w:tcBorders>
              <w:top w:val="nil"/>
              <w:left w:val="nil"/>
              <w:bottom w:val="single" w:sz="4" w:space="0" w:color="auto"/>
              <w:right w:val="single" w:sz="4" w:space="0" w:color="auto"/>
            </w:tcBorders>
            <w:shd w:val="clear" w:color="000000" w:fill="DDEBF7"/>
            <w:noWrap/>
            <w:vAlign w:val="center"/>
            <w:hideMark/>
          </w:tcPr>
          <w:p w14:paraId="4A0D0203"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Outcomes</w:t>
            </w:r>
          </w:p>
        </w:tc>
        <w:tc>
          <w:tcPr>
            <w:tcW w:w="1014" w:type="dxa"/>
            <w:tcBorders>
              <w:top w:val="nil"/>
              <w:left w:val="nil"/>
              <w:bottom w:val="single" w:sz="4" w:space="0" w:color="auto"/>
              <w:right w:val="single" w:sz="4" w:space="0" w:color="auto"/>
            </w:tcBorders>
            <w:shd w:val="clear" w:color="000000" w:fill="DDEBF7"/>
            <w:vAlign w:val="center"/>
            <w:hideMark/>
          </w:tcPr>
          <w:p w14:paraId="701311B7"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Person-Time (Days)</w:t>
            </w:r>
          </w:p>
        </w:tc>
        <w:tc>
          <w:tcPr>
            <w:tcW w:w="740" w:type="dxa"/>
            <w:tcBorders>
              <w:top w:val="nil"/>
              <w:left w:val="nil"/>
              <w:bottom w:val="single" w:sz="4" w:space="0" w:color="auto"/>
              <w:right w:val="single" w:sz="4" w:space="0" w:color="auto"/>
            </w:tcBorders>
            <w:shd w:val="clear" w:color="000000" w:fill="DDEBF7"/>
            <w:noWrap/>
            <w:vAlign w:val="center"/>
            <w:hideMark/>
          </w:tcPr>
          <w:p w14:paraId="269B9783"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RR</w:t>
            </w:r>
          </w:p>
        </w:tc>
        <w:tc>
          <w:tcPr>
            <w:tcW w:w="718" w:type="dxa"/>
            <w:tcBorders>
              <w:top w:val="nil"/>
              <w:left w:val="nil"/>
              <w:bottom w:val="single" w:sz="4" w:space="0" w:color="auto"/>
              <w:right w:val="single" w:sz="4" w:space="0" w:color="auto"/>
            </w:tcBorders>
            <w:shd w:val="clear" w:color="000000" w:fill="DDEBF7"/>
            <w:noWrap/>
            <w:vAlign w:val="center"/>
            <w:hideMark/>
          </w:tcPr>
          <w:p w14:paraId="3A104426"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 of Doses</w:t>
            </w:r>
          </w:p>
        </w:tc>
        <w:tc>
          <w:tcPr>
            <w:tcW w:w="882" w:type="dxa"/>
            <w:tcBorders>
              <w:top w:val="nil"/>
              <w:left w:val="nil"/>
              <w:bottom w:val="single" w:sz="4" w:space="0" w:color="auto"/>
              <w:right w:val="single" w:sz="4" w:space="0" w:color="auto"/>
            </w:tcBorders>
            <w:shd w:val="clear" w:color="000000" w:fill="DDEBF7"/>
            <w:noWrap/>
            <w:vAlign w:val="center"/>
            <w:hideMark/>
          </w:tcPr>
          <w:p w14:paraId="1D132B31"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Outcomes</w:t>
            </w:r>
          </w:p>
        </w:tc>
        <w:tc>
          <w:tcPr>
            <w:tcW w:w="1045" w:type="dxa"/>
            <w:tcBorders>
              <w:top w:val="nil"/>
              <w:left w:val="nil"/>
              <w:bottom w:val="single" w:sz="4" w:space="0" w:color="auto"/>
              <w:right w:val="single" w:sz="4" w:space="0" w:color="auto"/>
            </w:tcBorders>
            <w:shd w:val="clear" w:color="000000" w:fill="DDEBF7"/>
            <w:vAlign w:val="center"/>
            <w:hideMark/>
          </w:tcPr>
          <w:p w14:paraId="036CB1EC"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Person-Time (Days)</w:t>
            </w:r>
          </w:p>
        </w:tc>
        <w:tc>
          <w:tcPr>
            <w:tcW w:w="1045" w:type="dxa"/>
            <w:tcBorders>
              <w:top w:val="nil"/>
              <w:left w:val="nil"/>
              <w:bottom w:val="single" w:sz="4" w:space="0" w:color="auto"/>
              <w:right w:val="single" w:sz="4" w:space="0" w:color="auto"/>
            </w:tcBorders>
            <w:shd w:val="clear" w:color="000000" w:fill="DDEBF7"/>
            <w:noWrap/>
            <w:vAlign w:val="center"/>
            <w:hideMark/>
          </w:tcPr>
          <w:p w14:paraId="7BF26A45" w14:textId="7777777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RR</w:t>
            </w:r>
          </w:p>
        </w:tc>
      </w:tr>
      <w:tr w:rsidR="00177999" w:rsidRPr="00057D13" w14:paraId="5EE18FB1"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40FB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Anaphylaxis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0693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6048CF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43D39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739,974</w:t>
            </w:r>
          </w:p>
        </w:tc>
        <w:tc>
          <w:tcPr>
            <w:tcW w:w="854" w:type="dxa"/>
            <w:tcBorders>
              <w:top w:val="nil"/>
              <w:left w:val="nil"/>
              <w:bottom w:val="single" w:sz="4" w:space="0" w:color="auto"/>
              <w:right w:val="single" w:sz="4" w:space="0" w:color="auto"/>
            </w:tcBorders>
            <w:shd w:val="clear" w:color="000000" w:fill="FFFFFF"/>
            <w:noWrap/>
            <w:vAlign w:val="center"/>
            <w:hideMark/>
          </w:tcPr>
          <w:p w14:paraId="1BC5CB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E2695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1,478,203</w:t>
            </w:r>
          </w:p>
        </w:tc>
        <w:tc>
          <w:tcPr>
            <w:tcW w:w="623" w:type="dxa"/>
            <w:tcBorders>
              <w:top w:val="nil"/>
              <w:left w:val="nil"/>
              <w:bottom w:val="single" w:sz="4" w:space="0" w:color="auto"/>
              <w:right w:val="single" w:sz="4" w:space="0" w:color="auto"/>
            </w:tcBorders>
            <w:shd w:val="clear" w:color="000000" w:fill="FFFFFF"/>
            <w:noWrap/>
            <w:vAlign w:val="center"/>
            <w:hideMark/>
          </w:tcPr>
          <w:p w14:paraId="793CD9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3.50</w:t>
            </w:r>
          </w:p>
        </w:tc>
        <w:tc>
          <w:tcPr>
            <w:tcW w:w="811" w:type="dxa"/>
            <w:tcBorders>
              <w:top w:val="nil"/>
              <w:left w:val="nil"/>
              <w:bottom w:val="single" w:sz="4" w:space="0" w:color="auto"/>
              <w:right w:val="single" w:sz="4" w:space="0" w:color="auto"/>
            </w:tcBorders>
            <w:shd w:val="clear" w:color="000000" w:fill="FFFFFF"/>
            <w:noWrap/>
            <w:vAlign w:val="center"/>
            <w:hideMark/>
          </w:tcPr>
          <w:p w14:paraId="2E83AA8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727,202</w:t>
            </w:r>
          </w:p>
        </w:tc>
        <w:tc>
          <w:tcPr>
            <w:tcW w:w="855" w:type="dxa"/>
            <w:tcBorders>
              <w:top w:val="nil"/>
              <w:left w:val="nil"/>
              <w:bottom w:val="single" w:sz="4" w:space="0" w:color="auto"/>
              <w:right w:val="single" w:sz="4" w:space="0" w:color="auto"/>
            </w:tcBorders>
            <w:shd w:val="clear" w:color="000000" w:fill="FFFFFF"/>
            <w:noWrap/>
            <w:vAlign w:val="center"/>
            <w:hideMark/>
          </w:tcPr>
          <w:p w14:paraId="0C3110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15D43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1,449,597</w:t>
            </w:r>
          </w:p>
        </w:tc>
        <w:tc>
          <w:tcPr>
            <w:tcW w:w="740" w:type="dxa"/>
            <w:tcBorders>
              <w:top w:val="nil"/>
              <w:left w:val="nil"/>
              <w:bottom w:val="single" w:sz="4" w:space="0" w:color="auto"/>
              <w:right w:val="single" w:sz="4" w:space="0" w:color="auto"/>
            </w:tcBorders>
            <w:shd w:val="clear" w:color="000000" w:fill="FFFFFF"/>
            <w:noWrap/>
            <w:vAlign w:val="center"/>
            <w:hideMark/>
          </w:tcPr>
          <w:p w14:paraId="01FB77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5.39</w:t>
            </w:r>
          </w:p>
        </w:tc>
        <w:tc>
          <w:tcPr>
            <w:tcW w:w="718" w:type="dxa"/>
            <w:tcBorders>
              <w:top w:val="nil"/>
              <w:left w:val="nil"/>
              <w:bottom w:val="single" w:sz="4" w:space="0" w:color="auto"/>
              <w:right w:val="single" w:sz="4" w:space="0" w:color="auto"/>
            </w:tcBorders>
            <w:shd w:val="clear" w:color="000000" w:fill="FFFFFF"/>
            <w:noWrap/>
            <w:vAlign w:val="center"/>
            <w:hideMark/>
          </w:tcPr>
          <w:p w14:paraId="2720A5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680,186</w:t>
            </w:r>
          </w:p>
        </w:tc>
        <w:tc>
          <w:tcPr>
            <w:tcW w:w="882" w:type="dxa"/>
            <w:tcBorders>
              <w:top w:val="nil"/>
              <w:left w:val="nil"/>
              <w:bottom w:val="single" w:sz="4" w:space="0" w:color="auto"/>
              <w:right w:val="single" w:sz="4" w:space="0" w:color="auto"/>
            </w:tcBorders>
            <w:shd w:val="clear" w:color="000000" w:fill="FFFFFF"/>
            <w:noWrap/>
            <w:vAlign w:val="center"/>
            <w:hideMark/>
          </w:tcPr>
          <w:p w14:paraId="2A894F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0BEEE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1,348,722</w:t>
            </w:r>
          </w:p>
        </w:tc>
        <w:tc>
          <w:tcPr>
            <w:tcW w:w="1045" w:type="dxa"/>
            <w:tcBorders>
              <w:top w:val="nil"/>
              <w:left w:val="nil"/>
              <w:bottom w:val="single" w:sz="4" w:space="0" w:color="auto"/>
              <w:right w:val="single" w:sz="4" w:space="0" w:color="auto"/>
            </w:tcBorders>
            <w:shd w:val="clear" w:color="000000" w:fill="FFFFFF"/>
            <w:noWrap/>
            <w:vAlign w:val="center"/>
            <w:hideMark/>
          </w:tcPr>
          <w:p w14:paraId="67D484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B5C434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E5265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A06DE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48BEB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6D91C93"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689,683</w:t>
            </w:r>
          </w:p>
        </w:tc>
        <w:tc>
          <w:tcPr>
            <w:tcW w:w="854" w:type="dxa"/>
            <w:tcBorders>
              <w:top w:val="nil"/>
              <w:left w:val="nil"/>
              <w:bottom w:val="single" w:sz="4" w:space="0" w:color="auto"/>
              <w:right w:val="single" w:sz="4" w:space="0" w:color="auto"/>
            </w:tcBorders>
            <w:shd w:val="clear" w:color="000000" w:fill="FFFFFF"/>
            <w:noWrap/>
            <w:vAlign w:val="center"/>
            <w:hideMark/>
          </w:tcPr>
          <w:p w14:paraId="122A19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42ADF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1,378,721</w:t>
            </w:r>
          </w:p>
        </w:tc>
        <w:tc>
          <w:tcPr>
            <w:tcW w:w="623" w:type="dxa"/>
            <w:tcBorders>
              <w:top w:val="nil"/>
              <w:left w:val="nil"/>
              <w:bottom w:val="single" w:sz="4" w:space="0" w:color="auto"/>
              <w:right w:val="single" w:sz="4" w:space="0" w:color="auto"/>
            </w:tcBorders>
            <w:shd w:val="clear" w:color="000000" w:fill="FFFFFF"/>
            <w:noWrap/>
            <w:vAlign w:val="center"/>
            <w:hideMark/>
          </w:tcPr>
          <w:p w14:paraId="2BD0CC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3.95</w:t>
            </w:r>
          </w:p>
        </w:tc>
        <w:tc>
          <w:tcPr>
            <w:tcW w:w="811" w:type="dxa"/>
            <w:tcBorders>
              <w:top w:val="nil"/>
              <w:left w:val="nil"/>
              <w:bottom w:val="single" w:sz="4" w:space="0" w:color="auto"/>
              <w:right w:val="single" w:sz="4" w:space="0" w:color="auto"/>
            </w:tcBorders>
            <w:shd w:val="clear" w:color="000000" w:fill="FFFFFF"/>
            <w:noWrap/>
            <w:vAlign w:val="center"/>
            <w:hideMark/>
          </w:tcPr>
          <w:p w14:paraId="043A3FA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772,261</w:t>
            </w:r>
          </w:p>
        </w:tc>
        <w:tc>
          <w:tcPr>
            <w:tcW w:w="855" w:type="dxa"/>
            <w:tcBorders>
              <w:top w:val="nil"/>
              <w:left w:val="nil"/>
              <w:bottom w:val="single" w:sz="4" w:space="0" w:color="auto"/>
              <w:right w:val="single" w:sz="4" w:space="0" w:color="auto"/>
            </w:tcBorders>
            <w:shd w:val="clear" w:color="000000" w:fill="FFFFFF"/>
            <w:noWrap/>
            <w:vAlign w:val="center"/>
            <w:hideMark/>
          </w:tcPr>
          <w:p w14:paraId="49A98E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8DD64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1,542,848</w:t>
            </w:r>
          </w:p>
        </w:tc>
        <w:tc>
          <w:tcPr>
            <w:tcW w:w="740" w:type="dxa"/>
            <w:tcBorders>
              <w:top w:val="nil"/>
              <w:left w:val="nil"/>
              <w:bottom w:val="single" w:sz="4" w:space="0" w:color="auto"/>
              <w:right w:val="single" w:sz="4" w:space="0" w:color="auto"/>
            </w:tcBorders>
            <w:shd w:val="clear" w:color="000000" w:fill="FFFFFF"/>
            <w:noWrap/>
            <w:vAlign w:val="center"/>
            <w:hideMark/>
          </w:tcPr>
          <w:p w14:paraId="30700D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0.87</w:t>
            </w:r>
          </w:p>
        </w:tc>
        <w:tc>
          <w:tcPr>
            <w:tcW w:w="718" w:type="dxa"/>
            <w:tcBorders>
              <w:top w:val="nil"/>
              <w:left w:val="nil"/>
              <w:bottom w:val="single" w:sz="4" w:space="0" w:color="auto"/>
              <w:right w:val="single" w:sz="4" w:space="0" w:color="auto"/>
            </w:tcBorders>
            <w:shd w:val="clear" w:color="000000" w:fill="FFFFFF"/>
            <w:noWrap/>
            <w:vAlign w:val="center"/>
            <w:hideMark/>
          </w:tcPr>
          <w:p w14:paraId="55B333A6"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669,816</w:t>
            </w:r>
          </w:p>
        </w:tc>
        <w:tc>
          <w:tcPr>
            <w:tcW w:w="882" w:type="dxa"/>
            <w:tcBorders>
              <w:top w:val="nil"/>
              <w:left w:val="nil"/>
              <w:bottom w:val="single" w:sz="4" w:space="0" w:color="auto"/>
              <w:right w:val="single" w:sz="4" w:space="0" w:color="auto"/>
            </w:tcBorders>
            <w:shd w:val="clear" w:color="000000" w:fill="FFFFFF"/>
            <w:noWrap/>
            <w:vAlign w:val="center"/>
            <w:hideMark/>
          </w:tcPr>
          <w:p w14:paraId="56D150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70FFF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1,337,763</w:t>
            </w:r>
          </w:p>
        </w:tc>
        <w:tc>
          <w:tcPr>
            <w:tcW w:w="1045" w:type="dxa"/>
            <w:tcBorders>
              <w:top w:val="nil"/>
              <w:left w:val="nil"/>
              <w:bottom w:val="single" w:sz="4" w:space="0" w:color="auto"/>
              <w:right w:val="single" w:sz="4" w:space="0" w:color="auto"/>
            </w:tcBorders>
            <w:shd w:val="clear" w:color="000000" w:fill="FFFFFF"/>
            <w:noWrap/>
            <w:vAlign w:val="center"/>
            <w:hideMark/>
          </w:tcPr>
          <w:p w14:paraId="7BC3A3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5.50</w:t>
            </w:r>
          </w:p>
        </w:tc>
      </w:tr>
      <w:tr w:rsidR="00177999" w:rsidRPr="00057D13" w14:paraId="3094B5B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D8E86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FC569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3773E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0AE13B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349,440</w:t>
            </w:r>
          </w:p>
        </w:tc>
        <w:tc>
          <w:tcPr>
            <w:tcW w:w="854" w:type="dxa"/>
            <w:tcBorders>
              <w:top w:val="nil"/>
              <w:left w:val="nil"/>
              <w:bottom w:val="single" w:sz="4" w:space="0" w:color="auto"/>
              <w:right w:val="single" w:sz="4" w:space="0" w:color="auto"/>
            </w:tcBorders>
            <w:shd w:val="clear" w:color="000000" w:fill="FFFFFF"/>
            <w:noWrap/>
            <w:vAlign w:val="center"/>
            <w:hideMark/>
          </w:tcPr>
          <w:p w14:paraId="71379C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D70B5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698,487</w:t>
            </w:r>
          </w:p>
        </w:tc>
        <w:tc>
          <w:tcPr>
            <w:tcW w:w="623" w:type="dxa"/>
            <w:tcBorders>
              <w:top w:val="nil"/>
              <w:left w:val="nil"/>
              <w:bottom w:val="single" w:sz="4" w:space="0" w:color="auto"/>
              <w:right w:val="single" w:sz="4" w:space="0" w:color="auto"/>
            </w:tcBorders>
            <w:shd w:val="clear" w:color="000000" w:fill="FFFFFF"/>
            <w:noWrap/>
            <w:vAlign w:val="center"/>
            <w:hideMark/>
          </w:tcPr>
          <w:p w14:paraId="67DEDA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4.78</w:t>
            </w:r>
          </w:p>
        </w:tc>
        <w:tc>
          <w:tcPr>
            <w:tcW w:w="811" w:type="dxa"/>
            <w:tcBorders>
              <w:top w:val="nil"/>
              <w:left w:val="nil"/>
              <w:bottom w:val="single" w:sz="4" w:space="0" w:color="auto"/>
              <w:right w:val="single" w:sz="4" w:space="0" w:color="auto"/>
            </w:tcBorders>
            <w:shd w:val="clear" w:color="000000" w:fill="FFFFFF"/>
            <w:noWrap/>
            <w:vAlign w:val="center"/>
            <w:hideMark/>
          </w:tcPr>
          <w:p w14:paraId="6B749A1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393,066</w:t>
            </w:r>
          </w:p>
        </w:tc>
        <w:tc>
          <w:tcPr>
            <w:tcW w:w="855" w:type="dxa"/>
            <w:tcBorders>
              <w:top w:val="nil"/>
              <w:left w:val="nil"/>
              <w:bottom w:val="single" w:sz="4" w:space="0" w:color="auto"/>
              <w:right w:val="single" w:sz="4" w:space="0" w:color="auto"/>
            </w:tcBorders>
            <w:shd w:val="clear" w:color="000000" w:fill="FFFFFF"/>
            <w:noWrap/>
            <w:vAlign w:val="center"/>
            <w:hideMark/>
          </w:tcPr>
          <w:p w14:paraId="73491A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686F9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785,267</w:t>
            </w:r>
          </w:p>
        </w:tc>
        <w:tc>
          <w:tcPr>
            <w:tcW w:w="740" w:type="dxa"/>
            <w:tcBorders>
              <w:top w:val="nil"/>
              <w:left w:val="nil"/>
              <w:bottom w:val="single" w:sz="4" w:space="0" w:color="auto"/>
              <w:right w:val="single" w:sz="4" w:space="0" w:color="auto"/>
            </w:tcBorders>
            <w:shd w:val="clear" w:color="000000" w:fill="FFFFFF"/>
            <w:noWrap/>
            <w:vAlign w:val="center"/>
            <w:hideMark/>
          </w:tcPr>
          <w:p w14:paraId="132DB8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1.48</w:t>
            </w:r>
          </w:p>
        </w:tc>
        <w:tc>
          <w:tcPr>
            <w:tcW w:w="718" w:type="dxa"/>
            <w:tcBorders>
              <w:top w:val="nil"/>
              <w:left w:val="nil"/>
              <w:bottom w:val="single" w:sz="4" w:space="0" w:color="auto"/>
              <w:right w:val="single" w:sz="4" w:space="0" w:color="auto"/>
            </w:tcBorders>
            <w:shd w:val="clear" w:color="000000" w:fill="FFFFFF"/>
            <w:noWrap/>
            <w:vAlign w:val="center"/>
            <w:hideMark/>
          </w:tcPr>
          <w:p w14:paraId="5C0FFA2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337,391</w:t>
            </w:r>
          </w:p>
        </w:tc>
        <w:tc>
          <w:tcPr>
            <w:tcW w:w="882" w:type="dxa"/>
            <w:tcBorders>
              <w:top w:val="nil"/>
              <w:left w:val="nil"/>
              <w:bottom w:val="single" w:sz="4" w:space="0" w:color="auto"/>
              <w:right w:val="single" w:sz="4" w:space="0" w:color="auto"/>
            </w:tcBorders>
            <w:shd w:val="clear" w:color="000000" w:fill="FFFFFF"/>
            <w:noWrap/>
            <w:vAlign w:val="center"/>
            <w:hideMark/>
          </w:tcPr>
          <w:p w14:paraId="6BFCC7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B765E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673,972</w:t>
            </w:r>
          </w:p>
        </w:tc>
        <w:tc>
          <w:tcPr>
            <w:tcW w:w="1045" w:type="dxa"/>
            <w:tcBorders>
              <w:top w:val="nil"/>
              <w:left w:val="nil"/>
              <w:bottom w:val="single" w:sz="4" w:space="0" w:color="auto"/>
              <w:right w:val="single" w:sz="4" w:space="0" w:color="auto"/>
            </w:tcBorders>
            <w:shd w:val="clear" w:color="000000" w:fill="FFFFFF"/>
            <w:noWrap/>
            <w:vAlign w:val="center"/>
            <w:hideMark/>
          </w:tcPr>
          <w:p w14:paraId="670B1E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3.95</w:t>
            </w:r>
          </w:p>
        </w:tc>
      </w:tr>
      <w:tr w:rsidR="00177999" w:rsidRPr="00057D13" w14:paraId="1559963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40C5B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2654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4E9197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26034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391,692</w:t>
            </w:r>
          </w:p>
        </w:tc>
        <w:tc>
          <w:tcPr>
            <w:tcW w:w="854" w:type="dxa"/>
            <w:tcBorders>
              <w:top w:val="nil"/>
              <w:left w:val="nil"/>
              <w:bottom w:val="single" w:sz="4" w:space="0" w:color="auto"/>
              <w:right w:val="single" w:sz="4" w:space="0" w:color="auto"/>
            </w:tcBorders>
            <w:shd w:val="clear" w:color="000000" w:fill="FFFFFF"/>
            <w:noWrap/>
            <w:vAlign w:val="center"/>
            <w:hideMark/>
          </w:tcPr>
          <w:p w14:paraId="7FCE70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DABA6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782,495</w:t>
            </w:r>
          </w:p>
        </w:tc>
        <w:tc>
          <w:tcPr>
            <w:tcW w:w="623" w:type="dxa"/>
            <w:tcBorders>
              <w:top w:val="nil"/>
              <w:left w:val="nil"/>
              <w:bottom w:val="single" w:sz="4" w:space="0" w:color="auto"/>
              <w:right w:val="single" w:sz="4" w:space="0" w:color="auto"/>
            </w:tcBorders>
            <w:shd w:val="clear" w:color="000000" w:fill="FFFFFF"/>
            <w:noWrap/>
            <w:vAlign w:val="center"/>
            <w:hideMark/>
          </w:tcPr>
          <w:p w14:paraId="2D1DDD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3.30</w:t>
            </w:r>
          </w:p>
        </w:tc>
        <w:tc>
          <w:tcPr>
            <w:tcW w:w="811" w:type="dxa"/>
            <w:tcBorders>
              <w:top w:val="nil"/>
              <w:left w:val="nil"/>
              <w:bottom w:val="single" w:sz="4" w:space="0" w:color="auto"/>
              <w:right w:val="single" w:sz="4" w:space="0" w:color="auto"/>
            </w:tcBorders>
            <w:shd w:val="clear" w:color="000000" w:fill="FFFFFF"/>
            <w:noWrap/>
            <w:vAlign w:val="center"/>
            <w:hideMark/>
          </w:tcPr>
          <w:p w14:paraId="6DC563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404,716</w:t>
            </w:r>
          </w:p>
        </w:tc>
        <w:tc>
          <w:tcPr>
            <w:tcW w:w="855" w:type="dxa"/>
            <w:tcBorders>
              <w:top w:val="nil"/>
              <w:left w:val="nil"/>
              <w:bottom w:val="single" w:sz="4" w:space="0" w:color="auto"/>
              <w:right w:val="single" w:sz="4" w:space="0" w:color="auto"/>
            </w:tcBorders>
            <w:shd w:val="clear" w:color="000000" w:fill="FFFFFF"/>
            <w:noWrap/>
            <w:vAlign w:val="center"/>
            <w:hideMark/>
          </w:tcPr>
          <w:p w14:paraId="4891FC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38307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807,094</w:t>
            </w:r>
          </w:p>
        </w:tc>
        <w:tc>
          <w:tcPr>
            <w:tcW w:w="740" w:type="dxa"/>
            <w:tcBorders>
              <w:top w:val="nil"/>
              <w:left w:val="nil"/>
              <w:bottom w:val="single" w:sz="4" w:space="0" w:color="auto"/>
              <w:right w:val="single" w:sz="4" w:space="0" w:color="auto"/>
            </w:tcBorders>
            <w:shd w:val="clear" w:color="000000" w:fill="FFFFFF"/>
            <w:noWrap/>
            <w:vAlign w:val="center"/>
            <w:hideMark/>
          </w:tcPr>
          <w:p w14:paraId="74C202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4.81</w:t>
            </w:r>
          </w:p>
        </w:tc>
        <w:tc>
          <w:tcPr>
            <w:tcW w:w="718" w:type="dxa"/>
            <w:tcBorders>
              <w:top w:val="nil"/>
              <w:left w:val="nil"/>
              <w:bottom w:val="single" w:sz="4" w:space="0" w:color="auto"/>
              <w:right w:val="single" w:sz="4" w:space="0" w:color="auto"/>
            </w:tcBorders>
            <w:shd w:val="clear" w:color="000000" w:fill="FFFFFF"/>
            <w:noWrap/>
            <w:vAlign w:val="center"/>
            <w:hideMark/>
          </w:tcPr>
          <w:p w14:paraId="51E896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371,307</w:t>
            </w:r>
          </w:p>
        </w:tc>
        <w:tc>
          <w:tcPr>
            <w:tcW w:w="882" w:type="dxa"/>
            <w:tcBorders>
              <w:top w:val="nil"/>
              <w:left w:val="nil"/>
              <w:bottom w:val="single" w:sz="4" w:space="0" w:color="auto"/>
              <w:right w:val="single" w:sz="4" w:space="0" w:color="auto"/>
            </w:tcBorders>
            <w:shd w:val="clear" w:color="000000" w:fill="FFFFFF"/>
            <w:noWrap/>
            <w:vAlign w:val="center"/>
            <w:hideMark/>
          </w:tcPr>
          <w:p w14:paraId="62D0EE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44B27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735,473</w:t>
            </w:r>
          </w:p>
        </w:tc>
        <w:tc>
          <w:tcPr>
            <w:tcW w:w="1045" w:type="dxa"/>
            <w:tcBorders>
              <w:top w:val="nil"/>
              <w:left w:val="nil"/>
              <w:bottom w:val="single" w:sz="4" w:space="0" w:color="auto"/>
              <w:right w:val="single" w:sz="4" w:space="0" w:color="auto"/>
            </w:tcBorders>
            <w:shd w:val="clear" w:color="000000" w:fill="FFFFFF"/>
            <w:noWrap/>
            <w:vAlign w:val="center"/>
            <w:hideMark/>
          </w:tcPr>
          <w:p w14:paraId="5239FA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A42C74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8E3F8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CD139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1A211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18E30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365,895</w:t>
            </w:r>
          </w:p>
        </w:tc>
        <w:tc>
          <w:tcPr>
            <w:tcW w:w="854" w:type="dxa"/>
            <w:tcBorders>
              <w:top w:val="nil"/>
              <w:left w:val="nil"/>
              <w:bottom w:val="single" w:sz="4" w:space="0" w:color="auto"/>
              <w:right w:val="single" w:sz="4" w:space="0" w:color="auto"/>
            </w:tcBorders>
            <w:shd w:val="clear" w:color="000000" w:fill="FFFFFF"/>
            <w:noWrap/>
            <w:vAlign w:val="center"/>
            <w:hideMark/>
          </w:tcPr>
          <w:p w14:paraId="16D876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9459A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731,399</w:t>
            </w:r>
          </w:p>
        </w:tc>
        <w:tc>
          <w:tcPr>
            <w:tcW w:w="623" w:type="dxa"/>
            <w:tcBorders>
              <w:top w:val="nil"/>
              <w:left w:val="nil"/>
              <w:bottom w:val="single" w:sz="4" w:space="0" w:color="auto"/>
              <w:right w:val="single" w:sz="4" w:space="0" w:color="auto"/>
            </w:tcBorders>
            <w:shd w:val="clear" w:color="000000" w:fill="FFFFFF"/>
            <w:noWrap/>
            <w:vAlign w:val="center"/>
            <w:hideMark/>
          </w:tcPr>
          <w:p w14:paraId="4E3E86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2.48</w:t>
            </w:r>
          </w:p>
        </w:tc>
        <w:tc>
          <w:tcPr>
            <w:tcW w:w="811" w:type="dxa"/>
            <w:tcBorders>
              <w:top w:val="nil"/>
              <w:left w:val="nil"/>
              <w:bottom w:val="single" w:sz="4" w:space="0" w:color="auto"/>
              <w:right w:val="single" w:sz="4" w:space="0" w:color="auto"/>
            </w:tcBorders>
            <w:shd w:val="clear" w:color="000000" w:fill="FFFFFF"/>
            <w:noWrap/>
            <w:vAlign w:val="center"/>
            <w:hideMark/>
          </w:tcPr>
          <w:p w14:paraId="4FB3D0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425,137</w:t>
            </w:r>
          </w:p>
        </w:tc>
        <w:tc>
          <w:tcPr>
            <w:tcW w:w="855" w:type="dxa"/>
            <w:tcBorders>
              <w:top w:val="nil"/>
              <w:left w:val="nil"/>
              <w:bottom w:val="single" w:sz="4" w:space="0" w:color="auto"/>
              <w:right w:val="single" w:sz="4" w:space="0" w:color="auto"/>
            </w:tcBorders>
            <w:shd w:val="clear" w:color="000000" w:fill="FFFFFF"/>
            <w:noWrap/>
            <w:vAlign w:val="center"/>
            <w:hideMark/>
          </w:tcPr>
          <w:p w14:paraId="405880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E53A0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849,202</w:t>
            </w:r>
          </w:p>
        </w:tc>
        <w:tc>
          <w:tcPr>
            <w:tcW w:w="740" w:type="dxa"/>
            <w:tcBorders>
              <w:top w:val="nil"/>
              <w:left w:val="nil"/>
              <w:bottom w:val="single" w:sz="4" w:space="0" w:color="auto"/>
              <w:right w:val="single" w:sz="4" w:space="0" w:color="auto"/>
            </w:tcBorders>
            <w:shd w:val="clear" w:color="000000" w:fill="FFFFFF"/>
            <w:noWrap/>
            <w:vAlign w:val="center"/>
            <w:hideMark/>
          </w:tcPr>
          <w:p w14:paraId="094909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w:t>
            </w:r>
          </w:p>
        </w:tc>
        <w:tc>
          <w:tcPr>
            <w:tcW w:w="718" w:type="dxa"/>
            <w:tcBorders>
              <w:top w:val="nil"/>
              <w:left w:val="nil"/>
              <w:bottom w:val="single" w:sz="4" w:space="0" w:color="auto"/>
              <w:right w:val="single" w:sz="4" w:space="0" w:color="auto"/>
            </w:tcBorders>
            <w:shd w:val="clear" w:color="000000" w:fill="FFFFFF"/>
            <w:noWrap/>
            <w:vAlign w:val="center"/>
            <w:hideMark/>
          </w:tcPr>
          <w:p w14:paraId="51EF4A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360,549</w:t>
            </w:r>
          </w:p>
        </w:tc>
        <w:tc>
          <w:tcPr>
            <w:tcW w:w="882" w:type="dxa"/>
            <w:tcBorders>
              <w:top w:val="nil"/>
              <w:left w:val="nil"/>
              <w:bottom w:val="single" w:sz="4" w:space="0" w:color="auto"/>
              <w:right w:val="single" w:sz="4" w:space="0" w:color="auto"/>
            </w:tcBorders>
            <w:shd w:val="clear" w:color="000000" w:fill="FFFFFF"/>
            <w:noWrap/>
            <w:vAlign w:val="center"/>
            <w:hideMark/>
          </w:tcPr>
          <w:p w14:paraId="6403DD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34C8E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719,866</w:t>
            </w:r>
          </w:p>
        </w:tc>
        <w:tc>
          <w:tcPr>
            <w:tcW w:w="1045" w:type="dxa"/>
            <w:tcBorders>
              <w:top w:val="nil"/>
              <w:left w:val="nil"/>
              <w:bottom w:val="single" w:sz="4" w:space="0" w:color="auto"/>
              <w:right w:val="single" w:sz="4" w:space="0" w:color="auto"/>
            </w:tcBorders>
            <w:shd w:val="clear" w:color="000000" w:fill="FFFFFF"/>
            <w:noWrap/>
            <w:vAlign w:val="center"/>
            <w:hideMark/>
          </w:tcPr>
          <w:p w14:paraId="2B1546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7.67</w:t>
            </w:r>
          </w:p>
        </w:tc>
      </w:tr>
      <w:tr w:rsidR="00177999" w:rsidRPr="00057D13" w14:paraId="466F5E1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EE4FD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1CF0C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F0F9D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52A89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187,361</w:t>
            </w:r>
          </w:p>
        </w:tc>
        <w:tc>
          <w:tcPr>
            <w:tcW w:w="854" w:type="dxa"/>
            <w:tcBorders>
              <w:top w:val="nil"/>
              <w:left w:val="nil"/>
              <w:bottom w:val="single" w:sz="4" w:space="0" w:color="auto"/>
              <w:right w:val="single" w:sz="4" w:space="0" w:color="auto"/>
            </w:tcBorders>
            <w:shd w:val="clear" w:color="000000" w:fill="FFFFFF"/>
            <w:noWrap/>
            <w:vAlign w:val="center"/>
            <w:hideMark/>
          </w:tcPr>
          <w:p w14:paraId="2BEBDB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241A8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374,491</w:t>
            </w:r>
          </w:p>
        </w:tc>
        <w:tc>
          <w:tcPr>
            <w:tcW w:w="623" w:type="dxa"/>
            <w:tcBorders>
              <w:top w:val="nil"/>
              <w:left w:val="nil"/>
              <w:bottom w:val="single" w:sz="4" w:space="0" w:color="auto"/>
              <w:right w:val="single" w:sz="4" w:space="0" w:color="auto"/>
            </w:tcBorders>
            <w:shd w:val="clear" w:color="000000" w:fill="FFFFFF"/>
            <w:noWrap/>
            <w:vAlign w:val="center"/>
            <w:hideMark/>
          </w:tcPr>
          <w:p w14:paraId="7BF57B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8.92</w:t>
            </w:r>
          </w:p>
        </w:tc>
        <w:tc>
          <w:tcPr>
            <w:tcW w:w="811" w:type="dxa"/>
            <w:tcBorders>
              <w:top w:val="nil"/>
              <w:left w:val="nil"/>
              <w:bottom w:val="single" w:sz="4" w:space="0" w:color="auto"/>
              <w:right w:val="single" w:sz="4" w:space="0" w:color="auto"/>
            </w:tcBorders>
            <w:shd w:val="clear" w:color="000000" w:fill="FFFFFF"/>
            <w:noWrap/>
            <w:vAlign w:val="center"/>
            <w:hideMark/>
          </w:tcPr>
          <w:p w14:paraId="13A195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221,794</w:t>
            </w:r>
          </w:p>
        </w:tc>
        <w:tc>
          <w:tcPr>
            <w:tcW w:w="855" w:type="dxa"/>
            <w:tcBorders>
              <w:top w:val="nil"/>
              <w:left w:val="nil"/>
              <w:bottom w:val="single" w:sz="4" w:space="0" w:color="auto"/>
              <w:right w:val="single" w:sz="4" w:space="0" w:color="auto"/>
            </w:tcBorders>
            <w:shd w:val="clear" w:color="000000" w:fill="FFFFFF"/>
            <w:noWrap/>
            <w:vAlign w:val="center"/>
            <w:hideMark/>
          </w:tcPr>
          <w:p w14:paraId="38E240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ABFBC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443,014</w:t>
            </w:r>
          </w:p>
        </w:tc>
        <w:tc>
          <w:tcPr>
            <w:tcW w:w="740" w:type="dxa"/>
            <w:tcBorders>
              <w:top w:val="nil"/>
              <w:left w:val="nil"/>
              <w:bottom w:val="single" w:sz="4" w:space="0" w:color="auto"/>
              <w:right w:val="single" w:sz="4" w:space="0" w:color="auto"/>
            </w:tcBorders>
            <w:shd w:val="clear" w:color="000000" w:fill="FFFFFF"/>
            <w:noWrap/>
            <w:vAlign w:val="center"/>
            <w:hideMark/>
          </w:tcPr>
          <w:p w14:paraId="08BF2B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w:t>
            </w:r>
          </w:p>
        </w:tc>
        <w:tc>
          <w:tcPr>
            <w:tcW w:w="718" w:type="dxa"/>
            <w:tcBorders>
              <w:top w:val="nil"/>
              <w:left w:val="nil"/>
              <w:bottom w:val="single" w:sz="4" w:space="0" w:color="auto"/>
              <w:right w:val="single" w:sz="4" w:space="0" w:color="auto"/>
            </w:tcBorders>
            <w:shd w:val="clear" w:color="000000" w:fill="FFFFFF"/>
            <w:noWrap/>
            <w:vAlign w:val="center"/>
            <w:hideMark/>
          </w:tcPr>
          <w:p w14:paraId="28F308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185,157</w:t>
            </w:r>
          </w:p>
        </w:tc>
        <w:tc>
          <w:tcPr>
            <w:tcW w:w="882" w:type="dxa"/>
            <w:tcBorders>
              <w:top w:val="nil"/>
              <w:left w:val="nil"/>
              <w:bottom w:val="single" w:sz="4" w:space="0" w:color="auto"/>
              <w:right w:val="single" w:sz="4" w:space="0" w:color="auto"/>
            </w:tcBorders>
            <w:shd w:val="clear" w:color="000000" w:fill="FFFFFF"/>
            <w:noWrap/>
            <w:vAlign w:val="center"/>
            <w:hideMark/>
          </w:tcPr>
          <w:p w14:paraId="0E8CF2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04E37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369,815</w:t>
            </w:r>
          </w:p>
        </w:tc>
        <w:tc>
          <w:tcPr>
            <w:tcW w:w="1045" w:type="dxa"/>
            <w:tcBorders>
              <w:top w:val="nil"/>
              <w:left w:val="nil"/>
              <w:bottom w:val="single" w:sz="4" w:space="0" w:color="auto"/>
              <w:right w:val="single" w:sz="4" w:space="0" w:color="auto"/>
            </w:tcBorders>
            <w:shd w:val="clear" w:color="000000" w:fill="FFFFFF"/>
            <w:noWrap/>
            <w:vAlign w:val="center"/>
            <w:hideMark/>
          </w:tcPr>
          <w:p w14:paraId="63A184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7.20</w:t>
            </w:r>
          </w:p>
        </w:tc>
      </w:tr>
      <w:tr w:rsidR="00177999" w:rsidRPr="00057D13" w14:paraId="10BE4BD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97A9B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BDF7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25DBE9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09E8C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348,282</w:t>
            </w:r>
          </w:p>
        </w:tc>
        <w:tc>
          <w:tcPr>
            <w:tcW w:w="854" w:type="dxa"/>
            <w:tcBorders>
              <w:top w:val="nil"/>
              <w:left w:val="nil"/>
              <w:bottom w:val="single" w:sz="4" w:space="0" w:color="auto"/>
              <w:right w:val="single" w:sz="4" w:space="0" w:color="auto"/>
            </w:tcBorders>
            <w:shd w:val="clear" w:color="000000" w:fill="FFFFFF"/>
            <w:noWrap/>
            <w:vAlign w:val="center"/>
            <w:hideMark/>
          </w:tcPr>
          <w:p w14:paraId="5D7BEB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61603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695,708</w:t>
            </w:r>
          </w:p>
        </w:tc>
        <w:tc>
          <w:tcPr>
            <w:tcW w:w="623" w:type="dxa"/>
            <w:tcBorders>
              <w:top w:val="nil"/>
              <w:left w:val="nil"/>
              <w:bottom w:val="single" w:sz="4" w:space="0" w:color="auto"/>
              <w:right w:val="single" w:sz="4" w:space="0" w:color="auto"/>
            </w:tcBorders>
            <w:shd w:val="clear" w:color="000000" w:fill="FFFFFF"/>
            <w:noWrap/>
            <w:vAlign w:val="center"/>
            <w:hideMark/>
          </w:tcPr>
          <w:p w14:paraId="4590C0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3.73</w:t>
            </w:r>
          </w:p>
        </w:tc>
        <w:tc>
          <w:tcPr>
            <w:tcW w:w="811" w:type="dxa"/>
            <w:tcBorders>
              <w:top w:val="nil"/>
              <w:left w:val="nil"/>
              <w:bottom w:val="single" w:sz="4" w:space="0" w:color="auto"/>
              <w:right w:val="single" w:sz="4" w:space="0" w:color="auto"/>
            </w:tcBorders>
            <w:shd w:val="clear" w:color="000000" w:fill="FFFFFF"/>
            <w:noWrap/>
            <w:vAlign w:val="center"/>
            <w:hideMark/>
          </w:tcPr>
          <w:p w14:paraId="5D3222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322,486</w:t>
            </w:r>
          </w:p>
        </w:tc>
        <w:tc>
          <w:tcPr>
            <w:tcW w:w="855" w:type="dxa"/>
            <w:tcBorders>
              <w:top w:val="nil"/>
              <w:left w:val="nil"/>
              <w:bottom w:val="single" w:sz="4" w:space="0" w:color="auto"/>
              <w:right w:val="single" w:sz="4" w:space="0" w:color="auto"/>
            </w:tcBorders>
            <w:shd w:val="clear" w:color="000000" w:fill="FFFFFF"/>
            <w:noWrap/>
            <w:vAlign w:val="center"/>
            <w:hideMark/>
          </w:tcPr>
          <w:p w14:paraId="67544F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882DF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642,503</w:t>
            </w:r>
          </w:p>
        </w:tc>
        <w:tc>
          <w:tcPr>
            <w:tcW w:w="740" w:type="dxa"/>
            <w:tcBorders>
              <w:top w:val="nil"/>
              <w:left w:val="nil"/>
              <w:bottom w:val="single" w:sz="4" w:space="0" w:color="auto"/>
              <w:right w:val="single" w:sz="4" w:space="0" w:color="auto"/>
            </w:tcBorders>
            <w:shd w:val="clear" w:color="000000" w:fill="FFFFFF"/>
            <w:noWrap/>
            <w:vAlign w:val="center"/>
            <w:hideMark/>
          </w:tcPr>
          <w:p w14:paraId="3FC0FD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6.14</w:t>
            </w:r>
          </w:p>
        </w:tc>
        <w:tc>
          <w:tcPr>
            <w:tcW w:w="718" w:type="dxa"/>
            <w:tcBorders>
              <w:top w:val="nil"/>
              <w:left w:val="nil"/>
              <w:bottom w:val="single" w:sz="4" w:space="0" w:color="auto"/>
              <w:right w:val="single" w:sz="4" w:space="0" w:color="auto"/>
            </w:tcBorders>
            <w:shd w:val="clear" w:color="000000" w:fill="FFFFFF"/>
            <w:noWrap/>
            <w:vAlign w:val="center"/>
            <w:hideMark/>
          </w:tcPr>
          <w:p w14:paraId="69BEBA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308,879</w:t>
            </w:r>
          </w:p>
        </w:tc>
        <w:tc>
          <w:tcPr>
            <w:tcW w:w="882" w:type="dxa"/>
            <w:tcBorders>
              <w:top w:val="nil"/>
              <w:left w:val="nil"/>
              <w:bottom w:val="single" w:sz="4" w:space="0" w:color="auto"/>
              <w:right w:val="single" w:sz="4" w:space="0" w:color="auto"/>
            </w:tcBorders>
            <w:shd w:val="clear" w:color="000000" w:fill="FFFFFF"/>
            <w:noWrap/>
            <w:vAlign w:val="center"/>
            <w:hideMark/>
          </w:tcPr>
          <w:p w14:paraId="54F5C4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36EC2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613,249</w:t>
            </w:r>
          </w:p>
        </w:tc>
        <w:tc>
          <w:tcPr>
            <w:tcW w:w="1045" w:type="dxa"/>
            <w:tcBorders>
              <w:top w:val="nil"/>
              <w:left w:val="nil"/>
              <w:bottom w:val="single" w:sz="4" w:space="0" w:color="auto"/>
              <w:right w:val="single" w:sz="4" w:space="0" w:color="auto"/>
            </w:tcBorders>
            <w:shd w:val="clear" w:color="000000" w:fill="FFFFFF"/>
            <w:noWrap/>
            <w:vAlign w:val="center"/>
            <w:hideMark/>
          </w:tcPr>
          <w:p w14:paraId="7B3A90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8FECD1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F6F37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8BD0A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754CF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BA027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323,788</w:t>
            </w:r>
          </w:p>
        </w:tc>
        <w:tc>
          <w:tcPr>
            <w:tcW w:w="854" w:type="dxa"/>
            <w:tcBorders>
              <w:top w:val="nil"/>
              <w:left w:val="nil"/>
              <w:bottom w:val="single" w:sz="4" w:space="0" w:color="auto"/>
              <w:right w:val="single" w:sz="4" w:space="0" w:color="auto"/>
            </w:tcBorders>
            <w:shd w:val="clear" w:color="000000" w:fill="FFFFFF"/>
            <w:noWrap/>
            <w:vAlign w:val="center"/>
            <w:hideMark/>
          </w:tcPr>
          <w:p w14:paraId="4A1015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618A4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647,322</w:t>
            </w:r>
          </w:p>
        </w:tc>
        <w:tc>
          <w:tcPr>
            <w:tcW w:w="623" w:type="dxa"/>
            <w:tcBorders>
              <w:top w:val="nil"/>
              <w:left w:val="nil"/>
              <w:bottom w:val="single" w:sz="4" w:space="0" w:color="auto"/>
              <w:right w:val="single" w:sz="4" w:space="0" w:color="auto"/>
            </w:tcBorders>
            <w:shd w:val="clear" w:color="000000" w:fill="FFFFFF"/>
            <w:noWrap/>
            <w:vAlign w:val="center"/>
            <w:hideMark/>
          </w:tcPr>
          <w:p w14:paraId="5A6DDA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5.61</w:t>
            </w:r>
          </w:p>
        </w:tc>
        <w:tc>
          <w:tcPr>
            <w:tcW w:w="811" w:type="dxa"/>
            <w:tcBorders>
              <w:top w:val="nil"/>
              <w:left w:val="nil"/>
              <w:bottom w:val="single" w:sz="4" w:space="0" w:color="auto"/>
              <w:right w:val="single" w:sz="4" w:space="0" w:color="auto"/>
            </w:tcBorders>
            <w:shd w:val="clear" w:color="000000" w:fill="FFFFFF"/>
            <w:noWrap/>
            <w:vAlign w:val="center"/>
            <w:hideMark/>
          </w:tcPr>
          <w:p w14:paraId="437607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347,124</w:t>
            </w:r>
          </w:p>
        </w:tc>
        <w:tc>
          <w:tcPr>
            <w:tcW w:w="855" w:type="dxa"/>
            <w:tcBorders>
              <w:top w:val="nil"/>
              <w:left w:val="nil"/>
              <w:bottom w:val="single" w:sz="4" w:space="0" w:color="auto"/>
              <w:right w:val="single" w:sz="4" w:space="0" w:color="auto"/>
            </w:tcBorders>
            <w:shd w:val="clear" w:color="000000" w:fill="FFFFFF"/>
            <w:noWrap/>
            <w:vAlign w:val="center"/>
            <w:hideMark/>
          </w:tcPr>
          <w:p w14:paraId="2209B3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693EE4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693,646</w:t>
            </w:r>
          </w:p>
        </w:tc>
        <w:tc>
          <w:tcPr>
            <w:tcW w:w="740" w:type="dxa"/>
            <w:tcBorders>
              <w:top w:val="nil"/>
              <w:left w:val="nil"/>
              <w:bottom w:val="single" w:sz="4" w:space="0" w:color="auto"/>
              <w:right w:val="single" w:sz="4" w:space="0" w:color="auto"/>
            </w:tcBorders>
            <w:shd w:val="clear" w:color="000000" w:fill="FFFFFF"/>
            <w:noWrap/>
            <w:vAlign w:val="center"/>
            <w:hideMark/>
          </w:tcPr>
          <w:p w14:paraId="2CC9C3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35FE7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309,267</w:t>
            </w:r>
          </w:p>
        </w:tc>
        <w:tc>
          <w:tcPr>
            <w:tcW w:w="882" w:type="dxa"/>
            <w:tcBorders>
              <w:top w:val="nil"/>
              <w:left w:val="nil"/>
              <w:bottom w:val="single" w:sz="4" w:space="0" w:color="auto"/>
              <w:right w:val="single" w:sz="4" w:space="0" w:color="auto"/>
            </w:tcBorders>
            <w:shd w:val="clear" w:color="000000" w:fill="FFFFFF"/>
            <w:noWrap/>
            <w:vAlign w:val="center"/>
            <w:hideMark/>
          </w:tcPr>
          <w:p w14:paraId="212F5D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11A1C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617,897</w:t>
            </w:r>
          </w:p>
        </w:tc>
        <w:tc>
          <w:tcPr>
            <w:tcW w:w="1045" w:type="dxa"/>
            <w:tcBorders>
              <w:top w:val="nil"/>
              <w:left w:val="nil"/>
              <w:bottom w:val="single" w:sz="4" w:space="0" w:color="auto"/>
              <w:right w:val="single" w:sz="4" w:space="0" w:color="auto"/>
            </w:tcBorders>
            <w:shd w:val="clear" w:color="000000" w:fill="FFFFFF"/>
            <w:noWrap/>
            <w:vAlign w:val="center"/>
            <w:hideMark/>
          </w:tcPr>
          <w:p w14:paraId="51D08E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2.98</w:t>
            </w:r>
          </w:p>
        </w:tc>
      </w:tr>
      <w:tr w:rsidR="00177999" w:rsidRPr="00057D13" w14:paraId="53FAB6AD"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20E5B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BDDB7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3C47B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3B997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162,079</w:t>
            </w:r>
          </w:p>
        </w:tc>
        <w:tc>
          <w:tcPr>
            <w:tcW w:w="854" w:type="dxa"/>
            <w:tcBorders>
              <w:top w:val="nil"/>
              <w:left w:val="nil"/>
              <w:bottom w:val="single" w:sz="4" w:space="0" w:color="auto"/>
              <w:right w:val="single" w:sz="4" w:space="0" w:color="auto"/>
            </w:tcBorders>
            <w:shd w:val="clear" w:color="000000" w:fill="FFFFFF"/>
            <w:noWrap/>
            <w:vAlign w:val="center"/>
            <w:hideMark/>
          </w:tcPr>
          <w:p w14:paraId="11FF75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04B4D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323,996</w:t>
            </w:r>
          </w:p>
        </w:tc>
        <w:tc>
          <w:tcPr>
            <w:tcW w:w="623" w:type="dxa"/>
            <w:tcBorders>
              <w:top w:val="nil"/>
              <w:left w:val="nil"/>
              <w:bottom w:val="single" w:sz="4" w:space="0" w:color="auto"/>
              <w:right w:val="single" w:sz="4" w:space="0" w:color="auto"/>
            </w:tcBorders>
            <w:shd w:val="clear" w:color="000000" w:fill="FFFFFF"/>
            <w:noWrap/>
            <w:vAlign w:val="center"/>
            <w:hideMark/>
          </w:tcPr>
          <w:p w14:paraId="33E227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6204A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171,272</w:t>
            </w:r>
          </w:p>
        </w:tc>
        <w:tc>
          <w:tcPr>
            <w:tcW w:w="855" w:type="dxa"/>
            <w:tcBorders>
              <w:top w:val="nil"/>
              <w:left w:val="nil"/>
              <w:bottom w:val="single" w:sz="4" w:space="0" w:color="auto"/>
              <w:right w:val="single" w:sz="4" w:space="0" w:color="auto"/>
            </w:tcBorders>
            <w:shd w:val="clear" w:color="000000" w:fill="FFFFFF"/>
            <w:noWrap/>
            <w:vAlign w:val="center"/>
            <w:hideMark/>
          </w:tcPr>
          <w:p w14:paraId="1FE0EF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35F91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342,253</w:t>
            </w:r>
          </w:p>
        </w:tc>
        <w:tc>
          <w:tcPr>
            <w:tcW w:w="740" w:type="dxa"/>
            <w:tcBorders>
              <w:top w:val="nil"/>
              <w:left w:val="nil"/>
              <w:bottom w:val="single" w:sz="4" w:space="0" w:color="auto"/>
              <w:right w:val="single" w:sz="4" w:space="0" w:color="auto"/>
            </w:tcBorders>
            <w:shd w:val="clear" w:color="000000" w:fill="FFFFFF"/>
            <w:noWrap/>
            <w:vAlign w:val="center"/>
            <w:hideMark/>
          </w:tcPr>
          <w:p w14:paraId="5450A6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50FE6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152,234</w:t>
            </w:r>
          </w:p>
        </w:tc>
        <w:tc>
          <w:tcPr>
            <w:tcW w:w="882" w:type="dxa"/>
            <w:tcBorders>
              <w:top w:val="nil"/>
              <w:left w:val="nil"/>
              <w:bottom w:val="single" w:sz="4" w:space="0" w:color="auto"/>
              <w:right w:val="single" w:sz="4" w:space="0" w:color="auto"/>
            </w:tcBorders>
            <w:shd w:val="clear" w:color="000000" w:fill="FFFFFF"/>
            <w:noWrap/>
            <w:vAlign w:val="center"/>
            <w:hideMark/>
          </w:tcPr>
          <w:p w14:paraId="3DF83B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70188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304,157</w:t>
            </w:r>
          </w:p>
        </w:tc>
        <w:tc>
          <w:tcPr>
            <w:tcW w:w="1045" w:type="dxa"/>
            <w:tcBorders>
              <w:top w:val="nil"/>
              <w:left w:val="nil"/>
              <w:bottom w:val="single" w:sz="4" w:space="0" w:color="auto"/>
              <w:right w:val="single" w:sz="4" w:space="0" w:color="auto"/>
            </w:tcBorders>
            <w:shd w:val="clear" w:color="000000" w:fill="FFFFFF"/>
            <w:noWrap/>
            <w:vAlign w:val="center"/>
            <w:hideMark/>
          </w:tcPr>
          <w:p w14:paraId="10CE43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756B7D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43EE2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8A69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57EEE0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214BD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13,611</w:t>
            </w:r>
          </w:p>
        </w:tc>
        <w:tc>
          <w:tcPr>
            <w:tcW w:w="854" w:type="dxa"/>
            <w:tcBorders>
              <w:top w:val="nil"/>
              <w:left w:val="nil"/>
              <w:bottom w:val="single" w:sz="4" w:space="0" w:color="auto"/>
              <w:right w:val="single" w:sz="4" w:space="0" w:color="auto"/>
            </w:tcBorders>
            <w:shd w:val="clear" w:color="000000" w:fill="FFFFFF"/>
            <w:noWrap/>
            <w:vAlign w:val="center"/>
            <w:hideMark/>
          </w:tcPr>
          <w:p w14:paraId="70B91B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085DDD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23,369</w:t>
            </w:r>
          </w:p>
        </w:tc>
        <w:tc>
          <w:tcPr>
            <w:tcW w:w="623" w:type="dxa"/>
            <w:tcBorders>
              <w:top w:val="nil"/>
              <w:left w:val="nil"/>
              <w:bottom w:val="single" w:sz="4" w:space="0" w:color="auto"/>
              <w:right w:val="single" w:sz="4" w:space="0" w:color="auto"/>
            </w:tcBorders>
            <w:shd w:val="clear" w:color="000000" w:fill="FFFFFF"/>
            <w:noWrap/>
            <w:vAlign w:val="center"/>
            <w:hideMark/>
          </w:tcPr>
          <w:p w14:paraId="140630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C767B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1,481</w:t>
            </w:r>
          </w:p>
        </w:tc>
        <w:tc>
          <w:tcPr>
            <w:tcW w:w="855" w:type="dxa"/>
            <w:tcBorders>
              <w:top w:val="nil"/>
              <w:left w:val="nil"/>
              <w:bottom w:val="single" w:sz="4" w:space="0" w:color="auto"/>
              <w:right w:val="single" w:sz="4" w:space="0" w:color="auto"/>
            </w:tcBorders>
            <w:shd w:val="clear" w:color="000000" w:fill="FFFFFF"/>
            <w:noWrap/>
            <w:vAlign w:val="center"/>
            <w:hideMark/>
          </w:tcPr>
          <w:p w14:paraId="7861D7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C821C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2,929</w:t>
            </w:r>
          </w:p>
        </w:tc>
        <w:tc>
          <w:tcPr>
            <w:tcW w:w="740" w:type="dxa"/>
            <w:tcBorders>
              <w:top w:val="nil"/>
              <w:left w:val="nil"/>
              <w:bottom w:val="single" w:sz="4" w:space="0" w:color="auto"/>
              <w:right w:val="single" w:sz="4" w:space="0" w:color="auto"/>
            </w:tcBorders>
            <w:shd w:val="clear" w:color="000000" w:fill="FFFFFF"/>
            <w:noWrap/>
            <w:vAlign w:val="center"/>
            <w:hideMark/>
          </w:tcPr>
          <w:p w14:paraId="067A0A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2E999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21,450</w:t>
            </w:r>
          </w:p>
        </w:tc>
        <w:tc>
          <w:tcPr>
            <w:tcW w:w="882" w:type="dxa"/>
            <w:tcBorders>
              <w:top w:val="nil"/>
              <w:left w:val="nil"/>
              <w:bottom w:val="single" w:sz="4" w:space="0" w:color="auto"/>
              <w:right w:val="single" w:sz="4" w:space="0" w:color="auto"/>
            </w:tcBorders>
            <w:shd w:val="clear" w:color="000000" w:fill="FFFFFF"/>
            <w:noWrap/>
            <w:vAlign w:val="center"/>
            <w:hideMark/>
          </w:tcPr>
          <w:p w14:paraId="26A8A9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F8051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32,023</w:t>
            </w:r>
          </w:p>
        </w:tc>
        <w:tc>
          <w:tcPr>
            <w:tcW w:w="1045" w:type="dxa"/>
            <w:tcBorders>
              <w:top w:val="nil"/>
              <w:left w:val="nil"/>
              <w:bottom w:val="single" w:sz="4" w:space="0" w:color="auto"/>
              <w:right w:val="single" w:sz="4" w:space="0" w:color="auto"/>
            </w:tcBorders>
            <w:shd w:val="clear" w:color="000000" w:fill="FFFFFF"/>
            <w:noWrap/>
            <w:vAlign w:val="center"/>
            <w:hideMark/>
          </w:tcPr>
          <w:p w14:paraId="68C7E2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40BD35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4D763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602F9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B3411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79F3B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96,975</w:t>
            </w:r>
          </w:p>
        </w:tc>
        <w:tc>
          <w:tcPr>
            <w:tcW w:w="854" w:type="dxa"/>
            <w:tcBorders>
              <w:top w:val="nil"/>
              <w:left w:val="nil"/>
              <w:bottom w:val="single" w:sz="4" w:space="0" w:color="auto"/>
              <w:right w:val="single" w:sz="4" w:space="0" w:color="auto"/>
            </w:tcBorders>
            <w:shd w:val="clear" w:color="000000" w:fill="FFFFFF"/>
            <w:noWrap/>
            <w:vAlign w:val="center"/>
            <w:hideMark/>
          </w:tcPr>
          <w:p w14:paraId="52AE4E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40712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192,972</w:t>
            </w:r>
          </w:p>
        </w:tc>
        <w:tc>
          <w:tcPr>
            <w:tcW w:w="623" w:type="dxa"/>
            <w:tcBorders>
              <w:top w:val="nil"/>
              <w:left w:val="nil"/>
              <w:bottom w:val="single" w:sz="4" w:space="0" w:color="auto"/>
              <w:right w:val="single" w:sz="4" w:space="0" w:color="auto"/>
            </w:tcBorders>
            <w:shd w:val="clear" w:color="000000" w:fill="FFFFFF"/>
            <w:noWrap/>
            <w:vAlign w:val="center"/>
            <w:hideMark/>
          </w:tcPr>
          <w:p w14:paraId="1E7069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10.17</w:t>
            </w:r>
          </w:p>
        </w:tc>
        <w:tc>
          <w:tcPr>
            <w:tcW w:w="811" w:type="dxa"/>
            <w:tcBorders>
              <w:top w:val="nil"/>
              <w:left w:val="nil"/>
              <w:bottom w:val="single" w:sz="4" w:space="0" w:color="auto"/>
              <w:right w:val="single" w:sz="4" w:space="0" w:color="auto"/>
            </w:tcBorders>
            <w:shd w:val="clear" w:color="000000" w:fill="FFFFFF"/>
            <w:noWrap/>
            <w:vAlign w:val="center"/>
            <w:hideMark/>
          </w:tcPr>
          <w:p w14:paraId="598B20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66,312</w:t>
            </w:r>
          </w:p>
        </w:tc>
        <w:tc>
          <w:tcPr>
            <w:tcW w:w="855" w:type="dxa"/>
            <w:tcBorders>
              <w:top w:val="nil"/>
              <w:left w:val="nil"/>
              <w:bottom w:val="single" w:sz="4" w:space="0" w:color="auto"/>
              <w:right w:val="single" w:sz="4" w:space="0" w:color="auto"/>
            </w:tcBorders>
            <w:shd w:val="clear" w:color="000000" w:fill="FFFFFF"/>
            <w:noWrap/>
            <w:vAlign w:val="center"/>
            <w:hideMark/>
          </w:tcPr>
          <w:p w14:paraId="496D64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4A8AB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131,608</w:t>
            </w:r>
          </w:p>
        </w:tc>
        <w:tc>
          <w:tcPr>
            <w:tcW w:w="740" w:type="dxa"/>
            <w:tcBorders>
              <w:top w:val="nil"/>
              <w:left w:val="nil"/>
              <w:bottom w:val="single" w:sz="4" w:space="0" w:color="auto"/>
              <w:right w:val="single" w:sz="4" w:space="0" w:color="auto"/>
            </w:tcBorders>
            <w:shd w:val="clear" w:color="000000" w:fill="FFFFFF"/>
            <w:noWrap/>
            <w:vAlign w:val="center"/>
            <w:hideMark/>
          </w:tcPr>
          <w:p w14:paraId="55C34E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11.11</w:t>
            </w:r>
          </w:p>
        </w:tc>
        <w:tc>
          <w:tcPr>
            <w:tcW w:w="718" w:type="dxa"/>
            <w:tcBorders>
              <w:top w:val="nil"/>
              <w:left w:val="nil"/>
              <w:bottom w:val="single" w:sz="4" w:space="0" w:color="auto"/>
              <w:right w:val="single" w:sz="4" w:space="0" w:color="auto"/>
            </w:tcBorders>
            <w:shd w:val="clear" w:color="000000" w:fill="FFFFFF"/>
            <w:noWrap/>
            <w:vAlign w:val="center"/>
            <w:hideMark/>
          </w:tcPr>
          <w:p w14:paraId="40B9A3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86,087</w:t>
            </w:r>
          </w:p>
        </w:tc>
        <w:tc>
          <w:tcPr>
            <w:tcW w:w="882" w:type="dxa"/>
            <w:tcBorders>
              <w:top w:val="nil"/>
              <w:left w:val="nil"/>
              <w:bottom w:val="single" w:sz="4" w:space="0" w:color="auto"/>
              <w:right w:val="single" w:sz="4" w:space="0" w:color="auto"/>
            </w:tcBorders>
            <w:shd w:val="clear" w:color="000000" w:fill="FFFFFF"/>
            <w:noWrap/>
            <w:vAlign w:val="center"/>
            <w:hideMark/>
          </w:tcPr>
          <w:p w14:paraId="2CB459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DCCBB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170,125</w:t>
            </w:r>
          </w:p>
        </w:tc>
        <w:tc>
          <w:tcPr>
            <w:tcW w:w="1045" w:type="dxa"/>
            <w:tcBorders>
              <w:top w:val="nil"/>
              <w:left w:val="nil"/>
              <w:bottom w:val="single" w:sz="4" w:space="0" w:color="auto"/>
              <w:right w:val="single" w:sz="4" w:space="0" w:color="auto"/>
            </w:tcBorders>
            <w:shd w:val="clear" w:color="000000" w:fill="FFFFFF"/>
            <w:noWrap/>
            <w:vAlign w:val="center"/>
            <w:hideMark/>
          </w:tcPr>
          <w:p w14:paraId="5249CB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00358E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4B712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E5B57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13B20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46466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66,162</w:t>
            </w:r>
          </w:p>
        </w:tc>
        <w:tc>
          <w:tcPr>
            <w:tcW w:w="854" w:type="dxa"/>
            <w:tcBorders>
              <w:top w:val="nil"/>
              <w:left w:val="nil"/>
              <w:bottom w:val="single" w:sz="4" w:space="0" w:color="auto"/>
              <w:right w:val="single" w:sz="4" w:space="0" w:color="auto"/>
            </w:tcBorders>
            <w:shd w:val="clear" w:color="000000" w:fill="FFFFFF"/>
            <w:noWrap/>
            <w:vAlign w:val="center"/>
            <w:hideMark/>
          </w:tcPr>
          <w:p w14:paraId="3AB392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61365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131,909</w:t>
            </w:r>
          </w:p>
        </w:tc>
        <w:tc>
          <w:tcPr>
            <w:tcW w:w="623" w:type="dxa"/>
            <w:tcBorders>
              <w:top w:val="nil"/>
              <w:left w:val="nil"/>
              <w:bottom w:val="single" w:sz="4" w:space="0" w:color="auto"/>
              <w:right w:val="single" w:sz="4" w:space="0" w:color="auto"/>
            </w:tcBorders>
            <w:shd w:val="clear" w:color="000000" w:fill="FFFFFF"/>
            <w:noWrap/>
            <w:vAlign w:val="center"/>
            <w:hideMark/>
          </w:tcPr>
          <w:p w14:paraId="01171A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E5414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45,560</w:t>
            </w:r>
          </w:p>
        </w:tc>
        <w:tc>
          <w:tcPr>
            <w:tcW w:w="855" w:type="dxa"/>
            <w:tcBorders>
              <w:top w:val="nil"/>
              <w:left w:val="nil"/>
              <w:bottom w:val="single" w:sz="4" w:space="0" w:color="auto"/>
              <w:right w:val="single" w:sz="4" w:space="0" w:color="auto"/>
            </w:tcBorders>
            <w:shd w:val="clear" w:color="000000" w:fill="FFFFFF"/>
            <w:noWrap/>
            <w:vAlign w:val="center"/>
            <w:hideMark/>
          </w:tcPr>
          <w:p w14:paraId="2A9E93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08E49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90,677</w:t>
            </w:r>
          </w:p>
        </w:tc>
        <w:tc>
          <w:tcPr>
            <w:tcW w:w="740" w:type="dxa"/>
            <w:tcBorders>
              <w:top w:val="nil"/>
              <w:left w:val="nil"/>
              <w:bottom w:val="single" w:sz="4" w:space="0" w:color="auto"/>
              <w:right w:val="single" w:sz="4" w:space="0" w:color="auto"/>
            </w:tcBorders>
            <w:shd w:val="clear" w:color="000000" w:fill="FFFFFF"/>
            <w:noWrap/>
            <w:vAlign w:val="center"/>
            <w:hideMark/>
          </w:tcPr>
          <w:p w14:paraId="0D9C36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CD80D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55,445</w:t>
            </w:r>
          </w:p>
        </w:tc>
        <w:tc>
          <w:tcPr>
            <w:tcW w:w="882" w:type="dxa"/>
            <w:tcBorders>
              <w:top w:val="nil"/>
              <w:left w:val="nil"/>
              <w:bottom w:val="single" w:sz="4" w:space="0" w:color="auto"/>
              <w:right w:val="single" w:sz="4" w:space="0" w:color="auto"/>
            </w:tcBorders>
            <w:shd w:val="clear" w:color="000000" w:fill="FFFFFF"/>
            <w:noWrap/>
            <w:vAlign w:val="center"/>
            <w:hideMark/>
          </w:tcPr>
          <w:p w14:paraId="47806D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2506AA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110,204</w:t>
            </w:r>
          </w:p>
        </w:tc>
        <w:tc>
          <w:tcPr>
            <w:tcW w:w="1045" w:type="dxa"/>
            <w:tcBorders>
              <w:top w:val="nil"/>
              <w:left w:val="nil"/>
              <w:bottom w:val="single" w:sz="4" w:space="0" w:color="auto"/>
              <w:right w:val="single" w:sz="4" w:space="0" w:color="auto"/>
            </w:tcBorders>
            <w:shd w:val="clear" w:color="000000" w:fill="FFFFFF"/>
            <w:noWrap/>
            <w:vAlign w:val="center"/>
            <w:hideMark/>
          </w:tcPr>
          <w:p w14:paraId="0BD1F0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12.24</w:t>
            </w:r>
          </w:p>
        </w:tc>
      </w:tr>
      <w:tr w:rsidR="00177999" w:rsidRPr="00057D13" w14:paraId="6E5809C4"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7674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Appendicitis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708E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0B0D10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F4778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602,964</w:t>
            </w:r>
          </w:p>
        </w:tc>
        <w:tc>
          <w:tcPr>
            <w:tcW w:w="854" w:type="dxa"/>
            <w:tcBorders>
              <w:top w:val="nil"/>
              <w:left w:val="nil"/>
              <w:bottom w:val="single" w:sz="4" w:space="0" w:color="auto"/>
              <w:right w:val="single" w:sz="4" w:space="0" w:color="auto"/>
            </w:tcBorders>
            <w:shd w:val="clear" w:color="000000" w:fill="FFFFFF"/>
            <w:noWrap/>
            <w:vAlign w:val="center"/>
            <w:hideMark/>
          </w:tcPr>
          <w:p w14:paraId="43DD10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w:t>
            </w:r>
          </w:p>
        </w:tc>
        <w:tc>
          <w:tcPr>
            <w:tcW w:w="1013" w:type="dxa"/>
            <w:tcBorders>
              <w:top w:val="nil"/>
              <w:left w:val="nil"/>
              <w:bottom w:val="single" w:sz="4" w:space="0" w:color="auto"/>
              <w:right w:val="single" w:sz="4" w:space="0" w:color="auto"/>
            </w:tcBorders>
            <w:shd w:val="clear" w:color="000000" w:fill="FFFFFF"/>
            <w:noWrap/>
            <w:vAlign w:val="center"/>
            <w:hideMark/>
          </w:tcPr>
          <w:p w14:paraId="12CC3C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19,346,774</w:t>
            </w:r>
          </w:p>
        </w:tc>
        <w:tc>
          <w:tcPr>
            <w:tcW w:w="623" w:type="dxa"/>
            <w:tcBorders>
              <w:top w:val="nil"/>
              <w:left w:val="nil"/>
              <w:bottom w:val="single" w:sz="4" w:space="0" w:color="auto"/>
              <w:right w:val="single" w:sz="4" w:space="0" w:color="auto"/>
            </w:tcBorders>
            <w:shd w:val="clear" w:color="000000" w:fill="FFFFFF"/>
            <w:noWrap/>
            <w:vAlign w:val="center"/>
            <w:hideMark/>
          </w:tcPr>
          <w:p w14:paraId="403434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1.13</w:t>
            </w:r>
          </w:p>
        </w:tc>
        <w:tc>
          <w:tcPr>
            <w:tcW w:w="811" w:type="dxa"/>
            <w:tcBorders>
              <w:top w:val="nil"/>
              <w:left w:val="nil"/>
              <w:bottom w:val="single" w:sz="4" w:space="0" w:color="auto"/>
              <w:right w:val="single" w:sz="4" w:space="0" w:color="auto"/>
            </w:tcBorders>
            <w:shd w:val="clear" w:color="000000" w:fill="FFFFFF"/>
            <w:noWrap/>
            <w:vAlign w:val="center"/>
            <w:hideMark/>
          </w:tcPr>
          <w:p w14:paraId="2DC414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604,588</w:t>
            </w:r>
          </w:p>
        </w:tc>
        <w:tc>
          <w:tcPr>
            <w:tcW w:w="855" w:type="dxa"/>
            <w:tcBorders>
              <w:top w:val="nil"/>
              <w:left w:val="nil"/>
              <w:bottom w:val="single" w:sz="4" w:space="0" w:color="auto"/>
              <w:right w:val="single" w:sz="4" w:space="0" w:color="auto"/>
            </w:tcBorders>
            <w:shd w:val="clear" w:color="000000" w:fill="FFFFFF"/>
            <w:noWrap/>
            <w:vAlign w:val="center"/>
            <w:hideMark/>
          </w:tcPr>
          <w:p w14:paraId="56636D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w:t>
            </w:r>
          </w:p>
        </w:tc>
        <w:tc>
          <w:tcPr>
            <w:tcW w:w="1014" w:type="dxa"/>
            <w:tcBorders>
              <w:top w:val="nil"/>
              <w:left w:val="nil"/>
              <w:bottom w:val="single" w:sz="4" w:space="0" w:color="auto"/>
              <w:right w:val="single" w:sz="4" w:space="0" w:color="auto"/>
            </w:tcBorders>
            <w:shd w:val="clear" w:color="000000" w:fill="FFFFFF"/>
            <w:noWrap/>
            <w:vAlign w:val="center"/>
            <w:hideMark/>
          </w:tcPr>
          <w:p w14:paraId="3F71E0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19,727,071</w:t>
            </w:r>
          </w:p>
        </w:tc>
        <w:tc>
          <w:tcPr>
            <w:tcW w:w="740" w:type="dxa"/>
            <w:tcBorders>
              <w:top w:val="nil"/>
              <w:left w:val="nil"/>
              <w:bottom w:val="single" w:sz="4" w:space="0" w:color="auto"/>
              <w:right w:val="single" w:sz="4" w:space="0" w:color="auto"/>
            </w:tcBorders>
            <w:shd w:val="clear" w:color="000000" w:fill="FFFFFF"/>
            <w:noWrap/>
            <w:vAlign w:val="center"/>
            <w:hideMark/>
          </w:tcPr>
          <w:p w14:paraId="0EB02A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0.74</w:t>
            </w:r>
          </w:p>
        </w:tc>
        <w:tc>
          <w:tcPr>
            <w:tcW w:w="718" w:type="dxa"/>
            <w:tcBorders>
              <w:top w:val="nil"/>
              <w:left w:val="nil"/>
              <w:bottom w:val="single" w:sz="4" w:space="0" w:color="auto"/>
              <w:right w:val="single" w:sz="4" w:space="0" w:color="auto"/>
            </w:tcBorders>
            <w:shd w:val="clear" w:color="000000" w:fill="FFFFFF"/>
            <w:noWrap/>
            <w:vAlign w:val="center"/>
            <w:hideMark/>
          </w:tcPr>
          <w:p w14:paraId="176037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572,135</w:t>
            </w:r>
          </w:p>
        </w:tc>
        <w:tc>
          <w:tcPr>
            <w:tcW w:w="882" w:type="dxa"/>
            <w:tcBorders>
              <w:top w:val="nil"/>
              <w:left w:val="nil"/>
              <w:bottom w:val="single" w:sz="4" w:space="0" w:color="auto"/>
              <w:right w:val="single" w:sz="4" w:space="0" w:color="auto"/>
            </w:tcBorders>
            <w:shd w:val="clear" w:color="000000" w:fill="FFFFFF"/>
            <w:noWrap/>
            <w:vAlign w:val="center"/>
            <w:hideMark/>
          </w:tcPr>
          <w:p w14:paraId="6147DC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48</w:t>
            </w:r>
          </w:p>
        </w:tc>
        <w:tc>
          <w:tcPr>
            <w:tcW w:w="1045" w:type="dxa"/>
            <w:tcBorders>
              <w:top w:val="nil"/>
              <w:left w:val="nil"/>
              <w:bottom w:val="single" w:sz="4" w:space="0" w:color="auto"/>
              <w:right w:val="single" w:sz="4" w:space="0" w:color="auto"/>
            </w:tcBorders>
            <w:shd w:val="clear" w:color="000000" w:fill="FFFFFF"/>
            <w:noWrap/>
            <w:vAlign w:val="center"/>
            <w:hideMark/>
          </w:tcPr>
          <w:p w14:paraId="1CD2B3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18,187,457</w:t>
            </w:r>
          </w:p>
        </w:tc>
        <w:tc>
          <w:tcPr>
            <w:tcW w:w="1045" w:type="dxa"/>
            <w:tcBorders>
              <w:top w:val="nil"/>
              <w:left w:val="nil"/>
              <w:bottom w:val="single" w:sz="4" w:space="0" w:color="auto"/>
              <w:right w:val="single" w:sz="4" w:space="0" w:color="auto"/>
            </w:tcBorders>
            <w:shd w:val="clear" w:color="000000" w:fill="FFFFFF"/>
            <w:noWrap/>
            <w:vAlign w:val="center"/>
            <w:hideMark/>
          </w:tcPr>
          <w:p w14:paraId="5A3CEC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0.70</w:t>
            </w:r>
          </w:p>
        </w:tc>
      </w:tr>
      <w:tr w:rsidR="00177999" w:rsidRPr="00057D13" w14:paraId="06112AB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27B8D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8EF63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2B9B7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9CF3D7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572,563</w:t>
            </w:r>
          </w:p>
        </w:tc>
        <w:tc>
          <w:tcPr>
            <w:tcW w:w="854" w:type="dxa"/>
            <w:tcBorders>
              <w:top w:val="nil"/>
              <w:left w:val="nil"/>
              <w:bottom w:val="single" w:sz="4" w:space="0" w:color="auto"/>
              <w:right w:val="single" w:sz="4" w:space="0" w:color="auto"/>
            </w:tcBorders>
            <w:shd w:val="clear" w:color="000000" w:fill="FFFFFF"/>
            <w:noWrap/>
            <w:vAlign w:val="center"/>
            <w:hideMark/>
          </w:tcPr>
          <w:p w14:paraId="3E7640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90</w:t>
            </w:r>
          </w:p>
        </w:tc>
        <w:tc>
          <w:tcPr>
            <w:tcW w:w="1013" w:type="dxa"/>
            <w:tcBorders>
              <w:top w:val="nil"/>
              <w:left w:val="nil"/>
              <w:bottom w:val="single" w:sz="4" w:space="0" w:color="auto"/>
              <w:right w:val="single" w:sz="4" w:space="0" w:color="auto"/>
            </w:tcBorders>
            <w:shd w:val="clear" w:color="000000" w:fill="FFFFFF"/>
            <w:noWrap/>
            <w:vAlign w:val="center"/>
            <w:hideMark/>
          </w:tcPr>
          <w:p w14:paraId="59A467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18,568,541</w:t>
            </w:r>
          </w:p>
        </w:tc>
        <w:tc>
          <w:tcPr>
            <w:tcW w:w="623" w:type="dxa"/>
            <w:tcBorders>
              <w:top w:val="nil"/>
              <w:left w:val="nil"/>
              <w:bottom w:val="single" w:sz="4" w:space="0" w:color="auto"/>
              <w:right w:val="single" w:sz="4" w:space="0" w:color="auto"/>
            </w:tcBorders>
            <w:shd w:val="clear" w:color="000000" w:fill="FFFFFF"/>
            <w:noWrap/>
            <w:vAlign w:val="center"/>
            <w:hideMark/>
          </w:tcPr>
          <w:p w14:paraId="131B2A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w:t>
            </w:r>
          </w:p>
        </w:tc>
        <w:tc>
          <w:tcPr>
            <w:tcW w:w="811" w:type="dxa"/>
            <w:tcBorders>
              <w:top w:val="nil"/>
              <w:left w:val="nil"/>
              <w:bottom w:val="single" w:sz="4" w:space="0" w:color="auto"/>
              <w:right w:val="single" w:sz="4" w:space="0" w:color="auto"/>
            </w:tcBorders>
            <w:shd w:val="clear" w:color="000000" w:fill="FFFFFF"/>
            <w:noWrap/>
            <w:vAlign w:val="center"/>
            <w:hideMark/>
          </w:tcPr>
          <w:p w14:paraId="1428CFA0"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652,741</w:t>
            </w:r>
          </w:p>
        </w:tc>
        <w:tc>
          <w:tcPr>
            <w:tcW w:w="855" w:type="dxa"/>
            <w:tcBorders>
              <w:top w:val="nil"/>
              <w:left w:val="nil"/>
              <w:bottom w:val="single" w:sz="4" w:space="0" w:color="auto"/>
              <w:right w:val="single" w:sz="4" w:space="0" w:color="auto"/>
            </w:tcBorders>
            <w:shd w:val="clear" w:color="000000" w:fill="FFFFFF"/>
            <w:noWrap/>
            <w:vAlign w:val="center"/>
            <w:hideMark/>
          </w:tcPr>
          <w:p w14:paraId="7CB1E8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88</w:t>
            </w:r>
          </w:p>
        </w:tc>
        <w:tc>
          <w:tcPr>
            <w:tcW w:w="1014" w:type="dxa"/>
            <w:tcBorders>
              <w:top w:val="nil"/>
              <w:left w:val="nil"/>
              <w:bottom w:val="single" w:sz="4" w:space="0" w:color="auto"/>
              <w:right w:val="single" w:sz="4" w:space="0" w:color="auto"/>
            </w:tcBorders>
            <w:shd w:val="clear" w:color="000000" w:fill="FFFFFF"/>
            <w:noWrap/>
            <w:vAlign w:val="center"/>
            <w:hideMark/>
          </w:tcPr>
          <w:p w14:paraId="5035D7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21,526,254</w:t>
            </w:r>
          </w:p>
        </w:tc>
        <w:tc>
          <w:tcPr>
            <w:tcW w:w="740" w:type="dxa"/>
            <w:tcBorders>
              <w:top w:val="nil"/>
              <w:left w:val="nil"/>
              <w:bottom w:val="single" w:sz="4" w:space="0" w:color="auto"/>
              <w:right w:val="single" w:sz="4" w:space="0" w:color="auto"/>
            </w:tcBorders>
            <w:shd w:val="clear" w:color="000000" w:fill="FFFFFF"/>
            <w:noWrap/>
            <w:vAlign w:val="center"/>
            <w:hideMark/>
          </w:tcPr>
          <w:p w14:paraId="3CA3DA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0.87</w:t>
            </w:r>
          </w:p>
        </w:tc>
        <w:tc>
          <w:tcPr>
            <w:tcW w:w="718" w:type="dxa"/>
            <w:tcBorders>
              <w:top w:val="nil"/>
              <w:left w:val="nil"/>
              <w:bottom w:val="single" w:sz="4" w:space="0" w:color="auto"/>
              <w:right w:val="single" w:sz="4" w:space="0" w:color="auto"/>
            </w:tcBorders>
            <w:shd w:val="clear" w:color="000000" w:fill="FFFFFF"/>
            <w:noWrap/>
            <w:vAlign w:val="center"/>
            <w:hideMark/>
          </w:tcPr>
          <w:p w14:paraId="74F5542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565,049</w:t>
            </w:r>
          </w:p>
        </w:tc>
        <w:tc>
          <w:tcPr>
            <w:tcW w:w="882" w:type="dxa"/>
            <w:tcBorders>
              <w:top w:val="nil"/>
              <w:left w:val="nil"/>
              <w:bottom w:val="single" w:sz="4" w:space="0" w:color="auto"/>
              <w:right w:val="single" w:sz="4" w:space="0" w:color="auto"/>
            </w:tcBorders>
            <w:shd w:val="clear" w:color="000000" w:fill="FFFFFF"/>
            <w:noWrap/>
            <w:vAlign w:val="center"/>
            <w:hideMark/>
          </w:tcPr>
          <w:p w14:paraId="02AB10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w:t>
            </w:r>
          </w:p>
        </w:tc>
        <w:tc>
          <w:tcPr>
            <w:tcW w:w="1045" w:type="dxa"/>
            <w:tcBorders>
              <w:top w:val="nil"/>
              <w:left w:val="nil"/>
              <w:bottom w:val="single" w:sz="4" w:space="0" w:color="auto"/>
              <w:right w:val="single" w:sz="4" w:space="0" w:color="auto"/>
            </w:tcBorders>
            <w:shd w:val="clear" w:color="000000" w:fill="FFFFFF"/>
            <w:noWrap/>
            <w:vAlign w:val="center"/>
            <w:hideMark/>
          </w:tcPr>
          <w:p w14:paraId="77B042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18,251,418</w:t>
            </w:r>
          </w:p>
        </w:tc>
        <w:tc>
          <w:tcPr>
            <w:tcW w:w="1045" w:type="dxa"/>
            <w:tcBorders>
              <w:top w:val="nil"/>
              <w:left w:val="nil"/>
              <w:bottom w:val="single" w:sz="4" w:space="0" w:color="auto"/>
              <w:right w:val="single" w:sz="4" w:space="0" w:color="auto"/>
            </w:tcBorders>
            <w:shd w:val="clear" w:color="000000" w:fill="FFFFFF"/>
            <w:noWrap/>
            <w:vAlign w:val="center"/>
            <w:hideMark/>
          </w:tcPr>
          <w:p w14:paraId="40011F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0.94</w:t>
            </w:r>
          </w:p>
        </w:tc>
      </w:tr>
      <w:tr w:rsidR="00177999" w:rsidRPr="00057D13" w14:paraId="21BF66F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B9F6A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DB8D1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64472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AF57ED7"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291,301</w:t>
            </w:r>
          </w:p>
        </w:tc>
        <w:tc>
          <w:tcPr>
            <w:tcW w:w="854" w:type="dxa"/>
            <w:tcBorders>
              <w:top w:val="nil"/>
              <w:left w:val="nil"/>
              <w:bottom w:val="single" w:sz="4" w:space="0" w:color="auto"/>
              <w:right w:val="single" w:sz="4" w:space="0" w:color="auto"/>
            </w:tcBorders>
            <w:shd w:val="clear" w:color="000000" w:fill="FFFFFF"/>
            <w:noWrap/>
            <w:vAlign w:val="center"/>
            <w:hideMark/>
          </w:tcPr>
          <w:p w14:paraId="070FB9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w:t>
            </w:r>
          </w:p>
        </w:tc>
        <w:tc>
          <w:tcPr>
            <w:tcW w:w="1013" w:type="dxa"/>
            <w:tcBorders>
              <w:top w:val="nil"/>
              <w:left w:val="nil"/>
              <w:bottom w:val="single" w:sz="4" w:space="0" w:color="auto"/>
              <w:right w:val="single" w:sz="4" w:space="0" w:color="auto"/>
            </w:tcBorders>
            <w:shd w:val="clear" w:color="000000" w:fill="FFFFFF"/>
            <w:noWrap/>
            <w:vAlign w:val="center"/>
            <w:hideMark/>
          </w:tcPr>
          <w:p w14:paraId="014A45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9,505,378</w:t>
            </w:r>
          </w:p>
        </w:tc>
        <w:tc>
          <w:tcPr>
            <w:tcW w:w="623" w:type="dxa"/>
            <w:tcBorders>
              <w:top w:val="nil"/>
              <w:left w:val="nil"/>
              <w:bottom w:val="single" w:sz="4" w:space="0" w:color="auto"/>
              <w:right w:val="single" w:sz="4" w:space="0" w:color="auto"/>
            </w:tcBorders>
            <w:shd w:val="clear" w:color="000000" w:fill="FFFFFF"/>
            <w:noWrap/>
            <w:vAlign w:val="center"/>
            <w:hideMark/>
          </w:tcPr>
          <w:p w14:paraId="194E6A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0.99</w:t>
            </w:r>
          </w:p>
        </w:tc>
        <w:tc>
          <w:tcPr>
            <w:tcW w:w="811" w:type="dxa"/>
            <w:tcBorders>
              <w:top w:val="nil"/>
              <w:left w:val="nil"/>
              <w:bottom w:val="single" w:sz="4" w:space="0" w:color="auto"/>
              <w:right w:val="single" w:sz="4" w:space="0" w:color="auto"/>
            </w:tcBorders>
            <w:shd w:val="clear" w:color="000000" w:fill="FFFFFF"/>
            <w:noWrap/>
            <w:vAlign w:val="center"/>
            <w:hideMark/>
          </w:tcPr>
          <w:p w14:paraId="705400C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334,608</w:t>
            </w:r>
          </w:p>
        </w:tc>
        <w:tc>
          <w:tcPr>
            <w:tcW w:w="855" w:type="dxa"/>
            <w:tcBorders>
              <w:top w:val="nil"/>
              <w:left w:val="nil"/>
              <w:bottom w:val="single" w:sz="4" w:space="0" w:color="auto"/>
              <w:right w:val="single" w:sz="4" w:space="0" w:color="auto"/>
            </w:tcBorders>
            <w:shd w:val="clear" w:color="000000" w:fill="FFFFFF"/>
            <w:noWrap/>
            <w:vAlign w:val="center"/>
            <w:hideMark/>
          </w:tcPr>
          <w:p w14:paraId="61AF9D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w:t>
            </w:r>
          </w:p>
        </w:tc>
        <w:tc>
          <w:tcPr>
            <w:tcW w:w="1014" w:type="dxa"/>
            <w:tcBorders>
              <w:top w:val="nil"/>
              <w:left w:val="nil"/>
              <w:bottom w:val="single" w:sz="4" w:space="0" w:color="auto"/>
              <w:right w:val="single" w:sz="4" w:space="0" w:color="auto"/>
            </w:tcBorders>
            <w:shd w:val="clear" w:color="000000" w:fill="FFFFFF"/>
            <w:noWrap/>
            <w:vAlign w:val="center"/>
            <w:hideMark/>
          </w:tcPr>
          <w:p w14:paraId="293D75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11,200,565</w:t>
            </w:r>
          </w:p>
        </w:tc>
        <w:tc>
          <w:tcPr>
            <w:tcW w:w="740" w:type="dxa"/>
            <w:tcBorders>
              <w:top w:val="nil"/>
              <w:left w:val="nil"/>
              <w:bottom w:val="single" w:sz="4" w:space="0" w:color="auto"/>
              <w:right w:val="single" w:sz="4" w:space="0" w:color="auto"/>
            </w:tcBorders>
            <w:shd w:val="clear" w:color="000000" w:fill="FFFFFF"/>
            <w:noWrap/>
            <w:vAlign w:val="center"/>
            <w:hideMark/>
          </w:tcPr>
          <w:p w14:paraId="35CA2E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1.01</w:t>
            </w:r>
          </w:p>
        </w:tc>
        <w:tc>
          <w:tcPr>
            <w:tcW w:w="718" w:type="dxa"/>
            <w:tcBorders>
              <w:top w:val="nil"/>
              <w:left w:val="nil"/>
              <w:bottom w:val="single" w:sz="4" w:space="0" w:color="auto"/>
              <w:right w:val="single" w:sz="4" w:space="0" w:color="auto"/>
            </w:tcBorders>
            <w:shd w:val="clear" w:color="000000" w:fill="FFFFFF"/>
            <w:noWrap/>
            <w:vAlign w:val="center"/>
            <w:hideMark/>
          </w:tcPr>
          <w:p w14:paraId="2859F2A0"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285,726</w:t>
            </w:r>
          </w:p>
        </w:tc>
        <w:tc>
          <w:tcPr>
            <w:tcW w:w="882" w:type="dxa"/>
            <w:tcBorders>
              <w:top w:val="nil"/>
              <w:left w:val="nil"/>
              <w:bottom w:val="single" w:sz="4" w:space="0" w:color="auto"/>
              <w:right w:val="single" w:sz="4" w:space="0" w:color="auto"/>
            </w:tcBorders>
            <w:shd w:val="clear" w:color="000000" w:fill="FFFFFF"/>
            <w:noWrap/>
            <w:vAlign w:val="center"/>
            <w:hideMark/>
          </w:tcPr>
          <w:p w14:paraId="1DBDB7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w:t>
            </w:r>
          </w:p>
        </w:tc>
        <w:tc>
          <w:tcPr>
            <w:tcW w:w="1045" w:type="dxa"/>
            <w:tcBorders>
              <w:top w:val="nil"/>
              <w:left w:val="nil"/>
              <w:bottom w:val="single" w:sz="4" w:space="0" w:color="auto"/>
              <w:right w:val="single" w:sz="4" w:space="0" w:color="auto"/>
            </w:tcBorders>
            <w:shd w:val="clear" w:color="000000" w:fill="FFFFFF"/>
            <w:noWrap/>
            <w:vAlign w:val="center"/>
            <w:hideMark/>
          </w:tcPr>
          <w:p w14:paraId="1227EA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9,336,794</w:t>
            </w:r>
          </w:p>
        </w:tc>
        <w:tc>
          <w:tcPr>
            <w:tcW w:w="1045" w:type="dxa"/>
            <w:tcBorders>
              <w:top w:val="nil"/>
              <w:left w:val="nil"/>
              <w:bottom w:val="single" w:sz="4" w:space="0" w:color="auto"/>
              <w:right w:val="single" w:sz="4" w:space="0" w:color="auto"/>
            </w:tcBorders>
            <w:shd w:val="clear" w:color="000000" w:fill="FFFFFF"/>
            <w:noWrap/>
            <w:vAlign w:val="center"/>
            <w:hideMark/>
          </w:tcPr>
          <w:p w14:paraId="204F6A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0.89</w:t>
            </w:r>
          </w:p>
        </w:tc>
      </w:tr>
      <w:tr w:rsidR="00177999" w:rsidRPr="00057D13" w14:paraId="0ADB4D2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6DE37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0E6E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02A5F7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40D83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318,219</w:t>
            </w:r>
          </w:p>
        </w:tc>
        <w:tc>
          <w:tcPr>
            <w:tcW w:w="854" w:type="dxa"/>
            <w:tcBorders>
              <w:top w:val="nil"/>
              <w:left w:val="nil"/>
              <w:bottom w:val="single" w:sz="4" w:space="0" w:color="auto"/>
              <w:right w:val="single" w:sz="4" w:space="0" w:color="auto"/>
            </w:tcBorders>
            <w:shd w:val="clear" w:color="000000" w:fill="FFFFFF"/>
            <w:noWrap/>
            <w:vAlign w:val="center"/>
            <w:hideMark/>
          </w:tcPr>
          <w:p w14:paraId="0580F5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w:t>
            </w:r>
          </w:p>
        </w:tc>
        <w:tc>
          <w:tcPr>
            <w:tcW w:w="1013" w:type="dxa"/>
            <w:tcBorders>
              <w:top w:val="nil"/>
              <w:left w:val="nil"/>
              <w:bottom w:val="single" w:sz="4" w:space="0" w:color="auto"/>
              <w:right w:val="single" w:sz="4" w:space="0" w:color="auto"/>
            </w:tcBorders>
            <w:shd w:val="clear" w:color="000000" w:fill="FFFFFF"/>
            <w:noWrap/>
            <w:vAlign w:val="center"/>
            <w:hideMark/>
          </w:tcPr>
          <w:p w14:paraId="3F4A26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7,902,725</w:t>
            </w:r>
          </w:p>
        </w:tc>
        <w:tc>
          <w:tcPr>
            <w:tcW w:w="623" w:type="dxa"/>
            <w:tcBorders>
              <w:top w:val="nil"/>
              <w:left w:val="nil"/>
              <w:bottom w:val="single" w:sz="4" w:space="0" w:color="auto"/>
              <w:right w:val="single" w:sz="4" w:space="0" w:color="auto"/>
            </w:tcBorders>
            <w:shd w:val="clear" w:color="000000" w:fill="FFFFFF"/>
            <w:noWrap/>
            <w:vAlign w:val="center"/>
            <w:hideMark/>
          </w:tcPr>
          <w:p w14:paraId="1AA17E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1.13</w:t>
            </w:r>
          </w:p>
        </w:tc>
        <w:tc>
          <w:tcPr>
            <w:tcW w:w="811" w:type="dxa"/>
            <w:tcBorders>
              <w:top w:val="nil"/>
              <w:left w:val="nil"/>
              <w:bottom w:val="single" w:sz="4" w:space="0" w:color="auto"/>
              <w:right w:val="single" w:sz="4" w:space="0" w:color="auto"/>
            </w:tcBorders>
            <w:shd w:val="clear" w:color="000000" w:fill="FFFFFF"/>
            <w:noWrap/>
            <w:vAlign w:val="center"/>
            <w:hideMark/>
          </w:tcPr>
          <w:p w14:paraId="408D81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335,279</w:t>
            </w:r>
          </w:p>
        </w:tc>
        <w:tc>
          <w:tcPr>
            <w:tcW w:w="855" w:type="dxa"/>
            <w:tcBorders>
              <w:top w:val="nil"/>
              <w:left w:val="nil"/>
              <w:bottom w:val="single" w:sz="4" w:space="0" w:color="auto"/>
              <w:right w:val="single" w:sz="4" w:space="0" w:color="auto"/>
            </w:tcBorders>
            <w:shd w:val="clear" w:color="000000" w:fill="FFFFFF"/>
            <w:noWrap/>
            <w:vAlign w:val="center"/>
            <w:hideMark/>
          </w:tcPr>
          <w:p w14:paraId="0FB231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w:t>
            </w:r>
          </w:p>
        </w:tc>
        <w:tc>
          <w:tcPr>
            <w:tcW w:w="1014" w:type="dxa"/>
            <w:tcBorders>
              <w:top w:val="nil"/>
              <w:left w:val="nil"/>
              <w:bottom w:val="single" w:sz="4" w:space="0" w:color="auto"/>
              <w:right w:val="single" w:sz="4" w:space="0" w:color="auto"/>
            </w:tcBorders>
            <w:shd w:val="clear" w:color="000000" w:fill="FFFFFF"/>
            <w:noWrap/>
            <w:vAlign w:val="center"/>
            <w:hideMark/>
          </w:tcPr>
          <w:p w14:paraId="4230A0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8,916,128</w:t>
            </w:r>
          </w:p>
        </w:tc>
        <w:tc>
          <w:tcPr>
            <w:tcW w:w="740" w:type="dxa"/>
            <w:tcBorders>
              <w:top w:val="nil"/>
              <w:left w:val="nil"/>
              <w:bottom w:val="single" w:sz="4" w:space="0" w:color="auto"/>
              <w:right w:val="single" w:sz="4" w:space="0" w:color="auto"/>
            </w:tcBorders>
            <w:shd w:val="clear" w:color="000000" w:fill="FFFFFF"/>
            <w:noWrap/>
            <w:vAlign w:val="center"/>
            <w:hideMark/>
          </w:tcPr>
          <w:p w14:paraId="5E9353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0.74</w:t>
            </w:r>
          </w:p>
        </w:tc>
        <w:tc>
          <w:tcPr>
            <w:tcW w:w="718" w:type="dxa"/>
            <w:tcBorders>
              <w:top w:val="nil"/>
              <w:left w:val="nil"/>
              <w:bottom w:val="single" w:sz="4" w:space="0" w:color="auto"/>
              <w:right w:val="single" w:sz="4" w:space="0" w:color="auto"/>
            </w:tcBorders>
            <w:shd w:val="clear" w:color="000000" w:fill="FFFFFF"/>
            <w:noWrap/>
            <w:vAlign w:val="center"/>
            <w:hideMark/>
          </w:tcPr>
          <w:p w14:paraId="54ED50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310,350</w:t>
            </w:r>
          </w:p>
        </w:tc>
        <w:tc>
          <w:tcPr>
            <w:tcW w:w="882" w:type="dxa"/>
            <w:tcBorders>
              <w:top w:val="nil"/>
              <w:left w:val="nil"/>
              <w:bottom w:val="single" w:sz="4" w:space="0" w:color="auto"/>
              <w:right w:val="single" w:sz="4" w:space="0" w:color="auto"/>
            </w:tcBorders>
            <w:shd w:val="clear" w:color="000000" w:fill="FFFFFF"/>
            <w:noWrap/>
            <w:vAlign w:val="center"/>
            <w:hideMark/>
          </w:tcPr>
          <w:p w14:paraId="2F37578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w:t>
            </w:r>
          </w:p>
        </w:tc>
        <w:tc>
          <w:tcPr>
            <w:tcW w:w="1045" w:type="dxa"/>
            <w:tcBorders>
              <w:top w:val="nil"/>
              <w:left w:val="nil"/>
              <w:bottom w:val="single" w:sz="4" w:space="0" w:color="auto"/>
              <w:right w:val="single" w:sz="4" w:space="0" w:color="auto"/>
            </w:tcBorders>
            <w:shd w:val="clear" w:color="000000" w:fill="FFFFFF"/>
            <w:noWrap/>
            <w:vAlign w:val="center"/>
            <w:hideMark/>
          </w:tcPr>
          <w:p w14:paraId="7925EC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7,865,129</w:t>
            </w:r>
          </w:p>
        </w:tc>
        <w:tc>
          <w:tcPr>
            <w:tcW w:w="1045" w:type="dxa"/>
            <w:tcBorders>
              <w:top w:val="nil"/>
              <w:left w:val="nil"/>
              <w:bottom w:val="single" w:sz="4" w:space="0" w:color="auto"/>
              <w:right w:val="single" w:sz="4" w:space="0" w:color="auto"/>
            </w:tcBorders>
            <w:shd w:val="clear" w:color="000000" w:fill="FFFFFF"/>
            <w:noWrap/>
            <w:vAlign w:val="center"/>
            <w:hideMark/>
          </w:tcPr>
          <w:p w14:paraId="3EE8FA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0.84</w:t>
            </w:r>
          </w:p>
        </w:tc>
      </w:tr>
      <w:tr w:rsidR="00177999" w:rsidRPr="00057D13" w14:paraId="3778745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A2BEE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26A28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DAEFA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CDD69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301,730</w:t>
            </w:r>
          </w:p>
        </w:tc>
        <w:tc>
          <w:tcPr>
            <w:tcW w:w="854" w:type="dxa"/>
            <w:tcBorders>
              <w:top w:val="nil"/>
              <w:left w:val="nil"/>
              <w:bottom w:val="single" w:sz="4" w:space="0" w:color="auto"/>
              <w:right w:val="single" w:sz="4" w:space="0" w:color="auto"/>
            </w:tcBorders>
            <w:shd w:val="clear" w:color="000000" w:fill="FFFFFF"/>
            <w:noWrap/>
            <w:vAlign w:val="center"/>
            <w:hideMark/>
          </w:tcPr>
          <w:p w14:paraId="751EB8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w:t>
            </w:r>
          </w:p>
        </w:tc>
        <w:tc>
          <w:tcPr>
            <w:tcW w:w="1013" w:type="dxa"/>
            <w:tcBorders>
              <w:top w:val="nil"/>
              <w:left w:val="nil"/>
              <w:bottom w:val="single" w:sz="4" w:space="0" w:color="auto"/>
              <w:right w:val="single" w:sz="4" w:space="0" w:color="auto"/>
            </w:tcBorders>
            <w:shd w:val="clear" w:color="000000" w:fill="FFFFFF"/>
            <w:noWrap/>
            <w:vAlign w:val="center"/>
            <w:hideMark/>
          </w:tcPr>
          <w:p w14:paraId="36A438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7,378,691</w:t>
            </w:r>
          </w:p>
        </w:tc>
        <w:tc>
          <w:tcPr>
            <w:tcW w:w="623" w:type="dxa"/>
            <w:tcBorders>
              <w:top w:val="nil"/>
              <w:left w:val="nil"/>
              <w:bottom w:val="single" w:sz="4" w:space="0" w:color="auto"/>
              <w:right w:val="single" w:sz="4" w:space="0" w:color="auto"/>
            </w:tcBorders>
            <w:shd w:val="clear" w:color="000000" w:fill="FFFFFF"/>
            <w:noWrap/>
            <w:vAlign w:val="center"/>
            <w:hideMark/>
          </w:tcPr>
          <w:p w14:paraId="551AA6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0.89</w:t>
            </w:r>
          </w:p>
        </w:tc>
        <w:tc>
          <w:tcPr>
            <w:tcW w:w="811" w:type="dxa"/>
            <w:tcBorders>
              <w:top w:val="nil"/>
              <w:left w:val="nil"/>
              <w:bottom w:val="single" w:sz="4" w:space="0" w:color="auto"/>
              <w:right w:val="single" w:sz="4" w:space="0" w:color="auto"/>
            </w:tcBorders>
            <w:shd w:val="clear" w:color="000000" w:fill="FFFFFF"/>
            <w:noWrap/>
            <w:vAlign w:val="center"/>
            <w:hideMark/>
          </w:tcPr>
          <w:p w14:paraId="7A794E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356,294</w:t>
            </w:r>
          </w:p>
        </w:tc>
        <w:tc>
          <w:tcPr>
            <w:tcW w:w="855" w:type="dxa"/>
            <w:tcBorders>
              <w:top w:val="nil"/>
              <w:left w:val="nil"/>
              <w:bottom w:val="single" w:sz="4" w:space="0" w:color="auto"/>
              <w:right w:val="single" w:sz="4" w:space="0" w:color="auto"/>
            </w:tcBorders>
            <w:shd w:val="clear" w:color="000000" w:fill="FFFFFF"/>
            <w:noWrap/>
            <w:vAlign w:val="center"/>
            <w:hideMark/>
          </w:tcPr>
          <w:p w14:paraId="1AB832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w:t>
            </w:r>
          </w:p>
        </w:tc>
        <w:tc>
          <w:tcPr>
            <w:tcW w:w="1014" w:type="dxa"/>
            <w:tcBorders>
              <w:top w:val="nil"/>
              <w:left w:val="nil"/>
              <w:bottom w:val="single" w:sz="4" w:space="0" w:color="auto"/>
              <w:right w:val="single" w:sz="4" w:space="0" w:color="auto"/>
            </w:tcBorders>
            <w:shd w:val="clear" w:color="000000" w:fill="FFFFFF"/>
            <w:noWrap/>
            <w:vAlign w:val="center"/>
            <w:hideMark/>
          </w:tcPr>
          <w:p w14:paraId="2772FD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9,243,397</w:t>
            </w:r>
          </w:p>
        </w:tc>
        <w:tc>
          <w:tcPr>
            <w:tcW w:w="740" w:type="dxa"/>
            <w:tcBorders>
              <w:top w:val="nil"/>
              <w:left w:val="nil"/>
              <w:bottom w:val="single" w:sz="4" w:space="0" w:color="auto"/>
              <w:right w:val="single" w:sz="4" w:space="0" w:color="auto"/>
            </w:tcBorders>
            <w:shd w:val="clear" w:color="000000" w:fill="FFFFFF"/>
            <w:noWrap/>
            <w:vAlign w:val="center"/>
            <w:hideMark/>
          </w:tcPr>
          <w:p w14:paraId="016B4E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0.97</w:t>
            </w:r>
          </w:p>
        </w:tc>
        <w:tc>
          <w:tcPr>
            <w:tcW w:w="718" w:type="dxa"/>
            <w:tcBorders>
              <w:top w:val="nil"/>
              <w:left w:val="nil"/>
              <w:bottom w:val="single" w:sz="4" w:space="0" w:color="auto"/>
              <w:right w:val="single" w:sz="4" w:space="0" w:color="auto"/>
            </w:tcBorders>
            <w:shd w:val="clear" w:color="000000" w:fill="FFFFFF"/>
            <w:noWrap/>
            <w:vAlign w:val="center"/>
            <w:hideMark/>
          </w:tcPr>
          <w:p w14:paraId="0CACB0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302,196</w:t>
            </w:r>
          </w:p>
        </w:tc>
        <w:tc>
          <w:tcPr>
            <w:tcW w:w="882" w:type="dxa"/>
            <w:tcBorders>
              <w:top w:val="nil"/>
              <w:left w:val="nil"/>
              <w:bottom w:val="single" w:sz="4" w:space="0" w:color="auto"/>
              <w:right w:val="single" w:sz="4" w:space="0" w:color="auto"/>
            </w:tcBorders>
            <w:shd w:val="clear" w:color="000000" w:fill="FFFFFF"/>
            <w:noWrap/>
            <w:vAlign w:val="center"/>
            <w:hideMark/>
          </w:tcPr>
          <w:p w14:paraId="57F421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w:t>
            </w:r>
          </w:p>
        </w:tc>
        <w:tc>
          <w:tcPr>
            <w:tcW w:w="1045" w:type="dxa"/>
            <w:tcBorders>
              <w:top w:val="nil"/>
              <w:left w:val="nil"/>
              <w:bottom w:val="single" w:sz="4" w:space="0" w:color="auto"/>
              <w:right w:val="single" w:sz="4" w:space="0" w:color="auto"/>
            </w:tcBorders>
            <w:shd w:val="clear" w:color="000000" w:fill="FFFFFF"/>
            <w:noWrap/>
            <w:vAlign w:val="center"/>
            <w:hideMark/>
          </w:tcPr>
          <w:p w14:paraId="4BB1A6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7,529,320</w:t>
            </w:r>
          </w:p>
        </w:tc>
        <w:tc>
          <w:tcPr>
            <w:tcW w:w="1045" w:type="dxa"/>
            <w:tcBorders>
              <w:top w:val="nil"/>
              <w:left w:val="nil"/>
              <w:bottom w:val="single" w:sz="4" w:space="0" w:color="auto"/>
              <w:right w:val="single" w:sz="4" w:space="0" w:color="auto"/>
            </w:tcBorders>
            <w:shd w:val="clear" w:color="000000" w:fill="FFFFFF"/>
            <w:noWrap/>
            <w:vAlign w:val="center"/>
            <w:hideMark/>
          </w:tcPr>
          <w:p w14:paraId="7957C6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w:t>
            </w:r>
          </w:p>
        </w:tc>
      </w:tr>
      <w:tr w:rsidR="00177999" w:rsidRPr="00057D13" w14:paraId="2D703A7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31488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5BE93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B3303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F134D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155,214</w:t>
            </w:r>
          </w:p>
        </w:tc>
        <w:tc>
          <w:tcPr>
            <w:tcW w:w="854" w:type="dxa"/>
            <w:tcBorders>
              <w:top w:val="nil"/>
              <w:left w:val="nil"/>
              <w:bottom w:val="single" w:sz="4" w:space="0" w:color="auto"/>
              <w:right w:val="single" w:sz="4" w:space="0" w:color="auto"/>
            </w:tcBorders>
            <w:shd w:val="clear" w:color="000000" w:fill="FFFFFF"/>
            <w:noWrap/>
            <w:vAlign w:val="center"/>
            <w:hideMark/>
          </w:tcPr>
          <w:p w14:paraId="329443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w:t>
            </w:r>
          </w:p>
        </w:tc>
        <w:tc>
          <w:tcPr>
            <w:tcW w:w="1013" w:type="dxa"/>
            <w:tcBorders>
              <w:top w:val="nil"/>
              <w:left w:val="nil"/>
              <w:bottom w:val="single" w:sz="4" w:space="0" w:color="auto"/>
              <w:right w:val="single" w:sz="4" w:space="0" w:color="auto"/>
            </w:tcBorders>
            <w:shd w:val="clear" w:color="000000" w:fill="FFFFFF"/>
            <w:noWrap/>
            <w:vAlign w:val="center"/>
            <w:hideMark/>
          </w:tcPr>
          <w:p w14:paraId="7CEC18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3,875,060</w:t>
            </w:r>
          </w:p>
        </w:tc>
        <w:tc>
          <w:tcPr>
            <w:tcW w:w="623" w:type="dxa"/>
            <w:tcBorders>
              <w:top w:val="nil"/>
              <w:left w:val="nil"/>
              <w:bottom w:val="single" w:sz="4" w:space="0" w:color="auto"/>
              <w:right w:val="single" w:sz="4" w:space="0" w:color="auto"/>
            </w:tcBorders>
            <w:shd w:val="clear" w:color="000000" w:fill="FFFFFF"/>
            <w:noWrap/>
            <w:vAlign w:val="center"/>
            <w:hideMark/>
          </w:tcPr>
          <w:p w14:paraId="08796C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w:t>
            </w:r>
          </w:p>
        </w:tc>
        <w:tc>
          <w:tcPr>
            <w:tcW w:w="811" w:type="dxa"/>
            <w:tcBorders>
              <w:top w:val="nil"/>
              <w:left w:val="nil"/>
              <w:bottom w:val="single" w:sz="4" w:space="0" w:color="auto"/>
              <w:right w:val="single" w:sz="4" w:space="0" w:color="auto"/>
            </w:tcBorders>
            <w:shd w:val="clear" w:color="000000" w:fill="FFFFFF"/>
            <w:noWrap/>
            <w:vAlign w:val="center"/>
            <w:hideMark/>
          </w:tcPr>
          <w:p w14:paraId="3532CB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186,911</w:t>
            </w:r>
          </w:p>
        </w:tc>
        <w:tc>
          <w:tcPr>
            <w:tcW w:w="855" w:type="dxa"/>
            <w:tcBorders>
              <w:top w:val="nil"/>
              <w:left w:val="nil"/>
              <w:bottom w:val="single" w:sz="4" w:space="0" w:color="auto"/>
              <w:right w:val="single" w:sz="4" w:space="0" w:color="auto"/>
            </w:tcBorders>
            <w:shd w:val="clear" w:color="000000" w:fill="FFFFFF"/>
            <w:noWrap/>
            <w:vAlign w:val="center"/>
            <w:hideMark/>
          </w:tcPr>
          <w:p w14:paraId="78B877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w:t>
            </w:r>
          </w:p>
        </w:tc>
        <w:tc>
          <w:tcPr>
            <w:tcW w:w="1014" w:type="dxa"/>
            <w:tcBorders>
              <w:top w:val="nil"/>
              <w:left w:val="nil"/>
              <w:bottom w:val="single" w:sz="4" w:space="0" w:color="auto"/>
              <w:right w:val="single" w:sz="4" w:space="0" w:color="auto"/>
            </w:tcBorders>
            <w:shd w:val="clear" w:color="000000" w:fill="FFFFFF"/>
            <w:noWrap/>
            <w:vAlign w:val="center"/>
            <w:hideMark/>
          </w:tcPr>
          <w:p w14:paraId="57C3E2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5,072,915</w:t>
            </w:r>
          </w:p>
        </w:tc>
        <w:tc>
          <w:tcPr>
            <w:tcW w:w="740" w:type="dxa"/>
            <w:tcBorders>
              <w:top w:val="nil"/>
              <w:left w:val="nil"/>
              <w:bottom w:val="single" w:sz="4" w:space="0" w:color="auto"/>
              <w:right w:val="single" w:sz="4" w:space="0" w:color="auto"/>
            </w:tcBorders>
            <w:shd w:val="clear" w:color="000000" w:fill="FFFFFF"/>
            <w:noWrap/>
            <w:vAlign w:val="center"/>
            <w:hideMark/>
          </w:tcPr>
          <w:p w14:paraId="10E5E1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w:t>
            </w:r>
          </w:p>
        </w:tc>
        <w:tc>
          <w:tcPr>
            <w:tcW w:w="718" w:type="dxa"/>
            <w:tcBorders>
              <w:top w:val="nil"/>
              <w:left w:val="nil"/>
              <w:bottom w:val="single" w:sz="4" w:space="0" w:color="auto"/>
              <w:right w:val="single" w:sz="4" w:space="0" w:color="auto"/>
            </w:tcBorders>
            <w:shd w:val="clear" w:color="000000" w:fill="FFFFFF"/>
            <w:noWrap/>
            <w:vAlign w:val="center"/>
            <w:hideMark/>
          </w:tcPr>
          <w:p w14:paraId="5E064D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155,615</w:t>
            </w:r>
          </w:p>
        </w:tc>
        <w:tc>
          <w:tcPr>
            <w:tcW w:w="882" w:type="dxa"/>
            <w:tcBorders>
              <w:top w:val="nil"/>
              <w:left w:val="nil"/>
              <w:bottom w:val="single" w:sz="4" w:space="0" w:color="auto"/>
              <w:right w:val="single" w:sz="4" w:space="0" w:color="auto"/>
            </w:tcBorders>
            <w:shd w:val="clear" w:color="000000" w:fill="FFFFFF"/>
            <w:noWrap/>
            <w:vAlign w:val="center"/>
            <w:hideMark/>
          </w:tcPr>
          <w:p w14:paraId="32E24E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w:t>
            </w:r>
          </w:p>
        </w:tc>
        <w:tc>
          <w:tcPr>
            <w:tcW w:w="1045" w:type="dxa"/>
            <w:tcBorders>
              <w:top w:val="nil"/>
              <w:left w:val="nil"/>
              <w:bottom w:val="single" w:sz="4" w:space="0" w:color="auto"/>
              <w:right w:val="single" w:sz="4" w:space="0" w:color="auto"/>
            </w:tcBorders>
            <w:shd w:val="clear" w:color="000000" w:fill="FFFFFF"/>
            <w:noWrap/>
            <w:vAlign w:val="center"/>
            <w:hideMark/>
          </w:tcPr>
          <w:p w14:paraId="2EE530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4,028,348</w:t>
            </w:r>
          </w:p>
        </w:tc>
        <w:tc>
          <w:tcPr>
            <w:tcW w:w="1045" w:type="dxa"/>
            <w:tcBorders>
              <w:top w:val="nil"/>
              <w:left w:val="nil"/>
              <w:bottom w:val="single" w:sz="4" w:space="0" w:color="auto"/>
              <w:right w:val="single" w:sz="4" w:space="0" w:color="auto"/>
            </w:tcBorders>
            <w:shd w:val="clear" w:color="000000" w:fill="FFFFFF"/>
            <w:noWrap/>
            <w:vAlign w:val="center"/>
            <w:hideMark/>
          </w:tcPr>
          <w:p w14:paraId="298D51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0.75</w:t>
            </w:r>
          </w:p>
        </w:tc>
      </w:tr>
      <w:tr w:rsidR="00177999" w:rsidRPr="00057D13" w14:paraId="048BCFF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57F98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FD27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6CED95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19502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284,745</w:t>
            </w:r>
          </w:p>
        </w:tc>
        <w:tc>
          <w:tcPr>
            <w:tcW w:w="854" w:type="dxa"/>
            <w:tcBorders>
              <w:top w:val="nil"/>
              <w:left w:val="nil"/>
              <w:bottom w:val="single" w:sz="4" w:space="0" w:color="auto"/>
              <w:right w:val="single" w:sz="4" w:space="0" w:color="auto"/>
            </w:tcBorders>
            <w:shd w:val="clear" w:color="000000" w:fill="FFFFFF"/>
            <w:noWrap/>
            <w:vAlign w:val="center"/>
            <w:hideMark/>
          </w:tcPr>
          <w:p w14:paraId="7C83D5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w:t>
            </w:r>
          </w:p>
        </w:tc>
        <w:tc>
          <w:tcPr>
            <w:tcW w:w="1013" w:type="dxa"/>
            <w:tcBorders>
              <w:top w:val="nil"/>
              <w:left w:val="nil"/>
              <w:bottom w:val="single" w:sz="4" w:space="0" w:color="auto"/>
              <w:right w:val="single" w:sz="4" w:space="0" w:color="auto"/>
            </w:tcBorders>
            <w:shd w:val="clear" w:color="000000" w:fill="FFFFFF"/>
            <w:noWrap/>
            <w:vAlign w:val="center"/>
            <w:hideMark/>
          </w:tcPr>
          <w:p w14:paraId="6891F7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11,444,049</w:t>
            </w:r>
          </w:p>
        </w:tc>
        <w:tc>
          <w:tcPr>
            <w:tcW w:w="623" w:type="dxa"/>
            <w:tcBorders>
              <w:top w:val="nil"/>
              <w:left w:val="nil"/>
              <w:bottom w:val="single" w:sz="4" w:space="0" w:color="auto"/>
              <w:right w:val="single" w:sz="4" w:space="0" w:color="auto"/>
            </w:tcBorders>
            <w:shd w:val="clear" w:color="000000" w:fill="FFFFFF"/>
            <w:noWrap/>
            <w:vAlign w:val="center"/>
            <w:hideMark/>
          </w:tcPr>
          <w:p w14:paraId="42D362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w:t>
            </w:r>
          </w:p>
        </w:tc>
        <w:tc>
          <w:tcPr>
            <w:tcW w:w="811" w:type="dxa"/>
            <w:tcBorders>
              <w:top w:val="nil"/>
              <w:left w:val="nil"/>
              <w:bottom w:val="single" w:sz="4" w:space="0" w:color="auto"/>
              <w:right w:val="single" w:sz="4" w:space="0" w:color="auto"/>
            </w:tcBorders>
            <w:shd w:val="clear" w:color="000000" w:fill="FFFFFF"/>
            <w:noWrap/>
            <w:vAlign w:val="center"/>
            <w:hideMark/>
          </w:tcPr>
          <w:p w14:paraId="4272AC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269,309</w:t>
            </w:r>
          </w:p>
        </w:tc>
        <w:tc>
          <w:tcPr>
            <w:tcW w:w="855" w:type="dxa"/>
            <w:tcBorders>
              <w:top w:val="nil"/>
              <w:left w:val="nil"/>
              <w:bottom w:val="single" w:sz="4" w:space="0" w:color="auto"/>
              <w:right w:val="single" w:sz="4" w:space="0" w:color="auto"/>
            </w:tcBorders>
            <w:shd w:val="clear" w:color="000000" w:fill="FFFFFF"/>
            <w:noWrap/>
            <w:vAlign w:val="center"/>
            <w:hideMark/>
          </w:tcPr>
          <w:p w14:paraId="443EAB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w:t>
            </w:r>
          </w:p>
        </w:tc>
        <w:tc>
          <w:tcPr>
            <w:tcW w:w="1014" w:type="dxa"/>
            <w:tcBorders>
              <w:top w:val="nil"/>
              <w:left w:val="nil"/>
              <w:bottom w:val="single" w:sz="4" w:space="0" w:color="auto"/>
              <w:right w:val="single" w:sz="4" w:space="0" w:color="auto"/>
            </w:tcBorders>
            <w:shd w:val="clear" w:color="000000" w:fill="FFFFFF"/>
            <w:noWrap/>
            <w:vAlign w:val="center"/>
            <w:hideMark/>
          </w:tcPr>
          <w:p w14:paraId="3357DC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10,810,943</w:t>
            </w:r>
          </w:p>
        </w:tc>
        <w:tc>
          <w:tcPr>
            <w:tcW w:w="740" w:type="dxa"/>
            <w:tcBorders>
              <w:top w:val="nil"/>
              <w:left w:val="nil"/>
              <w:bottom w:val="single" w:sz="4" w:space="0" w:color="auto"/>
              <w:right w:val="single" w:sz="4" w:space="0" w:color="auto"/>
            </w:tcBorders>
            <w:shd w:val="clear" w:color="000000" w:fill="FFFFFF"/>
            <w:noWrap/>
            <w:vAlign w:val="center"/>
            <w:hideMark/>
          </w:tcPr>
          <w:p w14:paraId="4CAA56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0.73</w:t>
            </w:r>
          </w:p>
        </w:tc>
        <w:tc>
          <w:tcPr>
            <w:tcW w:w="718" w:type="dxa"/>
            <w:tcBorders>
              <w:top w:val="nil"/>
              <w:left w:val="nil"/>
              <w:bottom w:val="single" w:sz="4" w:space="0" w:color="auto"/>
              <w:right w:val="single" w:sz="4" w:space="0" w:color="auto"/>
            </w:tcBorders>
            <w:shd w:val="clear" w:color="000000" w:fill="FFFFFF"/>
            <w:noWrap/>
            <w:vAlign w:val="center"/>
            <w:hideMark/>
          </w:tcPr>
          <w:p w14:paraId="3DC35E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261,785</w:t>
            </w:r>
          </w:p>
        </w:tc>
        <w:tc>
          <w:tcPr>
            <w:tcW w:w="882" w:type="dxa"/>
            <w:tcBorders>
              <w:top w:val="nil"/>
              <w:left w:val="nil"/>
              <w:bottom w:val="single" w:sz="4" w:space="0" w:color="auto"/>
              <w:right w:val="single" w:sz="4" w:space="0" w:color="auto"/>
            </w:tcBorders>
            <w:shd w:val="clear" w:color="000000" w:fill="FFFFFF"/>
            <w:noWrap/>
            <w:vAlign w:val="center"/>
            <w:hideMark/>
          </w:tcPr>
          <w:p w14:paraId="0B1233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w:t>
            </w:r>
          </w:p>
        </w:tc>
        <w:tc>
          <w:tcPr>
            <w:tcW w:w="1045" w:type="dxa"/>
            <w:tcBorders>
              <w:top w:val="nil"/>
              <w:left w:val="nil"/>
              <w:bottom w:val="single" w:sz="4" w:space="0" w:color="auto"/>
              <w:right w:val="single" w:sz="4" w:space="0" w:color="auto"/>
            </w:tcBorders>
            <w:shd w:val="clear" w:color="000000" w:fill="FFFFFF"/>
            <w:noWrap/>
            <w:vAlign w:val="center"/>
            <w:hideMark/>
          </w:tcPr>
          <w:p w14:paraId="543DA7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10,322,328</w:t>
            </w:r>
          </w:p>
        </w:tc>
        <w:tc>
          <w:tcPr>
            <w:tcW w:w="1045" w:type="dxa"/>
            <w:tcBorders>
              <w:top w:val="nil"/>
              <w:left w:val="nil"/>
              <w:bottom w:val="single" w:sz="4" w:space="0" w:color="auto"/>
              <w:right w:val="single" w:sz="4" w:space="0" w:color="auto"/>
            </w:tcBorders>
            <w:shd w:val="clear" w:color="000000" w:fill="FFFFFF"/>
            <w:noWrap/>
            <w:vAlign w:val="center"/>
            <w:hideMark/>
          </w:tcPr>
          <w:p w14:paraId="5C5D5B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0.62</w:t>
            </w:r>
          </w:p>
        </w:tc>
      </w:tr>
      <w:tr w:rsidR="00177999" w:rsidRPr="00057D13" w14:paraId="65A1C8D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2B4D1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DD6E9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8C417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5B5B6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270,833</w:t>
            </w:r>
          </w:p>
        </w:tc>
        <w:tc>
          <w:tcPr>
            <w:tcW w:w="854" w:type="dxa"/>
            <w:tcBorders>
              <w:top w:val="nil"/>
              <w:left w:val="nil"/>
              <w:bottom w:val="single" w:sz="4" w:space="0" w:color="auto"/>
              <w:right w:val="single" w:sz="4" w:space="0" w:color="auto"/>
            </w:tcBorders>
            <w:shd w:val="clear" w:color="000000" w:fill="FFFFFF"/>
            <w:noWrap/>
            <w:vAlign w:val="center"/>
            <w:hideMark/>
          </w:tcPr>
          <w:p w14:paraId="6716DB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w:t>
            </w:r>
          </w:p>
        </w:tc>
        <w:tc>
          <w:tcPr>
            <w:tcW w:w="1013" w:type="dxa"/>
            <w:tcBorders>
              <w:top w:val="nil"/>
              <w:left w:val="nil"/>
              <w:bottom w:val="single" w:sz="4" w:space="0" w:color="auto"/>
              <w:right w:val="single" w:sz="4" w:space="0" w:color="auto"/>
            </w:tcBorders>
            <w:shd w:val="clear" w:color="000000" w:fill="FFFFFF"/>
            <w:noWrap/>
            <w:vAlign w:val="center"/>
            <w:hideMark/>
          </w:tcPr>
          <w:p w14:paraId="72DCA8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11,189,850</w:t>
            </w:r>
          </w:p>
        </w:tc>
        <w:tc>
          <w:tcPr>
            <w:tcW w:w="623" w:type="dxa"/>
            <w:tcBorders>
              <w:top w:val="nil"/>
              <w:left w:val="nil"/>
              <w:bottom w:val="single" w:sz="4" w:space="0" w:color="auto"/>
              <w:right w:val="single" w:sz="4" w:space="0" w:color="auto"/>
            </w:tcBorders>
            <w:shd w:val="clear" w:color="000000" w:fill="FFFFFF"/>
            <w:noWrap/>
            <w:vAlign w:val="center"/>
            <w:hideMark/>
          </w:tcPr>
          <w:p w14:paraId="164B63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w:t>
            </w:r>
          </w:p>
        </w:tc>
        <w:tc>
          <w:tcPr>
            <w:tcW w:w="811" w:type="dxa"/>
            <w:tcBorders>
              <w:top w:val="nil"/>
              <w:left w:val="nil"/>
              <w:bottom w:val="single" w:sz="4" w:space="0" w:color="auto"/>
              <w:right w:val="single" w:sz="4" w:space="0" w:color="auto"/>
            </w:tcBorders>
            <w:shd w:val="clear" w:color="000000" w:fill="FFFFFF"/>
            <w:noWrap/>
            <w:vAlign w:val="center"/>
            <w:hideMark/>
          </w:tcPr>
          <w:p w14:paraId="6524AB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296,447</w:t>
            </w:r>
          </w:p>
        </w:tc>
        <w:tc>
          <w:tcPr>
            <w:tcW w:w="855" w:type="dxa"/>
            <w:tcBorders>
              <w:top w:val="nil"/>
              <w:left w:val="nil"/>
              <w:bottom w:val="single" w:sz="4" w:space="0" w:color="auto"/>
              <w:right w:val="single" w:sz="4" w:space="0" w:color="auto"/>
            </w:tcBorders>
            <w:shd w:val="clear" w:color="000000" w:fill="FFFFFF"/>
            <w:noWrap/>
            <w:vAlign w:val="center"/>
            <w:hideMark/>
          </w:tcPr>
          <w:p w14:paraId="4ACA2D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46</w:t>
            </w:r>
          </w:p>
        </w:tc>
        <w:tc>
          <w:tcPr>
            <w:tcW w:w="1014" w:type="dxa"/>
            <w:tcBorders>
              <w:top w:val="nil"/>
              <w:left w:val="nil"/>
              <w:bottom w:val="single" w:sz="4" w:space="0" w:color="auto"/>
              <w:right w:val="single" w:sz="4" w:space="0" w:color="auto"/>
            </w:tcBorders>
            <w:shd w:val="clear" w:color="000000" w:fill="FFFFFF"/>
            <w:noWrap/>
            <w:vAlign w:val="center"/>
            <w:hideMark/>
          </w:tcPr>
          <w:p w14:paraId="49315E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12,282,857</w:t>
            </w:r>
          </w:p>
        </w:tc>
        <w:tc>
          <w:tcPr>
            <w:tcW w:w="740" w:type="dxa"/>
            <w:tcBorders>
              <w:top w:val="nil"/>
              <w:left w:val="nil"/>
              <w:bottom w:val="single" w:sz="4" w:space="0" w:color="auto"/>
              <w:right w:val="single" w:sz="4" w:space="0" w:color="auto"/>
            </w:tcBorders>
            <w:shd w:val="clear" w:color="000000" w:fill="FFFFFF"/>
            <w:noWrap/>
            <w:vAlign w:val="center"/>
            <w:hideMark/>
          </w:tcPr>
          <w:p w14:paraId="061140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0.80</w:t>
            </w:r>
          </w:p>
        </w:tc>
        <w:tc>
          <w:tcPr>
            <w:tcW w:w="718" w:type="dxa"/>
            <w:tcBorders>
              <w:top w:val="nil"/>
              <w:left w:val="nil"/>
              <w:bottom w:val="single" w:sz="4" w:space="0" w:color="auto"/>
              <w:right w:val="single" w:sz="4" w:space="0" w:color="auto"/>
            </w:tcBorders>
            <w:shd w:val="clear" w:color="000000" w:fill="FFFFFF"/>
            <w:noWrap/>
            <w:vAlign w:val="center"/>
            <w:hideMark/>
          </w:tcPr>
          <w:p w14:paraId="5EDF28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262,853</w:t>
            </w:r>
          </w:p>
        </w:tc>
        <w:tc>
          <w:tcPr>
            <w:tcW w:w="882" w:type="dxa"/>
            <w:tcBorders>
              <w:top w:val="nil"/>
              <w:left w:val="nil"/>
              <w:bottom w:val="single" w:sz="4" w:space="0" w:color="auto"/>
              <w:right w:val="single" w:sz="4" w:space="0" w:color="auto"/>
            </w:tcBorders>
            <w:shd w:val="clear" w:color="000000" w:fill="FFFFFF"/>
            <w:noWrap/>
            <w:vAlign w:val="center"/>
            <w:hideMark/>
          </w:tcPr>
          <w:p w14:paraId="3215DC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w:t>
            </w:r>
          </w:p>
        </w:tc>
        <w:tc>
          <w:tcPr>
            <w:tcW w:w="1045" w:type="dxa"/>
            <w:tcBorders>
              <w:top w:val="nil"/>
              <w:left w:val="nil"/>
              <w:bottom w:val="single" w:sz="4" w:space="0" w:color="auto"/>
              <w:right w:val="single" w:sz="4" w:space="0" w:color="auto"/>
            </w:tcBorders>
            <w:shd w:val="clear" w:color="000000" w:fill="FFFFFF"/>
            <w:noWrap/>
            <w:vAlign w:val="center"/>
            <w:hideMark/>
          </w:tcPr>
          <w:p w14:paraId="0BA6FE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10,722,098</w:t>
            </w:r>
          </w:p>
        </w:tc>
        <w:tc>
          <w:tcPr>
            <w:tcW w:w="1045" w:type="dxa"/>
            <w:tcBorders>
              <w:top w:val="nil"/>
              <w:left w:val="nil"/>
              <w:bottom w:val="single" w:sz="4" w:space="0" w:color="auto"/>
              <w:right w:val="single" w:sz="4" w:space="0" w:color="auto"/>
            </w:tcBorders>
            <w:shd w:val="clear" w:color="000000" w:fill="FFFFFF"/>
            <w:noWrap/>
            <w:vAlign w:val="center"/>
            <w:hideMark/>
          </w:tcPr>
          <w:p w14:paraId="208D3E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0.86</w:t>
            </w:r>
          </w:p>
        </w:tc>
      </w:tr>
      <w:tr w:rsidR="00177999" w:rsidRPr="00057D13" w14:paraId="5D46DDC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AA3FF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09F37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72FF0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51D0F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136,087</w:t>
            </w:r>
          </w:p>
        </w:tc>
        <w:tc>
          <w:tcPr>
            <w:tcW w:w="854" w:type="dxa"/>
            <w:tcBorders>
              <w:top w:val="nil"/>
              <w:left w:val="nil"/>
              <w:bottom w:val="single" w:sz="4" w:space="0" w:color="auto"/>
              <w:right w:val="single" w:sz="4" w:space="0" w:color="auto"/>
            </w:tcBorders>
            <w:shd w:val="clear" w:color="000000" w:fill="FFFFFF"/>
            <w:noWrap/>
            <w:vAlign w:val="center"/>
            <w:hideMark/>
          </w:tcPr>
          <w:p w14:paraId="56EAE9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w:t>
            </w:r>
          </w:p>
        </w:tc>
        <w:tc>
          <w:tcPr>
            <w:tcW w:w="1013" w:type="dxa"/>
            <w:tcBorders>
              <w:top w:val="nil"/>
              <w:left w:val="nil"/>
              <w:bottom w:val="single" w:sz="4" w:space="0" w:color="auto"/>
              <w:right w:val="single" w:sz="4" w:space="0" w:color="auto"/>
            </w:tcBorders>
            <w:shd w:val="clear" w:color="000000" w:fill="FFFFFF"/>
            <w:noWrap/>
            <w:vAlign w:val="center"/>
            <w:hideMark/>
          </w:tcPr>
          <w:p w14:paraId="0D16F7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5,630,318</w:t>
            </w:r>
          </w:p>
        </w:tc>
        <w:tc>
          <w:tcPr>
            <w:tcW w:w="623" w:type="dxa"/>
            <w:tcBorders>
              <w:top w:val="nil"/>
              <w:left w:val="nil"/>
              <w:bottom w:val="single" w:sz="4" w:space="0" w:color="auto"/>
              <w:right w:val="single" w:sz="4" w:space="0" w:color="auto"/>
            </w:tcBorders>
            <w:shd w:val="clear" w:color="000000" w:fill="FFFFFF"/>
            <w:noWrap/>
            <w:vAlign w:val="center"/>
            <w:hideMark/>
          </w:tcPr>
          <w:p w14:paraId="4533B0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0.91</w:t>
            </w:r>
          </w:p>
        </w:tc>
        <w:tc>
          <w:tcPr>
            <w:tcW w:w="811" w:type="dxa"/>
            <w:tcBorders>
              <w:top w:val="nil"/>
              <w:left w:val="nil"/>
              <w:bottom w:val="single" w:sz="4" w:space="0" w:color="auto"/>
              <w:right w:val="single" w:sz="4" w:space="0" w:color="auto"/>
            </w:tcBorders>
            <w:shd w:val="clear" w:color="000000" w:fill="FFFFFF"/>
            <w:noWrap/>
            <w:vAlign w:val="center"/>
            <w:hideMark/>
          </w:tcPr>
          <w:p w14:paraId="6B1720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147,697</w:t>
            </w:r>
          </w:p>
        </w:tc>
        <w:tc>
          <w:tcPr>
            <w:tcW w:w="855" w:type="dxa"/>
            <w:tcBorders>
              <w:top w:val="nil"/>
              <w:left w:val="nil"/>
              <w:bottom w:val="single" w:sz="4" w:space="0" w:color="auto"/>
              <w:right w:val="single" w:sz="4" w:space="0" w:color="auto"/>
            </w:tcBorders>
            <w:shd w:val="clear" w:color="000000" w:fill="FFFFFF"/>
            <w:noWrap/>
            <w:vAlign w:val="center"/>
            <w:hideMark/>
          </w:tcPr>
          <w:p w14:paraId="714D8F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w:t>
            </w:r>
          </w:p>
        </w:tc>
        <w:tc>
          <w:tcPr>
            <w:tcW w:w="1014" w:type="dxa"/>
            <w:tcBorders>
              <w:top w:val="nil"/>
              <w:left w:val="nil"/>
              <w:bottom w:val="single" w:sz="4" w:space="0" w:color="auto"/>
              <w:right w:val="single" w:sz="4" w:space="0" w:color="auto"/>
            </w:tcBorders>
            <w:shd w:val="clear" w:color="000000" w:fill="FFFFFF"/>
            <w:noWrap/>
            <w:vAlign w:val="center"/>
            <w:hideMark/>
          </w:tcPr>
          <w:p w14:paraId="479918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6,127,650</w:t>
            </w:r>
          </w:p>
        </w:tc>
        <w:tc>
          <w:tcPr>
            <w:tcW w:w="740" w:type="dxa"/>
            <w:tcBorders>
              <w:top w:val="nil"/>
              <w:left w:val="nil"/>
              <w:bottom w:val="single" w:sz="4" w:space="0" w:color="auto"/>
              <w:right w:val="single" w:sz="4" w:space="0" w:color="auto"/>
            </w:tcBorders>
            <w:shd w:val="clear" w:color="000000" w:fill="FFFFFF"/>
            <w:noWrap/>
            <w:vAlign w:val="center"/>
            <w:hideMark/>
          </w:tcPr>
          <w:p w14:paraId="574DC6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0.93</w:t>
            </w:r>
          </w:p>
        </w:tc>
        <w:tc>
          <w:tcPr>
            <w:tcW w:w="718" w:type="dxa"/>
            <w:tcBorders>
              <w:top w:val="nil"/>
              <w:left w:val="nil"/>
              <w:bottom w:val="single" w:sz="4" w:space="0" w:color="auto"/>
              <w:right w:val="single" w:sz="4" w:space="0" w:color="auto"/>
            </w:tcBorders>
            <w:shd w:val="clear" w:color="000000" w:fill="FFFFFF"/>
            <w:noWrap/>
            <w:vAlign w:val="center"/>
            <w:hideMark/>
          </w:tcPr>
          <w:p w14:paraId="5DCA10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130,111</w:t>
            </w:r>
          </w:p>
        </w:tc>
        <w:tc>
          <w:tcPr>
            <w:tcW w:w="882" w:type="dxa"/>
            <w:tcBorders>
              <w:top w:val="nil"/>
              <w:left w:val="nil"/>
              <w:bottom w:val="single" w:sz="4" w:space="0" w:color="auto"/>
              <w:right w:val="single" w:sz="4" w:space="0" w:color="auto"/>
            </w:tcBorders>
            <w:shd w:val="clear" w:color="000000" w:fill="FFFFFF"/>
            <w:noWrap/>
            <w:vAlign w:val="center"/>
            <w:hideMark/>
          </w:tcPr>
          <w:p w14:paraId="2BE48B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w:t>
            </w:r>
          </w:p>
        </w:tc>
        <w:tc>
          <w:tcPr>
            <w:tcW w:w="1045" w:type="dxa"/>
            <w:tcBorders>
              <w:top w:val="nil"/>
              <w:left w:val="nil"/>
              <w:bottom w:val="single" w:sz="4" w:space="0" w:color="auto"/>
              <w:right w:val="single" w:sz="4" w:space="0" w:color="auto"/>
            </w:tcBorders>
            <w:shd w:val="clear" w:color="000000" w:fill="FFFFFF"/>
            <w:noWrap/>
            <w:vAlign w:val="center"/>
            <w:hideMark/>
          </w:tcPr>
          <w:p w14:paraId="79B546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5,308,446</w:t>
            </w:r>
          </w:p>
        </w:tc>
        <w:tc>
          <w:tcPr>
            <w:tcW w:w="1045" w:type="dxa"/>
            <w:tcBorders>
              <w:top w:val="nil"/>
              <w:left w:val="nil"/>
              <w:bottom w:val="single" w:sz="4" w:space="0" w:color="auto"/>
              <w:right w:val="single" w:sz="4" w:space="0" w:color="auto"/>
            </w:tcBorders>
            <w:shd w:val="clear" w:color="000000" w:fill="FFFFFF"/>
            <w:noWrap/>
            <w:vAlign w:val="center"/>
            <w:hideMark/>
          </w:tcPr>
          <w:p w14:paraId="3A5801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w:t>
            </w:r>
          </w:p>
        </w:tc>
      </w:tr>
      <w:tr w:rsidR="00177999" w:rsidRPr="00057D13" w14:paraId="44B1497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2B66D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96F4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5940DA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805ED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11,438</w:t>
            </w:r>
          </w:p>
        </w:tc>
        <w:tc>
          <w:tcPr>
            <w:tcW w:w="854" w:type="dxa"/>
            <w:tcBorders>
              <w:top w:val="nil"/>
              <w:left w:val="nil"/>
              <w:bottom w:val="single" w:sz="4" w:space="0" w:color="auto"/>
              <w:right w:val="single" w:sz="4" w:space="0" w:color="auto"/>
            </w:tcBorders>
            <w:shd w:val="clear" w:color="000000" w:fill="FFFFFF"/>
            <w:noWrap/>
            <w:vAlign w:val="center"/>
            <w:hideMark/>
          </w:tcPr>
          <w:p w14:paraId="0673B3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FB010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124,510</w:t>
            </w:r>
          </w:p>
        </w:tc>
        <w:tc>
          <w:tcPr>
            <w:tcW w:w="623" w:type="dxa"/>
            <w:tcBorders>
              <w:top w:val="nil"/>
              <w:left w:val="nil"/>
              <w:bottom w:val="single" w:sz="4" w:space="0" w:color="auto"/>
              <w:right w:val="single" w:sz="4" w:space="0" w:color="auto"/>
            </w:tcBorders>
            <w:shd w:val="clear" w:color="000000" w:fill="FFFFFF"/>
            <w:noWrap/>
            <w:vAlign w:val="center"/>
            <w:hideMark/>
          </w:tcPr>
          <w:p w14:paraId="4068EF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4B51B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1,339</w:t>
            </w:r>
          </w:p>
        </w:tc>
        <w:tc>
          <w:tcPr>
            <w:tcW w:w="855" w:type="dxa"/>
            <w:tcBorders>
              <w:top w:val="nil"/>
              <w:left w:val="nil"/>
              <w:bottom w:val="single" w:sz="4" w:space="0" w:color="auto"/>
              <w:right w:val="single" w:sz="4" w:space="0" w:color="auto"/>
            </w:tcBorders>
            <w:shd w:val="clear" w:color="000000" w:fill="FFFFFF"/>
            <w:noWrap/>
            <w:vAlign w:val="center"/>
            <w:hideMark/>
          </w:tcPr>
          <w:p w14:paraId="02F002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CA8BD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45,888</w:t>
            </w:r>
          </w:p>
        </w:tc>
        <w:tc>
          <w:tcPr>
            <w:tcW w:w="740" w:type="dxa"/>
            <w:tcBorders>
              <w:top w:val="nil"/>
              <w:left w:val="nil"/>
              <w:bottom w:val="single" w:sz="4" w:space="0" w:color="auto"/>
              <w:right w:val="single" w:sz="4" w:space="0" w:color="auto"/>
            </w:tcBorders>
            <w:shd w:val="clear" w:color="000000" w:fill="FFFFFF"/>
            <w:noWrap/>
            <w:vAlign w:val="center"/>
            <w:hideMark/>
          </w:tcPr>
          <w:p w14:paraId="008187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42773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19,033</w:t>
            </w:r>
          </w:p>
        </w:tc>
        <w:tc>
          <w:tcPr>
            <w:tcW w:w="882" w:type="dxa"/>
            <w:tcBorders>
              <w:top w:val="nil"/>
              <w:left w:val="nil"/>
              <w:bottom w:val="single" w:sz="4" w:space="0" w:color="auto"/>
              <w:right w:val="single" w:sz="4" w:space="0" w:color="auto"/>
            </w:tcBorders>
            <w:shd w:val="clear" w:color="000000" w:fill="FFFFFF"/>
            <w:noWrap/>
            <w:vAlign w:val="center"/>
            <w:hideMark/>
          </w:tcPr>
          <w:p w14:paraId="787DB4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978B1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369,675</w:t>
            </w:r>
          </w:p>
        </w:tc>
        <w:tc>
          <w:tcPr>
            <w:tcW w:w="1045" w:type="dxa"/>
            <w:tcBorders>
              <w:top w:val="nil"/>
              <w:left w:val="nil"/>
              <w:bottom w:val="single" w:sz="4" w:space="0" w:color="auto"/>
              <w:right w:val="single" w:sz="4" w:space="0" w:color="auto"/>
            </w:tcBorders>
            <w:shd w:val="clear" w:color="000000" w:fill="FFFFFF"/>
            <w:noWrap/>
            <w:vAlign w:val="center"/>
            <w:hideMark/>
          </w:tcPr>
          <w:p w14:paraId="763405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E466AD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05C19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85E15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C60C7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07C149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86,036</w:t>
            </w:r>
          </w:p>
        </w:tc>
        <w:tc>
          <w:tcPr>
            <w:tcW w:w="854" w:type="dxa"/>
            <w:tcBorders>
              <w:top w:val="nil"/>
              <w:left w:val="nil"/>
              <w:bottom w:val="single" w:sz="4" w:space="0" w:color="auto"/>
              <w:right w:val="single" w:sz="4" w:space="0" w:color="auto"/>
            </w:tcBorders>
            <w:shd w:val="clear" w:color="000000" w:fill="FFFFFF"/>
            <w:noWrap/>
            <w:vAlign w:val="center"/>
            <w:hideMark/>
          </w:tcPr>
          <w:p w14:paraId="1D294A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w:t>
            </w:r>
          </w:p>
        </w:tc>
        <w:tc>
          <w:tcPr>
            <w:tcW w:w="1013" w:type="dxa"/>
            <w:tcBorders>
              <w:top w:val="nil"/>
              <w:left w:val="nil"/>
              <w:bottom w:val="single" w:sz="4" w:space="0" w:color="auto"/>
              <w:right w:val="single" w:sz="4" w:space="0" w:color="auto"/>
            </w:tcBorders>
            <w:shd w:val="clear" w:color="000000" w:fill="FFFFFF"/>
            <w:noWrap/>
            <w:vAlign w:val="center"/>
            <w:hideMark/>
          </w:tcPr>
          <w:p w14:paraId="542E6E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3,355,000</w:t>
            </w:r>
          </w:p>
        </w:tc>
        <w:tc>
          <w:tcPr>
            <w:tcW w:w="623" w:type="dxa"/>
            <w:tcBorders>
              <w:top w:val="nil"/>
              <w:left w:val="nil"/>
              <w:bottom w:val="single" w:sz="4" w:space="0" w:color="auto"/>
              <w:right w:val="single" w:sz="4" w:space="0" w:color="auto"/>
            </w:tcBorders>
            <w:shd w:val="clear" w:color="000000" w:fill="FFFFFF"/>
            <w:noWrap/>
            <w:vAlign w:val="center"/>
            <w:hideMark/>
          </w:tcPr>
          <w:p w14:paraId="144788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0.83</w:t>
            </w:r>
          </w:p>
        </w:tc>
        <w:tc>
          <w:tcPr>
            <w:tcW w:w="811" w:type="dxa"/>
            <w:tcBorders>
              <w:top w:val="nil"/>
              <w:left w:val="nil"/>
              <w:bottom w:val="single" w:sz="4" w:space="0" w:color="auto"/>
              <w:right w:val="single" w:sz="4" w:space="0" w:color="auto"/>
            </w:tcBorders>
            <w:shd w:val="clear" w:color="000000" w:fill="FFFFFF"/>
            <w:noWrap/>
            <w:vAlign w:val="center"/>
            <w:hideMark/>
          </w:tcPr>
          <w:p w14:paraId="1742EF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63,891</w:t>
            </w:r>
          </w:p>
        </w:tc>
        <w:tc>
          <w:tcPr>
            <w:tcW w:w="855" w:type="dxa"/>
            <w:tcBorders>
              <w:top w:val="nil"/>
              <w:left w:val="nil"/>
              <w:bottom w:val="single" w:sz="4" w:space="0" w:color="auto"/>
              <w:right w:val="single" w:sz="4" w:space="0" w:color="auto"/>
            </w:tcBorders>
            <w:shd w:val="clear" w:color="000000" w:fill="FFFFFF"/>
            <w:noWrap/>
            <w:vAlign w:val="center"/>
            <w:hideMark/>
          </w:tcPr>
          <w:p w14:paraId="7DF052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78A7C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2,482,199</w:t>
            </w:r>
          </w:p>
        </w:tc>
        <w:tc>
          <w:tcPr>
            <w:tcW w:w="740" w:type="dxa"/>
            <w:tcBorders>
              <w:top w:val="nil"/>
              <w:left w:val="nil"/>
              <w:bottom w:val="single" w:sz="4" w:space="0" w:color="auto"/>
              <w:right w:val="single" w:sz="4" w:space="0" w:color="auto"/>
            </w:tcBorders>
            <w:shd w:val="clear" w:color="000000" w:fill="FFFFFF"/>
            <w:noWrap/>
            <w:vAlign w:val="center"/>
            <w:hideMark/>
          </w:tcPr>
          <w:p w14:paraId="66C4BE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0.74</w:t>
            </w:r>
          </w:p>
        </w:tc>
        <w:tc>
          <w:tcPr>
            <w:tcW w:w="718" w:type="dxa"/>
            <w:tcBorders>
              <w:top w:val="nil"/>
              <w:left w:val="nil"/>
              <w:bottom w:val="single" w:sz="4" w:space="0" w:color="auto"/>
              <w:right w:val="single" w:sz="4" w:space="0" w:color="auto"/>
            </w:tcBorders>
            <w:shd w:val="clear" w:color="000000" w:fill="FFFFFF"/>
            <w:noWrap/>
            <w:vAlign w:val="center"/>
            <w:hideMark/>
          </w:tcPr>
          <w:p w14:paraId="24C2C5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79,497</w:t>
            </w:r>
          </w:p>
        </w:tc>
        <w:tc>
          <w:tcPr>
            <w:tcW w:w="882" w:type="dxa"/>
            <w:tcBorders>
              <w:top w:val="nil"/>
              <w:left w:val="nil"/>
              <w:bottom w:val="single" w:sz="4" w:space="0" w:color="auto"/>
              <w:right w:val="single" w:sz="4" w:space="0" w:color="auto"/>
            </w:tcBorders>
            <w:shd w:val="clear" w:color="000000" w:fill="FFFFFF"/>
            <w:noWrap/>
            <w:vAlign w:val="center"/>
            <w:hideMark/>
          </w:tcPr>
          <w:p w14:paraId="5F1751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CAE7A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3,073,489</w:t>
            </w:r>
          </w:p>
        </w:tc>
        <w:tc>
          <w:tcPr>
            <w:tcW w:w="1045" w:type="dxa"/>
            <w:tcBorders>
              <w:top w:val="nil"/>
              <w:left w:val="nil"/>
              <w:bottom w:val="single" w:sz="4" w:space="0" w:color="auto"/>
              <w:right w:val="single" w:sz="4" w:space="0" w:color="auto"/>
            </w:tcBorders>
            <w:shd w:val="clear" w:color="000000" w:fill="FFFFFF"/>
            <w:noWrap/>
            <w:vAlign w:val="center"/>
            <w:hideMark/>
          </w:tcPr>
          <w:p w14:paraId="6C9A15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0.55</w:t>
            </w:r>
          </w:p>
        </w:tc>
      </w:tr>
      <w:tr w:rsidR="00177999" w:rsidRPr="00057D13" w14:paraId="3B190CF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E7DE8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F4BEA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E7AD4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933FD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57,772</w:t>
            </w:r>
          </w:p>
        </w:tc>
        <w:tc>
          <w:tcPr>
            <w:tcW w:w="854" w:type="dxa"/>
            <w:tcBorders>
              <w:top w:val="nil"/>
              <w:left w:val="nil"/>
              <w:bottom w:val="single" w:sz="4" w:space="0" w:color="auto"/>
              <w:right w:val="single" w:sz="4" w:space="0" w:color="auto"/>
            </w:tcBorders>
            <w:shd w:val="clear" w:color="000000" w:fill="FFFFFF"/>
            <w:noWrap/>
            <w:vAlign w:val="center"/>
            <w:hideMark/>
          </w:tcPr>
          <w:p w14:paraId="6AA1BD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9FA29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2,289,307</w:t>
            </w:r>
          </w:p>
        </w:tc>
        <w:tc>
          <w:tcPr>
            <w:tcW w:w="623" w:type="dxa"/>
            <w:tcBorders>
              <w:top w:val="nil"/>
              <w:left w:val="nil"/>
              <w:bottom w:val="single" w:sz="4" w:space="0" w:color="auto"/>
              <w:right w:val="single" w:sz="4" w:space="0" w:color="auto"/>
            </w:tcBorders>
            <w:shd w:val="clear" w:color="000000" w:fill="FFFFFF"/>
            <w:noWrap/>
            <w:vAlign w:val="center"/>
            <w:hideMark/>
          </w:tcPr>
          <w:p w14:paraId="6D2075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0.81</w:t>
            </w:r>
          </w:p>
        </w:tc>
        <w:tc>
          <w:tcPr>
            <w:tcW w:w="811" w:type="dxa"/>
            <w:tcBorders>
              <w:top w:val="nil"/>
              <w:left w:val="nil"/>
              <w:bottom w:val="single" w:sz="4" w:space="0" w:color="auto"/>
              <w:right w:val="single" w:sz="4" w:space="0" w:color="auto"/>
            </w:tcBorders>
            <w:shd w:val="clear" w:color="000000" w:fill="FFFFFF"/>
            <w:noWrap/>
            <w:vAlign w:val="center"/>
            <w:hideMark/>
          </w:tcPr>
          <w:p w14:paraId="1157FF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43,066</w:t>
            </w:r>
          </w:p>
        </w:tc>
        <w:tc>
          <w:tcPr>
            <w:tcW w:w="855" w:type="dxa"/>
            <w:tcBorders>
              <w:top w:val="nil"/>
              <w:left w:val="nil"/>
              <w:bottom w:val="single" w:sz="4" w:space="0" w:color="auto"/>
              <w:right w:val="single" w:sz="4" w:space="0" w:color="auto"/>
            </w:tcBorders>
            <w:shd w:val="clear" w:color="000000" w:fill="FFFFFF"/>
            <w:noWrap/>
            <w:vAlign w:val="center"/>
            <w:hideMark/>
          </w:tcPr>
          <w:p w14:paraId="780010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57322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1,697,120</w:t>
            </w:r>
          </w:p>
        </w:tc>
        <w:tc>
          <w:tcPr>
            <w:tcW w:w="740" w:type="dxa"/>
            <w:tcBorders>
              <w:top w:val="nil"/>
              <w:left w:val="nil"/>
              <w:bottom w:val="single" w:sz="4" w:space="0" w:color="auto"/>
              <w:right w:val="single" w:sz="4" w:space="0" w:color="auto"/>
            </w:tcBorders>
            <w:shd w:val="clear" w:color="000000" w:fill="FFFFFF"/>
            <w:noWrap/>
            <w:vAlign w:val="center"/>
            <w:hideMark/>
          </w:tcPr>
          <w:p w14:paraId="1D013E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0.83</w:t>
            </w:r>
          </w:p>
        </w:tc>
        <w:tc>
          <w:tcPr>
            <w:tcW w:w="718" w:type="dxa"/>
            <w:tcBorders>
              <w:top w:val="nil"/>
              <w:left w:val="nil"/>
              <w:bottom w:val="single" w:sz="4" w:space="0" w:color="auto"/>
              <w:right w:val="single" w:sz="4" w:space="0" w:color="auto"/>
            </w:tcBorders>
            <w:shd w:val="clear" w:color="000000" w:fill="FFFFFF"/>
            <w:noWrap/>
            <w:vAlign w:val="center"/>
            <w:hideMark/>
          </w:tcPr>
          <w:p w14:paraId="53CABF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50,525</w:t>
            </w:r>
          </w:p>
        </w:tc>
        <w:tc>
          <w:tcPr>
            <w:tcW w:w="882" w:type="dxa"/>
            <w:tcBorders>
              <w:top w:val="nil"/>
              <w:left w:val="nil"/>
              <w:bottom w:val="single" w:sz="4" w:space="0" w:color="auto"/>
              <w:right w:val="single" w:sz="4" w:space="0" w:color="auto"/>
            </w:tcBorders>
            <w:shd w:val="clear" w:color="000000" w:fill="FFFFFF"/>
            <w:noWrap/>
            <w:vAlign w:val="center"/>
            <w:hideMark/>
          </w:tcPr>
          <w:p w14:paraId="24190F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w:t>
            </w:r>
          </w:p>
        </w:tc>
        <w:tc>
          <w:tcPr>
            <w:tcW w:w="1045" w:type="dxa"/>
            <w:tcBorders>
              <w:top w:val="nil"/>
              <w:left w:val="nil"/>
              <w:bottom w:val="single" w:sz="4" w:space="0" w:color="auto"/>
              <w:right w:val="single" w:sz="4" w:space="0" w:color="auto"/>
            </w:tcBorders>
            <w:shd w:val="clear" w:color="000000" w:fill="FFFFFF"/>
            <w:noWrap/>
            <w:vAlign w:val="center"/>
            <w:hideMark/>
          </w:tcPr>
          <w:p w14:paraId="706A68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1,951,045</w:t>
            </w:r>
          </w:p>
        </w:tc>
        <w:tc>
          <w:tcPr>
            <w:tcW w:w="1045" w:type="dxa"/>
            <w:tcBorders>
              <w:top w:val="nil"/>
              <w:left w:val="nil"/>
              <w:bottom w:val="single" w:sz="4" w:space="0" w:color="auto"/>
              <w:right w:val="single" w:sz="4" w:space="0" w:color="auto"/>
            </w:tcBorders>
            <w:shd w:val="clear" w:color="000000" w:fill="FFFFFF"/>
            <w:noWrap/>
            <w:vAlign w:val="center"/>
            <w:hideMark/>
          </w:tcPr>
          <w:p w14:paraId="3D27CE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w:t>
            </w:r>
          </w:p>
        </w:tc>
      </w:tr>
      <w:tr w:rsidR="00177999" w:rsidRPr="00057D13" w14:paraId="67D1C320"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1308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Bell's palsy</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33DC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44A5C8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70396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675,779</w:t>
            </w:r>
          </w:p>
        </w:tc>
        <w:tc>
          <w:tcPr>
            <w:tcW w:w="854" w:type="dxa"/>
            <w:tcBorders>
              <w:top w:val="nil"/>
              <w:left w:val="nil"/>
              <w:bottom w:val="single" w:sz="4" w:space="0" w:color="auto"/>
              <w:right w:val="single" w:sz="4" w:space="0" w:color="auto"/>
            </w:tcBorders>
            <w:shd w:val="clear" w:color="000000" w:fill="FFFFFF"/>
            <w:noWrap/>
            <w:vAlign w:val="center"/>
            <w:hideMark/>
          </w:tcPr>
          <w:p w14:paraId="4FA753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w:t>
            </w:r>
          </w:p>
        </w:tc>
        <w:tc>
          <w:tcPr>
            <w:tcW w:w="1013" w:type="dxa"/>
            <w:tcBorders>
              <w:top w:val="nil"/>
              <w:left w:val="nil"/>
              <w:bottom w:val="single" w:sz="4" w:space="0" w:color="auto"/>
              <w:right w:val="single" w:sz="4" w:space="0" w:color="auto"/>
            </w:tcBorders>
            <w:shd w:val="clear" w:color="000000" w:fill="FFFFFF"/>
            <w:noWrap/>
            <w:vAlign w:val="center"/>
            <w:hideMark/>
          </w:tcPr>
          <w:p w14:paraId="6139C3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21,785,514</w:t>
            </w:r>
          </w:p>
        </w:tc>
        <w:tc>
          <w:tcPr>
            <w:tcW w:w="623" w:type="dxa"/>
            <w:tcBorders>
              <w:top w:val="nil"/>
              <w:left w:val="nil"/>
              <w:bottom w:val="single" w:sz="4" w:space="0" w:color="auto"/>
              <w:right w:val="single" w:sz="4" w:space="0" w:color="auto"/>
            </w:tcBorders>
            <w:shd w:val="clear" w:color="000000" w:fill="FFFFFF"/>
            <w:noWrap/>
            <w:vAlign w:val="center"/>
            <w:hideMark/>
          </w:tcPr>
          <w:p w14:paraId="001322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1.17</w:t>
            </w:r>
          </w:p>
        </w:tc>
        <w:tc>
          <w:tcPr>
            <w:tcW w:w="811" w:type="dxa"/>
            <w:tcBorders>
              <w:top w:val="nil"/>
              <w:left w:val="nil"/>
              <w:bottom w:val="single" w:sz="4" w:space="0" w:color="auto"/>
              <w:right w:val="single" w:sz="4" w:space="0" w:color="auto"/>
            </w:tcBorders>
            <w:shd w:val="clear" w:color="000000" w:fill="FFFFFF"/>
            <w:noWrap/>
            <w:vAlign w:val="center"/>
            <w:hideMark/>
          </w:tcPr>
          <w:p w14:paraId="790D29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673,161</w:t>
            </w:r>
          </w:p>
        </w:tc>
        <w:tc>
          <w:tcPr>
            <w:tcW w:w="855" w:type="dxa"/>
            <w:tcBorders>
              <w:top w:val="nil"/>
              <w:left w:val="nil"/>
              <w:bottom w:val="single" w:sz="4" w:space="0" w:color="auto"/>
              <w:right w:val="single" w:sz="4" w:space="0" w:color="auto"/>
            </w:tcBorders>
            <w:shd w:val="clear" w:color="000000" w:fill="FFFFFF"/>
            <w:noWrap/>
            <w:vAlign w:val="center"/>
            <w:hideMark/>
          </w:tcPr>
          <w:p w14:paraId="090D68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w:t>
            </w:r>
          </w:p>
        </w:tc>
        <w:tc>
          <w:tcPr>
            <w:tcW w:w="1014" w:type="dxa"/>
            <w:tcBorders>
              <w:top w:val="nil"/>
              <w:left w:val="nil"/>
              <w:bottom w:val="single" w:sz="4" w:space="0" w:color="auto"/>
              <w:right w:val="single" w:sz="4" w:space="0" w:color="auto"/>
            </w:tcBorders>
            <w:shd w:val="clear" w:color="000000" w:fill="FFFFFF"/>
            <w:noWrap/>
            <w:vAlign w:val="center"/>
            <w:hideMark/>
          </w:tcPr>
          <w:p w14:paraId="625E6A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22,150,403</w:t>
            </w:r>
          </w:p>
        </w:tc>
        <w:tc>
          <w:tcPr>
            <w:tcW w:w="740" w:type="dxa"/>
            <w:tcBorders>
              <w:top w:val="nil"/>
              <w:left w:val="nil"/>
              <w:bottom w:val="single" w:sz="4" w:space="0" w:color="auto"/>
              <w:right w:val="single" w:sz="4" w:space="0" w:color="auto"/>
            </w:tcBorders>
            <w:shd w:val="clear" w:color="000000" w:fill="FFFFFF"/>
            <w:noWrap/>
            <w:vAlign w:val="center"/>
            <w:hideMark/>
          </w:tcPr>
          <w:p w14:paraId="5B24F8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1.01</w:t>
            </w:r>
          </w:p>
        </w:tc>
        <w:tc>
          <w:tcPr>
            <w:tcW w:w="718" w:type="dxa"/>
            <w:tcBorders>
              <w:top w:val="nil"/>
              <w:left w:val="nil"/>
              <w:bottom w:val="single" w:sz="4" w:space="0" w:color="auto"/>
              <w:right w:val="single" w:sz="4" w:space="0" w:color="auto"/>
            </w:tcBorders>
            <w:shd w:val="clear" w:color="000000" w:fill="FFFFFF"/>
            <w:noWrap/>
            <w:vAlign w:val="center"/>
            <w:hideMark/>
          </w:tcPr>
          <w:p w14:paraId="346D05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635,935</w:t>
            </w:r>
          </w:p>
        </w:tc>
        <w:tc>
          <w:tcPr>
            <w:tcW w:w="882" w:type="dxa"/>
            <w:tcBorders>
              <w:top w:val="nil"/>
              <w:left w:val="nil"/>
              <w:bottom w:val="single" w:sz="4" w:space="0" w:color="auto"/>
              <w:right w:val="single" w:sz="4" w:space="0" w:color="auto"/>
            </w:tcBorders>
            <w:shd w:val="clear" w:color="000000" w:fill="FFFFFF"/>
            <w:noWrap/>
            <w:vAlign w:val="center"/>
            <w:hideMark/>
          </w:tcPr>
          <w:p w14:paraId="5587C5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4A18F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20,175,890</w:t>
            </w:r>
          </w:p>
        </w:tc>
        <w:tc>
          <w:tcPr>
            <w:tcW w:w="1045" w:type="dxa"/>
            <w:tcBorders>
              <w:top w:val="nil"/>
              <w:left w:val="nil"/>
              <w:bottom w:val="single" w:sz="4" w:space="0" w:color="auto"/>
              <w:right w:val="single" w:sz="4" w:space="0" w:color="auto"/>
            </w:tcBorders>
            <w:shd w:val="clear" w:color="000000" w:fill="FFFFFF"/>
            <w:noWrap/>
            <w:vAlign w:val="center"/>
            <w:hideMark/>
          </w:tcPr>
          <w:p w14:paraId="550625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0.53</w:t>
            </w:r>
          </w:p>
        </w:tc>
      </w:tr>
      <w:tr w:rsidR="00177999" w:rsidRPr="00057D13" w14:paraId="1E2A6AF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5379F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1F895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89EF3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4FF1160"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623,855</w:t>
            </w:r>
          </w:p>
        </w:tc>
        <w:tc>
          <w:tcPr>
            <w:tcW w:w="854" w:type="dxa"/>
            <w:tcBorders>
              <w:top w:val="nil"/>
              <w:left w:val="nil"/>
              <w:bottom w:val="single" w:sz="4" w:space="0" w:color="auto"/>
              <w:right w:val="single" w:sz="4" w:space="0" w:color="auto"/>
            </w:tcBorders>
            <w:shd w:val="clear" w:color="000000" w:fill="FFFFFF"/>
            <w:noWrap/>
            <w:vAlign w:val="center"/>
            <w:hideMark/>
          </w:tcPr>
          <w:p w14:paraId="384A55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w:t>
            </w:r>
          </w:p>
        </w:tc>
        <w:tc>
          <w:tcPr>
            <w:tcW w:w="1013" w:type="dxa"/>
            <w:tcBorders>
              <w:top w:val="nil"/>
              <w:left w:val="nil"/>
              <w:bottom w:val="single" w:sz="4" w:space="0" w:color="auto"/>
              <w:right w:val="single" w:sz="4" w:space="0" w:color="auto"/>
            </w:tcBorders>
            <w:shd w:val="clear" w:color="000000" w:fill="FFFFFF"/>
            <w:noWrap/>
            <w:vAlign w:val="center"/>
            <w:hideMark/>
          </w:tcPr>
          <w:p w14:paraId="16BB66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20,275,128</w:t>
            </w:r>
          </w:p>
        </w:tc>
        <w:tc>
          <w:tcPr>
            <w:tcW w:w="623" w:type="dxa"/>
            <w:tcBorders>
              <w:top w:val="nil"/>
              <w:left w:val="nil"/>
              <w:bottom w:val="single" w:sz="4" w:space="0" w:color="auto"/>
              <w:right w:val="single" w:sz="4" w:space="0" w:color="auto"/>
            </w:tcBorders>
            <w:shd w:val="clear" w:color="000000" w:fill="FFFFFF"/>
            <w:noWrap/>
            <w:vAlign w:val="center"/>
            <w:hideMark/>
          </w:tcPr>
          <w:p w14:paraId="2E4C90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w:t>
            </w:r>
          </w:p>
        </w:tc>
        <w:tc>
          <w:tcPr>
            <w:tcW w:w="811" w:type="dxa"/>
            <w:tcBorders>
              <w:top w:val="nil"/>
              <w:left w:val="nil"/>
              <w:bottom w:val="single" w:sz="4" w:space="0" w:color="auto"/>
              <w:right w:val="single" w:sz="4" w:space="0" w:color="auto"/>
            </w:tcBorders>
            <w:shd w:val="clear" w:color="000000" w:fill="FFFFFF"/>
            <w:noWrap/>
            <w:vAlign w:val="center"/>
            <w:hideMark/>
          </w:tcPr>
          <w:p w14:paraId="4A445D3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709,401</w:t>
            </w:r>
          </w:p>
        </w:tc>
        <w:tc>
          <w:tcPr>
            <w:tcW w:w="855" w:type="dxa"/>
            <w:tcBorders>
              <w:top w:val="nil"/>
              <w:left w:val="nil"/>
              <w:bottom w:val="single" w:sz="4" w:space="0" w:color="auto"/>
              <w:right w:val="single" w:sz="4" w:space="0" w:color="auto"/>
            </w:tcBorders>
            <w:shd w:val="clear" w:color="000000" w:fill="FFFFFF"/>
            <w:noWrap/>
            <w:vAlign w:val="center"/>
            <w:hideMark/>
          </w:tcPr>
          <w:p w14:paraId="3BB941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w:t>
            </w:r>
          </w:p>
        </w:tc>
        <w:tc>
          <w:tcPr>
            <w:tcW w:w="1014" w:type="dxa"/>
            <w:tcBorders>
              <w:top w:val="nil"/>
              <w:left w:val="nil"/>
              <w:bottom w:val="single" w:sz="4" w:space="0" w:color="auto"/>
              <w:right w:val="single" w:sz="4" w:space="0" w:color="auto"/>
            </w:tcBorders>
            <w:shd w:val="clear" w:color="000000" w:fill="FFFFFF"/>
            <w:noWrap/>
            <w:vAlign w:val="center"/>
            <w:hideMark/>
          </w:tcPr>
          <w:p w14:paraId="4D0363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23,491,552</w:t>
            </w:r>
          </w:p>
        </w:tc>
        <w:tc>
          <w:tcPr>
            <w:tcW w:w="740" w:type="dxa"/>
            <w:tcBorders>
              <w:top w:val="nil"/>
              <w:left w:val="nil"/>
              <w:bottom w:val="single" w:sz="4" w:space="0" w:color="auto"/>
              <w:right w:val="single" w:sz="4" w:space="0" w:color="auto"/>
            </w:tcBorders>
            <w:shd w:val="clear" w:color="000000" w:fill="FFFFFF"/>
            <w:noWrap/>
            <w:vAlign w:val="center"/>
            <w:hideMark/>
          </w:tcPr>
          <w:p w14:paraId="1617A1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1.18</w:t>
            </w:r>
          </w:p>
        </w:tc>
        <w:tc>
          <w:tcPr>
            <w:tcW w:w="718" w:type="dxa"/>
            <w:tcBorders>
              <w:top w:val="nil"/>
              <w:left w:val="nil"/>
              <w:bottom w:val="single" w:sz="4" w:space="0" w:color="auto"/>
              <w:right w:val="single" w:sz="4" w:space="0" w:color="auto"/>
            </w:tcBorders>
            <w:shd w:val="clear" w:color="000000" w:fill="FFFFFF"/>
            <w:noWrap/>
            <w:vAlign w:val="center"/>
            <w:hideMark/>
          </w:tcPr>
          <w:p w14:paraId="2392444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615,692</w:t>
            </w:r>
          </w:p>
        </w:tc>
        <w:tc>
          <w:tcPr>
            <w:tcW w:w="882" w:type="dxa"/>
            <w:tcBorders>
              <w:top w:val="nil"/>
              <w:left w:val="nil"/>
              <w:bottom w:val="single" w:sz="4" w:space="0" w:color="auto"/>
              <w:right w:val="single" w:sz="4" w:space="0" w:color="auto"/>
            </w:tcBorders>
            <w:shd w:val="clear" w:color="000000" w:fill="FFFFFF"/>
            <w:noWrap/>
            <w:vAlign w:val="center"/>
            <w:hideMark/>
          </w:tcPr>
          <w:p w14:paraId="3D5165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w:t>
            </w:r>
          </w:p>
        </w:tc>
        <w:tc>
          <w:tcPr>
            <w:tcW w:w="1045" w:type="dxa"/>
            <w:tcBorders>
              <w:top w:val="nil"/>
              <w:left w:val="nil"/>
              <w:bottom w:val="single" w:sz="4" w:space="0" w:color="auto"/>
              <w:right w:val="single" w:sz="4" w:space="0" w:color="auto"/>
            </w:tcBorders>
            <w:shd w:val="clear" w:color="000000" w:fill="FFFFFF"/>
            <w:noWrap/>
            <w:vAlign w:val="center"/>
            <w:hideMark/>
          </w:tcPr>
          <w:p w14:paraId="76A826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19,893,989</w:t>
            </w:r>
          </w:p>
        </w:tc>
        <w:tc>
          <w:tcPr>
            <w:tcW w:w="1045" w:type="dxa"/>
            <w:tcBorders>
              <w:top w:val="nil"/>
              <w:left w:val="nil"/>
              <w:bottom w:val="single" w:sz="4" w:space="0" w:color="auto"/>
              <w:right w:val="single" w:sz="4" w:space="0" w:color="auto"/>
            </w:tcBorders>
            <w:shd w:val="clear" w:color="000000" w:fill="FFFFFF"/>
            <w:noWrap/>
            <w:vAlign w:val="center"/>
            <w:hideMark/>
          </w:tcPr>
          <w:p w14:paraId="2BCE23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0.57</w:t>
            </w:r>
          </w:p>
        </w:tc>
      </w:tr>
      <w:tr w:rsidR="00177999" w:rsidRPr="00057D13" w14:paraId="4812A31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C5692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03CFD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EE53C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B45E321"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314,933</w:t>
            </w:r>
          </w:p>
        </w:tc>
        <w:tc>
          <w:tcPr>
            <w:tcW w:w="854" w:type="dxa"/>
            <w:tcBorders>
              <w:top w:val="nil"/>
              <w:left w:val="nil"/>
              <w:bottom w:val="single" w:sz="4" w:space="0" w:color="auto"/>
              <w:right w:val="single" w:sz="4" w:space="0" w:color="auto"/>
            </w:tcBorders>
            <w:shd w:val="clear" w:color="000000" w:fill="FFFFFF"/>
            <w:noWrap/>
            <w:vAlign w:val="center"/>
            <w:hideMark/>
          </w:tcPr>
          <w:p w14:paraId="43275C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82103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10,298,281</w:t>
            </w:r>
          </w:p>
        </w:tc>
        <w:tc>
          <w:tcPr>
            <w:tcW w:w="623" w:type="dxa"/>
            <w:tcBorders>
              <w:top w:val="nil"/>
              <w:left w:val="nil"/>
              <w:bottom w:val="single" w:sz="4" w:space="0" w:color="auto"/>
              <w:right w:val="single" w:sz="4" w:space="0" w:color="auto"/>
            </w:tcBorders>
            <w:shd w:val="clear" w:color="000000" w:fill="FFFFFF"/>
            <w:noWrap/>
            <w:vAlign w:val="center"/>
            <w:hideMark/>
          </w:tcPr>
          <w:p w14:paraId="05A1D1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0.74</w:t>
            </w:r>
          </w:p>
        </w:tc>
        <w:tc>
          <w:tcPr>
            <w:tcW w:w="811" w:type="dxa"/>
            <w:tcBorders>
              <w:top w:val="nil"/>
              <w:left w:val="nil"/>
              <w:bottom w:val="single" w:sz="4" w:space="0" w:color="auto"/>
              <w:right w:val="single" w:sz="4" w:space="0" w:color="auto"/>
            </w:tcBorders>
            <w:shd w:val="clear" w:color="000000" w:fill="FFFFFF"/>
            <w:noWrap/>
            <w:vAlign w:val="center"/>
            <w:hideMark/>
          </w:tcPr>
          <w:p w14:paraId="2BE0B3E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360,346</w:t>
            </w:r>
          </w:p>
        </w:tc>
        <w:tc>
          <w:tcPr>
            <w:tcW w:w="855" w:type="dxa"/>
            <w:tcBorders>
              <w:top w:val="nil"/>
              <w:left w:val="nil"/>
              <w:bottom w:val="single" w:sz="4" w:space="0" w:color="auto"/>
              <w:right w:val="single" w:sz="4" w:space="0" w:color="auto"/>
            </w:tcBorders>
            <w:shd w:val="clear" w:color="000000" w:fill="FFFFFF"/>
            <w:noWrap/>
            <w:vAlign w:val="center"/>
            <w:hideMark/>
          </w:tcPr>
          <w:p w14:paraId="6661B7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DBEE2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12,108,973</w:t>
            </w:r>
          </w:p>
        </w:tc>
        <w:tc>
          <w:tcPr>
            <w:tcW w:w="740" w:type="dxa"/>
            <w:tcBorders>
              <w:top w:val="nil"/>
              <w:left w:val="nil"/>
              <w:bottom w:val="single" w:sz="4" w:space="0" w:color="auto"/>
              <w:right w:val="single" w:sz="4" w:space="0" w:color="auto"/>
            </w:tcBorders>
            <w:shd w:val="clear" w:color="000000" w:fill="FFFFFF"/>
            <w:noWrap/>
            <w:vAlign w:val="center"/>
            <w:hideMark/>
          </w:tcPr>
          <w:p w14:paraId="2F05CA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0.78</w:t>
            </w:r>
          </w:p>
        </w:tc>
        <w:tc>
          <w:tcPr>
            <w:tcW w:w="718" w:type="dxa"/>
            <w:tcBorders>
              <w:top w:val="nil"/>
              <w:left w:val="nil"/>
              <w:bottom w:val="single" w:sz="4" w:space="0" w:color="auto"/>
              <w:right w:val="single" w:sz="4" w:space="0" w:color="auto"/>
            </w:tcBorders>
            <w:shd w:val="clear" w:color="000000" w:fill="FFFFFF"/>
            <w:noWrap/>
            <w:vAlign w:val="center"/>
            <w:hideMark/>
          </w:tcPr>
          <w:p w14:paraId="0C30F96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308,945</w:t>
            </w:r>
          </w:p>
        </w:tc>
        <w:tc>
          <w:tcPr>
            <w:tcW w:w="882" w:type="dxa"/>
            <w:tcBorders>
              <w:top w:val="nil"/>
              <w:left w:val="nil"/>
              <w:bottom w:val="single" w:sz="4" w:space="0" w:color="auto"/>
              <w:right w:val="single" w:sz="4" w:space="0" w:color="auto"/>
            </w:tcBorders>
            <w:shd w:val="clear" w:color="000000" w:fill="FFFFFF"/>
            <w:noWrap/>
            <w:vAlign w:val="center"/>
            <w:hideMark/>
          </w:tcPr>
          <w:p w14:paraId="4DDD81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5BBCA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10,096,665</w:t>
            </w:r>
          </w:p>
        </w:tc>
        <w:tc>
          <w:tcPr>
            <w:tcW w:w="1045" w:type="dxa"/>
            <w:tcBorders>
              <w:top w:val="nil"/>
              <w:left w:val="nil"/>
              <w:bottom w:val="single" w:sz="4" w:space="0" w:color="auto"/>
              <w:right w:val="single" w:sz="4" w:space="0" w:color="auto"/>
            </w:tcBorders>
            <w:shd w:val="clear" w:color="000000" w:fill="FFFFFF"/>
            <w:noWrap/>
            <w:vAlign w:val="center"/>
            <w:hideMark/>
          </w:tcPr>
          <w:p w14:paraId="505E2D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0.84</w:t>
            </w:r>
          </w:p>
        </w:tc>
      </w:tr>
      <w:tr w:rsidR="00177999" w:rsidRPr="00057D13" w14:paraId="02B2B4F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E07BC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E363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03688F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D44C7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357,777</w:t>
            </w:r>
          </w:p>
        </w:tc>
        <w:tc>
          <w:tcPr>
            <w:tcW w:w="854" w:type="dxa"/>
            <w:tcBorders>
              <w:top w:val="nil"/>
              <w:left w:val="nil"/>
              <w:bottom w:val="single" w:sz="4" w:space="0" w:color="auto"/>
              <w:right w:val="single" w:sz="4" w:space="0" w:color="auto"/>
            </w:tcBorders>
            <w:shd w:val="clear" w:color="000000" w:fill="FFFFFF"/>
            <w:noWrap/>
            <w:vAlign w:val="center"/>
            <w:hideMark/>
          </w:tcPr>
          <w:p w14:paraId="32A67B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7D41D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8,944,746</w:t>
            </w:r>
          </w:p>
        </w:tc>
        <w:tc>
          <w:tcPr>
            <w:tcW w:w="623" w:type="dxa"/>
            <w:tcBorders>
              <w:top w:val="nil"/>
              <w:left w:val="nil"/>
              <w:bottom w:val="single" w:sz="4" w:space="0" w:color="auto"/>
              <w:right w:val="single" w:sz="4" w:space="0" w:color="auto"/>
            </w:tcBorders>
            <w:shd w:val="clear" w:color="000000" w:fill="FFFFFF"/>
            <w:noWrap/>
            <w:vAlign w:val="center"/>
            <w:hideMark/>
          </w:tcPr>
          <w:p w14:paraId="5F76AE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0.87</w:t>
            </w:r>
          </w:p>
        </w:tc>
        <w:tc>
          <w:tcPr>
            <w:tcW w:w="811" w:type="dxa"/>
            <w:tcBorders>
              <w:top w:val="nil"/>
              <w:left w:val="nil"/>
              <w:bottom w:val="single" w:sz="4" w:space="0" w:color="auto"/>
              <w:right w:val="single" w:sz="4" w:space="0" w:color="auto"/>
            </w:tcBorders>
            <w:shd w:val="clear" w:color="000000" w:fill="FFFFFF"/>
            <w:noWrap/>
            <w:vAlign w:val="center"/>
            <w:hideMark/>
          </w:tcPr>
          <w:p w14:paraId="6720D0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374,144</w:t>
            </w:r>
          </w:p>
        </w:tc>
        <w:tc>
          <w:tcPr>
            <w:tcW w:w="855" w:type="dxa"/>
            <w:tcBorders>
              <w:top w:val="nil"/>
              <w:left w:val="nil"/>
              <w:bottom w:val="single" w:sz="4" w:space="0" w:color="auto"/>
              <w:right w:val="single" w:sz="4" w:space="0" w:color="auto"/>
            </w:tcBorders>
            <w:shd w:val="clear" w:color="000000" w:fill="FFFFFF"/>
            <w:noWrap/>
            <w:vAlign w:val="center"/>
            <w:hideMark/>
          </w:tcPr>
          <w:p w14:paraId="70E6C1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F964D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10,005,282</w:t>
            </w:r>
          </w:p>
        </w:tc>
        <w:tc>
          <w:tcPr>
            <w:tcW w:w="740" w:type="dxa"/>
            <w:tcBorders>
              <w:top w:val="nil"/>
              <w:left w:val="nil"/>
              <w:bottom w:val="single" w:sz="4" w:space="0" w:color="auto"/>
              <w:right w:val="single" w:sz="4" w:space="0" w:color="auto"/>
            </w:tcBorders>
            <w:shd w:val="clear" w:color="000000" w:fill="FFFFFF"/>
            <w:noWrap/>
            <w:vAlign w:val="center"/>
            <w:hideMark/>
          </w:tcPr>
          <w:p w14:paraId="242EEE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1.28</w:t>
            </w:r>
          </w:p>
        </w:tc>
        <w:tc>
          <w:tcPr>
            <w:tcW w:w="718" w:type="dxa"/>
            <w:tcBorders>
              <w:top w:val="nil"/>
              <w:left w:val="nil"/>
              <w:bottom w:val="single" w:sz="4" w:space="0" w:color="auto"/>
              <w:right w:val="single" w:sz="4" w:space="0" w:color="auto"/>
            </w:tcBorders>
            <w:shd w:val="clear" w:color="000000" w:fill="FFFFFF"/>
            <w:noWrap/>
            <w:vAlign w:val="center"/>
            <w:hideMark/>
          </w:tcPr>
          <w:p w14:paraId="3772C4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345,766</w:t>
            </w:r>
          </w:p>
        </w:tc>
        <w:tc>
          <w:tcPr>
            <w:tcW w:w="882" w:type="dxa"/>
            <w:tcBorders>
              <w:top w:val="nil"/>
              <w:left w:val="nil"/>
              <w:bottom w:val="single" w:sz="4" w:space="0" w:color="auto"/>
              <w:right w:val="single" w:sz="4" w:space="0" w:color="auto"/>
            </w:tcBorders>
            <w:shd w:val="clear" w:color="000000" w:fill="FFFFFF"/>
            <w:noWrap/>
            <w:vAlign w:val="center"/>
            <w:hideMark/>
          </w:tcPr>
          <w:p w14:paraId="48E672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BBAB7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8,760,032</w:t>
            </w:r>
          </w:p>
        </w:tc>
        <w:tc>
          <w:tcPr>
            <w:tcW w:w="1045" w:type="dxa"/>
            <w:tcBorders>
              <w:top w:val="nil"/>
              <w:left w:val="nil"/>
              <w:bottom w:val="single" w:sz="4" w:space="0" w:color="auto"/>
              <w:right w:val="single" w:sz="4" w:space="0" w:color="auto"/>
            </w:tcBorders>
            <w:shd w:val="clear" w:color="000000" w:fill="FFFFFF"/>
            <w:noWrap/>
            <w:vAlign w:val="center"/>
            <w:hideMark/>
          </w:tcPr>
          <w:p w14:paraId="552836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0.24</w:t>
            </w:r>
          </w:p>
        </w:tc>
      </w:tr>
      <w:tr w:rsidR="00177999" w:rsidRPr="00057D13" w14:paraId="63942E4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CD420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0E403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65A73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7181C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328,898</w:t>
            </w:r>
          </w:p>
        </w:tc>
        <w:tc>
          <w:tcPr>
            <w:tcW w:w="854" w:type="dxa"/>
            <w:tcBorders>
              <w:top w:val="nil"/>
              <w:left w:val="nil"/>
              <w:bottom w:val="single" w:sz="4" w:space="0" w:color="auto"/>
              <w:right w:val="single" w:sz="4" w:space="0" w:color="auto"/>
            </w:tcBorders>
            <w:shd w:val="clear" w:color="000000" w:fill="FFFFFF"/>
            <w:noWrap/>
            <w:vAlign w:val="center"/>
            <w:hideMark/>
          </w:tcPr>
          <w:p w14:paraId="631086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BFBB6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8,079,623</w:t>
            </w:r>
          </w:p>
        </w:tc>
        <w:tc>
          <w:tcPr>
            <w:tcW w:w="623" w:type="dxa"/>
            <w:tcBorders>
              <w:top w:val="nil"/>
              <w:left w:val="nil"/>
              <w:bottom w:val="single" w:sz="4" w:space="0" w:color="auto"/>
              <w:right w:val="single" w:sz="4" w:space="0" w:color="auto"/>
            </w:tcBorders>
            <w:shd w:val="clear" w:color="000000" w:fill="FFFFFF"/>
            <w:noWrap/>
            <w:vAlign w:val="center"/>
            <w:hideMark/>
          </w:tcPr>
          <w:p w14:paraId="529E81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0.97</w:t>
            </w:r>
          </w:p>
        </w:tc>
        <w:tc>
          <w:tcPr>
            <w:tcW w:w="811" w:type="dxa"/>
            <w:tcBorders>
              <w:top w:val="nil"/>
              <w:left w:val="nil"/>
              <w:bottom w:val="single" w:sz="4" w:space="0" w:color="auto"/>
              <w:right w:val="single" w:sz="4" w:space="0" w:color="auto"/>
            </w:tcBorders>
            <w:shd w:val="clear" w:color="000000" w:fill="FFFFFF"/>
            <w:noWrap/>
            <w:vAlign w:val="center"/>
            <w:hideMark/>
          </w:tcPr>
          <w:p w14:paraId="25D223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386,972</w:t>
            </w:r>
          </w:p>
        </w:tc>
        <w:tc>
          <w:tcPr>
            <w:tcW w:w="855" w:type="dxa"/>
            <w:tcBorders>
              <w:top w:val="nil"/>
              <w:left w:val="nil"/>
              <w:bottom w:val="single" w:sz="4" w:space="0" w:color="auto"/>
              <w:right w:val="single" w:sz="4" w:space="0" w:color="auto"/>
            </w:tcBorders>
            <w:shd w:val="clear" w:color="000000" w:fill="FFFFFF"/>
            <w:noWrap/>
            <w:vAlign w:val="center"/>
            <w:hideMark/>
          </w:tcPr>
          <w:p w14:paraId="09ADE9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FE1B4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10,101,801</w:t>
            </w:r>
          </w:p>
        </w:tc>
        <w:tc>
          <w:tcPr>
            <w:tcW w:w="740" w:type="dxa"/>
            <w:tcBorders>
              <w:top w:val="nil"/>
              <w:left w:val="nil"/>
              <w:bottom w:val="single" w:sz="4" w:space="0" w:color="auto"/>
              <w:right w:val="single" w:sz="4" w:space="0" w:color="auto"/>
            </w:tcBorders>
            <w:shd w:val="clear" w:color="000000" w:fill="FFFFFF"/>
            <w:noWrap/>
            <w:vAlign w:val="center"/>
            <w:hideMark/>
          </w:tcPr>
          <w:p w14:paraId="40CF9B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1.01</w:t>
            </w:r>
          </w:p>
        </w:tc>
        <w:tc>
          <w:tcPr>
            <w:tcW w:w="718" w:type="dxa"/>
            <w:tcBorders>
              <w:top w:val="nil"/>
              <w:left w:val="nil"/>
              <w:bottom w:val="single" w:sz="4" w:space="0" w:color="auto"/>
              <w:right w:val="single" w:sz="4" w:space="0" w:color="auto"/>
            </w:tcBorders>
            <w:shd w:val="clear" w:color="000000" w:fill="FFFFFF"/>
            <w:noWrap/>
            <w:vAlign w:val="center"/>
            <w:hideMark/>
          </w:tcPr>
          <w:p w14:paraId="779DFA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329,457</w:t>
            </w:r>
          </w:p>
        </w:tc>
        <w:tc>
          <w:tcPr>
            <w:tcW w:w="882" w:type="dxa"/>
            <w:tcBorders>
              <w:top w:val="nil"/>
              <w:left w:val="nil"/>
              <w:bottom w:val="single" w:sz="4" w:space="0" w:color="auto"/>
              <w:right w:val="single" w:sz="4" w:space="0" w:color="auto"/>
            </w:tcBorders>
            <w:shd w:val="clear" w:color="000000" w:fill="FFFFFF"/>
            <w:noWrap/>
            <w:vAlign w:val="center"/>
            <w:hideMark/>
          </w:tcPr>
          <w:p w14:paraId="0296BF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C3964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8,231,955</w:t>
            </w:r>
          </w:p>
        </w:tc>
        <w:tc>
          <w:tcPr>
            <w:tcW w:w="1045" w:type="dxa"/>
            <w:tcBorders>
              <w:top w:val="nil"/>
              <w:left w:val="nil"/>
              <w:bottom w:val="single" w:sz="4" w:space="0" w:color="auto"/>
              <w:right w:val="single" w:sz="4" w:space="0" w:color="auto"/>
            </w:tcBorders>
            <w:shd w:val="clear" w:color="000000" w:fill="FFFFFF"/>
            <w:noWrap/>
            <w:vAlign w:val="center"/>
            <w:hideMark/>
          </w:tcPr>
          <w:p w14:paraId="70D62D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0.50</w:t>
            </w:r>
          </w:p>
        </w:tc>
      </w:tr>
      <w:tr w:rsidR="00177999" w:rsidRPr="00057D13" w14:paraId="49DF192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6C0FF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50E80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851F3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B0654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167,972</w:t>
            </w:r>
          </w:p>
        </w:tc>
        <w:tc>
          <w:tcPr>
            <w:tcW w:w="854" w:type="dxa"/>
            <w:tcBorders>
              <w:top w:val="nil"/>
              <w:left w:val="nil"/>
              <w:bottom w:val="single" w:sz="4" w:space="0" w:color="auto"/>
              <w:right w:val="single" w:sz="4" w:space="0" w:color="auto"/>
            </w:tcBorders>
            <w:shd w:val="clear" w:color="000000" w:fill="FFFFFF"/>
            <w:noWrap/>
            <w:vAlign w:val="center"/>
            <w:hideMark/>
          </w:tcPr>
          <w:p w14:paraId="0CF620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9537F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4,216,467</w:t>
            </w:r>
          </w:p>
        </w:tc>
        <w:tc>
          <w:tcPr>
            <w:tcW w:w="623" w:type="dxa"/>
            <w:tcBorders>
              <w:top w:val="nil"/>
              <w:left w:val="nil"/>
              <w:bottom w:val="single" w:sz="4" w:space="0" w:color="auto"/>
              <w:right w:val="single" w:sz="4" w:space="0" w:color="auto"/>
            </w:tcBorders>
            <w:shd w:val="clear" w:color="000000" w:fill="FFFFFF"/>
            <w:noWrap/>
            <w:vAlign w:val="center"/>
            <w:hideMark/>
          </w:tcPr>
          <w:p w14:paraId="735227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0.61</w:t>
            </w:r>
          </w:p>
        </w:tc>
        <w:tc>
          <w:tcPr>
            <w:tcW w:w="811" w:type="dxa"/>
            <w:tcBorders>
              <w:top w:val="nil"/>
              <w:left w:val="nil"/>
              <w:bottom w:val="single" w:sz="4" w:space="0" w:color="auto"/>
              <w:right w:val="single" w:sz="4" w:space="0" w:color="auto"/>
            </w:tcBorders>
            <w:shd w:val="clear" w:color="000000" w:fill="FFFFFF"/>
            <w:noWrap/>
            <w:vAlign w:val="center"/>
            <w:hideMark/>
          </w:tcPr>
          <w:p w14:paraId="31B234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201,636</w:t>
            </w:r>
          </w:p>
        </w:tc>
        <w:tc>
          <w:tcPr>
            <w:tcW w:w="855" w:type="dxa"/>
            <w:tcBorders>
              <w:top w:val="nil"/>
              <w:left w:val="nil"/>
              <w:bottom w:val="single" w:sz="4" w:space="0" w:color="auto"/>
              <w:right w:val="single" w:sz="4" w:space="0" w:color="auto"/>
            </w:tcBorders>
            <w:shd w:val="clear" w:color="000000" w:fill="FFFFFF"/>
            <w:noWrap/>
            <w:vAlign w:val="center"/>
            <w:hideMark/>
          </w:tcPr>
          <w:p w14:paraId="1C83FE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ED24E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5,513,254</w:t>
            </w:r>
          </w:p>
        </w:tc>
        <w:tc>
          <w:tcPr>
            <w:tcW w:w="740" w:type="dxa"/>
            <w:tcBorders>
              <w:top w:val="nil"/>
              <w:left w:val="nil"/>
              <w:bottom w:val="single" w:sz="4" w:space="0" w:color="auto"/>
              <w:right w:val="single" w:sz="4" w:space="0" w:color="auto"/>
            </w:tcBorders>
            <w:shd w:val="clear" w:color="000000" w:fill="FFFFFF"/>
            <w:noWrap/>
            <w:vAlign w:val="center"/>
            <w:hideMark/>
          </w:tcPr>
          <w:p w14:paraId="352C53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0.38</w:t>
            </w:r>
          </w:p>
        </w:tc>
        <w:tc>
          <w:tcPr>
            <w:tcW w:w="718" w:type="dxa"/>
            <w:tcBorders>
              <w:top w:val="nil"/>
              <w:left w:val="nil"/>
              <w:bottom w:val="single" w:sz="4" w:space="0" w:color="auto"/>
              <w:right w:val="single" w:sz="4" w:space="0" w:color="auto"/>
            </w:tcBorders>
            <w:shd w:val="clear" w:color="000000" w:fill="FFFFFF"/>
            <w:noWrap/>
            <w:vAlign w:val="center"/>
            <w:hideMark/>
          </w:tcPr>
          <w:p w14:paraId="009742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168,583</w:t>
            </w:r>
          </w:p>
        </w:tc>
        <w:tc>
          <w:tcPr>
            <w:tcW w:w="882" w:type="dxa"/>
            <w:tcBorders>
              <w:top w:val="nil"/>
              <w:left w:val="nil"/>
              <w:bottom w:val="single" w:sz="4" w:space="0" w:color="auto"/>
              <w:right w:val="single" w:sz="4" w:space="0" w:color="auto"/>
            </w:tcBorders>
            <w:shd w:val="clear" w:color="000000" w:fill="FFFFFF"/>
            <w:noWrap/>
            <w:vAlign w:val="center"/>
            <w:hideMark/>
          </w:tcPr>
          <w:p w14:paraId="45CFB1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BD904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4,378,145</w:t>
            </w:r>
          </w:p>
        </w:tc>
        <w:tc>
          <w:tcPr>
            <w:tcW w:w="1045" w:type="dxa"/>
            <w:tcBorders>
              <w:top w:val="nil"/>
              <w:left w:val="nil"/>
              <w:bottom w:val="single" w:sz="4" w:space="0" w:color="auto"/>
              <w:right w:val="single" w:sz="4" w:space="0" w:color="auto"/>
            </w:tcBorders>
            <w:shd w:val="clear" w:color="000000" w:fill="FFFFFF"/>
            <w:noWrap/>
            <w:vAlign w:val="center"/>
            <w:hideMark/>
          </w:tcPr>
          <w:p w14:paraId="5F93F3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1.11</w:t>
            </w:r>
          </w:p>
        </w:tc>
      </w:tr>
      <w:tr w:rsidR="00177999" w:rsidRPr="00057D13" w14:paraId="7D983C2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ED4BD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6ADA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284717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A67A4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318,002</w:t>
            </w:r>
          </w:p>
        </w:tc>
        <w:tc>
          <w:tcPr>
            <w:tcW w:w="854" w:type="dxa"/>
            <w:tcBorders>
              <w:top w:val="nil"/>
              <w:left w:val="nil"/>
              <w:bottom w:val="single" w:sz="4" w:space="0" w:color="auto"/>
              <w:right w:val="single" w:sz="4" w:space="0" w:color="auto"/>
            </w:tcBorders>
            <w:shd w:val="clear" w:color="000000" w:fill="FFFFFF"/>
            <w:noWrap/>
            <w:vAlign w:val="center"/>
            <w:hideMark/>
          </w:tcPr>
          <w:p w14:paraId="050E5F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3856D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12,840,768</w:t>
            </w:r>
          </w:p>
        </w:tc>
        <w:tc>
          <w:tcPr>
            <w:tcW w:w="623" w:type="dxa"/>
            <w:tcBorders>
              <w:top w:val="nil"/>
              <w:left w:val="nil"/>
              <w:bottom w:val="single" w:sz="4" w:space="0" w:color="auto"/>
              <w:right w:val="single" w:sz="4" w:space="0" w:color="auto"/>
            </w:tcBorders>
            <w:shd w:val="clear" w:color="000000" w:fill="FFFFFF"/>
            <w:noWrap/>
            <w:vAlign w:val="center"/>
            <w:hideMark/>
          </w:tcPr>
          <w:p w14:paraId="00B7C3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1.38</w:t>
            </w:r>
          </w:p>
        </w:tc>
        <w:tc>
          <w:tcPr>
            <w:tcW w:w="811" w:type="dxa"/>
            <w:tcBorders>
              <w:top w:val="nil"/>
              <w:left w:val="nil"/>
              <w:bottom w:val="single" w:sz="4" w:space="0" w:color="auto"/>
              <w:right w:val="single" w:sz="4" w:space="0" w:color="auto"/>
            </w:tcBorders>
            <w:shd w:val="clear" w:color="000000" w:fill="FFFFFF"/>
            <w:noWrap/>
            <w:vAlign w:val="center"/>
            <w:hideMark/>
          </w:tcPr>
          <w:p w14:paraId="24C8A1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299,017</w:t>
            </w:r>
          </w:p>
        </w:tc>
        <w:tc>
          <w:tcPr>
            <w:tcW w:w="855" w:type="dxa"/>
            <w:tcBorders>
              <w:top w:val="nil"/>
              <w:left w:val="nil"/>
              <w:bottom w:val="single" w:sz="4" w:space="0" w:color="auto"/>
              <w:right w:val="single" w:sz="4" w:space="0" w:color="auto"/>
            </w:tcBorders>
            <w:shd w:val="clear" w:color="000000" w:fill="FFFFFF"/>
            <w:noWrap/>
            <w:vAlign w:val="center"/>
            <w:hideMark/>
          </w:tcPr>
          <w:p w14:paraId="3FEE05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94919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12,145,121</w:t>
            </w:r>
          </w:p>
        </w:tc>
        <w:tc>
          <w:tcPr>
            <w:tcW w:w="740" w:type="dxa"/>
            <w:tcBorders>
              <w:top w:val="nil"/>
              <w:left w:val="nil"/>
              <w:bottom w:val="single" w:sz="4" w:space="0" w:color="auto"/>
              <w:right w:val="single" w:sz="4" w:space="0" w:color="auto"/>
            </w:tcBorders>
            <w:shd w:val="clear" w:color="000000" w:fill="FFFFFF"/>
            <w:noWrap/>
            <w:vAlign w:val="center"/>
            <w:hideMark/>
          </w:tcPr>
          <w:p w14:paraId="747281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0.78</w:t>
            </w:r>
          </w:p>
        </w:tc>
        <w:tc>
          <w:tcPr>
            <w:tcW w:w="718" w:type="dxa"/>
            <w:tcBorders>
              <w:top w:val="nil"/>
              <w:left w:val="nil"/>
              <w:bottom w:val="single" w:sz="4" w:space="0" w:color="auto"/>
              <w:right w:val="single" w:sz="4" w:space="0" w:color="auto"/>
            </w:tcBorders>
            <w:shd w:val="clear" w:color="000000" w:fill="FFFFFF"/>
            <w:noWrap/>
            <w:vAlign w:val="center"/>
            <w:hideMark/>
          </w:tcPr>
          <w:p w14:paraId="67CD2E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290,169</w:t>
            </w:r>
          </w:p>
        </w:tc>
        <w:tc>
          <w:tcPr>
            <w:tcW w:w="882" w:type="dxa"/>
            <w:tcBorders>
              <w:top w:val="nil"/>
              <w:left w:val="nil"/>
              <w:bottom w:val="single" w:sz="4" w:space="0" w:color="auto"/>
              <w:right w:val="single" w:sz="4" w:space="0" w:color="auto"/>
            </w:tcBorders>
            <w:shd w:val="clear" w:color="000000" w:fill="FFFFFF"/>
            <w:noWrap/>
            <w:vAlign w:val="center"/>
            <w:hideMark/>
          </w:tcPr>
          <w:p w14:paraId="45735F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63406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11,415,858</w:t>
            </w:r>
          </w:p>
        </w:tc>
        <w:tc>
          <w:tcPr>
            <w:tcW w:w="1045" w:type="dxa"/>
            <w:tcBorders>
              <w:top w:val="nil"/>
              <w:left w:val="nil"/>
              <w:bottom w:val="single" w:sz="4" w:space="0" w:color="auto"/>
              <w:right w:val="single" w:sz="4" w:space="0" w:color="auto"/>
            </w:tcBorders>
            <w:shd w:val="clear" w:color="000000" w:fill="FFFFFF"/>
            <w:noWrap/>
            <w:vAlign w:val="center"/>
            <w:hideMark/>
          </w:tcPr>
          <w:p w14:paraId="44F4C7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0.75</w:t>
            </w:r>
          </w:p>
        </w:tc>
      </w:tr>
      <w:tr w:rsidR="00177999" w:rsidRPr="00057D13" w14:paraId="4DEFFAC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44936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7BEC6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CBF7E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973B8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294,957</w:t>
            </w:r>
          </w:p>
        </w:tc>
        <w:tc>
          <w:tcPr>
            <w:tcW w:w="854" w:type="dxa"/>
            <w:tcBorders>
              <w:top w:val="nil"/>
              <w:left w:val="nil"/>
              <w:bottom w:val="single" w:sz="4" w:space="0" w:color="auto"/>
              <w:right w:val="single" w:sz="4" w:space="0" w:color="auto"/>
            </w:tcBorders>
            <w:shd w:val="clear" w:color="000000" w:fill="FFFFFF"/>
            <w:noWrap/>
            <w:vAlign w:val="center"/>
            <w:hideMark/>
          </w:tcPr>
          <w:p w14:paraId="5786B2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57D7A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12,195,505</w:t>
            </w:r>
          </w:p>
        </w:tc>
        <w:tc>
          <w:tcPr>
            <w:tcW w:w="623" w:type="dxa"/>
            <w:tcBorders>
              <w:top w:val="nil"/>
              <w:left w:val="nil"/>
              <w:bottom w:val="single" w:sz="4" w:space="0" w:color="auto"/>
              <w:right w:val="single" w:sz="4" w:space="0" w:color="auto"/>
            </w:tcBorders>
            <w:shd w:val="clear" w:color="000000" w:fill="FFFFFF"/>
            <w:noWrap/>
            <w:vAlign w:val="center"/>
            <w:hideMark/>
          </w:tcPr>
          <w:p w14:paraId="19C438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1.28</w:t>
            </w:r>
          </w:p>
        </w:tc>
        <w:tc>
          <w:tcPr>
            <w:tcW w:w="811" w:type="dxa"/>
            <w:tcBorders>
              <w:top w:val="nil"/>
              <w:left w:val="nil"/>
              <w:bottom w:val="single" w:sz="4" w:space="0" w:color="auto"/>
              <w:right w:val="single" w:sz="4" w:space="0" w:color="auto"/>
            </w:tcBorders>
            <w:shd w:val="clear" w:color="000000" w:fill="FFFFFF"/>
            <w:noWrap/>
            <w:vAlign w:val="center"/>
            <w:hideMark/>
          </w:tcPr>
          <w:p w14:paraId="17BF57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322,429</w:t>
            </w:r>
          </w:p>
        </w:tc>
        <w:tc>
          <w:tcPr>
            <w:tcW w:w="855" w:type="dxa"/>
            <w:tcBorders>
              <w:top w:val="nil"/>
              <w:left w:val="nil"/>
              <w:bottom w:val="single" w:sz="4" w:space="0" w:color="auto"/>
              <w:right w:val="single" w:sz="4" w:space="0" w:color="auto"/>
            </w:tcBorders>
            <w:shd w:val="clear" w:color="000000" w:fill="FFFFFF"/>
            <w:noWrap/>
            <w:vAlign w:val="center"/>
            <w:hideMark/>
          </w:tcPr>
          <w:p w14:paraId="228BF5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E591E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13,389,751</w:t>
            </w:r>
          </w:p>
        </w:tc>
        <w:tc>
          <w:tcPr>
            <w:tcW w:w="740" w:type="dxa"/>
            <w:tcBorders>
              <w:top w:val="nil"/>
              <w:left w:val="nil"/>
              <w:bottom w:val="single" w:sz="4" w:space="0" w:color="auto"/>
              <w:right w:val="single" w:sz="4" w:space="0" w:color="auto"/>
            </w:tcBorders>
            <w:shd w:val="clear" w:color="000000" w:fill="FFFFFF"/>
            <w:noWrap/>
            <w:vAlign w:val="center"/>
            <w:hideMark/>
          </w:tcPr>
          <w:p w14:paraId="6BE7CE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w:t>
            </w:r>
          </w:p>
        </w:tc>
        <w:tc>
          <w:tcPr>
            <w:tcW w:w="718" w:type="dxa"/>
            <w:tcBorders>
              <w:top w:val="nil"/>
              <w:left w:val="nil"/>
              <w:bottom w:val="single" w:sz="4" w:space="0" w:color="auto"/>
              <w:right w:val="single" w:sz="4" w:space="0" w:color="auto"/>
            </w:tcBorders>
            <w:shd w:val="clear" w:color="000000" w:fill="FFFFFF"/>
            <w:noWrap/>
            <w:vAlign w:val="center"/>
            <w:hideMark/>
          </w:tcPr>
          <w:p w14:paraId="36F2DE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286,235</w:t>
            </w:r>
          </w:p>
        </w:tc>
        <w:tc>
          <w:tcPr>
            <w:tcW w:w="882" w:type="dxa"/>
            <w:tcBorders>
              <w:top w:val="nil"/>
              <w:left w:val="nil"/>
              <w:bottom w:val="single" w:sz="4" w:space="0" w:color="auto"/>
              <w:right w:val="single" w:sz="4" w:space="0" w:color="auto"/>
            </w:tcBorders>
            <w:shd w:val="clear" w:color="000000" w:fill="FFFFFF"/>
            <w:noWrap/>
            <w:vAlign w:val="center"/>
            <w:hideMark/>
          </w:tcPr>
          <w:p w14:paraId="1E4478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3DCB0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11,662,034</w:t>
            </w:r>
          </w:p>
        </w:tc>
        <w:tc>
          <w:tcPr>
            <w:tcW w:w="1045" w:type="dxa"/>
            <w:tcBorders>
              <w:top w:val="nil"/>
              <w:left w:val="nil"/>
              <w:bottom w:val="single" w:sz="4" w:space="0" w:color="auto"/>
              <w:right w:val="single" w:sz="4" w:space="0" w:color="auto"/>
            </w:tcBorders>
            <w:shd w:val="clear" w:color="000000" w:fill="FFFFFF"/>
            <w:noWrap/>
            <w:vAlign w:val="center"/>
            <w:hideMark/>
          </w:tcPr>
          <w:p w14:paraId="045F0F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0.62</w:t>
            </w:r>
          </w:p>
        </w:tc>
      </w:tr>
      <w:tr w:rsidR="00177999" w:rsidRPr="00057D13" w14:paraId="72413F9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A759E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D413E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B16B3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0E88D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146,961</w:t>
            </w:r>
          </w:p>
        </w:tc>
        <w:tc>
          <w:tcPr>
            <w:tcW w:w="854" w:type="dxa"/>
            <w:tcBorders>
              <w:top w:val="nil"/>
              <w:left w:val="nil"/>
              <w:bottom w:val="single" w:sz="4" w:space="0" w:color="auto"/>
              <w:right w:val="single" w:sz="4" w:space="0" w:color="auto"/>
            </w:tcBorders>
            <w:shd w:val="clear" w:color="000000" w:fill="FFFFFF"/>
            <w:noWrap/>
            <w:vAlign w:val="center"/>
            <w:hideMark/>
          </w:tcPr>
          <w:p w14:paraId="1490DC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47656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6,081,814</w:t>
            </w:r>
          </w:p>
        </w:tc>
        <w:tc>
          <w:tcPr>
            <w:tcW w:w="623" w:type="dxa"/>
            <w:tcBorders>
              <w:top w:val="nil"/>
              <w:left w:val="nil"/>
              <w:bottom w:val="single" w:sz="4" w:space="0" w:color="auto"/>
              <w:right w:val="single" w:sz="4" w:space="0" w:color="auto"/>
            </w:tcBorders>
            <w:shd w:val="clear" w:color="000000" w:fill="FFFFFF"/>
            <w:noWrap/>
            <w:vAlign w:val="center"/>
            <w:hideMark/>
          </w:tcPr>
          <w:p w14:paraId="1AEE4B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1.05</w:t>
            </w:r>
          </w:p>
        </w:tc>
        <w:tc>
          <w:tcPr>
            <w:tcW w:w="811" w:type="dxa"/>
            <w:tcBorders>
              <w:top w:val="nil"/>
              <w:left w:val="nil"/>
              <w:bottom w:val="single" w:sz="4" w:space="0" w:color="auto"/>
              <w:right w:val="single" w:sz="4" w:space="0" w:color="auto"/>
            </w:tcBorders>
            <w:shd w:val="clear" w:color="000000" w:fill="FFFFFF"/>
            <w:noWrap/>
            <w:vAlign w:val="center"/>
            <w:hideMark/>
          </w:tcPr>
          <w:p w14:paraId="42CB90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158,710</w:t>
            </w:r>
          </w:p>
        </w:tc>
        <w:tc>
          <w:tcPr>
            <w:tcW w:w="855" w:type="dxa"/>
            <w:tcBorders>
              <w:top w:val="nil"/>
              <w:left w:val="nil"/>
              <w:bottom w:val="single" w:sz="4" w:space="0" w:color="auto"/>
              <w:right w:val="single" w:sz="4" w:space="0" w:color="auto"/>
            </w:tcBorders>
            <w:shd w:val="clear" w:color="000000" w:fill="FFFFFF"/>
            <w:noWrap/>
            <w:vAlign w:val="center"/>
            <w:hideMark/>
          </w:tcPr>
          <w:p w14:paraId="167756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B446E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6,595,719</w:t>
            </w:r>
          </w:p>
        </w:tc>
        <w:tc>
          <w:tcPr>
            <w:tcW w:w="740" w:type="dxa"/>
            <w:tcBorders>
              <w:top w:val="nil"/>
              <w:left w:val="nil"/>
              <w:bottom w:val="single" w:sz="4" w:space="0" w:color="auto"/>
              <w:right w:val="single" w:sz="4" w:space="0" w:color="auto"/>
            </w:tcBorders>
            <w:shd w:val="clear" w:color="000000" w:fill="FFFFFF"/>
            <w:noWrap/>
            <w:vAlign w:val="center"/>
            <w:hideMark/>
          </w:tcPr>
          <w:p w14:paraId="0B59C8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1.11</w:t>
            </w:r>
          </w:p>
        </w:tc>
        <w:tc>
          <w:tcPr>
            <w:tcW w:w="718" w:type="dxa"/>
            <w:tcBorders>
              <w:top w:val="nil"/>
              <w:left w:val="nil"/>
              <w:bottom w:val="single" w:sz="4" w:space="0" w:color="auto"/>
              <w:right w:val="single" w:sz="4" w:space="0" w:color="auto"/>
            </w:tcBorders>
            <w:shd w:val="clear" w:color="000000" w:fill="FFFFFF"/>
            <w:noWrap/>
            <w:vAlign w:val="center"/>
            <w:hideMark/>
          </w:tcPr>
          <w:p w14:paraId="0E697B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140,362</w:t>
            </w:r>
          </w:p>
        </w:tc>
        <w:tc>
          <w:tcPr>
            <w:tcW w:w="882" w:type="dxa"/>
            <w:tcBorders>
              <w:top w:val="nil"/>
              <w:left w:val="nil"/>
              <w:bottom w:val="single" w:sz="4" w:space="0" w:color="auto"/>
              <w:right w:val="single" w:sz="4" w:space="0" w:color="auto"/>
            </w:tcBorders>
            <w:shd w:val="clear" w:color="000000" w:fill="FFFFFF"/>
            <w:noWrap/>
            <w:vAlign w:val="center"/>
            <w:hideMark/>
          </w:tcPr>
          <w:p w14:paraId="7FC3CD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5A2F2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5,718,520</w:t>
            </w:r>
          </w:p>
        </w:tc>
        <w:tc>
          <w:tcPr>
            <w:tcW w:w="1045" w:type="dxa"/>
            <w:tcBorders>
              <w:top w:val="nil"/>
              <w:left w:val="nil"/>
              <w:bottom w:val="single" w:sz="4" w:space="0" w:color="auto"/>
              <w:right w:val="single" w:sz="4" w:space="0" w:color="auto"/>
            </w:tcBorders>
            <w:shd w:val="clear" w:color="000000" w:fill="FFFFFF"/>
            <w:noWrap/>
            <w:vAlign w:val="center"/>
            <w:hideMark/>
          </w:tcPr>
          <w:p w14:paraId="274DE4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0.64</w:t>
            </w:r>
          </w:p>
        </w:tc>
      </w:tr>
      <w:tr w:rsidR="00177999" w:rsidRPr="00057D13" w14:paraId="2B3E537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C31E9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1D816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49D43F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E9424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12,471</w:t>
            </w:r>
          </w:p>
        </w:tc>
        <w:tc>
          <w:tcPr>
            <w:tcW w:w="854" w:type="dxa"/>
            <w:tcBorders>
              <w:top w:val="nil"/>
              <w:left w:val="nil"/>
              <w:bottom w:val="single" w:sz="4" w:space="0" w:color="auto"/>
              <w:right w:val="single" w:sz="4" w:space="0" w:color="auto"/>
            </w:tcBorders>
            <w:shd w:val="clear" w:color="000000" w:fill="FFFFFF"/>
            <w:noWrap/>
            <w:vAlign w:val="center"/>
            <w:hideMark/>
          </w:tcPr>
          <w:p w14:paraId="444291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8DEF1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164,697</w:t>
            </w:r>
          </w:p>
        </w:tc>
        <w:tc>
          <w:tcPr>
            <w:tcW w:w="623" w:type="dxa"/>
            <w:tcBorders>
              <w:top w:val="nil"/>
              <w:left w:val="nil"/>
              <w:bottom w:val="single" w:sz="4" w:space="0" w:color="auto"/>
              <w:right w:val="single" w:sz="4" w:space="0" w:color="auto"/>
            </w:tcBorders>
            <w:shd w:val="clear" w:color="000000" w:fill="FFFFFF"/>
            <w:noWrap/>
            <w:vAlign w:val="center"/>
            <w:hideMark/>
          </w:tcPr>
          <w:p w14:paraId="2BEC71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8CAD1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1,441</w:t>
            </w:r>
          </w:p>
        </w:tc>
        <w:tc>
          <w:tcPr>
            <w:tcW w:w="855" w:type="dxa"/>
            <w:tcBorders>
              <w:top w:val="nil"/>
              <w:left w:val="nil"/>
              <w:bottom w:val="single" w:sz="4" w:space="0" w:color="auto"/>
              <w:right w:val="single" w:sz="4" w:space="0" w:color="auto"/>
            </w:tcBorders>
            <w:shd w:val="clear" w:color="000000" w:fill="FFFFFF"/>
            <w:noWrap/>
            <w:vAlign w:val="center"/>
            <w:hideMark/>
          </w:tcPr>
          <w:p w14:paraId="07D231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5BFC8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50,751</w:t>
            </w:r>
          </w:p>
        </w:tc>
        <w:tc>
          <w:tcPr>
            <w:tcW w:w="740" w:type="dxa"/>
            <w:tcBorders>
              <w:top w:val="nil"/>
              <w:left w:val="nil"/>
              <w:bottom w:val="single" w:sz="4" w:space="0" w:color="auto"/>
              <w:right w:val="single" w:sz="4" w:space="0" w:color="auto"/>
            </w:tcBorders>
            <w:shd w:val="clear" w:color="000000" w:fill="FFFFFF"/>
            <w:noWrap/>
            <w:vAlign w:val="center"/>
            <w:hideMark/>
          </w:tcPr>
          <w:p w14:paraId="4971C6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CDC87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20,761</w:t>
            </w:r>
          </w:p>
        </w:tc>
        <w:tc>
          <w:tcPr>
            <w:tcW w:w="882" w:type="dxa"/>
            <w:tcBorders>
              <w:top w:val="nil"/>
              <w:left w:val="nil"/>
              <w:bottom w:val="single" w:sz="4" w:space="0" w:color="auto"/>
              <w:right w:val="single" w:sz="4" w:space="0" w:color="auto"/>
            </w:tcBorders>
            <w:shd w:val="clear" w:color="000000" w:fill="FFFFFF"/>
            <w:noWrap/>
            <w:vAlign w:val="center"/>
            <w:hideMark/>
          </w:tcPr>
          <w:p w14:paraId="2343D1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BC1C1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409,823</w:t>
            </w:r>
          </w:p>
        </w:tc>
        <w:tc>
          <w:tcPr>
            <w:tcW w:w="1045" w:type="dxa"/>
            <w:tcBorders>
              <w:top w:val="nil"/>
              <w:left w:val="nil"/>
              <w:bottom w:val="single" w:sz="4" w:space="0" w:color="auto"/>
              <w:right w:val="single" w:sz="4" w:space="0" w:color="auto"/>
            </w:tcBorders>
            <w:shd w:val="clear" w:color="000000" w:fill="FFFFFF"/>
            <w:noWrap/>
            <w:vAlign w:val="center"/>
            <w:hideMark/>
          </w:tcPr>
          <w:p w14:paraId="5334CA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CE39D7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11481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AAC74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50744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2EA84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91,094</w:t>
            </w:r>
          </w:p>
        </w:tc>
        <w:tc>
          <w:tcPr>
            <w:tcW w:w="854" w:type="dxa"/>
            <w:tcBorders>
              <w:top w:val="nil"/>
              <w:left w:val="nil"/>
              <w:bottom w:val="single" w:sz="4" w:space="0" w:color="auto"/>
              <w:right w:val="single" w:sz="4" w:space="0" w:color="auto"/>
            </w:tcBorders>
            <w:shd w:val="clear" w:color="000000" w:fill="FFFFFF"/>
            <w:noWrap/>
            <w:vAlign w:val="center"/>
            <w:hideMark/>
          </w:tcPr>
          <w:p w14:paraId="19DF24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0813E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3,623,831</w:t>
            </w:r>
          </w:p>
        </w:tc>
        <w:tc>
          <w:tcPr>
            <w:tcW w:w="623" w:type="dxa"/>
            <w:tcBorders>
              <w:top w:val="nil"/>
              <w:left w:val="nil"/>
              <w:bottom w:val="single" w:sz="4" w:space="0" w:color="auto"/>
              <w:right w:val="single" w:sz="4" w:space="0" w:color="auto"/>
            </w:tcBorders>
            <w:shd w:val="clear" w:color="000000" w:fill="FFFFFF"/>
            <w:noWrap/>
            <w:vAlign w:val="center"/>
            <w:hideMark/>
          </w:tcPr>
          <w:p w14:paraId="194E21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0.93</w:t>
            </w:r>
          </w:p>
        </w:tc>
        <w:tc>
          <w:tcPr>
            <w:tcW w:w="811" w:type="dxa"/>
            <w:tcBorders>
              <w:top w:val="nil"/>
              <w:left w:val="nil"/>
              <w:bottom w:val="single" w:sz="4" w:space="0" w:color="auto"/>
              <w:right w:val="single" w:sz="4" w:space="0" w:color="auto"/>
            </w:tcBorders>
            <w:shd w:val="clear" w:color="000000" w:fill="FFFFFF"/>
            <w:noWrap/>
            <w:vAlign w:val="center"/>
            <w:hideMark/>
          </w:tcPr>
          <w:p w14:paraId="6554F9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66,062</w:t>
            </w:r>
          </w:p>
        </w:tc>
        <w:tc>
          <w:tcPr>
            <w:tcW w:w="855" w:type="dxa"/>
            <w:tcBorders>
              <w:top w:val="nil"/>
              <w:left w:val="nil"/>
              <w:bottom w:val="single" w:sz="4" w:space="0" w:color="auto"/>
              <w:right w:val="single" w:sz="4" w:space="0" w:color="auto"/>
            </w:tcBorders>
            <w:shd w:val="clear" w:color="000000" w:fill="FFFFFF"/>
            <w:noWrap/>
            <w:vAlign w:val="center"/>
            <w:hideMark/>
          </w:tcPr>
          <w:p w14:paraId="07E18C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2E394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2,656,746</w:t>
            </w:r>
          </w:p>
        </w:tc>
        <w:tc>
          <w:tcPr>
            <w:tcW w:w="740" w:type="dxa"/>
            <w:tcBorders>
              <w:top w:val="nil"/>
              <w:left w:val="nil"/>
              <w:bottom w:val="single" w:sz="4" w:space="0" w:color="auto"/>
              <w:right w:val="single" w:sz="4" w:space="0" w:color="auto"/>
            </w:tcBorders>
            <w:shd w:val="clear" w:color="000000" w:fill="FFFFFF"/>
            <w:noWrap/>
            <w:vAlign w:val="center"/>
            <w:hideMark/>
          </w:tcPr>
          <w:p w14:paraId="1FD142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w:t>
            </w:r>
          </w:p>
        </w:tc>
        <w:tc>
          <w:tcPr>
            <w:tcW w:w="718" w:type="dxa"/>
            <w:tcBorders>
              <w:top w:val="nil"/>
              <w:left w:val="nil"/>
              <w:bottom w:val="single" w:sz="4" w:space="0" w:color="auto"/>
              <w:right w:val="single" w:sz="4" w:space="0" w:color="auto"/>
            </w:tcBorders>
            <w:shd w:val="clear" w:color="000000" w:fill="FFFFFF"/>
            <w:noWrap/>
            <w:vAlign w:val="center"/>
            <w:hideMark/>
          </w:tcPr>
          <w:p w14:paraId="39E7D5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83,933</w:t>
            </w:r>
          </w:p>
        </w:tc>
        <w:tc>
          <w:tcPr>
            <w:tcW w:w="882" w:type="dxa"/>
            <w:tcBorders>
              <w:top w:val="nil"/>
              <w:left w:val="nil"/>
              <w:bottom w:val="single" w:sz="4" w:space="0" w:color="auto"/>
              <w:right w:val="single" w:sz="4" w:space="0" w:color="auto"/>
            </w:tcBorders>
            <w:shd w:val="clear" w:color="000000" w:fill="FFFFFF"/>
            <w:noWrap/>
            <w:vAlign w:val="center"/>
            <w:hideMark/>
          </w:tcPr>
          <w:p w14:paraId="0DF5EB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2E53F9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3,243,633</w:t>
            </w:r>
          </w:p>
        </w:tc>
        <w:tc>
          <w:tcPr>
            <w:tcW w:w="1045" w:type="dxa"/>
            <w:tcBorders>
              <w:top w:val="nil"/>
              <w:left w:val="nil"/>
              <w:bottom w:val="single" w:sz="4" w:space="0" w:color="auto"/>
              <w:right w:val="single" w:sz="4" w:space="0" w:color="auto"/>
            </w:tcBorders>
            <w:shd w:val="clear" w:color="000000" w:fill="FFFFFF"/>
            <w:noWrap/>
            <w:vAlign w:val="center"/>
            <w:hideMark/>
          </w:tcPr>
          <w:p w14:paraId="669E2A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1.66</w:t>
            </w:r>
          </w:p>
        </w:tc>
      </w:tr>
      <w:tr w:rsidR="00177999" w:rsidRPr="00057D13" w14:paraId="35BB904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31C1C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87C08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96B3E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23A2E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62,499</w:t>
            </w:r>
          </w:p>
        </w:tc>
        <w:tc>
          <w:tcPr>
            <w:tcW w:w="854" w:type="dxa"/>
            <w:tcBorders>
              <w:top w:val="nil"/>
              <w:left w:val="nil"/>
              <w:bottom w:val="single" w:sz="4" w:space="0" w:color="auto"/>
              <w:right w:val="single" w:sz="4" w:space="0" w:color="auto"/>
            </w:tcBorders>
            <w:shd w:val="clear" w:color="000000" w:fill="FFFFFF"/>
            <w:noWrap/>
            <w:vAlign w:val="center"/>
            <w:hideMark/>
          </w:tcPr>
          <w:p w14:paraId="4D2279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EAEC0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2,503,089</w:t>
            </w:r>
          </w:p>
        </w:tc>
        <w:tc>
          <w:tcPr>
            <w:tcW w:w="623" w:type="dxa"/>
            <w:tcBorders>
              <w:top w:val="nil"/>
              <w:left w:val="nil"/>
              <w:bottom w:val="single" w:sz="4" w:space="0" w:color="auto"/>
              <w:right w:val="single" w:sz="4" w:space="0" w:color="auto"/>
            </w:tcBorders>
            <w:shd w:val="clear" w:color="000000" w:fill="FFFFFF"/>
            <w:noWrap/>
            <w:vAlign w:val="center"/>
            <w:hideMark/>
          </w:tcPr>
          <w:p w14:paraId="512EA1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w:t>
            </w:r>
          </w:p>
        </w:tc>
        <w:tc>
          <w:tcPr>
            <w:tcW w:w="811" w:type="dxa"/>
            <w:tcBorders>
              <w:top w:val="nil"/>
              <w:left w:val="nil"/>
              <w:bottom w:val="single" w:sz="4" w:space="0" w:color="auto"/>
              <w:right w:val="single" w:sz="4" w:space="0" w:color="auto"/>
            </w:tcBorders>
            <w:shd w:val="clear" w:color="000000" w:fill="FFFFFF"/>
            <w:noWrap/>
            <w:vAlign w:val="center"/>
            <w:hideMark/>
          </w:tcPr>
          <w:p w14:paraId="04EADB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45,412</w:t>
            </w:r>
          </w:p>
        </w:tc>
        <w:tc>
          <w:tcPr>
            <w:tcW w:w="855" w:type="dxa"/>
            <w:tcBorders>
              <w:top w:val="nil"/>
              <w:left w:val="nil"/>
              <w:bottom w:val="single" w:sz="4" w:space="0" w:color="auto"/>
              <w:right w:val="single" w:sz="4" w:space="0" w:color="auto"/>
            </w:tcBorders>
            <w:shd w:val="clear" w:color="000000" w:fill="FFFFFF"/>
            <w:noWrap/>
            <w:vAlign w:val="center"/>
            <w:hideMark/>
          </w:tcPr>
          <w:p w14:paraId="40F74D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A6AEE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1,825,062</w:t>
            </w:r>
          </w:p>
        </w:tc>
        <w:tc>
          <w:tcPr>
            <w:tcW w:w="740" w:type="dxa"/>
            <w:tcBorders>
              <w:top w:val="nil"/>
              <w:left w:val="nil"/>
              <w:bottom w:val="single" w:sz="4" w:space="0" w:color="auto"/>
              <w:right w:val="single" w:sz="4" w:space="0" w:color="auto"/>
            </w:tcBorders>
            <w:shd w:val="clear" w:color="000000" w:fill="FFFFFF"/>
            <w:noWrap/>
            <w:vAlign w:val="center"/>
            <w:hideMark/>
          </w:tcPr>
          <w:p w14:paraId="233ABE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0.63</w:t>
            </w:r>
          </w:p>
        </w:tc>
        <w:tc>
          <w:tcPr>
            <w:tcW w:w="718" w:type="dxa"/>
            <w:tcBorders>
              <w:top w:val="nil"/>
              <w:left w:val="nil"/>
              <w:bottom w:val="single" w:sz="4" w:space="0" w:color="auto"/>
              <w:right w:val="single" w:sz="4" w:space="0" w:color="auto"/>
            </w:tcBorders>
            <w:shd w:val="clear" w:color="000000" w:fill="FFFFFF"/>
            <w:noWrap/>
            <w:vAlign w:val="center"/>
            <w:hideMark/>
          </w:tcPr>
          <w:p w14:paraId="1FA9A3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54,106</w:t>
            </w:r>
          </w:p>
        </w:tc>
        <w:tc>
          <w:tcPr>
            <w:tcW w:w="882" w:type="dxa"/>
            <w:tcBorders>
              <w:top w:val="nil"/>
              <w:left w:val="nil"/>
              <w:bottom w:val="single" w:sz="4" w:space="0" w:color="auto"/>
              <w:right w:val="single" w:sz="4" w:space="0" w:color="auto"/>
            </w:tcBorders>
            <w:shd w:val="clear" w:color="000000" w:fill="FFFFFF"/>
            <w:noWrap/>
            <w:vAlign w:val="center"/>
            <w:hideMark/>
          </w:tcPr>
          <w:p w14:paraId="4A04E2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879B2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2,086,728</w:t>
            </w:r>
          </w:p>
        </w:tc>
        <w:tc>
          <w:tcPr>
            <w:tcW w:w="1045" w:type="dxa"/>
            <w:tcBorders>
              <w:top w:val="nil"/>
              <w:left w:val="nil"/>
              <w:bottom w:val="single" w:sz="4" w:space="0" w:color="auto"/>
              <w:right w:val="single" w:sz="4" w:space="0" w:color="auto"/>
            </w:tcBorders>
            <w:shd w:val="clear" w:color="000000" w:fill="FFFFFF"/>
            <w:noWrap/>
            <w:vAlign w:val="center"/>
            <w:hideMark/>
          </w:tcPr>
          <w:p w14:paraId="2FD266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0.60</w:t>
            </w:r>
          </w:p>
        </w:tc>
      </w:tr>
      <w:tr w:rsidR="00177999" w:rsidRPr="00057D13" w14:paraId="3F8110C0"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9A37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Common thromboses with thrombocytopenia</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6333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62C693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7150A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603,631</w:t>
            </w:r>
          </w:p>
        </w:tc>
        <w:tc>
          <w:tcPr>
            <w:tcW w:w="854" w:type="dxa"/>
            <w:tcBorders>
              <w:top w:val="nil"/>
              <w:left w:val="nil"/>
              <w:bottom w:val="single" w:sz="4" w:space="0" w:color="auto"/>
              <w:right w:val="single" w:sz="4" w:space="0" w:color="auto"/>
            </w:tcBorders>
            <w:shd w:val="clear" w:color="000000" w:fill="FFFFFF"/>
            <w:noWrap/>
            <w:vAlign w:val="center"/>
            <w:hideMark/>
          </w:tcPr>
          <w:p w14:paraId="7D4B9B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8A619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15,063,681</w:t>
            </w:r>
          </w:p>
        </w:tc>
        <w:tc>
          <w:tcPr>
            <w:tcW w:w="623" w:type="dxa"/>
            <w:tcBorders>
              <w:top w:val="nil"/>
              <w:left w:val="nil"/>
              <w:bottom w:val="single" w:sz="4" w:space="0" w:color="auto"/>
              <w:right w:val="single" w:sz="4" w:space="0" w:color="auto"/>
            </w:tcBorders>
            <w:shd w:val="clear" w:color="000000" w:fill="FFFFFF"/>
            <w:noWrap/>
            <w:vAlign w:val="center"/>
            <w:hideMark/>
          </w:tcPr>
          <w:p w14:paraId="773CF0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7DA14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605,189</w:t>
            </w:r>
          </w:p>
        </w:tc>
        <w:tc>
          <w:tcPr>
            <w:tcW w:w="855" w:type="dxa"/>
            <w:tcBorders>
              <w:top w:val="nil"/>
              <w:left w:val="nil"/>
              <w:bottom w:val="single" w:sz="4" w:space="0" w:color="auto"/>
              <w:right w:val="single" w:sz="4" w:space="0" w:color="auto"/>
            </w:tcBorders>
            <w:shd w:val="clear" w:color="000000" w:fill="FFFFFF"/>
            <w:noWrap/>
            <w:vAlign w:val="center"/>
            <w:hideMark/>
          </w:tcPr>
          <w:p w14:paraId="044D9A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01F58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15,253,024</w:t>
            </w:r>
          </w:p>
        </w:tc>
        <w:tc>
          <w:tcPr>
            <w:tcW w:w="740" w:type="dxa"/>
            <w:tcBorders>
              <w:top w:val="nil"/>
              <w:left w:val="nil"/>
              <w:bottom w:val="single" w:sz="4" w:space="0" w:color="auto"/>
              <w:right w:val="single" w:sz="4" w:space="0" w:color="auto"/>
            </w:tcBorders>
            <w:shd w:val="clear" w:color="000000" w:fill="FFFFFF"/>
            <w:noWrap/>
            <w:vAlign w:val="center"/>
            <w:hideMark/>
          </w:tcPr>
          <w:p w14:paraId="3D9234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CFEDA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572,768</w:t>
            </w:r>
          </w:p>
        </w:tc>
        <w:tc>
          <w:tcPr>
            <w:tcW w:w="882" w:type="dxa"/>
            <w:tcBorders>
              <w:top w:val="nil"/>
              <w:left w:val="nil"/>
              <w:bottom w:val="single" w:sz="4" w:space="0" w:color="auto"/>
              <w:right w:val="single" w:sz="4" w:space="0" w:color="auto"/>
            </w:tcBorders>
            <w:shd w:val="clear" w:color="000000" w:fill="FFFFFF"/>
            <w:noWrap/>
            <w:vAlign w:val="center"/>
            <w:hideMark/>
          </w:tcPr>
          <w:p w14:paraId="481733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D15FE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14,156,025</w:t>
            </w:r>
          </w:p>
        </w:tc>
        <w:tc>
          <w:tcPr>
            <w:tcW w:w="1045" w:type="dxa"/>
            <w:tcBorders>
              <w:top w:val="nil"/>
              <w:left w:val="nil"/>
              <w:bottom w:val="single" w:sz="4" w:space="0" w:color="auto"/>
              <w:right w:val="single" w:sz="4" w:space="0" w:color="auto"/>
            </w:tcBorders>
            <w:shd w:val="clear" w:color="000000" w:fill="FFFFFF"/>
            <w:noWrap/>
            <w:vAlign w:val="center"/>
            <w:hideMark/>
          </w:tcPr>
          <w:p w14:paraId="0FCCD1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593D13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56C5D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93BC5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5137A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74CFF7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573,509</w:t>
            </w:r>
          </w:p>
        </w:tc>
        <w:tc>
          <w:tcPr>
            <w:tcW w:w="854" w:type="dxa"/>
            <w:tcBorders>
              <w:top w:val="nil"/>
              <w:left w:val="nil"/>
              <w:bottom w:val="single" w:sz="4" w:space="0" w:color="auto"/>
              <w:right w:val="single" w:sz="4" w:space="0" w:color="auto"/>
            </w:tcBorders>
            <w:shd w:val="clear" w:color="000000" w:fill="FFFFFF"/>
            <w:noWrap/>
            <w:vAlign w:val="center"/>
            <w:hideMark/>
          </w:tcPr>
          <w:p w14:paraId="7FF15D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9A999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14,326,988</w:t>
            </w:r>
          </w:p>
        </w:tc>
        <w:tc>
          <w:tcPr>
            <w:tcW w:w="623" w:type="dxa"/>
            <w:tcBorders>
              <w:top w:val="nil"/>
              <w:left w:val="nil"/>
              <w:bottom w:val="single" w:sz="4" w:space="0" w:color="auto"/>
              <w:right w:val="single" w:sz="4" w:space="0" w:color="auto"/>
            </w:tcBorders>
            <w:shd w:val="clear" w:color="000000" w:fill="FFFFFF"/>
            <w:noWrap/>
            <w:vAlign w:val="center"/>
            <w:hideMark/>
          </w:tcPr>
          <w:p w14:paraId="2A8237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0A7F5A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653,821</w:t>
            </w:r>
          </w:p>
        </w:tc>
        <w:tc>
          <w:tcPr>
            <w:tcW w:w="855" w:type="dxa"/>
            <w:tcBorders>
              <w:top w:val="nil"/>
              <w:left w:val="nil"/>
              <w:bottom w:val="single" w:sz="4" w:space="0" w:color="auto"/>
              <w:right w:val="single" w:sz="4" w:space="0" w:color="auto"/>
            </w:tcBorders>
            <w:shd w:val="clear" w:color="000000" w:fill="FFFFFF"/>
            <w:noWrap/>
            <w:vAlign w:val="center"/>
            <w:hideMark/>
          </w:tcPr>
          <w:p w14:paraId="26880C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C4980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16,493,102</w:t>
            </w:r>
          </w:p>
        </w:tc>
        <w:tc>
          <w:tcPr>
            <w:tcW w:w="740" w:type="dxa"/>
            <w:tcBorders>
              <w:top w:val="nil"/>
              <w:left w:val="nil"/>
              <w:bottom w:val="single" w:sz="4" w:space="0" w:color="auto"/>
              <w:right w:val="single" w:sz="4" w:space="0" w:color="auto"/>
            </w:tcBorders>
            <w:shd w:val="clear" w:color="000000" w:fill="FFFFFF"/>
            <w:noWrap/>
            <w:vAlign w:val="center"/>
            <w:hideMark/>
          </w:tcPr>
          <w:p w14:paraId="3AC75B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1.51</w:t>
            </w:r>
          </w:p>
        </w:tc>
        <w:tc>
          <w:tcPr>
            <w:tcW w:w="718" w:type="dxa"/>
            <w:tcBorders>
              <w:top w:val="nil"/>
              <w:left w:val="nil"/>
              <w:bottom w:val="single" w:sz="4" w:space="0" w:color="auto"/>
              <w:right w:val="single" w:sz="4" w:space="0" w:color="auto"/>
            </w:tcBorders>
            <w:shd w:val="clear" w:color="000000" w:fill="FFFFFF"/>
            <w:noWrap/>
            <w:vAlign w:val="center"/>
            <w:hideMark/>
          </w:tcPr>
          <w:p w14:paraId="0D12C6B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566,008</w:t>
            </w:r>
          </w:p>
        </w:tc>
        <w:tc>
          <w:tcPr>
            <w:tcW w:w="882" w:type="dxa"/>
            <w:tcBorders>
              <w:top w:val="nil"/>
              <w:left w:val="nil"/>
              <w:bottom w:val="single" w:sz="4" w:space="0" w:color="auto"/>
              <w:right w:val="single" w:sz="4" w:space="0" w:color="auto"/>
            </w:tcBorders>
            <w:shd w:val="clear" w:color="000000" w:fill="FFFFFF"/>
            <w:noWrap/>
            <w:vAlign w:val="center"/>
            <w:hideMark/>
          </w:tcPr>
          <w:p w14:paraId="245E40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ED02B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14,069,963</w:t>
            </w:r>
          </w:p>
        </w:tc>
        <w:tc>
          <w:tcPr>
            <w:tcW w:w="1045" w:type="dxa"/>
            <w:tcBorders>
              <w:top w:val="nil"/>
              <w:left w:val="nil"/>
              <w:bottom w:val="single" w:sz="4" w:space="0" w:color="auto"/>
              <w:right w:val="single" w:sz="4" w:space="0" w:color="auto"/>
            </w:tcBorders>
            <w:shd w:val="clear" w:color="000000" w:fill="FFFFFF"/>
            <w:noWrap/>
            <w:vAlign w:val="center"/>
            <w:hideMark/>
          </w:tcPr>
          <w:p w14:paraId="230F85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BC1C2C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2CEEF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7D7E8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0F15C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67C7FF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291,770</w:t>
            </w:r>
          </w:p>
        </w:tc>
        <w:tc>
          <w:tcPr>
            <w:tcW w:w="854" w:type="dxa"/>
            <w:tcBorders>
              <w:top w:val="nil"/>
              <w:left w:val="nil"/>
              <w:bottom w:val="single" w:sz="4" w:space="0" w:color="auto"/>
              <w:right w:val="single" w:sz="4" w:space="0" w:color="auto"/>
            </w:tcBorders>
            <w:shd w:val="clear" w:color="000000" w:fill="FFFFFF"/>
            <w:noWrap/>
            <w:vAlign w:val="center"/>
            <w:hideMark/>
          </w:tcPr>
          <w:p w14:paraId="7146B0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FDCC3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7,309,572</w:t>
            </w:r>
          </w:p>
        </w:tc>
        <w:tc>
          <w:tcPr>
            <w:tcW w:w="623" w:type="dxa"/>
            <w:tcBorders>
              <w:top w:val="nil"/>
              <w:left w:val="nil"/>
              <w:bottom w:val="single" w:sz="4" w:space="0" w:color="auto"/>
              <w:right w:val="single" w:sz="4" w:space="0" w:color="auto"/>
            </w:tcBorders>
            <w:shd w:val="clear" w:color="000000" w:fill="FFFFFF"/>
            <w:noWrap/>
            <w:vAlign w:val="center"/>
            <w:hideMark/>
          </w:tcPr>
          <w:p w14:paraId="135185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3.28</w:t>
            </w:r>
          </w:p>
        </w:tc>
        <w:tc>
          <w:tcPr>
            <w:tcW w:w="811" w:type="dxa"/>
            <w:tcBorders>
              <w:top w:val="nil"/>
              <w:left w:val="nil"/>
              <w:bottom w:val="single" w:sz="4" w:space="0" w:color="auto"/>
              <w:right w:val="single" w:sz="4" w:space="0" w:color="auto"/>
            </w:tcBorders>
            <w:shd w:val="clear" w:color="000000" w:fill="FFFFFF"/>
            <w:noWrap/>
            <w:vAlign w:val="center"/>
            <w:hideMark/>
          </w:tcPr>
          <w:p w14:paraId="3979095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335,214</w:t>
            </w:r>
          </w:p>
        </w:tc>
        <w:tc>
          <w:tcPr>
            <w:tcW w:w="855" w:type="dxa"/>
            <w:tcBorders>
              <w:top w:val="nil"/>
              <w:left w:val="nil"/>
              <w:bottom w:val="single" w:sz="4" w:space="0" w:color="auto"/>
              <w:right w:val="single" w:sz="4" w:space="0" w:color="auto"/>
            </w:tcBorders>
            <w:shd w:val="clear" w:color="000000" w:fill="FFFFFF"/>
            <w:noWrap/>
            <w:vAlign w:val="center"/>
            <w:hideMark/>
          </w:tcPr>
          <w:p w14:paraId="7367CE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059CB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8,514,719</w:t>
            </w:r>
          </w:p>
        </w:tc>
        <w:tc>
          <w:tcPr>
            <w:tcW w:w="740" w:type="dxa"/>
            <w:tcBorders>
              <w:top w:val="nil"/>
              <w:left w:val="nil"/>
              <w:bottom w:val="single" w:sz="4" w:space="0" w:color="auto"/>
              <w:right w:val="single" w:sz="4" w:space="0" w:color="auto"/>
            </w:tcBorders>
            <w:shd w:val="clear" w:color="000000" w:fill="FFFFFF"/>
            <w:noWrap/>
            <w:vAlign w:val="center"/>
            <w:hideMark/>
          </w:tcPr>
          <w:p w14:paraId="3FCFA0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B43415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286,191</w:t>
            </w:r>
          </w:p>
        </w:tc>
        <w:tc>
          <w:tcPr>
            <w:tcW w:w="882" w:type="dxa"/>
            <w:tcBorders>
              <w:top w:val="nil"/>
              <w:left w:val="nil"/>
              <w:bottom w:val="single" w:sz="4" w:space="0" w:color="auto"/>
              <w:right w:val="single" w:sz="4" w:space="0" w:color="auto"/>
            </w:tcBorders>
            <w:shd w:val="clear" w:color="000000" w:fill="FFFFFF"/>
            <w:noWrap/>
            <w:vAlign w:val="center"/>
            <w:hideMark/>
          </w:tcPr>
          <w:p w14:paraId="7E2F7A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E8057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7,151,741</w:t>
            </w:r>
          </w:p>
        </w:tc>
        <w:tc>
          <w:tcPr>
            <w:tcW w:w="1045" w:type="dxa"/>
            <w:tcBorders>
              <w:top w:val="nil"/>
              <w:left w:val="nil"/>
              <w:bottom w:val="single" w:sz="4" w:space="0" w:color="auto"/>
              <w:right w:val="single" w:sz="4" w:space="0" w:color="auto"/>
            </w:tcBorders>
            <w:shd w:val="clear" w:color="000000" w:fill="FFFFFF"/>
            <w:noWrap/>
            <w:vAlign w:val="center"/>
            <w:hideMark/>
          </w:tcPr>
          <w:p w14:paraId="1CA0B1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60DB41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35B60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95F9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3B879E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CDF6D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318,571</w:t>
            </w:r>
          </w:p>
        </w:tc>
        <w:tc>
          <w:tcPr>
            <w:tcW w:w="854" w:type="dxa"/>
            <w:tcBorders>
              <w:top w:val="nil"/>
              <w:left w:val="nil"/>
              <w:bottom w:val="single" w:sz="4" w:space="0" w:color="auto"/>
              <w:right w:val="single" w:sz="4" w:space="0" w:color="auto"/>
            </w:tcBorders>
            <w:shd w:val="clear" w:color="000000" w:fill="FFFFFF"/>
            <w:noWrap/>
            <w:vAlign w:val="center"/>
            <w:hideMark/>
          </w:tcPr>
          <w:p w14:paraId="026FFE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D7520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7,281,081</w:t>
            </w:r>
          </w:p>
        </w:tc>
        <w:tc>
          <w:tcPr>
            <w:tcW w:w="623" w:type="dxa"/>
            <w:tcBorders>
              <w:top w:val="nil"/>
              <w:left w:val="nil"/>
              <w:bottom w:val="single" w:sz="4" w:space="0" w:color="auto"/>
              <w:right w:val="single" w:sz="4" w:space="0" w:color="auto"/>
            </w:tcBorders>
            <w:shd w:val="clear" w:color="000000" w:fill="FFFFFF"/>
            <w:noWrap/>
            <w:vAlign w:val="center"/>
            <w:hideMark/>
          </w:tcPr>
          <w:p w14:paraId="3178A9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D17E1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335,610</w:t>
            </w:r>
          </w:p>
        </w:tc>
        <w:tc>
          <w:tcPr>
            <w:tcW w:w="855" w:type="dxa"/>
            <w:tcBorders>
              <w:top w:val="nil"/>
              <w:left w:val="nil"/>
              <w:bottom w:val="single" w:sz="4" w:space="0" w:color="auto"/>
              <w:right w:val="single" w:sz="4" w:space="0" w:color="auto"/>
            </w:tcBorders>
            <w:shd w:val="clear" w:color="000000" w:fill="FFFFFF"/>
            <w:noWrap/>
            <w:vAlign w:val="center"/>
            <w:hideMark/>
          </w:tcPr>
          <w:p w14:paraId="183155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7AD67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7,872,732</w:t>
            </w:r>
          </w:p>
        </w:tc>
        <w:tc>
          <w:tcPr>
            <w:tcW w:w="740" w:type="dxa"/>
            <w:tcBorders>
              <w:top w:val="nil"/>
              <w:left w:val="nil"/>
              <w:bottom w:val="single" w:sz="4" w:space="0" w:color="auto"/>
              <w:right w:val="single" w:sz="4" w:space="0" w:color="auto"/>
            </w:tcBorders>
            <w:shd w:val="clear" w:color="000000" w:fill="FFFFFF"/>
            <w:noWrap/>
            <w:vAlign w:val="center"/>
            <w:hideMark/>
          </w:tcPr>
          <w:p w14:paraId="125879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740D5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310,689</w:t>
            </w:r>
          </w:p>
        </w:tc>
        <w:tc>
          <w:tcPr>
            <w:tcW w:w="882" w:type="dxa"/>
            <w:tcBorders>
              <w:top w:val="nil"/>
              <w:left w:val="nil"/>
              <w:bottom w:val="single" w:sz="4" w:space="0" w:color="auto"/>
              <w:right w:val="single" w:sz="4" w:space="0" w:color="auto"/>
            </w:tcBorders>
            <w:shd w:val="clear" w:color="000000" w:fill="FFFFFF"/>
            <w:noWrap/>
            <w:vAlign w:val="center"/>
            <w:hideMark/>
          </w:tcPr>
          <w:p w14:paraId="3D38B4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380A9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7,096,078</w:t>
            </w:r>
          </w:p>
        </w:tc>
        <w:tc>
          <w:tcPr>
            <w:tcW w:w="1045" w:type="dxa"/>
            <w:tcBorders>
              <w:top w:val="nil"/>
              <w:left w:val="nil"/>
              <w:bottom w:val="single" w:sz="4" w:space="0" w:color="auto"/>
              <w:right w:val="single" w:sz="4" w:space="0" w:color="auto"/>
            </w:tcBorders>
            <w:shd w:val="clear" w:color="000000" w:fill="FFFFFF"/>
            <w:noWrap/>
            <w:vAlign w:val="center"/>
            <w:hideMark/>
          </w:tcPr>
          <w:p w14:paraId="39E44A9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4D7079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6C34D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D7A10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EDD32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6F4B5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302,226</w:t>
            </w:r>
          </w:p>
        </w:tc>
        <w:tc>
          <w:tcPr>
            <w:tcW w:w="854" w:type="dxa"/>
            <w:tcBorders>
              <w:top w:val="nil"/>
              <w:left w:val="nil"/>
              <w:bottom w:val="single" w:sz="4" w:space="0" w:color="auto"/>
              <w:right w:val="single" w:sz="4" w:space="0" w:color="auto"/>
            </w:tcBorders>
            <w:shd w:val="clear" w:color="000000" w:fill="FFFFFF"/>
            <w:noWrap/>
            <w:vAlign w:val="center"/>
            <w:hideMark/>
          </w:tcPr>
          <w:p w14:paraId="64EE72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AA6B9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6,810,180</w:t>
            </w:r>
          </w:p>
        </w:tc>
        <w:tc>
          <w:tcPr>
            <w:tcW w:w="623" w:type="dxa"/>
            <w:tcBorders>
              <w:top w:val="nil"/>
              <w:left w:val="nil"/>
              <w:bottom w:val="single" w:sz="4" w:space="0" w:color="auto"/>
              <w:right w:val="single" w:sz="4" w:space="0" w:color="auto"/>
            </w:tcBorders>
            <w:shd w:val="clear" w:color="000000" w:fill="FFFFFF"/>
            <w:noWrap/>
            <w:vAlign w:val="center"/>
            <w:hideMark/>
          </w:tcPr>
          <w:p w14:paraId="59394AE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5FBDB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356,881</w:t>
            </w:r>
          </w:p>
        </w:tc>
        <w:tc>
          <w:tcPr>
            <w:tcW w:w="855" w:type="dxa"/>
            <w:tcBorders>
              <w:top w:val="nil"/>
              <w:left w:val="nil"/>
              <w:bottom w:val="single" w:sz="4" w:space="0" w:color="auto"/>
              <w:right w:val="single" w:sz="4" w:space="0" w:color="auto"/>
            </w:tcBorders>
            <w:shd w:val="clear" w:color="000000" w:fill="FFFFFF"/>
            <w:noWrap/>
            <w:vAlign w:val="center"/>
            <w:hideMark/>
          </w:tcPr>
          <w:p w14:paraId="2A1EF9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014E40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8,241,243</w:t>
            </w:r>
          </w:p>
        </w:tc>
        <w:tc>
          <w:tcPr>
            <w:tcW w:w="740" w:type="dxa"/>
            <w:tcBorders>
              <w:top w:val="nil"/>
              <w:left w:val="nil"/>
              <w:bottom w:val="single" w:sz="4" w:space="0" w:color="auto"/>
              <w:right w:val="single" w:sz="4" w:space="0" w:color="auto"/>
            </w:tcBorders>
            <w:shd w:val="clear" w:color="000000" w:fill="FFFFFF"/>
            <w:noWrap/>
            <w:vAlign w:val="center"/>
            <w:hideMark/>
          </w:tcPr>
          <w:p w14:paraId="321DDB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E75E7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302,702</w:t>
            </w:r>
          </w:p>
        </w:tc>
        <w:tc>
          <w:tcPr>
            <w:tcW w:w="882" w:type="dxa"/>
            <w:tcBorders>
              <w:top w:val="nil"/>
              <w:left w:val="nil"/>
              <w:bottom w:val="single" w:sz="4" w:space="0" w:color="auto"/>
              <w:right w:val="single" w:sz="4" w:space="0" w:color="auto"/>
            </w:tcBorders>
            <w:shd w:val="clear" w:color="000000" w:fill="FFFFFF"/>
            <w:noWrap/>
            <w:vAlign w:val="center"/>
            <w:hideMark/>
          </w:tcPr>
          <w:p w14:paraId="4C4AF8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31EF3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6,848,840</w:t>
            </w:r>
          </w:p>
        </w:tc>
        <w:tc>
          <w:tcPr>
            <w:tcW w:w="1045" w:type="dxa"/>
            <w:tcBorders>
              <w:top w:val="nil"/>
              <w:left w:val="nil"/>
              <w:bottom w:val="single" w:sz="4" w:space="0" w:color="auto"/>
              <w:right w:val="single" w:sz="4" w:space="0" w:color="auto"/>
            </w:tcBorders>
            <w:shd w:val="clear" w:color="000000" w:fill="FFFFFF"/>
            <w:noWrap/>
            <w:vAlign w:val="center"/>
            <w:hideMark/>
          </w:tcPr>
          <w:p w14:paraId="057998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0B4170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84C1E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B390A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65E53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BC74F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155,466</w:t>
            </w:r>
          </w:p>
        </w:tc>
        <w:tc>
          <w:tcPr>
            <w:tcW w:w="854" w:type="dxa"/>
            <w:tcBorders>
              <w:top w:val="nil"/>
              <w:left w:val="nil"/>
              <w:bottom w:val="single" w:sz="4" w:space="0" w:color="auto"/>
              <w:right w:val="single" w:sz="4" w:space="0" w:color="auto"/>
            </w:tcBorders>
            <w:shd w:val="clear" w:color="000000" w:fill="FFFFFF"/>
            <w:noWrap/>
            <w:vAlign w:val="center"/>
            <w:hideMark/>
          </w:tcPr>
          <w:p w14:paraId="384EDE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4C03D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3,530,834</w:t>
            </w:r>
          </w:p>
        </w:tc>
        <w:tc>
          <w:tcPr>
            <w:tcW w:w="623" w:type="dxa"/>
            <w:tcBorders>
              <w:top w:val="nil"/>
              <w:left w:val="nil"/>
              <w:bottom w:val="single" w:sz="4" w:space="0" w:color="auto"/>
              <w:right w:val="single" w:sz="4" w:space="0" w:color="auto"/>
            </w:tcBorders>
            <w:shd w:val="clear" w:color="000000" w:fill="FFFFFF"/>
            <w:noWrap/>
            <w:vAlign w:val="center"/>
            <w:hideMark/>
          </w:tcPr>
          <w:p w14:paraId="1DF9B9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3.40</w:t>
            </w:r>
          </w:p>
        </w:tc>
        <w:tc>
          <w:tcPr>
            <w:tcW w:w="811" w:type="dxa"/>
            <w:tcBorders>
              <w:top w:val="nil"/>
              <w:left w:val="nil"/>
              <w:bottom w:val="single" w:sz="4" w:space="0" w:color="auto"/>
              <w:right w:val="single" w:sz="4" w:space="0" w:color="auto"/>
            </w:tcBorders>
            <w:shd w:val="clear" w:color="000000" w:fill="FFFFFF"/>
            <w:noWrap/>
            <w:vAlign w:val="center"/>
            <w:hideMark/>
          </w:tcPr>
          <w:p w14:paraId="104999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187,251</w:t>
            </w:r>
          </w:p>
        </w:tc>
        <w:tc>
          <w:tcPr>
            <w:tcW w:w="855" w:type="dxa"/>
            <w:tcBorders>
              <w:top w:val="nil"/>
              <w:left w:val="nil"/>
              <w:bottom w:val="single" w:sz="4" w:space="0" w:color="auto"/>
              <w:right w:val="single" w:sz="4" w:space="0" w:color="auto"/>
            </w:tcBorders>
            <w:shd w:val="clear" w:color="000000" w:fill="FFFFFF"/>
            <w:noWrap/>
            <w:vAlign w:val="center"/>
            <w:hideMark/>
          </w:tcPr>
          <w:p w14:paraId="72A105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669A5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4,401,614</w:t>
            </w:r>
          </w:p>
        </w:tc>
        <w:tc>
          <w:tcPr>
            <w:tcW w:w="740" w:type="dxa"/>
            <w:tcBorders>
              <w:top w:val="nil"/>
              <w:left w:val="nil"/>
              <w:bottom w:val="single" w:sz="4" w:space="0" w:color="auto"/>
              <w:right w:val="single" w:sz="4" w:space="0" w:color="auto"/>
            </w:tcBorders>
            <w:shd w:val="clear" w:color="000000" w:fill="FFFFFF"/>
            <w:noWrap/>
            <w:vAlign w:val="center"/>
            <w:hideMark/>
          </w:tcPr>
          <w:p w14:paraId="3E1058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43093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155,870</w:t>
            </w:r>
          </w:p>
        </w:tc>
        <w:tc>
          <w:tcPr>
            <w:tcW w:w="882" w:type="dxa"/>
            <w:tcBorders>
              <w:top w:val="nil"/>
              <w:left w:val="nil"/>
              <w:bottom w:val="single" w:sz="4" w:space="0" w:color="auto"/>
              <w:right w:val="single" w:sz="4" w:space="0" w:color="auto"/>
            </w:tcBorders>
            <w:shd w:val="clear" w:color="000000" w:fill="FFFFFF"/>
            <w:noWrap/>
            <w:vAlign w:val="center"/>
            <w:hideMark/>
          </w:tcPr>
          <w:p w14:paraId="26A11F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E3576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3,578,004</w:t>
            </w:r>
          </w:p>
        </w:tc>
        <w:tc>
          <w:tcPr>
            <w:tcW w:w="1045" w:type="dxa"/>
            <w:tcBorders>
              <w:top w:val="nil"/>
              <w:left w:val="nil"/>
              <w:bottom w:val="single" w:sz="4" w:space="0" w:color="auto"/>
              <w:right w:val="single" w:sz="4" w:space="0" w:color="auto"/>
            </w:tcBorders>
            <w:shd w:val="clear" w:color="000000" w:fill="FFFFFF"/>
            <w:noWrap/>
            <w:vAlign w:val="center"/>
            <w:hideMark/>
          </w:tcPr>
          <w:p w14:paraId="3400E0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EEB260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7E562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EDAC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39F08F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CC3DF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285,060</w:t>
            </w:r>
          </w:p>
        </w:tc>
        <w:tc>
          <w:tcPr>
            <w:tcW w:w="854" w:type="dxa"/>
            <w:tcBorders>
              <w:top w:val="nil"/>
              <w:left w:val="nil"/>
              <w:bottom w:val="single" w:sz="4" w:space="0" w:color="auto"/>
              <w:right w:val="single" w:sz="4" w:space="0" w:color="auto"/>
            </w:tcBorders>
            <w:shd w:val="clear" w:color="000000" w:fill="FFFFFF"/>
            <w:noWrap/>
            <w:vAlign w:val="center"/>
            <w:hideMark/>
          </w:tcPr>
          <w:p w14:paraId="61679E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F499A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7,782,600</w:t>
            </w:r>
          </w:p>
        </w:tc>
        <w:tc>
          <w:tcPr>
            <w:tcW w:w="623" w:type="dxa"/>
            <w:tcBorders>
              <w:top w:val="nil"/>
              <w:left w:val="nil"/>
              <w:bottom w:val="single" w:sz="4" w:space="0" w:color="auto"/>
              <w:right w:val="single" w:sz="4" w:space="0" w:color="auto"/>
            </w:tcBorders>
            <w:shd w:val="clear" w:color="000000" w:fill="FFFFFF"/>
            <w:noWrap/>
            <w:vAlign w:val="center"/>
            <w:hideMark/>
          </w:tcPr>
          <w:p w14:paraId="25AEAD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95593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269,579</w:t>
            </w:r>
          </w:p>
        </w:tc>
        <w:tc>
          <w:tcPr>
            <w:tcW w:w="855" w:type="dxa"/>
            <w:tcBorders>
              <w:top w:val="nil"/>
              <w:left w:val="nil"/>
              <w:bottom w:val="single" w:sz="4" w:space="0" w:color="auto"/>
              <w:right w:val="single" w:sz="4" w:space="0" w:color="auto"/>
            </w:tcBorders>
            <w:shd w:val="clear" w:color="000000" w:fill="FFFFFF"/>
            <w:noWrap/>
            <w:vAlign w:val="center"/>
            <w:hideMark/>
          </w:tcPr>
          <w:p w14:paraId="230C93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477E8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7,380,292</w:t>
            </w:r>
          </w:p>
        </w:tc>
        <w:tc>
          <w:tcPr>
            <w:tcW w:w="740" w:type="dxa"/>
            <w:tcBorders>
              <w:top w:val="nil"/>
              <w:left w:val="nil"/>
              <w:bottom w:val="single" w:sz="4" w:space="0" w:color="auto"/>
              <w:right w:val="single" w:sz="4" w:space="0" w:color="auto"/>
            </w:tcBorders>
            <w:shd w:val="clear" w:color="000000" w:fill="FFFFFF"/>
            <w:noWrap/>
            <w:vAlign w:val="center"/>
            <w:hideMark/>
          </w:tcPr>
          <w:p w14:paraId="773112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0A3E4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262,079</w:t>
            </w:r>
          </w:p>
        </w:tc>
        <w:tc>
          <w:tcPr>
            <w:tcW w:w="882" w:type="dxa"/>
            <w:tcBorders>
              <w:top w:val="nil"/>
              <w:left w:val="nil"/>
              <w:bottom w:val="single" w:sz="4" w:space="0" w:color="auto"/>
              <w:right w:val="single" w:sz="4" w:space="0" w:color="auto"/>
            </w:tcBorders>
            <w:shd w:val="clear" w:color="000000" w:fill="FFFFFF"/>
            <w:noWrap/>
            <w:vAlign w:val="center"/>
            <w:hideMark/>
          </w:tcPr>
          <w:p w14:paraId="1A7F30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C6AA4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7,059,947</w:t>
            </w:r>
          </w:p>
        </w:tc>
        <w:tc>
          <w:tcPr>
            <w:tcW w:w="1045" w:type="dxa"/>
            <w:tcBorders>
              <w:top w:val="nil"/>
              <w:left w:val="nil"/>
              <w:bottom w:val="single" w:sz="4" w:space="0" w:color="auto"/>
              <w:right w:val="single" w:sz="4" w:space="0" w:color="auto"/>
            </w:tcBorders>
            <w:shd w:val="clear" w:color="000000" w:fill="FFFFFF"/>
            <w:noWrap/>
            <w:vAlign w:val="center"/>
            <w:hideMark/>
          </w:tcPr>
          <w:p w14:paraId="42234A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9063AA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E1F43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078AD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0AE3A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708F5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271,283</w:t>
            </w:r>
          </w:p>
        </w:tc>
        <w:tc>
          <w:tcPr>
            <w:tcW w:w="854" w:type="dxa"/>
            <w:tcBorders>
              <w:top w:val="nil"/>
              <w:left w:val="nil"/>
              <w:bottom w:val="single" w:sz="4" w:space="0" w:color="auto"/>
              <w:right w:val="single" w:sz="4" w:space="0" w:color="auto"/>
            </w:tcBorders>
            <w:shd w:val="clear" w:color="000000" w:fill="FFFFFF"/>
            <w:noWrap/>
            <w:vAlign w:val="center"/>
            <w:hideMark/>
          </w:tcPr>
          <w:p w14:paraId="6DC338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756D32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7,516,808</w:t>
            </w:r>
          </w:p>
        </w:tc>
        <w:tc>
          <w:tcPr>
            <w:tcW w:w="623" w:type="dxa"/>
            <w:tcBorders>
              <w:top w:val="nil"/>
              <w:left w:val="nil"/>
              <w:bottom w:val="single" w:sz="4" w:space="0" w:color="auto"/>
              <w:right w:val="single" w:sz="4" w:space="0" w:color="auto"/>
            </w:tcBorders>
            <w:shd w:val="clear" w:color="000000" w:fill="FFFFFF"/>
            <w:noWrap/>
            <w:vAlign w:val="center"/>
            <w:hideMark/>
          </w:tcPr>
          <w:p w14:paraId="7928B9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A6A3F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296,940</w:t>
            </w:r>
          </w:p>
        </w:tc>
        <w:tc>
          <w:tcPr>
            <w:tcW w:w="855" w:type="dxa"/>
            <w:tcBorders>
              <w:top w:val="nil"/>
              <w:left w:val="nil"/>
              <w:bottom w:val="single" w:sz="4" w:space="0" w:color="auto"/>
              <w:right w:val="single" w:sz="4" w:space="0" w:color="auto"/>
            </w:tcBorders>
            <w:shd w:val="clear" w:color="000000" w:fill="FFFFFF"/>
            <w:noWrap/>
            <w:vAlign w:val="center"/>
            <w:hideMark/>
          </w:tcPr>
          <w:p w14:paraId="491237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AF9AF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8,251,859</w:t>
            </w:r>
          </w:p>
        </w:tc>
        <w:tc>
          <w:tcPr>
            <w:tcW w:w="740" w:type="dxa"/>
            <w:tcBorders>
              <w:top w:val="nil"/>
              <w:left w:val="nil"/>
              <w:bottom w:val="single" w:sz="4" w:space="0" w:color="auto"/>
              <w:right w:val="single" w:sz="4" w:space="0" w:color="auto"/>
            </w:tcBorders>
            <w:shd w:val="clear" w:color="000000" w:fill="FFFFFF"/>
            <w:noWrap/>
            <w:vAlign w:val="center"/>
            <w:hideMark/>
          </w:tcPr>
          <w:p w14:paraId="37DD50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w:t>
            </w:r>
          </w:p>
        </w:tc>
        <w:tc>
          <w:tcPr>
            <w:tcW w:w="718" w:type="dxa"/>
            <w:tcBorders>
              <w:top w:val="nil"/>
              <w:left w:val="nil"/>
              <w:bottom w:val="single" w:sz="4" w:space="0" w:color="auto"/>
              <w:right w:val="single" w:sz="4" w:space="0" w:color="auto"/>
            </w:tcBorders>
            <w:shd w:val="clear" w:color="000000" w:fill="FFFFFF"/>
            <w:noWrap/>
            <w:vAlign w:val="center"/>
            <w:hideMark/>
          </w:tcPr>
          <w:p w14:paraId="4076C6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263,306</w:t>
            </w:r>
          </w:p>
        </w:tc>
        <w:tc>
          <w:tcPr>
            <w:tcW w:w="882" w:type="dxa"/>
            <w:tcBorders>
              <w:top w:val="nil"/>
              <w:left w:val="nil"/>
              <w:bottom w:val="single" w:sz="4" w:space="0" w:color="auto"/>
              <w:right w:val="single" w:sz="4" w:space="0" w:color="auto"/>
            </w:tcBorders>
            <w:shd w:val="clear" w:color="000000" w:fill="FFFFFF"/>
            <w:noWrap/>
            <w:vAlign w:val="center"/>
            <w:hideMark/>
          </w:tcPr>
          <w:p w14:paraId="27B868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8880A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7,221,123</w:t>
            </w:r>
          </w:p>
        </w:tc>
        <w:tc>
          <w:tcPr>
            <w:tcW w:w="1045" w:type="dxa"/>
            <w:tcBorders>
              <w:top w:val="nil"/>
              <w:left w:val="nil"/>
              <w:bottom w:val="single" w:sz="4" w:space="0" w:color="auto"/>
              <w:right w:val="single" w:sz="4" w:space="0" w:color="auto"/>
            </w:tcBorders>
            <w:shd w:val="clear" w:color="000000" w:fill="FFFFFF"/>
            <w:noWrap/>
            <w:vAlign w:val="center"/>
            <w:hideMark/>
          </w:tcPr>
          <w:p w14:paraId="4608C1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21E22B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F0436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F9DBC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1430D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475EA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136,304</w:t>
            </w:r>
          </w:p>
        </w:tc>
        <w:tc>
          <w:tcPr>
            <w:tcW w:w="854" w:type="dxa"/>
            <w:tcBorders>
              <w:top w:val="nil"/>
              <w:left w:val="nil"/>
              <w:bottom w:val="single" w:sz="4" w:space="0" w:color="auto"/>
              <w:right w:val="single" w:sz="4" w:space="0" w:color="auto"/>
            </w:tcBorders>
            <w:shd w:val="clear" w:color="000000" w:fill="FFFFFF"/>
            <w:noWrap/>
            <w:vAlign w:val="center"/>
            <w:hideMark/>
          </w:tcPr>
          <w:p w14:paraId="5AAD9B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126E4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3,778,738</w:t>
            </w:r>
          </w:p>
        </w:tc>
        <w:tc>
          <w:tcPr>
            <w:tcW w:w="623" w:type="dxa"/>
            <w:tcBorders>
              <w:top w:val="nil"/>
              <w:left w:val="nil"/>
              <w:bottom w:val="single" w:sz="4" w:space="0" w:color="auto"/>
              <w:right w:val="single" w:sz="4" w:space="0" w:color="auto"/>
            </w:tcBorders>
            <w:shd w:val="clear" w:color="000000" w:fill="FFFFFF"/>
            <w:noWrap/>
            <w:vAlign w:val="center"/>
            <w:hideMark/>
          </w:tcPr>
          <w:p w14:paraId="5C1B52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3.17</w:t>
            </w:r>
          </w:p>
        </w:tc>
        <w:tc>
          <w:tcPr>
            <w:tcW w:w="811" w:type="dxa"/>
            <w:tcBorders>
              <w:top w:val="nil"/>
              <w:left w:val="nil"/>
              <w:bottom w:val="single" w:sz="4" w:space="0" w:color="auto"/>
              <w:right w:val="single" w:sz="4" w:space="0" w:color="auto"/>
            </w:tcBorders>
            <w:shd w:val="clear" w:color="000000" w:fill="FFFFFF"/>
            <w:noWrap/>
            <w:vAlign w:val="center"/>
            <w:hideMark/>
          </w:tcPr>
          <w:p w14:paraId="1F3E07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147,963</w:t>
            </w:r>
          </w:p>
        </w:tc>
        <w:tc>
          <w:tcPr>
            <w:tcW w:w="855" w:type="dxa"/>
            <w:tcBorders>
              <w:top w:val="nil"/>
              <w:left w:val="nil"/>
              <w:bottom w:val="single" w:sz="4" w:space="0" w:color="auto"/>
              <w:right w:val="single" w:sz="4" w:space="0" w:color="auto"/>
            </w:tcBorders>
            <w:shd w:val="clear" w:color="000000" w:fill="FFFFFF"/>
            <w:noWrap/>
            <w:vAlign w:val="center"/>
            <w:hideMark/>
          </w:tcPr>
          <w:p w14:paraId="29AE48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E1DEA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4,113,105</w:t>
            </w:r>
          </w:p>
        </w:tc>
        <w:tc>
          <w:tcPr>
            <w:tcW w:w="740" w:type="dxa"/>
            <w:tcBorders>
              <w:top w:val="nil"/>
              <w:left w:val="nil"/>
              <w:bottom w:val="single" w:sz="4" w:space="0" w:color="auto"/>
              <w:right w:val="single" w:sz="4" w:space="0" w:color="auto"/>
            </w:tcBorders>
            <w:shd w:val="clear" w:color="000000" w:fill="FFFFFF"/>
            <w:noWrap/>
            <w:vAlign w:val="center"/>
            <w:hideMark/>
          </w:tcPr>
          <w:p w14:paraId="7CCC16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C9056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130,321</w:t>
            </w:r>
          </w:p>
        </w:tc>
        <w:tc>
          <w:tcPr>
            <w:tcW w:w="882" w:type="dxa"/>
            <w:tcBorders>
              <w:top w:val="nil"/>
              <w:left w:val="nil"/>
              <w:bottom w:val="single" w:sz="4" w:space="0" w:color="auto"/>
              <w:right w:val="single" w:sz="4" w:space="0" w:color="auto"/>
            </w:tcBorders>
            <w:shd w:val="clear" w:color="000000" w:fill="FFFFFF"/>
            <w:noWrap/>
            <w:vAlign w:val="center"/>
            <w:hideMark/>
          </w:tcPr>
          <w:p w14:paraId="085450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594FE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3,573,737</w:t>
            </w:r>
          </w:p>
        </w:tc>
        <w:tc>
          <w:tcPr>
            <w:tcW w:w="1045" w:type="dxa"/>
            <w:tcBorders>
              <w:top w:val="nil"/>
              <w:left w:val="nil"/>
              <w:bottom w:val="single" w:sz="4" w:space="0" w:color="auto"/>
              <w:right w:val="single" w:sz="4" w:space="0" w:color="auto"/>
            </w:tcBorders>
            <w:shd w:val="clear" w:color="000000" w:fill="FFFFFF"/>
            <w:noWrap/>
            <w:vAlign w:val="center"/>
            <w:hideMark/>
          </w:tcPr>
          <w:p w14:paraId="5FF196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50E176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9269D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853F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57E5BA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33A66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128343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0CE3B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89,279</w:t>
            </w:r>
          </w:p>
        </w:tc>
        <w:tc>
          <w:tcPr>
            <w:tcW w:w="623" w:type="dxa"/>
            <w:tcBorders>
              <w:top w:val="nil"/>
              <w:left w:val="nil"/>
              <w:bottom w:val="single" w:sz="4" w:space="0" w:color="auto"/>
              <w:right w:val="single" w:sz="4" w:space="0" w:color="auto"/>
            </w:tcBorders>
            <w:shd w:val="clear" w:color="000000" w:fill="FFFFFF"/>
            <w:noWrap/>
            <w:vAlign w:val="center"/>
            <w:hideMark/>
          </w:tcPr>
          <w:p w14:paraId="12DD4B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E9F04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45800E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CB7BD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33,982</w:t>
            </w:r>
          </w:p>
        </w:tc>
        <w:tc>
          <w:tcPr>
            <w:tcW w:w="740" w:type="dxa"/>
            <w:tcBorders>
              <w:top w:val="nil"/>
              <w:left w:val="nil"/>
              <w:bottom w:val="single" w:sz="4" w:space="0" w:color="auto"/>
              <w:right w:val="single" w:sz="4" w:space="0" w:color="auto"/>
            </w:tcBorders>
            <w:shd w:val="clear" w:color="000000" w:fill="FFFFFF"/>
            <w:noWrap/>
            <w:vAlign w:val="center"/>
            <w:hideMark/>
          </w:tcPr>
          <w:p w14:paraId="0FEDC2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F42CB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307480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07178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291,412</w:t>
            </w:r>
          </w:p>
        </w:tc>
        <w:tc>
          <w:tcPr>
            <w:tcW w:w="1045" w:type="dxa"/>
            <w:tcBorders>
              <w:top w:val="nil"/>
              <w:left w:val="nil"/>
              <w:bottom w:val="single" w:sz="4" w:space="0" w:color="auto"/>
              <w:right w:val="single" w:sz="4" w:space="0" w:color="auto"/>
            </w:tcBorders>
            <w:shd w:val="clear" w:color="000000" w:fill="FFFFFF"/>
            <w:noWrap/>
            <w:vAlign w:val="center"/>
            <w:hideMark/>
          </w:tcPr>
          <w:p w14:paraId="1C1A39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38E82C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8A4B8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23977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1A310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7C49E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86,169</w:t>
            </w:r>
          </w:p>
        </w:tc>
        <w:tc>
          <w:tcPr>
            <w:tcW w:w="854" w:type="dxa"/>
            <w:tcBorders>
              <w:top w:val="nil"/>
              <w:left w:val="nil"/>
              <w:bottom w:val="single" w:sz="4" w:space="0" w:color="auto"/>
              <w:right w:val="single" w:sz="4" w:space="0" w:color="auto"/>
            </w:tcBorders>
            <w:shd w:val="clear" w:color="000000" w:fill="FFFFFF"/>
            <w:noWrap/>
            <w:vAlign w:val="center"/>
            <w:hideMark/>
          </w:tcPr>
          <w:p w14:paraId="4D0787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4F909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2,293,118</w:t>
            </w:r>
          </w:p>
        </w:tc>
        <w:tc>
          <w:tcPr>
            <w:tcW w:w="623" w:type="dxa"/>
            <w:tcBorders>
              <w:top w:val="nil"/>
              <w:left w:val="nil"/>
              <w:bottom w:val="single" w:sz="4" w:space="0" w:color="auto"/>
              <w:right w:val="single" w:sz="4" w:space="0" w:color="auto"/>
            </w:tcBorders>
            <w:shd w:val="clear" w:color="000000" w:fill="FFFFFF"/>
            <w:noWrap/>
            <w:vAlign w:val="center"/>
            <w:hideMark/>
          </w:tcPr>
          <w:p w14:paraId="50FF47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C5D67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63,983</w:t>
            </w:r>
          </w:p>
        </w:tc>
        <w:tc>
          <w:tcPr>
            <w:tcW w:w="855" w:type="dxa"/>
            <w:tcBorders>
              <w:top w:val="nil"/>
              <w:left w:val="nil"/>
              <w:bottom w:val="single" w:sz="4" w:space="0" w:color="auto"/>
              <w:right w:val="single" w:sz="4" w:space="0" w:color="auto"/>
            </w:tcBorders>
            <w:shd w:val="clear" w:color="000000" w:fill="FFFFFF"/>
            <w:noWrap/>
            <w:vAlign w:val="center"/>
            <w:hideMark/>
          </w:tcPr>
          <w:p w14:paraId="564EC58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6FCF7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1,724,614</w:t>
            </w:r>
          </w:p>
        </w:tc>
        <w:tc>
          <w:tcPr>
            <w:tcW w:w="740" w:type="dxa"/>
            <w:tcBorders>
              <w:top w:val="nil"/>
              <w:left w:val="nil"/>
              <w:bottom w:val="single" w:sz="4" w:space="0" w:color="auto"/>
              <w:right w:val="single" w:sz="4" w:space="0" w:color="auto"/>
            </w:tcBorders>
            <w:shd w:val="clear" w:color="000000" w:fill="FFFFFF"/>
            <w:noWrap/>
            <w:vAlign w:val="center"/>
            <w:hideMark/>
          </w:tcPr>
          <w:p w14:paraId="51A094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87106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79,622</w:t>
            </w:r>
          </w:p>
        </w:tc>
        <w:tc>
          <w:tcPr>
            <w:tcW w:w="882" w:type="dxa"/>
            <w:tcBorders>
              <w:top w:val="nil"/>
              <w:left w:val="nil"/>
              <w:bottom w:val="single" w:sz="4" w:space="0" w:color="auto"/>
              <w:right w:val="single" w:sz="4" w:space="0" w:color="auto"/>
            </w:tcBorders>
            <w:shd w:val="clear" w:color="000000" w:fill="FFFFFF"/>
            <w:noWrap/>
            <w:vAlign w:val="center"/>
            <w:hideMark/>
          </w:tcPr>
          <w:p w14:paraId="431EA4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9A59E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2,092,120</w:t>
            </w:r>
          </w:p>
        </w:tc>
        <w:tc>
          <w:tcPr>
            <w:tcW w:w="1045" w:type="dxa"/>
            <w:tcBorders>
              <w:top w:val="nil"/>
              <w:left w:val="nil"/>
              <w:bottom w:val="single" w:sz="4" w:space="0" w:color="auto"/>
              <w:right w:val="single" w:sz="4" w:space="0" w:color="auto"/>
            </w:tcBorders>
            <w:shd w:val="clear" w:color="000000" w:fill="FFFFFF"/>
            <w:noWrap/>
            <w:vAlign w:val="center"/>
            <w:hideMark/>
          </w:tcPr>
          <w:p w14:paraId="31B2CD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A83E83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D3ABF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1D4D4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CE557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35589D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57,851</w:t>
            </w:r>
          </w:p>
        </w:tc>
        <w:tc>
          <w:tcPr>
            <w:tcW w:w="854" w:type="dxa"/>
            <w:tcBorders>
              <w:top w:val="nil"/>
              <w:left w:val="nil"/>
              <w:bottom w:val="single" w:sz="4" w:space="0" w:color="auto"/>
              <w:right w:val="single" w:sz="4" w:space="0" w:color="auto"/>
            </w:tcBorders>
            <w:shd w:val="clear" w:color="000000" w:fill="FFFFFF"/>
            <w:noWrap/>
            <w:vAlign w:val="center"/>
            <w:hideMark/>
          </w:tcPr>
          <w:p w14:paraId="238E30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0F9A9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1,553,697</w:t>
            </w:r>
          </w:p>
        </w:tc>
        <w:tc>
          <w:tcPr>
            <w:tcW w:w="623" w:type="dxa"/>
            <w:tcBorders>
              <w:top w:val="nil"/>
              <w:left w:val="nil"/>
              <w:bottom w:val="single" w:sz="4" w:space="0" w:color="auto"/>
              <w:right w:val="single" w:sz="4" w:space="0" w:color="auto"/>
            </w:tcBorders>
            <w:shd w:val="clear" w:color="000000" w:fill="FFFFFF"/>
            <w:noWrap/>
            <w:vAlign w:val="center"/>
            <w:hideMark/>
          </w:tcPr>
          <w:p w14:paraId="24DD2D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4291E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43,144</w:t>
            </w:r>
          </w:p>
        </w:tc>
        <w:tc>
          <w:tcPr>
            <w:tcW w:w="855" w:type="dxa"/>
            <w:tcBorders>
              <w:top w:val="nil"/>
              <w:left w:val="nil"/>
              <w:bottom w:val="single" w:sz="4" w:space="0" w:color="auto"/>
              <w:right w:val="single" w:sz="4" w:space="0" w:color="auto"/>
            </w:tcBorders>
            <w:shd w:val="clear" w:color="000000" w:fill="FFFFFF"/>
            <w:noWrap/>
            <w:vAlign w:val="center"/>
            <w:hideMark/>
          </w:tcPr>
          <w:p w14:paraId="488EF7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FB745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1,163,968</w:t>
            </w:r>
          </w:p>
        </w:tc>
        <w:tc>
          <w:tcPr>
            <w:tcW w:w="740" w:type="dxa"/>
            <w:tcBorders>
              <w:top w:val="nil"/>
              <w:left w:val="nil"/>
              <w:bottom w:val="single" w:sz="4" w:space="0" w:color="auto"/>
              <w:right w:val="single" w:sz="4" w:space="0" w:color="auto"/>
            </w:tcBorders>
            <w:shd w:val="clear" w:color="000000" w:fill="FFFFFF"/>
            <w:noWrap/>
            <w:vAlign w:val="center"/>
            <w:hideMark/>
          </w:tcPr>
          <w:p w14:paraId="24E59F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82E38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50,629</w:t>
            </w:r>
          </w:p>
        </w:tc>
        <w:tc>
          <w:tcPr>
            <w:tcW w:w="882" w:type="dxa"/>
            <w:tcBorders>
              <w:top w:val="nil"/>
              <w:left w:val="nil"/>
              <w:bottom w:val="single" w:sz="4" w:space="0" w:color="auto"/>
              <w:right w:val="single" w:sz="4" w:space="0" w:color="auto"/>
            </w:tcBorders>
            <w:shd w:val="clear" w:color="000000" w:fill="FFFFFF"/>
            <w:noWrap/>
            <w:vAlign w:val="center"/>
            <w:hideMark/>
          </w:tcPr>
          <w:p w14:paraId="4036B5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DD78F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1,327,042</w:t>
            </w:r>
          </w:p>
        </w:tc>
        <w:tc>
          <w:tcPr>
            <w:tcW w:w="1045" w:type="dxa"/>
            <w:tcBorders>
              <w:top w:val="nil"/>
              <w:left w:val="nil"/>
              <w:bottom w:val="single" w:sz="4" w:space="0" w:color="auto"/>
              <w:right w:val="single" w:sz="4" w:space="0" w:color="auto"/>
            </w:tcBorders>
            <w:shd w:val="clear" w:color="000000" w:fill="FFFFFF"/>
            <w:noWrap/>
            <w:vAlign w:val="center"/>
            <w:hideMark/>
          </w:tcPr>
          <w:p w14:paraId="21BBBE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006B1E1"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70FA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Deep vein thrombosis (DVT)</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45C2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0D3191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19D8C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603,606</w:t>
            </w:r>
          </w:p>
        </w:tc>
        <w:tc>
          <w:tcPr>
            <w:tcW w:w="854" w:type="dxa"/>
            <w:tcBorders>
              <w:top w:val="nil"/>
              <w:left w:val="nil"/>
              <w:bottom w:val="single" w:sz="4" w:space="0" w:color="auto"/>
              <w:right w:val="single" w:sz="4" w:space="0" w:color="auto"/>
            </w:tcBorders>
            <w:shd w:val="clear" w:color="000000" w:fill="FFFFFF"/>
            <w:noWrap/>
            <w:vAlign w:val="center"/>
            <w:hideMark/>
          </w:tcPr>
          <w:p w14:paraId="543544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A92F1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15,062,839</w:t>
            </w:r>
          </w:p>
        </w:tc>
        <w:tc>
          <w:tcPr>
            <w:tcW w:w="623" w:type="dxa"/>
            <w:tcBorders>
              <w:top w:val="nil"/>
              <w:left w:val="nil"/>
              <w:bottom w:val="single" w:sz="4" w:space="0" w:color="auto"/>
              <w:right w:val="single" w:sz="4" w:space="0" w:color="auto"/>
            </w:tcBorders>
            <w:shd w:val="clear" w:color="000000" w:fill="FFFFFF"/>
            <w:noWrap/>
            <w:vAlign w:val="center"/>
            <w:hideMark/>
          </w:tcPr>
          <w:p w14:paraId="124FF1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FE88E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605,162</w:t>
            </w:r>
          </w:p>
        </w:tc>
        <w:tc>
          <w:tcPr>
            <w:tcW w:w="855" w:type="dxa"/>
            <w:tcBorders>
              <w:top w:val="nil"/>
              <w:left w:val="nil"/>
              <w:bottom w:val="single" w:sz="4" w:space="0" w:color="auto"/>
              <w:right w:val="single" w:sz="4" w:space="0" w:color="auto"/>
            </w:tcBorders>
            <w:shd w:val="clear" w:color="000000" w:fill="FFFFFF"/>
            <w:noWrap/>
            <w:vAlign w:val="center"/>
            <w:hideMark/>
          </w:tcPr>
          <w:p w14:paraId="37B876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AA7BD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15,252,307</w:t>
            </w:r>
          </w:p>
        </w:tc>
        <w:tc>
          <w:tcPr>
            <w:tcW w:w="740" w:type="dxa"/>
            <w:tcBorders>
              <w:top w:val="nil"/>
              <w:left w:val="nil"/>
              <w:bottom w:val="single" w:sz="4" w:space="0" w:color="auto"/>
              <w:right w:val="single" w:sz="4" w:space="0" w:color="auto"/>
            </w:tcBorders>
            <w:shd w:val="clear" w:color="000000" w:fill="FFFFFF"/>
            <w:noWrap/>
            <w:vAlign w:val="center"/>
            <w:hideMark/>
          </w:tcPr>
          <w:p w14:paraId="501656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3F75A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572,759</w:t>
            </w:r>
          </w:p>
        </w:tc>
        <w:tc>
          <w:tcPr>
            <w:tcW w:w="882" w:type="dxa"/>
            <w:tcBorders>
              <w:top w:val="nil"/>
              <w:left w:val="nil"/>
              <w:bottom w:val="single" w:sz="4" w:space="0" w:color="auto"/>
              <w:right w:val="single" w:sz="4" w:space="0" w:color="auto"/>
            </w:tcBorders>
            <w:shd w:val="clear" w:color="000000" w:fill="FFFFFF"/>
            <w:noWrap/>
            <w:vAlign w:val="center"/>
            <w:hideMark/>
          </w:tcPr>
          <w:p w14:paraId="435789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03102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14,155,801</w:t>
            </w:r>
          </w:p>
        </w:tc>
        <w:tc>
          <w:tcPr>
            <w:tcW w:w="1045" w:type="dxa"/>
            <w:tcBorders>
              <w:top w:val="nil"/>
              <w:left w:val="nil"/>
              <w:bottom w:val="single" w:sz="4" w:space="0" w:color="auto"/>
              <w:right w:val="single" w:sz="4" w:space="0" w:color="auto"/>
            </w:tcBorders>
            <w:shd w:val="clear" w:color="000000" w:fill="FFFFFF"/>
            <w:noWrap/>
            <w:vAlign w:val="center"/>
            <w:hideMark/>
          </w:tcPr>
          <w:p w14:paraId="4334EA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700572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BE2DF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9B563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EA805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ED8D82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573,474</w:t>
            </w:r>
          </w:p>
        </w:tc>
        <w:tc>
          <w:tcPr>
            <w:tcW w:w="854" w:type="dxa"/>
            <w:tcBorders>
              <w:top w:val="nil"/>
              <w:left w:val="nil"/>
              <w:bottom w:val="single" w:sz="4" w:space="0" w:color="auto"/>
              <w:right w:val="single" w:sz="4" w:space="0" w:color="auto"/>
            </w:tcBorders>
            <w:shd w:val="clear" w:color="000000" w:fill="FFFFFF"/>
            <w:noWrap/>
            <w:vAlign w:val="center"/>
            <w:hideMark/>
          </w:tcPr>
          <w:p w14:paraId="7FE8B6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DA168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14,325,938</w:t>
            </w:r>
          </w:p>
        </w:tc>
        <w:tc>
          <w:tcPr>
            <w:tcW w:w="623" w:type="dxa"/>
            <w:tcBorders>
              <w:top w:val="nil"/>
              <w:left w:val="nil"/>
              <w:bottom w:val="single" w:sz="4" w:space="0" w:color="auto"/>
              <w:right w:val="single" w:sz="4" w:space="0" w:color="auto"/>
            </w:tcBorders>
            <w:shd w:val="clear" w:color="000000" w:fill="FFFFFF"/>
            <w:noWrap/>
            <w:vAlign w:val="center"/>
            <w:hideMark/>
          </w:tcPr>
          <w:p w14:paraId="542C87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0.24</w:t>
            </w:r>
          </w:p>
        </w:tc>
        <w:tc>
          <w:tcPr>
            <w:tcW w:w="811" w:type="dxa"/>
            <w:tcBorders>
              <w:top w:val="nil"/>
              <w:left w:val="nil"/>
              <w:bottom w:val="single" w:sz="4" w:space="0" w:color="auto"/>
              <w:right w:val="single" w:sz="4" w:space="0" w:color="auto"/>
            </w:tcBorders>
            <w:shd w:val="clear" w:color="000000" w:fill="FFFFFF"/>
            <w:noWrap/>
            <w:vAlign w:val="center"/>
            <w:hideMark/>
          </w:tcPr>
          <w:p w14:paraId="4B56442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653,791</w:t>
            </w:r>
          </w:p>
        </w:tc>
        <w:tc>
          <w:tcPr>
            <w:tcW w:w="855" w:type="dxa"/>
            <w:tcBorders>
              <w:top w:val="nil"/>
              <w:left w:val="nil"/>
              <w:bottom w:val="single" w:sz="4" w:space="0" w:color="auto"/>
              <w:right w:val="single" w:sz="4" w:space="0" w:color="auto"/>
            </w:tcBorders>
            <w:shd w:val="clear" w:color="000000" w:fill="FFFFFF"/>
            <w:noWrap/>
            <w:vAlign w:val="center"/>
            <w:hideMark/>
          </w:tcPr>
          <w:p w14:paraId="4781C7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8DD43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16,492,356</w:t>
            </w:r>
          </w:p>
        </w:tc>
        <w:tc>
          <w:tcPr>
            <w:tcW w:w="740" w:type="dxa"/>
            <w:tcBorders>
              <w:top w:val="nil"/>
              <w:left w:val="nil"/>
              <w:bottom w:val="single" w:sz="4" w:space="0" w:color="auto"/>
              <w:right w:val="single" w:sz="4" w:space="0" w:color="auto"/>
            </w:tcBorders>
            <w:shd w:val="clear" w:color="000000" w:fill="FFFFFF"/>
            <w:noWrap/>
            <w:vAlign w:val="center"/>
            <w:hideMark/>
          </w:tcPr>
          <w:p w14:paraId="3B7353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1.19</w:t>
            </w:r>
          </w:p>
        </w:tc>
        <w:tc>
          <w:tcPr>
            <w:tcW w:w="718" w:type="dxa"/>
            <w:tcBorders>
              <w:top w:val="nil"/>
              <w:left w:val="nil"/>
              <w:bottom w:val="single" w:sz="4" w:space="0" w:color="auto"/>
              <w:right w:val="single" w:sz="4" w:space="0" w:color="auto"/>
            </w:tcBorders>
            <w:shd w:val="clear" w:color="000000" w:fill="FFFFFF"/>
            <w:noWrap/>
            <w:vAlign w:val="center"/>
            <w:hideMark/>
          </w:tcPr>
          <w:p w14:paraId="525CF274"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565,957</w:t>
            </w:r>
          </w:p>
        </w:tc>
        <w:tc>
          <w:tcPr>
            <w:tcW w:w="882" w:type="dxa"/>
            <w:tcBorders>
              <w:top w:val="nil"/>
              <w:left w:val="nil"/>
              <w:bottom w:val="single" w:sz="4" w:space="0" w:color="auto"/>
              <w:right w:val="single" w:sz="4" w:space="0" w:color="auto"/>
            </w:tcBorders>
            <w:shd w:val="clear" w:color="000000" w:fill="FFFFFF"/>
            <w:noWrap/>
            <w:vAlign w:val="center"/>
            <w:hideMark/>
          </w:tcPr>
          <w:p w14:paraId="52CE1C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81E30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14,068,697</w:t>
            </w:r>
          </w:p>
        </w:tc>
        <w:tc>
          <w:tcPr>
            <w:tcW w:w="1045" w:type="dxa"/>
            <w:tcBorders>
              <w:top w:val="nil"/>
              <w:left w:val="nil"/>
              <w:bottom w:val="single" w:sz="4" w:space="0" w:color="auto"/>
              <w:right w:val="single" w:sz="4" w:space="0" w:color="auto"/>
            </w:tcBorders>
            <w:shd w:val="clear" w:color="000000" w:fill="FFFFFF"/>
            <w:noWrap/>
            <w:vAlign w:val="center"/>
            <w:hideMark/>
          </w:tcPr>
          <w:p w14:paraId="493DE8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03E0A1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31BEF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1C5788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FAE19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51BEFF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291,691</w:t>
            </w:r>
          </w:p>
        </w:tc>
        <w:tc>
          <w:tcPr>
            <w:tcW w:w="854" w:type="dxa"/>
            <w:tcBorders>
              <w:top w:val="nil"/>
              <w:left w:val="nil"/>
              <w:bottom w:val="single" w:sz="4" w:space="0" w:color="auto"/>
              <w:right w:val="single" w:sz="4" w:space="0" w:color="auto"/>
            </w:tcBorders>
            <w:shd w:val="clear" w:color="000000" w:fill="FFFFFF"/>
            <w:noWrap/>
            <w:vAlign w:val="center"/>
            <w:hideMark/>
          </w:tcPr>
          <w:p w14:paraId="2BD2BD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EC4D2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7,307,399</w:t>
            </w:r>
          </w:p>
        </w:tc>
        <w:tc>
          <w:tcPr>
            <w:tcW w:w="623" w:type="dxa"/>
            <w:tcBorders>
              <w:top w:val="nil"/>
              <w:left w:val="nil"/>
              <w:bottom w:val="single" w:sz="4" w:space="0" w:color="auto"/>
              <w:right w:val="single" w:sz="4" w:space="0" w:color="auto"/>
            </w:tcBorders>
            <w:shd w:val="clear" w:color="000000" w:fill="FFFFFF"/>
            <w:noWrap/>
            <w:vAlign w:val="center"/>
            <w:hideMark/>
          </w:tcPr>
          <w:p w14:paraId="6FBFC0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0.30</w:t>
            </w:r>
          </w:p>
        </w:tc>
        <w:tc>
          <w:tcPr>
            <w:tcW w:w="811" w:type="dxa"/>
            <w:tcBorders>
              <w:top w:val="nil"/>
              <w:left w:val="nil"/>
              <w:bottom w:val="single" w:sz="4" w:space="0" w:color="auto"/>
              <w:right w:val="single" w:sz="4" w:space="0" w:color="auto"/>
            </w:tcBorders>
            <w:shd w:val="clear" w:color="000000" w:fill="FFFFFF"/>
            <w:noWrap/>
            <w:vAlign w:val="center"/>
            <w:hideMark/>
          </w:tcPr>
          <w:p w14:paraId="2A5316C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335,152</w:t>
            </w:r>
          </w:p>
        </w:tc>
        <w:tc>
          <w:tcPr>
            <w:tcW w:w="855" w:type="dxa"/>
            <w:tcBorders>
              <w:top w:val="nil"/>
              <w:left w:val="nil"/>
              <w:bottom w:val="single" w:sz="4" w:space="0" w:color="auto"/>
              <w:right w:val="single" w:sz="4" w:space="0" w:color="auto"/>
            </w:tcBorders>
            <w:shd w:val="clear" w:color="000000" w:fill="FFFFFF"/>
            <w:noWrap/>
            <w:vAlign w:val="center"/>
            <w:hideMark/>
          </w:tcPr>
          <w:p w14:paraId="509E19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C3E6C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8,513,141</w:t>
            </w:r>
          </w:p>
        </w:tc>
        <w:tc>
          <w:tcPr>
            <w:tcW w:w="740" w:type="dxa"/>
            <w:tcBorders>
              <w:top w:val="nil"/>
              <w:left w:val="nil"/>
              <w:bottom w:val="single" w:sz="4" w:space="0" w:color="auto"/>
              <w:right w:val="single" w:sz="4" w:space="0" w:color="auto"/>
            </w:tcBorders>
            <w:shd w:val="clear" w:color="000000" w:fill="FFFFFF"/>
            <w:noWrap/>
            <w:vAlign w:val="center"/>
            <w:hideMark/>
          </w:tcPr>
          <w:p w14:paraId="61C611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w:t>
            </w:r>
          </w:p>
        </w:tc>
        <w:tc>
          <w:tcPr>
            <w:tcW w:w="718" w:type="dxa"/>
            <w:tcBorders>
              <w:top w:val="nil"/>
              <w:left w:val="nil"/>
              <w:bottom w:val="single" w:sz="4" w:space="0" w:color="auto"/>
              <w:right w:val="single" w:sz="4" w:space="0" w:color="auto"/>
            </w:tcBorders>
            <w:shd w:val="clear" w:color="000000" w:fill="FFFFFF"/>
            <w:noWrap/>
            <w:vAlign w:val="center"/>
            <w:hideMark/>
          </w:tcPr>
          <w:p w14:paraId="06930B2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286,133</w:t>
            </w:r>
          </w:p>
        </w:tc>
        <w:tc>
          <w:tcPr>
            <w:tcW w:w="882" w:type="dxa"/>
            <w:tcBorders>
              <w:top w:val="nil"/>
              <w:left w:val="nil"/>
              <w:bottom w:val="single" w:sz="4" w:space="0" w:color="auto"/>
              <w:right w:val="single" w:sz="4" w:space="0" w:color="auto"/>
            </w:tcBorders>
            <w:shd w:val="clear" w:color="000000" w:fill="FFFFFF"/>
            <w:noWrap/>
            <w:vAlign w:val="center"/>
            <w:hideMark/>
          </w:tcPr>
          <w:p w14:paraId="52205A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E2B47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7,150,307</w:t>
            </w:r>
          </w:p>
        </w:tc>
        <w:tc>
          <w:tcPr>
            <w:tcW w:w="1045" w:type="dxa"/>
            <w:tcBorders>
              <w:top w:val="nil"/>
              <w:left w:val="nil"/>
              <w:bottom w:val="single" w:sz="4" w:space="0" w:color="auto"/>
              <w:right w:val="single" w:sz="4" w:space="0" w:color="auto"/>
            </w:tcBorders>
            <w:shd w:val="clear" w:color="000000" w:fill="FFFFFF"/>
            <w:noWrap/>
            <w:vAlign w:val="center"/>
            <w:hideMark/>
          </w:tcPr>
          <w:p w14:paraId="1D682A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0.34</w:t>
            </w:r>
          </w:p>
        </w:tc>
      </w:tr>
      <w:tr w:rsidR="00177999" w:rsidRPr="00057D13" w14:paraId="682184A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7158F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39E8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25A44D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B4D33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318,556</w:t>
            </w:r>
          </w:p>
        </w:tc>
        <w:tc>
          <w:tcPr>
            <w:tcW w:w="854" w:type="dxa"/>
            <w:tcBorders>
              <w:top w:val="nil"/>
              <w:left w:val="nil"/>
              <w:bottom w:val="single" w:sz="4" w:space="0" w:color="auto"/>
              <w:right w:val="single" w:sz="4" w:space="0" w:color="auto"/>
            </w:tcBorders>
            <w:shd w:val="clear" w:color="000000" w:fill="FFFFFF"/>
            <w:noWrap/>
            <w:vAlign w:val="center"/>
            <w:hideMark/>
          </w:tcPr>
          <w:p w14:paraId="4BADEA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9FA1F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7,280,652</w:t>
            </w:r>
          </w:p>
        </w:tc>
        <w:tc>
          <w:tcPr>
            <w:tcW w:w="623" w:type="dxa"/>
            <w:tcBorders>
              <w:top w:val="nil"/>
              <w:left w:val="nil"/>
              <w:bottom w:val="single" w:sz="4" w:space="0" w:color="auto"/>
              <w:right w:val="single" w:sz="4" w:space="0" w:color="auto"/>
            </w:tcBorders>
            <w:shd w:val="clear" w:color="000000" w:fill="FFFFFF"/>
            <w:noWrap/>
            <w:vAlign w:val="center"/>
            <w:hideMark/>
          </w:tcPr>
          <w:p w14:paraId="3B90A6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757B1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335,593</w:t>
            </w:r>
          </w:p>
        </w:tc>
        <w:tc>
          <w:tcPr>
            <w:tcW w:w="855" w:type="dxa"/>
            <w:tcBorders>
              <w:top w:val="nil"/>
              <w:left w:val="nil"/>
              <w:bottom w:val="single" w:sz="4" w:space="0" w:color="auto"/>
              <w:right w:val="single" w:sz="4" w:space="0" w:color="auto"/>
            </w:tcBorders>
            <w:shd w:val="clear" w:color="000000" w:fill="FFFFFF"/>
            <w:noWrap/>
            <w:vAlign w:val="center"/>
            <w:hideMark/>
          </w:tcPr>
          <w:p w14:paraId="3A44A6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6BFE2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7,872,323</w:t>
            </w:r>
          </w:p>
        </w:tc>
        <w:tc>
          <w:tcPr>
            <w:tcW w:w="740" w:type="dxa"/>
            <w:tcBorders>
              <w:top w:val="nil"/>
              <w:left w:val="nil"/>
              <w:bottom w:val="single" w:sz="4" w:space="0" w:color="auto"/>
              <w:right w:val="single" w:sz="4" w:space="0" w:color="auto"/>
            </w:tcBorders>
            <w:shd w:val="clear" w:color="000000" w:fill="FFFFFF"/>
            <w:noWrap/>
            <w:vAlign w:val="center"/>
            <w:hideMark/>
          </w:tcPr>
          <w:p w14:paraId="3A522B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D60A9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310,683</w:t>
            </w:r>
          </w:p>
        </w:tc>
        <w:tc>
          <w:tcPr>
            <w:tcW w:w="882" w:type="dxa"/>
            <w:tcBorders>
              <w:top w:val="nil"/>
              <w:left w:val="nil"/>
              <w:bottom w:val="single" w:sz="4" w:space="0" w:color="auto"/>
              <w:right w:val="single" w:sz="4" w:space="0" w:color="auto"/>
            </w:tcBorders>
            <w:shd w:val="clear" w:color="000000" w:fill="FFFFFF"/>
            <w:noWrap/>
            <w:vAlign w:val="center"/>
            <w:hideMark/>
          </w:tcPr>
          <w:p w14:paraId="004861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3DBA4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7,095,938</w:t>
            </w:r>
          </w:p>
        </w:tc>
        <w:tc>
          <w:tcPr>
            <w:tcW w:w="1045" w:type="dxa"/>
            <w:tcBorders>
              <w:top w:val="nil"/>
              <w:left w:val="nil"/>
              <w:bottom w:val="single" w:sz="4" w:space="0" w:color="auto"/>
              <w:right w:val="single" w:sz="4" w:space="0" w:color="auto"/>
            </w:tcBorders>
            <w:shd w:val="clear" w:color="000000" w:fill="FFFFFF"/>
            <w:noWrap/>
            <w:vAlign w:val="center"/>
            <w:hideMark/>
          </w:tcPr>
          <w:p w14:paraId="4C4E04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6BC2D7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8EB878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EBA7B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3318D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5F1766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302,208</w:t>
            </w:r>
          </w:p>
        </w:tc>
        <w:tc>
          <w:tcPr>
            <w:tcW w:w="854" w:type="dxa"/>
            <w:tcBorders>
              <w:top w:val="nil"/>
              <w:left w:val="nil"/>
              <w:bottom w:val="single" w:sz="4" w:space="0" w:color="auto"/>
              <w:right w:val="single" w:sz="4" w:space="0" w:color="auto"/>
            </w:tcBorders>
            <w:shd w:val="clear" w:color="000000" w:fill="FFFFFF"/>
            <w:noWrap/>
            <w:vAlign w:val="center"/>
            <w:hideMark/>
          </w:tcPr>
          <w:p w14:paraId="1FC5EF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077C88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6,809,690</w:t>
            </w:r>
          </w:p>
        </w:tc>
        <w:tc>
          <w:tcPr>
            <w:tcW w:w="623" w:type="dxa"/>
            <w:tcBorders>
              <w:top w:val="nil"/>
              <w:left w:val="nil"/>
              <w:bottom w:val="single" w:sz="4" w:space="0" w:color="auto"/>
              <w:right w:val="single" w:sz="4" w:space="0" w:color="auto"/>
            </w:tcBorders>
            <w:shd w:val="clear" w:color="000000" w:fill="FFFFFF"/>
            <w:noWrap/>
            <w:vAlign w:val="center"/>
            <w:hideMark/>
          </w:tcPr>
          <w:p w14:paraId="4F9A99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91073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356,865</w:t>
            </w:r>
          </w:p>
        </w:tc>
        <w:tc>
          <w:tcPr>
            <w:tcW w:w="855" w:type="dxa"/>
            <w:tcBorders>
              <w:top w:val="nil"/>
              <w:left w:val="nil"/>
              <w:bottom w:val="single" w:sz="4" w:space="0" w:color="auto"/>
              <w:right w:val="single" w:sz="4" w:space="0" w:color="auto"/>
            </w:tcBorders>
            <w:shd w:val="clear" w:color="000000" w:fill="FFFFFF"/>
            <w:noWrap/>
            <w:vAlign w:val="center"/>
            <w:hideMark/>
          </w:tcPr>
          <w:p w14:paraId="072695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E3673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8,240,878</w:t>
            </w:r>
          </w:p>
        </w:tc>
        <w:tc>
          <w:tcPr>
            <w:tcW w:w="740" w:type="dxa"/>
            <w:tcBorders>
              <w:top w:val="nil"/>
              <w:left w:val="nil"/>
              <w:bottom w:val="single" w:sz="4" w:space="0" w:color="auto"/>
              <w:right w:val="single" w:sz="4" w:space="0" w:color="auto"/>
            </w:tcBorders>
            <w:shd w:val="clear" w:color="000000" w:fill="FFFFFF"/>
            <w:noWrap/>
            <w:vAlign w:val="center"/>
            <w:hideMark/>
          </w:tcPr>
          <w:p w14:paraId="3A0975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w:t>
            </w:r>
          </w:p>
        </w:tc>
        <w:tc>
          <w:tcPr>
            <w:tcW w:w="718" w:type="dxa"/>
            <w:tcBorders>
              <w:top w:val="nil"/>
              <w:left w:val="nil"/>
              <w:bottom w:val="single" w:sz="4" w:space="0" w:color="auto"/>
              <w:right w:val="single" w:sz="4" w:space="0" w:color="auto"/>
            </w:tcBorders>
            <w:shd w:val="clear" w:color="000000" w:fill="FFFFFF"/>
            <w:noWrap/>
            <w:vAlign w:val="center"/>
            <w:hideMark/>
          </w:tcPr>
          <w:p w14:paraId="17FA2B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302,674</w:t>
            </w:r>
          </w:p>
        </w:tc>
        <w:tc>
          <w:tcPr>
            <w:tcW w:w="882" w:type="dxa"/>
            <w:tcBorders>
              <w:top w:val="nil"/>
              <w:left w:val="nil"/>
              <w:bottom w:val="single" w:sz="4" w:space="0" w:color="auto"/>
              <w:right w:val="single" w:sz="4" w:space="0" w:color="auto"/>
            </w:tcBorders>
            <w:shd w:val="clear" w:color="000000" w:fill="FFFFFF"/>
            <w:noWrap/>
            <w:vAlign w:val="center"/>
            <w:hideMark/>
          </w:tcPr>
          <w:p w14:paraId="7359D2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7F01E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6,848,207</w:t>
            </w:r>
          </w:p>
        </w:tc>
        <w:tc>
          <w:tcPr>
            <w:tcW w:w="1045" w:type="dxa"/>
            <w:tcBorders>
              <w:top w:val="nil"/>
              <w:left w:val="nil"/>
              <w:bottom w:val="single" w:sz="4" w:space="0" w:color="auto"/>
              <w:right w:val="single" w:sz="4" w:space="0" w:color="auto"/>
            </w:tcBorders>
            <w:shd w:val="clear" w:color="000000" w:fill="FFFFFF"/>
            <w:noWrap/>
            <w:vAlign w:val="center"/>
            <w:hideMark/>
          </w:tcPr>
          <w:p w14:paraId="31C391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B85524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C286A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5877C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9B8E3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4F109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155,423</w:t>
            </w:r>
          </w:p>
        </w:tc>
        <w:tc>
          <w:tcPr>
            <w:tcW w:w="854" w:type="dxa"/>
            <w:tcBorders>
              <w:top w:val="nil"/>
              <w:left w:val="nil"/>
              <w:bottom w:val="single" w:sz="4" w:space="0" w:color="auto"/>
              <w:right w:val="single" w:sz="4" w:space="0" w:color="auto"/>
            </w:tcBorders>
            <w:shd w:val="clear" w:color="000000" w:fill="FFFFFF"/>
            <w:noWrap/>
            <w:vAlign w:val="center"/>
            <w:hideMark/>
          </w:tcPr>
          <w:p w14:paraId="0DF5E6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DA462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3,529,742</w:t>
            </w:r>
          </w:p>
        </w:tc>
        <w:tc>
          <w:tcPr>
            <w:tcW w:w="623" w:type="dxa"/>
            <w:tcBorders>
              <w:top w:val="nil"/>
              <w:left w:val="nil"/>
              <w:bottom w:val="single" w:sz="4" w:space="0" w:color="auto"/>
              <w:right w:val="single" w:sz="4" w:space="0" w:color="auto"/>
            </w:tcBorders>
            <w:shd w:val="clear" w:color="000000" w:fill="FFFFFF"/>
            <w:noWrap/>
            <w:vAlign w:val="center"/>
            <w:hideMark/>
          </w:tcPr>
          <w:p w14:paraId="1673DB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5C2B4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187,219</w:t>
            </w:r>
          </w:p>
        </w:tc>
        <w:tc>
          <w:tcPr>
            <w:tcW w:w="855" w:type="dxa"/>
            <w:tcBorders>
              <w:top w:val="nil"/>
              <w:left w:val="nil"/>
              <w:bottom w:val="single" w:sz="4" w:space="0" w:color="auto"/>
              <w:right w:val="single" w:sz="4" w:space="0" w:color="auto"/>
            </w:tcBorders>
            <w:shd w:val="clear" w:color="000000" w:fill="FFFFFF"/>
            <w:noWrap/>
            <w:vAlign w:val="center"/>
            <w:hideMark/>
          </w:tcPr>
          <w:p w14:paraId="4992E1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2DEC7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4,400,848</w:t>
            </w:r>
          </w:p>
        </w:tc>
        <w:tc>
          <w:tcPr>
            <w:tcW w:w="740" w:type="dxa"/>
            <w:tcBorders>
              <w:top w:val="nil"/>
              <w:left w:val="nil"/>
              <w:bottom w:val="single" w:sz="4" w:space="0" w:color="auto"/>
              <w:right w:val="single" w:sz="4" w:space="0" w:color="auto"/>
            </w:tcBorders>
            <w:shd w:val="clear" w:color="000000" w:fill="FFFFFF"/>
            <w:noWrap/>
            <w:vAlign w:val="center"/>
            <w:hideMark/>
          </w:tcPr>
          <w:p w14:paraId="5789D6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1.77</w:t>
            </w:r>
          </w:p>
        </w:tc>
        <w:tc>
          <w:tcPr>
            <w:tcW w:w="718" w:type="dxa"/>
            <w:tcBorders>
              <w:top w:val="nil"/>
              <w:left w:val="nil"/>
              <w:bottom w:val="single" w:sz="4" w:space="0" w:color="auto"/>
              <w:right w:val="single" w:sz="4" w:space="0" w:color="auto"/>
            </w:tcBorders>
            <w:shd w:val="clear" w:color="000000" w:fill="FFFFFF"/>
            <w:noWrap/>
            <w:vAlign w:val="center"/>
            <w:hideMark/>
          </w:tcPr>
          <w:p w14:paraId="5E00E3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155,836</w:t>
            </w:r>
          </w:p>
        </w:tc>
        <w:tc>
          <w:tcPr>
            <w:tcW w:w="882" w:type="dxa"/>
            <w:tcBorders>
              <w:top w:val="nil"/>
              <w:left w:val="nil"/>
              <w:bottom w:val="single" w:sz="4" w:space="0" w:color="auto"/>
              <w:right w:val="single" w:sz="4" w:space="0" w:color="auto"/>
            </w:tcBorders>
            <w:shd w:val="clear" w:color="000000" w:fill="FFFFFF"/>
            <w:noWrap/>
            <w:vAlign w:val="center"/>
            <w:hideMark/>
          </w:tcPr>
          <w:p w14:paraId="631B54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2A9170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3,577,199</w:t>
            </w:r>
          </w:p>
        </w:tc>
        <w:tc>
          <w:tcPr>
            <w:tcW w:w="1045" w:type="dxa"/>
            <w:tcBorders>
              <w:top w:val="nil"/>
              <w:left w:val="nil"/>
              <w:bottom w:val="single" w:sz="4" w:space="0" w:color="auto"/>
              <w:right w:val="single" w:sz="4" w:space="0" w:color="auto"/>
            </w:tcBorders>
            <w:shd w:val="clear" w:color="000000" w:fill="FFFFFF"/>
            <w:noWrap/>
            <w:vAlign w:val="center"/>
            <w:hideMark/>
          </w:tcPr>
          <w:p w14:paraId="2890F1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0.34</w:t>
            </w:r>
          </w:p>
        </w:tc>
      </w:tr>
      <w:tr w:rsidR="00177999" w:rsidRPr="00057D13" w14:paraId="6C663A1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4B1BE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1F4EF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3C9682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51D6F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285,050</w:t>
            </w:r>
          </w:p>
        </w:tc>
        <w:tc>
          <w:tcPr>
            <w:tcW w:w="854" w:type="dxa"/>
            <w:tcBorders>
              <w:top w:val="nil"/>
              <w:left w:val="nil"/>
              <w:bottom w:val="single" w:sz="4" w:space="0" w:color="auto"/>
              <w:right w:val="single" w:sz="4" w:space="0" w:color="auto"/>
            </w:tcBorders>
            <w:shd w:val="clear" w:color="000000" w:fill="FFFFFF"/>
            <w:noWrap/>
            <w:vAlign w:val="center"/>
            <w:hideMark/>
          </w:tcPr>
          <w:p w14:paraId="05539F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741C45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7,782,187</w:t>
            </w:r>
          </w:p>
        </w:tc>
        <w:tc>
          <w:tcPr>
            <w:tcW w:w="623" w:type="dxa"/>
            <w:tcBorders>
              <w:top w:val="nil"/>
              <w:left w:val="nil"/>
              <w:bottom w:val="single" w:sz="4" w:space="0" w:color="auto"/>
              <w:right w:val="single" w:sz="4" w:space="0" w:color="auto"/>
            </w:tcBorders>
            <w:shd w:val="clear" w:color="000000" w:fill="FFFFFF"/>
            <w:noWrap/>
            <w:vAlign w:val="center"/>
            <w:hideMark/>
          </w:tcPr>
          <w:p w14:paraId="7BB18C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5781E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269,569</w:t>
            </w:r>
          </w:p>
        </w:tc>
        <w:tc>
          <w:tcPr>
            <w:tcW w:w="855" w:type="dxa"/>
            <w:tcBorders>
              <w:top w:val="nil"/>
              <w:left w:val="nil"/>
              <w:bottom w:val="single" w:sz="4" w:space="0" w:color="auto"/>
              <w:right w:val="single" w:sz="4" w:space="0" w:color="auto"/>
            </w:tcBorders>
            <w:shd w:val="clear" w:color="000000" w:fill="FFFFFF"/>
            <w:noWrap/>
            <w:vAlign w:val="center"/>
            <w:hideMark/>
          </w:tcPr>
          <w:p w14:paraId="4C48AC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B0E31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7,379,984</w:t>
            </w:r>
          </w:p>
        </w:tc>
        <w:tc>
          <w:tcPr>
            <w:tcW w:w="740" w:type="dxa"/>
            <w:tcBorders>
              <w:top w:val="nil"/>
              <w:left w:val="nil"/>
              <w:bottom w:val="single" w:sz="4" w:space="0" w:color="auto"/>
              <w:right w:val="single" w:sz="4" w:space="0" w:color="auto"/>
            </w:tcBorders>
            <w:shd w:val="clear" w:color="000000" w:fill="FFFFFF"/>
            <w:noWrap/>
            <w:vAlign w:val="center"/>
            <w:hideMark/>
          </w:tcPr>
          <w:p w14:paraId="0A8F7E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DE89F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262,076</w:t>
            </w:r>
          </w:p>
        </w:tc>
        <w:tc>
          <w:tcPr>
            <w:tcW w:w="882" w:type="dxa"/>
            <w:tcBorders>
              <w:top w:val="nil"/>
              <w:left w:val="nil"/>
              <w:bottom w:val="single" w:sz="4" w:space="0" w:color="auto"/>
              <w:right w:val="single" w:sz="4" w:space="0" w:color="auto"/>
            </w:tcBorders>
            <w:shd w:val="clear" w:color="000000" w:fill="FFFFFF"/>
            <w:noWrap/>
            <w:vAlign w:val="center"/>
            <w:hideMark/>
          </w:tcPr>
          <w:p w14:paraId="202899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08BBB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7,059,863</w:t>
            </w:r>
          </w:p>
        </w:tc>
        <w:tc>
          <w:tcPr>
            <w:tcW w:w="1045" w:type="dxa"/>
            <w:tcBorders>
              <w:top w:val="nil"/>
              <w:left w:val="nil"/>
              <w:bottom w:val="single" w:sz="4" w:space="0" w:color="auto"/>
              <w:right w:val="single" w:sz="4" w:space="0" w:color="auto"/>
            </w:tcBorders>
            <w:shd w:val="clear" w:color="000000" w:fill="FFFFFF"/>
            <w:noWrap/>
            <w:vAlign w:val="center"/>
            <w:hideMark/>
          </w:tcPr>
          <w:p w14:paraId="1BB791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C4A668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8CE79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41880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B0AE1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B8161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271,266</w:t>
            </w:r>
          </w:p>
        </w:tc>
        <w:tc>
          <w:tcPr>
            <w:tcW w:w="854" w:type="dxa"/>
            <w:tcBorders>
              <w:top w:val="nil"/>
              <w:left w:val="nil"/>
              <w:bottom w:val="single" w:sz="4" w:space="0" w:color="auto"/>
              <w:right w:val="single" w:sz="4" w:space="0" w:color="auto"/>
            </w:tcBorders>
            <w:shd w:val="clear" w:color="000000" w:fill="FFFFFF"/>
            <w:noWrap/>
            <w:vAlign w:val="center"/>
            <w:hideMark/>
          </w:tcPr>
          <w:p w14:paraId="6D8B09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9FA12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7,516,248</w:t>
            </w:r>
          </w:p>
        </w:tc>
        <w:tc>
          <w:tcPr>
            <w:tcW w:w="623" w:type="dxa"/>
            <w:tcBorders>
              <w:top w:val="nil"/>
              <w:left w:val="nil"/>
              <w:bottom w:val="single" w:sz="4" w:space="0" w:color="auto"/>
              <w:right w:val="single" w:sz="4" w:space="0" w:color="auto"/>
            </w:tcBorders>
            <w:shd w:val="clear" w:color="000000" w:fill="FFFFFF"/>
            <w:noWrap/>
            <w:vAlign w:val="center"/>
            <w:hideMark/>
          </w:tcPr>
          <w:p w14:paraId="599946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0.45</w:t>
            </w:r>
          </w:p>
        </w:tc>
        <w:tc>
          <w:tcPr>
            <w:tcW w:w="811" w:type="dxa"/>
            <w:tcBorders>
              <w:top w:val="nil"/>
              <w:left w:val="nil"/>
              <w:bottom w:val="single" w:sz="4" w:space="0" w:color="auto"/>
              <w:right w:val="single" w:sz="4" w:space="0" w:color="auto"/>
            </w:tcBorders>
            <w:shd w:val="clear" w:color="000000" w:fill="FFFFFF"/>
            <w:noWrap/>
            <w:vAlign w:val="center"/>
            <w:hideMark/>
          </w:tcPr>
          <w:p w14:paraId="683A64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296,926</w:t>
            </w:r>
          </w:p>
        </w:tc>
        <w:tc>
          <w:tcPr>
            <w:tcW w:w="855" w:type="dxa"/>
            <w:tcBorders>
              <w:top w:val="nil"/>
              <w:left w:val="nil"/>
              <w:bottom w:val="single" w:sz="4" w:space="0" w:color="auto"/>
              <w:right w:val="single" w:sz="4" w:space="0" w:color="auto"/>
            </w:tcBorders>
            <w:shd w:val="clear" w:color="000000" w:fill="FFFFFF"/>
            <w:noWrap/>
            <w:vAlign w:val="center"/>
            <w:hideMark/>
          </w:tcPr>
          <w:p w14:paraId="2323A9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A327E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8,251,478</w:t>
            </w:r>
          </w:p>
        </w:tc>
        <w:tc>
          <w:tcPr>
            <w:tcW w:w="740" w:type="dxa"/>
            <w:tcBorders>
              <w:top w:val="nil"/>
              <w:left w:val="nil"/>
              <w:bottom w:val="single" w:sz="4" w:space="0" w:color="auto"/>
              <w:right w:val="single" w:sz="4" w:space="0" w:color="auto"/>
            </w:tcBorders>
            <w:shd w:val="clear" w:color="000000" w:fill="FFFFFF"/>
            <w:noWrap/>
            <w:vAlign w:val="center"/>
            <w:hideMark/>
          </w:tcPr>
          <w:p w14:paraId="6E1DE8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0.95</w:t>
            </w:r>
          </w:p>
        </w:tc>
        <w:tc>
          <w:tcPr>
            <w:tcW w:w="718" w:type="dxa"/>
            <w:tcBorders>
              <w:top w:val="nil"/>
              <w:left w:val="nil"/>
              <w:bottom w:val="single" w:sz="4" w:space="0" w:color="auto"/>
              <w:right w:val="single" w:sz="4" w:space="0" w:color="auto"/>
            </w:tcBorders>
            <w:shd w:val="clear" w:color="000000" w:fill="FFFFFF"/>
            <w:noWrap/>
            <w:vAlign w:val="center"/>
            <w:hideMark/>
          </w:tcPr>
          <w:p w14:paraId="0C6B2E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263,283</w:t>
            </w:r>
          </w:p>
        </w:tc>
        <w:tc>
          <w:tcPr>
            <w:tcW w:w="882" w:type="dxa"/>
            <w:tcBorders>
              <w:top w:val="nil"/>
              <w:left w:val="nil"/>
              <w:bottom w:val="single" w:sz="4" w:space="0" w:color="auto"/>
              <w:right w:val="single" w:sz="4" w:space="0" w:color="auto"/>
            </w:tcBorders>
            <w:shd w:val="clear" w:color="000000" w:fill="FFFFFF"/>
            <w:noWrap/>
            <w:vAlign w:val="center"/>
            <w:hideMark/>
          </w:tcPr>
          <w:p w14:paraId="06D7BA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D0A9E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7,220,490</w:t>
            </w:r>
          </w:p>
        </w:tc>
        <w:tc>
          <w:tcPr>
            <w:tcW w:w="1045" w:type="dxa"/>
            <w:tcBorders>
              <w:top w:val="nil"/>
              <w:left w:val="nil"/>
              <w:bottom w:val="single" w:sz="4" w:space="0" w:color="auto"/>
              <w:right w:val="single" w:sz="4" w:space="0" w:color="auto"/>
            </w:tcBorders>
            <w:shd w:val="clear" w:color="000000" w:fill="FFFFFF"/>
            <w:noWrap/>
            <w:vAlign w:val="center"/>
            <w:hideMark/>
          </w:tcPr>
          <w:p w14:paraId="3B7E03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0502F4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D4BE7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3F2F0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A0C69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93062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136,268</w:t>
            </w:r>
          </w:p>
        </w:tc>
        <w:tc>
          <w:tcPr>
            <w:tcW w:w="854" w:type="dxa"/>
            <w:tcBorders>
              <w:top w:val="nil"/>
              <w:left w:val="nil"/>
              <w:bottom w:val="single" w:sz="4" w:space="0" w:color="auto"/>
              <w:right w:val="single" w:sz="4" w:space="0" w:color="auto"/>
            </w:tcBorders>
            <w:shd w:val="clear" w:color="000000" w:fill="FFFFFF"/>
            <w:noWrap/>
            <w:vAlign w:val="center"/>
            <w:hideMark/>
          </w:tcPr>
          <w:p w14:paraId="603AC7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A0D16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3,777,657</w:t>
            </w:r>
          </w:p>
        </w:tc>
        <w:tc>
          <w:tcPr>
            <w:tcW w:w="623" w:type="dxa"/>
            <w:tcBorders>
              <w:top w:val="nil"/>
              <w:left w:val="nil"/>
              <w:bottom w:val="single" w:sz="4" w:space="0" w:color="auto"/>
              <w:right w:val="single" w:sz="4" w:space="0" w:color="auto"/>
            </w:tcBorders>
            <w:shd w:val="clear" w:color="000000" w:fill="FFFFFF"/>
            <w:noWrap/>
            <w:vAlign w:val="center"/>
            <w:hideMark/>
          </w:tcPr>
          <w:p w14:paraId="731283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0.58</w:t>
            </w:r>
          </w:p>
        </w:tc>
        <w:tc>
          <w:tcPr>
            <w:tcW w:w="811" w:type="dxa"/>
            <w:tcBorders>
              <w:top w:val="nil"/>
              <w:left w:val="nil"/>
              <w:bottom w:val="single" w:sz="4" w:space="0" w:color="auto"/>
              <w:right w:val="single" w:sz="4" w:space="0" w:color="auto"/>
            </w:tcBorders>
            <w:shd w:val="clear" w:color="000000" w:fill="FFFFFF"/>
            <w:noWrap/>
            <w:vAlign w:val="center"/>
            <w:hideMark/>
          </w:tcPr>
          <w:p w14:paraId="2848BC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147,933</w:t>
            </w:r>
          </w:p>
        </w:tc>
        <w:tc>
          <w:tcPr>
            <w:tcW w:w="855" w:type="dxa"/>
            <w:tcBorders>
              <w:top w:val="nil"/>
              <w:left w:val="nil"/>
              <w:bottom w:val="single" w:sz="4" w:space="0" w:color="auto"/>
              <w:right w:val="single" w:sz="4" w:space="0" w:color="auto"/>
            </w:tcBorders>
            <w:shd w:val="clear" w:color="000000" w:fill="FFFFFF"/>
            <w:noWrap/>
            <w:vAlign w:val="center"/>
            <w:hideMark/>
          </w:tcPr>
          <w:p w14:paraId="0978F9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100DB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4,112,293</w:t>
            </w:r>
          </w:p>
        </w:tc>
        <w:tc>
          <w:tcPr>
            <w:tcW w:w="740" w:type="dxa"/>
            <w:tcBorders>
              <w:top w:val="nil"/>
              <w:left w:val="nil"/>
              <w:bottom w:val="single" w:sz="4" w:space="0" w:color="auto"/>
              <w:right w:val="single" w:sz="4" w:space="0" w:color="auto"/>
            </w:tcBorders>
            <w:shd w:val="clear" w:color="000000" w:fill="FFFFFF"/>
            <w:noWrap/>
            <w:vAlign w:val="center"/>
            <w:hideMark/>
          </w:tcPr>
          <w:p w14:paraId="18E391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0.47</w:t>
            </w:r>
          </w:p>
        </w:tc>
        <w:tc>
          <w:tcPr>
            <w:tcW w:w="718" w:type="dxa"/>
            <w:tcBorders>
              <w:top w:val="nil"/>
              <w:left w:val="nil"/>
              <w:bottom w:val="single" w:sz="4" w:space="0" w:color="auto"/>
              <w:right w:val="single" w:sz="4" w:space="0" w:color="auto"/>
            </w:tcBorders>
            <w:shd w:val="clear" w:color="000000" w:fill="FFFFFF"/>
            <w:noWrap/>
            <w:vAlign w:val="center"/>
            <w:hideMark/>
          </w:tcPr>
          <w:p w14:paraId="6D472A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130,297</w:t>
            </w:r>
          </w:p>
        </w:tc>
        <w:tc>
          <w:tcPr>
            <w:tcW w:w="882" w:type="dxa"/>
            <w:tcBorders>
              <w:top w:val="nil"/>
              <w:left w:val="nil"/>
              <w:bottom w:val="single" w:sz="4" w:space="0" w:color="auto"/>
              <w:right w:val="single" w:sz="4" w:space="0" w:color="auto"/>
            </w:tcBorders>
            <w:shd w:val="clear" w:color="000000" w:fill="FFFFFF"/>
            <w:noWrap/>
            <w:vAlign w:val="center"/>
            <w:hideMark/>
          </w:tcPr>
          <w:p w14:paraId="5E41B9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A7451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3,573,108</w:t>
            </w:r>
          </w:p>
        </w:tc>
        <w:tc>
          <w:tcPr>
            <w:tcW w:w="1045" w:type="dxa"/>
            <w:tcBorders>
              <w:top w:val="nil"/>
              <w:left w:val="nil"/>
              <w:bottom w:val="single" w:sz="4" w:space="0" w:color="auto"/>
              <w:right w:val="single" w:sz="4" w:space="0" w:color="auto"/>
            </w:tcBorders>
            <w:shd w:val="clear" w:color="000000" w:fill="FFFFFF"/>
            <w:noWrap/>
            <w:vAlign w:val="center"/>
            <w:hideMark/>
          </w:tcPr>
          <w:p w14:paraId="7B5C55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0.34</w:t>
            </w:r>
          </w:p>
        </w:tc>
      </w:tr>
      <w:tr w:rsidR="00177999" w:rsidRPr="00057D13" w14:paraId="0F0A9DB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F33B2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57B4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68A27A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C530F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598556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B6642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89,251</w:t>
            </w:r>
          </w:p>
        </w:tc>
        <w:tc>
          <w:tcPr>
            <w:tcW w:w="623" w:type="dxa"/>
            <w:tcBorders>
              <w:top w:val="nil"/>
              <w:left w:val="nil"/>
              <w:bottom w:val="single" w:sz="4" w:space="0" w:color="auto"/>
              <w:right w:val="single" w:sz="4" w:space="0" w:color="auto"/>
            </w:tcBorders>
            <w:shd w:val="clear" w:color="000000" w:fill="FFFFFF"/>
            <w:noWrap/>
            <w:vAlign w:val="center"/>
            <w:hideMark/>
          </w:tcPr>
          <w:p w14:paraId="4D219D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DB025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1,339</w:t>
            </w:r>
          </w:p>
        </w:tc>
        <w:tc>
          <w:tcPr>
            <w:tcW w:w="855" w:type="dxa"/>
            <w:tcBorders>
              <w:top w:val="nil"/>
              <w:left w:val="nil"/>
              <w:bottom w:val="single" w:sz="4" w:space="0" w:color="auto"/>
              <w:right w:val="single" w:sz="4" w:space="0" w:color="auto"/>
            </w:tcBorders>
            <w:shd w:val="clear" w:color="000000" w:fill="FFFFFF"/>
            <w:noWrap/>
            <w:vAlign w:val="center"/>
            <w:hideMark/>
          </w:tcPr>
          <w:p w14:paraId="098F2F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528A5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33,926</w:t>
            </w:r>
          </w:p>
        </w:tc>
        <w:tc>
          <w:tcPr>
            <w:tcW w:w="740" w:type="dxa"/>
            <w:tcBorders>
              <w:top w:val="nil"/>
              <w:left w:val="nil"/>
              <w:bottom w:val="single" w:sz="4" w:space="0" w:color="auto"/>
              <w:right w:val="single" w:sz="4" w:space="0" w:color="auto"/>
            </w:tcBorders>
            <w:shd w:val="clear" w:color="000000" w:fill="FFFFFF"/>
            <w:noWrap/>
            <w:vAlign w:val="center"/>
            <w:hideMark/>
          </w:tcPr>
          <w:p w14:paraId="136239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A3B41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19,046</w:t>
            </w:r>
          </w:p>
        </w:tc>
        <w:tc>
          <w:tcPr>
            <w:tcW w:w="882" w:type="dxa"/>
            <w:tcBorders>
              <w:top w:val="nil"/>
              <w:left w:val="nil"/>
              <w:bottom w:val="single" w:sz="4" w:space="0" w:color="auto"/>
              <w:right w:val="single" w:sz="4" w:space="0" w:color="auto"/>
            </w:tcBorders>
            <w:shd w:val="clear" w:color="000000" w:fill="FFFFFF"/>
            <w:noWrap/>
            <w:vAlign w:val="center"/>
            <w:hideMark/>
          </w:tcPr>
          <w:p w14:paraId="0E5E61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5DF4F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291,366</w:t>
            </w:r>
          </w:p>
        </w:tc>
        <w:tc>
          <w:tcPr>
            <w:tcW w:w="1045" w:type="dxa"/>
            <w:tcBorders>
              <w:top w:val="nil"/>
              <w:left w:val="nil"/>
              <w:bottom w:val="single" w:sz="4" w:space="0" w:color="auto"/>
              <w:right w:val="single" w:sz="4" w:space="0" w:color="auto"/>
            </w:tcBorders>
            <w:shd w:val="clear" w:color="000000" w:fill="FFFFFF"/>
            <w:noWrap/>
            <w:vAlign w:val="center"/>
            <w:hideMark/>
          </w:tcPr>
          <w:p w14:paraId="72F07D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5C72D7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55255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2A989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D1917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66AA5D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86,161</w:t>
            </w:r>
          </w:p>
        </w:tc>
        <w:tc>
          <w:tcPr>
            <w:tcW w:w="854" w:type="dxa"/>
            <w:tcBorders>
              <w:top w:val="nil"/>
              <w:left w:val="nil"/>
              <w:bottom w:val="single" w:sz="4" w:space="0" w:color="auto"/>
              <w:right w:val="single" w:sz="4" w:space="0" w:color="auto"/>
            </w:tcBorders>
            <w:shd w:val="clear" w:color="000000" w:fill="FFFFFF"/>
            <w:noWrap/>
            <w:vAlign w:val="center"/>
            <w:hideMark/>
          </w:tcPr>
          <w:p w14:paraId="30E08E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1B958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2,292,866</w:t>
            </w:r>
          </w:p>
        </w:tc>
        <w:tc>
          <w:tcPr>
            <w:tcW w:w="623" w:type="dxa"/>
            <w:tcBorders>
              <w:top w:val="nil"/>
              <w:left w:val="nil"/>
              <w:bottom w:val="single" w:sz="4" w:space="0" w:color="auto"/>
              <w:right w:val="single" w:sz="4" w:space="0" w:color="auto"/>
            </w:tcBorders>
            <w:shd w:val="clear" w:color="000000" w:fill="FFFFFF"/>
            <w:noWrap/>
            <w:vAlign w:val="center"/>
            <w:hideMark/>
          </w:tcPr>
          <w:p w14:paraId="2E8383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6662B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63,976</w:t>
            </w:r>
          </w:p>
        </w:tc>
        <w:tc>
          <w:tcPr>
            <w:tcW w:w="855" w:type="dxa"/>
            <w:tcBorders>
              <w:top w:val="nil"/>
              <w:left w:val="nil"/>
              <w:bottom w:val="single" w:sz="4" w:space="0" w:color="auto"/>
              <w:right w:val="single" w:sz="4" w:space="0" w:color="auto"/>
            </w:tcBorders>
            <w:shd w:val="clear" w:color="000000" w:fill="FFFFFF"/>
            <w:noWrap/>
            <w:vAlign w:val="center"/>
            <w:hideMark/>
          </w:tcPr>
          <w:p w14:paraId="18B29B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7004F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1,724,418</w:t>
            </w:r>
          </w:p>
        </w:tc>
        <w:tc>
          <w:tcPr>
            <w:tcW w:w="740" w:type="dxa"/>
            <w:tcBorders>
              <w:top w:val="nil"/>
              <w:left w:val="nil"/>
              <w:bottom w:val="single" w:sz="4" w:space="0" w:color="auto"/>
              <w:right w:val="single" w:sz="4" w:space="0" w:color="auto"/>
            </w:tcBorders>
            <w:shd w:val="clear" w:color="000000" w:fill="FFFFFF"/>
            <w:noWrap/>
            <w:vAlign w:val="center"/>
            <w:hideMark/>
          </w:tcPr>
          <w:p w14:paraId="01FC8A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06C02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79,614</w:t>
            </w:r>
          </w:p>
        </w:tc>
        <w:tc>
          <w:tcPr>
            <w:tcW w:w="882" w:type="dxa"/>
            <w:tcBorders>
              <w:top w:val="nil"/>
              <w:left w:val="nil"/>
              <w:bottom w:val="single" w:sz="4" w:space="0" w:color="auto"/>
              <w:right w:val="single" w:sz="4" w:space="0" w:color="auto"/>
            </w:tcBorders>
            <w:shd w:val="clear" w:color="000000" w:fill="FFFFFF"/>
            <w:noWrap/>
            <w:vAlign w:val="center"/>
            <w:hideMark/>
          </w:tcPr>
          <w:p w14:paraId="5AAE30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7840D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2,091,896</w:t>
            </w:r>
          </w:p>
        </w:tc>
        <w:tc>
          <w:tcPr>
            <w:tcW w:w="1045" w:type="dxa"/>
            <w:tcBorders>
              <w:top w:val="nil"/>
              <w:left w:val="nil"/>
              <w:bottom w:val="single" w:sz="4" w:space="0" w:color="auto"/>
              <w:right w:val="single" w:sz="4" w:space="0" w:color="auto"/>
            </w:tcBorders>
            <w:shd w:val="clear" w:color="000000" w:fill="FFFFFF"/>
            <w:noWrap/>
            <w:vAlign w:val="center"/>
            <w:hideMark/>
          </w:tcPr>
          <w:p w14:paraId="4FF49A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1.69</w:t>
            </w:r>
          </w:p>
        </w:tc>
      </w:tr>
      <w:tr w:rsidR="00177999" w:rsidRPr="00057D13" w14:paraId="14981B9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527AC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E14AA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9D4E0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6AEA0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57,840</w:t>
            </w:r>
          </w:p>
        </w:tc>
        <w:tc>
          <w:tcPr>
            <w:tcW w:w="854" w:type="dxa"/>
            <w:tcBorders>
              <w:top w:val="nil"/>
              <w:left w:val="nil"/>
              <w:bottom w:val="single" w:sz="4" w:space="0" w:color="auto"/>
              <w:right w:val="single" w:sz="4" w:space="0" w:color="auto"/>
            </w:tcBorders>
            <w:shd w:val="clear" w:color="000000" w:fill="FFFFFF"/>
            <w:noWrap/>
            <w:vAlign w:val="center"/>
            <w:hideMark/>
          </w:tcPr>
          <w:p w14:paraId="743DF8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086587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1,553,387</w:t>
            </w:r>
          </w:p>
        </w:tc>
        <w:tc>
          <w:tcPr>
            <w:tcW w:w="623" w:type="dxa"/>
            <w:tcBorders>
              <w:top w:val="nil"/>
              <w:left w:val="nil"/>
              <w:bottom w:val="single" w:sz="4" w:space="0" w:color="auto"/>
              <w:right w:val="single" w:sz="4" w:space="0" w:color="auto"/>
            </w:tcBorders>
            <w:shd w:val="clear" w:color="000000" w:fill="FFFFFF"/>
            <w:noWrap/>
            <w:vAlign w:val="center"/>
            <w:hideMark/>
          </w:tcPr>
          <w:p w14:paraId="3A1952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88264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43,134</w:t>
            </w:r>
          </w:p>
        </w:tc>
        <w:tc>
          <w:tcPr>
            <w:tcW w:w="855" w:type="dxa"/>
            <w:tcBorders>
              <w:top w:val="nil"/>
              <w:left w:val="nil"/>
              <w:bottom w:val="single" w:sz="4" w:space="0" w:color="auto"/>
              <w:right w:val="single" w:sz="4" w:space="0" w:color="auto"/>
            </w:tcBorders>
            <w:shd w:val="clear" w:color="000000" w:fill="FFFFFF"/>
            <w:noWrap/>
            <w:vAlign w:val="center"/>
            <w:hideMark/>
          </w:tcPr>
          <w:p w14:paraId="3D691A9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042E2D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1,163,714</w:t>
            </w:r>
          </w:p>
        </w:tc>
        <w:tc>
          <w:tcPr>
            <w:tcW w:w="740" w:type="dxa"/>
            <w:tcBorders>
              <w:top w:val="nil"/>
              <w:left w:val="nil"/>
              <w:bottom w:val="single" w:sz="4" w:space="0" w:color="auto"/>
              <w:right w:val="single" w:sz="4" w:space="0" w:color="auto"/>
            </w:tcBorders>
            <w:shd w:val="clear" w:color="000000" w:fill="FFFFFF"/>
            <w:noWrap/>
            <w:vAlign w:val="center"/>
            <w:hideMark/>
          </w:tcPr>
          <w:p w14:paraId="7A978A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2A303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50,621</w:t>
            </w:r>
          </w:p>
        </w:tc>
        <w:tc>
          <w:tcPr>
            <w:tcW w:w="882" w:type="dxa"/>
            <w:tcBorders>
              <w:top w:val="nil"/>
              <w:left w:val="nil"/>
              <w:bottom w:val="single" w:sz="4" w:space="0" w:color="auto"/>
              <w:right w:val="single" w:sz="4" w:space="0" w:color="auto"/>
            </w:tcBorders>
            <w:shd w:val="clear" w:color="000000" w:fill="FFFFFF"/>
            <w:noWrap/>
            <w:vAlign w:val="center"/>
            <w:hideMark/>
          </w:tcPr>
          <w:p w14:paraId="62DB3A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F6997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1,326,846</w:t>
            </w:r>
          </w:p>
        </w:tc>
        <w:tc>
          <w:tcPr>
            <w:tcW w:w="1045" w:type="dxa"/>
            <w:tcBorders>
              <w:top w:val="nil"/>
              <w:left w:val="nil"/>
              <w:bottom w:val="single" w:sz="4" w:space="0" w:color="auto"/>
              <w:right w:val="single" w:sz="4" w:space="0" w:color="auto"/>
            </w:tcBorders>
            <w:shd w:val="clear" w:color="000000" w:fill="FFFFFF"/>
            <w:noWrap/>
            <w:vAlign w:val="center"/>
            <w:hideMark/>
          </w:tcPr>
          <w:p w14:paraId="60E38C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FA8D1AB"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6754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Disseminated intravascular coagulation (DIC)</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2C70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18D90B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9991A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603,622</w:t>
            </w:r>
          </w:p>
        </w:tc>
        <w:tc>
          <w:tcPr>
            <w:tcW w:w="854" w:type="dxa"/>
            <w:tcBorders>
              <w:top w:val="nil"/>
              <w:left w:val="nil"/>
              <w:bottom w:val="single" w:sz="4" w:space="0" w:color="auto"/>
              <w:right w:val="single" w:sz="4" w:space="0" w:color="auto"/>
            </w:tcBorders>
            <w:shd w:val="clear" w:color="000000" w:fill="FFFFFF"/>
            <w:noWrap/>
            <w:vAlign w:val="center"/>
            <w:hideMark/>
          </w:tcPr>
          <w:p w14:paraId="618A99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D3494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14,973,673</w:t>
            </w:r>
          </w:p>
        </w:tc>
        <w:tc>
          <w:tcPr>
            <w:tcW w:w="623" w:type="dxa"/>
            <w:tcBorders>
              <w:top w:val="nil"/>
              <w:left w:val="nil"/>
              <w:bottom w:val="single" w:sz="4" w:space="0" w:color="auto"/>
              <w:right w:val="single" w:sz="4" w:space="0" w:color="auto"/>
            </w:tcBorders>
            <w:shd w:val="clear" w:color="000000" w:fill="FFFFFF"/>
            <w:noWrap/>
            <w:vAlign w:val="center"/>
            <w:hideMark/>
          </w:tcPr>
          <w:p w14:paraId="0542F1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4371F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605,194</w:t>
            </w:r>
          </w:p>
        </w:tc>
        <w:tc>
          <w:tcPr>
            <w:tcW w:w="855" w:type="dxa"/>
            <w:tcBorders>
              <w:top w:val="nil"/>
              <w:left w:val="nil"/>
              <w:bottom w:val="single" w:sz="4" w:space="0" w:color="auto"/>
              <w:right w:val="single" w:sz="4" w:space="0" w:color="auto"/>
            </w:tcBorders>
            <w:shd w:val="clear" w:color="000000" w:fill="FFFFFF"/>
            <w:noWrap/>
            <w:vAlign w:val="center"/>
            <w:hideMark/>
          </w:tcPr>
          <w:p w14:paraId="01C527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38737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15,099,403</w:t>
            </w:r>
          </w:p>
        </w:tc>
        <w:tc>
          <w:tcPr>
            <w:tcW w:w="740" w:type="dxa"/>
            <w:tcBorders>
              <w:top w:val="nil"/>
              <w:left w:val="nil"/>
              <w:bottom w:val="single" w:sz="4" w:space="0" w:color="auto"/>
              <w:right w:val="single" w:sz="4" w:space="0" w:color="auto"/>
            </w:tcBorders>
            <w:shd w:val="clear" w:color="000000" w:fill="FFFFFF"/>
            <w:noWrap/>
            <w:vAlign w:val="center"/>
            <w:hideMark/>
          </w:tcPr>
          <w:p w14:paraId="7556CF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4.09</w:t>
            </w:r>
          </w:p>
        </w:tc>
        <w:tc>
          <w:tcPr>
            <w:tcW w:w="718" w:type="dxa"/>
            <w:tcBorders>
              <w:top w:val="nil"/>
              <w:left w:val="nil"/>
              <w:bottom w:val="single" w:sz="4" w:space="0" w:color="auto"/>
              <w:right w:val="single" w:sz="4" w:space="0" w:color="auto"/>
            </w:tcBorders>
            <w:shd w:val="clear" w:color="000000" w:fill="FFFFFF"/>
            <w:noWrap/>
            <w:vAlign w:val="center"/>
            <w:hideMark/>
          </w:tcPr>
          <w:p w14:paraId="1E6813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572,773</w:t>
            </w:r>
          </w:p>
        </w:tc>
        <w:tc>
          <w:tcPr>
            <w:tcW w:w="882" w:type="dxa"/>
            <w:tcBorders>
              <w:top w:val="nil"/>
              <w:left w:val="nil"/>
              <w:bottom w:val="single" w:sz="4" w:space="0" w:color="auto"/>
              <w:right w:val="single" w:sz="4" w:space="0" w:color="auto"/>
            </w:tcBorders>
            <w:shd w:val="clear" w:color="000000" w:fill="FFFFFF"/>
            <w:noWrap/>
            <w:vAlign w:val="center"/>
            <w:hideMark/>
          </w:tcPr>
          <w:p w14:paraId="19D0F1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FC0CD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14,102,730</w:t>
            </w:r>
          </w:p>
        </w:tc>
        <w:tc>
          <w:tcPr>
            <w:tcW w:w="1045" w:type="dxa"/>
            <w:tcBorders>
              <w:top w:val="nil"/>
              <w:left w:val="nil"/>
              <w:bottom w:val="single" w:sz="4" w:space="0" w:color="auto"/>
              <w:right w:val="single" w:sz="4" w:space="0" w:color="auto"/>
            </w:tcBorders>
            <w:shd w:val="clear" w:color="000000" w:fill="FFFFFF"/>
            <w:noWrap/>
            <w:vAlign w:val="center"/>
            <w:hideMark/>
          </w:tcPr>
          <w:p w14:paraId="22966B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E39B32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A8077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D873F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8A8A6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0919605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573,509</w:t>
            </w:r>
          </w:p>
        </w:tc>
        <w:tc>
          <w:tcPr>
            <w:tcW w:w="854" w:type="dxa"/>
            <w:tcBorders>
              <w:top w:val="nil"/>
              <w:left w:val="nil"/>
              <w:bottom w:val="single" w:sz="4" w:space="0" w:color="auto"/>
              <w:right w:val="single" w:sz="4" w:space="0" w:color="auto"/>
            </w:tcBorders>
            <w:shd w:val="clear" w:color="000000" w:fill="FFFFFF"/>
            <w:noWrap/>
            <w:vAlign w:val="center"/>
            <w:hideMark/>
          </w:tcPr>
          <w:p w14:paraId="2D92B0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F87C5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14,304,512</w:t>
            </w:r>
          </w:p>
        </w:tc>
        <w:tc>
          <w:tcPr>
            <w:tcW w:w="623" w:type="dxa"/>
            <w:tcBorders>
              <w:top w:val="nil"/>
              <w:left w:val="nil"/>
              <w:bottom w:val="single" w:sz="4" w:space="0" w:color="auto"/>
              <w:right w:val="single" w:sz="4" w:space="0" w:color="auto"/>
            </w:tcBorders>
            <w:shd w:val="clear" w:color="000000" w:fill="FFFFFF"/>
            <w:noWrap/>
            <w:vAlign w:val="center"/>
            <w:hideMark/>
          </w:tcPr>
          <w:p w14:paraId="469E7F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9900E2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653,820</w:t>
            </w:r>
          </w:p>
        </w:tc>
        <w:tc>
          <w:tcPr>
            <w:tcW w:w="855" w:type="dxa"/>
            <w:tcBorders>
              <w:top w:val="nil"/>
              <w:left w:val="nil"/>
              <w:bottom w:val="single" w:sz="4" w:space="0" w:color="auto"/>
              <w:right w:val="single" w:sz="4" w:space="0" w:color="auto"/>
            </w:tcBorders>
            <w:shd w:val="clear" w:color="000000" w:fill="FFFFFF"/>
            <w:noWrap/>
            <w:vAlign w:val="center"/>
            <w:hideMark/>
          </w:tcPr>
          <w:p w14:paraId="367CB8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69CE46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16,440,576</w:t>
            </w:r>
          </w:p>
        </w:tc>
        <w:tc>
          <w:tcPr>
            <w:tcW w:w="740" w:type="dxa"/>
            <w:tcBorders>
              <w:top w:val="nil"/>
              <w:left w:val="nil"/>
              <w:bottom w:val="single" w:sz="4" w:space="0" w:color="auto"/>
              <w:right w:val="single" w:sz="4" w:space="0" w:color="auto"/>
            </w:tcBorders>
            <w:shd w:val="clear" w:color="000000" w:fill="FFFFFF"/>
            <w:noWrap/>
            <w:vAlign w:val="center"/>
            <w:hideMark/>
          </w:tcPr>
          <w:p w14:paraId="2977E6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7E2EF8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566,010</w:t>
            </w:r>
          </w:p>
        </w:tc>
        <w:tc>
          <w:tcPr>
            <w:tcW w:w="882" w:type="dxa"/>
            <w:tcBorders>
              <w:top w:val="nil"/>
              <w:left w:val="nil"/>
              <w:bottom w:val="single" w:sz="4" w:space="0" w:color="auto"/>
              <w:right w:val="single" w:sz="4" w:space="0" w:color="auto"/>
            </w:tcBorders>
            <w:shd w:val="clear" w:color="000000" w:fill="FFFFFF"/>
            <w:noWrap/>
            <w:vAlign w:val="center"/>
            <w:hideMark/>
          </w:tcPr>
          <w:p w14:paraId="580C21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473D7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14,053,504</w:t>
            </w:r>
          </w:p>
        </w:tc>
        <w:tc>
          <w:tcPr>
            <w:tcW w:w="1045" w:type="dxa"/>
            <w:tcBorders>
              <w:top w:val="nil"/>
              <w:left w:val="nil"/>
              <w:bottom w:val="single" w:sz="4" w:space="0" w:color="auto"/>
              <w:right w:val="single" w:sz="4" w:space="0" w:color="auto"/>
            </w:tcBorders>
            <w:shd w:val="clear" w:color="000000" w:fill="FFFFFF"/>
            <w:noWrap/>
            <w:vAlign w:val="center"/>
            <w:hideMark/>
          </w:tcPr>
          <w:p w14:paraId="4B1420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890F42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699CE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584C8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2198A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8D83CF7"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291,775</w:t>
            </w:r>
          </w:p>
        </w:tc>
        <w:tc>
          <w:tcPr>
            <w:tcW w:w="854" w:type="dxa"/>
            <w:tcBorders>
              <w:top w:val="nil"/>
              <w:left w:val="nil"/>
              <w:bottom w:val="single" w:sz="4" w:space="0" w:color="auto"/>
              <w:right w:val="single" w:sz="4" w:space="0" w:color="auto"/>
            </w:tcBorders>
            <w:shd w:val="clear" w:color="000000" w:fill="FFFFFF"/>
            <w:noWrap/>
            <w:vAlign w:val="center"/>
            <w:hideMark/>
          </w:tcPr>
          <w:p w14:paraId="4AA7B9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F855C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7,298,174</w:t>
            </w:r>
          </w:p>
        </w:tc>
        <w:tc>
          <w:tcPr>
            <w:tcW w:w="623" w:type="dxa"/>
            <w:tcBorders>
              <w:top w:val="nil"/>
              <w:left w:val="nil"/>
              <w:bottom w:val="single" w:sz="4" w:space="0" w:color="auto"/>
              <w:right w:val="single" w:sz="4" w:space="0" w:color="auto"/>
            </w:tcBorders>
            <w:shd w:val="clear" w:color="000000" w:fill="FFFFFF"/>
            <w:noWrap/>
            <w:vAlign w:val="center"/>
            <w:hideMark/>
          </w:tcPr>
          <w:p w14:paraId="5A2D95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1C256A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335,215</w:t>
            </w:r>
          </w:p>
        </w:tc>
        <w:tc>
          <w:tcPr>
            <w:tcW w:w="855" w:type="dxa"/>
            <w:tcBorders>
              <w:top w:val="nil"/>
              <w:left w:val="nil"/>
              <w:bottom w:val="single" w:sz="4" w:space="0" w:color="auto"/>
              <w:right w:val="single" w:sz="4" w:space="0" w:color="auto"/>
            </w:tcBorders>
            <w:shd w:val="clear" w:color="000000" w:fill="FFFFFF"/>
            <w:noWrap/>
            <w:vAlign w:val="center"/>
            <w:hideMark/>
          </w:tcPr>
          <w:p w14:paraId="3782AE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B6CD4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8,488,263</w:t>
            </w:r>
          </w:p>
        </w:tc>
        <w:tc>
          <w:tcPr>
            <w:tcW w:w="740" w:type="dxa"/>
            <w:tcBorders>
              <w:top w:val="nil"/>
              <w:left w:val="nil"/>
              <w:bottom w:val="single" w:sz="4" w:space="0" w:color="auto"/>
              <w:right w:val="single" w:sz="4" w:space="0" w:color="auto"/>
            </w:tcBorders>
            <w:shd w:val="clear" w:color="000000" w:fill="FFFFFF"/>
            <w:noWrap/>
            <w:vAlign w:val="center"/>
            <w:hideMark/>
          </w:tcPr>
          <w:p w14:paraId="091718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6100501"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286,198</w:t>
            </w:r>
          </w:p>
        </w:tc>
        <w:tc>
          <w:tcPr>
            <w:tcW w:w="882" w:type="dxa"/>
            <w:tcBorders>
              <w:top w:val="nil"/>
              <w:left w:val="nil"/>
              <w:bottom w:val="single" w:sz="4" w:space="0" w:color="auto"/>
              <w:right w:val="single" w:sz="4" w:space="0" w:color="auto"/>
            </w:tcBorders>
            <w:shd w:val="clear" w:color="000000" w:fill="FFFFFF"/>
            <w:noWrap/>
            <w:vAlign w:val="center"/>
            <w:hideMark/>
          </w:tcPr>
          <w:p w14:paraId="3F9CCC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D51F2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7,144,258</w:t>
            </w:r>
          </w:p>
        </w:tc>
        <w:tc>
          <w:tcPr>
            <w:tcW w:w="1045" w:type="dxa"/>
            <w:tcBorders>
              <w:top w:val="nil"/>
              <w:left w:val="nil"/>
              <w:bottom w:val="single" w:sz="4" w:space="0" w:color="auto"/>
              <w:right w:val="single" w:sz="4" w:space="0" w:color="auto"/>
            </w:tcBorders>
            <w:shd w:val="clear" w:color="000000" w:fill="FFFFFF"/>
            <w:noWrap/>
            <w:vAlign w:val="center"/>
            <w:hideMark/>
          </w:tcPr>
          <w:p w14:paraId="4BC67C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93F258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BF468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4D23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3C4C0C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C83CF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318,566</w:t>
            </w:r>
          </w:p>
        </w:tc>
        <w:tc>
          <w:tcPr>
            <w:tcW w:w="854" w:type="dxa"/>
            <w:tcBorders>
              <w:top w:val="nil"/>
              <w:left w:val="nil"/>
              <w:bottom w:val="single" w:sz="4" w:space="0" w:color="auto"/>
              <w:right w:val="single" w:sz="4" w:space="0" w:color="auto"/>
            </w:tcBorders>
            <w:shd w:val="clear" w:color="000000" w:fill="FFFFFF"/>
            <w:noWrap/>
            <w:vAlign w:val="center"/>
            <w:hideMark/>
          </w:tcPr>
          <w:p w14:paraId="77BE97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5C657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7,238,894</w:t>
            </w:r>
          </w:p>
        </w:tc>
        <w:tc>
          <w:tcPr>
            <w:tcW w:w="623" w:type="dxa"/>
            <w:tcBorders>
              <w:top w:val="nil"/>
              <w:left w:val="nil"/>
              <w:bottom w:val="single" w:sz="4" w:space="0" w:color="auto"/>
              <w:right w:val="single" w:sz="4" w:space="0" w:color="auto"/>
            </w:tcBorders>
            <w:shd w:val="clear" w:color="000000" w:fill="FFFFFF"/>
            <w:noWrap/>
            <w:vAlign w:val="center"/>
            <w:hideMark/>
          </w:tcPr>
          <w:p w14:paraId="051883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8804F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335,613</w:t>
            </w:r>
          </w:p>
        </w:tc>
        <w:tc>
          <w:tcPr>
            <w:tcW w:w="855" w:type="dxa"/>
            <w:tcBorders>
              <w:top w:val="nil"/>
              <w:left w:val="nil"/>
              <w:bottom w:val="single" w:sz="4" w:space="0" w:color="auto"/>
              <w:right w:val="single" w:sz="4" w:space="0" w:color="auto"/>
            </w:tcBorders>
            <w:shd w:val="clear" w:color="000000" w:fill="FFFFFF"/>
            <w:noWrap/>
            <w:vAlign w:val="center"/>
            <w:hideMark/>
          </w:tcPr>
          <w:p w14:paraId="0D6673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E7663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7,813,485</w:t>
            </w:r>
          </w:p>
        </w:tc>
        <w:tc>
          <w:tcPr>
            <w:tcW w:w="740" w:type="dxa"/>
            <w:tcBorders>
              <w:top w:val="nil"/>
              <w:left w:val="nil"/>
              <w:bottom w:val="single" w:sz="4" w:space="0" w:color="auto"/>
              <w:right w:val="single" w:sz="4" w:space="0" w:color="auto"/>
            </w:tcBorders>
            <w:shd w:val="clear" w:color="000000" w:fill="FFFFFF"/>
            <w:noWrap/>
            <w:vAlign w:val="center"/>
            <w:hideMark/>
          </w:tcPr>
          <w:p w14:paraId="0ECF78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84E8E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310,692</w:t>
            </w:r>
          </w:p>
        </w:tc>
        <w:tc>
          <w:tcPr>
            <w:tcW w:w="882" w:type="dxa"/>
            <w:tcBorders>
              <w:top w:val="nil"/>
              <w:left w:val="nil"/>
              <w:bottom w:val="single" w:sz="4" w:space="0" w:color="auto"/>
              <w:right w:val="single" w:sz="4" w:space="0" w:color="auto"/>
            </w:tcBorders>
            <w:shd w:val="clear" w:color="000000" w:fill="FFFFFF"/>
            <w:noWrap/>
            <w:vAlign w:val="center"/>
            <w:hideMark/>
          </w:tcPr>
          <w:p w14:paraId="08BAFA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81CD0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7,067,211</w:t>
            </w:r>
          </w:p>
        </w:tc>
        <w:tc>
          <w:tcPr>
            <w:tcW w:w="1045" w:type="dxa"/>
            <w:tcBorders>
              <w:top w:val="nil"/>
              <w:left w:val="nil"/>
              <w:bottom w:val="single" w:sz="4" w:space="0" w:color="auto"/>
              <w:right w:val="single" w:sz="4" w:space="0" w:color="auto"/>
            </w:tcBorders>
            <w:shd w:val="clear" w:color="000000" w:fill="FFFFFF"/>
            <w:noWrap/>
            <w:vAlign w:val="center"/>
            <w:hideMark/>
          </w:tcPr>
          <w:p w14:paraId="547074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33A560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68FD2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69AFB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2BE9C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591E3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302,226</w:t>
            </w:r>
          </w:p>
        </w:tc>
        <w:tc>
          <w:tcPr>
            <w:tcW w:w="854" w:type="dxa"/>
            <w:tcBorders>
              <w:top w:val="nil"/>
              <w:left w:val="nil"/>
              <w:bottom w:val="single" w:sz="4" w:space="0" w:color="auto"/>
              <w:right w:val="single" w:sz="4" w:space="0" w:color="auto"/>
            </w:tcBorders>
            <w:shd w:val="clear" w:color="000000" w:fill="FFFFFF"/>
            <w:noWrap/>
            <w:vAlign w:val="center"/>
            <w:hideMark/>
          </w:tcPr>
          <w:p w14:paraId="38CBB1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796E62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6,798,069</w:t>
            </w:r>
          </w:p>
        </w:tc>
        <w:tc>
          <w:tcPr>
            <w:tcW w:w="623" w:type="dxa"/>
            <w:tcBorders>
              <w:top w:val="nil"/>
              <w:left w:val="nil"/>
              <w:bottom w:val="single" w:sz="4" w:space="0" w:color="auto"/>
              <w:right w:val="single" w:sz="4" w:space="0" w:color="auto"/>
            </w:tcBorders>
            <w:shd w:val="clear" w:color="000000" w:fill="FFFFFF"/>
            <w:noWrap/>
            <w:vAlign w:val="center"/>
            <w:hideMark/>
          </w:tcPr>
          <w:p w14:paraId="1AC29D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70E0C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356,881</w:t>
            </w:r>
          </w:p>
        </w:tc>
        <w:tc>
          <w:tcPr>
            <w:tcW w:w="855" w:type="dxa"/>
            <w:tcBorders>
              <w:top w:val="nil"/>
              <w:left w:val="nil"/>
              <w:bottom w:val="single" w:sz="4" w:space="0" w:color="auto"/>
              <w:right w:val="single" w:sz="4" w:space="0" w:color="auto"/>
            </w:tcBorders>
            <w:shd w:val="clear" w:color="000000" w:fill="FFFFFF"/>
            <w:noWrap/>
            <w:vAlign w:val="center"/>
            <w:hideMark/>
          </w:tcPr>
          <w:p w14:paraId="30F6DC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0971B6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8,212,755</w:t>
            </w:r>
          </w:p>
        </w:tc>
        <w:tc>
          <w:tcPr>
            <w:tcW w:w="740" w:type="dxa"/>
            <w:tcBorders>
              <w:top w:val="nil"/>
              <w:left w:val="nil"/>
              <w:bottom w:val="single" w:sz="4" w:space="0" w:color="auto"/>
              <w:right w:val="single" w:sz="4" w:space="0" w:color="auto"/>
            </w:tcBorders>
            <w:shd w:val="clear" w:color="000000" w:fill="FFFFFF"/>
            <w:noWrap/>
            <w:vAlign w:val="center"/>
            <w:hideMark/>
          </w:tcPr>
          <w:p w14:paraId="6A6C91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21F64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302,703</w:t>
            </w:r>
          </w:p>
        </w:tc>
        <w:tc>
          <w:tcPr>
            <w:tcW w:w="882" w:type="dxa"/>
            <w:tcBorders>
              <w:top w:val="nil"/>
              <w:left w:val="nil"/>
              <w:bottom w:val="single" w:sz="4" w:space="0" w:color="auto"/>
              <w:right w:val="single" w:sz="4" w:space="0" w:color="auto"/>
            </w:tcBorders>
            <w:shd w:val="clear" w:color="000000" w:fill="FFFFFF"/>
            <w:noWrap/>
            <w:vAlign w:val="center"/>
            <w:hideMark/>
          </w:tcPr>
          <w:p w14:paraId="696F1E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6EE34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6,838,690</w:t>
            </w:r>
          </w:p>
        </w:tc>
        <w:tc>
          <w:tcPr>
            <w:tcW w:w="1045" w:type="dxa"/>
            <w:tcBorders>
              <w:top w:val="nil"/>
              <w:left w:val="nil"/>
              <w:bottom w:val="single" w:sz="4" w:space="0" w:color="auto"/>
              <w:right w:val="single" w:sz="4" w:space="0" w:color="auto"/>
            </w:tcBorders>
            <w:shd w:val="clear" w:color="000000" w:fill="FFFFFF"/>
            <w:noWrap/>
            <w:vAlign w:val="center"/>
            <w:hideMark/>
          </w:tcPr>
          <w:p w14:paraId="5B60FF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16C0B1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003A6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70755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F6478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C71D08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155,469</w:t>
            </w:r>
          </w:p>
        </w:tc>
        <w:tc>
          <w:tcPr>
            <w:tcW w:w="854" w:type="dxa"/>
            <w:tcBorders>
              <w:top w:val="nil"/>
              <w:left w:val="nil"/>
              <w:bottom w:val="single" w:sz="4" w:space="0" w:color="auto"/>
              <w:right w:val="single" w:sz="4" w:space="0" w:color="auto"/>
            </w:tcBorders>
            <w:shd w:val="clear" w:color="000000" w:fill="FFFFFF"/>
            <w:noWrap/>
            <w:vAlign w:val="center"/>
            <w:hideMark/>
          </w:tcPr>
          <w:p w14:paraId="0558B4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70F02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3,524,012</w:t>
            </w:r>
          </w:p>
        </w:tc>
        <w:tc>
          <w:tcPr>
            <w:tcW w:w="623" w:type="dxa"/>
            <w:tcBorders>
              <w:top w:val="nil"/>
              <w:left w:val="nil"/>
              <w:bottom w:val="single" w:sz="4" w:space="0" w:color="auto"/>
              <w:right w:val="single" w:sz="4" w:space="0" w:color="auto"/>
            </w:tcBorders>
            <w:shd w:val="clear" w:color="000000" w:fill="FFFFFF"/>
            <w:noWrap/>
            <w:vAlign w:val="center"/>
            <w:hideMark/>
          </w:tcPr>
          <w:p w14:paraId="55EA81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06AA9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187,252</w:t>
            </w:r>
          </w:p>
        </w:tc>
        <w:tc>
          <w:tcPr>
            <w:tcW w:w="855" w:type="dxa"/>
            <w:tcBorders>
              <w:top w:val="nil"/>
              <w:left w:val="nil"/>
              <w:bottom w:val="single" w:sz="4" w:space="0" w:color="auto"/>
              <w:right w:val="single" w:sz="4" w:space="0" w:color="auto"/>
            </w:tcBorders>
            <w:shd w:val="clear" w:color="000000" w:fill="FFFFFF"/>
            <w:noWrap/>
            <w:vAlign w:val="center"/>
            <w:hideMark/>
          </w:tcPr>
          <w:p w14:paraId="36EF2A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02EE3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4,385,669</w:t>
            </w:r>
          </w:p>
        </w:tc>
        <w:tc>
          <w:tcPr>
            <w:tcW w:w="740" w:type="dxa"/>
            <w:tcBorders>
              <w:top w:val="nil"/>
              <w:left w:val="nil"/>
              <w:bottom w:val="single" w:sz="4" w:space="0" w:color="auto"/>
              <w:right w:val="single" w:sz="4" w:space="0" w:color="auto"/>
            </w:tcBorders>
            <w:shd w:val="clear" w:color="000000" w:fill="FFFFFF"/>
            <w:noWrap/>
            <w:vAlign w:val="center"/>
            <w:hideMark/>
          </w:tcPr>
          <w:p w14:paraId="71D912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FADD3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155,874</w:t>
            </w:r>
          </w:p>
        </w:tc>
        <w:tc>
          <w:tcPr>
            <w:tcW w:w="882" w:type="dxa"/>
            <w:tcBorders>
              <w:top w:val="nil"/>
              <w:left w:val="nil"/>
              <w:bottom w:val="single" w:sz="4" w:space="0" w:color="auto"/>
              <w:right w:val="single" w:sz="4" w:space="0" w:color="auto"/>
            </w:tcBorders>
            <w:shd w:val="clear" w:color="000000" w:fill="FFFFFF"/>
            <w:noWrap/>
            <w:vAlign w:val="center"/>
            <w:hideMark/>
          </w:tcPr>
          <w:p w14:paraId="3A9F99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7CCC5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3,573,645</w:t>
            </w:r>
          </w:p>
        </w:tc>
        <w:tc>
          <w:tcPr>
            <w:tcW w:w="1045" w:type="dxa"/>
            <w:tcBorders>
              <w:top w:val="nil"/>
              <w:left w:val="nil"/>
              <w:bottom w:val="single" w:sz="4" w:space="0" w:color="auto"/>
              <w:right w:val="single" w:sz="4" w:space="0" w:color="auto"/>
            </w:tcBorders>
            <w:shd w:val="clear" w:color="000000" w:fill="FFFFFF"/>
            <w:noWrap/>
            <w:vAlign w:val="center"/>
            <w:hideMark/>
          </w:tcPr>
          <w:p w14:paraId="25BA26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9AE4F8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8F2CF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0A2A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7F1808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7FCD3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285,056</w:t>
            </w:r>
          </w:p>
        </w:tc>
        <w:tc>
          <w:tcPr>
            <w:tcW w:w="854" w:type="dxa"/>
            <w:tcBorders>
              <w:top w:val="nil"/>
              <w:left w:val="nil"/>
              <w:bottom w:val="single" w:sz="4" w:space="0" w:color="auto"/>
              <w:right w:val="single" w:sz="4" w:space="0" w:color="auto"/>
            </w:tcBorders>
            <w:shd w:val="clear" w:color="000000" w:fill="FFFFFF"/>
            <w:noWrap/>
            <w:vAlign w:val="center"/>
            <w:hideMark/>
          </w:tcPr>
          <w:p w14:paraId="1942E7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6B5DC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7,734,779</w:t>
            </w:r>
          </w:p>
        </w:tc>
        <w:tc>
          <w:tcPr>
            <w:tcW w:w="623" w:type="dxa"/>
            <w:tcBorders>
              <w:top w:val="nil"/>
              <w:left w:val="nil"/>
              <w:bottom w:val="single" w:sz="4" w:space="0" w:color="auto"/>
              <w:right w:val="single" w:sz="4" w:space="0" w:color="auto"/>
            </w:tcBorders>
            <w:shd w:val="clear" w:color="000000" w:fill="FFFFFF"/>
            <w:noWrap/>
            <w:vAlign w:val="center"/>
            <w:hideMark/>
          </w:tcPr>
          <w:p w14:paraId="79D05D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9AB11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269,581</w:t>
            </w:r>
          </w:p>
        </w:tc>
        <w:tc>
          <w:tcPr>
            <w:tcW w:w="855" w:type="dxa"/>
            <w:tcBorders>
              <w:top w:val="nil"/>
              <w:left w:val="nil"/>
              <w:bottom w:val="single" w:sz="4" w:space="0" w:color="auto"/>
              <w:right w:val="single" w:sz="4" w:space="0" w:color="auto"/>
            </w:tcBorders>
            <w:shd w:val="clear" w:color="000000" w:fill="FFFFFF"/>
            <w:noWrap/>
            <w:vAlign w:val="center"/>
            <w:hideMark/>
          </w:tcPr>
          <w:p w14:paraId="42DCBC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9325B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7,285,918</w:t>
            </w:r>
          </w:p>
        </w:tc>
        <w:tc>
          <w:tcPr>
            <w:tcW w:w="740" w:type="dxa"/>
            <w:tcBorders>
              <w:top w:val="nil"/>
              <w:left w:val="nil"/>
              <w:bottom w:val="single" w:sz="4" w:space="0" w:color="auto"/>
              <w:right w:val="single" w:sz="4" w:space="0" w:color="auto"/>
            </w:tcBorders>
            <w:shd w:val="clear" w:color="000000" w:fill="FFFFFF"/>
            <w:noWrap/>
            <w:vAlign w:val="center"/>
            <w:hideMark/>
          </w:tcPr>
          <w:p w14:paraId="0BF5CD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8.81</w:t>
            </w:r>
          </w:p>
        </w:tc>
        <w:tc>
          <w:tcPr>
            <w:tcW w:w="718" w:type="dxa"/>
            <w:tcBorders>
              <w:top w:val="nil"/>
              <w:left w:val="nil"/>
              <w:bottom w:val="single" w:sz="4" w:space="0" w:color="auto"/>
              <w:right w:val="single" w:sz="4" w:space="0" w:color="auto"/>
            </w:tcBorders>
            <w:shd w:val="clear" w:color="000000" w:fill="FFFFFF"/>
            <w:noWrap/>
            <w:vAlign w:val="center"/>
            <w:hideMark/>
          </w:tcPr>
          <w:p w14:paraId="6FDF6C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262,081</w:t>
            </w:r>
          </w:p>
        </w:tc>
        <w:tc>
          <w:tcPr>
            <w:tcW w:w="882" w:type="dxa"/>
            <w:tcBorders>
              <w:top w:val="nil"/>
              <w:left w:val="nil"/>
              <w:bottom w:val="single" w:sz="4" w:space="0" w:color="auto"/>
              <w:right w:val="single" w:sz="4" w:space="0" w:color="auto"/>
            </w:tcBorders>
            <w:shd w:val="clear" w:color="000000" w:fill="FFFFFF"/>
            <w:noWrap/>
            <w:vAlign w:val="center"/>
            <w:hideMark/>
          </w:tcPr>
          <w:p w14:paraId="695C60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7F51B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7,035,519</w:t>
            </w:r>
          </w:p>
        </w:tc>
        <w:tc>
          <w:tcPr>
            <w:tcW w:w="1045" w:type="dxa"/>
            <w:tcBorders>
              <w:top w:val="nil"/>
              <w:left w:val="nil"/>
              <w:bottom w:val="single" w:sz="4" w:space="0" w:color="auto"/>
              <w:right w:val="single" w:sz="4" w:space="0" w:color="auto"/>
            </w:tcBorders>
            <w:shd w:val="clear" w:color="000000" w:fill="FFFFFF"/>
            <w:noWrap/>
            <w:vAlign w:val="center"/>
            <w:hideMark/>
          </w:tcPr>
          <w:p w14:paraId="313CEF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7DF1E3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F2EC5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05C25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A047F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099411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271,283</w:t>
            </w:r>
          </w:p>
        </w:tc>
        <w:tc>
          <w:tcPr>
            <w:tcW w:w="854" w:type="dxa"/>
            <w:tcBorders>
              <w:top w:val="nil"/>
              <w:left w:val="nil"/>
              <w:bottom w:val="single" w:sz="4" w:space="0" w:color="auto"/>
              <w:right w:val="single" w:sz="4" w:space="0" w:color="auto"/>
            </w:tcBorders>
            <w:shd w:val="clear" w:color="000000" w:fill="FFFFFF"/>
            <w:noWrap/>
            <w:vAlign w:val="center"/>
            <w:hideMark/>
          </w:tcPr>
          <w:p w14:paraId="106696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A9AF7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7,506,443</w:t>
            </w:r>
          </w:p>
        </w:tc>
        <w:tc>
          <w:tcPr>
            <w:tcW w:w="623" w:type="dxa"/>
            <w:tcBorders>
              <w:top w:val="nil"/>
              <w:left w:val="nil"/>
              <w:bottom w:val="single" w:sz="4" w:space="0" w:color="auto"/>
              <w:right w:val="single" w:sz="4" w:space="0" w:color="auto"/>
            </w:tcBorders>
            <w:shd w:val="clear" w:color="000000" w:fill="FFFFFF"/>
            <w:noWrap/>
            <w:vAlign w:val="center"/>
            <w:hideMark/>
          </w:tcPr>
          <w:p w14:paraId="361ECF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70C14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296,939</w:t>
            </w:r>
          </w:p>
        </w:tc>
        <w:tc>
          <w:tcPr>
            <w:tcW w:w="855" w:type="dxa"/>
            <w:tcBorders>
              <w:top w:val="nil"/>
              <w:left w:val="nil"/>
              <w:bottom w:val="single" w:sz="4" w:space="0" w:color="auto"/>
              <w:right w:val="single" w:sz="4" w:space="0" w:color="auto"/>
            </w:tcBorders>
            <w:shd w:val="clear" w:color="000000" w:fill="FFFFFF"/>
            <w:noWrap/>
            <w:vAlign w:val="center"/>
            <w:hideMark/>
          </w:tcPr>
          <w:p w14:paraId="057D73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8BF80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8,227,821</w:t>
            </w:r>
          </w:p>
        </w:tc>
        <w:tc>
          <w:tcPr>
            <w:tcW w:w="740" w:type="dxa"/>
            <w:tcBorders>
              <w:top w:val="nil"/>
              <w:left w:val="nil"/>
              <w:bottom w:val="single" w:sz="4" w:space="0" w:color="auto"/>
              <w:right w:val="single" w:sz="4" w:space="0" w:color="auto"/>
            </w:tcBorders>
            <w:shd w:val="clear" w:color="000000" w:fill="FFFFFF"/>
            <w:noWrap/>
            <w:vAlign w:val="center"/>
            <w:hideMark/>
          </w:tcPr>
          <w:p w14:paraId="25A698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326A4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263,307</w:t>
            </w:r>
          </w:p>
        </w:tc>
        <w:tc>
          <w:tcPr>
            <w:tcW w:w="882" w:type="dxa"/>
            <w:tcBorders>
              <w:top w:val="nil"/>
              <w:left w:val="nil"/>
              <w:bottom w:val="single" w:sz="4" w:space="0" w:color="auto"/>
              <w:right w:val="single" w:sz="4" w:space="0" w:color="auto"/>
            </w:tcBorders>
            <w:shd w:val="clear" w:color="000000" w:fill="FFFFFF"/>
            <w:noWrap/>
            <w:vAlign w:val="center"/>
            <w:hideMark/>
          </w:tcPr>
          <w:p w14:paraId="7C7F72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05183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7,214,814</w:t>
            </w:r>
          </w:p>
        </w:tc>
        <w:tc>
          <w:tcPr>
            <w:tcW w:w="1045" w:type="dxa"/>
            <w:tcBorders>
              <w:top w:val="nil"/>
              <w:left w:val="nil"/>
              <w:bottom w:val="single" w:sz="4" w:space="0" w:color="auto"/>
              <w:right w:val="single" w:sz="4" w:space="0" w:color="auto"/>
            </w:tcBorders>
            <w:shd w:val="clear" w:color="000000" w:fill="FFFFFF"/>
            <w:noWrap/>
            <w:vAlign w:val="center"/>
            <w:hideMark/>
          </w:tcPr>
          <w:p w14:paraId="122F33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8BBDB3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596E2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883A1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CE224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A98D7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136,306</w:t>
            </w:r>
          </w:p>
        </w:tc>
        <w:tc>
          <w:tcPr>
            <w:tcW w:w="854" w:type="dxa"/>
            <w:tcBorders>
              <w:top w:val="nil"/>
              <w:left w:val="nil"/>
              <w:bottom w:val="single" w:sz="4" w:space="0" w:color="auto"/>
              <w:right w:val="single" w:sz="4" w:space="0" w:color="auto"/>
            </w:tcBorders>
            <w:shd w:val="clear" w:color="000000" w:fill="FFFFFF"/>
            <w:noWrap/>
            <w:vAlign w:val="center"/>
            <w:hideMark/>
          </w:tcPr>
          <w:p w14:paraId="648879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2AC8C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3,774,162</w:t>
            </w:r>
          </w:p>
        </w:tc>
        <w:tc>
          <w:tcPr>
            <w:tcW w:w="623" w:type="dxa"/>
            <w:tcBorders>
              <w:top w:val="nil"/>
              <w:left w:val="nil"/>
              <w:bottom w:val="single" w:sz="4" w:space="0" w:color="auto"/>
              <w:right w:val="single" w:sz="4" w:space="0" w:color="auto"/>
            </w:tcBorders>
            <w:shd w:val="clear" w:color="000000" w:fill="FFFFFF"/>
            <w:noWrap/>
            <w:vAlign w:val="center"/>
            <w:hideMark/>
          </w:tcPr>
          <w:p w14:paraId="108EB9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E7C47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147,963</w:t>
            </w:r>
          </w:p>
        </w:tc>
        <w:tc>
          <w:tcPr>
            <w:tcW w:w="855" w:type="dxa"/>
            <w:tcBorders>
              <w:top w:val="nil"/>
              <w:left w:val="nil"/>
              <w:bottom w:val="single" w:sz="4" w:space="0" w:color="auto"/>
              <w:right w:val="single" w:sz="4" w:space="0" w:color="auto"/>
            </w:tcBorders>
            <w:shd w:val="clear" w:color="000000" w:fill="FFFFFF"/>
            <w:noWrap/>
            <w:vAlign w:val="center"/>
            <w:hideMark/>
          </w:tcPr>
          <w:p w14:paraId="10CEA2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6243D0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4,102,594</w:t>
            </w:r>
          </w:p>
        </w:tc>
        <w:tc>
          <w:tcPr>
            <w:tcW w:w="740" w:type="dxa"/>
            <w:tcBorders>
              <w:top w:val="nil"/>
              <w:left w:val="nil"/>
              <w:bottom w:val="single" w:sz="4" w:space="0" w:color="auto"/>
              <w:right w:val="single" w:sz="4" w:space="0" w:color="auto"/>
            </w:tcBorders>
            <w:shd w:val="clear" w:color="000000" w:fill="FFFFFF"/>
            <w:noWrap/>
            <w:vAlign w:val="center"/>
            <w:hideMark/>
          </w:tcPr>
          <w:p w14:paraId="5E93DF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9FB7B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130,324</w:t>
            </w:r>
          </w:p>
        </w:tc>
        <w:tc>
          <w:tcPr>
            <w:tcW w:w="882" w:type="dxa"/>
            <w:tcBorders>
              <w:top w:val="nil"/>
              <w:left w:val="nil"/>
              <w:bottom w:val="single" w:sz="4" w:space="0" w:color="auto"/>
              <w:right w:val="single" w:sz="4" w:space="0" w:color="auto"/>
            </w:tcBorders>
            <w:shd w:val="clear" w:color="000000" w:fill="FFFFFF"/>
            <w:noWrap/>
            <w:vAlign w:val="center"/>
            <w:hideMark/>
          </w:tcPr>
          <w:p w14:paraId="6FCB2F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0E5D6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3,570,613</w:t>
            </w:r>
          </w:p>
        </w:tc>
        <w:tc>
          <w:tcPr>
            <w:tcW w:w="1045" w:type="dxa"/>
            <w:tcBorders>
              <w:top w:val="nil"/>
              <w:left w:val="nil"/>
              <w:bottom w:val="single" w:sz="4" w:space="0" w:color="auto"/>
              <w:right w:val="single" w:sz="4" w:space="0" w:color="auto"/>
            </w:tcBorders>
            <w:shd w:val="clear" w:color="000000" w:fill="FFFFFF"/>
            <w:noWrap/>
            <w:vAlign w:val="center"/>
            <w:hideMark/>
          </w:tcPr>
          <w:p w14:paraId="6C7467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290864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9D540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1148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7325B7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8F6F8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11,444</w:t>
            </w:r>
          </w:p>
        </w:tc>
        <w:tc>
          <w:tcPr>
            <w:tcW w:w="854" w:type="dxa"/>
            <w:tcBorders>
              <w:top w:val="nil"/>
              <w:left w:val="nil"/>
              <w:bottom w:val="single" w:sz="4" w:space="0" w:color="auto"/>
              <w:right w:val="single" w:sz="4" w:space="0" w:color="auto"/>
            </w:tcBorders>
            <w:shd w:val="clear" w:color="000000" w:fill="FFFFFF"/>
            <w:noWrap/>
            <w:vAlign w:val="center"/>
            <w:hideMark/>
          </w:tcPr>
          <w:p w14:paraId="05A11D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0F015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87,578</w:t>
            </w:r>
          </w:p>
        </w:tc>
        <w:tc>
          <w:tcPr>
            <w:tcW w:w="623" w:type="dxa"/>
            <w:tcBorders>
              <w:top w:val="nil"/>
              <w:left w:val="nil"/>
              <w:bottom w:val="single" w:sz="4" w:space="0" w:color="auto"/>
              <w:right w:val="single" w:sz="4" w:space="0" w:color="auto"/>
            </w:tcBorders>
            <w:shd w:val="clear" w:color="000000" w:fill="FFFFFF"/>
            <w:noWrap/>
            <w:vAlign w:val="center"/>
            <w:hideMark/>
          </w:tcPr>
          <w:p w14:paraId="65721F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62D9B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7EBFE3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276CE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32,828</w:t>
            </w:r>
          </w:p>
        </w:tc>
        <w:tc>
          <w:tcPr>
            <w:tcW w:w="740" w:type="dxa"/>
            <w:tcBorders>
              <w:top w:val="nil"/>
              <w:left w:val="nil"/>
              <w:bottom w:val="single" w:sz="4" w:space="0" w:color="auto"/>
              <w:right w:val="single" w:sz="4" w:space="0" w:color="auto"/>
            </w:tcBorders>
            <w:shd w:val="clear" w:color="000000" w:fill="FFFFFF"/>
            <w:noWrap/>
            <w:vAlign w:val="center"/>
            <w:hideMark/>
          </w:tcPr>
          <w:p w14:paraId="42EA6C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6599B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26AC4A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AA4FA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230,388</w:t>
            </w:r>
          </w:p>
        </w:tc>
        <w:tc>
          <w:tcPr>
            <w:tcW w:w="1045" w:type="dxa"/>
            <w:tcBorders>
              <w:top w:val="nil"/>
              <w:left w:val="nil"/>
              <w:bottom w:val="single" w:sz="4" w:space="0" w:color="auto"/>
              <w:right w:val="single" w:sz="4" w:space="0" w:color="auto"/>
            </w:tcBorders>
            <w:shd w:val="clear" w:color="000000" w:fill="FFFFFF"/>
            <w:noWrap/>
            <w:vAlign w:val="center"/>
            <w:hideMark/>
          </w:tcPr>
          <w:p w14:paraId="662FCB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08FBCC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D7B60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134D5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30275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05DA0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86,170</w:t>
            </w:r>
          </w:p>
        </w:tc>
        <w:tc>
          <w:tcPr>
            <w:tcW w:w="854" w:type="dxa"/>
            <w:tcBorders>
              <w:top w:val="nil"/>
              <w:left w:val="nil"/>
              <w:bottom w:val="single" w:sz="4" w:space="0" w:color="auto"/>
              <w:right w:val="single" w:sz="4" w:space="0" w:color="auto"/>
            </w:tcBorders>
            <w:shd w:val="clear" w:color="000000" w:fill="FFFFFF"/>
            <w:noWrap/>
            <w:vAlign w:val="center"/>
            <w:hideMark/>
          </w:tcPr>
          <w:p w14:paraId="62DA3A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8F4CD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2,248,385</w:t>
            </w:r>
          </w:p>
        </w:tc>
        <w:tc>
          <w:tcPr>
            <w:tcW w:w="623" w:type="dxa"/>
            <w:tcBorders>
              <w:top w:val="nil"/>
              <w:left w:val="nil"/>
              <w:bottom w:val="single" w:sz="4" w:space="0" w:color="auto"/>
              <w:right w:val="single" w:sz="4" w:space="0" w:color="auto"/>
            </w:tcBorders>
            <w:shd w:val="clear" w:color="000000" w:fill="FFFFFF"/>
            <w:noWrap/>
            <w:vAlign w:val="center"/>
            <w:hideMark/>
          </w:tcPr>
          <w:p w14:paraId="12739C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83ED2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63,982</w:t>
            </w:r>
          </w:p>
        </w:tc>
        <w:tc>
          <w:tcPr>
            <w:tcW w:w="855" w:type="dxa"/>
            <w:tcBorders>
              <w:top w:val="nil"/>
              <w:left w:val="nil"/>
              <w:bottom w:val="single" w:sz="4" w:space="0" w:color="auto"/>
              <w:right w:val="single" w:sz="4" w:space="0" w:color="auto"/>
            </w:tcBorders>
            <w:shd w:val="clear" w:color="000000" w:fill="FFFFFF"/>
            <w:noWrap/>
            <w:vAlign w:val="center"/>
            <w:hideMark/>
          </w:tcPr>
          <w:p w14:paraId="1D1DF3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123C8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1,665,851</w:t>
            </w:r>
          </w:p>
        </w:tc>
        <w:tc>
          <w:tcPr>
            <w:tcW w:w="740" w:type="dxa"/>
            <w:tcBorders>
              <w:top w:val="nil"/>
              <w:left w:val="nil"/>
              <w:bottom w:val="single" w:sz="4" w:space="0" w:color="auto"/>
              <w:right w:val="single" w:sz="4" w:space="0" w:color="auto"/>
            </w:tcBorders>
            <w:shd w:val="clear" w:color="000000" w:fill="FFFFFF"/>
            <w:noWrap/>
            <w:vAlign w:val="center"/>
            <w:hideMark/>
          </w:tcPr>
          <w:p w14:paraId="74C81F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C7979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79,622</w:t>
            </w:r>
          </w:p>
        </w:tc>
        <w:tc>
          <w:tcPr>
            <w:tcW w:w="882" w:type="dxa"/>
            <w:tcBorders>
              <w:top w:val="nil"/>
              <w:left w:val="nil"/>
              <w:bottom w:val="single" w:sz="4" w:space="0" w:color="auto"/>
              <w:right w:val="single" w:sz="4" w:space="0" w:color="auto"/>
            </w:tcBorders>
            <w:shd w:val="clear" w:color="000000" w:fill="FFFFFF"/>
            <w:noWrap/>
            <w:vAlign w:val="center"/>
            <w:hideMark/>
          </w:tcPr>
          <w:p w14:paraId="1B3ED4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45A7C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2,062,986</w:t>
            </w:r>
          </w:p>
        </w:tc>
        <w:tc>
          <w:tcPr>
            <w:tcW w:w="1045" w:type="dxa"/>
            <w:tcBorders>
              <w:top w:val="nil"/>
              <w:left w:val="nil"/>
              <w:bottom w:val="single" w:sz="4" w:space="0" w:color="auto"/>
              <w:right w:val="single" w:sz="4" w:space="0" w:color="auto"/>
            </w:tcBorders>
            <w:shd w:val="clear" w:color="000000" w:fill="FFFFFF"/>
            <w:noWrap/>
            <w:vAlign w:val="center"/>
            <w:hideMark/>
          </w:tcPr>
          <w:p w14:paraId="2E6DAC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10.82</w:t>
            </w:r>
          </w:p>
        </w:tc>
      </w:tr>
      <w:tr w:rsidR="00177999" w:rsidRPr="00057D13" w14:paraId="04D1443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54A70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3BDF2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91A1E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A0D89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57,854</w:t>
            </w:r>
          </w:p>
        </w:tc>
        <w:tc>
          <w:tcPr>
            <w:tcW w:w="854" w:type="dxa"/>
            <w:tcBorders>
              <w:top w:val="nil"/>
              <w:left w:val="nil"/>
              <w:bottom w:val="single" w:sz="4" w:space="0" w:color="auto"/>
              <w:right w:val="single" w:sz="4" w:space="0" w:color="auto"/>
            </w:tcBorders>
            <w:shd w:val="clear" w:color="000000" w:fill="FFFFFF"/>
            <w:noWrap/>
            <w:vAlign w:val="center"/>
            <w:hideMark/>
          </w:tcPr>
          <w:p w14:paraId="54542D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C60BE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1,536,756</w:t>
            </w:r>
          </w:p>
        </w:tc>
        <w:tc>
          <w:tcPr>
            <w:tcW w:w="623" w:type="dxa"/>
            <w:tcBorders>
              <w:top w:val="nil"/>
              <w:left w:val="nil"/>
              <w:bottom w:val="single" w:sz="4" w:space="0" w:color="auto"/>
              <w:right w:val="single" w:sz="4" w:space="0" w:color="auto"/>
            </w:tcBorders>
            <w:shd w:val="clear" w:color="000000" w:fill="FFFFFF"/>
            <w:noWrap/>
            <w:vAlign w:val="center"/>
            <w:hideMark/>
          </w:tcPr>
          <w:p w14:paraId="6678AB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E4CFC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43,144</w:t>
            </w:r>
          </w:p>
        </w:tc>
        <w:tc>
          <w:tcPr>
            <w:tcW w:w="855" w:type="dxa"/>
            <w:tcBorders>
              <w:top w:val="nil"/>
              <w:left w:val="nil"/>
              <w:bottom w:val="single" w:sz="4" w:space="0" w:color="auto"/>
              <w:right w:val="single" w:sz="4" w:space="0" w:color="auto"/>
            </w:tcBorders>
            <w:shd w:val="clear" w:color="000000" w:fill="FFFFFF"/>
            <w:noWrap/>
            <w:vAlign w:val="center"/>
            <w:hideMark/>
          </w:tcPr>
          <w:p w14:paraId="2A7ACC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410FF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1,139,733</w:t>
            </w:r>
          </w:p>
        </w:tc>
        <w:tc>
          <w:tcPr>
            <w:tcW w:w="740" w:type="dxa"/>
            <w:tcBorders>
              <w:top w:val="nil"/>
              <w:left w:val="nil"/>
              <w:bottom w:val="single" w:sz="4" w:space="0" w:color="auto"/>
              <w:right w:val="single" w:sz="4" w:space="0" w:color="auto"/>
            </w:tcBorders>
            <w:shd w:val="clear" w:color="000000" w:fill="FFFFFF"/>
            <w:noWrap/>
            <w:vAlign w:val="center"/>
            <w:hideMark/>
          </w:tcPr>
          <w:p w14:paraId="5B14FF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F9C5A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50,630</w:t>
            </w:r>
          </w:p>
        </w:tc>
        <w:tc>
          <w:tcPr>
            <w:tcW w:w="882" w:type="dxa"/>
            <w:tcBorders>
              <w:top w:val="nil"/>
              <w:left w:val="nil"/>
              <w:bottom w:val="single" w:sz="4" w:space="0" w:color="auto"/>
              <w:right w:val="single" w:sz="4" w:space="0" w:color="auto"/>
            </w:tcBorders>
            <w:shd w:val="clear" w:color="000000" w:fill="FFFFFF"/>
            <w:noWrap/>
            <w:vAlign w:val="center"/>
            <w:hideMark/>
          </w:tcPr>
          <w:p w14:paraId="3C4212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DC88A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1,317,447</w:t>
            </w:r>
          </w:p>
        </w:tc>
        <w:tc>
          <w:tcPr>
            <w:tcW w:w="1045" w:type="dxa"/>
            <w:tcBorders>
              <w:top w:val="nil"/>
              <w:left w:val="nil"/>
              <w:bottom w:val="single" w:sz="4" w:space="0" w:color="auto"/>
              <w:right w:val="single" w:sz="4" w:space="0" w:color="auto"/>
            </w:tcBorders>
            <w:shd w:val="clear" w:color="000000" w:fill="FFFFFF"/>
            <w:noWrap/>
            <w:vAlign w:val="center"/>
            <w:hideMark/>
          </w:tcPr>
          <w:p w14:paraId="216D9A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ADE12D0"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31C6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Encephalitis / myelitis / encephalomyelitis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94EC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3F3572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06F13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675,862</w:t>
            </w:r>
          </w:p>
        </w:tc>
        <w:tc>
          <w:tcPr>
            <w:tcW w:w="854" w:type="dxa"/>
            <w:tcBorders>
              <w:top w:val="nil"/>
              <w:left w:val="nil"/>
              <w:bottom w:val="single" w:sz="4" w:space="0" w:color="auto"/>
              <w:right w:val="single" w:sz="4" w:space="0" w:color="auto"/>
            </w:tcBorders>
            <w:shd w:val="clear" w:color="000000" w:fill="FFFFFF"/>
            <w:noWrap/>
            <w:vAlign w:val="center"/>
            <w:hideMark/>
          </w:tcPr>
          <w:p w14:paraId="40403E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BA9BB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21,498,513</w:t>
            </w:r>
          </w:p>
        </w:tc>
        <w:tc>
          <w:tcPr>
            <w:tcW w:w="623" w:type="dxa"/>
            <w:tcBorders>
              <w:top w:val="nil"/>
              <w:left w:val="nil"/>
              <w:bottom w:val="single" w:sz="4" w:space="0" w:color="auto"/>
              <w:right w:val="single" w:sz="4" w:space="0" w:color="auto"/>
            </w:tcBorders>
            <w:shd w:val="clear" w:color="000000" w:fill="FFFFFF"/>
            <w:noWrap/>
            <w:vAlign w:val="center"/>
            <w:hideMark/>
          </w:tcPr>
          <w:p w14:paraId="399BE7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0.83</w:t>
            </w:r>
          </w:p>
        </w:tc>
        <w:tc>
          <w:tcPr>
            <w:tcW w:w="811" w:type="dxa"/>
            <w:tcBorders>
              <w:top w:val="nil"/>
              <w:left w:val="nil"/>
              <w:bottom w:val="single" w:sz="4" w:space="0" w:color="auto"/>
              <w:right w:val="single" w:sz="4" w:space="0" w:color="auto"/>
            </w:tcBorders>
            <w:shd w:val="clear" w:color="000000" w:fill="FFFFFF"/>
            <w:noWrap/>
            <w:vAlign w:val="center"/>
            <w:hideMark/>
          </w:tcPr>
          <w:p w14:paraId="2D1BD9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673,262</w:t>
            </w:r>
          </w:p>
        </w:tc>
        <w:tc>
          <w:tcPr>
            <w:tcW w:w="855" w:type="dxa"/>
            <w:tcBorders>
              <w:top w:val="nil"/>
              <w:left w:val="nil"/>
              <w:bottom w:val="single" w:sz="4" w:space="0" w:color="auto"/>
              <w:right w:val="single" w:sz="4" w:space="0" w:color="auto"/>
            </w:tcBorders>
            <w:shd w:val="clear" w:color="000000" w:fill="FFFFFF"/>
            <w:noWrap/>
            <w:vAlign w:val="center"/>
            <w:hideMark/>
          </w:tcPr>
          <w:p w14:paraId="20736B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06DF89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21,766,827</w:t>
            </w:r>
          </w:p>
        </w:tc>
        <w:tc>
          <w:tcPr>
            <w:tcW w:w="740" w:type="dxa"/>
            <w:tcBorders>
              <w:top w:val="nil"/>
              <w:left w:val="nil"/>
              <w:bottom w:val="single" w:sz="4" w:space="0" w:color="auto"/>
              <w:right w:val="single" w:sz="4" w:space="0" w:color="auto"/>
            </w:tcBorders>
            <w:shd w:val="clear" w:color="000000" w:fill="FFFFFF"/>
            <w:noWrap/>
            <w:vAlign w:val="center"/>
            <w:hideMark/>
          </w:tcPr>
          <w:p w14:paraId="48AAC5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A77C1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636,003</w:t>
            </w:r>
          </w:p>
        </w:tc>
        <w:tc>
          <w:tcPr>
            <w:tcW w:w="882" w:type="dxa"/>
            <w:tcBorders>
              <w:top w:val="nil"/>
              <w:left w:val="nil"/>
              <w:bottom w:val="single" w:sz="4" w:space="0" w:color="auto"/>
              <w:right w:val="single" w:sz="4" w:space="0" w:color="auto"/>
            </w:tcBorders>
            <w:shd w:val="clear" w:color="000000" w:fill="FFFFFF"/>
            <w:noWrap/>
            <w:vAlign w:val="center"/>
            <w:hideMark/>
          </w:tcPr>
          <w:p w14:paraId="3F370E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E2132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20,177,981</w:t>
            </w:r>
          </w:p>
        </w:tc>
        <w:tc>
          <w:tcPr>
            <w:tcW w:w="1045" w:type="dxa"/>
            <w:tcBorders>
              <w:top w:val="nil"/>
              <w:left w:val="nil"/>
              <w:bottom w:val="single" w:sz="4" w:space="0" w:color="auto"/>
              <w:right w:val="single" w:sz="4" w:space="0" w:color="auto"/>
            </w:tcBorders>
            <w:shd w:val="clear" w:color="000000" w:fill="FFFFFF"/>
            <w:noWrap/>
            <w:vAlign w:val="center"/>
            <w:hideMark/>
          </w:tcPr>
          <w:p w14:paraId="1A90AA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488E22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48476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8C0FF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F0972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68700CF6"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623,934</w:t>
            </w:r>
          </w:p>
        </w:tc>
        <w:tc>
          <w:tcPr>
            <w:tcW w:w="854" w:type="dxa"/>
            <w:tcBorders>
              <w:top w:val="nil"/>
              <w:left w:val="nil"/>
              <w:bottom w:val="single" w:sz="4" w:space="0" w:color="auto"/>
              <w:right w:val="single" w:sz="4" w:space="0" w:color="auto"/>
            </w:tcBorders>
            <w:shd w:val="clear" w:color="000000" w:fill="FFFFFF"/>
            <w:noWrap/>
            <w:vAlign w:val="center"/>
            <w:hideMark/>
          </w:tcPr>
          <w:p w14:paraId="2DAE16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AADA3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20,201,159</w:t>
            </w:r>
          </w:p>
        </w:tc>
        <w:tc>
          <w:tcPr>
            <w:tcW w:w="623" w:type="dxa"/>
            <w:tcBorders>
              <w:top w:val="nil"/>
              <w:left w:val="nil"/>
              <w:bottom w:val="single" w:sz="4" w:space="0" w:color="auto"/>
              <w:right w:val="single" w:sz="4" w:space="0" w:color="auto"/>
            </w:tcBorders>
            <w:shd w:val="clear" w:color="000000" w:fill="FFFFFF"/>
            <w:noWrap/>
            <w:vAlign w:val="center"/>
            <w:hideMark/>
          </w:tcPr>
          <w:p w14:paraId="426E9D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1.65</w:t>
            </w:r>
          </w:p>
        </w:tc>
        <w:tc>
          <w:tcPr>
            <w:tcW w:w="811" w:type="dxa"/>
            <w:tcBorders>
              <w:top w:val="nil"/>
              <w:left w:val="nil"/>
              <w:bottom w:val="single" w:sz="4" w:space="0" w:color="auto"/>
              <w:right w:val="single" w:sz="4" w:space="0" w:color="auto"/>
            </w:tcBorders>
            <w:shd w:val="clear" w:color="000000" w:fill="FFFFFF"/>
            <w:noWrap/>
            <w:vAlign w:val="center"/>
            <w:hideMark/>
          </w:tcPr>
          <w:p w14:paraId="28930D5F"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709,494</w:t>
            </w:r>
          </w:p>
        </w:tc>
        <w:tc>
          <w:tcPr>
            <w:tcW w:w="855" w:type="dxa"/>
            <w:tcBorders>
              <w:top w:val="nil"/>
              <w:left w:val="nil"/>
              <w:bottom w:val="single" w:sz="4" w:space="0" w:color="auto"/>
              <w:right w:val="single" w:sz="4" w:space="0" w:color="auto"/>
            </w:tcBorders>
            <w:shd w:val="clear" w:color="000000" w:fill="FFFFFF"/>
            <w:noWrap/>
            <w:vAlign w:val="center"/>
            <w:hideMark/>
          </w:tcPr>
          <w:p w14:paraId="2C74B1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3D134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23,353,158</w:t>
            </w:r>
          </w:p>
        </w:tc>
        <w:tc>
          <w:tcPr>
            <w:tcW w:w="740" w:type="dxa"/>
            <w:tcBorders>
              <w:top w:val="nil"/>
              <w:left w:val="nil"/>
              <w:bottom w:val="single" w:sz="4" w:space="0" w:color="auto"/>
              <w:right w:val="single" w:sz="4" w:space="0" w:color="auto"/>
            </w:tcBorders>
            <w:shd w:val="clear" w:color="000000" w:fill="FFFFFF"/>
            <w:noWrap/>
            <w:vAlign w:val="center"/>
            <w:hideMark/>
          </w:tcPr>
          <w:p w14:paraId="5BDAFF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w:t>
            </w:r>
          </w:p>
        </w:tc>
        <w:tc>
          <w:tcPr>
            <w:tcW w:w="718" w:type="dxa"/>
            <w:tcBorders>
              <w:top w:val="nil"/>
              <w:left w:val="nil"/>
              <w:bottom w:val="single" w:sz="4" w:space="0" w:color="auto"/>
              <w:right w:val="single" w:sz="4" w:space="0" w:color="auto"/>
            </w:tcBorders>
            <w:shd w:val="clear" w:color="000000" w:fill="FFFFFF"/>
            <w:noWrap/>
            <w:vAlign w:val="center"/>
            <w:hideMark/>
          </w:tcPr>
          <w:p w14:paraId="7B95880F"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615,778</w:t>
            </w:r>
          </w:p>
        </w:tc>
        <w:tc>
          <w:tcPr>
            <w:tcW w:w="882" w:type="dxa"/>
            <w:tcBorders>
              <w:top w:val="nil"/>
              <w:left w:val="nil"/>
              <w:bottom w:val="single" w:sz="4" w:space="0" w:color="auto"/>
              <w:right w:val="single" w:sz="4" w:space="0" w:color="auto"/>
            </w:tcBorders>
            <w:shd w:val="clear" w:color="000000" w:fill="FFFFFF"/>
            <w:noWrap/>
            <w:vAlign w:val="center"/>
            <w:hideMark/>
          </w:tcPr>
          <w:p w14:paraId="3291A7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8C284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19,896,658</w:t>
            </w:r>
          </w:p>
        </w:tc>
        <w:tc>
          <w:tcPr>
            <w:tcW w:w="1045" w:type="dxa"/>
            <w:tcBorders>
              <w:top w:val="nil"/>
              <w:left w:val="nil"/>
              <w:bottom w:val="single" w:sz="4" w:space="0" w:color="auto"/>
              <w:right w:val="single" w:sz="4" w:space="0" w:color="auto"/>
            </w:tcBorders>
            <w:shd w:val="clear" w:color="000000" w:fill="FFFFFF"/>
            <w:noWrap/>
            <w:vAlign w:val="center"/>
            <w:hideMark/>
          </w:tcPr>
          <w:p w14:paraId="79600A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0.62</w:t>
            </w:r>
          </w:p>
        </w:tc>
      </w:tr>
      <w:tr w:rsidR="00177999" w:rsidRPr="00057D13" w14:paraId="3ABEDB7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257F4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3466E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010A2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194989F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315,002</w:t>
            </w:r>
          </w:p>
        </w:tc>
        <w:tc>
          <w:tcPr>
            <w:tcW w:w="854" w:type="dxa"/>
            <w:tcBorders>
              <w:top w:val="nil"/>
              <w:left w:val="nil"/>
              <w:bottom w:val="single" w:sz="4" w:space="0" w:color="auto"/>
              <w:right w:val="single" w:sz="4" w:space="0" w:color="auto"/>
            </w:tcBorders>
            <w:shd w:val="clear" w:color="000000" w:fill="FFFFFF"/>
            <w:noWrap/>
            <w:vAlign w:val="center"/>
            <w:hideMark/>
          </w:tcPr>
          <w:p w14:paraId="353EC2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3BB03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10,263,177</w:t>
            </w:r>
          </w:p>
        </w:tc>
        <w:tc>
          <w:tcPr>
            <w:tcW w:w="623" w:type="dxa"/>
            <w:tcBorders>
              <w:top w:val="nil"/>
              <w:left w:val="nil"/>
              <w:bottom w:val="single" w:sz="4" w:space="0" w:color="auto"/>
              <w:right w:val="single" w:sz="4" w:space="0" w:color="auto"/>
            </w:tcBorders>
            <w:shd w:val="clear" w:color="000000" w:fill="FFFFFF"/>
            <w:noWrap/>
            <w:vAlign w:val="center"/>
            <w:hideMark/>
          </w:tcPr>
          <w:p w14:paraId="78747B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1.29</w:t>
            </w:r>
          </w:p>
        </w:tc>
        <w:tc>
          <w:tcPr>
            <w:tcW w:w="811" w:type="dxa"/>
            <w:tcBorders>
              <w:top w:val="nil"/>
              <w:left w:val="nil"/>
              <w:bottom w:val="single" w:sz="4" w:space="0" w:color="auto"/>
              <w:right w:val="single" w:sz="4" w:space="0" w:color="auto"/>
            </w:tcBorders>
            <w:shd w:val="clear" w:color="000000" w:fill="FFFFFF"/>
            <w:noWrap/>
            <w:vAlign w:val="center"/>
            <w:hideMark/>
          </w:tcPr>
          <w:p w14:paraId="27A869A4"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360,397</w:t>
            </w:r>
          </w:p>
        </w:tc>
        <w:tc>
          <w:tcPr>
            <w:tcW w:w="855" w:type="dxa"/>
            <w:tcBorders>
              <w:top w:val="nil"/>
              <w:left w:val="nil"/>
              <w:bottom w:val="single" w:sz="4" w:space="0" w:color="auto"/>
              <w:right w:val="single" w:sz="4" w:space="0" w:color="auto"/>
            </w:tcBorders>
            <w:shd w:val="clear" w:color="000000" w:fill="FFFFFF"/>
            <w:noWrap/>
            <w:vAlign w:val="center"/>
            <w:hideMark/>
          </w:tcPr>
          <w:p w14:paraId="02E97E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2B786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12,041,649</w:t>
            </w:r>
          </w:p>
        </w:tc>
        <w:tc>
          <w:tcPr>
            <w:tcW w:w="740" w:type="dxa"/>
            <w:tcBorders>
              <w:top w:val="nil"/>
              <w:left w:val="nil"/>
              <w:bottom w:val="single" w:sz="4" w:space="0" w:color="auto"/>
              <w:right w:val="single" w:sz="4" w:space="0" w:color="auto"/>
            </w:tcBorders>
            <w:shd w:val="clear" w:color="000000" w:fill="FFFFFF"/>
            <w:noWrap/>
            <w:vAlign w:val="center"/>
            <w:hideMark/>
          </w:tcPr>
          <w:p w14:paraId="65A2F6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7D051F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308,985</w:t>
            </w:r>
          </w:p>
        </w:tc>
        <w:tc>
          <w:tcPr>
            <w:tcW w:w="882" w:type="dxa"/>
            <w:tcBorders>
              <w:top w:val="nil"/>
              <w:left w:val="nil"/>
              <w:bottom w:val="single" w:sz="4" w:space="0" w:color="auto"/>
              <w:right w:val="single" w:sz="4" w:space="0" w:color="auto"/>
            </w:tcBorders>
            <w:shd w:val="clear" w:color="000000" w:fill="FFFFFF"/>
            <w:noWrap/>
            <w:vAlign w:val="center"/>
            <w:hideMark/>
          </w:tcPr>
          <w:p w14:paraId="4DE5A1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D6E1E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10,097,982</w:t>
            </w:r>
          </w:p>
        </w:tc>
        <w:tc>
          <w:tcPr>
            <w:tcW w:w="1045" w:type="dxa"/>
            <w:tcBorders>
              <w:top w:val="nil"/>
              <w:left w:val="nil"/>
              <w:bottom w:val="single" w:sz="4" w:space="0" w:color="auto"/>
              <w:right w:val="single" w:sz="4" w:space="0" w:color="auto"/>
            </w:tcBorders>
            <w:shd w:val="clear" w:color="000000" w:fill="FFFFFF"/>
            <w:noWrap/>
            <w:vAlign w:val="center"/>
            <w:hideMark/>
          </w:tcPr>
          <w:p w14:paraId="04A14A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8B9A90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6F5FA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9A1E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6499E3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EBA3B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357,821</w:t>
            </w:r>
          </w:p>
        </w:tc>
        <w:tc>
          <w:tcPr>
            <w:tcW w:w="854" w:type="dxa"/>
            <w:tcBorders>
              <w:top w:val="nil"/>
              <w:left w:val="nil"/>
              <w:bottom w:val="single" w:sz="4" w:space="0" w:color="auto"/>
              <w:right w:val="single" w:sz="4" w:space="0" w:color="auto"/>
            </w:tcBorders>
            <w:shd w:val="clear" w:color="000000" w:fill="FFFFFF"/>
            <w:noWrap/>
            <w:vAlign w:val="center"/>
            <w:hideMark/>
          </w:tcPr>
          <w:p w14:paraId="498039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73B29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8,833,757</w:t>
            </w:r>
          </w:p>
        </w:tc>
        <w:tc>
          <w:tcPr>
            <w:tcW w:w="623" w:type="dxa"/>
            <w:tcBorders>
              <w:top w:val="nil"/>
              <w:left w:val="nil"/>
              <w:bottom w:val="single" w:sz="4" w:space="0" w:color="auto"/>
              <w:right w:val="single" w:sz="4" w:space="0" w:color="auto"/>
            </w:tcBorders>
            <w:shd w:val="clear" w:color="000000" w:fill="FFFFFF"/>
            <w:noWrap/>
            <w:vAlign w:val="center"/>
            <w:hideMark/>
          </w:tcPr>
          <w:p w14:paraId="13A52C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2AC0A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374,206</w:t>
            </w:r>
          </w:p>
        </w:tc>
        <w:tc>
          <w:tcPr>
            <w:tcW w:w="855" w:type="dxa"/>
            <w:tcBorders>
              <w:top w:val="nil"/>
              <w:left w:val="nil"/>
              <w:bottom w:val="single" w:sz="4" w:space="0" w:color="auto"/>
              <w:right w:val="single" w:sz="4" w:space="0" w:color="auto"/>
            </w:tcBorders>
            <w:shd w:val="clear" w:color="000000" w:fill="FFFFFF"/>
            <w:noWrap/>
            <w:vAlign w:val="center"/>
            <w:hideMark/>
          </w:tcPr>
          <w:p w14:paraId="5D2CD6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C2659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9,883,921</w:t>
            </w:r>
          </w:p>
        </w:tc>
        <w:tc>
          <w:tcPr>
            <w:tcW w:w="740" w:type="dxa"/>
            <w:tcBorders>
              <w:top w:val="nil"/>
              <w:left w:val="nil"/>
              <w:bottom w:val="single" w:sz="4" w:space="0" w:color="auto"/>
              <w:right w:val="single" w:sz="4" w:space="0" w:color="auto"/>
            </w:tcBorders>
            <w:shd w:val="clear" w:color="000000" w:fill="FFFFFF"/>
            <w:noWrap/>
            <w:vAlign w:val="center"/>
            <w:hideMark/>
          </w:tcPr>
          <w:p w14:paraId="065219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6A90F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345,807</w:t>
            </w:r>
          </w:p>
        </w:tc>
        <w:tc>
          <w:tcPr>
            <w:tcW w:w="882" w:type="dxa"/>
            <w:tcBorders>
              <w:top w:val="nil"/>
              <w:left w:val="nil"/>
              <w:bottom w:val="single" w:sz="4" w:space="0" w:color="auto"/>
              <w:right w:val="single" w:sz="4" w:space="0" w:color="auto"/>
            </w:tcBorders>
            <w:shd w:val="clear" w:color="000000" w:fill="FFFFFF"/>
            <w:noWrap/>
            <w:vAlign w:val="center"/>
            <w:hideMark/>
          </w:tcPr>
          <w:p w14:paraId="6EC0BC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305E1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8,761,121</w:t>
            </w:r>
          </w:p>
        </w:tc>
        <w:tc>
          <w:tcPr>
            <w:tcW w:w="1045" w:type="dxa"/>
            <w:tcBorders>
              <w:top w:val="nil"/>
              <w:left w:val="nil"/>
              <w:bottom w:val="single" w:sz="4" w:space="0" w:color="auto"/>
              <w:right w:val="single" w:sz="4" w:space="0" w:color="auto"/>
            </w:tcBorders>
            <w:shd w:val="clear" w:color="000000" w:fill="FFFFFF"/>
            <w:noWrap/>
            <w:vAlign w:val="center"/>
            <w:hideMark/>
          </w:tcPr>
          <w:p w14:paraId="43A980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801DB6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596AF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0DFB3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0E6F2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6EEC4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328,944</w:t>
            </w:r>
          </w:p>
        </w:tc>
        <w:tc>
          <w:tcPr>
            <w:tcW w:w="854" w:type="dxa"/>
            <w:tcBorders>
              <w:top w:val="nil"/>
              <w:left w:val="nil"/>
              <w:bottom w:val="single" w:sz="4" w:space="0" w:color="auto"/>
              <w:right w:val="single" w:sz="4" w:space="0" w:color="auto"/>
            </w:tcBorders>
            <w:shd w:val="clear" w:color="000000" w:fill="FFFFFF"/>
            <w:noWrap/>
            <w:vAlign w:val="center"/>
            <w:hideMark/>
          </w:tcPr>
          <w:p w14:paraId="00E2C2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657B5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8,041,758</w:t>
            </w:r>
          </w:p>
        </w:tc>
        <w:tc>
          <w:tcPr>
            <w:tcW w:w="623" w:type="dxa"/>
            <w:tcBorders>
              <w:top w:val="nil"/>
              <w:left w:val="nil"/>
              <w:bottom w:val="single" w:sz="4" w:space="0" w:color="auto"/>
              <w:right w:val="single" w:sz="4" w:space="0" w:color="auto"/>
            </w:tcBorders>
            <w:shd w:val="clear" w:color="000000" w:fill="FFFFFF"/>
            <w:noWrap/>
            <w:vAlign w:val="center"/>
            <w:hideMark/>
          </w:tcPr>
          <w:p w14:paraId="3DEADF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69A67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387,018</w:t>
            </w:r>
          </w:p>
        </w:tc>
        <w:tc>
          <w:tcPr>
            <w:tcW w:w="855" w:type="dxa"/>
            <w:tcBorders>
              <w:top w:val="nil"/>
              <w:left w:val="nil"/>
              <w:bottom w:val="single" w:sz="4" w:space="0" w:color="auto"/>
              <w:right w:val="single" w:sz="4" w:space="0" w:color="auto"/>
            </w:tcBorders>
            <w:shd w:val="clear" w:color="000000" w:fill="FFFFFF"/>
            <w:noWrap/>
            <w:vAlign w:val="center"/>
            <w:hideMark/>
          </w:tcPr>
          <w:p w14:paraId="1C77FB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1F799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10,027,824</w:t>
            </w:r>
          </w:p>
        </w:tc>
        <w:tc>
          <w:tcPr>
            <w:tcW w:w="740" w:type="dxa"/>
            <w:tcBorders>
              <w:top w:val="nil"/>
              <w:left w:val="nil"/>
              <w:bottom w:val="single" w:sz="4" w:space="0" w:color="auto"/>
              <w:right w:val="single" w:sz="4" w:space="0" w:color="auto"/>
            </w:tcBorders>
            <w:shd w:val="clear" w:color="000000" w:fill="FFFFFF"/>
            <w:noWrap/>
            <w:vAlign w:val="center"/>
            <w:hideMark/>
          </w:tcPr>
          <w:p w14:paraId="52DB65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5DF98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329,507</w:t>
            </w:r>
          </w:p>
        </w:tc>
        <w:tc>
          <w:tcPr>
            <w:tcW w:w="882" w:type="dxa"/>
            <w:tcBorders>
              <w:top w:val="nil"/>
              <w:left w:val="nil"/>
              <w:bottom w:val="single" w:sz="4" w:space="0" w:color="auto"/>
              <w:right w:val="single" w:sz="4" w:space="0" w:color="auto"/>
            </w:tcBorders>
            <w:shd w:val="clear" w:color="000000" w:fill="FFFFFF"/>
            <w:noWrap/>
            <w:vAlign w:val="center"/>
            <w:hideMark/>
          </w:tcPr>
          <w:p w14:paraId="2DF55E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936CA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8,233,208</w:t>
            </w:r>
          </w:p>
        </w:tc>
        <w:tc>
          <w:tcPr>
            <w:tcW w:w="1045" w:type="dxa"/>
            <w:tcBorders>
              <w:top w:val="nil"/>
              <w:left w:val="nil"/>
              <w:bottom w:val="single" w:sz="4" w:space="0" w:color="auto"/>
              <w:right w:val="single" w:sz="4" w:space="0" w:color="auto"/>
            </w:tcBorders>
            <w:shd w:val="clear" w:color="000000" w:fill="FFFFFF"/>
            <w:noWrap/>
            <w:vAlign w:val="center"/>
            <w:hideMark/>
          </w:tcPr>
          <w:p w14:paraId="06103D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w:t>
            </w:r>
          </w:p>
        </w:tc>
      </w:tr>
      <w:tr w:rsidR="00177999" w:rsidRPr="00057D13" w14:paraId="21DA5F4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A4A0E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608EA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F20AB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36B71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168,011</w:t>
            </w:r>
          </w:p>
        </w:tc>
        <w:tc>
          <w:tcPr>
            <w:tcW w:w="854" w:type="dxa"/>
            <w:tcBorders>
              <w:top w:val="nil"/>
              <w:left w:val="nil"/>
              <w:bottom w:val="single" w:sz="4" w:space="0" w:color="auto"/>
              <w:right w:val="single" w:sz="4" w:space="0" w:color="auto"/>
            </w:tcBorders>
            <w:shd w:val="clear" w:color="000000" w:fill="FFFFFF"/>
            <w:noWrap/>
            <w:vAlign w:val="center"/>
            <w:hideMark/>
          </w:tcPr>
          <w:p w14:paraId="4BF2C9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C2F3D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4,196,563</w:t>
            </w:r>
          </w:p>
        </w:tc>
        <w:tc>
          <w:tcPr>
            <w:tcW w:w="623" w:type="dxa"/>
            <w:tcBorders>
              <w:top w:val="nil"/>
              <w:left w:val="nil"/>
              <w:bottom w:val="single" w:sz="4" w:space="0" w:color="auto"/>
              <w:right w:val="single" w:sz="4" w:space="0" w:color="auto"/>
            </w:tcBorders>
            <w:shd w:val="clear" w:color="000000" w:fill="FFFFFF"/>
            <w:noWrap/>
            <w:vAlign w:val="center"/>
            <w:hideMark/>
          </w:tcPr>
          <w:p w14:paraId="7B5BE5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F8C29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201,662</w:t>
            </w:r>
          </w:p>
        </w:tc>
        <w:tc>
          <w:tcPr>
            <w:tcW w:w="855" w:type="dxa"/>
            <w:tcBorders>
              <w:top w:val="nil"/>
              <w:left w:val="nil"/>
              <w:bottom w:val="single" w:sz="4" w:space="0" w:color="auto"/>
              <w:right w:val="single" w:sz="4" w:space="0" w:color="auto"/>
            </w:tcBorders>
            <w:shd w:val="clear" w:color="000000" w:fill="FFFFFF"/>
            <w:noWrap/>
            <w:vAlign w:val="center"/>
            <w:hideMark/>
          </w:tcPr>
          <w:p w14:paraId="0F1BB5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51535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5,473,212</w:t>
            </w:r>
          </w:p>
        </w:tc>
        <w:tc>
          <w:tcPr>
            <w:tcW w:w="740" w:type="dxa"/>
            <w:tcBorders>
              <w:top w:val="nil"/>
              <w:left w:val="nil"/>
              <w:bottom w:val="single" w:sz="4" w:space="0" w:color="auto"/>
              <w:right w:val="single" w:sz="4" w:space="0" w:color="auto"/>
            </w:tcBorders>
            <w:shd w:val="clear" w:color="000000" w:fill="FFFFFF"/>
            <w:noWrap/>
            <w:vAlign w:val="center"/>
            <w:hideMark/>
          </w:tcPr>
          <w:p w14:paraId="09B7AA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60A17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168,607</w:t>
            </w:r>
          </w:p>
        </w:tc>
        <w:tc>
          <w:tcPr>
            <w:tcW w:w="882" w:type="dxa"/>
            <w:tcBorders>
              <w:top w:val="nil"/>
              <w:left w:val="nil"/>
              <w:bottom w:val="single" w:sz="4" w:space="0" w:color="auto"/>
              <w:right w:val="single" w:sz="4" w:space="0" w:color="auto"/>
            </w:tcBorders>
            <w:shd w:val="clear" w:color="000000" w:fill="FFFFFF"/>
            <w:noWrap/>
            <w:vAlign w:val="center"/>
            <w:hideMark/>
          </w:tcPr>
          <w:p w14:paraId="2C3F54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486B0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4,378,790</w:t>
            </w:r>
          </w:p>
        </w:tc>
        <w:tc>
          <w:tcPr>
            <w:tcW w:w="1045" w:type="dxa"/>
            <w:tcBorders>
              <w:top w:val="nil"/>
              <w:left w:val="nil"/>
              <w:bottom w:val="single" w:sz="4" w:space="0" w:color="auto"/>
              <w:right w:val="single" w:sz="4" w:space="0" w:color="auto"/>
            </w:tcBorders>
            <w:shd w:val="clear" w:color="000000" w:fill="FFFFFF"/>
            <w:noWrap/>
            <w:vAlign w:val="center"/>
            <w:hideMark/>
          </w:tcPr>
          <w:p w14:paraId="0E27A4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443B1F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186F8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1E6AD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499A79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6224C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318,041</w:t>
            </w:r>
          </w:p>
        </w:tc>
        <w:tc>
          <w:tcPr>
            <w:tcW w:w="854" w:type="dxa"/>
            <w:tcBorders>
              <w:top w:val="nil"/>
              <w:left w:val="nil"/>
              <w:bottom w:val="single" w:sz="4" w:space="0" w:color="auto"/>
              <w:right w:val="single" w:sz="4" w:space="0" w:color="auto"/>
            </w:tcBorders>
            <w:shd w:val="clear" w:color="000000" w:fill="FFFFFF"/>
            <w:noWrap/>
            <w:vAlign w:val="center"/>
            <w:hideMark/>
          </w:tcPr>
          <w:p w14:paraId="2CD5ED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60080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12,664,756</w:t>
            </w:r>
          </w:p>
        </w:tc>
        <w:tc>
          <w:tcPr>
            <w:tcW w:w="623" w:type="dxa"/>
            <w:tcBorders>
              <w:top w:val="nil"/>
              <w:left w:val="nil"/>
              <w:bottom w:val="single" w:sz="4" w:space="0" w:color="auto"/>
              <w:right w:val="single" w:sz="4" w:space="0" w:color="auto"/>
            </w:tcBorders>
            <w:shd w:val="clear" w:color="000000" w:fill="FFFFFF"/>
            <w:noWrap/>
            <w:vAlign w:val="center"/>
            <w:hideMark/>
          </w:tcPr>
          <w:p w14:paraId="7C3D36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1.44</w:t>
            </w:r>
          </w:p>
        </w:tc>
        <w:tc>
          <w:tcPr>
            <w:tcW w:w="811" w:type="dxa"/>
            <w:tcBorders>
              <w:top w:val="nil"/>
              <w:left w:val="nil"/>
              <w:bottom w:val="single" w:sz="4" w:space="0" w:color="auto"/>
              <w:right w:val="single" w:sz="4" w:space="0" w:color="auto"/>
            </w:tcBorders>
            <w:shd w:val="clear" w:color="000000" w:fill="FFFFFF"/>
            <w:noWrap/>
            <w:vAlign w:val="center"/>
            <w:hideMark/>
          </w:tcPr>
          <w:p w14:paraId="5350A8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299,056</w:t>
            </w:r>
          </w:p>
        </w:tc>
        <w:tc>
          <w:tcPr>
            <w:tcW w:w="855" w:type="dxa"/>
            <w:tcBorders>
              <w:top w:val="nil"/>
              <w:left w:val="nil"/>
              <w:bottom w:val="single" w:sz="4" w:space="0" w:color="auto"/>
              <w:right w:val="single" w:sz="4" w:space="0" w:color="auto"/>
            </w:tcBorders>
            <w:shd w:val="clear" w:color="000000" w:fill="FFFFFF"/>
            <w:noWrap/>
            <w:vAlign w:val="center"/>
            <w:hideMark/>
          </w:tcPr>
          <w:p w14:paraId="5867E2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477FD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11,882,906</w:t>
            </w:r>
          </w:p>
        </w:tc>
        <w:tc>
          <w:tcPr>
            <w:tcW w:w="740" w:type="dxa"/>
            <w:tcBorders>
              <w:top w:val="nil"/>
              <w:left w:val="nil"/>
              <w:bottom w:val="single" w:sz="4" w:space="0" w:color="auto"/>
              <w:right w:val="single" w:sz="4" w:space="0" w:color="auto"/>
            </w:tcBorders>
            <w:shd w:val="clear" w:color="000000" w:fill="FFFFFF"/>
            <w:noWrap/>
            <w:vAlign w:val="center"/>
            <w:hideMark/>
          </w:tcPr>
          <w:p w14:paraId="2A3E31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2EF7CE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290,196</w:t>
            </w:r>
          </w:p>
        </w:tc>
        <w:tc>
          <w:tcPr>
            <w:tcW w:w="882" w:type="dxa"/>
            <w:tcBorders>
              <w:top w:val="nil"/>
              <w:left w:val="nil"/>
              <w:bottom w:val="single" w:sz="4" w:space="0" w:color="auto"/>
              <w:right w:val="single" w:sz="4" w:space="0" w:color="auto"/>
            </w:tcBorders>
            <w:shd w:val="clear" w:color="000000" w:fill="FFFFFF"/>
            <w:noWrap/>
            <w:vAlign w:val="center"/>
            <w:hideMark/>
          </w:tcPr>
          <w:p w14:paraId="73C502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805C6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11,416,860</w:t>
            </w:r>
          </w:p>
        </w:tc>
        <w:tc>
          <w:tcPr>
            <w:tcW w:w="1045" w:type="dxa"/>
            <w:tcBorders>
              <w:top w:val="nil"/>
              <w:left w:val="nil"/>
              <w:bottom w:val="single" w:sz="4" w:space="0" w:color="auto"/>
              <w:right w:val="single" w:sz="4" w:space="0" w:color="auto"/>
            </w:tcBorders>
            <w:shd w:val="clear" w:color="000000" w:fill="FFFFFF"/>
            <w:noWrap/>
            <w:vAlign w:val="center"/>
            <w:hideMark/>
          </w:tcPr>
          <w:p w14:paraId="408DA0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1EF486D"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40EB3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30682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BC315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616FE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294,990</w:t>
            </w:r>
          </w:p>
        </w:tc>
        <w:tc>
          <w:tcPr>
            <w:tcW w:w="854" w:type="dxa"/>
            <w:tcBorders>
              <w:top w:val="nil"/>
              <w:left w:val="nil"/>
              <w:bottom w:val="single" w:sz="4" w:space="0" w:color="auto"/>
              <w:right w:val="single" w:sz="4" w:space="0" w:color="auto"/>
            </w:tcBorders>
            <w:shd w:val="clear" w:color="000000" w:fill="FFFFFF"/>
            <w:noWrap/>
            <w:vAlign w:val="center"/>
            <w:hideMark/>
          </w:tcPr>
          <w:p w14:paraId="2B1D29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8C7C8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12,159,401</w:t>
            </w:r>
          </w:p>
        </w:tc>
        <w:tc>
          <w:tcPr>
            <w:tcW w:w="623" w:type="dxa"/>
            <w:tcBorders>
              <w:top w:val="nil"/>
              <w:left w:val="nil"/>
              <w:bottom w:val="single" w:sz="4" w:space="0" w:color="auto"/>
              <w:right w:val="single" w:sz="4" w:space="0" w:color="auto"/>
            </w:tcBorders>
            <w:shd w:val="clear" w:color="000000" w:fill="FFFFFF"/>
            <w:noWrap/>
            <w:vAlign w:val="center"/>
            <w:hideMark/>
          </w:tcPr>
          <w:p w14:paraId="436A2E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2.75</w:t>
            </w:r>
          </w:p>
        </w:tc>
        <w:tc>
          <w:tcPr>
            <w:tcW w:w="811" w:type="dxa"/>
            <w:tcBorders>
              <w:top w:val="nil"/>
              <w:left w:val="nil"/>
              <w:bottom w:val="single" w:sz="4" w:space="0" w:color="auto"/>
              <w:right w:val="single" w:sz="4" w:space="0" w:color="auto"/>
            </w:tcBorders>
            <w:shd w:val="clear" w:color="000000" w:fill="FFFFFF"/>
            <w:noWrap/>
            <w:vAlign w:val="center"/>
            <w:hideMark/>
          </w:tcPr>
          <w:p w14:paraId="5B8E56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322,476</w:t>
            </w:r>
          </w:p>
        </w:tc>
        <w:tc>
          <w:tcPr>
            <w:tcW w:w="855" w:type="dxa"/>
            <w:tcBorders>
              <w:top w:val="nil"/>
              <w:left w:val="nil"/>
              <w:bottom w:val="single" w:sz="4" w:space="0" w:color="auto"/>
              <w:right w:val="single" w:sz="4" w:space="0" w:color="auto"/>
            </w:tcBorders>
            <w:shd w:val="clear" w:color="000000" w:fill="FFFFFF"/>
            <w:noWrap/>
            <w:vAlign w:val="center"/>
            <w:hideMark/>
          </w:tcPr>
          <w:p w14:paraId="7E8826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83757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13,325,334</w:t>
            </w:r>
          </w:p>
        </w:tc>
        <w:tc>
          <w:tcPr>
            <w:tcW w:w="740" w:type="dxa"/>
            <w:tcBorders>
              <w:top w:val="nil"/>
              <w:left w:val="nil"/>
              <w:bottom w:val="single" w:sz="4" w:space="0" w:color="auto"/>
              <w:right w:val="single" w:sz="4" w:space="0" w:color="auto"/>
            </w:tcBorders>
            <w:shd w:val="clear" w:color="000000" w:fill="FFFFFF"/>
            <w:noWrap/>
            <w:vAlign w:val="center"/>
            <w:hideMark/>
          </w:tcPr>
          <w:p w14:paraId="0E3307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1.99</w:t>
            </w:r>
          </w:p>
        </w:tc>
        <w:tc>
          <w:tcPr>
            <w:tcW w:w="718" w:type="dxa"/>
            <w:tcBorders>
              <w:top w:val="nil"/>
              <w:left w:val="nil"/>
              <w:bottom w:val="single" w:sz="4" w:space="0" w:color="auto"/>
              <w:right w:val="single" w:sz="4" w:space="0" w:color="auto"/>
            </w:tcBorders>
            <w:shd w:val="clear" w:color="000000" w:fill="FFFFFF"/>
            <w:noWrap/>
            <w:vAlign w:val="center"/>
            <w:hideMark/>
          </w:tcPr>
          <w:p w14:paraId="56B03B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286,271</w:t>
            </w:r>
          </w:p>
        </w:tc>
        <w:tc>
          <w:tcPr>
            <w:tcW w:w="882" w:type="dxa"/>
            <w:tcBorders>
              <w:top w:val="nil"/>
              <w:left w:val="nil"/>
              <w:bottom w:val="single" w:sz="4" w:space="0" w:color="auto"/>
              <w:right w:val="single" w:sz="4" w:space="0" w:color="auto"/>
            </w:tcBorders>
            <w:shd w:val="clear" w:color="000000" w:fill="FFFFFF"/>
            <w:noWrap/>
            <w:vAlign w:val="center"/>
            <w:hideMark/>
          </w:tcPr>
          <w:p w14:paraId="41EAA7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22155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11,663,450</w:t>
            </w:r>
          </w:p>
        </w:tc>
        <w:tc>
          <w:tcPr>
            <w:tcW w:w="1045" w:type="dxa"/>
            <w:tcBorders>
              <w:top w:val="nil"/>
              <w:left w:val="nil"/>
              <w:bottom w:val="single" w:sz="4" w:space="0" w:color="auto"/>
              <w:right w:val="single" w:sz="4" w:space="0" w:color="auto"/>
            </w:tcBorders>
            <w:shd w:val="clear" w:color="000000" w:fill="FFFFFF"/>
            <w:noWrap/>
            <w:vAlign w:val="center"/>
            <w:hideMark/>
          </w:tcPr>
          <w:p w14:paraId="33E9F8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781673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3BA56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E8577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14D71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312CD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146,991</w:t>
            </w:r>
          </w:p>
        </w:tc>
        <w:tc>
          <w:tcPr>
            <w:tcW w:w="854" w:type="dxa"/>
            <w:tcBorders>
              <w:top w:val="nil"/>
              <w:left w:val="nil"/>
              <w:bottom w:val="single" w:sz="4" w:space="0" w:color="auto"/>
              <w:right w:val="single" w:sz="4" w:space="0" w:color="auto"/>
            </w:tcBorders>
            <w:shd w:val="clear" w:color="000000" w:fill="FFFFFF"/>
            <w:noWrap/>
            <w:vAlign w:val="center"/>
            <w:hideMark/>
          </w:tcPr>
          <w:p w14:paraId="13549C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00473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6,066,614</w:t>
            </w:r>
          </w:p>
        </w:tc>
        <w:tc>
          <w:tcPr>
            <w:tcW w:w="623" w:type="dxa"/>
            <w:tcBorders>
              <w:top w:val="nil"/>
              <w:left w:val="nil"/>
              <w:bottom w:val="single" w:sz="4" w:space="0" w:color="auto"/>
              <w:right w:val="single" w:sz="4" w:space="0" w:color="auto"/>
            </w:tcBorders>
            <w:shd w:val="clear" w:color="000000" w:fill="FFFFFF"/>
            <w:noWrap/>
            <w:vAlign w:val="center"/>
            <w:hideMark/>
          </w:tcPr>
          <w:p w14:paraId="35CB0F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2.18</w:t>
            </w:r>
          </w:p>
        </w:tc>
        <w:tc>
          <w:tcPr>
            <w:tcW w:w="811" w:type="dxa"/>
            <w:tcBorders>
              <w:top w:val="nil"/>
              <w:left w:val="nil"/>
              <w:bottom w:val="single" w:sz="4" w:space="0" w:color="auto"/>
              <w:right w:val="single" w:sz="4" w:space="0" w:color="auto"/>
            </w:tcBorders>
            <w:shd w:val="clear" w:color="000000" w:fill="FFFFFF"/>
            <w:noWrap/>
            <w:vAlign w:val="center"/>
            <w:hideMark/>
          </w:tcPr>
          <w:p w14:paraId="4A1AC0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158,735</w:t>
            </w:r>
          </w:p>
        </w:tc>
        <w:tc>
          <w:tcPr>
            <w:tcW w:w="855" w:type="dxa"/>
            <w:tcBorders>
              <w:top w:val="nil"/>
              <w:left w:val="nil"/>
              <w:bottom w:val="single" w:sz="4" w:space="0" w:color="auto"/>
              <w:right w:val="single" w:sz="4" w:space="0" w:color="auto"/>
            </w:tcBorders>
            <w:shd w:val="clear" w:color="000000" w:fill="FFFFFF"/>
            <w:noWrap/>
            <w:vAlign w:val="center"/>
            <w:hideMark/>
          </w:tcPr>
          <w:p w14:paraId="7F6A19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46125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6,568,437</w:t>
            </w:r>
          </w:p>
        </w:tc>
        <w:tc>
          <w:tcPr>
            <w:tcW w:w="740" w:type="dxa"/>
            <w:tcBorders>
              <w:top w:val="nil"/>
              <w:left w:val="nil"/>
              <w:bottom w:val="single" w:sz="4" w:space="0" w:color="auto"/>
              <w:right w:val="single" w:sz="4" w:space="0" w:color="auto"/>
            </w:tcBorders>
            <w:shd w:val="clear" w:color="000000" w:fill="FFFFFF"/>
            <w:noWrap/>
            <w:vAlign w:val="center"/>
            <w:hideMark/>
          </w:tcPr>
          <w:p w14:paraId="3DF435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CBB8E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140,378</w:t>
            </w:r>
          </w:p>
        </w:tc>
        <w:tc>
          <w:tcPr>
            <w:tcW w:w="882" w:type="dxa"/>
            <w:tcBorders>
              <w:top w:val="nil"/>
              <w:left w:val="nil"/>
              <w:bottom w:val="single" w:sz="4" w:space="0" w:color="auto"/>
              <w:right w:val="single" w:sz="4" w:space="0" w:color="auto"/>
            </w:tcBorders>
            <w:shd w:val="clear" w:color="000000" w:fill="FFFFFF"/>
            <w:noWrap/>
            <w:vAlign w:val="center"/>
            <w:hideMark/>
          </w:tcPr>
          <w:p w14:paraId="22632D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1CA54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5,719,192</w:t>
            </w:r>
          </w:p>
        </w:tc>
        <w:tc>
          <w:tcPr>
            <w:tcW w:w="1045" w:type="dxa"/>
            <w:tcBorders>
              <w:top w:val="nil"/>
              <w:left w:val="nil"/>
              <w:bottom w:val="single" w:sz="4" w:space="0" w:color="auto"/>
              <w:right w:val="single" w:sz="4" w:space="0" w:color="auto"/>
            </w:tcBorders>
            <w:shd w:val="clear" w:color="000000" w:fill="FFFFFF"/>
            <w:noWrap/>
            <w:vAlign w:val="center"/>
            <w:hideMark/>
          </w:tcPr>
          <w:p w14:paraId="5A158A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4FB349D"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A60C2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200F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11F791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1A432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12,473</w:t>
            </w:r>
          </w:p>
        </w:tc>
        <w:tc>
          <w:tcPr>
            <w:tcW w:w="854" w:type="dxa"/>
            <w:tcBorders>
              <w:top w:val="nil"/>
              <w:left w:val="nil"/>
              <w:bottom w:val="single" w:sz="4" w:space="0" w:color="auto"/>
              <w:right w:val="single" w:sz="4" w:space="0" w:color="auto"/>
            </w:tcBorders>
            <w:shd w:val="clear" w:color="000000" w:fill="FFFFFF"/>
            <w:noWrap/>
            <w:vAlign w:val="center"/>
            <w:hideMark/>
          </w:tcPr>
          <w:p w14:paraId="73273A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306B3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134,559</w:t>
            </w:r>
          </w:p>
        </w:tc>
        <w:tc>
          <w:tcPr>
            <w:tcW w:w="623" w:type="dxa"/>
            <w:tcBorders>
              <w:top w:val="nil"/>
              <w:left w:val="nil"/>
              <w:bottom w:val="single" w:sz="4" w:space="0" w:color="auto"/>
              <w:right w:val="single" w:sz="4" w:space="0" w:color="auto"/>
            </w:tcBorders>
            <w:shd w:val="clear" w:color="000000" w:fill="FFFFFF"/>
            <w:noWrap/>
            <w:vAlign w:val="center"/>
            <w:hideMark/>
          </w:tcPr>
          <w:p w14:paraId="731263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36E21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1,441</w:t>
            </w:r>
          </w:p>
        </w:tc>
        <w:tc>
          <w:tcPr>
            <w:tcW w:w="855" w:type="dxa"/>
            <w:tcBorders>
              <w:top w:val="nil"/>
              <w:left w:val="nil"/>
              <w:bottom w:val="single" w:sz="4" w:space="0" w:color="auto"/>
              <w:right w:val="single" w:sz="4" w:space="0" w:color="auto"/>
            </w:tcBorders>
            <w:shd w:val="clear" w:color="000000" w:fill="FFFFFF"/>
            <w:noWrap/>
            <w:vAlign w:val="center"/>
            <w:hideMark/>
          </w:tcPr>
          <w:p w14:paraId="530D74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63F4A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47,953</w:t>
            </w:r>
          </w:p>
        </w:tc>
        <w:tc>
          <w:tcPr>
            <w:tcW w:w="740" w:type="dxa"/>
            <w:tcBorders>
              <w:top w:val="nil"/>
              <w:left w:val="nil"/>
              <w:bottom w:val="single" w:sz="4" w:space="0" w:color="auto"/>
              <w:right w:val="single" w:sz="4" w:space="0" w:color="auto"/>
            </w:tcBorders>
            <w:shd w:val="clear" w:color="000000" w:fill="FFFFFF"/>
            <w:noWrap/>
            <w:vAlign w:val="center"/>
            <w:hideMark/>
          </w:tcPr>
          <w:p w14:paraId="052B5B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B4F83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20,764</w:t>
            </w:r>
          </w:p>
        </w:tc>
        <w:tc>
          <w:tcPr>
            <w:tcW w:w="882" w:type="dxa"/>
            <w:tcBorders>
              <w:top w:val="nil"/>
              <w:left w:val="nil"/>
              <w:bottom w:val="single" w:sz="4" w:space="0" w:color="auto"/>
              <w:right w:val="single" w:sz="4" w:space="0" w:color="auto"/>
            </w:tcBorders>
            <w:shd w:val="clear" w:color="000000" w:fill="FFFFFF"/>
            <w:noWrap/>
            <w:vAlign w:val="center"/>
            <w:hideMark/>
          </w:tcPr>
          <w:p w14:paraId="646BA7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0FB99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409,895</w:t>
            </w:r>
          </w:p>
        </w:tc>
        <w:tc>
          <w:tcPr>
            <w:tcW w:w="1045" w:type="dxa"/>
            <w:tcBorders>
              <w:top w:val="nil"/>
              <w:left w:val="nil"/>
              <w:bottom w:val="single" w:sz="4" w:space="0" w:color="auto"/>
              <w:right w:val="single" w:sz="4" w:space="0" w:color="auto"/>
            </w:tcBorders>
            <w:shd w:val="clear" w:color="000000" w:fill="FFFFFF"/>
            <w:noWrap/>
            <w:vAlign w:val="center"/>
            <w:hideMark/>
          </w:tcPr>
          <w:p w14:paraId="1F39519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1B5FDC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41E5E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C194A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15D0D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9DA69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91,108</w:t>
            </w:r>
          </w:p>
        </w:tc>
        <w:tc>
          <w:tcPr>
            <w:tcW w:w="854" w:type="dxa"/>
            <w:tcBorders>
              <w:top w:val="nil"/>
              <w:left w:val="nil"/>
              <w:bottom w:val="single" w:sz="4" w:space="0" w:color="auto"/>
              <w:right w:val="single" w:sz="4" w:space="0" w:color="auto"/>
            </w:tcBorders>
            <w:shd w:val="clear" w:color="000000" w:fill="FFFFFF"/>
            <w:noWrap/>
            <w:vAlign w:val="center"/>
            <w:hideMark/>
          </w:tcPr>
          <w:p w14:paraId="6B054A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4FD0B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3,473,475</w:t>
            </w:r>
          </w:p>
        </w:tc>
        <w:tc>
          <w:tcPr>
            <w:tcW w:w="623" w:type="dxa"/>
            <w:tcBorders>
              <w:top w:val="nil"/>
              <w:left w:val="nil"/>
              <w:bottom w:val="single" w:sz="4" w:space="0" w:color="auto"/>
              <w:right w:val="single" w:sz="4" w:space="0" w:color="auto"/>
            </w:tcBorders>
            <w:shd w:val="clear" w:color="000000" w:fill="FFFFFF"/>
            <w:noWrap/>
            <w:vAlign w:val="center"/>
            <w:hideMark/>
          </w:tcPr>
          <w:p w14:paraId="3AA0C1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42209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66,067</w:t>
            </w:r>
          </w:p>
        </w:tc>
        <w:tc>
          <w:tcPr>
            <w:tcW w:w="855" w:type="dxa"/>
            <w:tcBorders>
              <w:top w:val="nil"/>
              <w:left w:val="nil"/>
              <w:bottom w:val="single" w:sz="4" w:space="0" w:color="auto"/>
              <w:right w:val="single" w:sz="4" w:space="0" w:color="auto"/>
            </w:tcBorders>
            <w:shd w:val="clear" w:color="000000" w:fill="FFFFFF"/>
            <w:noWrap/>
            <w:vAlign w:val="center"/>
            <w:hideMark/>
          </w:tcPr>
          <w:p w14:paraId="68C95F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05AB7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2,508,168</w:t>
            </w:r>
          </w:p>
        </w:tc>
        <w:tc>
          <w:tcPr>
            <w:tcW w:w="740" w:type="dxa"/>
            <w:tcBorders>
              <w:top w:val="nil"/>
              <w:left w:val="nil"/>
              <w:bottom w:val="single" w:sz="4" w:space="0" w:color="auto"/>
              <w:right w:val="single" w:sz="4" w:space="0" w:color="auto"/>
            </w:tcBorders>
            <w:shd w:val="clear" w:color="000000" w:fill="FFFFFF"/>
            <w:noWrap/>
            <w:vAlign w:val="center"/>
            <w:hideMark/>
          </w:tcPr>
          <w:p w14:paraId="034982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621F7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83,940</w:t>
            </w:r>
          </w:p>
        </w:tc>
        <w:tc>
          <w:tcPr>
            <w:tcW w:w="882" w:type="dxa"/>
            <w:tcBorders>
              <w:top w:val="nil"/>
              <w:left w:val="nil"/>
              <w:bottom w:val="single" w:sz="4" w:space="0" w:color="auto"/>
              <w:right w:val="single" w:sz="4" w:space="0" w:color="auto"/>
            </w:tcBorders>
            <w:shd w:val="clear" w:color="000000" w:fill="FFFFFF"/>
            <w:noWrap/>
            <w:vAlign w:val="center"/>
            <w:hideMark/>
          </w:tcPr>
          <w:p w14:paraId="501703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DE1DD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3,243,927</w:t>
            </w:r>
          </w:p>
        </w:tc>
        <w:tc>
          <w:tcPr>
            <w:tcW w:w="1045" w:type="dxa"/>
            <w:tcBorders>
              <w:top w:val="nil"/>
              <w:left w:val="nil"/>
              <w:bottom w:val="single" w:sz="4" w:space="0" w:color="auto"/>
              <w:right w:val="single" w:sz="4" w:space="0" w:color="auto"/>
            </w:tcBorders>
            <w:shd w:val="clear" w:color="000000" w:fill="FFFFFF"/>
            <w:noWrap/>
            <w:vAlign w:val="center"/>
            <w:hideMark/>
          </w:tcPr>
          <w:p w14:paraId="7D00C5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FCBCF4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DD565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E9D1D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C82D8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2B1D3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62,513</w:t>
            </w:r>
          </w:p>
        </w:tc>
        <w:tc>
          <w:tcPr>
            <w:tcW w:w="854" w:type="dxa"/>
            <w:tcBorders>
              <w:top w:val="nil"/>
              <w:left w:val="nil"/>
              <w:bottom w:val="single" w:sz="4" w:space="0" w:color="auto"/>
              <w:right w:val="single" w:sz="4" w:space="0" w:color="auto"/>
            </w:tcBorders>
            <w:shd w:val="clear" w:color="000000" w:fill="FFFFFF"/>
            <w:noWrap/>
            <w:vAlign w:val="center"/>
            <w:hideMark/>
          </w:tcPr>
          <w:p w14:paraId="0B1B00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5DD3F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2,441,902</w:t>
            </w:r>
          </w:p>
        </w:tc>
        <w:tc>
          <w:tcPr>
            <w:tcW w:w="623" w:type="dxa"/>
            <w:tcBorders>
              <w:top w:val="nil"/>
              <w:left w:val="nil"/>
              <w:bottom w:val="single" w:sz="4" w:space="0" w:color="auto"/>
              <w:right w:val="single" w:sz="4" w:space="0" w:color="auto"/>
            </w:tcBorders>
            <w:shd w:val="clear" w:color="000000" w:fill="FFFFFF"/>
            <w:noWrap/>
            <w:vAlign w:val="center"/>
            <w:hideMark/>
          </w:tcPr>
          <w:p w14:paraId="33CD56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769F2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45,421</w:t>
            </w:r>
          </w:p>
        </w:tc>
        <w:tc>
          <w:tcPr>
            <w:tcW w:w="855" w:type="dxa"/>
            <w:tcBorders>
              <w:top w:val="nil"/>
              <w:left w:val="nil"/>
              <w:bottom w:val="single" w:sz="4" w:space="0" w:color="auto"/>
              <w:right w:val="single" w:sz="4" w:space="0" w:color="auto"/>
            </w:tcBorders>
            <w:shd w:val="clear" w:color="000000" w:fill="FFFFFF"/>
            <w:noWrap/>
            <w:vAlign w:val="center"/>
            <w:hideMark/>
          </w:tcPr>
          <w:p w14:paraId="667F8B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622BE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1,765,174</w:t>
            </w:r>
          </w:p>
        </w:tc>
        <w:tc>
          <w:tcPr>
            <w:tcW w:w="740" w:type="dxa"/>
            <w:tcBorders>
              <w:top w:val="nil"/>
              <w:left w:val="nil"/>
              <w:bottom w:val="single" w:sz="4" w:space="0" w:color="auto"/>
              <w:right w:val="single" w:sz="4" w:space="0" w:color="auto"/>
            </w:tcBorders>
            <w:shd w:val="clear" w:color="000000" w:fill="FFFFFF"/>
            <w:noWrap/>
            <w:vAlign w:val="center"/>
            <w:hideMark/>
          </w:tcPr>
          <w:p w14:paraId="3E04E9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D8C9E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54,118</w:t>
            </w:r>
          </w:p>
        </w:tc>
        <w:tc>
          <w:tcPr>
            <w:tcW w:w="882" w:type="dxa"/>
            <w:tcBorders>
              <w:top w:val="nil"/>
              <w:left w:val="nil"/>
              <w:bottom w:val="single" w:sz="4" w:space="0" w:color="auto"/>
              <w:right w:val="single" w:sz="4" w:space="0" w:color="auto"/>
            </w:tcBorders>
            <w:shd w:val="clear" w:color="000000" w:fill="FFFFFF"/>
            <w:noWrap/>
            <w:vAlign w:val="center"/>
            <w:hideMark/>
          </w:tcPr>
          <w:p w14:paraId="76B6C3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C700E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2,087,194</w:t>
            </w:r>
          </w:p>
        </w:tc>
        <w:tc>
          <w:tcPr>
            <w:tcW w:w="1045" w:type="dxa"/>
            <w:tcBorders>
              <w:top w:val="nil"/>
              <w:left w:val="nil"/>
              <w:bottom w:val="single" w:sz="4" w:space="0" w:color="auto"/>
              <w:right w:val="single" w:sz="4" w:space="0" w:color="auto"/>
            </w:tcBorders>
            <w:shd w:val="clear" w:color="000000" w:fill="FFFFFF"/>
            <w:noWrap/>
            <w:vAlign w:val="center"/>
            <w:hideMark/>
          </w:tcPr>
          <w:p w14:paraId="51E881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47CD9B2"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DCEE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Immune thrombocytopenia (ITP)</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B5A3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595E7A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18853A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603,512</w:t>
            </w:r>
          </w:p>
        </w:tc>
        <w:tc>
          <w:tcPr>
            <w:tcW w:w="854" w:type="dxa"/>
            <w:tcBorders>
              <w:top w:val="nil"/>
              <w:left w:val="nil"/>
              <w:bottom w:val="single" w:sz="4" w:space="0" w:color="auto"/>
              <w:right w:val="single" w:sz="4" w:space="0" w:color="auto"/>
            </w:tcBorders>
            <w:shd w:val="clear" w:color="000000" w:fill="FFFFFF"/>
            <w:noWrap/>
            <w:vAlign w:val="center"/>
            <w:hideMark/>
          </w:tcPr>
          <w:p w14:paraId="4A316C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5121C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19,489,519</w:t>
            </w:r>
          </w:p>
        </w:tc>
        <w:tc>
          <w:tcPr>
            <w:tcW w:w="623" w:type="dxa"/>
            <w:tcBorders>
              <w:top w:val="nil"/>
              <w:left w:val="nil"/>
              <w:bottom w:val="single" w:sz="4" w:space="0" w:color="auto"/>
              <w:right w:val="single" w:sz="4" w:space="0" w:color="auto"/>
            </w:tcBorders>
            <w:shd w:val="clear" w:color="000000" w:fill="FFFFFF"/>
            <w:noWrap/>
            <w:vAlign w:val="center"/>
            <w:hideMark/>
          </w:tcPr>
          <w:p w14:paraId="02CCF7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w:t>
            </w:r>
          </w:p>
        </w:tc>
        <w:tc>
          <w:tcPr>
            <w:tcW w:w="811" w:type="dxa"/>
            <w:tcBorders>
              <w:top w:val="nil"/>
              <w:left w:val="nil"/>
              <w:bottom w:val="single" w:sz="4" w:space="0" w:color="auto"/>
              <w:right w:val="single" w:sz="4" w:space="0" w:color="auto"/>
            </w:tcBorders>
            <w:shd w:val="clear" w:color="000000" w:fill="FFFFFF"/>
            <w:noWrap/>
            <w:vAlign w:val="center"/>
            <w:hideMark/>
          </w:tcPr>
          <w:p w14:paraId="0C370C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605,104</w:t>
            </w:r>
          </w:p>
        </w:tc>
        <w:tc>
          <w:tcPr>
            <w:tcW w:w="855" w:type="dxa"/>
            <w:tcBorders>
              <w:top w:val="nil"/>
              <w:left w:val="nil"/>
              <w:bottom w:val="single" w:sz="4" w:space="0" w:color="auto"/>
              <w:right w:val="single" w:sz="4" w:space="0" w:color="auto"/>
            </w:tcBorders>
            <w:shd w:val="clear" w:color="000000" w:fill="FFFFFF"/>
            <w:noWrap/>
            <w:vAlign w:val="center"/>
            <w:hideMark/>
          </w:tcPr>
          <w:p w14:paraId="36E75C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4DC13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19,960,730</w:t>
            </w:r>
          </w:p>
        </w:tc>
        <w:tc>
          <w:tcPr>
            <w:tcW w:w="740" w:type="dxa"/>
            <w:tcBorders>
              <w:top w:val="nil"/>
              <w:left w:val="nil"/>
              <w:bottom w:val="single" w:sz="4" w:space="0" w:color="auto"/>
              <w:right w:val="single" w:sz="4" w:space="0" w:color="auto"/>
            </w:tcBorders>
            <w:shd w:val="clear" w:color="000000" w:fill="FFFFFF"/>
            <w:noWrap/>
            <w:vAlign w:val="center"/>
            <w:hideMark/>
          </w:tcPr>
          <w:p w14:paraId="69E37B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1.91</w:t>
            </w:r>
          </w:p>
        </w:tc>
        <w:tc>
          <w:tcPr>
            <w:tcW w:w="718" w:type="dxa"/>
            <w:tcBorders>
              <w:top w:val="nil"/>
              <w:left w:val="nil"/>
              <w:bottom w:val="single" w:sz="4" w:space="0" w:color="auto"/>
              <w:right w:val="single" w:sz="4" w:space="0" w:color="auto"/>
            </w:tcBorders>
            <w:shd w:val="clear" w:color="000000" w:fill="FFFFFF"/>
            <w:noWrap/>
            <w:vAlign w:val="center"/>
            <w:hideMark/>
          </w:tcPr>
          <w:p w14:paraId="570A4F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572,717</w:t>
            </w:r>
          </w:p>
        </w:tc>
        <w:tc>
          <w:tcPr>
            <w:tcW w:w="882" w:type="dxa"/>
            <w:tcBorders>
              <w:top w:val="nil"/>
              <w:left w:val="nil"/>
              <w:bottom w:val="single" w:sz="4" w:space="0" w:color="auto"/>
              <w:right w:val="single" w:sz="4" w:space="0" w:color="auto"/>
            </w:tcBorders>
            <w:shd w:val="clear" w:color="000000" w:fill="FFFFFF"/>
            <w:noWrap/>
            <w:vAlign w:val="center"/>
            <w:hideMark/>
          </w:tcPr>
          <w:p w14:paraId="41A6A7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178A2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18,205,909</w:t>
            </w:r>
          </w:p>
        </w:tc>
        <w:tc>
          <w:tcPr>
            <w:tcW w:w="1045" w:type="dxa"/>
            <w:tcBorders>
              <w:top w:val="nil"/>
              <w:left w:val="nil"/>
              <w:bottom w:val="single" w:sz="4" w:space="0" w:color="auto"/>
              <w:right w:val="single" w:sz="4" w:space="0" w:color="auto"/>
            </w:tcBorders>
            <w:shd w:val="clear" w:color="000000" w:fill="FFFFFF"/>
            <w:noWrap/>
            <w:vAlign w:val="center"/>
            <w:hideMark/>
          </w:tcPr>
          <w:p w14:paraId="7BFA18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1.49</w:t>
            </w:r>
          </w:p>
        </w:tc>
      </w:tr>
      <w:tr w:rsidR="00177999" w:rsidRPr="00057D13" w14:paraId="04E7AA8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4B859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F5078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D3AE1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6D6A7D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573,435</w:t>
            </w:r>
          </w:p>
        </w:tc>
        <w:tc>
          <w:tcPr>
            <w:tcW w:w="854" w:type="dxa"/>
            <w:tcBorders>
              <w:top w:val="nil"/>
              <w:left w:val="nil"/>
              <w:bottom w:val="single" w:sz="4" w:space="0" w:color="auto"/>
              <w:right w:val="single" w:sz="4" w:space="0" w:color="auto"/>
            </w:tcBorders>
            <w:shd w:val="clear" w:color="000000" w:fill="FFFFFF"/>
            <w:noWrap/>
            <w:vAlign w:val="center"/>
            <w:hideMark/>
          </w:tcPr>
          <w:p w14:paraId="43F20A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7869B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18,629,280</w:t>
            </w:r>
          </w:p>
        </w:tc>
        <w:tc>
          <w:tcPr>
            <w:tcW w:w="623" w:type="dxa"/>
            <w:tcBorders>
              <w:top w:val="nil"/>
              <w:left w:val="nil"/>
              <w:bottom w:val="single" w:sz="4" w:space="0" w:color="auto"/>
              <w:right w:val="single" w:sz="4" w:space="0" w:color="auto"/>
            </w:tcBorders>
            <w:shd w:val="clear" w:color="000000" w:fill="FFFFFF"/>
            <w:noWrap/>
            <w:vAlign w:val="center"/>
            <w:hideMark/>
          </w:tcPr>
          <w:p w14:paraId="421643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w:t>
            </w:r>
          </w:p>
        </w:tc>
        <w:tc>
          <w:tcPr>
            <w:tcW w:w="811" w:type="dxa"/>
            <w:tcBorders>
              <w:top w:val="nil"/>
              <w:left w:val="nil"/>
              <w:bottom w:val="single" w:sz="4" w:space="0" w:color="auto"/>
              <w:right w:val="single" w:sz="4" w:space="0" w:color="auto"/>
            </w:tcBorders>
            <w:shd w:val="clear" w:color="000000" w:fill="FFFFFF"/>
            <w:noWrap/>
            <w:vAlign w:val="center"/>
            <w:hideMark/>
          </w:tcPr>
          <w:p w14:paraId="6B34EDF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653,693</w:t>
            </w:r>
          </w:p>
        </w:tc>
        <w:tc>
          <w:tcPr>
            <w:tcW w:w="855" w:type="dxa"/>
            <w:tcBorders>
              <w:top w:val="nil"/>
              <w:left w:val="nil"/>
              <w:bottom w:val="single" w:sz="4" w:space="0" w:color="auto"/>
              <w:right w:val="single" w:sz="4" w:space="0" w:color="auto"/>
            </w:tcBorders>
            <w:shd w:val="clear" w:color="000000" w:fill="FFFFFF"/>
            <w:noWrap/>
            <w:vAlign w:val="center"/>
            <w:hideMark/>
          </w:tcPr>
          <w:p w14:paraId="689AD1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w:t>
            </w:r>
          </w:p>
        </w:tc>
        <w:tc>
          <w:tcPr>
            <w:tcW w:w="1014" w:type="dxa"/>
            <w:tcBorders>
              <w:top w:val="nil"/>
              <w:left w:val="nil"/>
              <w:bottom w:val="single" w:sz="4" w:space="0" w:color="auto"/>
              <w:right w:val="single" w:sz="4" w:space="0" w:color="auto"/>
            </w:tcBorders>
            <w:shd w:val="clear" w:color="000000" w:fill="FFFFFF"/>
            <w:noWrap/>
            <w:vAlign w:val="center"/>
            <w:hideMark/>
          </w:tcPr>
          <w:p w14:paraId="166FD6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21,635,214</w:t>
            </w:r>
          </w:p>
        </w:tc>
        <w:tc>
          <w:tcPr>
            <w:tcW w:w="740" w:type="dxa"/>
            <w:tcBorders>
              <w:top w:val="nil"/>
              <w:left w:val="nil"/>
              <w:bottom w:val="single" w:sz="4" w:space="0" w:color="auto"/>
              <w:right w:val="single" w:sz="4" w:space="0" w:color="auto"/>
            </w:tcBorders>
            <w:shd w:val="clear" w:color="000000" w:fill="FFFFFF"/>
            <w:noWrap/>
            <w:vAlign w:val="center"/>
            <w:hideMark/>
          </w:tcPr>
          <w:p w14:paraId="5B801B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2.53</w:t>
            </w:r>
          </w:p>
        </w:tc>
        <w:tc>
          <w:tcPr>
            <w:tcW w:w="718" w:type="dxa"/>
            <w:tcBorders>
              <w:top w:val="nil"/>
              <w:left w:val="nil"/>
              <w:bottom w:val="single" w:sz="4" w:space="0" w:color="auto"/>
              <w:right w:val="single" w:sz="4" w:space="0" w:color="auto"/>
            </w:tcBorders>
            <w:shd w:val="clear" w:color="000000" w:fill="FFFFFF"/>
            <w:noWrap/>
            <w:vAlign w:val="center"/>
            <w:hideMark/>
          </w:tcPr>
          <w:p w14:paraId="5CAA37A3"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565,907</w:t>
            </w:r>
          </w:p>
        </w:tc>
        <w:tc>
          <w:tcPr>
            <w:tcW w:w="882" w:type="dxa"/>
            <w:tcBorders>
              <w:top w:val="nil"/>
              <w:left w:val="nil"/>
              <w:bottom w:val="single" w:sz="4" w:space="0" w:color="auto"/>
              <w:right w:val="single" w:sz="4" w:space="0" w:color="auto"/>
            </w:tcBorders>
            <w:shd w:val="clear" w:color="000000" w:fill="FFFFFF"/>
            <w:noWrap/>
            <w:vAlign w:val="center"/>
            <w:hideMark/>
          </w:tcPr>
          <w:p w14:paraId="092543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5A601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18,279,130</w:t>
            </w:r>
          </w:p>
        </w:tc>
        <w:tc>
          <w:tcPr>
            <w:tcW w:w="1045" w:type="dxa"/>
            <w:tcBorders>
              <w:top w:val="nil"/>
              <w:left w:val="nil"/>
              <w:bottom w:val="single" w:sz="4" w:space="0" w:color="auto"/>
              <w:right w:val="single" w:sz="4" w:space="0" w:color="auto"/>
            </w:tcBorders>
            <w:shd w:val="clear" w:color="000000" w:fill="FFFFFF"/>
            <w:noWrap/>
            <w:vAlign w:val="center"/>
            <w:hideMark/>
          </w:tcPr>
          <w:p w14:paraId="7C9F43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0.85</w:t>
            </w:r>
          </w:p>
        </w:tc>
      </w:tr>
      <w:tr w:rsidR="00177999" w:rsidRPr="00057D13" w14:paraId="7A74890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68637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61346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C8B89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015C3F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291,710</w:t>
            </w:r>
          </w:p>
        </w:tc>
        <w:tc>
          <w:tcPr>
            <w:tcW w:w="854" w:type="dxa"/>
            <w:tcBorders>
              <w:top w:val="nil"/>
              <w:left w:val="nil"/>
              <w:bottom w:val="single" w:sz="4" w:space="0" w:color="auto"/>
              <w:right w:val="single" w:sz="4" w:space="0" w:color="auto"/>
            </w:tcBorders>
            <w:shd w:val="clear" w:color="000000" w:fill="FFFFFF"/>
            <w:noWrap/>
            <w:vAlign w:val="center"/>
            <w:hideMark/>
          </w:tcPr>
          <w:p w14:paraId="7E0C9B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4C787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9,535,013</w:t>
            </w:r>
          </w:p>
        </w:tc>
        <w:tc>
          <w:tcPr>
            <w:tcW w:w="623" w:type="dxa"/>
            <w:tcBorders>
              <w:top w:val="nil"/>
              <w:left w:val="nil"/>
              <w:bottom w:val="single" w:sz="4" w:space="0" w:color="auto"/>
              <w:right w:val="single" w:sz="4" w:space="0" w:color="auto"/>
            </w:tcBorders>
            <w:shd w:val="clear" w:color="000000" w:fill="FFFFFF"/>
            <w:noWrap/>
            <w:vAlign w:val="center"/>
            <w:hideMark/>
          </w:tcPr>
          <w:p w14:paraId="35A06C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w:t>
            </w:r>
          </w:p>
        </w:tc>
        <w:tc>
          <w:tcPr>
            <w:tcW w:w="811" w:type="dxa"/>
            <w:tcBorders>
              <w:top w:val="nil"/>
              <w:left w:val="nil"/>
              <w:bottom w:val="single" w:sz="4" w:space="0" w:color="auto"/>
              <w:right w:val="single" w:sz="4" w:space="0" w:color="auto"/>
            </w:tcBorders>
            <w:shd w:val="clear" w:color="000000" w:fill="FFFFFF"/>
            <w:noWrap/>
            <w:vAlign w:val="center"/>
            <w:hideMark/>
          </w:tcPr>
          <w:p w14:paraId="665D045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335,123</w:t>
            </w:r>
          </w:p>
        </w:tc>
        <w:tc>
          <w:tcPr>
            <w:tcW w:w="855" w:type="dxa"/>
            <w:tcBorders>
              <w:top w:val="nil"/>
              <w:left w:val="nil"/>
              <w:bottom w:val="single" w:sz="4" w:space="0" w:color="auto"/>
              <w:right w:val="single" w:sz="4" w:space="0" w:color="auto"/>
            </w:tcBorders>
            <w:shd w:val="clear" w:color="000000" w:fill="FFFFFF"/>
            <w:noWrap/>
            <w:vAlign w:val="center"/>
            <w:hideMark/>
          </w:tcPr>
          <w:p w14:paraId="197C2F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C2907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11,256,120</w:t>
            </w:r>
          </w:p>
        </w:tc>
        <w:tc>
          <w:tcPr>
            <w:tcW w:w="740" w:type="dxa"/>
            <w:tcBorders>
              <w:top w:val="nil"/>
              <w:left w:val="nil"/>
              <w:bottom w:val="single" w:sz="4" w:space="0" w:color="auto"/>
              <w:right w:val="single" w:sz="4" w:space="0" w:color="auto"/>
            </w:tcBorders>
            <w:shd w:val="clear" w:color="000000" w:fill="FFFFFF"/>
            <w:noWrap/>
            <w:vAlign w:val="center"/>
            <w:hideMark/>
          </w:tcPr>
          <w:p w14:paraId="5D17D6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1.78</w:t>
            </w:r>
          </w:p>
        </w:tc>
        <w:tc>
          <w:tcPr>
            <w:tcW w:w="718" w:type="dxa"/>
            <w:tcBorders>
              <w:top w:val="nil"/>
              <w:left w:val="nil"/>
              <w:bottom w:val="single" w:sz="4" w:space="0" w:color="auto"/>
              <w:right w:val="single" w:sz="4" w:space="0" w:color="auto"/>
            </w:tcBorders>
            <w:shd w:val="clear" w:color="000000" w:fill="FFFFFF"/>
            <w:noWrap/>
            <w:vAlign w:val="center"/>
            <w:hideMark/>
          </w:tcPr>
          <w:p w14:paraId="768173B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286,147</w:t>
            </w:r>
          </w:p>
        </w:tc>
        <w:tc>
          <w:tcPr>
            <w:tcW w:w="882" w:type="dxa"/>
            <w:tcBorders>
              <w:top w:val="nil"/>
              <w:left w:val="nil"/>
              <w:bottom w:val="single" w:sz="4" w:space="0" w:color="auto"/>
              <w:right w:val="single" w:sz="4" w:space="0" w:color="auto"/>
            </w:tcBorders>
            <w:shd w:val="clear" w:color="000000" w:fill="FFFFFF"/>
            <w:noWrap/>
            <w:vAlign w:val="center"/>
            <w:hideMark/>
          </w:tcPr>
          <w:p w14:paraId="5F41F4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04405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9,350,455</w:t>
            </w:r>
          </w:p>
        </w:tc>
        <w:tc>
          <w:tcPr>
            <w:tcW w:w="1045" w:type="dxa"/>
            <w:tcBorders>
              <w:top w:val="nil"/>
              <w:left w:val="nil"/>
              <w:bottom w:val="single" w:sz="4" w:space="0" w:color="auto"/>
              <w:right w:val="single" w:sz="4" w:space="0" w:color="auto"/>
            </w:tcBorders>
            <w:shd w:val="clear" w:color="000000" w:fill="FFFFFF"/>
            <w:noWrap/>
            <w:vAlign w:val="center"/>
            <w:hideMark/>
          </w:tcPr>
          <w:p w14:paraId="4CA53F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0.60</w:t>
            </w:r>
          </w:p>
        </w:tc>
      </w:tr>
      <w:tr w:rsidR="00177999" w:rsidRPr="00057D13" w14:paraId="6736661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3B962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03BE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5CA6BE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3F823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318,509</w:t>
            </w:r>
          </w:p>
        </w:tc>
        <w:tc>
          <w:tcPr>
            <w:tcW w:w="854" w:type="dxa"/>
            <w:tcBorders>
              <w:top w:val="nil"/>
              <w:left w:val="nil"/>
              <w:bottom w:val="single" w:sz="4" w:space="0" w:color="auto"/>
              <w:right w:val="single" w:sz="4" w:space="0" w:color="auto"/>
            </w:tcBorders>
            <w:shd w:val="clear" w:color="000000" w:fill="FFFFFF"/>
            <w:noWrap/>
            <w:vAlign w:val="center"/>
            <w:hideMark/>
          </w:tcPr>
          <w:p w14:paraId="6163B6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94CF9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7,961,202</w:t>
            </w:r>
          </w:p>
        </w:tc>
        <w:tc>
          <w:tcPr>
            <w:tcW w:w="623" w:type="dxa"/>
            <w:tcBorders>
              <w:top w:val="nil"/>
              <w:left w:val="nil"/>
              <w:bottom w:val="single" w:sz="4" w:space="0" w:color="auto"/>
              <w:right w:val="single" w:sz="4" w:space="0" w:color="auto"/>
            </w:tcBorders>
            <w:shd w:val="clear" w:color="000000" w:fill="FFFFFF"/>
            <w:noWrap/>
            <w:vAlign w:val="center"/>
            <w:hideMark/>
          </w:tcPr>
          <w:p w14:paraId="290C94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2.04</w:t>
            </w:r>
          </w:p>
        </w:tc>
        <w:tc>
          <w:tcPr>
            <w:tcW w:w="811" w:type="dxa"/>
            <w:tcBorders>
              <w:top w:val="nil"/>
              <w:left w:val="nil"/>
              <w:bottom w:val="single" w:sz="4" w:space="0" w:color="auto"/>
              <w:right w:val="single" w:sz="4" w:space="0" w:color="auto"/>
            </w:tcBorders>
            <w:shd w:val="clear" w:color="000000" w:fill="FFFFFF"/>
            <w:noWrap/>
            <w:vAlign w:val="center"/>
            <w:hideMark/>
          </w:tcPr>
          <w:p w14:paraId="62A3BC9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335,563</w:t>
            </w:r>
          </w:p>
        </w:tc>
        <w:tc>
          <w:tcPr>
            <w:tcW w:w="855" w:type="dxa"/>
            <w:tcBorders>
              <w:top w:val="nil"/>
              <w:left w:val="nil"/>
              <w:bottom w:val="single" w:sz="4" w:space="0" w:color="auto"/>
              <w:right w:val="single" w:sz="4" w:space="0" w:color="auto"/>
            </w:tcBorders>
            <w:shd w:val="clear" w:color="000000" w:fill="FFFFFF"/>
            <w:noWrap/>
            <w:vAlign w:val="center"/>
            <w:hideMark/>
          </w:tcPr>
          <w:p w14:paraId="3E862D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C90D4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8,994,830</w:t>
            </w:r>
          </w:p>
        </w:tc>
        <w:tc>
          <w:tcPr>
            <w:tcW w:w="740" w:type="dxa"/>
            <w:tcBorders>
              <w:top w:val="nil"/>
              <w:left w:val="nil"/>
              <w:bottom w:val="single" w:sz="4" w:space="0" w:color="auto"/>
              <w:right w:val="single" w:sz="4" w:space="0" w:color="auto"/>
            </w:tcBorders>
            <w:shd w:val="clear" w:color="000000" w:fill="FFFFFF"/>
            <w:noWrap/>
            <w:vAlign w:val="center"/>
            <w:hideMark/>
          </w:tcPr>
          <w:p w14:paraId="1B36EA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2.38</w:t>
            </w:r>
          </w:p>
        </w:tc>
        <w:tc>
          <w:tcPr>
            <w:tcW w:w="718" w:type="dxa"/>
            <w:tcBorders>
              <w:top w:val="nil"/>
              <w:left w:val="nil"/>
              <w:bottom w:val="single" w:sz="4" w:space="0" w:color="auto"/>
              <w:right w:val="single" w:sz="4" w:space="0" w:color="auto"/>
            </w:tcBorders>
            <w:shd w:val="clear" w:color="000000" w:fill="FFFFFF"/>
            <w:noWrap/>
            <w:vAlign w:val="center"/>
            <w:hideMark/>
          </w:tcPr>
          <w:p w14:paraId="24BC1E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310,663</w:t>
            </w:r>
          </w:p>
        </w:tc>
        <w:tc>
          <w:tcPr>
            <w:tcW w:w="882" w:type="dxa"/>
            <w:tcBorders>
              <w:top w:val="nil"/>
              <w:left w:val="nil"/>
              <w:bottom w:val="single" w:sz="4" w:space="0" w:color="auto"/>
              <w:right w:val="single" w:sz="4" w:space="0" w:color="auto"/>
            </w:tcBorders>
            <w:shd w:val="clear" w:color="000000" w:fill="FFFFFF"/>
            <w:noWrap/>
            <w:vAlign w:val="center"/>
            <w:hideMark/>
          </w:tcPr>
          <w:p w14:paraId="5FF765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0F0AD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7,872,969</w:t>
            </w:r>
          </w:p>
        </w:tc>
        <w:tc>
          <w:tcPr>
            <w:tcW w:w="1045" w:type="dxa"/>
            <w:tcBorders>
              <w:top w:val="nil"/>
              <w:left w:val="nil"/>
              <w:bottom w:val="single" w:sz="4" w:space="0" w:color="auto"/>
              <w:right w:val="single" w:sz="4" w:space="0" w:color="auto"/>
            </w:tcBorders>
            <w:shd w:val="clear" w:color="000000" w:fill="FFFFFF"/>
            <w:noWrap/>
            <w:vAlign w:val="center"/>
            <w:hideMark/>
          </w:tcPr>
          <w:p w14:paraId="1C4D94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0.57</w:t>
            </w:r>
          </w:p>
        </w:tc>
      </w:tr>
      <w:tr w:rsidR="00177999" w:rsidRPr="00057D13" w14:paraId="25D19FF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CF805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1F43A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16E70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4D6ED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302,187</w:t>
            </w:r>
          </w:p>
        </w:tc>
        <w:tc>
          <w:tcPr>
            <w:tcW w:w="854" w:type="dxa"/>
            <w:tcBorders>
              <w:top w:val="nil"/>
              <w:left w:val="nil"/>
              <w:bottom w:val="single" w:sz="4" w:space="0" w:color="auto"/>
              <w:right w:val="single" w:sz="4" w:space="0" w:color="auto"/>
            </w:tcBorders>
            <w:shd w:val="clear" w:color="000000" w:fill="FFFFFF"/>
            <w:noWrap/>
            <w:vAlign w:val="center"/>
            <w:hideMark/>
          </w:tcPr>
          <w:p w14:paraId="147165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D565E8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7,406,353</w:t>
            </w:r>
          </w:p>
        </w:tc>
        <w:tc>
          <w:tcPr>
            <w:tcW w:w="623" w:type="dxa"/>
            <w:tcBorders>
              <w:top w:val="nil"/>
              <w:left w:val="nil"/>
              <w:bottom w:val="single" w:sz="4" w:space="0" w:color="auto"/>
              <w:right w:val="single" w:sz="4" w:space="0" w:color="auto"/>
            </w:tcBorders>
            <w:shd w:val="clear" w:color="000000" w:fill="FFFFFF"/>
            <w:noWrap/>
            <w:vAlign w:val="center"/>
            <w:hideMark/>
          </w:tcPr>
          <w:p w14:paraId="557498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1.09</w:t>
            </w:r>
          </w:p>
        </w:tc>
        <w:tc>
          <w:tcPr>
            <w:tcW w:w="811" w:type="dxa"/>
            <w:tcBorders>
              <w:top w:val="nil"/>
              <w:left w:val="nil"/>
              <w:bottom w:val="single" w:sz="4" w:space="0" w:color="auto"/>
              <w:right w:val="single" w:sz="4" w:space="0" w:color="auto"/>
            </w:tcBorders>
            <w:shd w:val="clear" w:color="000000" w:fill="FFFFFF"/>
            <w:noWrap/>
            <w:vAlign w:val="center"/>
            <w:hideMark/>
          </w:tcPr>
          <w:p w14:paraId="74FA7A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356,812</w:t>
            </w:r>
          </w:p>
        </w:tc>
        <w:tc>
          <w:tcPr>
            <w:tcW w:w="855" w:type="dxa"/>
            <w:tcBorders>
              <w:top w:val="nil"/>
              <w:left w:val="nil"/>
              <w:bottom w:val="single" w:sz="4" w:space="0" w:color="auto"/>
              <w:right w:val="single" w:sz="4" w:space="0" w:color="auto"/>
            </w:tcBorders>
            <w:shd w:val="clear" w:color="000000" w:fill="FFFFFF"/>
            <w:noWrap/>
            <w:vAlign w:val="center"/>
            <w:hideMark/>
          </w:tcPr>
          <w:p w14:paraId="4845CD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8F929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9,297,471</w:t>
            </w:r>
          </w:p>
        </w:tc>
        <w:tc>
          <w:tcPr>
            <w:tcW w:w="740" w:type="dxa"/>
            <w:tcBorders>
              <w:top w:val="nil"/>
              <w:left w:val="nil"/>
              <w:bottom w:val="single" w:sz="4" w:space="0" w:color="auto"/>
              <w:right w:val="single" w:sz="4" w:space="0" w:color="auto"/>
            </w:tcBorders>
            <w:shd w:val="clear" w:color="000000" w:fill="FFFFFF"/>
            <w:noWrap/>
            <w:vAlign w:val="center"/>
            <w:hideMark/>
          </w:tcPr>
          <w:p w14:paraId="49B632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1.96</w:t>
            </w:r>
          </w:p>
        </w:tc>
        <w:tc>
          <w:tcPr>
            <w:tcW w:w="718" w:type="dxa"/>
            <w:tcBorders>
              <w:top w:val="nil"/>
              <w:left w:val="nil"/>
              <w:bottom w:val="single" w:sz="4" w:space="0" w:color="auto"/>
              <w:right w:val="single" w:sz="4" w:space="0" w:color="auto"/>
            </w:tcBorders>
            <w:shd w:val="clear" w:color="000000" w:fill="FFFFFF"/>
            <w:noWrap/>
            <w:vAlign w:val="center"/>
            <w:hideMark/>
          </w:tcPr>
          <w:p w14:paraId="6DB784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302,645</w:t>
            </w:r>
          </w:p>
        </w:tc>
        <w:tc>
          <w:tcPr>
            <w:tcW w:w="882" w:type="dxa"/>
            <w:tcBorders>
              <w:top w:val="nil"/>
              <w:left w:val="nil"/>
              <w:bottom w:val="single" w:sz="4" w:space="0" w:color="auto"/>
              <w:right w:val="single" w:sz="4" w:space="0" w:color="auto"/>
            </w:tcBorders>
            <w:shd w:val="clear" w:color="000000" w:fill="FFFFFF"/>
            <w:noWrap/>
            <w:vAlign w:val="center"/>
            <w:hideMark/>
          </w:tcPr>
          <w:p w14:paraId="346458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8AAEE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7,540,525</w:t>
            </w:r>
          </w:p>
        </w:tc>
        <w:tc>
          <w:tcPr>
            <w:tcW w:w="1045" w:type="dxa"/>
            <w:tcBorders>
              <w:top w:val="nil"/>
              <w:left w:val="nil"/>
              <w:bottom w:val="single" w:sz="4" w:space="0" w:color="auto"/>
              <w:right w:val="single" w:sz="4" w:space="0" w:color="auto"/>
            </w:tcBorders>
            <w:shd w:val="clear" w:color="000000" w:fill="FFFFFF"/>
            <w:noWrap/>
            <w:vAlign w:val="center"/>
            <w:hideMark/>
          </w:tcPr>
          <w:p w14:paraId="207AE5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0.41</w:t>
            </w:r>
          </w:p>
        </w:tc>
      </w:tr>
      <w:tr w:rsidR="00177999" w:rsidRPr="00057D13" w14:paraId="1C3B4CD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5F275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1867D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F8CEA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C1BE8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155,435</w:t>
            </w:r>
          </w:p>
        </w:tc>
        <w:tc>
          <w:tcPr>
            <w:tcW w:w="854" w:type="dxa"/>
            <w:tcBorders>
              <w:top w:val="nil"/>
              <w:left w:val="nil"/>
              <w:bottom w:val="single" w:sz="4" w:space="0" w:color="auto"/>
              <w:right w:val="single" w:sz="4" w:space="0" w:color="auto"/>
            </w:tcBorders>
            <w:shd w:val="clear" w:color="000000" w:fill="FFFFFF"/>
            <w:noWrap/>
            <w:vAlign w:val="center"/>
            <w:hideMark/>
          </w:tcPr>
          <w:p w14:paraId="05C653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46B3B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3,889,573</w:t>
            </w:r>
          </w:p>
        </w:tc>
        <w:tc>
          <w:tcPr>
            <w:tcW w:w="623" w:type="dxa"/>
            <w:tcBorders>
              <w:top w:val="nil"/>
              <w:left w:val="nil"/>
              <w:bottom w:val="single" w:sz="4" w:space="0" w:color="auto"/>
              <w:right w:val="single" w:sz="4" w:space="0" w:color="auto"/>
            </w:tcBorders>
            <w:shd w:val="clear" w:color="000000" w:fill="FFFFFF"/>
            <w:noWrap/>
            <w:vAlign w:val="center"/>
            <w:hideMark/>
          </w:tcPr>
          <w:p w14:paraId="40D9A4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0.82</w:t>
            </w:r>
          </w:p>
        </w:tc>
        <w:tc>
          <w:tcPr>
            <w:tcW w:w="811" w:type="dxa"/>
            <w:tcBorders>
              <w:top w:val="nil"/>
              <w:left w:val="nil"/>
              <w:bottom w:val="single" w:sz="4" w:space="0" w:color="auto"/>
              <w:right w:val="single" w:sz="4" w:space="0" w:color="auto"/>
            </w:tcBorders>
            <w:shd w:val="clear" w:color="000000" w:fill="FFFFFF"/>
            <w:noWrap/>
            <w:vAlign w:val="center"/>
            <w:hideMark/>
          </w:tcPr>
          <w:p w14:paraId="78843A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187,203</w:t>
            </w:r>
          </w:p>
        </w:tc>
        <w:tc>
          <w:tcPr>
            <w:tcW w:w="855" w:type="dxa"/>
            <w:tcBorders>
              <w:top w:val="nil"/>
              <w:left w:val="nil"/>
              <w:bottom w:val="single" w:sz="4" w:space="0" w:color="auto"/>
              <w:right w:val="single" w:sz="4" w:space="0" w:color="auto"/>
            </w:tcBorders>
            <w:shd w:val="clear" w:color="000000" w:fill="FFFFFF"/>
            <w:noWrap/>
            <w:vAlign w:val="center"/>
            <w:hideMark/>
          </w:tcPr>
          <w:p w14:paraId="03D6D6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3FA10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5,103,168</w:t>
            </w:r>
          </w:p>
        </w:tc>
        <w:tc>
          <w:tcPr>
            <w:tcW w:w="740" w:type="dxa"/>
            <w:tcBorders>
              <w:top w:val="nil"/>
              <w:left w:val="nil"/>
              <w:bottom w:val="single" w:sz="4" w:space="0" w:color="auto"/>
              <w:right w:val="single" w:sz="4" w:space="0" w:color="auto"/>
            </w:tcBorders>
            <w:shd w:val="clear" w:color="000000" w:fill="FFFFFF"/>
            <w:noWrap/>
            <w:vAlign w:val="center"/>
            <w:hideMark/>
          </w:tcPr>
          <w:p w14:paraId="0B5886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3.29</w:t>
            </w:r>
          </w:p>
        </w:tc>
        <w:tc>
          <w:tcPr>
            <w:tcW w:w="718" w:type="dxa"/>
            <w:tcBorders>
              <w:top w:val="nil"/>
              <w:left w:val="nil"/>
              <w:bottom w:val="single" w:sz="4" w:space="0" w:color="auto"/>
              <w:right w:val="single" w:sz="4" w:space="0" w:color="auto"/>
            </w:tcBorders>
            <w:shd w:val="clear" w:color="000000" w:fill="FFFFFF"/>
            <w:noWrap/>
            <w:vAlign w:val="center"/>
            <w:hideMark/>
          </w:tcPr>
          <w:p w14:paraId="5E3446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155,845</w:t>
            </w:r>
          </w:p>
        </w:tc>
        <w:tc>
          <w:tcPr>
            <w:tcW w:w="882" w:type="dxa"/>
            <w:tcBorders>
              <w:top w:val="nil"/>
              <w:left w:val="nil"/>
              <w:bottom w:val="single" w:sz="4" w:space="0" w:color="auto"/>
              <w:right w:val="single" w:sz="4" w:space="0" w:color="auto"/>
            </w:tcBorders>
            <w:shd w:val="clear" w:color="000000" w:fill="FFFFFF"/>
            <w:noWrap/>
            <w:vAlign w:val="center"/>
            <w:hideMark/>
          </w:tcPr>
          <w:p w14:paraId="167B2B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E4A75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4,034,298</w:t>
            </w:r>
          </w:p>
        </w:tc>
        <w:tc>
          <w:tcPr>
            <w:tcW w:w="1045" w:type="dxa"/>
            <w:tcBorders>
              <w:top w:val="nil"/>
              <w:left w:val="nil"/>
              <w:bottom w:val="single" w:sz="4" w:space="0" w:color="auto"/>
              <w:right w:val="single" w:sz="4" w:space="0" w:color="auto"/>
            </w:tcBorders>
            <w:shd w:val="clear" w:color="000000" w:fill="FFFFFF"/>
            <w:noWrap/>
            <w:vAlign w:val="center"/>
            <w:hideMark/>
          </w:tcPr>
          <w:p w14:paraId="597C9A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0.46</w:t>
            </w:r>
          </w:p>
        </w:tc>
      </w:tr>
      <w:tr w:rsidR="00177999" w:rsidRPr="00057D13" w14:paraId="77E87BD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9FF80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E49D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627F0E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F6345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285,003</w:t>
            </w:r>
          </w:p>
        </w:tc>
        <w:tc>
          <w:tcPr>
            <w:tcW w:w="854" w:type="dxa"/>
            <w:tcBorders>
              <w:top w:val="nil"/>
              <w:left w:val="nil"/>
              <w:bottom w:val="single" w:sz="4" w:space="0" w:color="auto"/>
              <w:right w:val="single" w:sz="4" w:space="0" w:color="auto"/>
            </w:tcBorders>
            <w:shd w:val="clear" w:color="000000" w:fill="FFFFFF"/>
            <w:noWrap/>
            <w:vAlign w:val="center"/>
            <w:hideMark/>
          </w:tcPr>
          <w:p w14:paraId="5E6BA8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33806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11,528,317</w:t>
            </w:r>
          </w:p>
        </w:tc>
        <w:tc>
          <w:tcPr>
            <w:tcW w:w="623" w:type="dxa"/>
            <w:tcBorders>
              <w:top w:val="nil"/>
              <w:left w:val="nil"/>
              <w:bottom w:val="single" w:sz="4" w:space="0" w:color="auto"/>
              <w:right w:val="single" w:sz="4" w:space="0" w:color="auto"/>
            </w:tcBorders>
            <w:shd w:val="clear" w:color="000000" w:fill="FFFFFF"/>
            <w:noWrap/>
            <w:vAlign w:val="center"/>
            <w:hideMark/>
          </w:tcPr>
          <w:p w14:paraId="775306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2.13</w:t>
            </w:r>
          </w:p>
        </w:tc>
        <w:tc>
          <w:tcPr>
            <w:tcW w:w="811" w:type="dxa"/>
            <w:tcBorders>
              <w:top w:val="nil"/>
              <w:left w:val="nil"/>
              <w:bottom w:val="single" w:sz="4" w:space="0" w:color="auto"/>
              <w:right w:val="single" w:sz="4" w:space="0" w:color="auto"/>
            </w:tcBorders>
            <w:shd w:val="clear" w:color="000000" w:fill="FFFFFF"/>
            <w:noWrap/>
            <w:vAlign w:val="center"/>
            <w:hideMark/>
          </w:tcPr>
          <w:p w14:paraId="472D68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269,541</w:t>
            </w:r>
          </w:p>
        </w:tc>
        <w:tc>
          <w:tcPr>
            <w:tcW w:w="855" w:type="dxa"/>
            <w:tcBorders>
              <w:top w:val="nil"/>
              <w:left w:val="nil"/>
              <w:bottom w:val="single" w:sz="4" w:space="0" w:color="auto"/>
              <w:right w:val="single" w:sz="4" w:space="0" w:color="auto"/>
            </w:tcBorders>
            <w:shd w:val="clear" w:color="000000" w:fill="FFFFFF"/>
            <w:noWrap/>
            <w:vAlign w:val="center"/>
            <w:hideMark/>
          </w:tcPr>
          <w:p w14:paraId="3404E3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A8DCD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10,965,900</w:t>
            </w:r>
          </w:p>
        </w:tc>
        <w:tc>
          <w:tcPr>
            <w:tcW w:w="740" w:type="dxa"/>
            <w:tcBorders>
              <w:top w:val="nil"/>
              <w:left w:val="nil"/>
              <w:bottom w:val="single" w:sz="4" w:space="0" w:color="auto"/>
              <w:right w:val="single" w:sz="4" w:space="0" w:color="auto"/>
            </w:tcBorders>
            <w:shd w:val="clear" w:color="000000" w:fill="FFFFFF"/>
            <w:noWrap/>
            <w:vAlign w:val="center"/>
            <w:hideMark/>
          </w:tcPr>
          <w:p w14:paraId="6D0754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1.51</w:t>
            </w:r>
          </w:p>
        </w:tc>
        <w:tc>
          <w:tcPr>
            <w:tcW w:w="718" w:type="dxa"/>
            <w:tcBorders>
              <w:top w:val="nil"/>
              <w:left w:val="nil"/>
              <w:bottom w:val="single" w:sz="4" w:space="0" w:color="auto"/>
              <w:right w:val="single" w:sz="4" w:space="0" w:color="auto"/>
            </w:tcBorders>
            <w:shd w:val="clear" w:color="000000" w:fill="FFFFFF"/>
            <w:noWrap/>
            <w:vAlign w:val="center"/>
            <w:hideMark/>
          </w:tcPr>
          <w:p w14:paraId="4D3748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262,054</w:t>
            </w:r>
          </w:p>
        </w:tc>
        <w:tc>
          <w:tcPr>
            <w:tcW w:w="882" w:type="dxa"/>
            <w:tcBorders>
              <w:top w:val="nil"/>
              <w:left w:val="nil"/>
              <w:bottom w:val="single" w:sz="4" w:space="0" w:color="auto"/>
              <w:right w:val="single" w:sz="4" w:space="0" w:color="auto"/>
            </w:tcBorders>
            <w:shd w:val="clear" w:color="000000" w:fill="FFFFFF"/>
            <w:noWrap/>
            <w:vAlign w:val="center"/>
            <w:hideMark/>
          </w:tcPr>
          <w:p w14:paraId="5CEC0E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6FEF0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10,332,940</w:t>
            </w:r>
          </w:p>
        </w:tc>
        <w:tc>
          <w:tcPr>
            <w:tcW w:w="1045" w:type="dxa"/>
            <w:tcBorders>
              <w:top w:val="nil"/>
              <w:left w:val="nil"/>
              <w:bottom w:val="single" w:sz="4" w:space="0" w:color="auto"/>
              <w:right w:val="single" w:sz="4" w:space="0" w:color="auto"/>
            </w:tcBorders>
            <w:shd w:val="clear" w:color="000000" w:fill="FFFFFF"/>
            <w:noWrap/>
            <w:vAlign w:val="center"/>
            <w:hideMark/>
          </w:tcPr>
          <w:p w14:paraId="5D53EE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2.20</w:t>
            </w:r>
          </w:p>
        </w:tc>
      </w:tr>
      <w:tr w:rsidR="00177999" w:rsidRPr="00057D13" w14:paraId="76E7346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CE30E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DA909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8F079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C6E96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271,248</w:t>
            </w:r>
          </w:p>
        </w:tc>
        <w:tc>
          <w:tcPr>
            <w:tcW w:w="854" w:type="dxa"/>
            <w:tcBorders>
              <w:top w:val="nil"/>
              <w:left w:val="nil"/>
              <w:bottom w:val="single" w:sz="4" w:space="0" w:color="auto"/>
              <w:right w:val="single" w:sz="4" w:space="0" w:color="auto"/>
            </w:tcBorders>
            <w:shd w:val="clear" w:color="000000" w:fill="FFFFFF"/>
            <w:noWrap/>
            <w:vAlign w:val="center"/>
            <w:hideMark/>
          </w:tcPr>
          <w:p w14:paraId="799CE2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2B7F3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11,222,927</w:t>
            </w:r>
          </w:p>
        </w:tc>
        <w:tc>
          <w:tcPr>
            <w:tcW w:w="623" w:type="dxa"/>
            <w:tcBorders>
              <w:top w:val="nil"/>
              <w:left w:val="nil"/>
              <w:bottom w:val="single" w:sz="4" w:space="0" w:color="auto"/>
              <w:right w:val="single" w:sz="4" w:space="0" w:color="auto"/>
            </w:tcBorders>
            <w:shd w:val="clear" w:color="000000" w:fill="FFFFFF"/>
            <w:noWrap/>
            <w:vAlign w:val="center"/>
            <w:hideMark/>
          </w:tcPr>
          <w:p w14:paraId="35FEBC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w:t>
            </w:r>
          </w:p>
        </w:tc>
        <w:tc>
          <w:tcPr>
            <w:tcW w:w="811" w:type="dxa"/>
            <w:tcBorders>
              <w:top w:val="nil"/>
              <w:left w:val="nil"/>
              <w:bottom w:val="single" w:sz="4" w:space="0" w:color="auto"/>
              <w:right w:val="single" w:sz="4" w:space="0" w:color="auto"/>
            </w:tcBorders>
            <w:shd w:val="clear" w:color="000000" w:fill="FFFFFF"/>
            <w:noWrap/>
            <w:vAlign w:val="center"/>
            <w:hideMark/>
          </w:tcPr>
          <w:p w14:paraId="089066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296,881</w:t>
            </w:r>
          </w:p>
        </w:tc>
        <w:tc>
          <w:tcPr>
            <w:tcW w:w="855" w:type="dxa"/>
            <w:tcBorders>
              <w:top w:val="nil"/>
              <w:left w:val="nil"/>
              <w:bottom w:val="single" w:sz="4" w:space="0" w:color="auto"/>
              <w:right w:val="single" w:sz="4" w:space="0" w:color="auto"/>
            </w:tcBorders>
            <w:shd w:val="clear" w:color="000000" w:fill="FFFFFF"/>
            <w:noWrap/>
            <w:vAlign w:val="center"/>
            <w:hideMark/>
          </w:tcPr>
          <w:p w14:paraId="26C9D2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7AC36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12,337,743</w:t>
            </w:r>
          </w:p>
        </w:tc>
        <w:tc>
          <w:tcPr>
            <w:tcW w:w="740" w:type="dxa"/>
            <w:tcBorders>
              <w:top w:val="nil"/>
              <w:left w:val="nil"/>
              <w:bottom w:val="single" w:sz="4" w:space="0" w:color="auto"/>
              <w:right w:val="single" w:sz="4" w:space="0" w:color="auto"/>
            </w:tcBorders>
            <w:shd w:val="clear" w:color="000000" w:fill="FFFFFF"/>
            <w:noWrap/>
            <w:vAlign w:val="center"/>
            <w:hideMark/>
          </w:tcPr>
          <w:p w14:paraId="14A6D2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2.95</w:t>
            </w:r>
          </w:p>
        </w:tc>
        <w:tc>
          <w:tcPr>
            <w:tcW w:w="718" w:type="dxa"/>
            <w:tcBorders>
              <w:top w:val="nil"/>
              <w:left w:val="nil"/>
              <w:bottom w:val="single" w:sz="4" w:space="0" w:color="auto"/>
              <w:right w:val="single" w:sz="4" w:space="0" w:color="auto"/>
            </w:tcBorders>
            <w:shd w:val="clear" w:color="000000" w:fill="FFFFFF"/>
            <w:noWrap/>
            <w:vAlign w:val="center"/>
            <w:hideMark/>
          </w:tcPr>
          <w:p w14:paraId="5ED64D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263,262</w:t>
            </w:r>
          </w:p>
        </w:tc>
        <w:tc>
          <w:tcPr>
            <w:tcW w:w="882" w:type="dxa"/>
            <w:tcBorders>
              <w:top w:val="nil"/>
              <w:left w:val="nil"/>
              <w:bottom w:val="single" w:sz="4" w:space="0" w:color="auto"/>
              <w:right w:val="single" w:sz="4" w:space="0" w:color="auto"/>
            </w:tcBorders>
            <w:shd w:val="clear" w:color="000000" w:fill="FFFFFF"/>
            <w:noWrap/>
            <w:vAlign w:val="center"/>
            <w:hideMark/>
          </w:tcPr>
          <w:p w14:paraId="5E76EA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3143B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10,738,605</w:t>
            </w:r>
          </w:p>
        </w:tc>
        <w:tc>
          <w:tcPr>
            <w:tcW w:w="1045" w:type="dxa"/>
            <w:tcBorders>
              <w:top w:val="nil"/>
              <w:left w:val="nil"/>
              <w:bottom w:val="single" w:sz="4" w:space="0" w:color="auto"/>
              <w:right w:val="single" w:sz="4" w:space="0" w:color="auto"/>
            </w:tcBorders>
            <w:shd w:val="clear" w:color="000000" w:fill="FFFFFF"/>
            <w:noWrap/>
            <w:vAlign w:val="center"/>
            <w:hideMark/>
          </w:tcPr>
          <w:p w14:paraId="0A40E6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w:t>
            </w:r>
          </w:p>
        </w:tc>
      </w:tr>
      <w:tr w:rsidR="00177999" w:rsidRPr="00057D13" w14:paraId="7AD92FE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ED384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391FE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2CFF6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F3398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136,275</w:t>
            </w:r>
          </w:p>
        </w:tc>
        <w:tc>
          <w:tcPr>
            <w:tcW w:w="854" w:type="dxa"/>
            <w:tcBorders>
              <w:top w:val="nil"/>
              <w:left w:val="nil"/>
              <w:bottom w:val="single" w:sz="4" w:space="0" w:color="auto"/>
              <w:right w:val="single" w:sz="4" w:space="0" w:color="auto"/>
            </w:tcBorders>
            <w:shd w:val="clear" w:color="000000" w:fill="FFFFFF"/>
            <w:noWrap/>
            <w:vAlign w:val="center"/>
            <w:hideMark/>
          </w:tcPr>
          <w:p w14:paraId="797BE4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0FAC6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5,645,440</w:t>
            </w:r>
          </w:p>
        </w:tc>
        <w:tc>
          <w:tcPr>
            <w:tcW w:w="623" w:type="dxa"/>
            <w:tcBorders>
              <w:top w:val="nil"/>
              <w:left w:val="nil"/>
              <w:bottom w:val="single" w:sz="4" w:space="0" w:color="auto"/>
              <w:right w:val="single" w:sz="4" w:space="0" w:color="auto"/>
            </w:tcBorders>
            <w:shd w:val="clear" w:color="000000" w:fill="FFFFFF"/>
            <w:noWrap/>
            <w:vAlign w:val="center"/>
            <w:hideMark/>
          </w:tcPr>
          <w:p w14:paraId="4FABF2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w:t>
            </w:r>
          </w:p>
        </w:tc>
        <w:tc>
          <w:tcPr>
            <w:tcW w:w="811" w:type="dxa"/>
            <w:tcBorders>
              <w:top w:val="nil"/>
              <w:left w:val="nil"/>
              <w:bottom w:val="single" w:sz="4" w:space="0" w:color="auto"/>
              <w:right w:val="single" w:sz="4" w:space="0" w:color="auto"/>
            </w:tcBorders>
            <w:shd w:val="clear" w:color="000000" w:fill="FFFFFF"/>
            <w:noWrap/>
            <w:vAlign w:val="center"/>
            <w:hideMark/>
          </w:tcPr>
          <w:p w14:paraId="128555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147,920</w:t>
            </w:r>
          </w:p>
        </w:tc>
        <w:tc>
          <w:tcPr>
            <w:tcW w:w="855" w:type="dxa"/>
            <w:tcBorders>
              <w:top w:val="nil"/>
              <w:left w:val="nil"/>
              <w:bottom w:val="single" w:sz="4" w:space="0" w:color="auto"/>
              <w:right w:val="single" w:sz="4" w:space="0" w:color="auto"/>
            </w:tcBorders>
            <w:shd w:val="clear" w:color="000000" w:fill="FFFFFF"/>
            <w:noWrap/>
            <w:vAlign w:val="center"/>
            <w:hideMark/>
          </w:tcPr>
          <w:p w14:paraId="203A85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02DBB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6,152,952</w:t>
            </w:r>
          </w:p>
        </w:tc>
        <w:tc>
          <w:tcPr>
            <w:tcW w:w="740" w:type="dxa"/>
            <w:tcBorders>
              <w:top w:val="nil"/>
              <w:left w:val="nil"/>
              <w:bottom w:val="single" w:sz="4" w:space="0" w:color="auto"/>
              <w:right w:val="single" w:sz="4" w:space="0" w:color="auto"/>
            </w:tcBorders>
            <w:shd w:val="clear" w:color="000000" w:fill="FFFFFF"/>
            <w:noWrap/>
            <w:vAlign w:val="center"/>
            <w:hideMark/>
          </w:tcPr>
          <w:p w14:paraId="758DB6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0.54</w:t>
            </w:r>
          </w:p>
        </w:tc>
        <w:tc>
          <w:tcPr>
            <w:tcW w:w="718" w:type="dxa"/>
            <w:tcBorders>
              <w:top w:val="nil"/>
              <w:left w:val="nil"/>
              <w:bottom w:val="single" w:sz="4" w:space="0" w:color="auto"/>
              <w:right w:val="single" w:sz="4" w:space="0" w:color="auto"/>
            </w:tcBorders>
            <w:shd w:val="clear" w:color="000000" w:fill="FFFFFF"/>
            <w:noWrap/>
            <w:vAlign w:val="center"/>
            <w:hideMark/>
          </w:tcPr>
          <w:p w14:paraId="588EE3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130,302</w:t>
            </w:r>
          </w:p>
        </w:tc>
        <w:tc>
          <w:tcPr>
            <w:tcW w:w="882" w:type="dxa"/>
            <w:tcBorders>
              <w:top w:val="nil"/>
              <w:left w:val="nil"/>
              <w:bottom w:val="single" w:sz="4" w:space="0" w:color="auto"/>
              <w:right w:val="single" w:sz="4" w:space="0" w:color="auto"/>
            </w:tcBorders>
            <w:shd w:val="clear" w:color="000000" w:fill="FFFFFF"/>
            <w:noWrap/>
            <w:vAlign w:val="center"/>
            <w:hideMark/>
          </w:tcPr>
          <w:p w14:paraId="7CAB29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D5FF6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5,316,157</w:t>
            </w:r>
          </w:p>
        </w:tc>
        <w:tc>
          <w:tcPr>
            <w:tcW w:w="1045" w:type="dxa"/>
            <w:tcBorders>
              <w:top w:val="nil"/>
              <w:left w:val="nil"/>
              <w:bottom w:val="single" w:sz="4" w:space="0" w:color="auto"/>
              <w:right w:val="single" w:sz="4" w:space="0" w:color="auto"/>
            </w:tcBorders>
            <w:shd w:val="clear" w:color="000000" w:fill="FFFFFF"/>
            <w:noWrap/>
            <w:vAlign w:val="center"/>
            <w:hideMark/>
          </w:tcPr>
          <w:p w14:paraId="757DEC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0.70</w:t>
            </w:r>
          </w:p>
        </w:tc>
      </w:tr>
      <w:tr w:rsidR="00177999" w:rsidRPr="00057D13" w14:paraId="3D31C5D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90F1F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4423E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0C73ED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662699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11,441</w:t>
            </w:r>
          </w:p>
        </w:tc>
        <w:tc>
          <w:tcPr>
            <w:tcW w:w="854" w:type="dxa"/>
            <w:tcBorders>
              <w:top w:val="nil"/>
              <w:left w:val="nil"/>
              <w:bottom w:val="single" w:sz="4" w:space="0" w:color="auto"/>
              <w:right w:val="single" w:sz="4" w:space="0" w:color="auto"/>
            </w:tcBorders>
            <w:shd w:val="clear" w:color="000000" w:fill="FFFFFF"/>
            <w:noWrap/>
            <w:vAlign w:val="center"/>
            <w:hideMark/>
          </w:tcPr>
          <w:p w14:paraId="187A04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C01D3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150,770</w:t>
            </w:r>
          </w:p>
        </w:tc>
        <w:tc>
          <w:tcPr>
            <w:tcW w:w="623" w:type="dxa"/>
            <w:tcBorders>
              <w:top w:val="nil"/>
              <w:left w:val="nil"/>
              <w:bottom w:val="single" w:sz="4" w:space="0" w:color="auto"/>
              <w:right w:val="single" w:sz="4" w:space="0" w:color="auto"/>
            </w:tcBorders>
            <w:shd w:val="clear" w:color="000000" w:fill="FFFFFF"/>
            <w:noWrap/>
            <w:vAlign w:val="center"/>
            <w:hideMark/>
          </w:tcPr>
          <w:p w14:paraId="0D2672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712DA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1,340</w:t>
            </w:r>
          </w:p>
        </w:tc>
        <w:tc>
          <w:tcPr>
            <w:tcW w:w="855" w:type="dxa"/>
            <w:tcBorders>
              <w:top w:val="nil"/>
              <w:left w:val="nil"/>
              <w:bottom w:val="single" w:sz="4" w:space="0" w:color="auto"/>
              <w:right w:val="single" w:sz="4" w:space="0" w:color="auto"/>
            </w:tcBorders>
            <w:shd w:val="clear" w:color="000000" w:fill="FFFFFF"/>
            <w:noWrap/>
            <w:vAlign w:val="center"/>
            <w:hideMark/>
          </w:tcPr>
          <w:p w14:paraId="49494E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C4A41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47,511</w:t>
            </w:r>
          </w:p>
        </w:tc>
        <w:tc>
          <w:tcPr>
            <w:tcW w:w="740" w:type="dxa"/>
            <w:tcBorders>
              <w:top w:val="nil"/>
              <w:left w:val="nil"/>
              <w:bottom w:val="single" w:sz="4" w:space="0" w:color="auto"/>
              <w:right w:val="single" w:sz="4" w:space="0" w:color="auto"/>
            </w:tcBorders>
            <w:shd w:val="clear" w:color="000000" w:fill="FFFFFF"/>
            <w:noWrap/>
            <w:vAlign w:val="center"/>
            <w:hideMark/>
          </w:tcPr>
          <w:p w14:paraId="67B58F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B5EB3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19,043</w:t>
            </w:r>
          </w:p>
        </w:tc>
        <w:tc>
          <w:tcPr>
            <w:tcW w:w="882" w:type="dxa"/>
            <w:tcBorders>
              <w:top w:val="nil"/>
              <w:left w:val="nil"/>
              <w:bottom w:val="single" w:sz="4" w:space="0" w:color="auto"/>
              <w:right w:val="single" w:sz="4" w:space="0" w:color="auto"/>
            </w:tcBorders>
            <w:shd w:val="clear" w:color="000000" w:fill="FFFFFF"/>
            <w:noWrap/>
            <w:vAlign w:val="center"/>
            <w:hideMark/>
          </w:tcPr>
          <w:p w14:paraId="3B2508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6B2E4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369,817</w:t>
            </w:r>
          </w:p>
        </w:tc>
        <w:tc>
          <w:tcPr>
            <w:tcW w:w="1045" w:type="dxa"/>
            <w:tcBorders>
              <w:top w:val="nil"/>
              <w:left w:val="nil"/>
              <w:bottom w:val="single" w:sz="4" w:space="0" w:color="auto"/>
              <w:right w:val="single" w:sz="4" w:space="0" w:color="auto"/>
            </w:tcBorders>
            <w:shd w:val="clear" w:color="000000" w:fill="FFFFFF"/>
            <w:noWrap/>
            <w:vAlign w:val="center"/>
            <w:hideMark/>
          </w:tcPr>
          <w:p w14:paraId="67F857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A90FB6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98014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19AEB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F5465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53C0CD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86,150</w:t>
            </w:r>
          </w:p>
        </w:tc>
        <w:tc>
          <w:tcPr>
            <w:tcW w:w="854" w:type="dxa"/>
            <w:tcBorders>
              <w:top w:val="nil"/>
              <w:left w:val="nil"/>
              <w:bottom w:val="single" w:sz="4" w:space="0" w:color="auto"/>
              <w:right w:val="single" w:sz="4" w:space="0" w:color="auto"/>
            </w:tcBorders>
            <w:shd w:val="clear" w:color="000000" w:fill="FFFFFF"/>
            <w:noWrap/>
            <w:vAlign w:val="center"/>
            <w:hideMark/>
          </w:tcPr>
          <w:p w14:paraId="269174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52C73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3,430,922</w:t>
            </w:r>
          </w:p>
        </w:tc>
        <w:tc>
          <w:tcPr>
            <w:tcW w:w="623" w:type="dxa"/>
            <w:tcBorders>
              <w:top w:val="nil"/>
              <w:left w:val="nil"/>
              <w:bottom w:val="single" w:sz="4" w:space="0" w:color="auto"/>
              <w:right w:val="single" w:sz="4" w:space="0" w:color="auto"/>
            </w:tcBorders>
            <w:shd w:val="clear" w:color="000000" w:fill="FFFFFF"/>
            <w:noWrap/>
            <w:vAlign w:val="center"/>
            <w:hideMark/>
          </w:tcPr>
          <w:p w14:paraId="055AE9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BCB32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63,971</w:t>
            </w:r>
          </w:p>
        </w:tc>
        <w:tc>
          <w:tcPr>
            <w:tcW w:w="855" w:type="dxa"/>
            <w:tcBorders>
              <w:top w:val="nil"/>
              <w:left w:val="nil"/>
              <w:bottom w:val="single" w:sz="4" w:space="0" w:color="auto"/>
              <w:right w:val="single" w:sz="4" w:space="0" w:color="auto"/>
            </w:tcBorders>
            <w:shd w:val="clear" w:color="000000" w:fill="FFFFFF"/>
            <w:noWrap/>
            <w:vAlign w:val="center"/>
            <w:hideMark/>
          </w:tcPr>
          <w:p w14:paraId="0D6CC3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09F66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2,573,226</w:t>
            </w:r>
          </w:p>
        </w:tc>
        <w:tc>
          <w:tcPr>
            <w:tcW w:w="740" w:type="dxa"/>
            <w:tcBorders>
              <w:top w:val="nil"/>
              <w:left w:val="nil"/>
              <w:bottom w:val="single" w:sz="4" w:space="0" w:color="auto"/>
              <w:right w:val="single" w:sz="4" w:space="0" w:color="auto"/>
            </w:tcBorders>
            <w:shd w:val="clear" w:color="000000" w:fill="FFFFFF"/>
            <w:noWrap/>
            <w:vAlign w:val="center"/>
            <w:hideMark/>
          </w:tcPr>
          <w:p w14:paraId="1E2992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BE830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79,614</w:t>
            </w:r>
          </w:p>
        </w:tc>
        <w:tc>
          <w:tcPr>
            <w:tcW w:w="882" w:type="dxa"/>
            <w:tcBorders>
              <w:top w:val="nil"/>
              <w:left w:val="nil"/>
              <w:bottom w:val="single" w:sz="4" w:space="0" w:color="auto"/>
              <w:right w:val="single" w:sz="4" w:space="0" w:color="auto"/>
            </w:tcBorders>
            <w:shd w:val="clear" w:color="000000" w:fill="FFFFFF"/>
            <w:noWrap/>
            <w:vAlign w:val="center"/>
            <w:hideMark/>
          </w:tcPr>
          <w:p w14:paraId="55975D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AEED5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3,078,046</w:t>
            </w:r>
          </w:p>
        </w:tc>
        <w:tc>
          <w:tcPr>
            <w:tcW w:w="1045" w:type="dxa"/>
            <w:tcBorders>
              <w:top w:val="nil"/>
              <w:left w:val="nil"/>
              <w:bottom w:val="single" w:sz="4" w:space="0" w:color="auto"/>
              <w:right w:val="single" w:sz="4" w:space="0" w:color="auto"/>
            </w:tcBorders>
            <w:shd w:val="clear" w:color="000000" w:fill="FFFFFF"/>
            <w:noWrap/>
            <w:vAlign w:val="center"/>
            <w:hideMark/>
          </w:tcPr>
          <w:p w14:paraId="27733A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932B5E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709B7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AD720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9FCA2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BE730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57,838</w:t>
            </w:r>
          </w:p>
        </w:tc>
        <w:tc>
          <w:tcPr>
            <w:tcW w:w="854" w:type="dxa"/>
            <w:tcBorders>
              <w:top w:val="nil"/>
              <w:left w:val="nil"/>
              <w:bottom w:val="single" w:sz="4" w:space="0" w:color="auto"/>
              <w:right w:val="single" w:sz="4" w:space="0" w:color="auto"/>
            </w:tcBorders>
            <w:shd w:val="clear" w:color="000000" w:fill="FFFFFF"/>
            <w:noWrap/>
            <w:vAlign w:val="center"/>
            <w:hideMark/>
          </w:tcPr>
          <w:p w14:paraId="5F39C4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63DDC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2,320,008</w:t>
            </w:r>
          </w:p>
        </w:tc>
        <w:tc>
          <w:tcPr>
            <w:tcW w:w="623" w:type="dxa"/>
            <w:tcBorders>
              <w:top w:val="nil"/>
              <w:left w:val="nil"/>
              <w:bottom w:val="single" w:sz="4" w:space="0" w:color="auto"/>
              <w:right w:val="single" w:sz="4" w:space="0" w:color="auto"/>
            </w:tcBorders>
            <w:shd w:val="clear" w:color="000000" w:fill="FFFFFF"/>
            <w:noWrap/>
            <w:vAlign w:val="center"/>
            <w:hideMark/>
          </w:tcPr>
          <w:p w14:paraId="4E5269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w:t>
            </w:r>
          </w:p>
        </w:tc>
        <w:tc>
          <w:tcPr>
            <w:tcW w:w="811" w:type="dxa"/>
            <w:tcBorders>
              <w:top w:val="nil"/>
              <w:left w:val="nil"/>
              <w:bottom w:val="single" w:sz="4" w:space="0" w:color="auto"/>
              <w:right w:val="single" w:sz="4" w:space="0" w:color="auto"/>
            </w:tcBorders>
            <w:shd w:val="clear" w:color="000000" w:fill="FFFFFF"/>
            <w:noWrap/>
            <w:vAlign w:val="center"/>
            <w:hideMark/>
          </w:tcPr>
          <w:p w14:paraId="4AA0DD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43,127</w:t>
            </w:r>
          </w:p>
        </w:tc>
        <w:tc>
          <w:tcPr>
            <w:tcW w:w="855" w:type="dxa"/>
            <w:tcBorders>
              <w:top w:val="nil"/>
              <w:left w:val="nil"/>
              <w:bottom w:val="single" w:sz="4" w:space="0" w:color="auto"/>
              <w:right w:val="single" w:sz="4" w:space="0" w:color="auto"/>
            </w:tcBorders>
            <w:shd w:val="clear" w:color="000000" w:fill="FFFFFF"/>
            <w:noWrap/>
            <w:vAlign w:val="center"/>
            <w:hideMark/>
          </w:tcPr>
          <w:p w14:paraId="18687E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BD8F7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1,735,767</w:t>
            </w:r>
          </w:p>
        </w:tc>
        <w:tc>
          <w:tcPr>
            <w:tcW w:w="740" w:type="dxa"/>
            <w:tcBorders>
              <w:top w:val="nil"/>
              <w:left w:val="nil"/>
              <w:bottom w:val="single" w:sz="4" w:space="0" w:color="auto"/>
              <w:right w:val="single" w:sz="4" w:space="0" w:color="auto"/>
            </w:tcBorders>
            <w:shd w:val="clear" w:color="000000" w:fill="FFFFFF"/>
            <w:noWrap/>
            <w:vAlign w:val="center"/>
            <w:hideMark/>
          </w:tcPr>
          <w:p w14:paraId="4D8C67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w:t>
            </w:r>
          </w:p>
        </w:tc>
        <w:tc>
          <w:tcPr>
            <w:tcW w:w="718" w:type="dxa"/>
            <w:tcBorders>
              <w:top w:val="nil"/>
              <w:left w:val="nil"/>
              <w:bottom w:val="single" w:sz="4" w:space="0" w:color="auto"/>
              <w:right w:val="single" w:sz="4" w:space="0" w:color="auto"/>
            </w:tcBorders>
            <w:shd w:val="clear" w:color="000000" w:fill="FFFFFF"/>
            <w:noWrap/>
            <w:vAlign w:val="center"/>
            <w:hideMark/>
          </w:tcPr>
          <w:p w14:paraId="1E5C35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50,620</w:t>
            </w:r>
          </w:p>
        </w:tc>
        <w:tc>
          <w:tcPr>
            <w:tcW w:w="882" w:type="dxa"/>
            <w:tcBorders>
              <w:top w:val="nil"/>
              <w:left w:val="nil"/>
              <w:bottom w:val="single" w:sz="4" w:space="0" w:color="auto"/>
              <w:right w:val="single" w:sz="4" w:space="0" w:color="auto"/>
            </w:tcBorders>
            <w:shd w:val="clear" w:color="000000" w:fill="FFFFFF"/>
            <w:noWrap/>
            <w:vAlign w:val="center"/>
            <w:hideMark/>
          </w:tcPr>
          <w:p w14:paraId="527871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195DD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1,954,814</w:t>
            </w:r>
          </w:p>
        </w:tc>
        <w:tc>
          <w:tcPr>
            <w:tcW w:w="1045" w:type="dxa"/>
            <w:tcBorders>
              <w:top w:val="nil"/>
              <w:left w:val="nil"/>
              <w:bottom w:val="single" w:sz="4" w:space="0" w:color="auto"/>
              <w:right w:val="single" w:sz="4" w:space="0" w:color="auto"/>
            </w:tcBorders>
            <w:shd w:val="clear" w:color="000000" w:fill="FFFFFF"/>
            <w:noWrap/>
            <w:vAlign w:val="center"/>
            <w:hideMark/>
          </w:tcPr>
          <w:p w14:paraId="1D4C75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1.94</w:t>
            </w:r>
          </w:p>
        </w:tc>
      </w:tr>
      <w:tr w:rsidR="00177999" w:rsidRPr="00057D13" w14:paraId="79E1882B"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7964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Myocarditis/Pericarditis (1-</w:t>
            </w:r>
            <w:proofErr w:type="gramStart"/>
            <w:r w:rsidRPr="00057D13">
              <w:rPr>
                <w:rFonts w:ascii="Times New Roman" w:eastAsia="Times New Roman" w:hAnsi="Times New Roman" w:cs="Times New Roman"/>
                <w:color w:val="000000"/>
                <w:sz w:val="18"/>
                <w:szCs w:val="18"/>
              </w:rPr>
              <w:t>21 day</w:t>
            </w:r>
            <w:proofErr w:type="gramEnd"/>
            <w:r w:rsidRPr="00057D13">
              <w:rPr>
                <w:rFonts w:ascii="Times New Roman" w:eastAsia="Times New Roman" w:hAnsi="Times New Roman" w:cs="Times New Roman"/>
                <w:color w:val="000000"/>
                <w:sz w:val="18"/>
                <w:szCs w:val="18"/>
              </w:rPr>
              <w:t xml:space="preserve"> risk window, all settings)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1A90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031C25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9C4CE6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603,585</w:t>
            </w:r>
          </w:p>
        </w:tc>
        <w:tc>
          <w:tcPr>
            <w:tcW w:w="854" w:type="dxa"/>
            <w:tcBorders>
              <w:top w:val="nil"/>
              <w:left w:val="nil"/>
              <w:bottom w:val="single" w:sz="4" w:space="0" w:color="auto"/>
              <w:right w:val="single" w:sz="4" w:space="0" w:color="auto"/>
            </w:tcBorders>
            <w:shd w:val="clear" w:color="000000" w:fill="FFFFFF"/>
            <w:noWrap/>
            <w:vAlign w:val="center"/>
            <w:hideMark/>
          </w:tcPr>
          <w:p w14:paraId="3E2F88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09B79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12,485,896</w:t>
            </w:r>
          </w:p>
        </w:tc>
        <w:tc>
          <w:tcPr>
            <w:tcW w:w="623" w:type="dxa"/>
            <w:tcBorders>
              <w:top w:val="nil"/>
              <w:left w:val="nil"/>
              <w:bottom w:val="single" w:sz="4" w:space="0" w:color="auto"/>
              <w:right w:val="single" w:sz="4" w:space="0" w:color="auto"/>
            </w:tcBorders>
            <w:shd w:val="clear" w:color="000000" w:fill="FFFFFF"/>
            <w:noWrap/>
            <w:vAlign w:val="center"/>
            <w:hideMark/>
          </w:tcPr>
          <w:p w14:paraId="279846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3.44</w:t>
            </w:r>
          </w:p>
        </w:tc>
        <w:tc>
          <w:tcPr>
            <w:tcW w:w="811" w:type="dxa"/>
            <w:tcBorders>
              <w:top w:val="nil"/>
              <w:left w:val="nil"/>
              <w:bottom w:val="single" w:sz="4" w:space="0" w:color="auto"/>
              <w:right w:val="single" w:sz="4" w:space="0" w:color="auto"/>
            </w:tcBorders>
            <w:shd w:val="clear" w:color="000000" w:fill="FFFFFF"/>
            <w:noWrap/>
            <w:vAlign w:val="center"/>
            <w:hideMark/>
          </w:tcPr>
          <w:p w14:paraId="17C831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605,143</w:t>
            </w:r>
          </w:p>
        </w:tc>
        <w:tc>
          <w:tcPr>
            <w:tcW w:w="855" w:type="dxa"/>
            <w:tcBorders>
              <w:top w:val="nil"/>
              <w:left w:val="nil"/>
              <w:bottom w:val="single" w:sz="4" w:space="0" w:color="auto"/>
              <w:right w:val="single" w:sz="4" w:space="0" w:color="auto"/>
            </w:tcBorders>
            <w:shd w:val="clear" w:color="000000" w:fill="FFFFFF"/>
            <w:noWrap/>
            <w:vAlign w:val="center"/>
            <w:hideMark/>
          </w:tcPr>
          <w:p w14:paraId="762440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7B85C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12,561,157</w:t>
            </w:r>
          </w:p>
        </w:tc>
        <w:tc>
          <w:tcPr>
            <w:tcW w:w="740" w:type="dxa"/>
            <w:tcBorders>
              <w:top w:val="nil"/>
              <w:left w:val="nil"/>
              <w:bottom w:val="single" w:sz="4" w:space="0" w:color="auto"/>
              <w:right w:val="single" w:sz="4" w:space="0" w:color="auto"/>
            </w:tcBorders>
            <w:shd w:val="clear" w:color="000000" w:fill="FFFFFF"/>
            <w:noWrap/>
            <w:vAlign w:val="center"/>
            <w:hideMark/>
          </w:tcPr>
          <w:p w14:paraId="26CB0B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3.03</w:t>
            </w:r>
          </w:p>
        </w:tc>
        <w:tc>
          <w:tcPr>
            <w:tcW w:w="718" w:type="dxa"/>
            <w:tcBorders>
              <w:top w:val="nil"/>
              <w:left w:val="nil"/>
              <w:bottom w:val="single" w:sz="4" w:space="0" w:color="auto"/>
              <w:right w:val="single" w:sz="4" w:space="0" w:color="auto"/>
            </w:tcBorders>
            <w:shd w:val="clear" w:color="000000" w:fill="FFFFFF"/>
            <w:noWrap/>
            <w:vAlign w:val="center"/>
            <w:hideMark/>
          </w:tcPr>
          <w:p w14:paraId="567CF2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572,742</w:t>
            </w:r>
          </w:p>
        </w:tc>
        <w:tc>
          <w:tcPr>
            <w:tcW w:w="882" w:type="dxa"/>
            <w:tcBorders>
              <w:top w:val="nil"/>
              <w:left w:val="nil"/>
              <w:bottom w:val="single" w:sz="4" w:space="0" w:color="auto"/>
              <w:right w:val="single" w:sz="4" w:space="0" w:color="auto"/>
            </w:tcBorders>
            <w:shd w:val="clear" w:color="000000" w:fill="FFFFFF"/>
            <w:noWrap/>
            <w:vAlign w:val="center"/>
            <w:hideMark/>
          </w:tcPr>
          <w:p w14:paraId="125E79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D762C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11,698,334</w:t>
            </w:r>
          </w:p>
        </w:tc>
        <w:tc>
          <w:tcPr>
            <w:tcW w:w="1045" w:type="dxa"/>
            <w:tcBorders>
              <w:top w:val="nil"/>
              <w:left w:val="nil"/>
              <w:bottom w:val="single" w:sz="4" w:space="0" w:color="auto"/>
              <w:right w:val="single" w:sz="4" w:space="0" w:color="auto"/>
            </w:tcBorders>
            <w:shd w:val="clear" w:color="000000" w:fill="FFFFFF"/>
            <w:noWrap/>
            <w:vAlign w:val="center"/>
            <w:hideMark/>
          </w:tcPr>
          <w:p w14:paraId="499F28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4.35</w:t>
            </w:r>
          </w:p>
        </w:tc>
      </w:tr>
      <w:tr w:rsidR="00177999" w:rsidRPr="00057D13" w14:paraId="7A9AAD1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C31D9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F6D06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492BF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5CB8DD6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573,445</w:t>
            </w:r>
          </w:p>
        </w:tc>
        <w:tc>
          <w:tcPr>
            <w:tcW w:w="854" w:type="dxa"/>
            <w:tcBorders>
              <w:top w:val="nil"/>
              <w:left w:val="nil"/>
              <w:bottom w:val="single" w:sz="4" w:space="0" w:color="auto"/>
              <w:right w:val="single" w:sz="4" w:space="0" w:color="auto"/>
            </w:tcBorders>
            <w:shd w:val="clear" w:color="000000" w:fill="FFFFFF"/>
            <w:noWrap/>
            <w:vAlign w:val="center"/>
            <w:hideMark/>
          </w:tcPr>
          <w:p w14:paraId="3B124C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w:t>
            </w:r>
          </w:p>
        </w:tc>
        <w:tc>
          <w:tcPr>
            <w:tcW w:w="1013" w:type="dxa"/>
            <w:tcBorders>
              <w:top w:val="nil"/>
              <w:left w:val="nil"/>
              <w:bottom w:val="single" w:sz="4" w:space="0" w:color="auto"/>
              <w:right w:val="single" w:sz="4" w:space="0" w:color="auto"/>
            </w:tcBorders>
            <w:shd w:val="clear" w:color="000000" w:fill="FFFFFF"/>
            <w:noWrap/>
            <w:vAlign w:val="center"/>
            <w:hideMark/>
          </w:tcPr>
          <w:p w14:paraId="481ED7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11,941,308</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57FD4" w14:textId="3B23A88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10.62*</w:t>
            </w:r>
          </w:p>
        </w:tc>
        <w:tc>
          <w:tcPr>
            <w:tcW w:w="811" w:type="dxa"/>
            <w:tcBorders>
              <w:top w:val="nil"/>
              <w:left w:val="nil"/>
              <w:bottom w:val="single" w:sz="4" w:space="0" w:color="auto"/>
              <w:right w:val="single" w:sz="4" w:space="0" w:color="auto"/>
            </w:tcBorders>
            <w:shd w:val="clear" w:color="000000" w:fill="FFFFFF"/>
            <w:noWrap/>
            <w:vAlign w:val="center"/>
            <w:hideMark/>
          </w:tcPr>
          <w:p w14:paraId="3975DB5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653,742</w:t>
            </w:r>
          </w:p>
        </w:tc>
        <w:tc>
          <w:tcPr>
            <w:tcW w:w="855" w:type="dxa"/>
            <w:tcBorders>
              <w:top w:val="nil"/>
              <w:left w:val="nil"/>
              <w:bottom w:val="single" w:sz="4" w:space="0" w:color="auto"/>
              <w:right w:val="single" w:sz="4" w:space="0" w:color="auto"/>
            </w:tcBorders>
            <w:shd w:val="clear" w:color="000000" w:fill="FFFFFF"/>
            <w:noWrap/>
            <w:vAlign w:val="center"/>
            <w:hideMark/>
          </w:tcPr>
          <w:p w14:paraId="796C14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w:t>
            </w:r>
          </w:p>
        </w:tc>
        <w:tc>
          <w:tcPr>
            <w:tcW w:w="1014" w:type="dxa"/>
            <w:tcBorders>
              <w:top w:val="nil"/>
              <w:left w:val="nil"/>
              <w:bottom w:val="single" w:sz="4" w:space="0" w:color="auto"/>
              <w:right w:val="single" w:sz="4" w:space="0" w:color="auto"/>
            </w:tcBorders>
            <w:shd w:val="clear" w:color="000000" w:fill="FFFFFF"/>
            <w:noWrap/>
            <w:vAlign w:val="center"/>
            <w:hideMark/>
          </w:tcPr>
          <w:p w14:paraId="425213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13,640,542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8A1E4" w14:textId="1213BD31"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9.06*</w:t>
            </w:r>
          </w:p>
        </w:tc>
        <w:tc>
          <w:tcPr>
            <w:tcW w:w="718" w:type="dxa"/>
            <w:tcBorders>
              <w:top w:val="nil"/>
              <w:left w:val="nil"/>
              <w:bottom w:val="single" w:sz="4" w:space="0" w:color="auto"/>
              <w:right w:val="single" w:sz="4" w:space="0" w:color="auto"/>
            </w:tcBorders>
            <w:shd w:val="clear" w:color="000000" w:fill="FFFFFF"/>
            <w:noWrap/>
            <w:vAlign w:val="center"/>
            <w:hideMark/>
          </w:tcPr>
          <w:p w14:paraId="68F798D1"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565,967</w:t>
            </w:r>
          </w:p>
        </w:tc>
        <w:tc>
          <w:tcPr>
            <w:tcW w:w="882" w:type="dxa"/>
            <w:tcBorders>
              <w:top w:val="nil"/>
              <w:left w:val="nil"/>
              <w:bottom w:val="single" w:sz="4" w:space="0" w:color="auto"/>
              <w:right w:val="single" w:sz="4" w:space="0" w:color="auto"/>
            </w:tcBorders>
            <w:shd w:val="clear" w:color="000000" w:fill="FFFFFF"/>
            <w:noWrap/>
            <w:vAlign w:val="center"/>
            <w:hideMark/>
          </w:tcPr>
          <w:p w14:paraId="7DAE86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w:t>
            </w:r>
          </w:p>
        </w:tc>
        <w:tc>
          <w:tcPr>
            <w:tcW w:w="1045" w:type="dxa"/>
            <w:tcBorders>
              <w:top w:val="nil"/>
              <w:left w:val="nil"/>
              <w:bottom w:val="single" w:sz="4" w:space="0" w:color="auto"/>
              <w:right w:val="single" w:sz="4" w:space="0" w:color="auto"/>
            </w:tcBorders>
            <w:shd w:val="clear" w:color="000000" w:fill="FFFFFF"/>
            <w:noWrap/>
            <w:vAlign w:val="center"/>
            <w:hideMark/>
          </w:tcPr>
          <w:p w14:paraId="2B776B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11,700,690</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E2ABF" w14:textId="31B39D5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10.19*</w:t>
            </w:r>
          </w:p>
        </w:tc>
      </w:tr>
      <w:tr w:rsidR="00177999" w:rsidRPr="00057D13" w14:paraId="6A29C7A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AEE2A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DD532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6F1DD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7C2E83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291,721</w:t>
            </w:r>
          </w:p>
        </w:tc>
        <w:tc>
          <w:tcPr>
            <w:tcW w:w="854" w:type="dxa"/>
            <w:tcBorders>
              <w:top w:val="nil"/>
              <w:left w:val="nil"/>
              <w:bottom w:val="single" w:sz="4" w:space="0" w:color="auto"/>
              <w:right w:val="single" w:sz="4" w:space="0" w:color="auto"/>
            </w:tcBorders>
            <w:shd w:val="clear" w:color="000000" w:fill="FFFFFF"/>
            <w:noWrap/>
            <w:vAlign w:val="center"/>
            <w:hideMark/>
          </w:tcPr>
          <w:p w14:paraId="0B52CC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w:t>
            </w:r>
          </w:p>
        </w:tc>
        <w:tc>
          <w:tcPr>
            <w:tcW w:w="1013" w:type="dxa"/>
            <w:tcBorders>
              <w:top w:val="nil"/>
              <w:left w:val="nil"/>
              <w:bottom w:val="single" w:sz="4" w:space="0" w:color="auto"/>
              <w:right w:val="single" w:sz="4" w:space="0" w:color="auto"/>
            </w:tcBorders>
            <w:shd w:val="clear" w:color="000000" w:fill="FFFFFF"/>
            <w:noWrap/>
            <w:vAlign w:val="center"/>
            <w:hideMark/>
          </w:tcPr>
          <w:p w14:paraId="027F6B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6,071,623</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1C758" w14:textId="6205C2EC"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12.65*</w:t>
            </w:r>
          </w:p>
        </w:tc>
        <w:tc>
          <w:tcPr>
            <w:tcW w:w="811" w:type="dxa"/>
            <w:tcBorders>
              <w:top w:val="nil"/>
              <w:left w:val="nil"/>
              <w:bottom w:val="single" w:sz="4" w:space="0" w:color="auto"/>
              <w:right w:val="single" w:sz="4" w:space="0" w:color="auto"/>
            </w:tcBorders>
            <w:shd w:val="clear" w:color="000000" w:fill="FFFFFF"/>
            <w:noWrap/>
            <w:vAlign w:val="center"/>
            <w:hideMark/>
          </w:tcPr>
          <w:p w14:paraId="0F89600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335,160</w:t>
            </w:r>
          </w:p>
        </w:tc>
        <w:tc>
          <w:tcPr>
            <w:tcW w:w="855" w:type="dxa"/>
            <w:tcBorders>
              <w:top w:val="nil"/>
              <w:left w:val="nil"/>
              <w:bottom w:val="single" w:sz="4" w:space="0" w:color="auto"/>
              <w:right w:val="single" w:sz="4" w:space="0" w:color="auto"/>
            </w:tcBorders>
            <w:shd w:val="clear" w:color="000000" w:fill="FFFFFF"/>
            <w:noWrap/>
            <w:vAlign w:val="center"/>
            <w:hideMark/>
          </w:tcPr>
          <w:p w14:paraId="24369E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w:t>
            </w:r>
          </w:p>
        </w:tc>
        <w:tc>
          <w:tcPr>
            <w:tcW w:w="1014" w:type="dxa"/>
            <w:tcBorders>
              <w:top w:val="nil"/>
              <w:left w:val="nil"/>
              <w:bottom w:val="single" w:sz="4" w:space="0" w:color="auto"/>
              <w:right w:val="single" w:sz="4" w:space="0" w:color="auto"/>
            </w:tcBorders>
            <w:shd w:val="clear" w:color="000000" w:fill="FFFFFF"/>
            <w:noWrap/>
            <w:vAlign w:val="center"/>
            <w:hideMark/>
          </w:tcPr>
          <w:p w14:paraId="5E6A7A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6,990,316</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2967E" w14:textId="1A4DB208"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7.44*</w:t>
            </w:r>
          </w:p>
        </w:tc>
        <w:tc>
          <w:tcPr>
            <w:tcW w:w="718" w:type="dxa"/>
            <w:tcBorders>
              <w:top w:val="nil"/>
              <w:left w:val="nil"/>
              <w:bottom w:val="single" w:sz="4" w:space="0" w:color="auto"/>
              <w:right w:val="single" w:sz="4" w:space="0" w:color="auto"/>
            </w:tcBorders>
            <w:shd w:val="clear" w:color="000000" w:fill="FFFFFF"/>
            <w:noWrap/>
            <w:vAlign w:val="center"/>
            <w:hideMark/>
          </w:tcPr>
          <w:p w14:paraId="50B4344B"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286,151</w:t>
            </w:r>
          </w:p>
        </w:tc>
        <w:tc>
          <w:tcPr>
            <w:tcW w:w="882" w:type="dxa"/>
            <w:tcBorders>
              <w:top w:val="nil"/>
              <w:left w:val="nil"/>
              <w:bottom w:val="single" w:sz="4" w:space="0" w:color="auto"/>
              <w:right w:val="single" w:sz="4" w:space="0" w:color="auto"/>
            </w:tcBorders>
            <w:shd w:val="clear" w:color="000000" w:fill="FFFFFF"/>
            <w:noWrap/>
            <w:vAlign w:val="center"/>
            <w:hideMark/>
          </w:tcPr>
          <w:p w14:paraId="2C46F6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w:t>
            </w:r>
          </w:p>
        </w:tc>
        <w:tc>
          <w:tcPr>
            <w:tcW w:w="1045" w:type="dxa"/>
            <w:tcBorders>
              <w:top w:val="nil"/>
              <w:left w:val="nil"/>
              <w:bottom w:val="single" w:sz="4" w:space="0" w:color="auto"/>
              <w:right w:val="single" w:sz="4" w:space="0" w:color="auto"/>
            </w:tcBorders>
            <w:shd w:val="clear" w:color="000000" w:fill="FFFFFF"/>
            <w:noWrap/>
            <w:vAlign w:val="center"/>
            <w:hideMark/>
          </w:tcPr>
          <w:p w14:paraId="397A53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5,912,687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1C546" w14:textId="52A81AE6"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3.47*</w:t>
            </w:r>
          </w:p>
        </w:tc>
      </w:tr>
      <w:tr w:rsidR="00177999" w:rsidRPr="00057D13" w14:paraId="5DFA506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FDE08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0BED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38A764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8D0BC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318,545</w:t>
            </w:r>
          </w:p>
        </w:tc>
        <w:tc>
          <w:tcPr>
            <w:tcW w:w="854" w:type="dxa"/>
            <w:tcBorders>
              <w:top w:val="nil"/>
              <w:left w:val="nil"/>
              <w:bottom w:val="single" w:sz="4" w:space="0" w:color="auto"/>
              <w:right w:val="single" w:sz="4" w:space="0" w:color="auto"/>
            </w:tcBorders>
            <w:shd w:val="clear" w:color="000000" w:fill="FFFFFF"/>
            <w:noWrap/>
            <w:vAlign w:val="center"/>
            <w:hideMark/>
          </w:tcPr>
          <w:p w14:paraId="4ADCF8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A3943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6,590,589</w:t>
            </w:r>
          </w:p>
        </w:tc>
        <w:tc>
          <w:tcPr>
            <w:tcW w:w="623" w:type="dxa"/>
            <w:tcBorders>
              <w:top w:val="nil"/>
              <w:left w:val="nil"/>
              <w:bottom w:val="single" w:sz="4" w:space="0" w:color="auto"/>
              <w:right w:val="single" w:sz="4" w:space="0" w:color="auto"/>
            </w:tcBorders>
            <w:shd w:val="clear" w:color="000000" w:fill="FFFFFF"/>
            <w:noWrap/>
            <w:vAlign w:val="center"/>
            <w:hideMark/>
          </w:tcPr>
          <w:p w14:paraId="21EAB0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3.25</w:t>
            </w:r>
          </w:p>
        </w:tc>
        <w:tc>
          <w:tcPr>
            <w:tcW w:w="811" w:type="dxa"/>
            <w:tcBorders>
              <w:top w:val="nil"/>
              <w:left w:val="nil"/>
              <w:bottom w:val="single" w:sz="4" w:space="0" w:color="auto"/>
              <w:right w:val="single" w:sz="4" w:space="0" w:color="auto"/>
            </w:tcBorders>
            <w:shd w:val="clear" w:color="000000" w:fill="FFFFFF"/>
            <w:noWrap/>
            <w:vAlign w:val="center"/>
            <w:hideMark/>
          </w:tcPr>
          <w:p w14:paraId="438295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335,584</w:t>
            </w:r>
          </w:p>
        </w:tc>
        <w:tc>
          <w:tcPr>
            <w:tcW w:w="855" w:type="dxa"/>
            <w:tcBorders>
              <w:top w:val="nil"/>
              <w:left w:val="nil"/>
              <w:bottom w:val="single" w:sz="4" w:space="0" w:color="auto"/>
              <w:right w:val="single" w:sz="4" w:space="0" w:color="auto"/>
            </w:tcBorders>
            <w:shd w:val="clear" w:color="000000" w:fill="FFFFFF"/>
            <w:noWrap/>
            <w:vAlign w:val="center"/>
            <w:hideMark/>
          </w:tcPr>
          <w:p w14:paraId="03B843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F04D0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6,969,330</w:t>
            </w:r>
          </w:p>
        </w:tc>
        <w:tc>
          <w:tcPr>
            <w:tcW w:w="740" w:type="dxa"/>
            <w:tcBorders>
              <w:top w:val="nil"/>
              <w:left w:val="nil"/>
              <w:bottom w:val="single" w:sz="4" w:space="0" w:color="auto"/>
              <w:right w:val="single" w:sz="4" w:space="0" w:color="auto"/>
            </w:tcBorders>
            <w:shd w:val="clear" w:color="000000" w:fill="FFFFFF"/>
            <w:noWrap/>
            <w:vAlign w:val="center"/>
            <w:hideMark/>
          </w:tcPr>
          <w:p w14:paraId="06BE47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1.80</w:t>
            </w:r>
          </w:p>
        </w:tc>
        <w:tc>
          <w:tcPr>
            <w:tcW w:w="718" w:type="dxa"/>
            <w:tcBorders>
              <w:top w:val="nil"/>
              <w:left w:val="nil"/>
              <w:bottom w:val="single" w:sz="4" w:space="0" w:color="auto"/>
              <w:right w:val="single" w:sz="4" w:space="0" w:color="auto"/>
            </w:tcBorders>
            <w:shd w:val="clear" w:color="000000" w:fill="FFFFFF"/>
            <w:noWrap/>
            <w:vAlign w:val="center"/>
            <w:hideMark/>
          </w:tcPr>
          <w:p w14:paraId="4CC298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310,676</w:t>
            </w:r>
          </w:p>
        </w:tc>
        <w:tc>
          <w:tcPr>
            <w:tcW w:w="882" w:type="dxa"/>
            <w:tcBorders>
              <w:top w:val="nil"/>
              <w:left w:val="nil"/>
              <w:bottom w:val="single" w:sz="4" w:space="0" w:color="auto"/>
              <w:right w:val="single" w:sz="4" w:space="0" w:color="auto"/>
            </w:tcBorders>
            <w:shd w:val="clear" w:color="000000" w:fill="FFFFFF"/>
            <w:noWrap/>
            <w:vAlign w:val="center"/>
            <w:hideMark/>
          </w:tcPr>
          <w:p w14:paraId="6073DB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7CAFD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6,341,416</w:t>
            </w:r>
          </w:p>
        </w:tc>
        <w:tc>
          <w:tcPr>
            <w:tcW w:w="1045" w:type="dxa"/>
            <w:tcBorders>
              <w:top w:val="nil"/>
              <w:left w:val="nil"/>
              <w:bottom w:val="single" w:sz="4" w:space="0" w:color="auto"/>
              <w:right w:val="single" w:sz="4" w:space="0" w:color="auto"/>
            </w:tcBorders>
            <w:shd w:val="clear" w:color="000000" w:fill="FFFFFF"/>
            <w:noWrap/>
            <w:vAlign w:val="center"/>
            <w:hideMark/>
          </w:tcPr>
          <w:p w14:paraId="216294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3.20</w:t>
            </w:r>
          </w:p>
        </w:tc>
      </w:tr>
      <w:tr w:rsidR="00177999" w:rsidRPr="00057D13" w14:paraId="68E5556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6EA61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8BE35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4145C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5C2DAC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302,195</w:t>
            </w:r>
          </w:p>
        </w:tc>
        <w:tc>
          <w:tcPr>
            <w:tcW w:w="854" w:type="dxa"/>
            <w:tcBorders>
              <w:top w:val="nil"/>
              <w:left w:val="nil"/>
              <w:bottom w:val="single" w:sz="4" w:space="0" w:color="auto"/>
              <w:right w:val="single" w:sz="4" w:space="0" w:color="auto"/>
            </w:tcBorders>
            <w:shd w:val="clear" w:color="000000" w:fill="FFFFFF"/>
            <w:noWrap/>
            <w:vAlign w:val="center"/>
            <w:hideMark/>
          </w:tcPr>
          <w:p w14:paraId="5F497D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16F97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6,282,142</w:t>
            </w:r>
          </w:p>
        </w:tc>
        <w:tc>
          <w:tcPr>
            <w:tcW w:w="623" w:type="dxa"/>
            <w:tcBorders>
              <w:top w:val="nil"/>
              <w:left w:val="nil"/>
              <w:bottom w:val="single" w:sz="4" w:space="0" w:color="auto"/>
              <w:right w:val="single" w:sz="4" w:space="0" w:color="auto"/>
            </w:tcBorders>
            <w:shd w:val="clear" w:color="000000" w:fill="FFFFFF"/>
            <w:noWrap/>
            <w:vAlign w:val="center"/>
            <w:hideMark/>
          </w:tcPr>
          <w:p w14:paraId="512161F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2.60</w:t>
            </w:r>
          </w:p>
        </w:tc>
        <w:tc>
          <w:tcPr>
            <w:tcW w:w="811" w:type="dxa"/>
            <w:tcBorders>
              <w:top w:val="nil"/>
              <w:left w:val="nil"/>
              <w:bottom w:val="single" w:sz="4" w:space="0" w:color="auto"/>
              <w:right w:val="single" w:sz="4" w:space="0" w:color="auto"/>
            </w:tcBorders>
            <w:shd w:val="clear" w:color="000000" w:fill="FFFFFF"/>
            <w:noWrap/>
            <w:vAlign w:val="center"/>
            <w:hideMark/>
          </w:tcPr>
          <w:p w14:paraId="08B8C7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356,836</w:t>
            </w:r>
          </w:p>
        </w:tc>
        <w:tc>
          <w:tcPr>
            <w:tcW w:w="855" w:type="dxa"/>
            <w:tcBorders>
              <w:top w:val="nil"/>
              <w:left w:val="nil"/>
              <w:bottom w:val="single" w:sz="4" w:space="0" w:color="auto"/>
              <w:right w:val="single" w:sz="4" w:space="0" w:color="auto"/>
            </w:tcBorders>
            <w:shd w:val="clear" w:color="000000" w:fill="FFFFFF"/>
            <w:noWrap/>
            <w:vAlign w:val="center"/>
            <w:hideMark/>
          </w:tcPr>
          <w:p w14:paraId="33CD5A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80649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7,433,347</w:t>
            </w:r>
          </w:p>
        </w:tc>
        <w:tc>
          <w:tcPr>
            <w:tcW w:w="740" w:type="dxa"/>
            <w:tcBorders>
              <w:top w:val="nil"/>
              <w:left w:val="nil"/>
              <w:bottom w:val="single" w:sz="4" w:space="0" w:color="auto"/>
              <w:right w:val="single" w:sz="4" w:space="0" w:color="auto"/>
            </w:tcBorders>
            <w:shd w:val="clear" w:color="000000" w:fill="FFFFFF"/>
            <w:noWrap/>
            <w:vAlign w:val="center"/>
            <w:hideMark/>
          </w:tcPr>
          <w:p w14:paraId="542D34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2.89</w:t>
            </w:r>
          </w:p>
        </w:tc>
        <w:tc>
          <w:tcPr>
            <w:tcW w:w="718" w:type="dxa"/>
            <w:tcBorders>
              <w:top w:val="nil"/>
              <w:left w:val="nil"/>
              <w:bottom w:val="single" w:sz="4" w:space="0" w:color="auto"/>
              <w:right w:val="single" w:sz="4" w:space="0" w:color="auto"/>
            </w:tcBorders>
            <w:shd w:val="clear" w:color="000000" w:fill="FFFFFF"/>
            <w:noWrap/>
            <w:vAlign w:val="center"/>
            <w:hideMark/>
          </w:tcPr>
          <w:p w14:paraId="654944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302,684</w:t>
            </w:r>
          </w:p>
        </w:tc>
        <w:tc>
          <w:tcPr>
            <w:tcW w:w="882" w:type="dxa"/>
            <w:tcBorders>
              <w:top w:val="nil"/>
              <w:left w:val="nil"/>
              <w:bottom w:val="single" w:sz="4" w:space="0" w:color="auto"/>
              <w:right w:val="single" w:sz="4" w:space="0" w:color="auto"/>
            </w:tcBorders>
            <w:shd w:val="clear" w:color="000000" w:fill="FFFFFF"/>
            <w:noWrap/>
            <w:vAlign w:val="center"/>
            <w:hideMark/>
          </w:tcPr>
          <w:p w14:paraId="46E53D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36765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6,254,311</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018D5" w14:textId="161CD2E8"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4.90*</w:t>
            </w:r>
          </w:p>
        </w:tc>
      </w:tr>
      <w:tr w:rsidR="00177999" w:rsidRPr="00057D13" w14:paraId="6EF14F5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10B43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83091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A5A12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C7258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155,443</w:t>
            </w:r>
          </w:p>
        </w:tc>
        <w:tc>
          <w:tcPr>
            <w:tcW w:w="854" w:type="dxa"/>
            <w:tcBorders>
              <w:top w:val="nil"/>
              <w:left w:val="nil"/>
              <w:bottom w:val="single" w:sz="4" w:space="0" w:color="auto"/>
              <w:right w:val="single" w:sz="4" w:space="0" w:color="auto"/>
            </w:tcBorders>
            <w:shd w:val="clear" w:color="000000" w:fill="FFFFFF"/>
            <w:noWrap/>
            <w:vAlign w:val="center"/>
            <w:hideMark/>
          </w:tcPr>
          <w:p w14:paraId="29B93A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20730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3,228,595</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40CD5" w14:textId="6AD3D09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5.10*</w:t>
            </w:r>
          </w:p>
        </w:tc>
        <w:tc>
          <w:tcPr>
            <w:tcW w:w="811" w:type="dxa"/>
            <w:tcBorders>
              <w:top w:val="nil"/>
              <w:left w:val="nil"/>
              <w:bottom w:val="single" w:sz="4" w:space="0" w:color="auto"/>
              <w:right w:val="single" w:sz="4" w:space="0" w:color="auto"/>
            </w:tcBorders>
            <w:shd w:val="clear" w:color="000000" w:fill="FFFFFF"/>
            <w:noWrap/>
            <w:vAlign w:val="center"/>
            <w:hideMark/>
          </w:tcPr>
          <w:p w14:paraId="4FCD1D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187,217</w:t>
            </w:r>
          </w:p>
        </w:tc>
        <w:tc>
          <w:tcPr>
            <w:tcW w:w="855" w:type="dxa"/>
            <w:tcBorders>
              <w:top w:val="nil"/>
              <w:left w:val="nil"/>
              <w:bottom w:val="single" w:sz="4" w:space="0" w:color="auto"/>
              <w:right w:val="single" w:sz="4" w:space="0" w:color="auto"/>
            </w:tcBorders>
            <w:shd w:val="clear" w:color="000000" w:fill="FFFFFF"/>
            <w:noWrap/>
            <w:vAlign w:val="center"/>
            <w:hideMark/>
          </w:tcPr>
          <w:p w14:paraId="0B0498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A5E30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3,897,594</w:t>
            </w:r>
          </w:p>
        </w:tc>
        <w:tc>
          <w:tcPr>
            <w:tcW w:w="740" w:type="dxa"/>
            <w:tcBorders>
              <w:top w:val="nil"/>
              <w:left w:val="nil"/>
              <w:bottom w:val="single" w:sz="4" w:space="0" w:color="auto"/>
              <w:right w:val="single" w:sz="4" w:space="0" w:color="auto"/>
            </w:tcBorders>
            <w:shd w:val="clear" w:color="000000" w:fill="FFFFFF"/>
            <w:noWrap/>
            <w:vAlign w:val="center"/>
            <w:hideMark/>
          </w:tcPr>
          <w:p w14:paraId="1A7928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4.07</w:t>
            </w:r>
          </w:p>
        </w:tc>
        <w:tc>
          <w:tcPr>
            <w:tcW w:w="718" w:type="dxa"/>
            <w:tcBorders>
              <w:top w:val="nil"/>
              <w:left w:val="nil"/>
              <w:bottom w:val="single" w:sz="4" w:space="0" w:color="auto"/>
              <w:right w:val="single" w:sz="4" w:space="0" w:color="auto"/>
            </w:tcBorders>
            <w:shd w:val="clear" w:color="000000" w:fill="FFFFFF"/>
            <w:noWrap/>
            <w:vAlign w:val="center"/>
            <w:hideMark/>
          </w:tcPr>
          <w:p w14:paraId="3525C8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155,846</w:t>
            </w:r>
          </w:p>
        </w:tc>
        <w:tc>
          <w:tcPr>
            <w:tcW w:w="882" w:type="dxa"/>
            <w:tcBorders>
              <w:top w:val="nil"/>
              <w:left w:val="nil"/>
              <w:bottom w:val="single" w:sz="4" w:space="0" w:color="auto"/>
              <w:right w:val="single" w:sz="4" w:space="0" w:color="auto"/>
            </w:tcBorders>
            <w:shd w:val="clear" w:color="000000" w:fill="FFFFFF"/>
            <w:noWrap/>
            <w:vAlign w:val="center"/>
            <w:hideMark/>
          </w:tcPr>
          <w:p w14:paraId="058B98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77480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3,217,800</w:t>
            </w:r>
          </w:p>
        </w:tc>
        <w:tc>
          <w:tcPr>
            <w:tcW w:w="1045" w:type="dxa"/>
            <w:tcBorders>
              <w:top w:val="nil"/>
              <w:left w:val="nil"/>
              <w:bottom w:val="single" w:sz="4" w:space="0" w:color="auto"/>
              <w:right w:val="single" w:sz="4" w:space="0" w:color="auto"/>
            </w:tcBorders>
            <w:shd w:val="clear" w:color="000000" w:fill="FFFFFF"/>
            <w:noWrap/>
            <w:vAlign w:val="center"/>
            <w:hideMark/>
          </w:tcPr>
          <w:p w14:paraId="2B6223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0.98</w:t>
            </w:r>
          </w:p>
        </w:tc>
      </w:tr>
      <w:tr w:rsidR="00177999" w:rsidRPr="00057D13" w14:paraId="4715625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A7D74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9EE1F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3F3FBF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BA90A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285,040</w:t>
            </w:r>
          </w:p>
        </w:tc>
        <w:tc>
          <w:tcPr>
            <w:tcW w:w="854" w:type="dxa"/>
            <w:tcBorders>
              <w:top w:val="nil"/>
              <w:left w:val="nil"/>
              <w:bottom w:val="single" w:sz="4" w:space="0" w:color="auto"/>
              <w:right w:val="single" w:sz="4" w:space="0" w:color="auto"/>
            </w:tcBorders>
            <w:shd w:val="clear" w:color="000000" w:fill="FFFFFF"/>
            <w:noWrap/>
            <w:vAlign w:val="center"/>
            <w:hideMark/>
          </w:tcPr>
          <w:p w14:paraId="6EF9CC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0377D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5,895,307</w:t>
            </w:r>
          </w:p>
        </w:tc>
        <w:tc>
          <w:tcPr>
            <w:tcW w:w="623" w:type="dxa"/>
            <w:tcBorders>
              <w:top w:val="nil"/>
              <w:left w:val="nil"/>
              <w:bottom w:val="single" w:sz="4" w:space="0" w:color="auto"/>
              <w:right w:val="single" w:sz="4" w:space="0" w:color="auto"/>
            </w:tcBorders>
            <w:shd w:val="clear" w:color="000000" w:fill="FFFFFF"/>
            <w:noWrap/>
            <w:vAlign w:val="center"/>
            <w:hideMark/>
          </w:tcPr>
          <w:p w14:paraId="6BE8F6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3.67</w:t>
            </w:r>
          </w:p>
        </w:tc>
        <w:tc>
          <w:tcPr>
            <w:tcW w:w="811" w:type="dxa"/>
            <w:tcBorders>
              <w:top w:val="nil"/>
              <w:left w:val="nil"/>
              <w:bottom w:val="single" w:sz="4" w:space="0" w:color="auto"/>
              <w:right w:val="single" w:sz="4" w:space="0" w:color="auto"/>
            </w:tcBorders>
            <w:shd w:val="clear" w:color="000000" w:fill="FFFFFF"/>
            <w:noWrap/>
            <w:vAlign w:val="center"/>
            <w:hideMark/>
          </w:tcPr>
          <w:p w14:paraId="6356B0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269,559</w:t>
            </w:r>
          </w:p>
        </w:tc>
        <w:tc>
          <w:tcPr>
            <w:tcW w:w="855" w:type="dxa"/>
            <w:tcBorders>
              <w:top w:val="nil"/>
              <w:left w:val="nil"/>
              <w:bottom w:val="single" w:sz="4" w:space="0" w:color="auto"/>
              <w:right w:val="single" w:sz="4" w:space="0" w:color="auto"/>
            </w:tcBorders>
            <w:shd w:val="clear" w:color="000000" w:fill="FFFFFF"/>
            <w:noWrap/>
            <w:vAlign w:val="center"/>
            <w:hideMark/>
          </w:tcPr>
          <w:p w14:paraId="0FB580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11010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5,591,827</w:t>
            </w:r>
          </w:p>
        </w:tc>
        <w:tc>
          <w:tcPr>
            <w:tcW w:w="740" w:type="dxa"/>
            <w:tcBorders>
              <w:top w:val="nil"/>
              <w:left w:val="nil"/>
              <w:bottom w:val="single" w:sz="4" w:space="0" w:color="auto"/>
              <w:right w:val="single" w:sz="4" w:space="0" w:color="auto"/>
            </w:tcBorders>
            <w:shd w:val="clear" w:color="000000" w:fill="FFFFFF"/>
            <w:noWrap/>
            <w:vAlign w:val="center"/>
            <w:hideMark/>
          </w:tcPr>
          <w:p w14:paraId="206677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4.59</w:t>
            </w:r>
          </w:p>
        </w:tc>
        <w:tc>
          <w:tcPr>
            <w:tcW w:w="718" w:type="dxa"/>
            <w:tcBorders>
              <w:top w:val="nil"/>
              <w:left w:val="nil"/>
              <w:bottom w:val="single" w:sz="4" w:space="0" w:color="auto"/>
              <w:right w:val="single" w:sz="4" w:space="0" w:color="auto"/>
            </w:tcBorders>
            <w:shd w:val="clear" w:color="000000" w:fill="FFFFFF"/>
            <w:noWrap/>
            <w:vAlign w:val="center"/>
            <w:hideMark/>
          </w:tcPr>
          <w:p w14:paraId="1603E2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262,066</w:t>
            </w:r>
          </w:p>
        </w:tc>
        <w:tc>
          <w:tcPr>
            <w:tcW w:w="882" w:type="dxa"/>
            <w:tcBorders>
              <w:top w:val="nil"/>
              <w:left w:val="nil"/>
              <w:bottom w:val="single" w:sz="4" w:space="0" w:color="auto"/>
              <w:right w:val="single" w:sz="4" w:space="0" w:color="auto"/>
            </w:tcBorders>
            <w:shd w:val="clear" w:color="000000" w:fill="FFFFFF"/>
            <w:noWrap/>
            <w:vAlign w:val="center"/>
            <w:hideMark/>
          </w:tcPr>
          <w:p w14:paraId="2E22FE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F9B48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5,356,918</w:t>
            </w:r>
          </w:p>
        </w:tc>
        <w:tc>
          <w:tcPr>
            <w:tcW w:w="1045" w:type="dxa"/>
            <w:tcBorders>
              <w:top w:val="nil"/>
              <w:left w:val="nil"/>
              <w:bottom w:val="single" w:sz="4" w:space="0" w:color="auto"/>
              <w:right w:val="single" w:sz="4" w:space="0" w:color="auto"/>
            </w:tcBorders>
            <w:shd w:val="clear" w:color="000000" w:fill="FFFFFF"/>
            <w:noWrap/>
            <w:vAlign w:val="center"/>
            <w:hideMark/>
          </w:tcPr>
          <w:p w14:paraId="533583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w:t>
            </w:r>
          </w:p>
        </w:tc>
      </w:tr>
      <w:tr w:rsidR="00177999" w:rsidRPr="00057D13" w14:paraId="30FE646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A699C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0A054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1D9A5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5BB9D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271,250</w:t>
            </w:r>
          </w:p>
        </w:tc>
        <w:tc>
          <w:tcPr>
            <w:tcW w:w="854" w:type="dxa"/>
            <w:tcBorders>
              <w:top w:val="nil"/>
              <w:left w:val="nil"/>
              <w:bottom w:val="single" w:sz="4" w:space="0" w:color="auto"/>
              <w:right w:val="single" w:sz="4" w:space="0" w:color="auto"/>
            </w:tcBorders>
            <w:shd w:val="clear" w:color="000000" w:fill="FFFFFF"/>
            <w:noWrap/>
            <w:vAlign w:val="center"/>
            <w:hideMark/>
          </w:tcPr>
          <w:p w14:paraId="599E5E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B94CB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5,659,166</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390B1" w14:textId="5AF6278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19.53*</w:t>
            </w:r>
          </w:p>
        </w:tc>
        <w:tc>
          <w:tcPr>
            <w:tcW w:w="811" w:type="dxa"/>
            <w:tcBorders>
              <w:top w:val="nil"/>
              <w:left w:val="nil"/>
              <w:bottom w:val="single" w:sz="4" w:space="0" w:color="auto"/>
              <w:right w:val="single" w:sz="4" w:space="0" w:color="auto"/>
            </w:tcBorders>
            <w:shd w:val="clear" w:color="000000" w:fill="FFFFFF"/>
            <w:noWrap/>
            <w:vAlign w:val="center"/>
            <w:hideMark/>
          </w:tcPr>
          <w:p w14:paraId="4EE27D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296,906</w:t>
            </w:r>
          </w:p>
        </w:tc>
        <w:tc>
          <w:tcPr>
            <w:tcW w:w="855" w:type="dxa"/>
            <w:tcBorders>
              <w:top w:val="nil"/>
              <w:left w:val="nil"/>
              <w:bottom w:val="single" w:sz="4" w:space="0" w:color="auto"/>
              <w:right w:val="single" w:sz="4" w:space="0" w:color="auto"/>
            </w:tcBorders>
            <w:shd w:val="clear" w:color="000000" w:fill="FFFFFF"/>
            <w:noWrap/>
            <w:vAlign w:val="center"/>
            <w:hideMark/>
          </w:tcPr>
          <w:p w14:paraId="61E97E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5AE27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6,207,195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DC26D" w14:textId="339B9C8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16.45*</w:t>
            </w:r>
          </w:p>
        </w:tc>
        <w:tc>
          <w:tcPr>
            <w:tcW w:w="718" w:type="dxa"/>
            <w:tcBorders>
              <w:top w:val="nil"/>
              <w:left w:val="nil"/>
              <w:bottom w:val="single" w:sz="4" w:space="0" w:color="auto"/>
              <w:right w:val="single" w:sz="4" w:space="0" w:color="auto"/>
            </w:tcBorders>
            <w:shd w:val="clear" w:color="000000" w:fill="FFFFFF"/>
            <w:noWrap/>
            <w:vAlign w:val="center"/>
            <w:hideMark/>
          </w:tcPr>
          <w:p w14:paraId="178885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263,283</w:t>
            </w:r>
          </w:p>
        </w:tc>
        <w:tc>
          <w:tcPr>
            <w:tcW w:w="882" w:type="dxa"/>
            <w:tcBorders>
              <w:top w:val="nil"/>
              <w:left w:val="nil"/>
              <w:bottom w:val="single" w:sz="4" w:space="0" w:color="auto"/>
              <w:right w:val="single" w:sz="4" w:space="0" w:color="auto"/>
            </w:tcBorders>
            <w:shd w:val="clear" w:color="000000" w:fill="FFFFFF"/>
            <w:noWrap/>
            <w:vAlign w:val="center"/>
            <w:hideMark/>
          </w:tcPr>
          <w:p w14:paraId="6B69BD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2A912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5,446,379</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068B9" w14:textId="7739AF1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16.26*</w:t>
            </w:r>
          </w:p>
        </w:tc>
      </w:tr>
      <w:tr w:rsidR="00177999" w:rsidRPr="00057D13" w14:paraId="7FA852A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A5EFC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91799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96D8C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3AA7A0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136,278</w:t>
            </w:r>
          </w:p>
        </w:tc>
        <w:tc>
          <w:tcPr>
            <w:tcW w:w="854" w:type="dxa"/>
            <w:tcBorders>
              <w:top w:val="nil"/>
              <w:left w:val="nil"/>
              <w:bottom w:val="single" w:sz="4" w:space="0" w:color="auto"/>
              <w:right w:val="single" w:sz="4" w:space="0" w:color="auto"/>
            </w:tcBorders>
            <w:shd w:val="clear" w:color="000000" w:fill="FFFFFF"/>
            <w:noWrap/>
            <w:vAlign w:val="center"/>
            <w:hideMark/>
          </w:tcPr>
          <w:p w14:paraId="4BC9BA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5017F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2,843,028</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DC8C6" w14:textId="3057CE8C"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21.21*</w:t>
            </w:r>
          </w:p>
        </w:tc>
        <w:tc>
          <w:tcPr>
            <w:tcW w:w="811" w:type="dxa"/>
            <w:tcBorders>
              <w:top w:val="nil"/>
              <w:left w:val="nil"/>
              <w:bottom w:val="single" w:sz="4" w:space="0" w:color="auto"/>
              <w:right w:val="single" w:sz="4" w:space="0" w:color="auto"/>
            </w:tcBorders>
            <w:shd w:val="clear" w:color="000000" w:fill="FFFFFF"/>
            <w:noWrap/>
            <w:vAlign w:val="center"/>
            <w:hideMark/>
          </w:tcPr>
          <w:p w14:paraId="5B5C5B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147,943</w:t>
            </w:r>
          </w:p>
        </w:tc>
        <w:tc>
          <w:tcPr>
            <w:tcW w:w="855" w:type="dxa"/>
            <w:tcBorders>
              <w:top w:val="nil"/>
              <w:left w:val="nil"/>
              <w:bottom w:val="single" w:sz="4" w:space="0" w:color="auto"/>
              <w:right w:val="single" w:sz="4" w:space="0" w:color="auto"/>
            </w:tcBorders>
            <w:shd w:val="clear" w:color="000000" w:fill="FFFFFF"/>
            <w:noWrap/>
            <w:vAlign w:val="center"/>
            <w:hideMark/>
          </w:tcPr>
          <w:p w14:paraId="0136C0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C957C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3,092,722</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714BE" w14:textId="73D11F24"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11.68*</w:t>
            </w:r>
          </w:p>
        </w:tc>
        <w:tc>
          <w:tcPr>
            <w:tcW w:w="718" w:type="dxa"/>
            <w:tcBorders>
              <w:top w:val="nil"/>
              <w:left w:val="nil"/>
              <w:bottom w:val="single" w:sz="4" w:space="0" w:color="auto"/>
              <w:right w:val="single" w:sz="4" w:space="0" w:color="auto"/>
            </w:tcBorders>
            <w:shd w:val="clear" w:color="000000" w:fill="FFFFFF"/>
            <w:noWrap/>
            <w:vAlign w:val="center"/>
            <w:hideMark/>
          </w:tcPr>
          <w:p w14:paraId="3F43B0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130,305</w:t>
            </w:r>
          </w:p>
        </w:tc>
        <w:tc>
          <w:tcPr>
            <w:tcW w:w="882" w:type="dxa"/>
            <w:tcBorders>
              <w:top w:val="nil"/>
              <w:left w:val="nil"/>
              <w:bottom w:val="single" w:sz="4" w:space="0" w:color="auto"/>
              <w:right w:val="single" w:sz="4" w:space="0" w:color="auto"/>
            </w:tcBorders>
            <w:shd w:val="clear" w:color="000000" w:fill="FFFFFF"/>
            <w:noWrap/>
            <w:vAlign w:val="center"/>
            <w:hideMark/>
          </w:tcPr>
          <w:p w14:paraId="22CC72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8469D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2,694,887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E177F" w14:textId="7AFF0B66"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6.45*</w:t>
            </w:r>
          </w:p>
        </w:tc>
      </w:tr>
      <w:tr w:rsidR="00177999" w:rsidRPr="00057D13" w14:paraId="164A457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776CF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F489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775127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F5318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11,443</w:t>
            </w:r>
          </w:p>
        </w:tc>
        <w:tc>
          <w:tcPr>
            <w:tcW w:w="854" w:type="dxa"/>
            <w:tcBorders>
              <w:top w:val="nil"/>
              <w:left w:val="nil"/>
              <w:bottom w:val="single" w:sz="4" w:space="0" w:color="auto"/>
              <w:right w:val="single" w:sz="4" w:space="0" w:color="auto"/>
            </w:tcBorders>
            <w:shd w:val="clear" w:color="000000" w:fill="FFFFFF"/>
            <w:noWrap/>
            <w:vAlign w:val="center"/>
            <w:hideMark/>
          </w:tcPr>
          <w:p w14:paraId="31D442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70DF0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94,226</w:t>
            </w:r>
          </w:p>
        </w:tc>
        <w:tc>
          <w:tcPr>
            <w:tcW w:w="623" w:type="dxa"/>
            <w:tcBorders>
              <w:top w:val="nil"/>
              <w:left w:val="nil"/>
              <w:bottom w:val="single" w:sz="4" w:space="0" w:color="auto"/>
              <w:right w:val="single" w:sz="4" w:space="0" w:color="auto"/>
            </w:tcBorders>
            <w:shd w:val="clear" w:color="000000" w:fill="FFFFFF"/>
            <w:noWrap/>
            <w:vAlign w:val="center"/>
            <w:hideMark/>
          </w:tcPr>
          <w:p w14:paraId="2CD758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C6F86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3D8ACC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0C706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27,092</w:t>
            </w:r>
          </w:p>
        </w:tc>
        <w:tc>
          <w:tcPr>
            <w:tcW w:w="740" w:type="dxa"/>
            <w:tcBorders>
              <w:top w:val="nil"/>
              <w:left w:val="nil"/>
              <w:bottom w:val="single" w:sz="4" w:space="0" w:color="auto"/>
              <w:right w:val="single" w:sz="4" w:space="0" w:color="auto"/>
            </w:tcBorders>
            <w:shd w:val="clear" w:color="000000" w:fill="FFFFFF"/>
            <w:noWrap/>
            <w:vAlign w:val="center"/>
            <w:hideMark/>
          </w:tcPr>
          <w:p w14:paraId="3E4013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B3F2C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19,047</w:t>
            </w:r>
          </w:p>
        </w:tc>
        <w:tc>
          <w:tcPr>
            <w:tcW w:w="882" w:type="dxa"/>
            <w:tcBorders>
              <w:top w:val="nil"/>
              <w:left w:val="nil"/>
              <w:bottom w:val="single" w:sz="4" w:space="0" w:color="auto"/>
              <w:right w:val="single" w:sz="4" w:space="0" w:color="auto"/>
            </w:tcBorders>
            <w:shd w:val="clear" w:color="000000" w:fill="FFFFFF"/>
            <w:noWrap/>
            <w:vAlign w:val="center"/>
            <w:hideMark/>
          </w:tcPr>
          <w:p w14:paraId="01A129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EBA94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249,882</w:t>
            </w:r>
          </w:p>
        </w:tc>
        <w:tc>
          <w:tcPr>
            <w:tcW w:w="1045" w:type="dxa"/>
            <w:tcBorders>
              <w:top w:val="nil"/>
              <w:left w:val="nil"/>
              <w:bottom w:val="single" w:sz="4" w:space="0" w:color="auto"/>
              <w:right w:val="single" w:sz="4" w:space="0" w:color="auto"/>
            </w:tcBorders>
            <w:shd w:val="clear" w:color="000000" w:fill="FFFFFF"/>
            <w:noWrap/>
            <w:vAlign w:val="center"/>
            <w:hideMark/>
          </w:tcPr>
          <w:p w14:paraId="76D9A2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E1CA35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A5830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44242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CFD45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B555B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86,157</w:t>
            </w:r>
          </w:p>
        </w:tc>
        <w:tc>
          <w:tcPr>
            <w:tcW w:w="854" w:type="dxa"/>
            <w:tcBorders>
              <w:top w:val="nil"/>
              <w:left w:val="nil"/>
              <w:bottom w:val="single" w:sz="4" w:space="0" w:color="auto"/>
              <w:right w:val="single" w:sz="4" w:space="0" w:color="auto"/>
            </w:tcBorders>
            <w:shd w:val="clear" w:color="000000" w:fill="FFFFFF"/>
            <w:noWrap/>
            <w:vAlign w:val="center"/>
            <w:hideMark/>
          </w:tcPr>
          <w:p w14:paraId="14AB9A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6457F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1,753,863</w:t>
            </w:r>
          </w:p>
        </w:tc>
        <w:tc>
          <w:tcPr>
            <w:tcW w:w="623" w:type="dxa"/>
            <w:tcBorders>
              <w:top w:val="nil"/>
              <w:left w:val="nil"/>
              <w:bottom w:val="single" w:sz="4" w:space="0" w:color="auto"/>
              <w:right w:val="single" w:sz="4" w:space="0" w:color="auto"/>
            </w:tcBorders>
            <w:shd w:val="clear" w:color="000000" w:fill="FFFFFF"/>
            <w:noWrap/>
            <w:vAlign w:val="center"/>
            <w:hideMark/>
          </w:tcPr>
          <w:p w14:paraId="033CB1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2.52</w:t>
            </w:r>
          </w:p>
        </w:tc>
        <w:tc>
          <w:tcPr>
            <w:tcW w:w="811" w:type="dxa"/>
            <w:tcBorders>
              <w:top w:val="nil"/>
              <w:left w:val="nil"/>
              <w:bottom w:val="single" w:sz="4" w:space="0" w:color="auto"/>
              <w:right w:val="single" w:sz="4" w:space="0" w:color="auto"/>
            </w:tcBorders>
            <w:shd w:val="clear" w:color="000000" w:fill="FFFFFF"/>
            <w:noWrap/>
            <w:vAlign w:val="center"/>
            <w:hideMark/>
          </w:tcPr>
          <w:p w14:paraId="4A68C5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63,977</w:t>
            </w:r>
          </w:p>
        </w:tc>
        <w:tc>
          <w:tcPr>
            <w:tcW w:w="855" w:type="dxa"/>
            <w:tcBorders>
              <w:top w:val="nil"/>
              <w:left w:val="nil"/>
              <w:bottom w:val="single" w:sz="4" w:space="0" w:color="auto"/>
              <w:right w:val="single" w:sz="4" w:space="0" w:color="auto"/>
            </w:tcBorders>
            <w:shd w:val="clear" w:color="000000" w:fill="FFFFFF"/>
            <w:noWrap/>
            <w:vAlign w:val="center"/>
            <w:hideMark/>
          </w:tcPr>
          <w:p w14:paraId="3070BD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0133C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1,320,089</w:t>
            </w:r>
          </w:p>
        </w:tc>
        <w:tc>
          <w:tcPr>
            <w:tcW w:w="740" w:type="dxa"/>
            <w:tcBorders>
              <w:top w:val="nil"/>
              <w:left w:val="nil"/>
              <w:bottom w:val="single" w:sz="4" w:space="0" w:color="auto"/>
              <w:right w:val="single" w:sz="4" w:space="0" w:color="auto"/>
            </w:tcBorders>
            <w:shd w:val="clear" w:color="000000" w:fill="FFFFFF"/>
            <w:noWrap/>
            <w:vAlign w:val="center"/>
            <w:hideMark/>
          </w:tcPr>
          <w:p w14:paraId="2CF1B6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14.01</w:t>
            </w:r>
          </w:p>
        </w:tc>
        <w:tc>
          <w:tcPr>
            <w:tcW w:w="718" w:type="dxa"/>
            <w:tcBorders>
              <w:top w:val="nil"/>
              <w:left w:val="nil"/>
              <w:bottom w:val="single" w:sz="4" w:space="0" w:color="auto"/>
              <w:right w:val="single" w:sz="4" w:space="0" w:color="auto"/>
            </w:tcBorders>
            <w:shd w:val="clear" w:color="000000" w:fill="FFFFFF"/>
            <w:noWrap/>
            <w:vAlign w:val="center"/>
            <w:hideMark/>
          </w:tcPr>
          <w:p w14:paraId="4FF7DD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79,609</w:t>
            </w:r>
          </w:p>
        </w:tc>
        <w:tc>
          <w:tcPr>
            <w:tcW w:w="882" w:type="dxa"/>
            <w:tcBorders>
              <w:top w:val="nil"/>
              <w:left w:val="nil"/>
              <w:bottom w:val="single" w:sz="4" w:space="0" w:color="auto"/>
              <w:right w:val="single" w:sz="4" w:space="0" w:color="auto"/>
            </w:tcBorders>
            <w:shd w:val="clear" w:color="000000" w:fill="FFFFFF"/>
            <w:noWrap/>
            <w:vAlign w:val="center"/>
            <w:hideMark/>
          </w:tcPr>
          <w:p w14:paraId="730805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5B708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1,588,091</w:t>
            </w:r>
          </w:p>
        </w:tc>
        <w:tc>
          <w:tcPr>
            <w:tcW w:w="1045" w:type="dxa"/>
            <w:tcBorders>
              <w:top w:val="nil"/>
              <w:left w:val="nil"/>
              <w:bottom w:val="single" w:sz="4" w:space="0" w:color="auto"/>
              <w:right w:val="single" w:sz="4" w:space="0" w:color="auto"/>
            </w:tcBorders>
            <w:shd w:val="clear" w:color="000000" w:fill="FFFFFF"/>
            <w:noWrap/>
            <w:vAlign w:val="center"/>
            <w:hideMark/>
          </w:tcPr>
          <w:p w14:paraId="29BEF7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4.47</w:t>
            </w:r>
          </w:p>
        </w:tc>
      </w:tr>
      <w:tr w:rsidR="00177999" w:rsidRPr="00057D13" w14:paraId="292C060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BB2B9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28880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9AA0F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3C2709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57,844</w:t>
            </w:r>
          </w:p>
        </w:tc>
        <w:tc>
          <w:tcPr>
            <w:tcW w:w="854" w:type="dxa"/>
            <w:tcBorders>
              <w:top w:val="nil"/>
              <w:left w:val="nil"/>
              <w:bottom w:val="single" w:sz="4" w:space="0" w:color="auto"/>
              <w:right w:val="single" w:sz="4" w:space="0" w:color="auto"/>
            </w:tcBorders>
            <w:shd w:val="clear" w:color="000000" w:fill="FFFFFF"/>
            <w:noWrap/>
            <w:vAlign w:val="center"/>
            <w:hideMark/>
          </w:tcPr>
          <w:p w14:paraId="40B1D3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0F97D6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1,180,160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D75D1" w14:textId="2565469C"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9.93*</w:t>
            </w:r>
          </w:p>
        </w:tc>
        <w:tc>
          <w:tcPr>
            <w:tcW w:w="811" w:type="dxa"/>
            <w:tcBorders>
              <w:top w:val="nil"/>
              <w:left w:val="nil"/>
              <w:bottom w:val="single" w:sz="4" w:space="0" w:color="auto"/>
              <w:right w:val="single" w:sz="4" w:space="0" w:color="auto"/>
            </w:tcBorders>
            <w:shd w:val="clear" w:color="000000" w:fill="FFFFFF"/>
            <w:noWrap/>
            <w:vAlign w:val="center"/>
            <w:hideMark/>
          </w:tcPr>
          <w:p w14:paraId="7CADCE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43,134</w:t>
            </w:r>
          </w:p>
        </w:tc>
        <w:tc>
          <w:tcPr>
            <w:tcW w:w="855" w:type="dxa"/>
            <w:tcBorders>
              <w:top w:val="nil"/>
              <w:left w:val="nil"/>
              <w:bottom w:val="single" w:sz="4" w:space="0" w:color="auto"/>
              <w:right w:val="single" w:sz="4" w:space="0" w:color="auto"/>
            </w:tcBorders>
            <w:shd w:val="clear" w:color="000000" w:fill="FFFFFF"/>
            <w:noWrap/>
            <w:vAlign w:val="center"/>
            <w:hideMark/>
          </w:tcPr>
          <w:p w14:paraId="32C8DE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F1AA4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885,705</w:t>
            </w:r>
          </w:p>
        </w:tc>
        <w:tc>
          <w:tcPr>
            <w:tcW w:w="740" w:type="dxa"/>
            <w:tcBorders>
              <w:top w:val="nil"/>
              <w:left w:val="nil"/>
              <w:bottom w:val="single" w:sz="4" w:space="0" w:color="auto"/>
              <w:right w:val="single" w:sz="4" w:space="0" w:color="auto"/>
            </w:tcBorders>
            <w:shd w:val="clear" w:color="000000" w:fill="FFFFFF"/>
            <w:noWrap/>
            <w:vAlign w:val="center"/>
            <w:hideMark/>
          </w:tcPr>
          <w:p w14:paraId="1C1CB8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5.63</w:t>
            </w:r>
          </w:p>
        </w:tc>
        <w:tc>
          <w:tcPr>
            <w:tcW w:w="718" w:type="dxa"/>
            <w:tcBorders>
              <w:top w:val="nil"/>
              <w:left w:val="nil"/>
              <w:bottom w:val="single" w:sz="4" w:space="0" w:color="auto"/>
              <w:right w:val="single" w:sz="4" w:space="0" w:color="auto"/>
            </w:tcBorders>
            <w:shd w:val="clear" w:color="000000" w:fill="FFFFFF"/>
            <w:noWrap/>
            <w:vAlign w:val="center"/>
            <w:hideMark/>
          </w:tcPr>
          <w:p w14:paraId="14E63F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50,621</w:t>
            </w:r>
          </w:p>
        </w:tc>
        <w:tc>
          <w:tcPr>
            <w:tcW w:w="882" w:type="dxa"/>
            <w:tcBorders>
              <w:top w:val="nil"/>
              <w:left w:val="nil"/>
              <w:bottom w:val="single" w:sz="4" w:space="0" w:color="auto"/>
              <w:right w:val="single" w:sz="4" w:space="0" w:color="auto"/>
            </w:tcBorders>
            <w:shd w:val="clear" w:color="000000" w:fill="FFFFFF"/>
            <w:noWrap/>
            <w:vAlign w:val="center"/>
            <w:hideMark/>
          </w:tcPr>
          <w:p w14:paraId="600D02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E3343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1,007,613</w:t>
            </w:r>
          </w:p>
        </w:tc>
        <w:tc>
          <w:tcPr>
            <w:tcW w:w="1045" w:type="dxa"/>
            <w:tcBorders>
              <w:top w:val="nil"/>
              <w:left w:val="nil"/>
              <w:bottom w:val="single" w:sz="4" w:space="0" w:color="auto"/>
              <w:right w:val="single" w:sz="4" w:space="0" w:color="auto"/>
            </w:tcBorders>
            <w:shd w:val="clear" w:color="000000" w:fill="FFFFFF"/>
            <w:noWrap/>
            <w:vAlign w:val="center"/>
            <w:hideMark/>
          </w:tcPr>
          <w:p w14:paraId="3FA146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4.90</w:t>
            </w:r>
          </w:p>
        </w:tc>
      </w:tr>
      <w:tr w:rsidR="00177999" w:rsidRPr="00057D13" w14:paraId="2145B920"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F069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Myocarditis/Pericarditis (1-</w:t>
            </w:r>
            <w:proofErr w:type="gramStart"/>
            <w:r w:rsidRPr="00057D13">
              <w:rPr>
                <w:rFonts w:ascii="Times New Roman" w:eastAsia="Times New Roman" w:hAnsi="Times New Roman" w:cs="Times New Roman"/>
                <w:color w:val="000000"/>
                <w:sz w:val="18"/>
                <w:szCs w:val="18"/>
              </w:rPr>
              <w:t>7 day</w:t>
            </w:r>
            <w:proofErr w:type="gramEnd"/>
            <w:r w:rsidRPr="00057D13">
              <w:rPr>
                <w:rFonts w:ascii="Times New Roman" w:eastAsia="Times New Roman" w:hAnsi="Times New Roman" w:cs="Times New Roman"/>
                <w:color w:val="000000"/>
                <w:sz w:val="18"/>
                <w:szCs w:val="18"/>
              </w:rPr>
              <w:t xml:space="preserve"> risk window, all settings)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14D1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6BC809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41908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603,585</w:t>
            </w:r>
          </w:p>
        </w:tc>
        <w:tc>
          <w:tcPr>
            <w:tcW w:w="854" w:type="dxa"/>
            <w:tcBorders>
              <w:top w:val="nil"/>
              <w:left w:val="nil"/>
              <w:bottom w:val="single" w:sz="4" w:space="0" w:color="auto"/>
              <w:right w:val="single" w:sz="4" w:space="0" w:color="auto"/>
            </w:tcBorders>
            <w:shd w:val="clear" w:color="000000" w:fill="FFFFFF"/>
            <w:noWrap/>
            <w:vAlign w:val="center"/>
            <w:hideMark/>
          </w:tcPr>
          <w:p w14:paraId="7F669A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E315A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4,201,903</w:t>
            </w:r>
          </w:p>
        </w:tc>
        <w:tc>
          <w:tcPr>
            <w:tcW w:w="623" w:type="dxa"/>
            <w:tcBorders>
              <w:top w:val="nil"/>
              <w:left w:val="nil"/>
              <w:bottom w:val="single" w:sz="4" w:space="0" w:color="auto"/>
              <w:right w:val="single" w:sz="4" w:space="0" w:color="auto"/>
            </w:tcBorders>
            <w:shd w:val="clear" w:color="000000" w:fill="FFFFFF"/>
            <w:noWrap/>
            <w:vAlign w:val="center"/>
            <w:hideMark/>
          </w:tcPr>
          <w:p w14:paraId="665ADF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5.10</w:t>
            </w:r>
          </w:p>
        </w:tc>
        <w:tc>
          <w:tcPr>
            <w:tcW w:w="811" w:type="dxa"/>
            <w:tcBorders>
              <w:top w:val="nil"/>
              <w:left w:val="nil"/>
              <w:bottom w:val="single" w:sz="4" w:space="0" w:color="auto"/>
              <w:right w:val="single" w:sz="4" w:space="0" w:color="auto"/>
            </w:tcBorders>
            <w:shd w:val="clear" w:color="000000" w:fill="FFFFFF"/>
            <w:noWrap/>
            <w:vAlign w:val="center"/>
            <w:hideMark/>
          </w:tcPr>
          <w:p w14:paraId="474010D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605,143</w:t>
            </w:r>
          </w:p>
        </w:tc>
        <w:tc>
          <w:tcPr>
            <w:tcW w:w="855" w:type="dxa"/>
            <w:tcBorders>
              <w:top w:val="nil"/>
              <w:left w:val="nil"/>
              <w:bottom w:val="single" w:sz="4" w:space="0" w:color="auto"/>
              <w:right w:val="single" w:sz="4" w:space="0" w:color="auto"/>
            </w:tcBorders>
            <w:shd w:val="clear" w:color="000000" w:fill="FFFFFF"/>
            <w:noWrap/>
            <w:vAlign w:val="center"/>
            <w:hideMark/>
          </w:tcPr>
          <w:p w14:paraId="7FD243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06AA4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4,218,557</w:t>
            </w:r>
          </w:p>
        </w:tc>
        <w:tc>
          <w:tcPr>
            <w:tcW w:w="740" w:type="dxa"/>
            <w:tcBorders>
              <w:top w:val="nil"/>
              <w:left w:val="nil"/>
              <w:bottom w:val="single" w:sz="4" w:space="0" w:color="auto"/>
              <w:right w:val="single" w:sz="4" w:space="0" w:color="auto"/>
            </w:tcBorders>
            <w:shd w:val="clear" w:color="000000" w:fill="FFFFFF"/>
            <w:noWrap/>
            <w:vAlign w:val="center"/>
            <w:hideMark/>
          </w:tcPr>
          <w:p w14:paraId="563589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8.94</w:t>
            </w:r>
          </w:p>
        </w:tc>
        <w:tc>
          <w:tcPr>
            <w:tcW w:w="718" w:type="dxa"/>
            <w:tcBorders>
              <w:top w:val="nil"/>
              <w:left w:val="nil"/>
              <w:bottom w:val="single" w:sz="4" w:space="0" w:color="auto"/>
              <w:right w:val="single" w:sz="4" w:space="0" w:color="auto"/>
            </w:tcBorders>
            <w:shd w:val="clear" w:color="000000" w:fill="FFFFFF"/>
            <w:noWrap/>
            <w:vAlign w:val="center"/>
            <w:hideMark/>
          </w:tcPr>
          <w:p w14:paraId="5EE727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572,742</w:t>
            </w:r>
          </w:p>
        </w:tc>
        <w:tc>
          <w:tcPr>
            <w:tcW w:w="882" w:type="dxa"/>
            <w:tcBorders>
              <w:top w:val="nil"/>
              <w:left w:val="nil"/>
              <w:bottom w:val="single" w:sz="4" w:space="0" w:color="auto"/>
              <w:right w:val="single" w:sz="4" w:space="0" w:color="auto"/>
            </w:tcBorders>
            <w:shd w:val="clear" w:color="000000" w:fill="FFFFFF"/>
            <w:noWrap/>
            <w:vAlign w:val="center"/>
            <w:hideMark/>
          </w:tcPr>
          <w:p w14:paraId="64F14B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7F34E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3,965,884</w:t>
            </w:r>
          </w:p>
        </w:tc>
        <w:tc>
          <w:tcPr>
            <w:tcW w:w="1045" w:type="dxa"/>
            <w:tcBorders>
              <w:top w:val="nil"/>
              <w:left w:val="nil"/>
              <w:bottom w:val="single" w:sz="4" w:space="0" w:color="auto"/>
              <w:right w:val="single" w:sz="4" w:space="0" w:color="auto"/>
            </w:tcBorders>
            <w:shd w:val="clear" w:color="000000" w:fill="FFFFFF"/>
            <w:noWrap/>
            <w:vAlign w:val="center"/>
            <w:hideMark/>
          </w:tcPr>
          <w:p w14:paraId="6C0BF1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10.26</w:t>
            </w:r>
          </w:p>
        </w:tc>
      </w:tr>
      <w:tr w:rsidR="00177999" w:rsidRPr="00057D13" w14:paraId="52E007A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ADBD5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EAC60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6051D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D57ABC3"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573,445</w:t>
            </w:r>
          </w:p>
        </w:tc>
        <w:tc>
          <w:tcPr>
            <w:tcW w:w="854" w:type="dxa"/>
            <w:tcBorders>
              <w:top w:val="nil"/>
              <w:left w:val="nil"/>
              <w:bottom w:val="single" w:sz="4" w:space="0" w:color="auto"/>
              <w:right w:val="single" w:sz="4" w:space="0" w:color="auto"/>
            </w:tcBorders>
            <w:shd w:val="clear" w:color="000000" w:fill="FFFFFF"/>
            <w:noWrap/>
            <w:vAlign w:val="center"/>
            <w:hideMark/>
          </w:tcPr>
          <w:p w14:paraId="176510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w:t>
            </w:r>
          </w:p>
        </w:tc>
        <w:tc>
          <w:tcPr>
            <w:tcW w:w="1013" w:type="dxa"/>
            <w:tcBorders>
              <w:top w:val="nil"/>
              <w:left w:val="nil"/>
              <w:bottom w:val="single" w:sz="4" w:space="0" w:color="auto"/>
              <w:right w:val="single" w:sz="4" w:space="0" w:color="auto"/>
            </w:tcBorders>
            <w:shd w:val="clear" w:color="000000" w:fill="FFFFFF"/>
            <w:noWrap/>
            <w:vAlign w:val="center"/>
            <w:hideMark/>
          </w:tcPr>
          <w:p w14:paraId="1B3EEA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4,005,827</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20499" w14:textId="3952A092"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22.44*</w:t>
            </w:r>
          </w:p>
        </w:tc>
        <w:tc>
          <w:tcPr>
            <w:tcW w:w="811" w:type="dxa"/>
            <w:tcBorders>
              <w:top w:val="nil"/>
              <w:left w:val="nil"/>
              <w:bottom w:val="single" w:sz="4" w:space="0" w:color="auto"/>
              <w:right w:val="single" w:sz="4" w:space="0" w:color="auto"/>
            </w:tcBorders>
            <w:shd w:val="clear" w:color="000000" w:fill="FFFFFF"/>
            <w:noWrap/>
            <w:vAlign w:val="center"/>
            <w:hideMark/>
          </w:tcPr>
          <w:p w14:paraId="49374AC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653,742</w:t>
            </w:r>
          </w:p>
        </w:tc>
        <w:tc>
          <w:tcPr>
            <w:tcW w:w="855" w:type="dxa"/>
            <w:tcBorders>
              <w:top w:val="nil"/>
              <w:left w:val="nil"/>
              <w:bottom w:val="single" w:sz="4" w:space="0" w:color="auto"/>
              <w:right w:val="single" w:sz="4" w:space="0" w:color="auto"/>
            </w:tcBorders>
            <w:shd w:val="clear" w:color="000000" w:fill="FFFFFF"/>
            <w:noWrap/>
            <w:vAlign w:val="center"/>
            <w:hideMark/>
          </w:tcPr>
          <w:p w14:paraId="693CB5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w:t>
            </w:r>
          </w:p>
        </w:tc>
        <w:tc>
          <w:tcPr>
            <w:tcW w:w="1014" w:type="dxa"/>
            <w:tcBorders>
              <w:top w:val="nil"/>
              <w:left w:val="nil"/>
              <w:bottom w:val="single" w:sz="4" w:space="0" w:color="auto"/>
              <w:right w:val="single" w:sz="4" w:space="0" w:color="auto"/>
            </w:tcBorders>
            <w:shd w:val="clear" w:color="000000" w:fill="FFFFFF"/>
            <w:noWrap/>
            <w:vAlign w:val="center"/>
            <w:hideMark/>
          </w:tcPr>
          <w:p w14:paraId="5907BC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4,569,263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DFE48" w14:textId="7DB8BA51"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16.43*</w:t>
            </w:r>
          </w:p>
        </w:tc>
        <w:tc>
          <w:tcPr>
            <w:tcW w:w="718" w:type="dxa"/>
            <w:tcBorders>
              <w:top w:val="nil"/>
              <w:left w:val="nil"/>
              <w:bottom w:val="single" w:sz="4" w:space="0" w:color="auto"/>
              <w:right w:val="single" w:sz="4" w:space="0" w:color="auto"/>
            </w:tcBorders>
            <w:shd w:val="clear" w:color="000000" w:fill="FFFFFF"/>
            <w:noWrap/>
            <w:vAlign w:val="center"/>
            <w:hideMark/>
          </w:tcPr>
          <w:p w14:paraId="31A0BC84"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565,967</w:t>
            </w:r>
          </w:p>
        </w:tc>
        <w:tc>
          <w:tcPr>
            <w:tcW w:w="882" w:type="dxa"/>
            <w:tcBorders>
              <w:top w:val="nil"/>
              <w:left w:val="nil"/>
              <w:bottom w:val="single" w:sz="4" w:space="0" w:color="auto"/>
              <w:right w:val="single" w:sz="4" w:space="0" w:color="auto"/>
            </w:tcBorders>
            <w:shd w:val="clear" w:color="000000" w:fill="FFFFFF"/>
            <w:noWrap/>
            <w:vAlign w:val="center"/>
            <w:hideMark/>
          </w:tcPr>
          <w:p w14:paraId="7E6CDB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w:t>
            </w:r>
          </w:p>
        </w:tc>
        <w:tc>
          <w:tcPr>
            <w:tcW w:w="1045" w:type="dxa"/>
            <w:tcBorders>
              <w:top w:val="nil"/>
              <w:left w:val="nil"/>
              <w:bottom w:val="single" w:sz="4" w:space="0" w:color="auto"/>
              <w:right w:val="single" w:sz="4" w:space="0" w:color="auto"/>
            </w:tcBorders>
            <w:shd w:val="clear" w:color="000000" w:fill="FFFFFF"/>
            <w:noWrap/>
            <w:vAlign w:val="center"/>
            <w:hideMark/>
          </w:tcPr>
          <w:p w14:paraId="313975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3,943,897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BDAA8" w14:textId="09E369B0"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22.44*</w:t>
            </w:r>
          </w:p>
        </w:tc>
      </w:tr>
      <w:tr w:rsidR="00177999" w:rsidRPr="00057D13" w14:paraId="11B9F51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79209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88914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DEFBA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0DBBC53"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291,721</w:t>
            </w:r>
          </w:p>
        </w:tc>
        <w:tc>
          <w:tcPr>
            <w:tcW w:w="854" w:type="dxa"/>
            <w:tcBorders>
              <w:top w:val="nil"/>
              <w:left w:val="nil"/>
              <w:bottom w:val="single" w:sz="4" w:space="0" w:color="auto"/>
              <w:right w:val="single" w:sz="4" w:space="0" w:color="auto"/>
            </w:tcBorders>
            <w:shd w:val="clear" w:color="000000" w:fill="FFFFFF"/>
            <w:noWrap/>
            <w:vAlign w:val="center"/>
            <w:hideMark/>
          </w:tcPr>
          <w:p w14:paraId="38D4AA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w:t>
            </w:r>
          </w:p>
        </w:tc>
        <w:tc>
          <w:tcPr>
            <w:tcW w:w="1013" w:type="dxa"/>
            <w:tcBorders>
              <w:top w:val="nil"/>
              <w:left w:val="nil"/>
              <w:bottom w:val="single" w:sz="4" w:space="0" w:color="auto"/>
              <w:right w:val="single" w:sz="4" w:space="0" w:color="auto"/>
            </w:tcBorders>
            <w:shd w:val="clear" w:color="000000" w:fill="FFFFFF"/>
            <w:noWrap/>
            <w:vAlign w:val="center"/>
            <w:hideMark/>
          </w:tcPr>
          <w:p w14:paraId="518D60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2,037,440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691DF" w14:textId="31E6C8F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29.60*</w:t>
            </w:r>
          </w:p>
        </w:tc>
        <w:tc>
          <w:tcPr>
            <w:tcW w:w="811" w:type="dxa"/>
            <w:tcBorders>
              <w:top w:val="nil"/>
              <w:left w:val="nil"/>
              <w:bottom w:val="single" w:sz="4" w:space="0" w:color="auto"/>
              <w:right w:val="single" w:sz="4" w:space="0" w:color="auto"/>
            </w:tcBorders>
            <w:shd w:val="clear" w:color="000000" w:fill="FFFFFF"/>
            <w:noWrap/>
            <w:vAlign w:val="center"/>
            <w:hideMark/>
          </w:tcPr>
          <w:p w14:paraId="7206F9C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335,160</w:t>
            </w:r>
          </w:p>
        </w:tc>
        <w:tc>
          <w:tcPr>
            <w:tcW w:w="855" w:type="dxa"/>
            <w:tcBorders>
              <w:top w:val="nil"/>
              <w:left w:val="nil"/>
              <w:bottom w:val="single" w:sz="4" w:space="0" w:color="auto"/>
              <w:right w:val="single" w:sz="4" w:space="0" w:color="auto"/>
            </w:tcBorders>
            <w:shd w:val="clear" w:color="000000" w:fill="FFFFFF"/>
            <w:noWrap/>
            <w:vAlign w:val="center"/>
            <w:hideMark/>
          </w:tcPr>
          <w:p w14:paraId="10A9BC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14" w:type="dxa"/>
            <w:tcBorders>
              <w:top w:val="nil"/>
              <w:left w:val="nil"/>
              <w:bottom w:val="single" w:sz="4" w:space="0" w:color="auto"/>
              <w:right w:val="single" w:sz="4" w:space="0" w:color="auto"/>
            </w:tcBorders>
            <w:shd w:val="clear" w:color="000000" w:fill="FFFFFF"/>
            <w:noWrap/>
            <w:vAlign w:val="center"/>
            <w:hideMark/>
          </w:tcPr>
          <w:p w14:paraId="5AA43B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2,341,915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97A59" w14:textId="32D0A8A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18.31*</w:t>
            </w:r>
          </w:p>
        </w:tc>
        <w:tc>
          <w:tcPr>
            <w:tcW w:w="718" w:type="dxa"/>
            <w:tcBorders>
              <w:top w:val="nil"/>
              <w:left w:val="nil"/>
              <w:bottom w:val="single" w:sz="4" w:space="0" w:color="auto"/>
              <w:right w:val="single" w:sz="4" w:space="0" w:color="auto"/>
            </w:tcBorders>
            <w:shd w:val="clear" w:color="000000" w:fill="FFFFFF"/>
            <w:noWrap/>
            <w:vAlign w:val="center"/>
            <w:hideMark/>
          </w:tcPr>
          <w:p w14:paraId="5A27A4C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286,151</w:t>
            </w:r>
          </w:p>
        </w:tc>
        <w:tc>
          <w:tcPr>
            <w:tcW w:w="882" w:type="dxa"/>
            <w:tcBorders>
              <w:top w:val="nil"/>
              <w:left w:val="nil"/>
              <w:bottom w:val="single" w:sz="4" w:space="0" w:color="auto"/>
              <w:right w:val="single" w:sz="4" w:space="0" w:color="auto"/>
            </w:tcBorders>
            <w:shd w:val="clear" w:color="000000" w:fill="FFFFFF"/>
            <w:noWrap/>
            <w:vAlign w:val="center"/>
            <w:hideMark/>
          </w:tcPr>
          <w:p w14:paraId="3DE9A7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w:t>
            </w:r>
          </w:p>
        </w:tc>
        <w:tc>
          <w:tcPr>
            <w:tcW w:w="1045" w:type="dxa"/>
            <w:tcBorders>
              <w:top w:val="nil"/>
              <w:left w:val="nil"/>
              <w:bottom w:val="single" w:sz="4" w:space="0" w:color="auto"/>
              <w:right w:val="single" w:sz="4" w:space="0" w:color="auto"/>
            </w:tcBorders>
            <w:shd w:val="clear" w:color="000000" w:fill="FFFFFF"/>
            <w:noWrap/>
            <w:vAlign w:val="center"/>
            <w:hideMark/>
          </w:tcPr>
          <w:p w14:paraId="47DB56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1,993,951</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1E423" w14:textId="745A35F0"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8.72*</w:t>
            </w:r>
          </w:p>
        </w:tc>
      </w:tr>
      <w:tr w:rsidR="00177999" w:rsidRPr="00057D13" w14:paraId="74D7BFD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5FC86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C145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08A381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3AB78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318,545</w:t>
            </w:r>
          </w:p>
        </w:tc>
        <w:tc>
          <w:tcPr>
            <w:tcW w:w="854" w:type="dxa"/>
            <w:tcBorders>
              <w:top w:val="nil"/>
              <w:left w:val="nil"/>
              <w:bottom w:val="single" w:sz="4" w:space="0" w:color="auto"/>
              <w:right w:val="single" w:sz="4" w:space="0" w:color="auto"/>
            </w:tcBorders>
            <w:shd w:val="clear" w:color="000000" w:fill="FFFFFF"/>
            <w:noWrap/>
            <w:vAlign w:val="center"/>
            <w:hideMark/>
          </w:tcPr>
          <w:p w14:paraId="644207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43213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2,218,337</w:t>
            </w:r>
          </w:p>
        </w:tc>
        <w:tc>
          <w:tcPr>
            <w:tcW w:w="623" w:type="dxa"/>
            <w:tcBorders>
              <w:top w:val="nil"/>
              <w:left w:val="nil"/>
              <w:bottom w:val="single" w:sz="4" w:space="0" w:color="auto"/>
              <w:right w:val="single" w:sz="4" w:space="0" w:color="auto"/>
            </w:tcBorders>
            <w:shd w:val="clear" w:color="000000" w:fill="FFFFFF"/>
            <w:noWrap/>
            <w:vAlign w:val="center"/>
            <w:hideMark/>
          </w:tcPr>
          <w:p w14:paraId="202B68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4.81</w:t>
            </w:r>
          </w:p>
        </w:tc>
        <w:tc>
          <w:tcPr>
            <w:tcW w:w="811" w:type="dxa"/>
            <w:tcBorders>
              <w:top w:val="nil"/>
              <w:left w:val="nil"/>
              <w:bottom w:val="single" w:sz="4" w:space="0" w:color="auto"/>
              <w:right w:val="single" w:sz="4" w:space="0" w:color="auto"/>
            </w:tcBorders>
            <w:shd w:val="clear" w:color="000000" w:fill="FFFFFF"/>
            <w:noWrap/>
            <w:vAlign w:val="center"/>
            <w:hideMark/>
          </w:tcPr>
          <w:p w14:paraId="3C4CAE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335,584</w:t>
            </w:r>
          </w:p>
        </w:tc>
        <w:tc>
          <w:tcPr>
            <w:tcW w:w="855" w:type="dxa"/>
            <w:tcBorders>
              <w:top w:val="nil"/>
              <w:left w:val="nil"/>
              <w:bottom w:val="single" w:sz="4" w:space="0" w:color="auto"/>
              <w:right w:val="single" w:sz="4" w:space="0" w:color="auto"/>
            </w:tcBorders>
            <w:shd w:val="clear" w:color="000000" w:fill="FFFFFF"/>
            <w:noWrap/>
            <w:vAlign w:val="center"/>
            <w:hideMark/>
          </w:tcPr>
          <w:p w14:paraId="64D634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89DBD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2,340,724</w:t>
            </w:r>
          </w:p>
        </w:tc>
        <w:tc>
          <w:tcPr>
            <w:tcW w:w="740" w:type="dxa"/>
            <w:tcBorders>
              <w:top w:val="nil"/>
              <w:left w:val="nil"/>
              <w:bottom w:val="single" w:sz="4" w:space="0" w:color="auto"/>
              <w:right w:val="single" w:sz="4" w:space="0" w:color="auto"/>
            </w:tcBorders>
            <w:shd w:val="clear" w:color="000000" w:fill="FFFFFF"/>
            <w:noWrap/>
            <w:vAlign w:val="center"/>
            <w:hideMark/>
          </w:tcPr>
          <w:p w14:paraId="268664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5.33</w:t>
            </w:r>
          </w:p>
        </w:tc>
        <w:tc>
          <w:tcPr>
            <w:tcW w:w="718" w:type="dxa"/>
            <w:tcBorders>
              <w:top w:val="nil"/>
              <w:left w:val="nil"/>
              <w:bottom w:val="single" w:sz="4" w:space="0" w:color="auto"/>
              <w:right w:val="single" w:sz="4" w:space="0" w:color="auto"/>
            </w:tcBorders>
            <w:shd w:val="clear" w:color="000000" w:fill="FFFFFF"/>
            <w:noWrap/>
            <w:vAlign w:val="center"/>
            <w:hideMark/>
          </w:tcPr>
          <w:p w14:paraId="0CB8D1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310,676</w:t>
            </w:r>
          </w:p>
        </w:tc>
        <w:tc>
          <w:tcPr>
            <w:tcW w:w="882" w:type="dxa"/>
            <w:tcBorders>
              <w:top w:val="nil"/>
              <w:left w:val="nil"/>
              <w:bottom w:val="single" w:sz="4" w:space="0" w:color="auto"/>
              <w:right w:val="single" w:sz="4" w:space="0" w:color="auto"/>
            </w:tcBorders>
            <w:shd w:val="clear" w:color="000000" w:fill="FFFFFF"/>
            <w:noWrap/>
            <w:vAlign w:val="center"/>
            <w:hideMark/>
          </w:tcPr>
          <w:p w14:paraId="2941CE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CA7CD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2,150,922</w:t>
            </w:r>
          </w:p>
        </w:tc>
        <w:tc>
          <w:tcPr>
            <w:tcW w:w="1045" w:type="dxa"/>
            <w:tcBorders>
              <w:top w:val="nil"/>
              <w:left w:val="nil"/>
              <w:bottom w:val="single" w:sz="4" w:space="0" w:color="auto"/>
              <w:right w:val="single" w:sz="4" w:space="0" w:color="auto"/>
            </w:tcBorders>
            <w:shd w:val="clear" w:color="000000" w:fill="FFFFFF"/>
            <w:noWrap/>
            <w:vAlign w:val="center"/>
            <w:hideMark/>
          </w:tcPr>
          <w:p w14:paraId="2C87E7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4.72</w:t>
            </w:r>
          </w:p>
        </w:tc>
      </w:tr>
      <w:tr w:rsidR="00177999" w:rsidRPr="00057D13" w14:paraId="01B288A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3E857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36A12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763A0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41408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302,195</w:t>
            </w:r>
          </w:p>
        </w:tc>
        <w:tc>
          <w:tcPr>
            <w:tcW w:w="854" w:type="dxa"/>
            <w:tcBorders>
              <w:top w:val="nil"/>
              <w:left w:val="nil"/>
              <w:bottom w:val="single" w:sz="4" w:space="0" w:color="auto"/>
              <w:right w:val="single" w:sz="4" w:space="0" w:color="auto"/>
            </w:tcBorders>
            <w:shd w:val="clear" w:color="000000" w:fill="FFFFFF"/>
            <w:noWrap/>
            <w:vAlign w:val="center"/>
            <w:hideMark/>
          </w:tcPr>
          <w:p w14:paraId="7FA5AC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1C47D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2,110,944</w:t>
            </w:r>
          </w:p>
        </w:tc>
        <w:tc>
          <w:tcPr>
            <w:tcW w:w="623" w:type="dxa"/>
            <w:tcBorders>
              <w:top w:val="nil"/>
              <w:left w:val="nil"/>
              <w:bottom w:val="single" w:sz="4" w:space="0" w:color="auto"/>
              <w:right w:val="single" w:sz="4" w:space="0" w:color="auto"/>
            </w:tcBorders>
            <w:shd w:val="clear" w:color="000000" w:fill="FFFFFF"/>
            <w:noWrap/>
            <w:vAlign w:val="center"/>
            <w:hideMark/>
          </w:tcPr>
          <w:p w14:paraId="3A0BA6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1.93</w:t>
            </w:r>
          </w:p>
        </w:tc>
        <w:tc>
          <w:tcPr>
            <w:tcW w:w="811" w:type="dxa"/>
            <w:tcBorders>
              <w:top w:val="nil"/>
              <w:left w:val="nil"/>
              <w:bottom w:val="single" w:sz="4" w:space="0" w:color="auto"/>
              <w:right w:val="single" w:sz="4" w:space="0" w:color="auto"/>
            </w:tcBorders>
            <w:shd w:val="clear" w:color="000000" w:fill="FFFFFF"/>
            <w:noWrap/>
            <w:vAlign w:val="center"/>
            <w:hideMark/>
          </w:tcPr>
          <w:p w14:paraId="6C01F3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356,836</w:t>
            </w:r>
          </w:p>
        </w:tc>
        <w:tc>
          <w:tcPr>
            <w:tcW w:w="855" w:type="dxa"/>
            <w:tcBorders>
              <w:top w:val="nil"/>
              <w:left w:val="nil"/>
              <w:bottom w:val="single" w:sz="4" w:space="0" w:color="auto"/>
              <w:right w:val="single" w:sz="4" w:space="0" w:color="auto"/>
            </w:tcBorders>
            <w:shd w:val="clear" w:color="000000" w:fill="FFFFFF"/>
            <w:noWrap/>
            <w:vAlign w:val="center"/>
            <w:hideMark/>
          </w:tcPr>
          <w:p w14:paraId="21F3B5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D9067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2,494,047</w:t>
            </w:r>
          </w:p>
        </w:tc>
        <w:tc>
          <w:tcPr>
            <w:tcW w:w="740" w:type="dxa"/>
            <w:tcBorders>
              <w:top w:val="nil"/>
              <w:left w:val="nil"/>
              <w:bottom w:val="single" w:sz="4" w:space="0" w:color="auto"/>
              <w:right w:val="single" w:sz="4" w:space="0" w:color="auto"/>
            </w:tcBorders>
            <w:shd w:val="clear" w:color="000000" w:fill="FFFFFF"/>
            <w:noWrap/>
            <w:vAlign w:val="center"/>
            <w:hideMark/>
          </w:tcPr>
          <w:p w14:paraId="47D906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BEA18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302,684</w:t>
            </w:r>
          </w:p>
        </w:tc>
        <w:tc>
          <w:tcPr>
            <w:tcW w:w="882" w:type="dxa"/>
            <w:tcBorders>
              <w:top w:val="nil"/>
              <w:left w:val="nil"/>
              <w:bottom w:val="single" w:sz="4" w:space="0" w:color="auto"/>
              <w:right w:val="single" w:sz="4" w:space="0" w:color="auto"/>
            </w:tcBorders>
            <w:shd w:val="clear" w:color="000000" w:fill="FFFFFF"/>
            <w:noWrap/>
            <w:vAlign w:val="center"/>
            <w:hideMark/>
          </w:tcPr>
          <w:p w14:paraId="0EBE48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4FBA2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2,109,334</w:t>
            </w:r>
          </w:p>
        </w:tc>
        <w:tc>
          <w:tcPr>
            <w:tcW w:w="1045" w:type="dxa"/>
            <w:tcBorders>
              <w:top w:val="nil"/>
              <w:left w:val="nil"/>
              <w:bottom w:val="single" w:sz="4" w:space="0" w:color="auto"/>
              <w:right w:val="single" w:sz="4" w:space="0" w:color="auto"/>
            </w:tcBorders>
            <w:shd w:val="clear" w:color="000000" w:fill="FFFFFF"/>
            <w:noWrap/>
            <w:vAlign w:val="center"/>
            <w:hideMark/>
          </w:tcPr>
          <w:p w14:paraId="348F8A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6.45</w:t>
            </w:r>
          </w:p>
        </w:tc>
      </w:tr>
      <w:tr w:rsidR="00177999" w:rsidRPr="00057D13" w14:paraId="51C9AD6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9321E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2C063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9C6A6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14DB80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155,443</w:t>
            </w:r>
          </w:p>
        </w:tc>
        <w:tc>
          <w:tcPr>
            <w:tcW w:w="854" w:type="dxa"/>
            <w:tcBorders>
              <w:top w:val="nil"/>
              <w:left w:val="nil"/>
              <w:bottom w:val="single" w:sz="4" w:space="0" w:color="auto"/>
              <w:right w:val="single" w:sz="4" w:space="0" w:color="auto"/>
            </w:tcBorders>
            <w:shd w:val="clear" w:color="000000" w:fill="FFFFFF"/>
            <w:noWrap/>
            <w:vAlign w:val="center"/>
            <w:hideMark/>
          </w:tcPr>
          <w:p w14:paraId="43EDFB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BC35F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1,085,398</w:t>
            </w:r>
          </w:p>
        </w:tc>
        <w:tc>
          <w:tcPr>
            <w:tcW w:w="623" w:type="dxa"/>
            <w:tcBorders>
              <w:top w:val="nil"/>
              <w:left w:val="nil"/>
              <w:bottom w:val="single" w:sz="4" w:space="0" w:color="auto"/>
              <w:right w:val="single" w:sz="4" w:space="0" w:color="auto"/>
            </w:tcBorders>
            <w:shd w:val="clear" w:color="000000" w:fill="FFFFFF"/>
            <w:noWrap/>
            <w:vAlign w:val="center"/>
            <w:hideMark/>
          </w:tcPr>
          <w:p w14:paraId="313A7B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7.58</w:t>
            </w:r>
          </w:p>
        </w:tc>
        <w:tc>
          <w:tcPr>
            <w:tcW w:w="811" w:type="dxa"/>
            <w:tcBorders>
              <w:top w:val="nil"/>
              <w:left w:val="nil"/>
              <w:bottom w:val="single" w:sz="4" w:space="0" w:color="auto"/>
              <w:right w:val="single" w:sz="4" w:space="0" w:color="auto"/>
            </w:tcBorders>
            <w:shd w:val="clear" w:color="000000" w:fill="FFFFFF"/>
            <w:noWrap/>
            <w:vAlign w:val="center"/>
            <w:hideMark/>
          </w:tcPr>
          <w:p w14:paraId="2BAF9F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187,217</w:t>
            </w:r>
          </w:p>
        </w:tc>
        <w:tc>
          <w:tcPr>
            <w:tcW w:w="855" w:type="dxa"/>
            <w:tcBorders>
              <w:top w:val="nil"/>
              <w:left w:val="nil"/>
              <w:bottom w:val="single" w:sz="4" w:space="0" w:color="auto"/>
              <w:right w:val="single" w:sz="4" w:space="0" w:color="auto"/>
            </w:tcBorders>
            <w:shd w:val="clear" w:color="000000" w:fill="FFFFFF"/>
            <w:noWrap/>
            <w:vAlign w:val="center"/>
            <w:hideMark/>
          </w:tcPr>
          <w:p w14:paraId="0B987A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3AC13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1,307,806</w:t>
            </w:r>
          </w:p>
        </w:tc>
        <w:tc>
          <w:tcPr>
            <w:tcW w:w="740" w:type="dxa"/>
            <w:tcBorders>
              <w:top w:val="nil"/>
              <w:left w:val="nil"/>
              <w:bottom w:val="single" w:sz="4" w:space="0" w:color="auto"/>
              <w:right w:val="single" w:sz="4" w:space="0" w:color="auto"/>
            </w:tcBorders>
            <w:shd w:val="clear" w:color="000000" w:fill="FFFFFF"/>
            <w:noWrap/>
            <w:vAlign w:val="center"/>
            <w:hideMark/>
          </w:tcPr>
          <w:p w14:paraId="2B83F0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6.91</w:t>
            </w:r>
          </w:p>
        </w:tc>
        <w:tc>
          <w:tcPr>
            <w:tcW w:w="718" w:type="dxa"/>
            <w:tcBorders>
              <w:top w:val="nil"/>
              <w:left w:val="nil"/>
              <w:bottom w:val="single" w:sz="4" w:space="0" w:color="auto"/>
              <w:right w:val="single" w:sz="4" w:space="0" w:color="auto"/>
            </w:tcBorders>
            <w:shd w:val="clear" w:color="000000" w:fill="FFFFFF"/>
            <w:noWrap/>
            <w:vAlign w:val="center"/>
            <w:hideMark/>
          </w:tcPr>
          <w:p w14:paraId="7FB288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155,846</w:t>
            </w:r>
          </w:p>
        </w:tc>
        <w:tc>
          <w:tcPr>
            <w:tcW w:w="882" w:type="dxa"/>
            <w:tcBorders>
              <w:top w:val="nil"/>
              <w:left w:val="nil"/>
              <w:bottom w:val="single" w:sz="4" w:space="0" w:color="auto"/>
              <w:right w:val="single" w:sz="4" w:space="0" w:color="auto"/>
            </w:tcBorders>
            <w:shd w:val="clear" w:color="000000" w:fill="FFFFFF"/>
            <w:noWrap/>
            <w:vAlign w:val="center"/>
            <w:hideMark/>
          </w:tcPr>
          <w:p w14:paraId="7F2501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9C285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1,085,979</w:t>
            </w:r>
          </w:p>
        </w:tc>
        <w:tc>
          <w:tcPr>
            <w:tcW w:w="1045" w:type="dxa"/>
            <w:tcBorders>
              <w:top w:val="nil"/>
              <w:left w:val="nil"/>
              <w:bottom w:val="single" w:sz="4" w:space="0" w:color="auto"/>
              <w:right w:val="single" w:sz="4" w:space="0" w:color="auto"/>
            </w:tcBorders>
            <w:shd w:val="clear" w:color="000000" w:fill="FFFFFF"/>
            <w:noWrap/>
            <w:vAlign w:val="center"/>
            <w:hideMark/>
          </w:tcPr>
          <w:p w14:paraId="467D58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2.91</w:t>
            </w:r>
          </w:p>
        </w:tc>
      </w:tr>
      <w:tr w:rsidR="00177999" w:rsidRPr="00057D13" w14:paraId="45D3A0D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10D32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67EC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57F105E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47CCF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285,040</w:t>
            </w:r>
          </w:p>
        </w:tc>
        <w:tc>
          <w:tcPr>
            <w:tcW w:w="854" w:type="dxa"/>
            <w:tcBorders>
              <w:top w:val="nil"/>
              <w:left w:val="nil"/>
              <w:bottom w:val="single" w:sz="4" w:space="0" w:color="auto"/>
              <w:right w:val="single" w:sz="4" w:space="0" w:color="auto"/>
            </w:tcBorders>
            <w:shd w:val="clear" w:color="000000" w:fill="FFFFFF"/>
            <w:noWrap/>
            <w:vAlign w:val="center"/>
            <w:hideMark/>
          </w:tcPr>
          <w:p w14:paraId="5327C4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79760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1,983,566</w:t>
            </w:r>
          </w:p>
        </w:tc>
        <w:tc>
          <w:tcPr>
            <w:tcW w:w="623" w:type="dxa"/>
            <w:tcBorders>
              <w:top w:val="nil"/>
              <w:left w:val="nil"/>
              <w:bottom w:val="single" w:sz="4" w:space="0" w:color="auto"/>
              <w:right w:val="single" w:sz="4" w:space="0" w:color="auto"/>
            </w:tcBorders>
            <w:shd w:val="clear" w:color="000000" w:fill="FFFFFF"/>
            <w:noWrap/>
            <w:vAlign w:val="center"/>
            <w:hideMark/>
          </w:tcPr>
          <w:p w14:paraId="456E93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5.43</w:t>
            </w:r>
          </w:p>
        </w:tc>
        <w:tc>
          <w:tcPr>
            <w:tcW w:w="811" w:type="dxa"/>
            <w:tcBorders>
              <w:top w:val="nil"/>
              <w:left w:val="nil"/>
              <w:bottom w:val="single" w:sz="4" w:space="0" w:color="auto"/>
              <w:right w:val="single" w:sz="4" w:space="0" w:color="auto"/>
            </w:tcBorders>
            <w:shd w:val="clear" w:color="000000" w:fill="FFFFFF"/>
            <w:noWrap/>
            <w:vAlign w:val="center"/>
            <w:hideMark/>
          </w:tcPr>
          <w:p w14:paraId="3E17DE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269,559</w:t>
            </w:r>
          </w:p>
        </w:tc>
        <w:tc>
          <w:tcPr>
            <w:tcW w:w="855" w:type="dxa"/>
            <w:tcBorders>
              <w:top w:val="nil"/>
              <w:left w:val="nil"/>
              <w:bottom w:val="single" w:sz="4" w:space="0" w:color="auto"/>
              <w:right w:val="single" w:sz="4" w:space="0" w:color="auto"/>
            </w:tcBorders>
            <w:shd w:val="clear" w:color="000000" w:fill="FFFFFF"/>
            <w:noWrap/>
            <w:vAlign w:val="center"/>
            <w:hideMark/>
          </w:tcPr>
          <w:p w14:paraId="34BCE9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E5D18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1,877,833</w:t>
            </w:r>
          </w:p>
        </w:tc>
        <w:tc>
          <w:tcPr>
            <w:tcW w:w="740" w:type="dxa"/>
            <w:tcBorders>
              <w:top w:val="nil"/>
              <w:left w:val="nil"/>
              <w:bottom w:val="single" w:sz="4" w:space="0" w:color="auto"/>
              <w:right w:val="single" w:sz="4" w:space="0" w:color="auto"/>
            </w:tcBorders>
            <w:shd w:val="clear" w:color="000000" w:fill="FFFFFF"/>
            <w:noWrap/>
            <w:vAlign w:val="center"/>
            <w:hideMark/>
          </w:tcPr>
          <w:p w14:paraId="647F80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13.54</w:t>
            </w:r>
          </w:p>
        </w:tc>
        <w:tc>
          <w:tcPr>
            <w:tcW w:w="718" w:type="dxa"/>
            <w:tcBorders>
              <w:top w:val="nil"/>
              <w:left w:val="nil"/>
              <w:bottom w:val="single" w:sz="4" w:space="0" w:color="auto"/>
              <w:right w:val="single" w:sz="4" w:space="0" w:color="auto"/>
            </w:tcBorders>
            <w:shd w:val="clear" w:color="000000" w:fill="FFFFFF"/>
            <w:noWrap/>
            <w:vAlign w:val="center"/>
            <w:hideMark/>
          </w:tcPr>
          <w:p w14:paraId="0A697D8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262,066</w:t>
            </w:r>
          </w:p>
        </w:tc>
        <w:tc>
          <w:tcPr>
            <w:tcW w:w="882" w:type="dxa"/>
            <w:tcBorders>
              <w:top w:val="nil"/>
              <w:left w:val="nil"/>
              <w:bottom w:val="single" w:sz="4" w:space="0" w:color="auto"/>
              <w:right w:val="single" w:sz="4" w:space="0" w:color="auto"/>
            </w:tcBorders>
            <w:shd w:val="clear" w:color="000000" w:fill="FFFFFF"/>
            <w:noWrap/>
            <w:vAlign w:val="center"/>
            <w:hideMark/>
          </w:tcPr>
          <w:p w14:paraId="0C01C4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AE65E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1,814,962</w:t>
            </w:r>
          </w:p>
        </w:tc>
        <w:tc>
          <w:tcPr>
            <w:tcW w:w="1045" w:type="dxa"/>
            <w:tcBorders>
              <w:top w:val="nil"/>
              <w:left w:val="nil"/>
              <w:bottom w:val="single" w:sz="4" w:space="0" w:color="auto"/>
              <w:right w:val="single" w:sz="4" w:space="0" w:color="auto"/>
            </w:tcBorders>
            <w:shd w:val="clear" w:color="000000" w:fill="FFFFFF"/>
            <w:noWrap/>
            <w:vAlign w:val="center"/>
            <w:hideMark/>
          </w:tcPr>
          <w:p w14:paraId="32C189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16.85</w:t>
            </w:r>
          </w:p>
        </w:tc>
      </w:tr>
      <w:tr w:rsidR="00177999" w:rsidRPr="00057D13" w14:paraId="2AF9C61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2CDDD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EAEB4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F5805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ED540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271,250</w:t>
            </w:r>
          </w:p>
        </w:tc>
        <w:tc>
          <w:tcPr>
            <w:tcW w:w="854" w:type="dxa"/>
            <w:tcBorders>
              <w:top w:val="nil"/>
              <w:left w:val="nil"/>
              <w:bottom w:val="single" w:sz="4" w:space="0" w:color="auto"/>
              <w:right w:val="single" w:sz="4" w:space="0" w:color="auto"/>
            </w:tcBorders>
            <w:shd w:val="clear" w:color="000000" w:fill="FFFFFF"/>
            <w:noWrap/>
            <w:vAlign w:val="center"/>
            <w:hideMark/>
          </w:tcPr>
          <w:p w14:paraId="660CCC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40695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1,894,883</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C5A57" w14:textId="4679B76D"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45.33*</w:t>
            </w:r>
          </w:p>
        </w:tc>
        <w:tc>
          <w:tcPr>
            <w:tcW w:w="811" w:type="dxa"/>
            <w:tcBorders>
              <w:top w:val="nil"/>
              <w:left w:val="nil"/>
              <w:bottom w:val="single" w:sz="4" w:space="0" w:color="auto"/>
              <w:right w:val="single" w:sz="4" w:space="0" w:color="auto"/>
            </w:tcBorders>
            <w:shd w:val="clear" w:color="000000" w:fill="FFFFFF"/>
            <w:noWrap/>
            <w:vAlign w:val="center"/>
            <w:hideMark/>
          </w:tcPr>
          <w:p w14:paraId="7E12A9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296,906</w:t>
            </w:r>
          </w:p>
        </w:tc>
        <w:tc>
          <w:tcPr>
            <w:tcW w:w="855" w:type="dxa"/>
            <w:tcBorders>
              <w:top w:val="nil"/>
              <w:left w:val="nil"/>
              <w:bottom w:val="single" w:sz="4" w:space="0" w:color="auto"/>
              <w:right w:val="single" w:sz="4" w:space="0" w:color="auto"/>
            </w:tcBorders>
            <w:shd w:val="clear" w:color="000000" w:fill="FFFFFF"/>
            <w:noWrap/>
            <w:vAlign w:val="center"/>
            <w:hideMark/>
          </w:tcPr>
          <w:p w14:paraId="2CF006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w:t>
            </w:r>
          </w:p>
        </w:tc>
        <w:tc>
          <w:tcPr>
            <w:tcW w:w="1014" w:type="dxa"/>
            <w:tcBorders>
              <w:top w:val="nil"/>
              <w:left w:val="nil"/>
              <w:bottom w:val="single" w:sz="4" w:space="0" w:color="auto"/>
              <w:right w:val="single" w:sz="4" w:space="0" w:color="auto"/>
            </w:tcBorders>
            <w:shd w:val="clear" w:color="000000" w:fill="FFFFFF"/>
            <w:noWrap/>
            <w:vAlign w:val="center"/>
            <w:hideMark/>
          </w:tcPr>
          <w:p w14:paraId="0F25D6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2,075,216</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A7C07" w14:textId="228DAED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36.17*</w:t>
            </w:r>
          </w:p>
        </w:tc>
        <w:tc>
          <w:tcPr>
            <w:tcW w:w="718" w:type="dxa"/>
            <w:tcBorders>
              <w:top w:val="nil"/>
              <w:left w:val="nil"/>
              <w:bottom w:val="single" w:sz="4" w:space="0" w:color="auto"/>
              <w:right w:val="single" w:sz="4" w:space="0" w:color="auto"/>
            </w:tcBorders>
            <w:shd w:val="clear" w:color="000000" w:fill="FFFFFF"/>
            <w:noWrap/>
            <w:vAlign w:val="center"/>
            <w:hideMark/>
          </w:tcPr>
          <w:p w14:paraId="5C64DA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263,283</w:t>
            </w:r>
          </w:p>
        </w:tc>
        <w:tc>
          <w:tcPr>
            <w:tcW w:w="882" w:type="dxa"/>
            <w:tcBorders>
              <w:top w:val="nil"/>
              <w:left w:val="nil"/>
              <w:bottom w:val="single" w:sz="4" w:space="0" w:color="auto"/>
              <w:right w:val="single" w:sz="4" w:space="0" w:color="auto"/>
            </w:tcBorders>
            <w:shd w:val="clear" w:color="000000" w:fill="FFFFFF"/>
            <w:noWrap/>
            <w:vAlign w:val="center"/>
            <w:hideMark/>
          </w:tcPr>
          <w:p w14:paraId="242714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A3C80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1,834,563</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58771" w14:textId="43D43073"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40.83*</w:t>
            </w:r>
          </w:p>
        </w:tc>
      </w:tr>
      <w:tr w:rsidR="00177999" w:rsidRPr="00057D13" w14:paraId="455FC8E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B31BB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DEB23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0AAD9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5703B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136,278</w:t>
            </w:r>
          </w:p>
        </w:tc>
        <w:tc>
          <w:tcPr>
            <w:tcW w:w="854" w:type="dxa"/>
            <w:tcBorders>
              <w:top w:val="nil"/>
              <w:left w:val="nil"/>
              <w:bottom w:val="single" w:sz="4" w:space="0" w:color="auto"/>
              <w:right w:val="single" w:sz="4" w:space="0" w:color="auto"/>
            </w:tcBorders>
            <w:shd w:val="clear" w:color="000000" w:fill="FFFFFF"/>
            <w:noWrap/>
            <w:vAlign w:val="center"/>
            <w:hideMark/>
          </w:tcPr>
          <w:p w14:paraId="7DB878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8EBDD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952,042</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DA154" w14:textId="467EBCDE"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54.68*</w:t>
            </w:r>
          </w:p>
        </w:tc>
        <w:tc>
          <w:tcPr>
            <w:tcW w:w="811" w:type="dxa"/>
            <w:tcBorders>
              <w:top w:val="nil"/>
              <w:left w:val="nil"/>
              <w:bottom w:val="single" w:sz="4" w:space="0" w:color="auto"/>
              <w:right w:val="single" w:sz="4" w:space="0" w:color="auto"/>
            </w:tcBorders>
            <w:shd w:val="clear" w:color="000000" w:fill="FFFFFF"/>
            <w:noWrap/>
            <w:vAlign w:val="center"/>
            <w:hideMark/>
          </w:tcPr>
          <w:p w14:paraId="03731B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147,943</w:t>
            </w:r>
          </w:p>
        </w:tc>
        <w:tc>
          <w:tcPr>
            <w:tcW w:w="855" w:type="dxa"/>
            <w:tcBorders>
              <w:top w:val="nil"/>
              <w:left w:val="nil"/>
              <w:bottom w:val="single" w:sz="4" w:space="0" w:color="auto"/>
              <w:right w:val="single" w:sz="4" w:space="0" w:color="auto"/>
            </w:tcBorders>
            <w:shd w:val="clear" w:color="000000" w:fill="FFFFFF"/>
            <w:noWrap/>
            <w:vAlign w:val="center"/>
            <w:hideMark/>
          </w:tcPr>
          <w:p w14:paraId="72019D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300F66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1,034,109</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A8473" w14:textId="3079A9F4"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32.71*</w:t>
            </w:r>
          </w:p>
        </w:tc>
        <w:tc>
          <w:tcPr>
            <w:tcW w:w="718" w:type="dxa"/>
            <w:tcBorders>
              <w:top w:val="nil"/>
              <w:left w:val="nil"/>
              <w:bottom w:val="single" w:sz="4" w:space="0" w:color="auto"/>
              <w:right w:val="single" w:sz="4" w:space="0" w:color="auto"/>
            </w:tcBorders>
            <w:shd w:val="clear" w:color="000000" w:fill="FFFFFF"/>
            <w:noWrap/>
            <w:vAlign w:val="center"/>
            <w:hideMark/>
          </w:tcPr>
          <w:p w14:paraId="23B7E2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130,305</w:t>
            </w:r>
          </w:p>
        </w:tc>
        <w:tc>
          <w:tcPr>
            <w:tcW w:w="882" w:type="dxa"/>
            <w:tcBorders>
              <w:top w:val="nil"/>
              <w:left w:val="nil"/>
              <w:bottom w:val="single" w:sz="4" w:space="0" w:color="auto"/>
              <w:right w:val="single" w:sz="4" w:space="0" w:color="auto"/>
            </w:tcBorders>
            <w:shd w:val="clear" w:color="000000" w:fill="FFFFFF"/>
            <w:noWrap/>
            <w:vAlign w:val="center"/>
            <w:hideMark/>
          </w:tcPr>
          <w:p w14:paraId="6087A6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F1BE6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907,972</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4E2DA" w14:textId="3E5373C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15.66*</w:t>
            </w:r>
          </w:p>
        </w:tc>
      </w:tr>
      <w:tr w:rsidR="00177999" w:rsidRPr="00057D13" w14:paraId="55AAFAD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6ABC5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D008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75E553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9D0AB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11,443</w:t>
            </w:r>
          </w:p>
        </w:tc>
        <w:tc>
          <w:tcPr>
            <w:tcW w:w="854" w:type="dxa"/>
            <w:tcBorders>
              <w:top w:val="nil"/>
              <w:left w:val="nil"/>
              <w:bottom w:val="single" w:sz="4" w:space="0" w:color="auto"/>
              <w:right w:val="single" w:sz="4" w:space="0" w:color="auto"/>
            </w:tcBorders>
            <w:shd w:val="clear" w:color="000000" w:fill="FFFFFF"/>
            <w:noWrap/>
            <w:vAlign w:val="center"/>
            <w:hideMark/>
          </w:tcPr>
          <w:p w14:paraId="555893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229FC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48,031</w:t>
            </w:r>
          </w:p>
        </w:tc>
        <w:tc>
          <w:tcPr>
            <w:tcW w:w="623" w:type="dxa"/>
            <w:tcBorders>
              <w:top w:val="nil"/>
              <w:left w:val="nil"/>
              <w:bottom w:val="single" w:sz="4" w:space="0" w:color="auto"/>
              <w:right w:val="single" w:sz="4" w:space="0" w:color="auto"/>
            </w:tcBorders>
            <w:shd w:val="clear" w:color="000000" w:fill="FFFFFF"/>
            <w:noWrap/>
            <w:vAlign w:val="center"/>
            <w:hideMark/>
          </w:tcPr>
          <w:p w14:paraId="5FC2F8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5BDED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7258ED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8A0DB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9,287</w:t>
            </w:r>
          </w:p>
        </w:tc>
        <w:tc>
          <w:tcPr>
            <w:tcW w:w="740" w:type="dxa"/>
            <w:tcBorders>
              <w:top w:val="nil"/>
              <w:left w:val="nil"/>
              <w:bottom w:val="single" w:sz="4" w:space="0" w:color="auto"/>
              <w:right w:val="single" w:sz="4" w:space="0" w:color="auto"/>
            </w:tcBorders>
            <w:shd w:val="clear" w:color="000000" w:fill="FFFFFF"/>
            <w:noWrap/>
            <w:vAlign w:val="center"/>
            <w:hideMark/>
          </w:tcPr>
          <w:p w14:paraId="2E0930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18337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19,047</w:t>
            </w:r>
          </w:p>
        </w:tc>
        <w:tc>
          <w:tcPr>
            <w:tcW w:w="882" w:type="dxa"/>
            <w:tcBorders>
              <w:top w:val="nil"/>
              <w:left w:val="nil"/>
              <w:bottom w:val="single" w:sz="4" w:space="0" w:color="auto"/>
              <w:right w:val="single" w:sz="4" w:space="0" w:color="auto"/>
            </w:tcBorders>
            <w:shd w:val="clear" w:color="000000" w:fill="FFFFFF"/>
            <w:noWrap/>
            <w:vAlign w:val="center"/>
            <w:hideMark/>
          </w:tcPr>
          <w:p w14:paraId="11F44E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472EA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107,282</w:t>
            </w:r>
          </w:p>
        </w:tc>
        <w:tc>
          <w:tcPr>
            <w:tcW w:w="1045" w:type="dxa"/>
            <w:tcBorders>
              <w:top w:val="nil"/>
              <w:left w:val="nil"/>
              <w:bottom w:val="single" w:sz="4" w:space="0" w:color="auto"/>
              <w:right w:val="single" w:sz="4" w:space="0" w:color="auto"/>
            </w:tcBorders>
            <w:shd w:val="clear" w:color="000000" w:fill="FFFFFF"/>
            <w:noWrap/>
            <w:vAlign w:val="center"/>
            <w:hideMark/>
          </w:tcPr>
          <w:p w14:paraId="2799E3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336AC1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B652C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37B08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1FE16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BC0B0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86,157</w:t>
            </w:r>
          </w:p>
        </w:tc>
        <w:tc>
          <w:tcPr>
            <w:tcW w:w="854" w:type="dxa"/>
            <w:tcBorders>
              <w:top w:val="nil"/>
              <w:left w:val="nil"/>
              <w:bottom w:val="single" w:sz="4" w:space="0" w:color="auto"/>
              <w:right w:val="single" w:sz="4" w:space="0" w:color="auto"/>
            </w:tcBorders>
            <w:shd w:val="clear" w:color="000000" w:fill="FFFFFF"/>
            <w:noWrap/>
            <w:vAlign w:val="center"/>
            <w:hideMark/>
          </w:tcPr>
          <w:p w14:paraId="6A335A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F1D3A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594,686</w:t>
            </w:r>
          </w:p>
        </w:tc>
        <w:tc>
          <w:tcPr>
            <w:tcW w:w="623" w:type="dxa"/>
            <w:tcBorders>
              <w:top w:val="nil"/>
              <w:left w:val="nil"/>
              <w:bottom w:val="single" w:sz="4" w:space="0" w:color="auto"/>
              <w:right w:val="single" w:sz="4" w:space="0" w:color="auto"/>
            </w:tcBorders>
            <w:shd w:val="clear" w:color="000000" w:fill="FFFFFF"/>
            <w:noWrap/>
            <w:vAlign w:val="center"/>
            <w:hideMark/>
          </w:tcPr>
          <w:p w14:paraId="2F50C5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7.41</w:t>
            </w:r>
          </w:p>
        </w:tc>
        <w:tc>
          <w:tcPr>
            <w:tcW w:w="811" w:type="dxa"/>
            <w:tcBorders>
              <w:top w:val="nil"/>
              <w:left w:val="nil"/>
              <w:bottom w:val="single" w:sz="4" w:space="0" w:color="auto"/>
              <w:right w:val="single" w:sz="4" w:space="0" w:color="auto"/>
            </w:tcBorders>
            <w:shd w:val="clear" w:color="000000" w:fill="FFFFFF"/>
            <w:noWrap/>
            <w:vAlign w:val="center"/>
            <w:hideMark/>
          </w:tcPr>
          <w:p w14:paraId="48B4A8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63,977</w:t>
            </w:r>
          </w:p>
        </w:tc>
        <w:tc>
          <w:tcPr>
            <w:tcW w:w="855" w:type="dxa"/>
            <w:tcBorders>
              <w:top w:val="nil"/>
              <w:left w:val="nil"/>
              <w:bottom w:val="single" w:sz="4" w:space="0" w:color="auto"/>
              <w:right w:val="single" w:sz="4" w:space="0" w:color="auto"/>
            </w:tcBorders>
            <w:shd w:val="clear" w:color="000000" w:fill="FFFFFF"/>
            <w:noWrap/>
            <w:vAlign w:val="center"/>
            <w:hideMark/>
          </w:tcPr>
          <w:p w14:paraId="55AEF0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33C56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445,495</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6F668" w14:textId="0456CFE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40.59*</w:t>
            </w:r>
          </w:p>
        </w:tc>
        <w:tc>
          <w:tcPr>
            <w:tcW w:w="718" w:type="dxa"/>
            <w:tcBorders>
              <w:top w:val="nil"/>
              <w:left w:val="nil"/>
              <w:bottom w:val="single" w:sz="4" w:space="0" w:color="auto"/>
              <w:right w:val="single" w:sz="4" w:space="0" w:color="auto"/>
            </w:tcBorders>
            <w:shd w:val="clear" w:color="000000" w:fill="FFFFFF"/>
            <w:noWrap/>
            <w:vAlign w:val="center"/>
            <w:hideMark/>
          </w:tcPr>
          <w:p w14:paraId="4DB7C4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79,609</w:t>
            </w:r>
          </w:p>
        </w:tc>
        <w:tc>
          <w:tcPr>
            <w:tcW w:w="882" w:type="dxa"/>
            <w:tcBorders>
              <w:top w:val="nil"/>
              <w:left w:val="nil"/>
              <w:bottom w:val="single" w:sz="4" w:space="0" w:color="auto"/>
              <w:right w:val="single" w:sz="4" w:space="0" w:color="auto"/>
            </w:tcBorders>
            <w:shd w:val="clear" w:color="000000" w:fill="FFFFFF"/>
            <w:noWrap/>
            <w:vAlign w:val="center"/>
            <w:hideMark/>
          </w:tcPr>
          <w:p w14:paraId="1DF68E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6BF81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544,542</w:t>
            </w:r>
          </w:p>
        </w:tc>
        <w:tc>
          <w:tcPr>
            <w:tcW w:w="1045" w:type="dxa"/>
            <w:tcBorders>
              <w:top w:val="nil"/>
              <w:left w:val="nil"/>
              <w:bottom w:val="single" w:sz="4" w:space="0" w:color="auto"/>
              <w:right w:val="single" w:sz="4" w:space="0" w:color="auto"/>
            </w:tcBorders>
            <w:shd w:val="clear" w:color="000000" w:fill="FFFFFF"/>
            <w:noWrap/>
            <w:vAlign w:val="center"/>
            <w:hideMark/>
          </w:tcPr>
          <w:p w14:paraId="4BCAEE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13.05</w:t>
            </w:r>
          </w:p>
        </w:tc>
      </w:tr>
      <w:tr w:rsidR="00177999" w:rsidRPr="00057D13" w14:paraId="004EAB3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375EF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E79F9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87006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CC5D4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57,844</w:t>
            </w:r>
          </w:p>
        </w:tc>
        <w:tc>
          <w:tcPr>
            <w:tcW w:w="854" w:type="dxa"/>
            <w:tcBorders>
              <w:top w:val="nil"/>
              <w:left w:val="nil"/>
              <w:bottom w:val="single" w:sz="4" w:space="0" w:color="auto"/>
              <w:right w:val="single" w:sz="4" w:space="0" w:color="auto"/>
            </w:tcBorders>
            <w:shd w:val="clear" w:color="000000" w:fill="FFFFFF"/>
            <w:noWrap/>
            <w:vAlign w:val="center"/>
            <w:hideMark/>
          </w:tcPr>
          <w:p w14:paraId="7C70C4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D3734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400,044</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9E696" w14:textId="07207C8D"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29.22*</w:t>
            </w:r>
          </w:p>
        </w:tc>
        <w:tc>
          <w:tcPr>
            <w:tcW w:w="811" w:type="dxa"/>
            <w:tcBorders>
              <w:top w:val="nil"/>
              <w:left w:val="nil"/>
              <w:bottom w:val="single" w:sz="4" w:space="0" w:color="auto"/>
              <w:right w:val="single" w:sz="4" w:space="0" w:color="auto"/>
            </w:tcBorders>
            <w:shd w:val="clear" w:color="000000" w:fill="FFFFFF"/>
            <w:noWrap/>
            <w:vAlign w:val="center"/>
            <w:hideMark/>
          </w:tcPr>
          <w:p w14:paraId="576FD7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43,134</w:t>
            </w:r>
          </w:p>
        </w:tc>
        <w:tc>
          <w:tcPr>
            <w:tcW w:w="855" w:type="dxa"/>
            <w:tcBorders>
              <w:top w:val="nil"/>
              <w:left w:val="nil"/>
              <w:bottom w:val="single" w:sz="4" w:space="0" w:color="auto"/>
              <w:right w:val="single" w:sz="4" w:space="0" w:color="auto"/>
            </w:tcBorders>
            <w:shd w:val="clear" w:color="000000" w:fill="FFFFFF"/>
            <w:noWrap/>
            <w:vAlign w:val="center"/>
            <w:hideMark/>
          </w:tcPr>
          <w:p w14:paraId="78A9DB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74F08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299,708</w:t>
            </w:r>
          </w:p>
        </w:tc>
        <w:tc>
          <w:tcPr>
            <w:tcW w:w="740" w:type="dxa"/>
            <w:tcBorders>
              <w:top w:val="nil"/>
              <w:left w:val="nil"/>
              <w:bottom w:val="single" w:sz="4" w:space="0" w:color="auto"/>
              <w:right w:val="single" w:sz="4" w:space="0" w:color="auto"/>
            </w:tcBorders>
            <w:shd w:val="clear" w:color="000000" w:fill="FFFFFF"/>
            <w:noWrap/>
            <w:vAlign w:val="center"/>
            <w:hideMark/>
          </w:tcPr>
          <w:p w14:paraId="1E04A1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8.20</w:t>
            </w:r>
          </w:p>
        </w:tc>
        <w:tc>
          <w:tcPr>
            <w:tcW w:w="718" w:type="dxa"/>
            <w:tcBorders>
              <w:top w:val="nil"/>
              <w:left w:val="nil"/>
              <w:bottom w:val="single" w:sz="4" w:space="0" w:color="auto"/>
              <w:right w:val="single" w:sz="4" w:space="0" w:color="auto"/>
            </w:tcBorders>
            <w:shd w:val="clear" w:color="000000" w:fill="FFFFFF"/>
            <w:noWrap/>
            <w:vAlign w:val="center"/>
            <w:hideMark/>
          </w:tcPr>
          <w:p w14:paraId="32C24C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50,621</w:t>
            </w:r>
          </w:p>
        </w:tc>
        <w:tc>
          <w:tcPr>
            <w:tcW w:w="882" w:type="dxa"/>
            <w:tcBorders>
              <w:top w:val="nil"/>
              <w:left w:val="nil"/>
              <w:bottom w:val="single" w:sz="4" w:space="0" w:color="auto"/>
              <w:right w:val="single" w:sz="4" w:space="0" w:color="auto"/>
            </w:tcBorders>
            <w:shd w:val="clear" w:color="000000" w:fill="FFFFFF"/>
            <w:noWrap/>
            <w:vAlign w:val="center"/>
            <w:hideMark/>
          </w:tcPr>
          <w:p w14:paraId="630104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90D5C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347,047</w:t>
            </w:r>
          </w:p>
        </w:tc>
        <w:tc>
          <w:tcPr>
            <w:tcW w:w="1045" w:type="dxa"/>
            <w:tcBorders>
              <w:top w:val="nil"/>
              <w:left w:val="nil"/>
              <w:bottom w:val="single" w:sz="4" w:space="0" w:color="auto"/>
              <w:right w:val="single" w:sz="4" w:space="0" w:color="auto"/>
            </w:tcBorders>
            <w:shd w:val="clear" w:color="000000" w:fill="FFFFFF"/>
            <w:noWrap/>
            <w:vAlign w:val="center"/>
            <w:hideMark/>
          </w:tcPr>
          <w:p w14:paraId="509507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14.22</w:t>
            </w:r>
          </w:p>
        </w:tc>
      </w:tr>
      <w:tr w:rsidR="00177999" w:rsidRPr="00057D13" w14:paraId="6CB7667F"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0A7F3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Myocarditis/Pericarditis (1-</w:t>
            </w:r>
            <w:proofErr w:type="gramStart"/>
            <w:r w:rsidRPr="00057D13">
              <w:rPr>
                <w:rFonts w:ascii="Times New Roman" w:eastAsia="Times New Roman" w:hAnsi="Times New Roman" w:cs="Times New Roman"/>
                <w:color w:val="000000"/>
                <w:sz w:val="18"/>
                <w:szCs w:val="18"/>
              </w:rPr>
              <w:t>21 day</w:t>
            </w:r>
            <w:proofErr w:type="gramEnd"/>
            <w:r w:rsidRPr="00057D13">
              <w:rPr>
                <w:rFonts w:ascii="Times New Roman" w:eastAsia="Times New Roman" w:hAnsi="Times New Roman" w:cs="Times New Roman"/>
                <w:color w:val="000000"/>
                <w:sz w:val="18"/>
                <w:szCs w:val="18"/>
              </w:rPr>
              <w:t xml:space="preserve"> risk window, IP, OP-ED)</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C064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15E848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B1FB4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603,627</w:t>
            </w:r>
          </w:p>
        </w:tc>
        <w:tc>
          <w:tcPr>
            <w:tcW w:w="854" w:type="dxa"/>
            <w:tcBorders>
              <w:top w:val="nil"/>
              <w:left w:val="nil"/>
              <w:bottom w:val="single" w:sz="4" w:space="0" w:color="auto"/>
              <w:right w:val="single" w:sz="4" w:space="0" w:color="auto"/>
            </w:tcBorders>
            <w:shd w:val="clear" w:color="000000" w:fill="FFFFFF"/>
            <w:noWrap/>
            <w:vAlign w:val="center"/>
            <w:hideMark/>
          </w:tcPr>
          <w:p w14:paraId="5A4CD3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04BC3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12,415,336</w:t>
            </w:r>
          </w:p>
        </w:tc>
        <w:tc>
          <w:tcPr>
            <w:tcW w:w="623" w:type="dxa"/>
            <w:tcBorders>
              <w:top w:val="nil"/>
              <w:left w:val="nil"/>
              <w:bottom w:val="single" w:sz="4" w:space="0" w:color="auto"/>
              <w:right w:val="single" w:sz="4" w:space="0" w:color="auto"/>
            </w:tcBorders>
            <w:shd w:val="clear" w:color="000000" w:fill="FFFFFF"/>
            <w:noWrap/>
            <w:vAlign w:val="center"/>
            <w:hideMark/>
          </w:tcPr>
          <w:p w14:paraId="059A8F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573BB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605,187</w:t>
            </w:r>
          </w:p>
        </w:tc>
        <w:tc>
          <w:tcPr>
            <w:tcW w:w="855" w:type="dxa"/>
            <w:tcBorders>
              <w:top w:val="nil"/>
              <w:left w:val="nil"/>
              <w:bottom w:val="single" w:sz="4" w:space="0" w:color="auto"/>
              <w:right w:val="single" w:sz="4" w:space="0" w:color="auto"/>
            </w:tcBorders>
            <w:shd w:val="clear" w:color="000000" w:fill="FFFFFF"/>
            <w:noWrap/>
            <w:vAlign w:val="center"/>
            <w:hideMark/>
          </w:tcPr>
          <w:p w14:paraId="13DC4F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5E195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12,519,919</w:t>
            </w:r>
          </w:p>
        </w:tc>
        <w:tc>
          <w:tcPr>
            <w:tcW w:w="740" w:type="dxa"/>
            <w:tcBorders>
              <w:top w:val="nil"/>
              <w:left w:val="nil"/>
              <w:bottom w:val="single" w:sz="4" w:space="0" w:color="auto"/>
              <w:right w:val="single" w:sz="4" w:space="0" w:color="auto"/>
            </w:tcBorders>
            <w:shd w:val="clear" w:color="000000" w:fill="FFFFFF"/>
            <w:noWrap/>
            <w:vAlign w:val="center"/>
            <w:hideMark/>
          </w:tcPr>
          <w:p w14:paraId="3A38A5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16.62</w:t>
            </w:r>
          </w:p>
        </w:tc>
        <w:tc>
          <w:tcPr>
            <w:tcW w:w="718" w:type="dxa"/>
            <w:tcBorders>
              <w:top w:val="nil"/>
              <w:left w:val="nil"/>
              <w:bottom w:val="single" w:sz="4" w:space="0" w:color="auto"/>
              <w:right w:val="single" w:sz="4" w:space="0" w:color="auto"/>
            </w:tcBorders>
            <w:shd w:val="clear" w:color="000000" w:fill="FFFFFF"/>
            <w:noWrap/>
            <w:vAlign w:val="center"/>
            <w:hideMark/>
          </w:tcPr>
          <w:p w14:paraId="2A22D5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572,773</w:t>
            </w:r>
          </w:p>
        </w:tc>
        <w:tc>
          <w:tcPr>
            <w:tcW w:w="882" w:type="dxa"/>
            <w:tcBorders>
              <w:top w:val="nil"/>
              <w:left w:val="nil"/>
              <w:bottom w:val="single" w:sz="4" w:space="0" w:color="auto"/>
              <w:right w:val="single" w:sz="4" w:space="0" w:color="auto"/>
            </w:tcBorders>
            <w:shd w:val="clear" w:color="000000" w:fill="FFFFFF"/>
            <w:noWrap/>
            <w:vAlign w:val="center"/>
            <w:hideMark/>
          </w:tcPr>
          <w:p w14:paraId="156C11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DEE42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11,698,984</w:t>
            </w:r>
          </w:p>
        </w:tc>
        <w:tc>
          <w:tcPr>
            <w:tcW w:w="1045" w:type="dxa"/>
            <w:tcBorders>
              <w:top w:val="nil"/>
              <w:left w:val="nil"/>
              <w:bottom w:val="single" w:sz="4" w:space="0" w:color="auto"/>
              <w:right w:val="single" w:sz="4" w:space="0" w:color="auto"/>
            </w:tcBorders>
            <w:shd w:val="clear" w:color="000000" w:fill="FFFFFF"/>
            <w:noWrap/>
            <w:vAlign w:val="center"/>
            <w:hideMark/>
          </w:tcPr>
          <w:p w14:paraId="687F0A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3.49</w:t>
            </w:r>
          </w:p>
        </w:tc>
      </w:tr>
      <w:tr w:rsidR="00177999" w:rsidRPr="00057D13" w14:paraId="79C21B0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2E40E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21786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B8F4A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33BD29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573,501</w:t>
            </w:r>
          </w:p>
        </w:tc>
        <w:tc>
          <w:tcPr>
            <w:tcW w:w="854" w:type="dxa"/>
            <w:tcBorders>
              <w:top w:val="nil"/>
              <w:left w:val="nil"/>
              <w:bottom w:val="single" w:sz="4" w:space="0" w:color="auto"/>
              <w:right w:val="single" w:sz="4" w:space="0" w:color="auto"/>
            </w:tcBorders>
            <w:shd w:val="clear" w:color="000000" w:fill="FFFFFF"/>
            <w:noWrap/>
            <w:vAlign w:val="center"/>
            <w:hideMark/>
          </w:tcPr>
          <w:p w14:paraId="190B34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13" w:type="dxa"/>
            <w:tcBorders>
              <w:top w:val="nil"/>
              <w:left w:val="nil"/>
              <w:bottom w:val="single" w:sz="4" w:space="0" w:color="auto"/>
              <w:right w:val="single" w:sz="4" w:space="0" w:color="auto"/>
            </w:tcBorders>
            <w:shd w:val="clear" w:color="000000" w:fill="FFFFFF"/>
            <w:noWrap/>
            <w:vAlign w:val="center"/>
            <w:hideMark/>
          </w:tcPr>
          <w:p w14:paraId="5DF7D0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11,924,350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F9CF5" w14:textId="117321AC"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22.98*</w:t>
            </w:r>
          </w:p>
        </w:tc>
        <w:tc>
          <w:tcPr>
            <w:tcW w:w="811" w:type="dxa"/>
            <w:tcBorders>
              <w:top w:val="nil"/>
              <w:left w:val="nil"/>
              <w:bottom w:val="single" w:sz="4" w:space="0" w:color="auto"/>
              <w:right w:val="single" w:sz="4" w:space="0" w:color="auto"/>
            </w:tcBorders>
            <w:shd w:val="clear" w:color="000000" w:fill="FFFFFF"/>
            <w:noWrap/>
            <w:vAlign w:val="center"/>
            <w:hideMark/>
          </w:tcPr>
          <w:p w14:paraId="7D05229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653,800</w:t>
            </w:r>
          </w:p>
        </w:tc>
        <w:tc>
          <w:tcPr>
            <w:tcW w:w="855" w:type="dxa"/>
            <w:tcBorders>
              <w:top w:val="nil"/>
              <w:left w:val="nil"/>
              <w:bottom w:val="single" w:sz="4" w:space="0" w:color="auto"/>
              <w:right w:val="single" w:sz="4" w:space="0" w:color="auto"/>
            </w:tcBorders>
            <w:shd w:val="clear" w:color="000000" w:fill="FFFFFF"/>
            <w:noWrap/>
            <w:vAlign w:val="center"/>
            <w:hideMark/>
          </w:tcPr>
          <w:p w14:paraId="490DE9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w:t>
            </w:r>
          </w:p>
        </w:tc>
        <w:tc>
          <w:tcPr>
            <w:tcW w:w="1014" w:type="dxa"/>
            <w:tcBorders>
              <w:top w:val="nil"/>
              <w:left w:val="nil"/>
              <w:bottom w:val="single" w:sz="4" w:space="0" w:color="auto"/>
              <w:right w:val="single" w:sz="4" w:space="0" w:color="auto"/>
            </w:tcBorders>
            <w:shd w:val="clear" w:color="000000" w:fill="FFFFFF"/>
            <w:noWrap/>
            <w:vAlign w:val="center"/>
            <w:hideMark/>
          </w:tcPr>
          <w:p w14:paraId="35C004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13,627,693</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284DA" w14:textId="08DF78E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16.86*</w:t>
            </w:r>
          </w:p>
        </w:tc>
        <w:tc>
          <w:tcPr>
            <w:tcW w:w="718" w:type="dxa"/>
            <w:tcBorders>
              <w:top w:val="nil"/>
              <w:left w:val="nil"/>
              <w:bottom w:val="single" w:sz="4" w:space="0" w:color="auto"/>
              <w:right w:val="single" w:sz="4" w:space="0" w:color="auto"/>
            </w:tcBorders>
            <w:shd w:val="clear" w:color="000000" w:fill="FFFFFF"/>
            <w:noWrap/>
            <w:vAlign w:val="center"/>
            <w:hideMark/>
          </w:tcPr>
          <w:p w14:paraId="042F6FE6"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566,007</w:t>
            </w:r>
          </w:p>
        </w:tc>
        <w:tc>
          <w:tcPr>
            <w:tcW w:w="882" w:type="dxa"/>
            <w:tcBorders>
              <w:top w:val="nil"/>
              <w:left w:val="nil"/>
              <w:bottom w:val="single" w:sz="4" w:space="0" w:color="auto"/>
              <w:right w:val="single" w:sz="4" w:space="0" w:color="auto"/>
            </w:tcBorders>
            <w:shd w:val="clear" w:color="000000" w:fill="FFFFFF"/>
            <w:noWrap/>
            <w:vAlign w:val="center"/>
            <w:hideMark/>
          </w:tcPr>
          <w:p w14:paraId="2AE46F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w:t>
            </w:r>
          </w:p>
        </w:tc>
        <w:tc>
          <w:tcPr>
            <w:tcW w:w="1045" w:type="dxa"/>
            <w:tcBorders>
              <w:top w:val="nil"/>
              <w:left w:val="nil"/>
              <w:bottom w:val="single" w:sz="4" w:space="0" w:color="auto"/>
              <w:right w:val="single" w:sz="4" w:space="0" w:color="auto"/>
            </w:tcBorders>
            <w:shd w:val="clear" w:color="000000" w:fill="FFFFFF"/>
            <w:noWrap/>
            <w:vAlign w:val="center"/>
            <w:hideMark/>
          </w:tcPr>
          <w:p w14:paraId="189EC3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11,701,527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6680A" w14:textId="002E49AE"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18.64*</w:t>
            </w:r>
          </w:p>
        </w:tc>
      </w:tr>
      <w:tr w:rsidR="00177999" w:rsidRPr="00057D13" w14:paraId="74AD2D7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693BB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C9697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83679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CE0F7C0"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291,767</w:t>
            </w:r>
          </w:p>
        </w:tc>
        <w:tc>
          <w:tcPr>
            <w:tcW w:w="854" w:type="dxa"/>
            <w:tcBorders>
              <w:top w:val="nil"/>
              <w:left w:val="nil"/>
              <w:bottom w:val="single" w:sz="4" w:space="0" w:color="auto"/>
              <w:right w:val="single" w:sz="4" w:space="0" w:color="auto"/>
            </w:tcBorders>
            <w:shd w:val="clear" w:color="000000" w:fill="FFFFFF"/>
            <w:noWrap/>
            <w:vAlign w:val="center"/>
            <w:hideMark/>
          </w:tcPr>
          <w:p w14:paraId="4D8D54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w:t>
            </w:r>
          </w:p>
        </w:tc>
        <w:tc>
          <w:tcPr>
            <w:tcW w:w="1013" w:type="dxa"/>
            <w:tcBorders>
              <w:top w:val="nil"/>
              <w:left w:val="nil"/>
              <w:bottom w:val="single" w:sz="4" w:space="0" w:color="auto"/>
              <w:right w:val="single" w:sz="4" w:space="0" w:color="auto"/>
            </w:tcBorders>
            <w:shd w:val="clear" w:color="000000" w:fill="FFFFFF"/>
            <w:noWrap/>
            <w:vAlign w:val="center"/>
            <w:hideMark/>
          </w:tcPr>
          <w:p w14:paraId="41DF0F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6,063,130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D2BF2" w14:textId="5DB75581"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20.76*</w:t>
            </w:r>
          </w:p>
        </w:tc>
        <w:tc>
          <w:tcPr>
            <w:tcW w:w="811" w:type="dxa"/>
            <w:tcBorders>
              <w:top w:val="nil"/>
              <w:left w:val="nil"/>
              <w:bottom w:val="single" w:sz="4" w:space="0" w:color="auto"/>
              <w:right w:val="single" w:sz="4" w:space="0" w:color="auto"/>
            </w:tcBorders>
            <w:shd w:val="clear" w:color="000000" w:fill="FFFFFF"/>
            <w:noWrap/>
            <w:vAlign w:val="center"/>
            <w:hideMark/>
          </w:tcPr>
          <w:p w14:paraId="683BB6E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335,210</w:t>
            </w:r>
          </w:p>
        </w:tc>
        <w:tc>
          <w:tcPr>
            <w:tcW w:w="855" w:type="dxa"/>
            <w:tcBorders>
              <w:top w:val="nil"/>
              <w:left w:val="nil"/>
              <w:bottom w:val="single" w:sz="4" w:space="0" w:color="auto"/>
              <w:right w:val="single" w:sz="4" w:space="0" w:color="auto"/>
            </w:tcBorders>
            <w:shd w:val="clear" w:color="000000" w:fill="FFFFFF"/>
            <w:noWrap/>
            <w:vAlign w:val="center"/>
            <w:hideMark/>
          </w:tcPr>
          <w:p w14:paraId="55E4D3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w:t>
            </w:r>
          </w:p>
        </w:tc>
        <w:tc>
          <w:tcPr>
            <w:tcW w:w="1014" w:type="dxa"/>
            <w:tcBorders>
              <w:top w:val="nil"/>
              <w:left w:val="nil"/>
              <w:bottom w:val="single" w:sz="4" w:space="0" w:color="auto"/>
              <w:right w:val="single" w:sz="4" w:space="0" w:color="auto"/>
            </w:tcBorders>
            <w:shd w:val="clear" w:color="000000" w:fill="FFFFFF"/>
            <w:noWrap/>
            <w:vAlign w:val="center"/>
            <w:hideMark/>
          </w:tcPr>
          <w:p w14:paraId="46A0F9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6,983,839</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1438E" w14:textId="01FCE3AF"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9.07*</w:t>
            </w:r>
          </w:p>
        </w:tc>
        <w:tc>
          <w:tcPr>
            <w:tcW w:w="718" w:type="dxa"/>
            <w:tcBorders>
              <w:top w:val="nil"/>
              <w:left w:val="nil"/>
              <w:bottom w:val="single" w:sz="4" w:space="0" w:color="auto"/>
              <w:right w:val="single" w:sz="4" w:space="0" w:color="auto"/>
            </w:tcBorders>
            <w:shd w:val="clear" w:color="000000" w:fill="FFFFFF"/>
            <w:noWrap/>
            <w:vAlign w:val="center"/>
            <w:hideMark/>
          </w:tcPr>
          <w:p w14:paraId="4DA9707B"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286,174</w:t>
            </w:r>
          </w:p>
        </w:tc>
        <w:tc>
          <w:tcPr>
            <w:tcW w:w="882" w:type="dxa"/>
            <w:tcBorders>
              <w:top w:val="nil"/>
              <w:left w:val="nil"/>
              <w:bottom w:val="single" w:sz="4" w:space="0" w:color="auto"/>
              <w:right w:val="single" w:sz="4" w:space="0" w:color="auto"/>
            </w:tcBorders>
            <w:shd w:val="clear" w:color="000000" w:fill="FFFFFF"/>
            <w:noWrap/>
            <w:vAlign w:val="center"/>
            <w:hideMark/>
          </w:tcPr>
          <w:p w14:paraId="784D0C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EF7BB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5,913,153</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F8850" w14:textId="0ACD532F"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4.98*</w:t>
            </w:r>
          </w:p>
        </w:tc>
      </w:tr>
      <w:tr w:rsidR="00177999" w:rsidRPr="00057D13" w14:paraId="012C801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2B533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8E1A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22A6CE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455FF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318,568</w:t>
            </w:r>
          </w:p>
        </w:tc>
        <w:tc>
          <w:tcPr>
            <w:tcW w:w="854" w:type="dxa"/>
            <w:tcBorders>
              <w:top w:val="nil"/>
              <w:left w:val="nil"/>
              <w:bottom w:val="single" w:sz="4" w:space="0" w:color="auto"/>
              <w:right w:val="single" w:sz="4" w:space="0" w:color="auto"/>
            </w:tcBorders>
            <w:shd w:val="clear" w:color="000000" w:fill="FFFFFF"/>
            <w:noWrap/>
            <w:vAlign w:val="center"/>
            <w:hideMark/>
          </w:tcPr>
          <w:p w14:paraId="222C3F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69AD0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6,554,190</w:t>
            </w:r>
          </w:p>
        </w:tc>
        <w:tc>
          <w:tcPr>
            <w:tcW w:w="623" w:type="dxa"/>
            <w:tcBorders>
              <w:top w:val="nil"/>
              <w:left w:val="nil"/>
              <w:bottom w:val="single" w:sz="4" w:space="0" w:color="auto"/>
              <w:right w:val="single" w:sz="4" w:space="0" w:color="auto"/>
            </w:tcBorders>
            <w:shd w:val="clear" w:color="000000" w:fill="FFFFFF"/>
            <w:noWrap/>
            <w:vAlign w:val="center"/>
            <w:hideMark/>
          </w:tcPr>
          <w:p w14:paraId="4C373E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E75A8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335,609</w:t>
            </w:r>
          </w:p>
        </w:tc>
        <w:tc>
          <w:tcPr>
            <w:tcW w:w="855" w:type="dxa"/>
            <w:tcBorders>
              <w:top w:val="nil"/>
              <w:left w:val="nil"/>
              <w:bottom w:val="single" w:sz="4" w:space="0" w:color="auto"/>
              <w:right w:val="single" w:sz="4" w:space="0" w:color="auto"/>
            </w:tcBorders>
            <w:shd w:val="clear" w:color="000000" w:fill="FFFFFF"/>
            <w:noWrap/>
            <w:vAlign w:val="center"/>
            <w:hideMark/>
          </w:tcPr>
          <w:p w14:paraId="02D766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C71EE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6,950,073</w:t>
            </w:r>
          </w:p>
        </w:tc>
        <w:tc>
          <w:tcPr>
            <w:tcW w:w="740" w:type="dxa"/>
            <w:tcBorders>
              <w:top w:val="nil"/>
              <w:left w:val="nil"/>
              <w:bottom w:val="single" w:sz="4" w:space="0" w:color="auto"/>
              <w:right w:val="single" w:sz="4" w:space="0" w:color="auto"/>
            </w:tcBorders>
            <w:shd w:val="clear" w:color="000000" w:fill="FFFFFF"/>
            <w:noWrap/>
            <w:vAlign w:val="center"/>
            <w:hideMark/>
          </w:tcPr>
          <w:p w14:paraId="59DEAF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14.71</w:t>
            </w:r>
          </w:p>
        </w:tc>
        <w:tc>
          <w:tcPr>
            <w:tcW w:w="718" w:type="dxa"/>
            <w:tcBorders>
              <w:top w:val="nil"/>
              <w:left w:val="nil"/>
              <w:bottom w:val="single" w:sz="4" w:space="0" w:color="auto"/>
              <w:right w:val="single" w:sz="4" w:space="0" w:color="auto"/>
            </w:tcBorders>
            <w:shd w:val="clear" w:color="000000" w:fill="FFFFFF"/>
            <w:noWrap/>
            <w:vAlign w:val="center"/>
            <w:hideMark/>
          </w:tcPr>
          <w:p w14:paraId="4EF06F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310,693</w:t>
            </w:r>
          </w:p>
        </w:tc>
        <w:tc>
          <w:tcPr>
            <w:tcW w:w="882" w:type="dxa"/>
            <w:tcBorders>
              <w:top w:val="nil"/>
              <w:left w:val="nil"/>
              <w:bottom w:val="single" w:sz="4" w:space="0" w:color="auto"/>
              <w:right w:val="single" w:sz="4" w:space="0" w:color="auto"/>
            </w:tcBorders>
            <w:shd w:val="clear" w:color="000000" w:fill="FFFFFF"/>
            <w:noWrap/>
            <w:vAlign w:val="center"/>
            <w:hideMark/>
          </w:tcPr>
          <w:p w14:paraId="78E43A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6A14D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6,341,772</w:t>
            </w:r>
          </w:p>
        </w:tc>
        <w:tc>
          <w:tcPr>
            <w:tcW w:w="1045" w:type="dxa"/>
            <w:tcBorders>
              <w:top w:val="nil"/>
              <w:left w:val="nil"/>
              <w:bottom w:val="single" w:sz="4" w:space="0" w:color="auto"/>
              <w:right w:val="single" w:sz="4" w:space="0" w:color="auto"/>
            </w:tcBorders>
            <w:shd w:val="clear" w:color="000000" w:fill="FFFFFF"/>
            <w:noWrap/>
            <w:vAlign w:val="center"/>
            <w:hideMark/>
          </w:tcPr>
          <w:p w14:paraId="55177D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A9B095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33B31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0E0FD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2603E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013876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302,223</w:t>
            </w:r>
          </w:p>
        </w:tc>
        <w:tc>
          <w:tcPr>
            <w:tcW w:w="854" w:type="dxa"/>
            <w:tcBorders>
              <w:top w:val="nil"/>
              <w:left w:val="nil"/>
              <w:bottom w:val="single" w:sz="4" w:space="0" w:color="auto"/>
              <w:right w:val="single" w:sz="4" w:space="0" w:color="auto"/>
            </w:tcBorders>
            <w:shd w:val="clear" w:color="000000" w:fill="FFFFFF"/>
            <w:noWrap/>
            <w:vAlign w:val="center"/>
            <w:hideMark/>
          </w:tcPr>
          <w:p w14:paraId="6E255B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A4132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6,272,569</w:t>
            </w:r>
          </w:p>
        </w:tc>
        <w:tc>
          <w:tcPr>
            <w:tcW w:w="623" w:type="dxa"/>
            <w:tcBorders>
              <w:top w:val="nil"/>
              <w:left w:val="nil"/>
              <w:bottom w:val="single" w:sz="4" w:space="0" w:color="auto"/>
              <w:right w:val="single" w:sz="4" w:space="0" w:color="auto"/>
            </w:tcBorders>
            <w:shd w:val="clear" w:color="000000" w:fill="FFFFFF"/>
            <w:noWrap/>
            <w:vAlign w:val="center"/>
            <w:hideMark/>
          </w:tcPr>
          <w:p w14:paraId="222EE37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BD8C3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356,870</w:t>
            </w:r>
          </w:p>
        </w:tc>
        <w:tc>
          <w:tcPr>
            <w:tcW w:w="855" w:type="dxa"/>
            <w:tcBorders>
              <w:top w:val="nil"/>
              <w:left w:val="nil"/>
              <w:bottom w:val="single" w:sz="4" w:space="0" w:color="auto"/>
              <w:right w:val="single" w:sz="4" w:space="0" w:color="auto"/>
            </w:tcBorders>
            <w:shd w:val="clear" w:color="000000" w:fill="FFFFFF"/>
            <w:noWrap/>
            <w:vAlign w:val="center"/>
            <w:hideMark/>
          </w:tcPr>
          <w:p w14:paraId="45D81C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0EB7A0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7,425,502</w:t>
            </w:r>
          </w:p>
        </w:tc>
        <w:tc>
          <w:tcPr>
            <w:tcW w:w="740" w:type="dxa"/>
            <w:tcBorders>
              <w:top w:val="nil"/>
              <w:left w:val="nil"/>
              <w:bottom w:val="single" w:sz="4" w:space="0" w:color="auto"/>
              <w:right w:val="single" w:sz="4" w:space="0" w:color="auto"/>
            </w:tcBorders>
            <w:shd w:val="clear" w:color="000000" w:fill="FFFFFF"/>
            <w:noWrap/>
            <w:vAlign w:val="center"/>
            <w:hideMark/>
          </w:tcPr>
          <w:p w14:paraId="359A8F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5836F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302,703</w:t>
            </w:r>
          </w:p>
        </w:tc>
        <w:tc>
          <w:tcPr>
            <w:tcW w:w="882" w:type="dxa"/>
            <w:tcBorders>
              <w:top w:val="nil"/>
              <w:left w:val="nil"/>
              <w:bottom w:val="single" w:sz="4" w:space="0" w:color="auto"/>
              <w:right w:val="single" w:sz="4" w:space="0" w:color="auto"/>
            </w:tcBorders>
            <w:shd w:val="clear" w:color="000000" w:fill="FFFFFF"/>
            <w:noWrap/>
            <w:vAlign w:val="center"/>
            <w:hideMark/>
          </w:tcPr>
          <w:p w14:paraId="1E6493B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383AC9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6,254,710</w:t>
            </w:r>
          </w:p>
        </w:tc>
        <w:tc>
          <w:tcPr>
            <w:tcW w:w="1045" w:type="dxa"/>
            <w:tcBorders>
              <w:top w:val="nil"/>
              <w:left w:val="nil"/>
              <w:bottom w:val="single" w:sz="4" w:space="0" w:color="auto"/>
              <w:right w:val="single" w:sz="4" w:space="0" w:color="auto"/>
            </w:tcBorders>
            <w:shd w:val="clear" w:color="000000" w:fill="FFFFFF"/>
            <w:noWrap/>
            <w:vAlign w:val="center"/>
            <w:hideMark/>
          </w:tcPr>
          <w:p w14:paraId="3D8035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4.98</w:t>
            </w:r>
          </w:p>
        </w:tc>
      </w:tr>
      <w:tr w:rsidR="00177999" w:rsidRPr="00057D13" w14:paraId="45B51E3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8C28C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A8863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D4EC4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1D8E7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155,466</w:t>
            </w:r>
          </w:p>
        </w:tc>
        <w:tc>
          <w:tcPr>
            <w:tcW w:w="854" w:type="dxa"/>
            <w:tcBorders>
              <w:top w:val="nil"/>
              <w:left w:val="nil"/>
              <w:bottom w:val="single" w:sz="4" w:space="0" w:color="auto"/>
              <w:right w:val="single" w:sz="4" w:space="0" w:color="auto"/>
            </w:tcBorders>
            <w:shd w:val="clear" w:color="000000" w:fill="FFFFFF"/>
            <w:noWrap/>
            <w:vAlign w:val="center"/>
            <w:hideMark/>
          </w:tcPr>
          <w:p w14:paraId="7935926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73D89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3,223,290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5AFBE" w14:textId="5D581580"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8.87*</w:t>
            </w:r>
          </w:p>
        </w:tc>
        <w:tc>
          <w:tcPr>
            <w:tcW w:w="811" w:type="dxa"/>
            <w:tcBorders>
              <w:top w:val="nil"/>
              <w:left w:val="nil"/>
              <w:bottom w:val="single" w:sz="4" w:space="0" w:color="auto"/>
              <w:right w:val="single" w:sz="4" w:space="0" w:color="auto"/>
            </w:tcBorders>
            <w:shd w:val="clear" w:color="000000" w:fill="FFFFFF"/>
            <w:noWrap/>
            <w:vAlign w:val="center"/>
            <w:hideMark/>
          </w:tcPr>
          <w:p w14:paraId="56C3E6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187,249</w:t>
            </w:r>
          </w:p>
        </w:tc>
        <w:tc>
          <w:tcPr>
            <w:tcW w:w="855" w:type="dxa"/>
            <w:tcBorders>
              <w:top w:val="nil"/>
              <w:left w:val="nil"/>
              <w:bottom w:val="single" w:sz="4" w:space="0" w:color="auto"/>
              <w:right w:val="single" w:sz="4" w:space="0" w:color="auto"/>
            </w:tcBorders>
            <w:shd w:val="clear" w:color="000000" w:fill="FFFFFF"/>
            <w:noWrap/>
            <w:vAlign w:val="center"/>
            <w:hideMark/>
          </w:tcPr>
          <w:p w14:paraId="345EC0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20E6E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3,893,432</w:t>
            </w:r>
          </w:p>
        </w:tc>
        <w:tc>
          <w:tcPr>
            <w:tcW w:w="740" w:type="dxa"/>
            <w:tcBorders>
              <w:top w:val="nil"/>
              <w:left w:val="nil"/>
              <w:bottom w:val="single" w:sz="4" w:space="0" w:color="auto"/>
              <w:right w:val="single" w:sz="4" w:space="0" w:color="auto"/>
            </w:tcBorders>
            <w:shd w:val="clear" w:color="000000" w:fill="FFFFFF"/>
            <w:noWrap/>
            <w:vAlign w:val="center"/>
            <w:hideMark/>
          </w:tcPr>
          <w:p w14:paraId="6EA151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4.35</w:t>
            </w:r>
          </w:p>
        </w:tc>
        <w:tc>
          <w:tcPr>
            <w:tcW w:w="718" w:type="dxa"/>
            <w:tcBorders>
              <w:top w:val="nil"/>
              <w:left w:val="nil"/>
              <w:bottom w:val="single" w:sz="4" w:space="0" w:color="auto"/>
              <w:right w:val="single" w:sz="4" w:space="0" w:color="auto"/>
            </w:tcBorders>
            <w:shd w:val="clear" w:color="000000" w:fill="FFFFFF"/>
            <w:noWrap/>
            <w:vAlign w:val="center"/>
            <w:hideMark/>
          </w:tcPr>
          <w:p w14:paraId="3DC169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155,858</w:t>
            </w:r>
          </w:p>
        </w:tc>
        <w:tc>
          <w:tcPr>
            <w:tcW w:w="882" w:type="dxa"/>
            <w:tcBorders>
              <w:top w:val="nil"/>
              <w:left w:val="nil"/>
              <w:bottom w:val="single" w:sz="4" w:space="0" w:color="auto"/>
              <w:right w:val="single" w:sz="4" w:space="0" w:color="auto"/>
            </w:tcBorders>
            <w:shd w:val="clear" w:color="000000" w:fill="FFFFFF"/>
            <w:noWrap/>
            <w:vAlign w:val="center"/>
            <w:hideMark/>
          </w:tcPr>
          <w:p w14:paraId="3FEED7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8CD0B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3,218,052</w:t>
            </w:r>
          </w:p>
        </w:tc>
        <w:tc>
          <w:tcPr>
            <w:tcW w:w="1045" w:type="dxa"/>
            <w:tcBorders>
              <w:top w:val="nil"/>
              <w:left w:val="nil"/>
              <w:bottom w:val="single" w:sz="4" w:space="0" w:color="auto"/>
              <w:right w:val="single" w:sz="4" w:space="0" w:color="auto"/>
            </w:tcBorders>
            <w:shd w:val="clear" w:color="000000" w:fill="FFFFFF"/>
            <w:noWrap/>
            <w:vAlign w:val="center"/>
            <w:hideMark/>
          </w:tcPr>
          <w:p w14:paraId="7D2D16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2.61</w:t>
            </w:r>
          </w:p>
        </w:tc>
      </w:tr>
      <w:tr w:rsidR="00177999" w:rsidRPr="00057D13" w14:paraId="7653ABA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054DD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CBEA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43E8D7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6A229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285,059</w:t>
            </w:r>
          </w:p>
        </w:tc>
        <w:tc>
          <w:tcPr>
            <w:tcW w:w="854" w:type="dxa"/>
            <w:tcBorders>
              <w:top w:val="nil"/>
              <w:left w:val="nil"/>
              <w:bottom w:val="single" w:sz="4" w:space="0" w:color="auto"/>
              <w:right w:val="single" w:sz="4" w:space="0" w:color="auto"/>
            </w:tcBorders>
            <w:shd w:val="clear" w:color="000000" w:fill="FFFFFF"/>
            <w:noWrap/>
            <w:vAlign w:val="center"/>
            <w:hideMark/>
          </w:tcPr>
          <w:p w14:paraId="262EF3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72354C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5,861,146</w:t>
            </w:r>
          </w:p>
        </w:tc>
        <w:tc>
          <w:tcPr>
            <w:tcW w:w="623" w:type="dxa"/>
            <w:tcBorders>
              <w:top w:val="nil"/>
              <w:left w:val="nil"/>
              <w:bottom w:val="single" w:sz="4" w:space="0" w:color="auto"/>
              <w:right w:val="single" w:sz="4" w:space="0" w:color="auto"/>
            </w:tcBorders>
            <w:shd w:val="clear" w:color="000000" w:fill="FFFFFF"/>
            <w:noWrap/>
            <w:vAlign w:val="center"/>
            <w:hideMark/>
          </w:tcPr>
          <w:p w14:paraId="01C32F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807B2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269,578</w:t>
            </w:r>
          </w:p>
        </w:tc>
        <w:tc>
          <w:tcPr>
            <w:tcW w:w="855" w:type="dxa"/>
            <w:tcBorders>
              <w:top w:val="nil"/>
              <w:left w:val="nil"/>
              <w:bottom w:val="single" w:sz="4" w:space="0" w:color="auto"/>
              <w:right w:val="single" w:sz="4" w:space="0" w:color="auto"/>
            </w:tcBorders>
            <w:shd w:val="clear" w:color="000000" w:fill="FFFFFF"/>
            <w:noWrap/>
            <w:vAlign w:val="center"/>
            <w:hideMark/>
          </w:tcPr>
          <w:p w14:paraId="1A5C43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0A599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5,569,846</w:t>
            </w:r>
          </w:p>
        </w:tc>
        <w:tc>
          <w:tcPr>
            <w:tcW w:w="740" w:type="dxa"/>
            <w:tcBorders>
              <w:top w:val="nil"/>
              <w:left w:val="nil"/>
              <w:bottom w:val="single" w:sz="4" w:space="0" w:color="auto"/>
              <w:right w:val="single" w:sz="4" w:space="0" w:color="auto"/>
            </w:tcBorders>
            <w:shd w:val="clear" w:color="000000" w:fill="FFFFFF"/>
            <w:noWrap/>
            <w:vAlign w:val="center"/>
            <w:hideMark/>
          </w:tcPr>
          <w:p w14:paraId="4C03B5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19.10</w:t>
            </w:r>
          </w:p>
        </w:tc>
        <w:tc>
          <w:tcPr>
            <w:tcW w:w="718" w:type="dxa"/>
            <w:tcBorders>
              <w:top w:val="nil"/>
              <w:left w:val="nil"/>
              <w:bottom w:val="single" w:sz="4" w:space="0" w:color="auto"/>
              <w:right w:val="single" w:sz="4" w:space="0" w:color="auto"/>
            </w:tcBorders>
            <w:shd w:val="clear" w:color="000000" w:fill="FFFFFF"/>
            <w:noWrap/>
            <w:vAlign w:val="center"/>
            <w:hideMark/>
          </w:tcPr>
          <w:p w14:paraId="4563D8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262,080</w:t>
            </w:r>
          </w:p>
        </w:tc>
        <w:tc>
          <w:tcPr>
            <w:tcW w:w="882" w:type="dxa"/>
            <w:tcBorders>
              <w:top w:val="nil"/>
              <w:left w:val="nil"/>
              <w:bottom w:val="single" w:sz="4" w:space="0" w:color="auto"/>
              <w:right w:val="single" w:sz="4" w:space="0" w:color="auto"/>
            </w:tcBorders>
            <w:shd w:val="clear" w:color="000000" w:fill="FFFFFF"/>
            <w:noWrap/>
            <w:vAlign w:val="center"/>
            <w:hideMark/>
          </w:tcPr>
          <w:p w14:paraId="227DB5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BADB07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5,357,212</w:t>
            </w:r>
          </w:p>
        </w:tc>
        <w:tc>
          <w:tcPr>
            <w:tcW w:w="1045" w:type="dxa"/>
            <w:tcBorders>
              <w:top w:val="nil"/>
              <w:left w:val="nil"/>
              <w:bottom w:val="single" w:sz="4" w:space="0" w:color="auto"/>
              <w:right w:val="single" w:sz="4" w:space="0" w:color="auto"/>
            </w:tcBorders>
            <w:shd w:val="clear" w:color="000000" w:fill="FFFFFF"/>
            <w:noWrap/>
            <w:vAlign w:val="center"/>
            <w:hideMark/>
          </w:tcPr>
          <w:p w14:paraId="615789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7.62</w:t>
            </w:r>
          </w:p>
        </w:tc>
      </w:tr>
      <w:tr w:rsidR="00177999" w:rsidRPr="00057D13" w14:paraId="79479FB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2EE16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2EF0D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7F30C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2283D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271,278</w:t>
            </w:r>
          </w:p>
        </w:tc>
        <w:tc>
          <w:tcPr>
            <w:tcW w:w="854" w:type="dxa"/>
            <w:tcBorders>
              <w:top w:val="nil"/>
              <w:left w:val="nil"/>
              <w:bottom w:val="single" w:sz="4" w:space="0" w:color="auto"/>
              <w:right w:val="single" w:sz="4" w:space="0" w:color="auto"/>
            </w:tcBorders>
            <w:shd w:val="clear" w:color="000000" w:fill="FFFFFF"/>
            <w:noWrap/>
            <w:vAlign w:val="center"/>
            <w:hideMark/>
          </w:tcPr>
          <w:p w14:paraId="4CDD1F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13" w:type="dxa"/>
            <w:tcBorders>
              <w:top w:val="nil"/>
              <w:left w:val="nil"/>
              <w:bottom w:val="single" w:sz="4" w:space="0" w:color="auto"/>
              <w:right w:val="single" w:sz="4" w:space="0" w:color="auto"/>
            </w:tcBorders>
            <w:shd w:val="clear" w:color="000000" w:fill="FFFFFF"/>
            <w:noWrap/>
            <w:vAlign w:val="center"/>
            <w:hideMark/>
          </w:tcPr>
          <w:p w14:paraId="5A1F2E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5,651,781</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2540B" w14:textId="173DBF12"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48.61*</w:t>
            </w:r>
          </w:p>
        </w:tc>
        <w:tc>
          <w:tcPr>
            <w:tcW w:w="811" w:type="dxa"/>
            <w:tcBorders>
              <w:top w:val="nil"/>
              <w:left w:val="nil"/>
              <w:bottom w:val="single" w:sz="4" w:space="0" w:color="auto"/>
              <w:right w:val="single" w:sz="4" w:space="0" w:color="auto"/>
            </w:tcBorders>
            <w:shd w:val="clear" w:color="000000" w:fill="FFFFFF"/>
            <w:noWrap/>
            <w:vAlign w:val="center"/>
            <w:hideMark/>
          </w:tcPr>
          <w:p w14:paraId="666F1C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296,930</w:t>
            </w:r>
          </w:p>
        </w:tc>
        <w:tc>
          <w:tcPr>
            <w:tcW w:w="855" w:type="dxa"/>
            <w:tcBorders>
              <w:top w:val="nil"/>
              <w:left w:val="nil"/>
              <w:bottom w:val="single" w:sz="4" w:space="0" w:color="auto"/>
              <w:right w:val="single" w:sz="4" w:space="0" w:color="auto"/>
            </w:tcBorders>
            <w:shd w:val="clear" w:color="000000" w:fill="FFFFFF"/>
            <w:noWrap/>
            <w:vAlign w:val="center"/>
            <w:hideMark/>
          </w:tcPr>
          <w:p w14:paraId="4F9EF0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w:t>
            </w:r>
          </w:p>
        </w:tc>
        <w:tc>
          <w:tcPr>
            <w:tcW w:w="1014" w:type="dxa"/>
            <w:tcBorders>
              <w:top w:val="nil"/>
              <w:left w:val="nil"/>
              <w:bottom w:val="single" w:sz="4" w:space="0" w:color="auto"/>
              <w:right w:val="single" w:sz="4" w:space="0" w:color="auto"/>
            </w:tcBorders>
            <w:shd w:val="clear" w:color="000000" w:fill="FFFFFF"/>
            <w:noWrap/>
            <w:vAlign w:val="center"/>
            <w:hideMark/>
          </w:tcPr>
          <w:p w14:paraId="1F748F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6,202,191</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0C4DD" w14:textId="11F0B17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37.07*</w:t>
            </w:r>
          </w:p>
        </w:tc>
        <w:tc>
          <w:tcPr>
            <w:tcW w:w="718" w:type="dxa"/>
            <w:tcBorders>
              <w:top w:val="nil"/>
              <w:left w:val="nil"/>
              <w:bottom w:val="single" w:sz="4" w:space="0" w:color="auto"/>
              <w:right w:val="single" w:sz="4" w:space="0" w:color="auto"/>
            </w:tcBorders>
            <w:shd w:val="clear" w:color="000000" w:fill="FFFFFF"/>
            <w:noWrap/>
            <w:vAlign w:val="center"/>
            <w:hideMark/>
          </w:tcPr>
          <w:p w14:paraId="5F4D44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263,304</w:t>
            </w:r>
          </w:p>
        </w:tc>
        <w:tc>
          <w:tcPr>
            <w:tcW w:w="882" w:type="dxa"/>
            <w:tcBorders>
              <w:top w:val="nil"/>
              <w:left w:val="nil"/>
              <w:bottom w:val="single" w:sz="4" w:space="0" w:color="auto"/>
              <w:right w:val="single" w:sz="4" w:space="0" w:color="auto"/>
            </w:tcBorders>
            <w:shd w:val="clear" w:color="000000" w:fill="FFFFFF"/>
            <w:noWrap/>
            <w:vAlign w:val="center"/>
            <w:hideMark/>
          </w:tcPr>
          <w:p w14:paraId="3248CF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2E4440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5,446,817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9EA21" w14:textId="696188B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34.34*</w:t>
            </w:r>
          </w:p>
        </w:tc>
      </w:tr>
      <w:tr w:rsidR="00177999" w:rsidRPr="00057D13" w14:paraId="0DD7475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BC83F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C2E49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6CC13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E24AA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136,301</w:t>
            </w:r>
          </w:p>
        </w:tc>
        <w:tc>
          <w:tcPr>
            <w:tcW w:w="854" w:type="dxa"/>
            <w:tcBorders>
              <w:top w:val="nil"/>
              <w:left w:val="nil"/>
              <w:bottom w:val="single" w:sz="4" w:space="0" w:color="auto"/>
              <w:right w:val="single" w:sz="4" w:space="0" w:color="auto"/>
            </w:tcBorders>
            <w:shd w:val="clear" w:color="000000" w:fill="FFFFFF"/>
            <w:noWrap/>
            <w:vAlign w:val="center"/>
            <w:hideMark/>
          </w:tcPr>
          <w:p w14:paraId="2FB6C7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2007A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2,839,840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CBCE3" w14:textId="36D7DAC6"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34.24*</w:t>
            </w:r>
          </w:p>
        </w:tc>
        <w:tc>
          <w:tcPr>
            <w:tcW w:w="811" w:type="dxa"/>
            <w:tcBorders>
              <w:top w:val="nil"/>
              <w:left w:val="nil"/>
              <w:bottom w:val="single" w:sz="4" w:space="0" w:color="auto"/>
              <w:right w:val="single" w:sz="4" w:space="0" w:color="auto"/>
            </w:tcBorders>
            <w:shd w:val="clear" w:color="000000" w:fill="FFFFFF"/>
            <w:noWrap/>
            <w:vAlign w:val="center"/>
            <w:hideMark/>
          </w:tcPr>
          <w:p w14:paraId="7BC719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147,961</w:t>
            </w:r>
          </w:p>
        </w:tc>
        <w:tc>
          <w:tcPr>
            <w:tcW w:w="855" w:type="dxa"/>
            <w:tcBorders>
              <w:top w:val="nil"/>
              <w:left w:val="nil"/>
              <w:bottom w:val="single" w:sz="4" w:space="0" w:color="auto"/>
              <w:right w:val="single" w:sz="4" w:space="0" w:color="auto"/>
            </w:tcBorders>
            <w:shd w:val="clear" w:color="000000" w:fill="FFFFFF"/>
            <w:noWrap/>
            <w:vAlign w:val="center"/>
            <w:hideMark/>
          </w:tcPr>
          <w:p w14:paraId="202801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9BF48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3,090,407</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8615E" w14:textId="59D55D1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15.01*</w:t>
            </w:r>
          </w:p>
        </w:tc>
        <w:tc>
          <w:tcPr>
            <w:tcW w:w="718" w:type="dxa"/>
            <w:tcBorders>
              <w:top w:val="nil"/>
              <w:left w:val="nil"/>
              <w:bottom w:val="single" w:sz="4" w:space="0" w:color="auto"/>
              <w:right w:val="single" w:sz="4" w:space="0" w:color="auto"/>
            </w:tcBorders>
            <w:shd w:val="clear" w:color="000000" w:fill="FFFFFF"/>
            <w:noWrap/>
            <w:vAlign w:val="center"/>
            <w:hideMark/>
          </w:tcPr>
          <w:p w14:paraId="2B9C5A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130,316</w:t>
            </w:r>
          </w:p>
        </w:tc>
        <w:tc>
          <w:tcPr>
            <w:tcW w:w="882" w:type="dxa"/>
            <w:tcBorders>
              <w:top w:val="nil"/>
              <w:left w:val="nil"/>
              <w:bottom w:val="single" w:sz="4" w:space="0" w:color="auto"/>
              <w:right w:val="single" w:sz="4" w:space="0" w:color="auto"/>
            </w:tcBorders>
            <w:shd w:val="clear" w:color="000000" w:fill="FFFFFF"/>
            <w:noWrap/>
            <w:vAlign w:val="center"/>
            <w:hideMark/>
          </w:tcPr>
          <w:p w14:paraId="283EE9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0925E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2,695,101</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A68E7" w14:textId="5DC7696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7.81*</w:t>
            </w:r>
          </w:p>
        </w:tc>
      </w:tr>
      <w:tr w:rsidR="00177999" w:rsidRPr="00057D13" w14:paraId="6B83794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6D81A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6D9D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3732AE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E6B626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68ABB9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EE61B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68,786</w:t>
            </w:r>
          </w:p>
        </w:tc>
        <w:tc>
          <w:tcPr>
            <w:tcW w:w="623" w:type="dxa"/>
            <w:tcBorders>
              <w:top w:val="nil"/>
              <w:left w:val="nil"/>
              <w:bottom w:val="single" w:sz="4" w:space="0" w:color="auto"/>
              <w:right w:val="single" w:sz="4" w:space="0" w:color="auto"/>
            </w:tcBorders>
            <w:shd w:val="clear" w:color="000000" w:fill="FFFFFF"/>
            <w:noWrap/>
            <w:vAlign w:val="center"/>
            <w:hideMark/>
          </w:tcPr>
          <w:p w14:paraId="7CC0CF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BEF0E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6D0795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6FB550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26,861</w:t>
            </w:r>
          </w:p>
        </w:tc>
        <w:tc>
          <w:tcPr>
            <w:tcW w:w="740" w:type="dxa"/>
            <w:tcBorders>
              <w:top w:val="nil"/>
              <w:left w:val="nil"/>
              <w:bottom w:val="single" w:sz="4" w:space="0" w:color="auto"/>
              <w:right w:val="single" w:sz="4" w:space="0" w:color="auto"/>
            </w:tcBorders>
            <w:shd w:val="clear" w:color="000000" w:fill="FFFFFF"/>
            <w:noWrap/>
            <w:vAlign w:val="center"/>
            <w:hideMark/>
          </w:tcPr>
          <w:p w14:paraId="02FABC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814A5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7B2335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0C89E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249,884</w:t>
            </w:r>
          </w:p>
        </w:tc>
        <w:tc>
          <w:tcPr>
            <w:tcW w:w="1045" w:type="dxa"/>
            <w:tcBorders>
              <w:top w:val="nil"/>
              <w:left w:val="nil"/>
              <w:bottom w:val="single" w:sz="4" w:space="0" w:color="auto"/>
              <w:right w:val="single" w:sz="4" w:space="0" w:color="auto"/>
            </w:tcBorders>
            <w:shd w:val="clear" w:color="000000" w:fill="FFFFFF"/>
            <w:noWrap/>
            <w:vAlign w:val="center"/>
            <w:hideMark/>
          </w:tcPr>
          <w:p w14:paraId="7B684D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9A5B8E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DD0B1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A4495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42623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632DD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86,167</w:t>
            </w:r>
          </w:p>
        </w:tc>
        <w:tc>
          <w:tcPr>
            <w:tcW w:w="854" w:type="dxa"/>
            <w:tcBorders>
              <w:top w:val="nil"/>
              <w:left w:val="nil"/>
              <w:bottom w:val="single" w:sz="4" w:space="0" w:color="auto"/>
              <w:right w:val="single" w:sz="4" w:space="0" w:color="auto"/>
            </w:tcBorders>
            <w:shd w:val="clear" w:color="000000" w:fill="FFFFFF"/>
            <w:noWrap/>
            <w:vAlign w:val="center"/>
            <w:hideMark/>
          </w:tcPr>
          <w:p w14:paraId="18736E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F6959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1,714,547</w:t>
            </w:r>
          </w:p>
        </w:tc>
        <w:tc>
          <w:tcPr>
            <w:tcW w:w="623" w:type="dxa"/>
            <w:tcBorders>
              <w:top w:val="nil"/>
              <w:left w:val="nil"/>
              <w:bottom w:val="single" w:sz="4" w:space="0" w:color="auto"/>
              <w:right w:val="single" w:sz="4" w:space="0" w:color="auto"/>
            </w:tcBorders>
            <w:shd w:val="clear" w:color="000000" w:fill="FFFFFF"/>
            <w:noWrap/>
            <w:vAlign w:val="center"/>
            <w:hideMark/>
          </w:tcPr>
          <w:p w14:paraId="2794E9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9.72</w:t>
            </w:r>
          </w:p>
        </w:tc>
        <w:tc>
          <w:tcPr>
            <w:tcW w:w="811" w:type="dxa"/>
            <w:tcBorders>
              <w:top w:val="nil"/>
              <w:left w:val="nil"/>
              <w:bottom w:val="single" w:sz="4" w:space="0" w:color="auto"/>
              <w:right w:val="single" w:sz="4" w:space="0" w:color="auto"/>
            </w:tcBorders>
            <w:shd w:val="clear" w:color="000000" w:fill="FFFFFF"/>
            <w:noWrap/>
            <w:vAlign w:val="center"/>
            <w:hideMark/>
          </w:tcPr>
          <w:p w14:paraId="16BF28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63,982</w:t>
            </w:r>
          </w:p>
        </w:tc>
        <w:tc>
          <w:tcPr>
            <w:tcW w:w="855" w:type="dxa"/>
            <w:tcBorders>
              <w:top w:val="nil"/>
              <w:left w:val="nil"/>
              <w:bottom w:val="single" w:sz="4" w:space="0" w:color="auto"/>
              <w:right w:val="single" w:sz="4" w:space="0" w:color="auto"/>
            </w:tcBorders>
            <w:shd w:val="clear" w:color="000000" w:fill="FFFFFF"/>
            <w:noWrap/>
            <w:vAlign w:val="center"/>
            <w:hideMark/>
          </w:tcPr>
          <w:p w14:paraId="3E6FFE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9769F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1,305,505</w:t>
            </w:r>
          </w:p>
        </w:tc>
        <w:tc>
          <w:tcPr>
            <w:tcW w:w="740" w:type="dxa"/>
            <w:tcBorders>
              <w:top w:val="nil"/>
              <w:left w:val="nil"/>
              <w:bottom w:val="single" w:sz="4" w:space="0" w:color="auto"/>
              <w:right w:val="single" w:sz="4" w:space="0" w:color="auto"/>
            </w:tcBorders>
            <w:shd w:val="clear" w:color="000000" w:fill="FFFFFF"/>
            <w:noWrap/>
            <w:vAlign w:val="center"/>
            <w:hideMark/>
          </w:tcPr>
          <w:p w14:paraId="06C256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35.96</w:t>
            </w:r>
          </w:p>
        </w:tc>
        <w:tc>
          <w:tcPr>
            <w:tcW w:w="718" w:type="dxa"/>
            <w:tcBorders>
              <w:top w:val="nil"/>
              <w:left w:val="nil"/>
              <w:bottom w:val="single" w:sz="4" w:space="0" w:color="auto"/>
              <w:right w:val="single" w:sz="4" w:space="0" w:color="auto"/>
            </w:tcBorders>
            <w:shd w:val="clear" w:color="000000" w:fill="FFFFFF"/>
            <w:noWrap/>
            <w:vAlign w:val="center"/>
            <w:hideMark/>
          </w:tcPr>
          <w:p w14:paraId="686A28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79,616</w:t>
            </w:r>
          </w:p>
        </w:tc>
        <w:tc>
          <w:tcPr>
            <w:tcW w:w="882" w:type="dxa"/>
            <w:tcBorders>
              <w:top w:val="nil"/>
              <w:left w:val="nil"/>
              <w:bottom w:val="single" w:sz="4" w:space="0" w:color="auto"/>
              <w:right w:val="single" w:sz="4" w:space="0" w:color="auto"/>
            </w:tcBorders>
            <w:shd w:val="clear" w:color="000000" w:fill="FFFFFF"/>
            <w:noWrap/>
            <w:vAlign w:val="center"/>
            <w:hideMark/>
          </w:tcPr>
          <w:p w14:paraId="4BA547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EC0A7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1,588,218</w:t>
            </w:r>
          </w:p>
        </w:tc>
        <w:tc>
          <w:tcPr>
            <w:tcW w:w="1045" w:type="dxa"/>
            <w:tcBorders>
              <w:top w:val="nil"/>
              <w:left w:val="nil"/>
              <w:bottom w:val="single" w:sz="4" w:space="0" w:color="auto"/>
              <w:right w:val="single" w:sz="4" w:space="0" w:color="auto"/>
            </w:tcBorders>
            <w:shd w:val="clear" w:color="000000" w:fill="FFFFFF"/>
            <w:noWrap/>
            <w:vAlign w:val="center"/>
            <w:hideMark/>
          </w:tcPr>
          <w:p w14:paraId="5FDAD8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E43D95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5B276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A692E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036C9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0E93D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57,854</w:t>
            </w:r>
          </w:p>
        </w:tc>
        <w:tc>
          <w:tcPr>
            <w:tcW w:w="854" w:type="dxa"/>
            <w:tcBorders>
              <w:top w:val="nil"/>
              <w:left w:val="nil"/>
              <w:bottom w:val="single" w:sz="4" w:space="0" w:color="auto"/>
              <w:right w:val="single" w:sz="4" w:space="0" w:color="auto"/>
            </w:tcBorders>
            <w:shd w:val="clear" w:color="000000" w:fill="FFFFFF"/>
            <w:noWrap/>
            <w:vAlign w:val="center"/>
            <w:hideMark/>
          </w:tcPr>
          <w:p w14:paraId="4EE38B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A5E08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1,166,224</w:t>
            </w:r>
          </w:p>
        </w:tc>
        <w:tc>
          <w:tcPr>
            <w:tcW w:w="623" w:type="dxa"/>
            <w:tcBorders>
              <w:top w:val="nil"/>
              <w:left w:val="nil"/>
              <w:bottom w:val="single" w:sz="4" w:space="0" w:color="auto"/>
              <w:right w:val="single" w:sz="4" w:space="0" w:color="auto"/>
            </w:tcBorders>
            <w:shd w:val="clear" w:color="000000" w:fill="FFFFFF"/>
            <w:noWrap/>
            <w:vAlign w:val="center"/>
            <w:hideMark/>
          </w:tcPr>
          <w:p w14:paraId="5474F1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16.47</w:t>
            </w:r>
          </w:p>
        </w:tc>
        <w:tc>
          <w:tcPr>
            <w:tcW w:w="811" w:type="dxa"/>
            <w:tcBorders>
              <w:top w:val="nil"/>
              <w:left w:val="nil"/>
              <w:bottom w:val="single" w:sz="4" w:space="0" w:color="auto"/>
              <w:right w:val="single" w:sz="4" w:space="0" w:color="auto"/>
            </w:tcBorders>
            <w:shd w:val="clear" w:color="000000" w:fill="FFFFFF"/>
            <w:noWrap/>
            <w:vAlign w:val="center"/>
            <w:hideMark/>
          </w:tcPr>
          <w:p w14:paraId="256150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43,143</w:t>
            </w:r>
          </w:p>
        </w:tc>
        <w:tc>
          <w:tcPr>
            <w:tcW w:w="855" w:type="dxa"/>
            <w:tcBorders>
              <w:top w:val="nil"/>
              <w:left w:val="nil"/>
              <w:bottom w:val="single" w:sz="4" w:space="0" w:color="auto"/>
              <w:right w:val="single" w:sz="4" w:space="0" w:color="auto"/>
            </w:tcBorders>
            <w:shd w:val="clear" w:color="000000" w:fill="FFFFFF"/>
            <w:noWrap/>
            <w:vAlign w:val="center"/>
            <w:hideMark/>
          </w:tcPr>
          <w:p w14:paraId="2161F2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5AA25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879,636</w:t>
            </w:r>
          </w:p>
        </w:tc>
        <w:tc>
          <w:tcPr>
            <w:tcW w:w="740" w:type="dxa"/>
            <w:tcBorders>
              <w:top w:val="nil"/>
              <w:left w:val="nil"/>
              <w:bottom w:val="single" w:sz="4" w:space="0" w:color="auto"/>
              <w:right w:val="single" w:sz="4" w:space="0" w:color="auto"/>
            </w:tcBorders>
            <w:shd w:val="clear" w:color="000000" w:fill="FFFFFF"/>
            <w:noWrap/>
            <w:vAlign w:val="center"/>
            <w:hideMark/>
          </w:tcPr>
          <w:p w14:paraId="2B6724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10.98</w:t>
            </w:r>
          </w:p>
        </w:tc>
        <w:tc>
          <w:tcPr>
            <w:tcW w:w="718" w:type="dxa"/>
            <w:tcBorders>
              <w:top w:val="nil"/>
              <w:left w:val="nil"/>
              <w:bottom w:val="single" w:sz="4" w:space="0" w:color="auto"/>
              <w:right w:val="single" w:sz="4" w:space="0" w:color="auto"/>
            </w:tcBorders>
            <w:shd w:val="clear" w:color="000000" w:fill="FFFFFF"/>
            <w:noWrap/>
            <w:vAlign w:val="center"/>
            <w:hideMark/>
          </w:tcPr>
          <w:p w14:paraId="2EF29D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50,629</w:t>
            </w:r>
          </w:p>
        </w:tc>
        <w:tc>
          <w:tcPr>
            <w:tcW w:w="882" w:type="dxa"/>
            <w:tcBorders>
              <w:top w:val="nil"/>
              <w:left w:val="nil"/>
              <w:bottom w:val="single" w:sz="4" w:space="0" w:color="auto"/>
              <w:right w:val="single" w:sz="4" w:space="0" w:color="auto"/>
            </w:tcBorders>
            <w:shd w:val="clear" w:color="000000" w:fill="FFFFFF"/>
            <w:noWrap/>
            <w:vAlign w:val="center"/>
            <w:hideMark/>
          </w:tcPr>
          <w:p w14:paraId="2C99B4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FA4C0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1,007,781</w:t>
            </w:r>
          </w:p>
        </w:tc>
        <w:tc>
          <w:tcPr>
            <w:tcW w:w="1045" w:type="dxa"/>
            <w:tcBorders>
              <w:top w:val="nil"/>
              <w:left w:val="nil"/>
              <w:bottom w:val="single" w:sz="4" w:space="0" w:color="auto"/>
              <w:right w:val="single" w:sz="4" w:space="0" w:color="auto"/>
            </w:tcBorders>
            <w:shd w:val="clear" w:color="000000" w:fill="FFFFFF"/>
            <w:noWrap/>
            <w:vAlign w:val="center"/>
            <w:hideMark/>
          </w:tcPr>
          <w:p w14:paraId="0E7088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4.33</w:t>
            </w:r>
          </w:p>
        </w:tc>
      </w:tr>
      <w:tr w:rsidR="00177999" w:rsidRPr="00057D13" w14:paraId="42D6D0DF"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F544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Myocarditis/Pericarditis (1-</w:t>
            </w:r>
            <w:proofErr w:type="gramStart"/>
            <w:r w:rsidRPr="00057D13">
              <w:rPr>
                <w:rFonts w:ascii="Times New Roman" w:eastAsia="Times New Roman" w:hAnsi="Times New Roman" w:cs="Times New Roman"/>
                <w:color w:val="000000"/>
                <w:sz w:val="18"/>
                <w:szCs w:val="18"/>
              </w:rPr>
              <w:t>7 day</w:t>
            </w:r>
            <w:proofErr w:type="gramEnd"/>
            <w:r w:rsidRPr="00057D13">
              <w:rPr>
                <w:rFonts w:ascii="Times New Roman" w:eastAsia="Times New Roman" w:hAnsi="Times New Roman" w:cs="Times New Roman"/>
                <w:color w:val="000000"/>
                <w:sz w:val="18"/>
                <w:szCs w:val="18"/>
              </w:rPr>
              <w:t xml:space="preserve"> risk window, IP, OP-ED)</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58A6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430777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1078DC8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603,627</w:t>
            </w:r>
          </w:p>
        </w:tc>
        <w:tc>
          <w:tcPr>
            <w:tcW w:w="854" w:type="dxa"/>
            <w:tcBorders>
              <w:top w:val="nil"/>
              <w:left w:val="nil"/>
              <w:bottom w:val="single" w:sz="4" w:space="0" w:color="auto"/>
              <w:right w:val="single" w:sz="4" w:space="0" w:color="auto"/>
            </w:tcBorders>
            <w:shd w:val="clear" w:color="000000" w:fill="FFFFFF"/>
            <w:noWrap/>
            <w:vAlign w:val="center"/>
            <w:hideMark/>
          </w:tcPr>
          <w:p w14:paraId="07B1F8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19DA4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4,176,754</w:t>
            </w:r>
          </w:p>
        </w:tc>
        <w:tc>
          <w:tcPr>
            <w:tcW w:w="623" w:type="dxa"/>
            <w:tcBorders>
              <w:top w:val="nil"/>
              <w:left w:val="nil"/>
              <w:bottom w:val="single" w:sz="4" w:space="0" w:color="auto"/>
              <w:right w:val="single" w:sz="4" w:space="0" w:color="auto"/>
            </w:tcBorders>
            <w:shd w:val="clear" w:color="000000" w:fill="FFFFFF"/>
            <w:noWrap/>
            <w:vAlign w:val="center"/>
            <w:hideMark/>
          </w:tcPr>
          <w:p w14:paraId="27ACFC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268DE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605,187</w:t>
            </w:r>
          </w:p>
        </w:tc>
        <w:tc>
          <w:tcPr>
            <w:tcW w:w="855" w:type="dxa"/>
            <w:tcBorders>
              <w:top w:val="nil"/>
              <w:left w:val="nil"/>
              <w:bottom w:val="single" w:sz="4" w:space="0" w:color="auto"/>
              <w:right w:val="single" w:sz="4" w:space="0" w:color="auto"/>
            </w:tcBorders>
            <w:shd w:val="clear" w:color="000000" w:fill="FFFFFF"/>
            <w:noWrap/>
            <w:vAlign w:val="center"/>
            <w:hideMark/>
          </w:tcPr>
          <w:p w14:paraId="7C2F16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57E09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4,207,157</w:t>
            </w:r>
          </w:p>
        </w:tc>
        <w:tc>
          <w:tcPr>
            <w:tcW w:w="740" w:type="dxa"/>
            <w:tcBorders>
              <w:top w:val="nil"/>
              <w:left w:val="nil"/>
              <w:bottom w:val="single" w:sz="4" w:space="0" w:color="auto"/>
              <w:right w:val="single" w:sz="4" w:space="0" w:color="auto"/>
            </w:tcBorders>
            <w:shd w:val="clear" w:color="000000" w:fill="FFFFFF"/>
            <w:noWrap/>
            <w:vAlign w:val="center"/>
            <w:hideMark/>
          </w:tcPr>
          <w:p w14:paraId="3F4BFD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48.87</w:t>
            </w:r>
          </w:p>
        </w:tc>
        <w:tc>
          <w:tcPr>
            <w:tcW w:w="718" w:type="dxa"/>
            <w:tcBorders>
              <w:top w:val="nil"/>
              <w:left w:val="nil"/>
              <w:bottom w:val="single" w:sz="4" w:space="0" w:color="auto"/>
              <w:right w:val="single" w:sz="4" w:space="0" w:color="auto"/>
            </w:tcBorders>
            <w:shd w:val="clear" w:color="000000" w:fill="FFFFFF"/>
            <w:noWrap/>
            <w:vAlign w:val="center"/>
            <w:hideMark/>
          </w:tcPr>
          <w:p w14:paraId="613CAE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572,773</w:t>
            </w:r>
          </w:p>
        </w:tc>
        <w:tc>
          <w:tcPr>
            <w:tcW w:w="882" w:type="dxa"/>
            <w:tcBorders>
              <w:top w:val="nil"/>
              <w:left w:val="nil"/>
              <w:bottom w:val="single" w:sz="4" w:space="0" w:color="auto"/>
              <w:right w:val="single" w:sz="4" w:space="0" w:color="auto"/>
            </w:tcBorders>
            <w:shd w:val="clear" w:color="000000" w:fill="FFFFFF"/>
            <w:noWrap/>
            <w:vAlign w:val="center"/>
            <w:hideMark/>
          </w:tcPr>
          <w:p w14:paraId="6FFFF1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8EEAB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3,966,101</w:t>
            </w:r>
          </w:p>
        </w:tc>
        <w:tc>
          <w:tcPr>
            <w:tcW w:w="1045" w:type="dxa"/>
            <w:tcBorders>
              <w:top w:val="nil"/>
              <w:left w:val="nil"/>
              <w:bottom w:val="single" w:sz="4" w:space="0" w:color="auto"/>
              <w:right w:val="single" w:sz="4" w:space="0" w:color="auto"/>
            </w:tcBorders>
            <w:shd w:val="clear" w:color="000000" w:fill="FFFFFF"/>
            <w:noWrap/>
            <w:vAlign w:val="center"/>
            <w:hideMark/>
          </w:tcPr>
          <w:p w14:paraId="0732CC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10.29</w:t>
            </w:r>
          </w:p>
        </w:tc>
      </w:tr>
      <w:tr w:rsidR="00177999" w:rsidRPr="00057D13" w14:paraId="012300A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617C0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84563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911EF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00201D1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573,501</w:t>
            </w:r>
          </w:p>
        </w:tc>
        <w:tc>
          <w:tcPr>
            <w:tcW w:w="854" w:type="dxa"/>
            <w:tcBorders>
              <w:top w:val="nil"/>
              <w:left w:val="nil"/>
              <w:bottom w:val="single" w:sz="4" w:space="0" w:color="auto"/>
              <w:right w:val="single" w:sz="4" w:space="0" w:color="auto"/>
            </w:tcBorders>
            <w:shd w:val="clear" w:color="000000" w:fill="FFFFFF"/>
            <w:noWrap/>
            <w:vAlign w:val="center"/>
            <w:hideMark/>
          </w:tcPr>
          <w:p w14:paraId="6B09A5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13" w:type="dxa"/>
            <w:tcBorders>
              <w:top w:val="nil"/>
              <w:left w:val="nil"/>
              <w:bottom w:val="single" w:sz="4" w:space="0" w:color="auto"/>
              <w:right w:val="single" w:sz="4" w:space="0" w:color="auto"/>
            </w:tcBorders>
            <w:shd w:val="clear" w:color="000000" w:fill="FFFFFF"/>
            <w:noWrap/>
            <w:vAlign w:val="center"/>
            <w:hideMark/>
          </w:tcPr>
          <w:p w14:paraId="6C0D8A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3,999,983</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75637" w14:textId="4623EE8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68.36*</w:t>
            </w:r>
          </w:p>
        </w:tc>
        <w:tc>
          <w:tcPr>
            <w:tcW w:w="811" w:type="dxa"/>
            <w:tcBorders>
              <w:top w:val="nil"/>
              <w:left w:val="nil"/>
              <w:bottom w:val="single" w:sz="4" w:space="0" w:color="auto"/>
              <w:right w:val="single" w:sz="4" w:space="0" w:color="auto"/>
            </w:tcBorders>
            <w:shd w:val="clear" w:color="000000" w:fill="FFFFFF"/>
            <w:noWrap/>
            <w:vAlign w:val="center"/>
            <w:hideMark/>
          </w:tcPr>
          <w:p w14:paraId="23336F4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653,800</w:t>
            </w:r>
          </w:p>
        </w:tc>
        <w:tc>
          <w:tcPr>
            <w:tcW w:w="855" w:type="dxa"/>
            <w:tcBorders>
              <w:top w:val="nil"/>
              <w:left w:val="nil"/>
              <w:bottom w:val="single" w:sz="4" w:space="0" w:color="auto"/>
              <w:right w:val="single" w:sz="4" w:space="0" w:color="auto"/>
            </w:tcBorders>
            <w:shd w:val="clear" w:color="000000" w:fill="FFFFFF"/>
            <w:noWrap/>
            <w:vAlign w:val="center"/>
            <w:hideMark/>
          </w:tcPr>
          <w:p w14:paraId="07417E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6B19B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4,565,641</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A7DA5" w14:textId="603488F5"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41.78*</w:t>
            </w:r>
          </w:p>
        </w:tc>
        <w:tc>
          <w:tcPr>
            <w:tcW w:w="718" w:type="dxa"/>
            <w:tcBorders>
              <w:top w:val="nil"/>
              <w:left w:val="nil"/>
              <w:bottom w:val="single" w:sz="4" w:space="0" w:color="auto"/>
              <w:right w:val="single" w:sz="4" w:space="0" w:color="auto"/>
            </w:tcBorders>
            <w:shd w:val="clear" w:color="000000" w:fill="FFFFFF"/>
            <w:noWrap/>
            <w:vAlign w:val="center"/>
            <w:hideMark/>
          </w:tcPr>
          <w:p w14:paraId="25A2E69B"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566,007</w:t>
            </w:r>
          </w:p>
        </w:tc>
        <w:tc>
          <w:tcPr>
            <w:tcW w:w="882" w:type="dxa"/>
            <w:tcBorders>
              <w:top w:val="nil"/>
              <w:left w:val="nil"/>
              <w:bottom w:val="single" w:sz="4" w:space="0" w:color="auto"/>
              <w:right w:val="single" w:sz="4" w:space="0" w:color="auto"/>
            </w:tcBorders>
            <w:shd w:val="clear" w:color="000000" w:fill="FFFFFF"/>
            <w:noWrap/>
            <w:vAlign w:val="center"/>
            <w:hideMark/>
          </w:tcPr>
          <w:p w14:paraId="75757C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45" w:type="dxa"/>
            <w:tcBorders>
              <w:top w:val="nil"/>
              <w:left w:val="nil"/>
              <w:bottom w:val="single" w:sz="4" w:space="0" w:color="auto"/>
              <w:right w:val="single" w:sz="4" w:space="0" w:color="auto"/>
            </w:tcBorders>
            <w:shd w:val="clear" w:color="000000" w:fill="FFFFFF"/>
            <w:noWrap/>
            <w:vAlign w:val="center"/>
            <w:hideMark/>
          </w:tcPr>
          <w:p w14:paraId="373A3E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3,944,177</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3AF90" w14:textId="24E41DB9"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50.01*</w:t>
            </w:r>
          </w:p>
        </w:tc>
      </w:tr>
      <w:tr w:rsidR="00177999" w:rsidRPr="00057D13" w14:paraId="05473A5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6DBE7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D565A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4D193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710D92B"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291,767</w:t>
            </w:r>
          </w:p>
        </w:tc>
        <w:tc>
          <w:tcPr>
            <w:tcW w:w="854" w:type="dxa"/>
            <w:tcBorders>
              <w:top w:val="nil"/>
              <w:left w:val="nil"/>
              <w:bottom w:val="single" w:sz="4" w:space="0" w:color="auto"/>
              <w:right w:val="single" w:sz="4" w:space="0" w:color="auto"/>
            </w:tcBorders>
            <w:shd w:val="clear" w:color="000000" w:fill="FFFFFF"/>
            <w:noWrap/>
            <w:vAlign w:val="center"/>
            <w:hideMark/>
          </w:tcPr>
          <w:p w14:paraId="3C681F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w:t>
            </w:r>
          </w:p>
        </w:tc>
        <w:tc>
          <w:tcPr>
            <w:tcW w:w="1013" w:type="dxa"/>
            <w:tcBorders>
              <w:top w:val="nil"/>
              <w:left w:val="nil"/>
              <w:bottom w:val="single" w:sz="4" w:space="0" w:color="auto"/>
              <w:right w:val="single" w:sz="4" w:space="0" w:color="auto"/>
            </w:tcBorders>
            <w:shd w:val="clear" w:color="000000" w:fill="FFFFFF"/>
            <w:noWrap/>
            <w:vAlign w:val="center"/>
            <w:hideMark/>
          </w:tcPr>
          <w:p w14:paraId="017B830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2,034,590</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D4B99" w14:textId="6B82CE3D"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50.55*</w:t>
            </w:r>
          </w:p>
        </w:tc>
        <w:tc>
          <w:tcPr>
            <w:tcW w:w="811" w:type="dxa"/>
            <w:tcBorders>
              <w:top w:val="nil"/>
              <w:left w:val="nil"/>
              <w:bottom w:val="single" w:sz="4" w:space="0" w:color="auto"/>
              <w:right w:val="single" w:sz="4" w:space="0" w:color="auto"/>
            </w:tcBorders>
            <w:shd w:val="clear" w:color="000000" w:fill="FFFFFF"/>
            <w:noWrap/>
            <w:vAlign w:val="center"/>
            <w:hideMark/>
          </w:tcPr>
          <w:p w14:paraId="682A1A0D"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335,210</w:t>
            </w:r>
          </w:p>
        </w:tc>
        <w:tc>
          <w:tcPr>
            <w:tcW w:w="855" w:type="dxa"/>
            <w:tcBorders>
              <w:top w:val="nil"/>
              <w:left w:val="nil"/>
              <w:bottom w:val="single" w:sz="4" w:space="0" w:color="auto"/>
              <w:right w:val="single" w:sz="4" w:space="0" w:color="auto"/>
            </w:tcBorders>
            <w:shd w:val="clear" w:color="000000" w:fill="FFFFFF"/>
            <w:noWrap/>
            <w:vAlign w:val="center"/>
            <w:hideMark/>
          </w:tcPr>
          <w:p w14:paraId="323658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w:t>
            </w:r>
          </w:p>
        </w:tc>
        <w:tc>
          <w:tcPr>
            <w:tcW w:w="1014" w:type="dxa"/>
            <w:tcBorders>
              <w:top w:val="nil"/>
              <w:left w:val="nil"/>
              <w:bottom w:val="single" w:sz="4" w:space="0" w:color="auto"/>
              <w:right w:val="single" w:sz="4" w:space="0" w:color="auto"/>
            </w:tcBorders>
            <w:shd w:val="clear" w:color="000000" w:fill="FFFFFF"/>
            <w:noWrap/>
            <w:vAlign w:val="center"/>
            <w:hideMark/>
          </w:tcPr>
          <w:p w14:paraId="69F33EF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2,340,241</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3EDE3" w14:textId="5A77116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23.39*</w:t>
            </w:r>
          </w:p>
        </w:tc>
        <w:tc>
          <w:tcPr>
            <w:tcW w:w="718" w:type="dxa"/>
            <w:tcBorders>
              <w:top w:val="nil"/>
              <w:left w:val="nil"/>
              <w:bottom w:val="single" w:sz="4" w:space="0" w:color="auto"/>
              <w:right w:val="single" w:sz="4" w:space="0" w:color="auto"/>
            </w:tcBorders>
            <w:shd w:val="clear" w:color="000000" w:fill="FFFFFF"/>
            <w:noWrap/>
            <w:vAlign w:val="center"/>
            <w:hideMark/>
          </w:tcPr>
          <w:p w14:paraId="7E89FAF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286,174</w:t>
            </w:r>
          </w:p>
        </w:tc>
        <w:tc>
          <w:tcPr>
            <w:tcW w:w="882" w:type="dxa"/>
            <w:tcBorders>
              <w:top w:val="nil"/>
              <w:left w:val="nil"/>
              <w:bottom w:val="single" w:sz="4" w:space="0" w:color="auto"/>
              <w:right w:val="single" w:sz="4" w:space="0" w:color="auto"/>
            </w:tcBorders>
            <w:shd w:val="clear" w:color="000000" w:fill="FFFFFF"/>
            <w:noWrap/>
            <w:vAlign w:val="center"/>
            <w:hideMark/>
          </w:tcPr>
          <w:p w14:paraId="0E6E16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06893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1,994,109</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C39EE" w14:textId="5E55129B"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14.77*</w:t>
            </w:r>
          </w:p>
        </w:tc>
      </w:tr>
      <w:tr w:rsidR="00177999" w:rsidRPr="00057D13" w14:paraId="68A6271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8964E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5B2D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19F8E4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C73D8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318,568</w:t>
            </w:r>
          </w:p>
        </w:tc>
        <w:tc>
          <w:tcPr>
            <w:tcW w:w="854" w:type="dxa"/>
            <w:tcBorders>
              <w:top w:val="nil"/>
              <w:left w:val="nil"/>
              <w:bottom w:val="single" w:sz="4" w:space="0" w:color="auto"/>
              <w:right w:val="single" w:sz="4" w:space="0" w:color="auto"/>
            </w:tcBorders>
            <w:shd w:val="clear" w:color="000000" w:fill="FFFFFF"/>
            <w:noWrap/>
            <w:vAlign w:val="center"/>
            <w:hideMark/>
          </w:tcPr>
          <w:p w14:paraId="034E35F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A79B2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2,205,071</w:t>
            </w:r>
          </w:p>
        </w:tc>
        <w:tc>
          <w:tcPr>
            <w:tcW w:w="623" w:type="dxa"/>
            <w:tcBorders>
              <w:top w:val="nil"/>
              <w:left w:val="nil"/>
              <w:bottom w:val="single" w:sz="4" w:space="0" w:color="auto"/>
              <w:right w:val="single" w:sz="4" w:space="0" w:color="auto"/>
            </w:tcBorders>
            <w:shd w:val="clear" w:color="000000" w:fill="FFFFFF"/>
            <w:noWrap/>
            <w:vAlign w:val="center"/>
            <w:hideMark/>
          </w:tcPr>
          <w:p w14:paraId="59D218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C086E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335,609</w:t>
            </w:r>
          </w:p>
        </w:tc>
        <w:tc>
          <w:tcPr>
            <w:tcW w:w="855" w:type="dxa"/>
            <w:tcBorders>
              <w:top w:val="nil"/>
              <w:left w:val="nil"/>
              <w:bottom w:val="single" w:sz="4" w:space="0" w:color="auto"/>
              <w:right w:val="single" w:sz="4" w:space="0" w:color="auto"/>
            </w:tcBorders>
            <w:shd w:val="clear" w:color="000000" w:fill="FFFFFF"/>
            <w:noWrap/>
            <w:vAlign w:val="center"/>
            <w:hideMark/>
          </w:tcPr>
          <w:p w14:paraId="1A71AE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635BD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2,335,146</w:t>
            </w:r>
          </w:p>
        </w:tc>
        <w:tc>
          <w:tcPr>
            <w:tcW w:w="740" w:type="dxa"/>
            <w:tcBorders>
              <w:top w:val="nil"/>
              <w:left w:val="nil"/>
              <w:bottom w:val="single" w:sz="4" w:space="0" w:color="auto"/>
              <w:right w:val="single" w:sz="4" w:space="0" w:color="auto"/>
            </w:tcBorders>
            <w:shd w:val="clear" w:color="000000" w:fill="FFFFFF"/>
            <w:noWrap/>
            <w:vAlign w:val="center"/>
            <w:hideMark/>
          </w:tcPr>
          <w:p w14:paraId="26A103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43.40</w:t>
            </w:r>
          </w:p>
        </w:tc>
        <w:tc>
          <w:tcPr>
            <w:tcW w:w="718" w:type="dxa"/>
            <w:tcBorders>
              <w:top w:val="nil"/>
              <w:left w:val="nil"/>
              <w:bottom w:val="single" w:sz="4" w:space="0" w:color="auto"/>
              <w:right w:val="single" w:sz="4" w:space="0" w:color="auto"/>
            </w:tcBorders>
            <w:shd w:val="clear" w:color="000000" w:fill="FFFFFF"/>
            <w:noWrap/>
            <w:vAlign w:val="center"/>
            <w:hideMark/>
          </w:tcPr>
          <w:p w14:paraId="09FE86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310,693</w:t>
            </w:r>
          </w:p>
        </w:tc>
        <w:tc>
          <w:tcPr>
            <w:tcW w:w="882" w:type="dxa"/>
            <w:tcBorders>
              <w:top w:val="nil"/>
              <w:left w:val="nil"/>
              <w:bottom w:val="single" w:sz="4" w:space="0" w:color="auto"/>
              <w:right w:val="single" w:sz="4" w:space="0" w:color="auto"/>
            </w:tcBorders>
            <w:shd w:val="clear" w:color="000000" w:fill="FFFFFF"/>
            <w:noWrap/>
            <w:vAlign w:val="center"/>
            <w:hideMark/>
          </w:tcPr>
          <w:p w14:paraId="047ABD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3C8CC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2,151,041</w:t>
            </w:r>
          </w:p>
        </w:tc>
        <w:tc>
          <w:tcPr>
            <w:tcW w:w="1045" w:type="dxa"/>
            <w:tcBorders>
              <w:top w:val="nil"/>
              <w:left w:val="nil"/>
              <w:bottom w:val="single" w:sz="4" w:space="0" w:color="auto"/>
              <w:right w:val="single" w:sz="4" w:space="0" w:color="auto"/>
            </w:tcBorders>
            <w:shd w:val="clear" w:color="000000" w:fill="FFFFFF"/>
            <w:noWrap/>
            <w:vAlign w:val="center"/>
            <w:hideMark/>
          </w:tcPr>
          <w:p w14:paraId="7963119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F7462B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93787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24FB5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6E460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24480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302,223</w:t>
            </w:r>
          </w:p>
        </w:tc>
        <w:tc>
          <w:tcPr>
            <w:tcW w:w="854" w:type="dxa"/>
            <w:tcBorders>
              <w:top w:val="nil"/>
              <w:left w:val="nil"/>
              <w:bottom w:val="single" w:sz="4" w:space="0" w:color="auto"/>
              <w:right w:val="single" w:sz="4" w:space="0" w:color="auto"/>
            </w:tcBorders>
            <w:shd w:val="clear" w:color="000000" w:fill="FFFFFF"/>
            <w:noWrap/>
            <w:vAlign w:val="center"/>
            <w:hideMark/>
          </w:tcPr>
          <w:p w14:paraId="08F328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736B8C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2,107,581</w:t>
            </w:r>
          </w:p>
        </w:tc>
        <w:tc>
          <w:tcPr>
            <w:tcW w:w="623" w:type="dxa"/>
            <w:tcBorders>
              <w:top w:val="nil"/>
              <w:left w:val="nil"/>
              <w:bottom w:val="single" w:sz="4" w:space="0" w:color="auto"/>
              <w:right w:val="single" w:sz="4" w:space="0" w:color="auto"/>
            </w:tcBorders>
            <w:shd w:val="clear" w:color="000000" w:fill="FFFFFF"/>
            <w:noWrap/>
            <w:vAlign w:val="center"/>
            <w:hideMark/>
          </w:tcPr>
          <w:p w14:paraId="7FF037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D82E2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356,870</w:t>
            </w:r>
          </w:p>
        </w:tc>
        <w:tc>
          <w:tcPr>
            <w:tcW w:w="855" w:type="dxa"/>
            <w:tcBorders>
              <w:top w:val="nil"/>
              <w:left w:val="nil"/>
              <w:bottom w:val="single" w:sz="4" w:space="0" w:color="auto"/>
              <w:right w:val="single" w:sz="4" w:space="0" w:color="auto"/>
            </w:tcBorders>
            <w:shd w:val="clear" w:color="000000" w:fill="FFFFFF"/>
            <w:noWrap/>
            <w:vAlign w:val="center"/>
            <w:hideMark/>
          </w:tcPr>
          <w:p w14:paraId="614626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B4B83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2,491,770</w:t>
            </w:r>
          </w:p>
        </w:tc>
        <w:tc>
          <w:tcPr>
            <w:tcW w:w="740" w:type="dxa"/>
            <w:tcBorders>
              <w:top w:val="nil"/>
              <w:left w:val="nil"/>
              <w:bottom w:val="single" w:sz="4" w:space="0" w:color="auto"/>
              <w:right w:val="single" w:sz="4" w:space="0" w:color="auto"/>
            </w:tcBorders>
            <w:shd w:val="clear" w:color="000000" w:fill="FFFFFF"/>
            <w:noWrap/>
            <w:vAlign w:val="center"/>
            <w:hideMark/>
          </w:tcPr>
          <w:p w14:paraId="7B0491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95B0E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302,703</w:t>
            </w:r>
          </w:p>
        </w:tc>
        <w:tc>
          <w:tcPr>
            <w:tcW w:w="882" w:type="dxa"/>
            <w:tcBorders>
              <w:top w:val="nil"/>
              <w:left w:val="nil"/>
              <w:bottom w:val="single" w:sz="4" w:space="0" w:color="auto"/>
              <w:right w:val="single" w:sz="4" w:space="0" w:color="auto"/>
            </w:tcBorders>
            <w:shd w:val="clear" w:color="000000" w:fill="FFFFFF"/>
            <w:noWrap/>
            <w:vAlign w:val="center"/>
            <w:hideMark/>
          </w:tcPr>
          <w:p w14:paraId="353C2C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08A5E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2,109,467</w:t>
            </w:r>
          </w:p>
        </w:tc>
        <w:tc>
          <w:tcPr>
            <w:tcW w:w="1045" w:type="dxa"/>
            <w:tcBorders>
              <w:top w:val="nil"/>
              <w:left w:val="nil"/>
              <w:bottom w:val="single" w:sz="4" w:space="0" w:color="auto"/>
              <w:right w:val="single" w:sz="4" w:space="0" w:color="auto"/>
            </w:tcBorders>
            <w:shd w:val="clear" w:color="000000" w:fill="FFFFFF"/>
            <w:noWrap/>
            <w:vAlign w:val="center"/>
            <w:hideMark/>
          </w:tcPr>
          <w:p w14:paraId="3766D7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9.84</w:t>
            </w:r>
          </w:p>
        </w:tc>
      </w:tr>
      <w:tr w:rsidR="00177999" w:rsidRPr="00057D13" w14:paraId="244FE70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EFB3A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71178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45752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5073D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155,466</w:t>
            </w:r>
          </w:p>
        </w:tc>
        <w:tc>
          <w:tcPr>
            <w:tcW w:w="854" w:type="dxa"/>
            <w:tcBorders>
              <w:top w:val="nil"/>
              <w:left w:val="nil"/>
              <w:bottom w:val="single" w:sz="4" w:space="0" w:color="auto"/>
              <w:right w:val="single" w:sz="4" w:space="0" w:color="auto"/>
            </w:tcBorders>
            <w:shd w:val="clear" w:color="000000" w:fill="FFFFFF"/>
            <w:noWrap/>
            <w:vAlign w:val="center"/>
            <w:hideMark/>
          </w:tcPr>
          <w:p w14:paraId="11DC78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1F7BE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1,083,649</w:t>
            </w:r>
          </w:p>
        </w:tc>
        <w:tc>
          <w:tcPr>
            <w:tcW w:w="623" w:type="dxa"/>
            <w:tcBorders>
              <w:top w:val="nil"/>
              <w:left w:val="nil"/>
              <w:bottom w:val="single" w:sz="4" w:space="0" w:color="auto"/>
              <w:right w:val="single" w:sz="4" w:space="0" w:color="auto"/>
            </w:tcBorders>
            <w:shd w:val="clear" w:color="000000" w:fill="FFFFFF"/>
            <w:noWrap/>
            <w:vAlign w:val="center"/>
            <w:hideMark/>
          </w:tcPr>
          <w:p w14:paraId="284305A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15.82</w:t>
            </w:r>
          </w:p>
        </w:tc>
        <w:tc>
          <w:tcPr>
            <w:tcW w:w="811" w:type="dxa"/>
            <w:tcBorders>
              <w:top w:val="nil"/>
              <w:left w:val="nil"/>
              <w:bottom w:val="single" w:sz="4" w:space="0" w:color="auto"/>
              <w:right w:val="single" w:sz="4" w:space="0" w:color="auto"/>
            </w:tcBorders>
            <w:shd w:val="clear" w:color="000000" w:fill="FFFFFF"/>
            <w:noWrap/>
            <w:vAlign w:val="center"/>
            <w:hideMark/>
          </w:tcPr>
          <w:p w14:paraId="2E3D17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187,249</w:t>
            </w:r>
          </w:p>
        </w:tc>
        <w:tc>
          <w:tcPr>
            <w:tcW w:w="855" w:type="dxa"/>
            <w:tcBorders>
              <w:top w:val="nil"/>
              <w:left w:val="nil"/>
              <w:bottom w:val="single" w:sz="4" w:space="0" w:color="auto"/>
              <w:right w:val="single" w:sz="4" w:space="0" w:color="auto"/>
            </w:tcBorders>
            <w:shd w:val="clear" w:color="000000" w:fill="FFFFFF"/>
            <w:noWrap/>
            <w:vAlign w:val="center"/>
            <w:hideMark/>
          </w:tcPr>
          <w:p w14:paraId="78C649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9F982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1,306,721</w:t>
            </w:r>
          </w:p>
        </w:tc>
        <w:tc>
          <w:tcPr>
            <w:tcW w:w="740" w:type="dxa"/>
            <w:tcBorders>
              <w:top w:val="nil"/>
              <w:left w:val="nil"/>
              <w:bottom w:val="single" w:sz="4" w:space="0" w:color="auto"/>
              <w:right w:val="single" w:sz="4" w:space="0" w:color="auto"/>
            </w:tcBorders>
            <w:shd w:val="clear" w:color="000000" w:fill="FFFFFF"/>
            <w:noWrap/>
            <w:vAlign w:val="center"/>
            <w:hideMark/>
          </w:tcPr>
          <w:p w14:paraId="2417E8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6.45</w:t>
            </w:r>
          </w:p>
        </w:tc>
        <w:tc>
          <w:tcPr>
            <w:tcW w:w="718" w:type="dxa"/>
            <w:tcBorders>
              <w:top w:val="nil"/>
              <w:left w:val="nil"/>
              <w:bottom w:val="single" w:sz="4" w:space="0" w:color="auto"/>
              <w:right w:val="single" w:sz="4" w:space="0" w:color="auto"/>
            </w:tcBorders>
            <w:shd w:val="clear" w:color="000000" w:fill="FFFFFF"/>
            <w:noWrap/>
            <w:vAlign w:val="center"/>
            <w:hideMark/>
          </w:tcPr>
          <w:p w14:paraId="442EA2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155,858</w:t>
            </w:r>
          </w:p>
        </w:tc>
        <w:tc>
          <w:tcPr>
            <w:tcW w:w="882" w:type="dxa"/>
            <w:tcBorders>
              <w:top w:val="nil"/>
              <w:left w:val="nil"/>
              <w:bottom w:val="single" w:sz="4" w:space="0" w:color="auto"/>
              <w:right w:val="single" w:sz="4" w:space="0" w:color="auto"/>
            </w:tcBorders>
            <w:shd w:val="clear" w:color="000000" w:fill="FFFFFF"/>
            <w:noWrap/>
            <w:vAlign w:val="center"/>
            <w:hideMark/>
          </w:tcPr>
          <w:p w14:paraId="4C1355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CC131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1,086,063</w:t>
            </w:r>
          </w:p>
        </w:tc>
        <w:tc>
          <w:tcPr>
            <w:tcW w:w="1045" w:type="dxa"/>
            <w:tcBorders>
              <w:top w:val="nil"/>
              <w:left w:val="nil"/>
              <w:bottom w:val="single" w:sz="4" w:space="0" w:color="auto"/>
              <w:right w:val="single" w:sz="4" w:space="0" w:color="auto"/>
            </w:tcBorders>
            <w:shd w:val="clear" w:color="000000" w:fill="FFFFFF"/>
            <w:noWrap/>
            <w:vAlign w:val="center"/>
            <w:hideMark/>
          </w:tcPr>
          <w:p w14:paraId="3A8891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7.75</w:t>
            </w:r>
          </w:p>
        </w:tc>
      </w:tr>
      <w:tr w:rsidR="00177999" w:rsidRPr="00057D13" w14:paraId="13C345E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85EF6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1F6E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76DAA2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CA4A6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285,059</w:t>
            </w:r>
          </w:p>
        </w:tc>
        <w:tc>
          <w:tcPr>
            <w:tcW w:w="854" w:type="dxa"/>
            <w:tcBorders>
              <w:top w:val="nil"/>
              <w:left w:val="nil"/>
              <w:bottom w:val="single" w:sz="4" w:space="0" w:color="auto"/>
              <w:right w:val="single" w:sz="4" w:space="0" w:color="auto"/>
            </w:tcBorders>
            <w:shd w:val="clear" w:color="000000" w:fill="FFFFFF"/>
            <w:noWrap/>
            <w:vAlign w:val="center"/>
            <w:hideMark/>
          </w:tcPr>
          <w:p w14:paraId="139B46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6DEA0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1,971,683</w:t>
            </w:r>
          </w:p>
        </w:tc>
        <w:tc>
          <w:tcPr>
            <w:tcW w:w="623" w:type="dxa"/>
            <w:tcBorders>
              <w:top w:val="nil"/>
              <w:left w:val="nil"/>
              <w:bottom w:val="single" w:sz="4" w:space="0" w:color="auto"/>
              <w:right w:val="single" w:sz="4" w:space="0" w:color="auto"/>
            </w:tcBorders>
            <w:shd w:val="clear" w:color="000000" w:fill="FFFFFF"/>
            <w:noWrap/>
            <w:vAlign w:val="center"/>
            <w:hideMark/>
          </w:tcPr>
          <w:p w14:paraId="65B6BA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E2CE8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269,578</w:t>
            </w:r>
          </w:p>
        </w:tc>
        <w:tc>
          <w:tcPr>
            <w:tcW w:w="855" w:type="dxa"/>
            <w:tcBorders>
              <w:top w:val="nil"/>
              <w:left w:val="nil"/>
              <w:bottom w:val="single" w:sz="4" w:space="0" w:color="auto"/>
              <w:right w:val="single" w:sz="4" w:space="0" w:color="auto"/>
            </w:tcBorders>
            <w:shd w:val="clear" w:color="000000" w:fill="FFFFFF"/>
            <w:noWrap/>
            <w:vAlign w:val="center"/>
            <w:hideMark/>
          </w:tcPr>
          <w:p w14:paraId="0BEE41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E63DA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1,872,011</w:t>
            </w:r>
          </w:p>
        </w:tc>
        <w:tc>
          <w:tcPr>
            <w:tcW w:w="740" w:type="dxa"/>
            <w:tcBorders>
              <w:top w:val="nil"/>
              <w:left w:val="nil"/>
              <w:bottom w:val="single" w:sz="4" w:space="0" w:color="auto"/>
              <w:right w:val="single" w:sz="4" w:space="0" w:color="auto"/>
            </w:tcBorders>
            <w:shd w:val="clear" w:color="000000" w:fill="FFFFFF"/>
            <w:noWrap/>
            <w:vAlign w:val="center"/>
            <w:hideMark/>
          </w:tcPr>
          <w:p w14:paraId="67B673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55.92</w:t>
            </w:r>
          </w:p>
        </w:tc>
        <w:tc>
          <w:tcPr>
            <w:tcW w:w="718" w:type="dxa"/>
            <w:tcBorders>
              <w:top w:val="nil"/>
              <w:left w:val="nil"/>
              <w:bottom w:val="single" w:sz="4" w:space="0" w:color="auto"/>
              <w:right w:val="single" w:sz="4" w:space="0" w:color="auto"/>
            </w:tcBorders>
            <w:shd w:val="clear" w:color="000000" w:fill="FFFFFF"/>
            <w:noWrap/>
            <w:vAlign w:val="center"/>
            <w:hideMark/>
          </w:tcPr>
          <w:p w14:paraId="5D7501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262,080</w:t>
            </w:r>
          </w:p>
        </w:tc>
        <w:tc>
          <w:tcPr>
            <w:tcW w:w="882" w:type="dxa"/>
            <w:tcBorders>
              <w:top w:val="nil"/>
              <w:left w:val="nil"/>
              <w:bottom w:val="single" w:sz="4" w:space="0" w:color="auto"/>
              <w:right w:val="single" w:sz="4" w:space="0" w:color="auto"/>
            </w:tcBorders>
            <w:shd w:val="clear" w:color="000000" w:fill="FFFFFF"/>
            <w:noWrap/>
            <w:vAlign w:val="center"/>
            <w:hideMark/>
          </w:tcPr>
          <w:p w14:paraId="6CB7B9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F5B18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1,815,060</w:t>
            </w:r>
          </w:p>
        </w:tc>
        <w:tc>
          <w:tcPr>
            <w:tcW w:w="1045" w:type="dxa"/>
            <w:tcBorders>
              <w:top w:val="nil"/>
              <w:left w:val="nil"/>
              <w:bottom w:val="single" w:sz="4" w:space="0" w:color="auto"/>
              <w:right w:val="single" w:sz="4" w:space="0" w:color="auto"/>
            </w:tcBorders>
            <w:shd w:val="clear" w:color="000000" w:fill="FFFFFF"/>
            <w:noWrap/>
            <w:vAlign w:val="center"/>
            <w:hideMark/>
          </w:tcPr>
          <w:p w14:paraId="44C34F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22.49</w:t>
            </w:r>
          </w:p>
        </w:tc>
      </w:tr>
      <w:tr w:rsidR="00177999" w:rsidRPr="00057D13" w14:paraId="4FBC258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55E777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41A70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54BFE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F7C9D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271,278</w:t>
            </w:r>
          </w:p>
        </w:tc>
        <w:tc>
          <w:tcPr>
            <w:tcW w:w="854" w:type="dxa"/>
            <w:tcBorders>
              <w:top w:val="nil"/>
              <w:left w:val="nil"/>
              <w:bottom w:val="single" w:sz="4" w:space="0" w:color="auto"/>
              <w:right w:val="single" w:sz="4" w:space="0" w:color="auto"/>
            </w:tcBorders>
            <w:shd w:val="clear" w:color="000000" w:fill="FFFFFF"/>
            <w:noWrap/>
            <w:vAlign w:val="center"/>
            <w:hideMark/>
          </w:tcPr>
          <w:p w14:paraId="0AAF58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w:t>
            </w:r>
          </w:p>
        </w:tc>
        <w:tc>
          <w:tcPr>
            <w:tcW w:w="1013" w:type="dxa"/>
            <w:tcBorders>
              <w:top w:val="nil"/>
              <w:left w:val="nil"/>
              <w:bottom w:val="single" w:sz="4" w:space="0" w:color="auto"/>
              <w:right w:val="single" w:sz="4" w:space="0" w:color="auto"/>
            </w:tcBorders>
            <w:shd w:val="clear" w:color="000000" w:fill="FFFFFF"/>
            <w:noWrap/>
            <w:vAlign w:val="center"/>
            <w:hideMark/>
          </w:tcPr>
          <w:p w14:paraId="03EAB4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1,892,402</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C6F4A" w14:textId="362BE01C"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144.90*</w:t>
            </w:r>
          </w:p>
        </w:tc>
        <w:tc>
          <w:tcPr>
            <w:tcW w:w="811" w:type="dxa"/>
            <w:tcBorders>
              <w:top w:val="nil"/>
              <w:left w:val="nil"/>
              <w:bottom w:val="single" w:sz="4" w:space="0" w:color="auto"/>
              <w:right w:val="single" w:sz="4" w:space="0" w:color="auto"/>
            </w:tcBorders>
            <w:shd w:val="clear" w:color="000000" w:fill="FFFFFF"/>
            <w:noWrap/>
            <w:vAlign w:val="center"/>
            <w:hideMark/>
          </w:tcPr>
          <w:p w14:paraId="03E658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296,930</w:t>
            </w:r>
          </w:p>
        </w:tc>
        <w:tc>
          <w:tcPr>
            <w:tcW w:w="855" w:type="dxa"/>
            <w:tcBorders>
              <w:top w:val="nil"/>
              <w:left w:val="nil"/>
              <w:bottom w:val="single" w:sz="4" w:space="0" w:color="auto"/>
              <w:right w:val="single" w:sz="4" w:space="0" w:color="auto"/>
            </w:tcBorders>
            <w:shd w:val="clear" w:color="000000" w:fill="FFFFFF"/>
            <w:noWrap/>
            <w:vAlign w:val="center"/>
            <w:hideMark/>
          </w:tcPr>
          <w:p w14:paraId="36D75E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F4A0E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2,073,871</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A3DF9" w14:textId="3A14AE4A"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92.06*</w:t>
            </w:r>
          </w:p>
        </w:tc>
        <w:tc>
          <w:tcPr>
            <w:tcW w:w="718" w:type="dxa"/>
            <w:tcBorders>
              <w:top w:val="nil"/>
              <w:left w:val="nil"/>
              <w:bottom w:val="single" w:sz="4" w:space="0" w:color="auto"/>
              <w:right w:val="single" w:sz="4" w:space="0" w:color="auto"/>
            </w:tcBorders>
            <w:shd w:val="clear" w:color="000000" w:fill="FFFFFF"/>
            <w:noWrap/>
            <w:vAlign w:val="center"/>
            <w:hideMark/>
          </w:tcPr>
          <w:p w14:paraId="3EF862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263,304</w:t>
            </w:r>
          </w:p>
        </w:tc>
        <w:tc>
          <w:tcPr>
            <w:tcW w:w="882" w:type="dxa"/>
            <w:tcBorders>
              <w:top w:val="nil"/>
              <w:left w:val="nil"/>
              <w:bottom w:val="single" w:sz="4" w:space="0" w:color="auto"/>
              <w:right w:val="single" w:sz="4" w:space="0" w:color="auto"/>
            </w:tcBorders>
            <w:shd w:val="clear" w:color="000000" w:fill="FFFFFF"/>
            <w:noWrap/>
            <w:vAlign w:val="center"/>
            <w:hideMark/>
          </w:tcPr>
          <w:p w14:paraId="59DF42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503C9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1,834,710</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CE4A3" w14:textId="00B79A55"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96.22*</w:t>
            </w:r>
          </w:p>
        </w:tc>
      </w:tr>
      <w:tr w:rsidR="00177999" w:rsidRPr="00057D13" w14:paraId="56BC09C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FF927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47309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C428F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081AE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136,301</w:t>
            </w:r>
          </w:p>
        </w:tc>
        <w:tc>
          <w:tcPr>
            <w:tcW w:w="854" w:type="dxa"/>
            <w:tcBorders>
              <w:top w:val="nil"/>
              <w:left w:val="nil"/>
              <w:bottom w:val="single" w:sz="4" w:space="0" w:color="auto"/>
              <w:right w:val="single" w:sz="4" w:space="0" w:color="auto"/>
            </w:tcBorders>
            <w:shd w:val="clear" w:color="000000" w:fill="FFFFFF"/>
            <w:noWrap/>
            <w:vAlign w:val="center"/>
            <w:hideMark/>
          </w:tcPr>
          <w:p w14:paraId="4A1649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41872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950,941</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B2028" w14:textId="2E4C0A17"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90.11*</w:t>
            </w:r>
          </w:p>
        </w:tc>
        <w:tc>
          <w:tcPr>
            <w:tcW w:w="811" w:type="dxa"/>
            <w:tcBorders>
              <w:top w:val="nil"/>
              <w:left w:val="nil"/>
              <w:bottom w:val="single" w:sz="4" w:space="0" w:color="auto"/>
              <w:right w:val="single" w:sz="4" w:space="0" w:color="auto"/>
            </w:tcBorders>
            <w:shd w:val="clear" w:color="000000" w:fill="FFFFFF"/>
            <w:noWrap/>
            <w:vAlign w:val="center"/>
            <w:hideMark/>
          </w:tcPr>
          <w:p w14:paraId="7F3D86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147,961</w:t>
            </w:r>
          </w:p>
        </w:tc>
        <w:tc>
          <w:tcPr>
            <w:tcW w:w="855" w:type="dxa"/>
            <w:tcBorders>
              <w:top w:val="nil"/>
              <w:left w:val="nil"/>
              <w:bottom w:val="single" w:sz="4" w:space="0" w:color="auto"/>
              <w:right w:val="single" w:sz="4" w:space="0" w:color="auto"/>
            </w:tcBorders>
            <w:shd w:val="clear" w:color="000000" w:fill="FFFFFF"/>
            <w:noWrap/>
            <w:vAlign w:val="center"/>
            <w:hideMark/>
          </w:tcPr>
          <w:p w14:paraId="766A6D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BED07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1,033,520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432488" w14:textId="466F1381"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44.75*</w:t>
            </w:r>
          </w:p>
        </w:tc>
        <w:tc>
          <w:tcPr>
            <w:tcW w:w="718" w:type="dxa"/>
            <w:tcBorders>
              <w:top w:val="nil"/>
              <w:left w:val="nil"/>
              <w:bottom w:val="single" w:sz="4" w:space="0" w:color="auto"/>
              <w:right w:val="single" w:sz="4" w:space="0" w:color="auto"/>
            </w:tcBorders>
            <w:shd w:val="clear" w:color="000000" w:fill="FFFFFF"/>
            <w:noWrap/>
            <w:vAlign w:val="center"/>
            <w:hideMark/>
          </w:tcPr>
          <w:p w14:paraId="4DDD75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130,316</w:t>
            </w:r>
          </w:p>
        </w:tc>
        <w:tc>
          <w:tcPr>
            <w:tcW w:w="882" w:type="dxa"/>
            <w:tcBorders>
              <w:top w:val="nil"/>
              <w:left w:val="nil"/>
              <w:bottom w:val="single" w:sz="4" w:space="0" w:color="auto"/>
              <w:right w:val="single" w:sz="4" w:space="0" w:color="auto"/>
            </w:tcBorders>
            <w:shd w:val="clear" w:color="000000" w:fill="FFFFFF"/>
            <w:noWrap/>
            <w:vAlign w:val="center"/>
            <w:hideMark/>
          </w:tcPr>
          <w:p w14:paraId="43EA33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AD748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908,046</w:t>
            </w:r>
          </w:p>
        </w:tc>
        <w:tc>
          <w:tcPr>
            <w:tcW w:w="10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B90BB" w14:textId="1EA85013"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23.17*</w:t>
            </w:r>
          </w:p>
        </w:tc>
      </w:tr>
      <w:tr w:rsidR="00177999" w:rsidRPr="00057D13" w14:paraId="2BA6C85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6D032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C2194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2F472C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874B9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10FAFA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07698B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23,687</w:t>
            </w:r>
          </w:p>
        </w:tc>
        <w:tc>
          <w:tcPr>
            <w:tcW w:w="623" w:type="dxa"/>
            <w:tcBorders>
              <w:top w:val="nil"/>
              <w:left w:val="nil"/>
              <w:bottom w:val="single" w:sz="4" w:space="0" w:color="auto"/>
              <w:right w:val="single" w:sz="4" w:space="0" w:color="auto"/>
            </w:tcBorders>
            <w:shd w:val="clear" w:color="000000" w:fill="FFFFFF"/>
            <w:noWrap/>
            <w:vAlign w:val="center"/>
            <w:hideMark/>
          </w:tcPr>
          <w:p w14:paraId="77129B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FF037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5D9E76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32D8E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9,233</w:t>
            </w:r>
          </w:p>
        </w:tc>
        <w:tc>
          <w:tcPr>
            <w:tcW w:w="740" w:type="dxa"/>
            <w:tcBorders>
              <w:top w:val="nil"/>
              <w:left w:val="nil"/>
              <w:bottom w:val="single" w:sz="4" w:space="0" w:color="auto"/>
              <w:right w:val="single" w:sz="4" w:space="0" w:color="auto"/>
            </w:tcBorders>
            <w:shd w:val="clear" w:color="000000" w:fill="FFFFFF"/>
            <w:noWrap/>
            <w:vAlign w:val="center"/>
            <w:hideMark/>
          </w:tcPr>
          <w:p w14:paraId="25B3B6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A6B47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00AD43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1FAFE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107,284</w:t>
            </w:r>
          </w:p>
        </w:tc>
        <w:tc>
          <w:tcPr>
            <w:tcW w:w="1045" w:type="dxa"/>
            <w:tcBorders>
              <w:top w:val="nil"/>
              <w:left w:val="nil"/>
              <w:bottom w:val="single" w:sz="4" w:space="0" w:color="auto"/>
              <w:right w:val="single" w:sz="4" w:space="0" w:color="auto"/>
            </w:tcBorders>
            <w:shd w:val="clear" w:color="000000" w:fill="FFFFFF"/>
            <w:noWrap/>
            <w:vAlign w:val="center"/>
            <w:hideMark/>
          </w:tcPr>
          <w:p w14:paraId="6505D4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FBB1FB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860A0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DFA21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FED6E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2BB0D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86,167</w:t>
            </w:r>
          </w:p>
        </w:tc>
        <w:tc>
          <w:tcPr>
            <w:tcW w:w="854" w:type="dxa"/>
            <w:tcBorders>
              <w:top w:val="nil"/>
              <w:left w:val="nil"/>
              <w:bottom w:val="single" w:sz="4" w:space="0" w:color="auto"/>
              <w:right w:val="single" w:sz="4" w:space="0" w:color="auto"/>
            </w:tcBorders>
            <w:shd w:val="clear" w:color="000000" w:fill="FFFFFF"/>
            <w:noWrap/>
            <w:vAlign w:val="center"/>
            <w:hideMark/>
          </w:tcPr>
          <w:p w14:paraId="1D132B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36D0A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579,688</w:t>
            </w:r>
          </w:p>
        </w:tc>
        <w:tc>
          <w:tcPr>
            <w:tcW w:w="623" w:type="dxa"/>
            <w:tcBorders>
              <w:top w:val="nil"/>
              <w:left w:val="nil"/>
              <w:bottom w:val="single" w:sz="4" w:space="0" w:color="auto"/>
              <w:right w:val="single" w:sz="4" w:space="0" w:color="auto"/>
            </w:tcBorders>
            <w:shd w:val="clear" w:color="000000" w:fill="FFFFFF"/>
            <w:noWrap/>
            <w:vAlign w:val="center"/>
            <w:hideMark/>
          </w:tcPr>
          <w:p w14:paraId="0926D2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28.38</w:t>
            </w:r>
          </w:p>
        </w:tc>
        <w:tc>
          <w:tcPr>
            <w:tcW w:w="811" w:type="dxa"/>
            <w:tcBorders>
              <w:top w:val="nil"/>
              <w:left w:val="nil"/>
              <w:bottom w:val="single" w:sz="4" w:space="0" w:color="auto"/>
              <w:right w:val="single" w:sz="4" w:space="0" w:color="auto"/>
            </w:tcBorders>
            <w:shd w:val="clear" w:color="000000" w:fill="FFFFFF"/>
            <w:noWrap/>
            <w:vAlign w:val="center"/>
            <w:hideMark/>
          </w:tcPr>
          <w:p w14:paraId="315A49E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63,982</w:t>
            </w:r>
          </w:p>
        </w:tc>
        <w:tc>
          <w:tcPr>
            <w:tcW w:w="855" w:type="dxa"/>
            <w:tcBorders>
              <w:top w:val="nil"/>
              <w:left w:val="nil"/>
              <w:bottom w:val="single" w:sz="4" w:space="0" w:color="auto"/>
              <w:right w:val="single" w:sz="4" w:space="0" w:color="auto"/>
            </w:tcBorders>
            <w:shd w:val="clear" w:color="000000" w:fill="FFFFFF"/>
            <w:noWrap/>
            <w:vAlign w:val="center"/>
            <w:hideMark/>
          </w:tcPr>
          <w:p w14:paraId="6FD16A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FE10D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441,307</w:t>
            </w:r>
          </w:p>
        </w:tc>
        <w:tc>
          <w:tcPr>
            <w:tcW w:w="740" w:type="dxa"/>
            <w:tcBorders>
              <w:top w:val="nil"/>
              <w:left w:val="nil"/>
              <w:bottom w:val="single" w:sz="4" w:space="0" w:color="auto"/>
              <w:right w:val="single" w:sz="4" w:space="0" w:color="auto"/>
            </w:tcBorders>
            <w:shd w:val="clear" w:color="000000" w:fill="FFFFFF"/>
            <w:noWrap/>
            <w:vAlign w:val="center"/>
            <w:hideMark/>
          </w:tcPr>
          <w:p w14:paraId="07C5BF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102.61</w:t>
            </w:r>
          </w:p>
        </w:tc>
        <w:tc>
          <w:tcPr>
            <w:tcW w:w="718" w:type="dxa"/>
            <w:tcBorders>
              <w:top w:val="nil"/>
              <w:left w:val="nil"/>
              <w:bottom w:val="single" w:sz="4" w:space="0" w:color="auto"/>
              <w:right w:val="single" w:sz="4" w:space="0" w:color="auto"/>
            </w:tcBorders>
            <w:shd w:val="clear" w:color="000000" w:fill="FFFFFF"/>
            <w:noWrap/>
            <w:vAlign w:val="center"/>
            <w:hideMark/>
          </w:tcPr>
          <w:p w14:paraId="48467E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79,616</w:t>
            </w:r>
          </w:p>
        </w:tc>
        <w:tc>
          <w:tcPr>
            <w:tcW w:w="882" w:type="dxa"/>
            <w:tcBorders>
              <w:top w:val="nil"/>
              <w:left w:val="nil"/>
              <w:bottom w:val="single" w:sz="4" w:space="0" w:color="auto"/>
              <w:right w:val="single" w:sz="4" w:space="0" w:color="auto"/>
            </w:tcBorders>
            <w:shd w:val="clear" w:color="000000" w:fill="FFFFFF"/>
            <w:noWrap/>
            <w:vAlign w:val="center"/>
            <w:hideMark/>
          </w:tcPr>
          <w:p w14:paraId="536DBB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3CC44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544,585</w:t>
            </w:r>
          </w:p>
        </w:tc>
        <w:tc>
          <w:tcPr>
            <w:tcW w:w="1045" w:type="dxa"/>
            <w:tcBorders>
              <w:top w:val="nil"/>
              <w:left w:val="nil"/>
              <w:bottom w:val="single" w:sz="4" w:space="0" w:color="auto"/>
              <w:right w:val="single" w:sz="4" w:space="0" w:color="auto"/>
            </w:tcBorders>
            <w:shd w:val="clear" w:color="000000" w:fill="FFFFFF"/>
            <w:noWrap/>
            <w:vAlign w:val="center"/>
            <w:hideMark/>
          </w:tcPr>
          <w:p w14:paraId="3E7C40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ED48E28"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8BC78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15D7D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AB599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3C28BF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57,854</w:t>
            </w:r>
          </w:p>
        </w:tc>
        <w:tc>
          <w:tcPr>
            <w:tcW w:w="854" w:type="dxa"/>
            <w:tcBorders>
              <w:top w:val="nil"/>
              <w:left w:val="nil"/>
              <w:bottom w:val="single" w:sz="4" w:space="0" w:color="auto"/>
              <w:right w:val="single" w:sz="4" w:space="0" w:color="auto"/>
            </w:tcBorders>
            <w:shd w:val="clear" w:color="000000" w:fill="FFFFFF"/>
            <w:noWrap/>
            <w:vAlign w:val="center"/>
            <w:hideMark/>
          </w:tcPr>
          <w:p w14:paraId="398098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567B74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394,604</w:t>
            </w:r>
          </w:p>
        </w:tc>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DEE09" w14:textId="4C415E26" w:rsidR="00177999" w:rsidRPr="00057D13" w:rsidRDefault="00177999" w:rsidP="00057D13">
            <w:pPr>
              <w:spacing w:after="0" w:line="240" w:lineRule="auto"/>
              <w:jc w:val="center"/>
              <w:rPr>
                <w:rFonts w:ascii="Times New Roman" w:eastAsia="Times New Roman" w:hAnsi="Times New Roman" w:cs="Times New Roman"/>
                <w:b/>
                <w:bCs/>
                <w:color w:val="000000"/>
                <w:sz w:val="18"/>
                <w:szCs w:val="18"/>
              </w:rPr>
            </w:pPr>
            <w:r w:rsidRPr="00057D13">
              <w:rPr>
                <w:rFonts w:ascii="Times New Roman" w:eastAsia="Times New Roman" w:hAnsi="Times New Roman" w:cs="Times New Roman"/>
                <w:b/>
                <w:bCs/>
                <w:color w:val="000000"/>
                <w:sz w:val="18"/>
                <w:szCs w:val="18"/>
              </w:rPr>
              <w:t>48.16*</w:t>
            </w:r>
          </w:p>
        </w:tc>
        <w:tc>
          <w:tcPr>
            <w:tcW w:w="811" w:type="dxa"/>
            <w:tcBorders>
              <w:top w:val="nil"/>
              <w:left w:val="nil"/>
              <w:bottom w:val="single" w:sz="4" w:space="0" w:color="auto"/>
              <w:right w:val="single" w:sz="4" w:space="0" w:color="auto"/>
            </w:tcBorders>
            <w:shd w:val="clear" w:color="000000" w:fill="FFFFFF"/>
            <w:noWrap/>
            <w:vAlign w:val="center"/>
            <w:hideMark/>
          </w:tcPr>
          <w:p w14:paraId="30D1BC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43,143</w:t>
            </w:r>
          </w:p>
        </w:tc>
        <w:tc>
          <w:tcPr>
            <w:tcW w:w="855" w:type="dxa"/>
            <w:tcBorders>
              <w:top w:val="nil"/>
              <w:left w:val="nil"/>
              <w:bottom w:val="single" w:sz="4" w:space="0" w:color="auto"/>
              <w:right w:val="single" w:sz="4" w:space="0" w:color="auto"/>
            </w:tcBorders>
            <w:shd w:val="clear" w:color="000000" w:fill="FFFFFF"/>
            <w:noWrap/>
            <w:vAlign w:val="center"/>
            <w:hideMark/>
          </w:tcPr>
          <w:p w14:paraId="793FA7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9F9F5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297,977</w:t>
            </w:r>
          </w:p>
        </w:tc>
        <w:tc>
          <w:tcPr>
            <w:tcW w:w="740" w:type="dxa"/>
            <w:tcBorders>
              <w:top w:val="nil"/>
              <w:left w:val="nil"/>
              <w:bottom w:val="single" w:sz="4" w:space="0" w:color="auto"/>
              <w:right w:val="single" w:sz="4" w:space="0" w:color="auto"/>
            </w:tcBorders>
            <w:shd w:val="clear" w:color="000000" w:fill="FFFFFF"/>
            <w:noWrap/>
            <w:vAlign w:val="center"/>
            <w:hideMark/>
          </w:tcPr>
          <w:p w14:paraId="25452E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31.73</w:t>
            </w:r>
          </w:p>
        </w:tc>
        <w:tc>
          <w:tcPr>
            <w:tcW w:w="718" w:type="dxa"/>
            <w:tcBorders>
              <w:top w:val="nil"/>
              <w:left w:val="nil"/>
              <w:bottom w:val="single" w:sz="4" w:space="0" w:color="auto"/>
              <w:right w:val="single" w:sz="4" w:space="0" w:color="auto"/>
            </w:tcBorders>
            <w:shd w:val="clear" w:color="000000" w:fill="FFFFFF"/>
            <w:noWrap/>
            <w:vAlign w:val="center"/>
            <w:hideMark/>
          </w:tcPr>
          <w:p w14:paraId="6A0AF5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50,629</w:t>
            </w:r>
          </w:p>
        </w:tc>
        <w:tc>
          <w:tcPr>
            <w:tcW w:w="882" w:type="dxa"/>
            <w:tcBorders>
              <w:top w:val="nil"/>
              <w:left w:val="nil"/>
              <w:bottom w:val="single" w:sz="4" w:space="0" w:color="auto"/>
              <w:right w:val="single" w:sz="4" w:space="0" w:color="auto"/>
            </w:tcBorders>
            <w:shd w:val="clear" w:color="000000" w:fill="FFFFFF"/>
            <w:noWrap/>
            <w:vAlign w:val="center"/>
            <w:hideMark/>
          </w:tcPr>
          <w:p w14:paraId="417D1E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7FFD4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347,103</w:t>
            </w:r>
          </w:p>
        </w:tc>
        <w:tc>
          <w:tcPr>
            <w:tcW w:w="1045" w:type="dxa"/>
            <w:tcBorders>
              <w:top w:val="nil"/>
              <w:left w:val="nil"/>
              <w:bottom w:val="single" w:sz="4" w:space="0" w:color="auto"/>
              <w:right w:val="single" w:sz="4" w:space="0" w:color="auto"/>
            </w:tcBorders>
            <w:shd w:val="clear" w:color="000000" w:fill="FFFFFF"/>
            <w:noWrap/>
            <w:vAlign w:val="center"/>
            <w:hideMark/>
          </w:tcPr>
          <w:p w14:paraId="2C8FAC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12.56</w:t>
            </w:r>
          </w:p>
        </w:tc>
      </w:tr>
      <w:tr w:rsidR="00177999" w:rsidRPr="00057D13" w14:paraId="36DD2F50"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5E5F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Narcolepsy</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86BD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2226DC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7D2E3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603,613</w:t>
            </w:r>
          </w:p>
        </w:tc>
        <w:tc>
          <w:tcPr>
            <w:tcW w:w="854" w:type="dxa"/>
            <w:tcBorders>
              <w:top w:val="nil"/>
              <w:left w:val="nil"/>
              <w:bottom w:val="single" w:sz="4" w:space="0" w:color="auto"/>
              <w:right w:val="single" w:sz="4" w:space="0" w:color="auto"/>
            </w:tcBorders>
            <w:shd w:val="clear" w:color="000000" w:fill="FFFFFF"/>
            <w:noWrap/>
            <w:vAlign w:val="center"/>
            <w:hideMark/>
          </w:tcPr>
          <w:p w14:paraId="006EE7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9B66A6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19,492,848</w:t>
            </w:r>
          </w:p>
        </w:tc>
        <w:tc>
          <w:tcPr>
            <w:tcW w:w="623" w:type="dxa"/>
            <w:tcBorders>
              <w:top w:val="nil"/>
              <w:left w:val="nil"/>
              <w:bottom w:val="single" w:sz="4" w:space="0" w:color="auto"/>
              <w:right w:val="single" w:sz="4" w:space="0" w:color="auto"/>
            </w:tcBorders>
            <w:shd w:val="clear" w:color="000000" w:fill="FFFFFF"/>
            <w:noWrap/>
            <w:vAlign w:val="center"/>
            <w:hideMark/>
          </w:tcPr>
          <w:p w14:paraId="261C21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3.00</w:t>
            </w:r>
          </w:p>
        </w:tc>
        <w:tc>
          <w:tcPr>
            <w:tcW w:w="811" w:type="dxa"/>
            <w:tcBorders>
              <w:top w:val="nil"/>
              <w:left w:val="nil"/>
              <w:bottom w:val="single" w:sz="4" w:space="0" w:color="auto"/>
              <w:right w:val="single" w:sz="4" w:space="0" w:color="auto"/>
            </w:tcBorders>
            <w:shd w:val="clear" w:color="000000" w:fill="FFFFFF"/>
            <w:noWrap/>
            <w:vAlign w:val="center"/>
            <w:hideMark/>
          </w:tcPr>
          <w:p w14:paraId="202E85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605,180</w:t>
            </w:r>
          </w:p>
        </w:tc>
        <w:tc>
          <w:tcPr>
            <w:tcW w:w="855" w:type="dxa"/>
            <w:tcBorders>
              <w:top w:val="nil"/>
              <w:left w:val="nil"/>
              <w:bottom w:val="single" w:sz="4" w:space="0" w:color="auto"/>
              <w:right w:val="single" w:sz="4" w:space="0" w:color="auto"/>
            </w:tcBorders>
            <w:shd w:val="clear" w:color="000000" w:fill="FFFFFF"/>
            <w:noWrap/>
            <w:vAlign w:val="center"/>
            <w:hideMark/>
          </w:tcPr>
          <w:p w14:paraId="33D04C3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90890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19,963,122</w:t>
            </w:r>
          </w:p>
        </w:tc>
        <w:tc>
          <w:tcPr>
            <w:tcW w:w="740" w:type="dxa"/>
            <w:tcBorders>
              <w:top w:val="nil"/>
              <w:left w:val="nil"/>
              <w:bottom w:val="single" w:sz="4" w:space="0" w:color="auto"/>
              <w:right w:val="single" w:sz="4" w:space="0" w:color="auto"/>
            </w:tcBorders>
            <w:shd w:val="clear" w:color="000000" w:fill="FFFFFF"/>
            <w:noWrap/>
            <w:vAlign w:val="center"/>
            <w:hideMark/>
          </w:tcPr>
          <w:p w14:paraId="38A32D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0.47</w:t>
            </w:r>
          </w:p>
        </w:tc>
        <w:tc>
          <w:tcPr>
            <w:tcW w:w="718" w:type="dxa"/>
            <w:tcBorders>
              <w:top w:val="nil"/>
              <w:left w:val="nil"/>
              <w:bottom w:val="single" w:sz="4" w:space="0" w:color="auto"/>
              <w:right w:val="single" w:sz="4" w:space="0" w:color="auto"/>
            </w:tcBorders>
            <w:shd w:val="clear" w:color="000000" w:fill="FFFFFF"/>
            <w:noWrap/>
            <w:vAlign w:val="center"/>
            <w:hideMark/>
          </w:tcPr>
          <w:p w14:paraId="6719C8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572,762</w:t>
            </w:r>
          </w:p>
        </w:tc>
        <w:tc>
          <w:tcPr>
            <w:tcW w:w="882" w:type="dxa"/>
            <w:tcBorders>
              <w:top w:val="nil"/>
              <w:left w:val="nil"/>
              <w:bottom w:val="single" w:sz="4" w:space="0" w:color="auto"/>
              <w:right w:val="single" w:sz="4" w:space="0" w:color="auto"/>
            </w:tcBorders>
            <w:shd w:val="clear" w:color="000000" w:fill="FFFFFF"/>
            <w:noWrap/>
            <w:vAlign w:val="center"/>
            <w:hideMark/>
          </w:tcPr>
          <w:p w14:paraId="631BDF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F5E0B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18,207,458</w:t>
            </w:r>
          </w:p>
        </w:tc>
        <w:tc>
          <w:tcPr>
            <w:tcW w:w="1045" w:type="dxa"/>
            <w:tcBorders>
              <w:top w:val="nil"/>
              <w:left w:val="nil"/>
              <w:bottom w:val="single" w:sz="4" w:space="0" w:color="auto"/>
              <w:right w:val="single" w:sz="4" w:space="0" w:color="auto"/>
            </w:tcBorders>
            <w:shd w:val="clear" w:color="000000" w:fill="FFFFFF"/>
            <w:noWrap/>
            <w:vAlign w:val="center"/>
            <w:hideMark/>
          </w:tcPr>
          <w:p w14:paraId="15DC134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A64210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E6CEEB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40E0C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9FB37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5835217"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573,450</w:t>
            </w:r>
          </w:p>
        </w:tc>
        <w:tc>
          <w:tcPr>
            <w:tcW w:w="854" w:type="dxa"/>
            <w:tcBorders>
              <w:top w:val="nil"/>
              <w:left w:val="nil"/>
              <w:bottom w:val="single" w:sz="4" w:space="0" w:color="auto"/>
              <w:right w:val="single" w:sz="4" w:space="0" w:color="auto"/>
            </w:tcBorders>
            <w:shd w:val="clear" w:color="000000" w:fill="FFFFFF"/>
            <w:noWrap/>
            <w:vAlign w:val="center"/>
            <w:hideMark/>
          </w:tcPr>
          <w:p w14:paraId="09F10CE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F88DD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18,629,851</w:t>
            </w:r>
          </w:p>
        </w:tc>
        <w:tc>
          <w:tcPr>
            <w:tcW w:w="623" w:type="dxa"/>
            <w:tcBorders>
              <w:top w:val="nil"/>
              <w:left w:val="nil"/>
              <w:bottom w:val="single" w:sz="4" w:space="0" w:color="auto"/>
              <w:right w:val="single" w:sz="4" w:space="0" w:color="auto"/>
            </w:tcBorders>
            <w:shd w:val="clear" w:color="000000" w:fill="FFFFFF"/>
            <w:noWrap/>
            <w:vAlign w:val="center"/>
            <w:hideMark/>
          </w:tcPr>
          <w:p w14:paraId="40B499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0.50</w:t>
            </w:r>
          </w:p>
        </w:tc>
        <w:tc>
          <w:tcPr>
            <w:tcW w:w="811" w:type="dxa"/>
            <w:tcBorders>
              <w:top w:val="nil"/>
              <w:left w:val="nil"/>
              <w:bottom w:val="single" w:sz="4" w:space="0" w:color="auto"/>
              <w:right w:val="single" w:sz="4" w:space="0" w:color="auto"/>
            </w:tcBorders>
            <w:shd w:val="clear" w:color="000000" w:fill="FFFFFF"/>
            <w:noWrap/>
            <w:vAlign w:val="center"/>
            <w:hideMark/>
          </w:tcPr>
          <w:p w14:paraId="6B78E18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653,703</w:t>
            </w:r>
          </w:p>
        </w:tc>
        <w:tc>
          <w:tcPr>
            <w:tcW w:w="855" w:type="dxa"/>
            <w:tcBorders>
              <w:top w:val="nil"/>
              <w:left w:val="nil"/>
              <w:bottom w:val="single" w:sz="4" w:space="0" w:color="auto"/>
              <w:right w:val="single" w:sz="4" w:space="0" w:color="auto"/>
            </w:tcBorders>
            <w:shd w:val="clear" w:color="000000" w:fill="FFFFFF"/>
            <w:noWrap/>
            <w:vAlign w:val="center"/>
            <w:hideMark/>
          </w:tcPr>
          <w:p w14:paraId="177019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2943A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21,635,586</w:t>
            </w:r>
          </w:p>
        </w:tc>
        <w:tc>
          <w:tcPr>
            <w:tcW w:w="740" w:type="dxa"/>
            <w:tcBorders>
              <w:top w:val="nil"/>
              <w:left w:val="nil"/>
              <w:bottom w:val="single" w:sz="4" w:space="0" w:color="auto"/>
              <w:right w:val="single" w:sz="4" w:space="0" w:color="auto"/>
            </w:tcBorders>
            <w:shd w:val="clear" w:color="000000" w:fill="FFFFFF"/>
            <w:noWrap/>
            <w:vAlign w:val="center"/>
            <w:hideMark/>
          </w:tcPr>
          <w:p w14:paraId="4BA010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0.73</w:t>
            </w:r>
          </w:p>
        </w:tc>
        <w:tc>
          <w:tcPr>
            <w:tcW w:w="718" w:type="dxa"/>
            <w:tcBorders>
              <w:top w:val="nil"/>
              <w:left w:val="nil"/>
              <w:bottom w:val="single" w:sz="4" w:space="0" w:color="auto"/>
              <w:right w:val="single" w:sz="4" w:space="0" w:color="auto"/>
            </w:tcBorders>
            <w:shd w:val="clear" w:color="000000" w:fill="FFFFFF"/>
            <w:noWrap/>
            <w:vAlign w:val="center"/>
            <w:hideMark/>
          </w:tcPr>
          <w:p w14:paraId="56998269"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565,952</w:t>
            </w:r>
          </w:p>
        </w:tc>
        <w:tc>
          <w:tcPr>
            <w:tcW w:w="882" w:type="dxa"/>
            <w:tcBorders>
              <w:top w:val="nil"/>
              <w:left w:val="nil"/>
              <w:bottom w:val="single" w:sz="4" w:space="0" w:color="auto"/>
              <w:right w:val="single" w:sz="4" w:space="0" w:color="auto"/>
            </w:tcBorders>
            <w:shd w:val="clear" w:color="000000" w:fill="FFFFFF"/>
            <w:noWrap/>
            <w:vAlign w:val="center"/>
            <w:hideMark/>
          </w:tcPr>
          <w:p w14:paraId="5A2CDD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64790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18,280,657</w:t>
            </w:r>
          </w:p>
        </w:tc>
        <w:tc>
          <w:tcPr>
            <w:tcW w:w="1045" w:type="dxa"/>
            <w:tcBorders>
              <w:top w:val="nil"/>
              <w:left w:val="nil"/>
              <w:bottom w:val="single" w:sz="4" w:space="0" w:color="auto"/>
              <w:right w:val="single" w:sz="4" w:space="0" w:color="auto"/>
            </w:tcBorders>
            <w:shd w:val="clear" w:color="000000" w:fill="FFFFFF"/>
            <w:noWrap/>
            <w:vAlign w:val="center"/>
            <w:hideMark/>
          </w:tcPr>
          <w:p w14:paraId="02776B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0.76</w:t>
            </w:r>
          </w:p>
        </w:tc>
      </w:tr>
      <w:tr w:rsidR="00177999" w:rsidRPr="00057D13" w14:paraId="2C148A7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E5422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CC401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68D6C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A90F45C"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291,655</w:t>
            </w:r>
          </w:p>
        </w:tc>
        <w:tc>
          <w:tcPr>
            <w:tcW w:w="854" w:type="dxa"/>
            <w:tcBorders>
              <w:top w:val="nil"/>
              <w:left w:val="nil"/>
              <w:bottom w:val="single" w:sz="4" w:space="0" w:color="auto"/>
              <w:right w:val="single" w:sz="4" w:space="0" w:color="auto"/>
            </w:tcBorders>
            <w:shd w:val="clear" w:color="000000" w:fill="FFFFFF"/>
            <w:noWrap/>
            <w:vAlign w:val="center"/>
            <w:hideMark/>
          </w:tcPr>
          <w:p w14:paraId="55FB50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550F6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9,533,109</w:t>
            </w:r>
          </w:p>
        </w:tc>
        <w:tc>
          <w:tcPr>
            <w:tcW w:w="623" w:type="dxa"/>
            <w:tcBorders>
              <w:top w:val="nil"/>
              <w:left w:val="nil"/>
              <w:bottom w:val="single" w:sz="4" w:space="0" w:color="auto"/>
              <w:right w:val="single" w:sz="4" w:space="0" w:color="auto"/>
            </w:tcBorders>
            <w:shd w:val="clear" w:color="000000" w:fill="FFFFFF"/>
            <w:noWrap/>
            <w:vAlign w:val="center"/>
            <w:hideMark/>
          </w:tcPr>
          <w:p w14:paraId="2E1AAB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0.82</w:t>
            </w:r>
          </w:p>
        </w:tc>
        <w:tc>
          <w:tcPr>
            <w:tcW w:w="811" w:type="dxa"/>
            <w:tcBorders>
              <w:top w:val="nil"/>
              <w:left w:val="nil"/>
              <w:bottom w:val="single" w:sz="4" w:space="0" w:color="auto"/>
              <w:right w:val="single" w:sz="4" w:space="0" w:color="auto"/>
            </w:tcBorders>
            <w:shd w:val="clear" w:color="000000" w:fill="FFFFFF"/>
            <w:noWrap/>
            <w:vAlign w:val="center"/>
            <w:hideMark/>
          </w:tcPr>
          <w:p w14:paraId="503E2141"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335,066</w:t>
            </w:r>
          </w:p>
        </w:tc>
        <w:tc>
          <w:tcPr>
            <w:tcW w:w="855" w:type="dxa"/>
            <w:tcBorders>
              <w:top w:val="nil"/>
              <w:left w:val="nil"/>
              <w:bottom w:val="single" w:sz="4" w:space="0" w:color="auto"/>
              <w:right w:val="single" w:sz="4" w:space="0" w:color="auto"/>
            </w:tcBorders>
            <w:shd w:val="clear" w:color="000000" w:fill="FFFFFF"/>
            <w:noWrap/>
            <w:vAlign w:val="center"/>
            <w:hideMark/>
          </w:tcPr>
          <w:p w14:paraId="7A8E9A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BCACD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11,254,465</w:t>
            </w:r>
          </w:p>
        </w:tc>
        <w:tc>
          <w:tcPr>
            <w:tcW w:w="740" w:type="dxa"/>
            <w:tcBorders>
              <w:top w:val="nil"/>
              <w:left w:val="nil"/>
              <w:bottom w:val="single" w:sz="4" w:space="0" w:color="auto"/>
              <w:right w:val="single" w:sz="4" w:space="0" w:color="auto"/>
            </w:tcBorders>
            <w:shd w:val="clear" w:color="000000" w:fill="FFFFFF"/>
            <w:noWrap/>
            <w:vAlign w:val="center"/>
            <w:hideMark/>
          </w:tcPr>
          <w:p w14:paraId="3E3441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0.76</w:t>
            </w:r>
          </w:p>
        </w:tc>
        <w:tc>
          <w:tcPr>
            <w:tcW w:w="718" w:type="dxa"/>
            <w:tcBorders>
              <w:top w:val="nil"/>
              <w:left w:val="nil"/>
              <w:bottom w:val="single" w:sz="4" w:space="0" w:color="auto"/>
              <w:right w:val="single" w:sz="4" w:space="0" w:color="auto"/>
            </w:tcBorders>
            <w:shd w:val="clear" w:color="000000" w:fill="FFFFFF"/>
            <w:noWrap/>
            <w:vAlign w:val="center"/>
            <w:hideMark/>
          </w:tcPr>
          <w:p w14:paraId="75B5022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286,088</w:t>
            </w:r>
          </w:p>
        </w:tc>
        <w:tc>
          <w:tcPr>
            <w:tcW w:w="882" w:type="dxa"/>
            <w:tcBorders>
              <w:top w:val="nil"/>
              <w:left w:val="nil"/>
              <w:bottom w:val="single" w:sz="4" w:space="0" w:color="auto"/>
              <w:right w:val="single" w:sz="4" w:space="0" w:color="auto"/>
            </w:tcBorders>
            <w:shd w:val="clear" w:color="000000" w:fill="FFFFFF"/>
            <w:noWrap/>
            <w:vAlign w:val="center"/>
            <w:hideMark/>
          </w:tcPr>
          <w:p w14:paraId="3C20BC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EE010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9,348,810</w:t>
            </w:r>
          </w:p>
        </w:tc>
        <w:tc>
          <w:tcPr>
            <w:tcW w:w="1045" w:type="dxa"/>
            <w:tcBorders>
              <w:top w:val="nil"/>
              <w:left w:val="nil"/>
              <w:bottom w:val="single" w:sz="4" w:space="0" w:color="auto"/>
              <w:right w:val="single" w:sz="4" w:space="0" w:color="auto"/>
            </w:tcBorders>
            <w:shd w:val="clear" w:color="000000" w:fill="FFFFFF"/>
            <w:noWrap/>
            <w:vAlign w:val="center"/>
            <w:hideMark/>
          </w:tcPr>
          <w:p w14:paraId="04D64B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0.60</w:t>
            </w:r>
          </w:p>
        </w:tc>
      </w:tr>
      <w:tr w:rsidR="00177999" w:rsidRPr="00057D13" w14:paraId="69CF0FEE"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B11C75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19E8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50EA9C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3872B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318,562</w:t>
            </w:r>
          </w:p>
        </w:tc>
        <w:tc>
          <w:tcPr>
            <w:tcW w:w="854" w:type="dxa"/>
            <w:tcBorders>
              <w:top w:val="nil"/>
              <w:left w:val="nil"/>
              <w:bottom w:val="single" w:sz="4" w:space="0" w:color="auto"/>
              <w:right w:val="single" w:sz="4" w:space="0" w:color="auto"/>
            </w:tcBorders>
            <w:shd w:val="clear" w:color="000000" w:fill="FFFFFF"/>
            <w:noWrap/>
            <w:vAlign w:val="center"/>
            <w:hideMark/>
          </w:tcPr>
          <w:p w14:paraId="039A8A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AB7CC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7,962,580</w:t>
            </w:r>
          </w:p>
        </w:tc>
        <w:tc>
          <w:tcPr>
            <w:tcW w:w="623" w:type="dxa"/>
            <w:tcBorders>
              <w:top w:val="nil"/>
              <w:left w:val="nil"/>
              <w:bottom w:val="single" w:sz="4" w:space="0" w:color="auto"/>
              <w:right w:val="single" w:sz="4" w:space="0" w:color="auto"/>
            </w:tcBorders>
            <w:shd w:val="clear" w:color="000000" w:fill="FFFFFF"/>
            <w:noWrap/>
            <w:vAlign w:val="center"/>
            <w:hideMark/>
          </w:tcPr>
          <w:p w14:paraId="581F4E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1.82</w:t>
            </w:r>
          </w:p>
        </w:tc>
        <w:tc>
          <w:tcPr>
            <w:tcW w:w="811" w:type="dxa"/>
            <w:tcBorders>
              <w:top w:val="nil"/>
              <w:left w:val="nil"/>
              <w:bottom w:val="single" w:sz="4" w:space="0" w:color="auto"/>
              <w:right w:val="single" w:sz="4" w:space="0" w:color="auto"/>
            </w:tcBorders>
            <w:shd w:val="clear" w:color="000000" w:fill="FFFFFF"/>
            <w:noWrap/>
            <w:vAlign w:val="center"/>
            <w:hideMark/>
          </w:tcPr>
          <w:p w14:paraId="441B30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335,604</w:t>
            </w:r>
          </w:p>
        </w:tc>
        <w:tc>
          <w:tcPr>
            <w:tcW w:w="855" w:type="dxa"/>
            <w:tcBorders>
              <w:top w:val="nil"/>
              <w:left w:val="nil"/>
              <w:bottom w:val="single" w:sz="4" w:space="0" w:color="auto"/>
              <w:right w:val="single" w:sz="4" w:space="0" w:color="auto"/>
            </w:tcBorders>
            <w:shd w:val="clear" w:color="000000" w:fill="FFFFFF"/>
            <w:noWrap/>
            <w:vAlign w:val="center"/>
            <w:hideMark/>
          </w:tcPr>
          <w:p w14:paraId="621202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67EB89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8,995,962</w:t>
            </w:r>
          </w:p>
        </w:tc>
        <w:tc>
          <w:tcPr>
            <w:tcW w:w="740" w:type="dxa"/>
            <w:tcBorders>
              <w:top w:val="nil"/>
              <w:left w:val="nil"/>
              <w:bottom w:val="single" w:sz="4" w:space="0" w:color="auto"/>
              <w:right w:val="single" w:sz="4" w:space="0" w:color="auto"/>
            </w:tcBorders>
            <w:shd w:val="clear" w:color="000000" w:fill="FFFFFF"/>
            <w:noWrap/>
            <w:vAlign w:val="center"/>
            <w:hideMark/>
          </w:tcPr>
          <w:p w14:paraId="51F8F4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w:t>
            </w:r>
          </w:p>
        </w:tc>
        <w:tc>
          <w:tcPr>
            <w:tcW w:w="718" w:type="dxa"/>
            <w:tcBorders>
              <w:top w:val="nil"/>
              <w:left w:val="nil"/>
              <w:bottom w:val="single" w:sz="4" w:space="0" w:color="auto"/>
              <w:right w:val="single" w:sz="4" w:space="0" w:color="auto"/>
            </w:tcBorders>
            <w:shd w:val="clear" w:color="000000" w:fill="FFFFFF"/>
            <w:noWrap/>
            <w:vAlign w:val="center"/>
            <w:hideMark/>
          </w:tcPr>
          <w:p w14:paraId="56C51A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310,686</w:t>
            </w:r>
          </w:p>
        </w:tc>
        <w:tc>
          <w:tcPr>
            <w:tcW w:w="882" w:type="dxa"/>
            <w:tcBorders>
              <w:top w:val="nil"/>
              <w:left w:val="nil"/>
              <w:bottom w:val="single" w:sz="4" w:space="0" w:color="auto"/>
              <w:right w:val="single" w:sz="4" w:space="0" w:color="auto"/>
            </w:tcBorders>
            <w:shd w:val="clear" w:color="000000" w:fill="FFFFFF"/>
            <w:noWrap/>
            <w:vAlign w:val="center"/>
            <w:hideMark/>
          </w:tcPr>
          <w:p w14:paraId="62A280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F160D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7,873,597</w:t>
            </w:r>
          </w:p>
        </w:tc>
        <w:tc>
          <w:tcPr>
            <w:tcW w:w="1045" w:type="dxa"/>
            <w:tcBorders>
              <w:top w:val="nil"/>
              <w:left w:val="nil"/>
              <w:bottom w:val="single" w:sz="4" w:space="0" w:color="auto"/>
              <w:right w:val="single" w:sz="4" w:space="0" w:color="auto"/>
            </w:tcBorders>
            <w:shd w:val="clear" w:color="000000" w:fill="FFFFFF"/>
            <w:noWrap/>
            <w:vAlign w:val="center"/>
            <w:hideMark/>
          </w:tcPr>
          <w:p w14:paraId="5C05E9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C32FDE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7A2FA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26631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589B3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EA770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302,195</w:t>
            </w:r>
          </w:p>
        </w:tc>
        <w:tc>
          <w:tcPr>
            <w:tcW w:w="854" w:type="dxa"/>
            <w:tcBorders>
              <w:top w:val="nil"/>
              <w:left w:val="nil"/>
              <w:bottom w:val="single" w:sz="4" w:space="0" w:color="auto"/>
              <w:right w:val="single" w:sz="4" w:space="0" w:color="auto"/>
            </w:tcBorders>
            <w:shd w:val="clear" w:color="000000" w:fill="FFFFFF"/>
            <w:noWrap/>
            <w:vAlign w:val="center"/>
            <w:hideMark/>
          </w:tcPr>
          <w:p w14:paraId="7880FE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7C1A4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7,406,603</w:t>
            </w:r>
          </w:p>
        </w:tc>
        <w:tc>
          <w:tcPr>
            <w:tcW w:w="623" w:type="dxa"/>
            <w:tcBorders>
              <w:top w:val="nil"/>
              <w:left w:val="nil"/>
              <w:bottom w:val="single" w:sz="4" w:space="0" w:color="auto"/>
              <w:right w:val="single" w:sz="4" w:space="0" w:color="auto"/>
            </w:tcBorders>
            <w:shd w:val="clear" w:color="000000" w:fill="FFFFFF"/>
            <w:noWrap/>
            <w:vAlign w:val="center"/>
            <w:hideMark/>
          </w:tcPr>
          <w:p w14:paraId="2ADBC4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0.94</w:t>
            </w:r>
          </w:p>
        </w:tc>
        <w:tc>
          <w:tcPr>
            <w:tcW w:w="811" w:type="dxa"/>
            <w:tcBorders>
              <w:top w:val="nil"/>
              <w:left w:val="nil"/>
              <w:bottom w:val="single" w:sz="4" w:space="0" w:color="auto"/>
              <w:right w:val="single" w:sz="4" w:space="0" w:color="auto"/>
            </w:tcBorders>
            <w:shd w:val="clear" w:color="000000" w:fill="FFFFFF"/>
            <w:noWrap/>
            <w:vAlign w:val="center"/>
            <w:hideMark/>
          </w:tcPr>
          <w:p w14:paraId="4C1245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356,822</w:t>
            </w:r>
          </w:p>
        </w:tc>
        <w:tc>
          <w:tcPr>
            <w:tcW w:w="855" w:type="dxa"/>
            <w:tcBorders>
              <w:top w:val="nil"/>
              <w:left w:val="nil"/>
              <w:bottom w:val="single" w:sz="4" w:space="0" w:color="auto"/>
              <w:right w:val="single" w:sz="4" w:space="0" w:color="auto"/>
            </w:tcBorders>
            <w:shd w:val="clear" w:color="000000" w:fill="FFFFFF"/>
            <w:noWrap/>
            <w:vAlign w:val="center"/>
            <w:hideMark/>
          </w:tcPr>
          <w:p w14:paraId="73FC50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19FF2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9,297,814</w:t>
            </w:r>
          </w:p>
        </w:tc>
        <w:tc>
          <w:tcPr>
            <w:tcW w:w="740" w:type="dxa"/>
            <w:tcBorders>
              <w:top w:val="nil"/>
              <w:left w:val="nil"/>
              <w:bottom w:val="single" w:sz="4" w:space="0" w:color="auto"/>
              <w:right w:val="single" w:sz="4" w:space="0" w:color="auto"/>
            </w:tcBorders>
            <w:shd w:val="clear" w:color="000000" w:fill="FFFFFF"/>
            <w:noWrap/>
            <w:vAlign w:val="center"/>
            <w:hideMark/>
          </w:tcPr>
          <w:p w14:paraId="6030BC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w:t>
            </w:r>
          </w:p>
        </w:tc>
        <w:tc>
          <w:tcPr>
            <w:tcW w:w="718" w:type="dxa"/>
            <w:tcBorders>
              <w:top w:val="nil"/>
              <w:left w:val="nil"/>
              <w:bottom w:val="single" w:sz="4" w:space="0" w:color="auto"/>
              <w:right w:val="single" w:sz="4" w:space="0" w:color="auto"/>
            </w:tcBorders>
            <w:shd w:val="clear" w:color="000000" w:fill="FFFFFF"/>
            <w:noWrap/>
            <w:vAlign w:val="center"/>
            <w:hideMark/>
          </w:tcPr>
          <w:p w14:paraId="48C95F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302,671</w:t>
            </w:r>
          </w:p>
        </w:tc>
        <w:tc>
          <w:tcPr>
            <w:tcW w:w="882" w:type="dxa"/>
            <w:tcBorders>
              <w:top w:val="nil"/>
              <w:left w:val="nil"/>
              <w:bottom w:val="single" w:sz="4" w:space="0" w:color="auto"/>
              <w:right w:val="single" w:sz="4" w:space="0" w:color="auto"/>
            </w:tcBorders>
            <w:shd w:val="clear" w:color="000000" w:fill="FFFFFF"/>
            <w:noWrap/>
            <w:vAlign w:val="center"/>
            <w:hideMark/>
          </w:tcPr>
          <w:p w14:paraId="7050FC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DF92E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7,541,252</w:t>
            </w:r>
          </w:p>
        </w:tc>
        <w:tc>
          <w:tcPr>
            <w:tcW w:w="1045" w:type="dxa"/>
            <w:tcBorders>
              <w:top w:val="nil"/>
              <w:left w:val="nil"/>
              <w:bottom w:val="single" w:sz="4" w:space="0" w:color="auto"/>
              <w:right w:val="single" w:sz="4" w:space="0" w:color="auto"/>
            </w:tcBorders>
            <w:shd w:val="clear" w:color="000000" w:fill="FFFFFF"/>
            <w:noWrap/>
            <w:vAlign w:val="center"/>
            <w:hideMark/>
          </w:tcPr>
          <w:p w14:paraId="0B6FD45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0.31</w:t>
            </w:r>
          </w:p>
        </w:tc>
      </w:tr>
      <w:tr w:rsidR="00177999" w:rsidRPr="00057D13" w14:paraId="2841616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B4271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F0981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AAA02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72757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155,400</w:t>
            </w:r>
          </w:p>
        </w:tc>
        <w:tc>
          <w:tcPr>
            <w:tcW w:w="854" w:type="dxa"/>
            <w:tcBorders>
              <w:top w:val="nil"/>
              <w:left w:val="nil"/>
              <w:bottom w:val="single" w:sz="4" w:space="0" w:color="auto"/>
              <w:right w:val="single" w:sz="4" w:space="0" w:color="auto"/>
            </w:tcBorders>
            <w:shd w:val="clear" w:color="000000" w:fill="FFFFFF"/>
            <w:noWrap/>
            <w:vAlign w:val="center"/>
            <w:hideMark/>
          </w:tcPr>
          <w:p w14:paraId="0B6621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82E80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3,888,553</w:t>
            </w:r>
          </w:p>
        </w:tc>
        <w:tc>
          <w:tcPr>
            <w:tcW w:w="623" w:type="dxa"/>
            <w:tcBorders>
              <w:top w:val="nil"/>
              <w:left w:val="nil"/>
              <w:bottom w:val="single" w:sz="4" w:space="0" w:color="auto"/>
              <w:right w:val="single" w:sz="4" w:space="0" w:color="auto"/>
            </w:tcBorders>
            <w:shd w:val="clear" w:color="000000" w:fill="FFFFFF"/>
            <w:noWrap/>
            <w:vAlign w:val="center"/>
            <w:hideMark/>
          </w:tcPr>
          <w:p w14:paraId="5AFE6E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0.67</w:t>
            </w:r>
          </w:p>
        </w:tc>
        <w:tc>
          <w:tcPr>
            <w:tcW w:w="811" w:type="dxa"/>
            <w:tcBorders>
              <w:top w:val="nil"/>
              <w:left w:val="nil"/>
              <w:bottom w:val="single" w:sz="4" w:space="0" w:color="auto"/>
              <w:right w:val="single" w:sz="4" w:space="0" w:color="auto"/>
            </w:tcBorders>
            <w:shd w:val="clear" w:color="000000" w:fill="FFFFFF"/>
            <w:noWrap/>
            <w:vAlign w:val="center"/>
            <w:hideMark/>
          </w:tcPr>
          <w:p w14:paraId="6DCF2B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187,163</w:t>
            </w:r>
          </w:p>
        </w:tc>
        <w:tc>
          <w:tcPr>
            <w:tcW w:w="855" w:type="dxa"/>
            <w:tcBorders>
              <w:top w:val="nil"/>
              <w:left w:val="nil"/>
              <w:bottom w:val="single" w:sz="4" w:space="0" w:color="auto"/>
              <w:right w:val="single" w:sz="4" w:space="0" w:color="auto"/>
            </w:tcBorders>
            <w:shd w:val="clear" w:color="000000" w:fill="FFFFFF"/>
            <w:noWrap/>
            <w:vAlign w:val="center"/>
            <w:hideMark/>
          </w:tcPr>
          <w:p w14:paraId="3FD21D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AD469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5,102,168</w:t>
            </w:r>
          </w:p>
        </w:tc>
        <w:tc>
          <w:tcPr>
            <w:tcW w:w="740" w:type="dxa"/>
            <w:tcBorders>
              <w:top w:val="nil"/>
              <w:left w:val="nil"/>
              <w:bottom w:val="single" w:sz="4" w:space="0" w:color="auto"/>
              <w:right w:val="single" w:sz="4" w:space="0" w:color="auto"/>
            </w:tcBorders>
            <w:shd w:val="clear" w:color="000000" w:fill="FFFFFF"/>
            <w:noWrap/>
            <w:vAlign w:val="center"/>
            <w:hideMark/>
          </w:tcPr>
          <w:p w14:paraId="41E2BB8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0.48</w:t>
            </w:r>
          </w:p>
        </w:tc>
        <w:tc>
          <w:tcPr>
            <w:tcW w:w="718" w:type="dxa"/>
            <w:tcBorders>
              <w:top w:val="nil"/>
              <w:left w:val="nil"/>
              <w:bottom w:val="single" w:sz="4" w:space="0" w:color="auto"/>
              <w:right w:val="single" w:sz="4" w:space="0" w:color="auto"/>
            </w:tcBorders>
            <w:shd w:val="clear" w:color="000000" w:fill="FFFFFF"/>
            <w:noWrap/>
            <w:vAlign w:val="center"/>
            <w:hideMark/>
          </w:tcPr>
          <w:p w14:paraId="32416B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155,815</w:t>
            </w:r>
          </w:p>
        </w:tc>
        <w:tc>
          <w:tcPr>
            <w:tcW w:w="882" w:type="dxa"/>
            <w:tcBorders>
              <w:top w:val="nil"/>
              <w:left w:val="nil"/>
              <w:bottom w:val="single" w:sz="4" w:space="0" w:color="auto"/>
              <w:right w:val="single" w:sz="4" w:space="0" w:color="auto"/>
            </w:tcBorders>
            <w:shd w:val="clear" w:color="000000" w:fill="FFFFFF"/>
            <w:noWrap/>
            <w:vAlign w:val="center"/>
            <w:hideMark/>
          </w:tcPr>
          <w:p w14:paraId="12BD94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0DEF44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4,033,705</w:t>
            </w:r>
          </w:p>
        </w:tc>
        <w:tc>
          <w:tcPr>
            <w:tcW w:w="1045" w:type="dxa"/>
            <w:tcBorders>
              <w:top w:val="nil"/>
              <w:left w:val="nil"/>
              <w:bottom w:val="single" w:sz="4" w:space="0" w:color="auto"/>
              <w:right w:val="single" w:sz="4" w:space="0" w:color="auto"/>
            </w:tcBorders>
            <w:shd w:val="clear" w:color="000000" w:fill="FFFFFF"/>
            <w:noWrap/>
            <w:vAlign w:val="center"/>
            <w:hideMark/>
          </w:tcPr>
          <w:p w14:paraId="2F2136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0.46</w:t>
            </w:r>
          </w:p>
        </w:tc>
      </w:tr>
      <w:tr w:rsidR="00177999" w:rsidRPr="00057D13" w14:paraId="2F59E03F"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F4330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99DE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4CF866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09086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285,051</w:t>
            </w:r>
          </w:p>
        </w:tc>
        <w:tc>
          <w:tcPr>
            <w:tcW w:w="854" w:type="dxa"/>
            <w:tcBorders>
              <w:top w:val="nil"/>
              <w:left w:val="nil"/>
              <w:bottom w:val="single" w:sz="4" w:space="0" w:color="auto"/>
              <w:right w:val="single" w:sz="4" w:space="0" w:color="auto"/>
            </w:tcBorders>
            <w:shd w:val="clear" w:color="000000" w:fill="FFFFFF"/>
            <w:noWrap/>
            <w:vAlign w:val="center"/>
            <w:hideMark/>
          </w:tcPr>
          <w:p w14:paraId="7384F3D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E8BEF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11,530,268</w:t>
            </w:r>
          </w:p>
        </w:tc>
        <w:tc>
          <w:tcPr>
            <w:tcW w:w="623" w:type="dxa"/>
            <w:tcBorders>
              <w:top w:val="nil"/>
              <w:left w:val="nil"/>
              <w:bottom w:val="single" w:sz="4" w:space="0" w:color="auto"/>
              <w:right w:val="single" w:sz="4" w:space="0" w:color="auto"/>
            </w:tcBorders>
            <w:shd w:val="clear" w:color="000000" w:fill="FFFFFF"/>
            <w:noWrap/>
            <w:vAlign w:val="center"/>
            <w:hideMark/>
          </w:tcPr>
          <w:p w14:paraId="69608A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3.82</w:t>
            </w:r>
          </w:p>
        </w:tc>
        <w:tc>
          <w:tcPr>
            <w:tcW w:w="811" w:type="dxa"/>
            <w:tcBorders>
              <w:top w:val="nil"/>
              <w:left w:val="nil"/>
              <w:bottom w:val="single" w:sz="4" w:space="0" w:color="auto"/>
              <w:right w:val="single" w:sz="4" w:space="0" w:color="auto"/>
            </w:tcBorders>
            <w:shd w:val="clear" w:color="000000" w:fill="FFFFFF"/>
            <w:noWrap/>
            <w:vAlign w:val="center"/>
            <w:hideMark/>
          </w:tcPr>
          <w:p w14:paraId="37ADD9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269,576</w:t>
            </w:r>
          </w:p>
        </w:tc>
        <w:tc>
          <w:tcPr>
            <w:tcW w:w="855" w:type="dxa"/>
            <w:tcBorders>
              <w:top w:val="nil"/>
              <w:left w:val="nil"/>
              <w:bottom w:val="single" w:sz="4" w:space="0" w:color="auto"/>
              <w:right w:val="single" w:sz="4" w:space="0" w:color="auto"/>
            </w:tcBorders>
            <w:shd w:val="clear" w:color="000000" w:fill="FFFFFF"/>
            <w:noWrap/>
            <w:vAlign w:val="center"/>
            <w:hideMark/>
          </w:tcPr>
          <w:p w14:paraId="238348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E8389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10,967,160</w:t>
            </w:r>
          </w:p>
        </w:tc>
        <w:tc>
          <w:tcPr>
            <w:tcW w:w="740" w:type="dxa"/>
            <w:tcBorders>
              <w:top w:val="nil"/>
              <w:left w:val="nil"/>
              <w:bottom w:val="single" w:sz="4" w:space="0" w:color="auto"/>
              <w:right w:val="single" w:sz="4" w:space="0" w:color="auto"/>
            </w:tcBorders>
            <w:shd w:val="clear" w:color="000000" w:fill="FFFFFF"/>
            <w:noWrap/>
            <w:vAlign w:val="center"/>
            <w:hideMark/>
          </w:tcPr>
          <w:p w14:paraId="174F9C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443D06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262,076</w:t>
            </w:r>
          </w:p>
        </w:tc>
        <w:tc>
          <w:tcPr>
            <w:tcW w:w="882" w:type="dxa"/>
            <w:tcBorders>
              <w:top w:val="nil"/>
              <w:left w:val="nil"/>
              <w:bottom w:val="single" w:sz="4" w:space="0" w:color="auto"/>
              <w:right w:val="single" w:sz="4" w:space="0" w:color="auto"/>
            </w:tcBorders>
            <w:shd w:val="clear" w:color="000000" w:fill="FFFFFF"/>
            <w:noWrap/>
            <w:vAlign w:val="center"/>
            <w:hideMark/>
          </w:tcPr>
          <w:p w14:paraId="189E71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168DE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10,333,861</w:t>
            </w:r>
          </w:p>
        </w:tc>
        <w:tc>
          <w:tcPr>
            <w:tcW w:w="1045" w:type="dxa"/>
            <w:tcBorders>
              <w:top w:val="nil"/>
              <w:left w:val="nil"/>
              <w:bottom w:val="single" w:sz="4" w:space="0" w:color="auto"/>
              <w:right w:val="single" w:sz="4" w:space="0" w:color="auto"/>
            </w:tcBorders>
            <w:shd w:val="clear" w:color="000000" w:fill="FFFFFF"/>
            <w:noWrap/>
            <w:vAlign w:val="center"/>
            <w:hideMark/>
          </w:tcPr>
          <w:p w14:paraId="7F2451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A26CB4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5FCB0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9FD69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9D5B3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56426F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271,255</w:t>
            </w:r>
          </w:p>
        </w:tc>
        <w:tc>
          <w:tcPr>
            <w:tcW w:w="854" w:type="dxa"/>
            <w:tcBorders>
              <w:top w:val="nil"/>
              <w:left w:val="nil"/>
              <w:bottom w:val="single" w:sz="4" w:space="0" w:color="auto"/>
              <w:right w:val="single" w:sz="4" w:space="0" w:color="auto"/>
            </w:tcBorders>
            <w:shd w:val="clear" w:color="000000" w:fill="FFFFFF"/>
            <w:noWrap/>
            <w:vAlign w:val="center"/>
            <w:hideMark/>
          </w:tcPr>
          <w:p w14:paraId="4DC919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6D56C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11,223,248</w:t>
            </w:r>
          </w:p>
        </w:tc>
        <w:tc>
          <w:tcPr>
            <w:tcW w:w="623" w:type="dxa"/>
            <w:tcBorders>
              <w:top w:val="nil"/>
              <w:left w:val="nil"/>
              <w:bottom w:val="single" w:sz="4" w:space="0" w:color="auto"/>
              <w:right w:val="single" w:sz="4" w:space="0" w:color="auto"/>
            </w:tcBorders>
            <w:shd w:val="clear" w:color="000000" w:fill="FFFFFF"/>
            <w:noWrap/>
            <w:vAlign w:val="center"/>
            <w:hideMark/>
          </w:tcPr>
          <w:p w14:paraId="34AEDF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0.21</w:t>
            </w:r>
          </w:p>
        </w:tc>
        <w:tc>
          <w:tcPr>
            <w:tcW w:w="811" w:type="dxa"/>
            <w:tcBorders>
              <w:top w:val="nil"/>
              <w:left w:val="nil"/>
              <w:bottom w:val="single" w:sz="4" w:space="0" w:color="auto"/>
              <w:right w:val="single" w:sz="4" w:space="0" w:color="auto"/>
            </w:tcBorders>
            <w:shd w:val="clear" w:color="000000" w:fill="FFFFFF"/>
            <w:noWrap/>
            <w:vAlign w:val="center"/>
            <w:hideMark/>
          </w:tcPr>
          <w:p w14:paraId="33C237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296,881</w:t>
            </w:r>
          </w:p>
        </w:tc>
        <w:tc>
          <w:tcPr>
            <w:tcW w:w="855" w:type="dxa"/>
            <w:tcBorders>
              <w:top w:val="nil"/>
              <w:left w:val="nil"/>
              <w:bottom w:val="single" w:sz="4" w:space="0" w:color="auto"/>
              <w:right w:val="single" w:sz="4" w:space="0" w:color="auto"/>
            </w:tcBorders>
            <w:shd w:val="clear" w:color="000000" w:fill="FFFFFF"/>
            <w:noWrap/>
            <w:vAlign w:val="center"/>
            <w:hideMark/>
          </w:tcPr>
          <w:p w14:paraId="3CC9B4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12BA3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12,337,772</w:t>
            </w:r>
          </w:p>
        </w:tc>
        <w:tc>
          <w:tcPr>
            <w:tcW w:w="740" w:type="dxa"/>
            <w:tcBorders>
              <w:top w:val="nil"/>
              <w:left w:val="nil"/>
              <w:bottom w:val="single" w:sz="4" w:space="0" w:color="auto"/>
              <w:right w:val="single" w:sz="4" w:space="0" w:color="auto"/>
            </w:tcBorders>
            <w:shd w:val="clear" w:color="000000" w:fill="FFFFFF"/>
            <w:noWrap/>
            <w:vAlign w:val="center"/>
            <w:hideMark/>
          </w:tcPr>
          <w:p w14:paraId="2234E7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0.21</w:t>
            </w:r>
          </w:p>
        </w:tc>
        <w:tc>
          <w:tcPr>
            <w:tcW w:w="718" w:type="dxa"/>
            <w:tcBorders>
              <w:top w:val="nil"/>
              <w:left w:val="nil"/>
              <w:bottom w:val="single" w:sz="4" w:space="0" w:color="auto"/>
              <w:right w:val="single" w:sz="4" w:space="0" w:color="auto"/>
            </w:tcBorders>
            <w:shd w:val="clear" w:color="000000" w:fill="FFFFFF"/>
            <w:noWrap/>
            <w:vAlign w:val="center"/>
            <w:hideMark/>
          </w:tcPr>
          <w:p w14:paraId="62A48D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263,281</w:t>
            </w:r>
          </w:p>
        </w:tc>
        <w:tc>
          <w:tcPr>
            <w:tcW w:w="882" w:type="dxa"/>
            <w:tcBorders>
              <w:top w:val="nil"/>
              <w:left w:val="nil"/>
              <w:bottom w:val="single" w:sz="4" w:space="0" w:color="auto"/>
              <w:right w:val="single" w:sz="4" w:space="0" w:color="auto"/>
            </w:tcBorders>
            <w:shd w:val="clear" w:color="000000" w:fill="FFFFFF"/>
            <w:noWrap/>
            <w:vAlign w:val="center"/>
            <w:hideMark/>
          </w:tcPr>
          <w:p w14:paraId="5DC505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A65FD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10,739,405</w:t>
            </w:r>
          </w:p>
        </w:tc>
        <w:tc>
          <w:tcPr>
            <w:tcW w:w="1045" w:type="dxa"/>
            <w:tcBorders>
              <w:top w:val="nil"/>
              <w:left w:val="nil"/>
              <w:bottom w:val="single" w:sz="4" w:space="0" w:color="auto"/>
              <w:right w:val="single" w:sz="4" w:space="0" w:color="auto"/>
            </w:tcBorders>
            <w:shd w:val="clear" w:color="000000" w:fill="FFFFFF"/>
            <w:noWrap/>
            <w:vAlign w:val="center"/>
            <w:hideMark/>
          </w:tcPr>
          <w:p w14:paraId="65C38D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1.08</w:t>
            </w:r>
          </w:p>
        </w:tc>
      </w:tr>
      <w:tr w:rsidR="00177999" w:rsidRPr="00057D13" w14:paraId="22B2217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D5040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ABE98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CDDA25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DA8CF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136,255</w:t>
            </w:r>
          </w:p>
        </w:tc>
        <w:tc>
          <w:tcPr>
            <w:tcW w:w="854" w:type="dxa"/>
            <w:tcBorders>
              <w:top w:val="nil"/>
              <w:left w:val="nil"/>
              <w:bottom w:val="single" w:sz="4" w:space="0" w:color="auto"/>
              <w:right w:val="single" w:sz="4" w:space="0" w:color="auto"/>
            </w:tcBorders>
            <w:shd w:val="clear" w:color="000000" w:fill="FFFFFF"/>
            <w:noWrap/>
            <w:vAlign w:val="center"/>
            <w:hideMark/>
          </w:tcPr>
          <w:p w14:paraId="603A8A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40D3D21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5,644,556</w:t>
            </w:r>
          </w:p>
        </w:tc>
        <w:tc>
          <w:tcPr>
            <w:tcW w:w="623" w:type="dxa"/>
            <w:tcBorders>
              <w:top w:val="nil"/>
              <w:left w:val="nil"/>
              <w:bottom w:val="single" w:sz="4" w:space="0" w:color="auto"/>
              <w:right w:val="single" w:sz="4" w:space="0" w:color="auto"/>
            </w:tcBorders>
            <w:shd w:val="clear" w:color="000000" w:fill="FFFFFF"/>
            <w:noWrap/>
            <w:vAlign w:val="center"/>
            <w:hideMark/>
          </w:tcPr>
          <w:p w14:paraId="192F8B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1.15</w:t>
            </w:r>
          </w:p>
        </w:tc>
        <w:tc>
          <w:tcPr>
            <w:tcW w:w="811" w:type="dxa"/>
            <w:tcBorders>
              <w:top w:val="nil"/>
              <w:left w:val="nil"/>
              <w:bottom w:val="single" w:sz="4" w:space="0" w:color="auto"/>
              <w:right w:val="single" w:sz="4" w:space="0" w:color="auto"/>
            </w:tcBorders>
            <w:shd w:val="clear" w:color="000000" w:fill="FFFFFF"/>
            <w:noWrap/>
            <w:vAlign w:val="center"/>
            <w:hideMark/>
          </w:tcPr>
          <w:p w14:paraId="50151F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147,903</w:t>
            </w:r>
          </w:p>
        </w:tc>
        <w:tc>
          <w:tcPr>
            <w:tcW w:w="855" w:type="dxa"/>
            <w:tcBorders>
              <w:top w:val="nil"/>
              <w:left w:val="nil"/>
              <w:bottom w:val="single" w:sz="4" w:space="0" w:color="auto"/>
              <w:right w:val="single" w:sz="4" w:space="0" w:color="auto"/>
            </w:tcBorders>
            <w:shd w:val="clear" w:color="000000" w:fill="FFFFFF"/>
            <w:noWrap/>
            <w:vAlign w:val="center"/>
            <w:hideMark/>
          </w:tcPr>
          <w:p w14:paraId="556D4F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D84FE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6,152,297</w:t>
            </w:r>
          </w:p>
        </w:tc>
        <w:tc>
          <w:tcPr>
            <w:tcW w:w="740" w:type="dxa"/>
            <w:tcBorders>
              <w:top w:val="nil"/>
              <w:left w:val="nil"/>
              <w:bottom w:val="single" w:sz="4" w:space="0" w:color="auto"/>
              <w:right w:val="single" w:sz="4" w:space="0" w:color="auto"/>
            </w:tcBorders>
            <w:shd w:val="clear" w:color="000000" w:fill="FFFFFF"/>
            <w:noWrap/>
            <w:vAlign w:val="center"/>
            <w:hideMark/>
          </w:tcPr>
          <w:p w14:paraId="5227F29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0.99</w:t>
            </w:r>
          </w:p>
        </w:tc>
        <w:tc>
          <w:tcPr>
            <w:tcW w:w="718" w:type="dxa"/>
            <w:tcBorders>
              <w:top w:val="nil"/>
              <w:left w:val="nil"/>
              <w:bottom w:val="single" w:sz="4" w:space="0" w:color="auto"/>
              <w:right w:val="single" w:sz="4" w:space="0" w:color="auto"/>
            </w:tcBorders>
            <w:shd w:val="clear" w:color="000000" w:fill="FFFFFF"/>
            <w:noWrap/>
            <w:vAlign w:val="center"/>
            <w:hideMark/>
          </w:tcPr>
          <w:p w14:paraId="6192A8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130,273</w:t>
            </w:r>
          </w:p>
        </w:tc>
        <w:tc>
          <w:tcPr>
            <w:tcW w:w="882" w:type="dxa"/>
            <w:tcBorders>
              <w:top w:val="nil"/>
              <w:left w:val="nil"/>
              <w:bottom w:val="single" w:sz="4" w:space="0" w:color="auto"/>
              <w:right w:val="single" w:sz="4" w:space="0" w:color="auto"/>
            </w:tcBorders>
            <w:shd w:val="clear" w:color="000000" w:fill="FFFFFF"/>
            <w:noWrap/>
            <w:vAlign w:val="center"/>
            <w:hideMark/>
          </w:tcPr>
          <w:p w14:paraId="524BBD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EBDB6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5,315,105</w:t>
            </w:r>
          </w:p>
        </w:tc>
        <w:tc>
          <w:tcPr>
            <w:tcW w:w="1045" w:type="dxa"/>
            <w:tcBorders>
              <w:top w:val="nil"/>
              <w:left w:val="nil"/>
              <w:bottom w:val="single" w:sz="4" w:space="0" w:color="auto"/>
              <w:right w:val="single" w:sz="4" w:space="0" w:color="auto"/>
            </w:tcBorders>
            <w:shd w:val="clear" w:color="000000" w:fill="FFFFFF"/>
            <w:noWrap/>
            <w:vAlign w:val="center"/>
            <w:hideMark/>
          </w:tcPr>
          <w:p w14:paraId="0F0089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0.70</w:t>
            </w:r>
          </w:p>
        </w:tc>
      </w:tr>
      <w:tr w:rsidR="00177999" w:rsidRPr="00057D13" w14:paraId="708882B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6BB60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71C8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1130F9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1EE910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6E22B7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44F23A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150,873</w:t>
            </w:r>
          </w:p>
        </w:tc>
        <w:tc>
          <w:tcPr>
            <w:tcW w:w="623" w:type="dxa"/>
            <w:tcBorders>
              <w:top w:val="nil"/>
              <w:left w:val="nil"/>
              <w:bottom w:val="single" w:sz="4" w:space="0" w:color="auto"/>
              <w:right w:val="single" w:sz="4" w:space="0" w:color="auto"/>
            </w:tcBorders>
            <w:shd w:val="clear" w:color="000000" w:fill="FFFFFF"/>
            <w:noWrap/>
            <w:vAlign w:val="center"/>
            <w:hideMark/>
          </w:tcPr>
          <w:p w14:paraId="1BB23A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F701E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2B6061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B91729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47,553</w:t>
            </w:r>
          </w:p>
        </w:tc>
        <w:tc>
          <w:tcPr>
            <w:tcW w:w="740" w:type="dxa"/>
            <w:tcBorders>
              <w:top w:val="nil"/>
              <w:left w:val="nil"/>
              <w:bottom w:val="single" w:sz="4" w:space="0" w:color="auto"/>
              <w:right w:val="single" w:sz="4" w:space="0" w:color="auto"/>
            </w:tcBorders>
            <w:shd w:val="clear" w:color="000000" w:fill="FFFFFF"/>
            <w:noWrap/>
            <w:vAlign w:val="center"/>
            <w:hideMark/>
          </w:tcPr>
          <w:p w14:paraId="05E6AF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DDFF4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19,046</w:t>
            </w:r>
          </w:p>
        </w:tc>
        <w:tc>
          <w:tcPr>
            <w:tcW w:w="882" w:type="dxa"/>
            <w:tcBorders>
              <w:top w:val="nil"/>
              <w:left w:val="nil"/>
              <w:bottom w:val="single" w:sz="4" w:space="0" w:color="auto"/>
              <w:right w:val="single" w:sz="4" w:space="0" w:color="auto"/>
            </w:tcBorders>
            <w:shd w:val="clear" w:color="000000" w:fill="FFFFFF"/>
            <w:noWrap/>
            <w:vAlign w:val="center"/>
            <w:hideMark/>
          </w:tcPr>
          <w:p w14:paraId="13B8FE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B1AE76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369,915</w:t>
            </w:r>
          </w:p>
        </w:tc>
        <w:tc>
          <w:tcPr>
            <w:tcW w:w="1045" w:type="dxa"/>
            <w:tcBorders>
              <w:top w:val="nil"/>
              <w:left w:val="nil"/>
              <w:bottom w:val="single" w:sz="4" w:space="0" w:color="auto"/>
              <w:right w:val="single" w:sz="4" w:space="0" w:color="auto"/>
            </w:tcBorders>
            <w:shd w:val="clear" w:color="000000" w:fill="FFFFFF"/>
            <w:noWrap/>
            <w:vAlign w:val="center"/>
            <w:hideMark/>
          </w:tcPr>
          <w:p w14:paraId="122D57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56805B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00AEF7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E9235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A1F08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39009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86,162</w:t>
            </w:r>
          </w:p>
        </w:tc>
        <w:tc>
          <w:tcPr>
            <w:tcW w:w="854" w:type="dxa"/>
            <w:tcBorders>
              <w:top w:val="nil"/>
              <w:left w:val="nil"/>
              <w:bottom w:val="single" w:sz="4" w:space="0" w:color="auto"/>
              <w:right w:val="single" w:sz="4" w:space="0" w:color="auto"/>
            </w:tcBorders>
            <w:shd w:val="clear" w:color="000000" w:fill="FFFFFF"/>
            <w:noWrap/>
            <w:vAlign w:val="center"/>
            <w:hideMark/>
          </w:tcPr>
          <w:p w14:paraId="67BD3B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1A149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3,431,411</w:t>
            </w:r>
          </w:p>
        </w:tc>
        <w:tc>
          <w:tcPr>
            <w:tcW w:w="623" w:type="dxa"/>
            <w:tcBorders>
              <w:top w:val="nil"/>
              <w:left w:val="nil"/>
              <w:bottom w:val="single" w:sz="4" w:space="0" w:color="auto"/>
              <w:right w:val="single" w:sz="4" w:space="0" w:color="auto"/>
            </w:tcBorders>
            <w:shd w:val="clear" w:color="000000" w:fill="FFFFFF"/>
            <w:noWrap/>
            <w:vAlign w:val="center"/>
            <w:hideMark/>
          </w:tcPr>
          <w:p w14:paraId="03856B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1.46</w:t>
            </w:r>
          </w:p>
        </w:tc>
        <w:tc>
          <w:tcPr>
            <w:tcW w:w="811" w:type="dxa"/>
            <w:tcBorders>
              <w:top w:val="nil"/>
              <w:left w:val="nil"/>
              <w:bottom w:val="single" w:sz="4" w:space="0" w:color="auto"/>
              <w:right w:val="single" w:sz="4" w:space="0" w:color="auto"/>
            </w:tcBorders>
            <w:shd w:val="clear" w:color="000000" w:fill="FFFFFF"/>
            <w:noWrap/>
            <w:vAlign w:val="center"/>
            <w:hideMark/>
          </w:tcPr>
          <w:p w14:paraId="30897CD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63,976</w:t>
            </w:r>
          </w:p>
        </w:tc>
        <w:tc>
          <w:tcPr>
            <w:tcW w:w="855" w:type="dxa"/>
            <w:tcBorders>
              <w:top w:val="nil"/>
              <w:left w:val="nil"/>
              <w:bottom w:val="single" w:sz="4" w:space="0" w:color="auto"/>
              <w:right w:val="single" w:sz="4" w:space="0" w:color="auto"/>
            </w:tcBorders>
            <w:shd w:val="clear" w:color="000000" w:fill="FFFFFF"/>
            <w:noWrap/>
            <w:vAlign w:val="center"/>
            <w:hideMark/>
          </w:tcPr>
          <w:p w14:paraId="258660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F2F05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2,573,404</w:t>
            </w:r>
          </w:p>
        </w:tc>
        <w:tc>
          <w:tcPr>
            <w:tcW w:w="740" w:type="dxa"/>
            <w:tcBorders>
              <w:top w:val="nil"/>
              <w:left w:val="nil"/>
              <w:bottom w:val="single" w:sz="4" w:space="0" w:color="auto"/>
              <w:right w:val="single" w:sz="4" w:space="0" w:color="auto"/>
            </w:tcBorders>
            <w:shd w:val="clear" w:color="000000" w:fill="FFFFFF"/>
            <w:noWrap/>
            <w:vAlign w:val="center"/>
            <w:hideMark/>
          </w:tcPr>
          <w:p w14:paraId="39F8A4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2C7908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79,609</w:t>
            </w:r>
          </w:p>
        </w:tc>
        <w:tc>
          <w:tcPr>
            <w:tcW w:w="882" w:type="dxa"/>
            <w:tcBorders>
              <w:top w:val="nil"/>
              <w:left w:val="nil"/>
              <w:bottom w:val="single" w:sz="4" w:space="0" w:color="auto"/>
              <w:right w:val="single" w:sz="4" w:space="0" w:color="auto"/>
            </w:tcBorders>
            <w:shd w:val="clear" w:color="000000" w:fill="FFFFFF"/>
            <w:noWrap/>
            <w:vAlign w:val="center"/>
            <w:hideMark/>
          </w:tcPr>
          <w:p w14:paraId="0D0083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7B16F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3,077,909</w:t>
            </w:r>
          </w:p>
        </w:tc>
        <w:tc>
          <w:tcPr>
            <w:tcW w:w="1045" w:type="dxa"/>
            <w:tcBorders>
              <w:top w:val="nil"/>
              <w:left w:val="nil"/>
              <w:bottom w:val="single" w:sz="4" w:space="0" w:color="auto"/>
              <w:right w:val="single" w:sz="4" w:space="0" w:color="auto"/>
            </w:tcBorders>
            <w:shd w:val="clear" w:color="000000" w:fill="FFFFFF"/>
            <w:noWrap/>
            <w:vAlign w:val="center"/>
            <w:hideMark/>
          </w:tcPr>
          <w:p w14:paraId="1D154E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0.78</w:t>
            </w:r>
          </w:p>
        </w:tc>
      </w:tr>
      <w:tr w:rsidR="00177999" w:rsidRPr="00057D13" w14:paraId="1F0AA40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2B0A2E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D66A5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5E900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6C769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57,831</w:t>
            </w:r>
          </w:p>
        </w:tc>
        <w:tc>
          <w:tcPr>
            <w:tcW w:w="854" w:type="dxa"/>
            <w:tcBorders>
              <w:top w:val="nil"/>
              <w:left w:val="nil"/>
              <w:bottom w:val="single" w:sz="4" w:space="0" w:color="auto"/>
              <w:right w:val="single" w:sz="4" w:space="0" w:color="auto"/>
            </w:tcBorders>
            <w:shd w:val="clear" w:color="000000" w:fill="FFFFFF"/>
            <w:noWrap/>
            <w:vAlign w:val="center"/>
            <w:hideMark/>
          </w:tcPr>
          <w:p w14:paraId="3B38A7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76EAA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2,319,748</w:t>
            </w:r>
          </w:p>
        </w:tc>
        <w:tc>
          <w:tcPr>
            <w:tcW w:w="623" w:type="dxa"/>
            <w:tcBorders>
              <w:top w:val="nil"/>
              <w:left w:val="nil"/>
              <w:bottom w:val="single" w:sz="4" w:space="0" w:color="auto"/>
              <w:right w:val="single" w:sz="4" w:space="0" w:color="auto"/>
            </w:tcBorders>
            <w:shd w:val="clear" w:color="000000" w:fill="FFFFFF"/>
            <w:noWrap/>
            <w:vAlign w:val="center"/>
            <w:hideMark/>
          </w:tcPr>
          <w:p w14:paraId="3B944F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1.77</w:t>
            </w:r>
          </w:p>
        </w:tc>
        <w:tc>
          <w:tcPr>
            <w:tcW w:w="811" w:type="dxa"/>
            <w:tcBorders>
              <w:top w:val="nil"/>
              <w:left w:val="nil"/>
              <w:bottom w:val="single" w:sz="4" w:space="0" w:color="auto"/>
              <w:right w:val="single" w:sz="4" w:space="0" w:color="auto"/>
            </w:tcBorders>
            <w:shd w:val="clear" w:color="000000" w:fill="FFFFFF"/>
            <w:noWrap/>
            <w:vAlign w:val="center"/>
            <w:hideMark/>
          </w:tcPr>
          <w:p w14:paraId="43A7D0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43,124</w:t>
            </w:r>
          </w:p>
        </w:tc>
        <w:tc>
          <w:tcPr>
            <w:tcW w:w="855" w:type="dxa"/>
            <w:tcBorders>
              <w:top w:val="nil"/>
              <w:left w:val="nil"/>
              <w:bottom w:val="single" w:sz="4" w:space="0" w:color="auto"/>
              <w:right w:val="single" w:sz="4" w:space="0" w:color="auto"/>
            </w:tcBorders>
            <w:shd w:val="clear" w:color="000000" w:fill="FFFFFF"/>
            <w:noWrap/>
            <w:vAlign w:val="center"/>
            <w:hideMark/>
          </w:tcPr>
          <w:p w14:paraId="1804F0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08571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1,735,642</w:t>
            </w:r>
          </w:p>
        </w:tc>
        <w:tc>
          <w:tcPr>
            <w:tcW w:w="740" w:type="dxa"/>
            <w:tcBorders>
              <w:top w:val="nil"/>
              <w:left w:val="nil"/>
              <w:bottom w:val="single" w:sz="4" w:space="0" w:color="auto"/>
              <w:right w:val="single" w:sz="4" w:space="0" w:color="auto"/>
            </w:tcBorders>
            <w:shd w:val="clear" w:color="000000" w:fill="FFFFFF"/>
            <w:noWrap/>
            <w:vAlign w:val="center"/>
            <w:hideMark/>
          </w:tcPr>
          <w:p w14:paraId="6A5C6B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3.82</w:t>
            </w:r>
          </w:p>
        </w:tc>
        <w:tc>
          <w:tcPr>
            <w:tcW w:w="718" w:type="dxa"/>
            <w:tcBorders>
              <w:top w:val="nil"/>
              <w:left w:val="nil"/>
              <w:bottom w:val="single" w:sz="4" w:space="0" w:color="auto"/>
              <w:right w:val="single" w:sz="4" w:space="0" w:color="auto"/>
            </w:tcBorders>
            <w:shd w:val="clear" w:color="000000" w:fill="FFFFFF"/>
            <w:noWrap/>
            <w:vAlign w:val="center"/>
            <w:hideMark/>
          </w:tcPr>
          <w:p w14:paraId="76A4AE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50,607</w:t>
            </w:r>
          </w:p>
        </w:tc>
        <w:tc>
          <w:tcPr>
            <w:tcW w:w="882" w:type="dxa"/>
            <w:tcBorders>
              <w:top w:val="nil"/>
              <w:left w:val="nil"/>
              <w:bottom w:val="single" w:sz="4" w:space="0" w:color="auto"/>
              <w:right w:val="single" w:sz="4" w:space="0" w:color="auto"/>
            </w:tcBorders>
            <w:shd w:val="clear" w:color="000000" w:fill="FFFFFF"/>
            <w:noWrap/>
            <w:vAlign w:val="center"/>
            <w:hideMark/>
          </w:tcPr>
          <w:p w14:paraId="26BE8B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6EB05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1,954,338</w:t>
            </w:r>
          </w:p>
        </w:tc>
        <w:tc>
          <w:tcPr>
            <w:tcW w:w="1045" w:type="dxa"/>
            <w:tcBorders>
              <w:top w:val="nil"/>
              <w:left w:val="nil"/>
              <w:bottom w:val="single" w:sz="4" w:space="0" w:color="auto"/>
              <w:right w:val="single" w:sz="4" w:space="0" w:color="auto"/>
            </w:tcBorders>
            <w:shd w:val="clear" w:color="000000" w:fill="FFFFFF"/>
            <w:noWrap/>
            <w:vAlign w:val="center"/>
            <w:hideMark/>
          </w:tcPr>
          <w:p w14:paraId="314429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0.48</w:t>
            </w:r>
          </w:p>
        </w:tc>
      </w:tr>
      <w:tr w:rsidR="00177999" w:rsidRPr="00057D13" w14:paraId="6473CC3C"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4261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Non-hemorrhagic stroke</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A258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4E1B45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75187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603,620</w:t>
            </w:r>
          </w:p>
        </w:tc>
        <w:tc>
          <w:tcPr>
            <w:tcW w:w="854" w:type="dxa"/>
            <w:tcBorders>
              <w:top w:val="nil"/>
              <w:left w:val="nil"/>
              <w:bottom w:val="single" w:sz="4" w:space="0" w:color="auto"/>
              <w:right w:val="single" w:sz="4" w:space="0" w:color="auto"/>
            </w:tcBorders>
            <w:shd w:val="clear" w:color="000000" w:fill="FFFFFF"/>
            <w:noWrap/>
            <w:vAlign w:val="center"/>
            <w:hideMark/>
          </w:tcPr>
          <w:p w14:paraId="5DBFF6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85123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14,973,614</w:t>
            </w:r>
          </w:p>
        </w:tc>
        <w:tc>
          <w:tcPr>
            <w:tcW w:w="623" w:type="dxa"/>
            <w:tcBorders>
              <w:top w:val="nil"/>
              <w:left w:val="nil"/>
              <w:bottom w:val="single" w:sz="4" w:space="0" w:color="auto"/>
              <w:right w:val="single" w:sz="4" w:space="0" w:color="auto"/>
            </w:tcBorders>
            <w:shd w:val="clear" w:color="000000" w:fill="FFFFFF"/>
            <w:noWrap/>
            <w:vAlign w:val="center"/>
            <w:hideMark/>
          </w:tcPr>
          <w:p w14:paraId="4BCEC0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5B52F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605,190</w:t>
            </w:r>
          </w:p>
        </w:tc>
        <w:tc>
          <w:tcPr>
            <w:tcW w:w="855" w:type="dxa"/>
            <w:tcBorders>
              <w:top w:val="nil"/>
              <w:left w:val="nil"/>
              <w:bottom w:val="single" w:sz="4" w:space="0" w:color="auto"/>
              <w:right w:val="single" w:sz="4" w:space="0" w:color="auto"/>
            </w:tcBorders>
            <w:shd w:val="clear" w:color="000000" w:fill="FFFFFF"/>
            <w:noWrap/>
            <w:vAlign w:val="center"/>
            <w:hideMark/>
          </w:tcPr>
          <w:p w14:paraId="22D927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FBC41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15,182,777</w:t>
            </w:r>
          </w:p>
        </w:tc>
        <w:tc>
          <w:tcPr>
            <w:tcW w:w="740" w:type="dxa"/>
            <w:tcBorders>
              <w:top w:val="nil"/>
              <w:left w:val="nil"/>
              <w:bottom w:val="single" w:sz="4" w:space="0" w:color="auto"/>
              <w:right w:val="single" w:sz="4" w:space="0" w:color="auto"/>
            </w:tcBorders>
            <w:shd w:val="clear" w:color="000000" w:fill="FFFFFF"/>
            <w:noWrap/>
            <w:vAlign w:val="center"/>
            <w:hideMark/>
          </w:tcPr>
          <w:p w14:paraId="7421A1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2.44</w:t>
            </w:r>
          </w:p>
        </w:tc>
        <w:tc>
          <w:tcPr>
            <w:tcW w:w="718" w:type="dxa"/>
            <w:tcBorders>
              <w:top w:val="nil"/>
              <w:left w:val="nil"/>
              <w:bottom w:val="single" w:sz="4" w:space="0" w:color="auto"/>
              <w:right w:val="single" w:sz="4" w:space="0" w:color="auto"/>
            </w:tcBorders>
            <w:shd w:val="clear" w:color="000000" w:fill="FFFFFF"/>
            <w:noWrap/>
            <w:vAlign w:val="center"/>
            <w:hideMark/>
          </w:tcPr>
          <w:p w14:paraId="494641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572,772</w:t>
            </w:r>
          </w:p>
        </w:tc>
        <w:tc>
          <w:tcPr>
            <w:tcW w:w="882" w:type="dxa"/>
            <w:tcBorders>
              <w:top w:val="nil"/>
              <w:left w:val="nil"/>
              <w:bottom w:val="single" w:sz="4" w:space="0" w:color="auto"/>
              <w:right w:val="single" w:sz="4" w:space="0" w:color="auto"/>
            </w:tcBorders>
            <w:shd w:val="clear" w:color="000000" w:fill="FFFFFF"/>
            <w:noWrap/>
            <w:vAlign w:val="center"/>
            <w:hideMark/>
          </w:tcPr>
          <w:p w14:paraId="274B98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A2FE2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14,156,125</w:t>
            </w:r>
          </w:p>
        </w:tc>
        <w:tc>
          <w:tcPr>
            <w:tcW w:w="1045" w:type="dxa"/>
            <w:tcBorders>
              <w:top w:val="nil"/>
              <w:left w:val="nil"/>
              <w:bottom w:val="single" w:sz="4" w:space="0" w:color="auto"/>
              <w:right w:val="single" w:sz="4" w:space="0" w:color="auto"/>
            </w:tcBorders>
            <w:shd w:val="clear" w:color="000000" w:fill="FFFFFF"/>
            <w:noWrap/>
            <w:vAlign w:val="center"/>
            <w:hideMark/>
          </w:tcPr>
          <w:p w14:paraId="39FE1B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64734C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96EF5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0D602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D21C3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3611B76"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573,510</w:t>
            </w:r>
          </w:p>
        </w:tc>
        <w:tc>
          <w:tcPr>
            <w:tcW w:w="854" w:type="dxa"/>
            <w:tcBorders>
              <w:top w:val="nil"/>
              <w:left w:val="nil"/>
              <w:bottom w:val="single" w:sz="4" w:space="0" w:color="auto"/>
              <w:right w:val="single" w:sz="4" w:space="0" w:color="auto"/>
            </w:tcBorders>
            <w:shd w:val="clear" w:color="000000" w:fill="FFFFFF"/>
            <w:noWrap/>
            <w:vAlign w:val="center"/>
            <w:hideMark/>
          </w:tcPr>
          <w:p w14:paraId="7F675A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AF888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14,304,561</w:t>
            </w:r>
          </w:p>
        </w:tc>
        <w:tc>
          <w:tcPr>
            <w:tcW w:w="623" w:type="dxa"/>
            <w:tcBorders>
              <w:top w:val="nil"/>
              <w:left w:val="nil"/>
              <w:bottom w:val="single" w:sz="4" w:space="0" w:color="auto"/>
              <w:right w:val="single" w:sz="4" w:space="0" w:color="auto"/>
            </w:tcBorders>
            <w:shd w:val="clear" w:color="000000" w:fill="FFFFFF"/>
            <w:noWrap/>
            <w:vAlign w:val="center"/>
            <w:hideMark/>
          </w:tcPr>
          <w:p w14:paraId="6B9147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F76205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653,814</w:t>
            </w:r>
          </w:p>
        </w:tc>
        <w:tc>
          <w:tcPr>
            <w:tcW w:w="855" w:type="dxa"/>
            <w:tcBorders>
              <w:top w:val="nil"/>
              <w:left w:val="nil"/>
              <w:bottom w:val="single" w:sz="4" w:space="0" w:color="auto"/>
              <w:right w:val="single" w:sz="4" w:space="0" w:color="auto"/>
            </w:tcBorders>
            <w:shd w:val="clear" w:color="000000" w:fill="FFFFFF"/>
            <w:noWrap/>
            <w:vAlign w:val="center"/>
            <w:hideMark/>
          </w:tcPr>
          <w:p w14:paraId="31C47C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9DDD0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16,468,867</w:t>
            </w:r>
          </w:p>
        </w:tc>
        <w:tc>
          <w:tcPr>
            <w:tcW w:w="740" w:type="dxa"/>
            <w:tcBorders>
              <w:top w:val="nil"/>
              <w:left w:val="nil"/>
              <w:bottom w:val="single" w:sz="4" w:space="0" w:color="auto"/>
              <w:right w:val="single" w:sz="4" w:space="0" w:color="auto"/>
            </w:tcBorders>
            <w:shd w:val="clear" w:color="000000" w:fill="FFFFFF"/>
            <w:noWrap/>
            <w:vAlign w:val="center"/>
            <w:hideMark/>
          </w:tcPr>
          <w:p w14:paraId="2D9D306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255FE04"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566,004</w:t>
            </w:r>
          </w:p>
        </w:tc>
        <w:tc>
          <w:tcPr>
            <w:tcW w:w="882" w:type="dxa"/>
            <w:tcBorders>
              <w:top w:val="nil"/>
              <w:left w:val="nil"/>
              <w:bottom w:val="single" w:sz="4" w:space="0" w:color="auto"/>
              <w:right w:val="single" w:sz="4" w:space="0" w:color="auto"/>
            </w:tcBorders>
            <w:shd w:val="clear" w:color="000000" w:fill="FFFFFF"/>
            <w:noWrap/>
            <w:vAlign w:val="center"/>
            <w:hideMark/>
          </w:tcPr>
          <w:p w14:paraId="37FE8D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B940E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14,069,866</w:t>
            </w:r>
          </w:p>
        </w:tc>
        <w:tc>
          <w:tcPr>
            <w:tcW w:w="1045" w:type="dxa"/>
            <w:tcBorders>
              <w:top w:val="nil"/>
              <w:left w:val="nil"/>
              <w:bottom w:val="single" w:sz="4" w:space="0" w:color="auto"/>
              <w:right w:val="single" w:sz="4" w:space="0" w:color="auto"/>
            </w:tcBorders>
            <w:shd w:val="clear" w:color="000000" w:fill="FFFFFF"/>
            <w:noWrap/>
            <w:vAlign w:val="center"/>
            <w:hideMark/>
          </w:tcPr>
          <w:p w14:paraId="3A0D96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95645B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4BFCC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D0F2B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A15FD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8A1FA6F"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291,775</w:t>
            </w:r>
          </w:p>
        </w:tc>
        <w:tc>
          <w:tcPr>
            <w:tcW w:w="854" w:type="dxa"/>
            <w:tcBorders>
              <w:top w:val="nil"/>
              <w:left w:val="nil"/>
              <w:bottom w:val="single" w:sz="4" w:space="0" w:color="auto"/>
              <w:right w:val="single" w:sz="4" w:space="0" w:color="auto"/>
            </w:tcBorders>
            <w:shd w:val="clear" w:color="000000" w:fill="FFFFFF"/>
            <w:noWrap/>
            <w:vAlign w:val="center"/>
            <w:hideMark/>
          </w:tcPr>
          <w:p w14:paraId="791161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2ACD72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7,298,163</w:t>
            </w:r>
          </w:p>
        </w:tc>
        <w:tc>
          <w:tcPr>
            <w:tcW w:w="623" w:type="dxa"/>
            <w:tcBorders>
              <w:top w:val="nil"/>
              <w:left w:val="nil"/>
              <w:bottom w:val="single" w:sz="4" w:space="0" w:color="auto"/>
              <w:right w:val="single" w:sz="4" w:space="0" w:color="auto"/>
            </w:tcBorders>
            <w:shd w:val="clear" w:color="000000" w:fill="FFFFFF"/>
            <w:noWrap/>
            <w:vAlign w:val="center"/>
            <w:hideMark/>
          </w:tcPr>
          <w:p w14:paraId="269F27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1.65</w:t>
            </w:r>
          </w:p>
        </w:tc>
        <w:tc>
          <w:tcPr>
            <w:tcW w:w="811" w:type="dxa"/>
            <w:tcBorders>
              <w:top w:val="nil"/>
              <w:left w:val="nil"/>
              <w:bottom w:val="single" w:sz="4" w:space="0" w:color="auto"/>
              <w:right w:val="single" w:sz="4" w:space="0" w:color="auto"/>
            </w:tcBorders>
            <w:shd w:val="clear" w:color="000000" w:fill="FFFFFF"/>
            <w:noWrap/>
            <w:vAlign w:val="center"/>
            <w:hideMark/>
          </w:tcPr>
          <w:p w14:paraId="42C629C7"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335,217</w:t>
            </w:r>
          </w:p>
        </w:tc>
        <w:tc>
          <w:tcPr>
            <w:tcW w:w="855" w:type="dxa"/>
            <w:tcBorders>
              <w:top w:val="nil"/>
              <w:left w:val="nil"/>
              <w:bottom w:val="single" w:sz="4" w:space="0" w:color="auto"/>
              <w:right w:val="single" w:sz="4" w:space="0" w:color="auto"/>
            </w:tcBorders>
            <w:shd w:val="clear" w:color="000000" w:fill="FFFFFF"/>
            <w:noWrap/>
            <w:vAlign w:val="center"/>
            <w:hideMark/>
          </w:tcPr>
          <w:p w14:paraId="473D96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0BECD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8,502,438</w:t>
            </w:r>
          </w:p>
        </w:tc>
        <w:tc>
          <w:tcPr>
            <w:tcW w:w="740" w:type="dxa"/>
            <w:tcBorders>
              <w:top w:val="nil"/>
              <w:left w:val="nil"/>
              <w:bottom w:val="single" w:sz="4" w:space="0" w:color="auto"/>
              <w:right w:val="single" w:sz="4" w:space="0" w:color="auto"/>
            </w:tcBorders>
            <w:shd w:val="clear" w:color="000000" w:fill="FFFFFF"/>
            <w:noWrap/>
            <w:vAlign w:val="center"/>
            <w:hideMark/>
          </w:tcPr>
          <w:p w14:paraId="52F08EE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1A78F7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286,197</w:t>
            </w:r>
          </w:p>
        </w:tc>
        <w:tc>
          <w:tcPr>
            <w:tcW w:w="882" w:type="dxa"/>
            <w:tcBorders>
              <w:top w:val="nil"/>
              <w:left w:val="nil"/>
              <w:bottom w:val="single" w:sz="4" w:space="0" w:color="auto"/>
              <w:right w:val="single" w:sz="4" w:space="0" w:color="auto"/>
            </w:tcBorders>
            <w:shd w:val="clear" w:color="000000" w:fill="FFFFFF"/>
            <w:noWrap/>
            <w:vAlign w:val="center"/>
            <w:hideMark/>
          </w:tcPr>
          <w:p w14:paraId="44375D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B0295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7,151,916</w:t>
            </w:r>
          </w:p>
        </w:tc>
        <w:tc>
          <w:tcPr>
            <w:tcW w:w="1045" w:type="dxa"/>
            <w:tcBorders>
              <w:top w:val="nil"/>
              <w:left w:val="nil"/>
              <w:bottom w:val="single" w:sz="4" w:space="0" w:color="auto"/>
              <w:right w:val="single" w:sz="4" w:space="0" w:color="auto"/>
            </w:tcBorders>
            <w:shd w:val="clear" w:color="000000" w:fill="FFFFFF"/>
            <w:noWrap/>
            <w:vAlign w:val="center"/>
            <w:hideMark/>
          </w:tcPr>
          <w:p w14:paraId="4D1B3F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0.99</w:t>
            </w:r>
          </w:p>
        </w:tc>
      </w:tr>
      <w:tr w:rsidR="00177999" w:rsidRPr="00057D13" w14:paraId="681B3A9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DBCE0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20B22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0047B1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9658F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318,565</w:t>
            </w:r>
          </w:p>
        </w:tc>
        <w:tc>
          <w:tcPr>
            <w:tcW w:w="854" w:type="dxa"/>
            <w:tcBorders>
              <w:top w:val="nil"/>
              <w:left w:val="nil"/>
              <w:bottom w:val="single" w:sz="4" w:space="0" w:color="auto"/>
              <w:right w:val="single" w:sz="4" w:space="0" w:color="auto"/>
            </w:tcBorders>
            <w:shd w:val="clear" w:color="000000" w:fill="FFFFFF"/>
            <w:noWrap/>
            <w:vAlign w:val="center"/>
            <w:hideMark/>
          </w:tcPr>
          <w:p w14:paraId="283F05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4B562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7,238,863</w:t>
            </w:r>
          </w:p>
        </w:tc>
        <w:tc>
          <w:tcPr>
            <w:tcW w:w="623" w:type="dxa"/>
            <w:tcBorders>
              <w:top w:val="nil"/>
              <w:left w:val="nil"/>
              <w:bottom w:val="single" w:sz="4" w:space="0" w:color="auto"/>
              <w:right w:val="single" w:sz="4" w:space="0" w:color="auto"/>
            </w:tcBorders>
            <w:shd w:val="clear" w:color="000000" w:fill="FFFFFF"/>
            <w:noWrap/>
            <w:vAlign w:val="center"/>
            <w:hideMark/>
          </w:tcPr>
          <w:p w14:paraId="0D98CD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3A029C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335,611</w:t>
            </w:r>
          </w:p>
        </w:tc>
        <w:tc>
          <w:tcPr>
            <w:tcW w:w="855" w:type="dxa"/>
            <w:tcBorders>
              <w:top w:val="nil"/>
              <w:left w:val="nil"/>
              <w:bottom w:val="single" w:sz="4" w:space="0" w:color="auto"/>
              <w:right w:val="single" w:sz="4" w:space="0" w:color="auto"/>
            </w:tcBorders>
            <w:shd w:val="clear" w:color="000000" w:fill="FFFFFF"/>
            <w:noWrap/>
            <w:vAlign w:val="center"/>
            <w:hideMark/>
          </w:tcPr>
          <w:p w14:paraId="113D534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8AF79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7,844,822</w:t>
            </w:r>
          </w:p>
        </w:tc>
        <w:tc>
          <w:tcPr>
            <w:tcW w:w="740" w:type="dxa"/>
            <w:tcBorders>
              <w:top w:val="nil"/>
              <w:left w:val="nil"/>
              <w:bottom w:val="single" w:sz="4" w:space="0" w:color="auto"/>
              <w:right w:val="single" w:sz="4" w:space="0" w:color="auto"/>
            </w:tcBorders>
            <w:shd w:val="clear" w:color="000000" w:fill="FFFFFF"/>
            <w:noWrap/>
            <w:vAlign w:val="center"/>
            <w:hideMark/>
          </w:tcPr>
          <w:p w14:paraId="7ECD11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4.61</w:t>
            </w:r>
          </w:p>
        </w:tc>
        <w:tc>
          <w:tcPr>
            <w:tcW w:w="718" w:type="dxa"/>
            <w:tcBorders>
              <w:top w:val="nil"/>
              <w:left w:val="nil"/>
              <w:bottom w:val="single" w:sz="4" w:space="0" w:color="auto"/>
              <w:right w:val="single" w:sz="4" w:space="0" w:color="auto"/>
            </w:tcBorders>
            <w:shd w:val="clear" w:color="000000" w:fill="FFFFFF"/>
            <w:noWrap/>
            <w:vAlign w:val="center"/>
            <w:hideMark/>
          </w:tcPr>
          <w:p w14:paraId="1C18F0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310,691</w:t>
            </w:r>
          </w:p>
        </w:tc>
        <w:tc>
          <w:tcPr>
            <w:tcW w:w="882" w:type="dxa"/>
            <w:tcBorders>
              <w:top w:val="nil"/>
              <w:left w:val="nil"/>
              <w:bottom w:val="single" w:sz="4" w:space="0" w:color="auto"/>
              <w:right w:val="single" w:sz="4" w:space="0" w:color="auto"/>
            </w:tcBorders>
            <w:shd w:val="clear" w:color="000000" w:fill="FFFFFF"/>
            <w:noWrap/>
            <w:vAlign w:val="center"/>
            <w:hideMark/>
          </w:tcPr>
          <w:p w14:paraId="03E048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E503F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7,096,122</w:t>
            </w:r>
          </w:p>
        </w:tc>
        <w:tc>
          <w:tcPr>
            <w:tcW w:w="1045" w:type="dxa"/>
            <w:tcBorders>
              <w:top w:val="nil"/>
              <w:left w:val="nil"/>
              <w:bottom w:val="single" w:sz="4" w:space="0" w:color="auto"/>
              <w:right w:val="single" w:sz="4" w:space="0" w:color="auto"/>
            </w:tcBorders>
            <w:shd w:val="clear" w:color="000000" w:fill="FFFFFF"/>
            <w:noWrap/>
            <w:vAlign w:val="center"/>
            <w:hideMark/>
          </w:tcPr>
          <w:p w14:paraId="77A3F5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515A96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7A33B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C21E7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BA965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CB0EE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302,226</w:t>
            </w:r>
          </w:p>
        </w:tc>
        <w:tc>
          <w:tcPr>
            <w:tcW w:w="854" w:type="dxa"/>
            <w:tcBorders>
              <w:top w:val="nil"/>
              <w:left w:val="nil"/>
              <w:bottom w:val="single" w:sz="4" w:space="0" w:color="auto"/>
              <w:right w:val="single" w:sz="4" w:space="0" w:color="auto"/>
            </w:tcBorders>
            <w:shd w:val="clear" w:color="000000" w:fill="FFFFFF"/>
            <w:noWrap/>
            <w:vAlign w:val="center"/>
            <w:hideMark/>
          </w:tcPr>
          <w:p w14:paraId="6AAF4C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621033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6,798,090</w:t>
            </w:r>
          </w:p>
        </w:tc>
        <w:tc>
          <w:tcPr>
            <w:tcW w:w="623" w:type="dxa"/>
            <w:tcBorders>
              <w:top w:val="nil"/>
              <w:left w:val="nil"/>
              <w:bottom w:val="single" w:sz="4" w:space="0" w:color="auto"/>
              <w:right w:val="single" w:sz="4" w:space="0" w:color="auto"/>
            </w:tcBorders>
            <w:shd w:val="clear" w:color="000000" w:fill="FFFFFF"/>
            <w:noWrap/>
            <w:vAlign w:val="center"/>
            <w:hideMark/>
          </w:tcPr>
          <w:p w14:paraId="22A76C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BF33F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356,878</w:t>
            </w:r>
          </w:p>
        </w:tc>
        <w:tc>
          <w:tcPr>
            <w:tcW w:w="855" w:type="dxa"/>
            <w:tcBorders>
              <w:top w:val="nil"/>
              <w:left w:val="nil"/>
              <w:bottom w:val="single" w:sz="4" w:space="0" w:color="auto"/>
              <w:right w:val="single" w:sz="4" w:space="0" w:color="auto"/>
            </w:tcBorders>
            <w:shd w:val="clear" w:color="000000" w:fill="FFFFFF"/>
            <w:noWrap/>
            <w:vAlign w:val="center"/>
            <w:hideMark/>
          </w:tcPr>
          <w:p w14:paraId="0DD74C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17A40C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8,227,890</w:t>
            </w:r>
          </w:p>
        </w:tc>
        <w:tc>
          <w:tcPr>
            <w:tcW w:w="740" w:type="dxa"/>
            <w:tcBorders>
              <w:top w:val="nil"/>
              <w:left w:val="nil"/>
              <w:bottom w:val="single" w:sz="4" w:space="0" w:color="auto"/>
              <w:right w:val="single" w:sz="4" w:space="0" w:color="auto"/>
            </w:tcBorders>
            <w:shd w:val="clear" w:color="000000" w:fill="FFFFFF"/>
            <w:noWrap/>
            <w:vAlign w:val="center"/>
            <w:hideMark/>
          </w:tcPr>
          <w:p w14:paraId="0B747A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0E963E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302,701</w:t>
            </w:r>
          </w:p>
        </w:tc>
        <w:tc>
          <w:tcPr>
            <w:tcW w:w="882" w:type="dxa"/>
            <w:tcBorders>
              <w:top w:val="nil"/>
              <w:left w:val="nil"/>
              <w:bottom w:val="single" w:sz="4" w:space="0" w:color="auto"/>
              <w:right w:val="single" w:sz="4" w:space="0" w:color="auto"/>
            </w:tcBorders>
            <w:shd w:val="clear" w:color="000000" w:fill="FFFFFF"/>
            <w:noWrap/>
            <w:vAlign w:val="center"/>
            <w:hideMark/>
          </w:tcPr>
          <w:p w14:paraId="34F59A3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D292C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6,848,826</w:t>
            </w:r>
          </w:p>
        </w:tc>
        <w:tc>
          <w:tcPr>
            <w:tcW w:w="1045" w:type="dxa"/>
            <w:tcBorders>
              <w:top w:val="nil"/>
              <w:left w:val="nil"/>
              <w:bottom w:val="single" w:sz="4" w:space="0" w:color="auto"/>
              <w:right w:val="single" w:sz="4" w:space="0" w:color="auto"/>
            </w:tcBorders>
            <w:shd w:val="clear" w:color="000000" w:fill="FFFFFF"/>
            <w:noWrap/>
            <w:vAlign w:val="center"/>
            <w:hideMark/>
          </w:tcPr>
          <w:p w14:paraId="3FA4EC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35E1EA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B10F6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4C72F3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86C03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2CF96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155,470</w:t>
            </w:r>
          </w:p>
        </w:tc>
        <w:tc>
          <w:tcPr>
            <w:tcW w:w="854" w:type="dxa"/>
            <w:tcBorders>
              <w:top w:val="nil"/>
              <w:left w:val="nil"/>
              <w:bottom w:val="single" w:sz="4" w:space="0" w:color="auto"/>
              <w:right w:val="single" w:sz="4" w:space="0" w:color="auto"/>
            </w:tcBorders>
            <w:shd w:val="clear" w:color="000000" w:fill="FFFFFF"/>
            <w:noWrap/>
            <w:vAlign w:val="center"/>
            <w:hideMark/>
          </w:tcPr>
          <w:p w14:paraId="70BB516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D2F95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3,524,039</w:t>
            </w:r>
          </w:p>
        </w:tc>
        <w:tc>
          <w:tcPr>
            <w:tcW w:w="623" w:type="dxa"/>
            <w:tcBorders>
              <w:top w:val="nil"/>
              <w:left w:val="nil"/>
              <w:bottom w:val="single" w:sz="4" w:space="0" w:color="auto"/>
              <w:right w:val="single" w:sz="4" w:space="0" w:color="auto"/>
            </w:tcBorders>
            <w:shd w:val="clear" w:color="000000" w:fill="FFFFFF"/>
            <w:noWrap/>
            <w:vAlign w:val="center"/>
            <w:hideMark/>
          </w:tcPr>
          <w:p w14:paraId="059A28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3.42</w:t>
            </w:r>
          </w:p>
        </w:tc>
        <w:tc>
          <w:tcPr>
            <w:tcW w:w="811" w:type="dxa"/>
            <w:tcBorders>
              <w:top w:val="nil"/>
              <w:left w:val="nil"/>
              <w:bottom w:val="single" w:sz="4" w:space="0" w:color="auto"/>
              <w:right w:val="single" w:sz="4" w:space="0" w:color="auto"/>
            </w:tcBorders>
            <w:shd w:val="clear" w:color="000000" w:fill="FFFFFF"/>
            <w:noWrap/>
            <w:vAlign w:val="center"/>
            <w:hideMark/>
          </w:tcPr>
          <w:p w14:paraId="060FF6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187,253</w:t>
            </w:r>
          </w:p>
        </w:tc>
        <w:tc>
          <w:tcPr>
            <w:tcW w:w="855" w:type="dxa"/>
            <w:tcBorders>
              <w:top w:val="nil"/>
              <w:left w:val="nil"/>
              <w:bottom w:val="single" w:sz="4" w:space="0" w:color="auto"/>
              <w:right w:val="single" w:sz="4" w:space="0" w:color="auto"/>
            </w:tcBorders>
            <w:shd w:val="clear" w:color="000000" w:fill="FFFFFF"/>
            <w:noWrap/>
            <w:vAlign w:val="center"/>
            <w:hideMark/>
          </w:tcPr>
          <w:p w14:paraId="2D70D4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C9FEA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4,394,094</w:t>
            </w:r>
          </w:p>
        </w:tc>
        <w:tc>
          <w:tcPr>
            <w:tcW w:w="740" w:type="dxa"/>
            <w:tcBorders>
              <w:top w:val="nil"/>
              <w:left w:val="nil"/>
              <w:bottom w:val="single" w:sz="4" w:space="0" w:color="auto"/>
              <w:right w:val="single" w:sz="4" w:space="0" w:color="auto"/>
            </w:tcBorders>
            <w:shd w:val="clear" w:color="000000" w:fill="FFFFFF"/>
            <w:noWrap/>
            <w:vAlign w:val="center"/>
            <w:hideMark/>
          </w:tcPr>
          <w:p w14:paraId="7DF9D5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46DFE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155,873</w:t>
            </w:r>
          </w:p>
        </w:tc>
        <w:tc>
          <w:tcPr>
            <w:tcW w:w="882" w:type="dxa"/>
            <w:tcBorders>
              <w:top w:val="nil"/>
              <w:left w:val="nil"/>
              <w:bottom w:val="single" w:sz="4" w:space="0" w:color="auto"/>
              <w:right w:val="single" w:sz="4" w:space="0" w:color="auto"/>
            </w:tcBorders>
            <w:shd w:val="clear" w:color="000000" w:fill="FFFFFF"/>
            <w:noWrap/>
            <w:vAlign w:val="center"/>
            <w:hideMark/>
          </w:tcPr>
          <w:p w14:paraId="3ABCEA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C8793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3,578,081</w:t>
            </w:r>
          </w:p>
        </w:tc>
        <w:tc>
          <w:tcPr>
            <w:tcW w:w="1045" w:type="dxa"/>
            <w:tcBorders>
              <w:top w:val="nil"/>
              <w:left w:val="nil"/>
              <w:bottom w:val="single" w:sz="4" w:space="0" w:color="auto"/>
              <w:right w:val="single" w:sz="4" w:space="0" w:color="auto"/>
            </w:tcBorders>
            <w:shd w:val="clear" w:color="000000" w:fill="FFFFFF"/>
            <w:noWrap/>
            <w:vAlign w:val="center"/>
            <w:hideMark/>
          </w:tcPr>
          <w:p w14:paraId="7830CE0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26D4911"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CCA69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4D5A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0E9F22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09EB71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285,055</w:t>
            </w:r>
          </w:p>
        </w:tc>
        <w:tc>
          <w:tcPr>
            <w:tcW w:w="854" w:type="dxa"/>
            <w:tcBorders>
              <w:top w:val="nil"/>
              <w:left w:val="nil"/>
              <w:bottom w:val="single" w:sz="4" w:space="0" w:color="auto"/>
              <w:right w:val="single" w:sz="4" w:space="0" w:color="auto"/>
            </w:tcBorders>
            <w:shd w:val="clear" w:color="000000" w:fill="FFFFFF"/>
            <w:noWrap/>
            <w:vAlign w:val="center"/>
            <w:hideMark/>
          </w:tcPr>
          <w:p w14:paraId="286ED8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F7E2A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7,734,751</w:t>
            </w:r>
          </w:p>
        </w:tc>
        <w:tc>
          <w:tcPr>
            <w:tcW w:w="623" w:type="dxa"/>
            <w:tcBorders>
              <w:top w:val="nil"/>
              <w:left w:val="nil"/>
              <w:bottom w:val="single" w:sz="4" w:space="0" w:color="auto"/>
              <w:right w:val="single" w:sz="4" w:space="0" w:color="auto"/>
            </w:tcBorders>
            <w:shd w:val="clear" w:color="000000" w:fill="FFFFFF"/>
            <w:noWrap/>
            <w:vAlign w:val="center"/>
            <w:hideMark/>
          </w:tcPr>
          <w:p w14:paraId="66444C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525AF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269,579</w:t>
            </w:r>
          </w:p>
        </w:tc>
        <w:tc>
          <w:tcPr>
            <w:tcW w:w="855" w:type="dxa"/>
            <w:tcBorders>
              <w:top w:val="nil"/>
              <w:left w:val="nil"/>
              <w:bottom w:val="single" w:sz="4" w:space="0" w:color="auto"/>
              <w:right w:val="single" w:sz="4" w:space="0" w:color="auto"/>
            </w:tcBorders>
            <w:shd w:val="clear" w:color="000000" w:fill="FFFFFF"/>
            <w:noWrap/>
            <w:vAlign w:val="center"/>
            <w:hideMark/>
          </w:tcPr>
          <w:p w14:paraId="71BBCE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CDD368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7,337,955</w:t>
            </w:r>
          </w:p>
        </w:tc>
        <w:tc>
          <w:tcPr>
            <w:tcW w:w="740" w:type="dxa"/>
            <w:tcBorders>
              <w:top w:val="nil"/>
              <w:left w:val="nil"/>
              <w:bottom w:val="single" w:sz="4" w:space="0" w:color="auto"/>
              <w:right w:val="single" w:sz="4" w:space="0" w:color="auto"/>
            </w:tcBorders>
            <w:shd w:val="clear" w:color="000000" w:fill="FFFFFF"/>
            <w:noWrap/>
            <w:vAlign w:val="center"/>
            <w:hideMark/>
          </w:tcPr>
          <w:p w14:paraId="5D8260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DC52D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262,081</w:t>
            </w:r>
          </w:p>
        </w:tc>
        <w:tc>
          <w:tcPr>
            <w:tcW w:w="882" w:type="dxa"/>
            <w:tcBorders>
              <w:top w:val="nil"/>
              <w:left w:val="nil"/>
              <w:bottom w:val="single" w:sz="4" w:space="0" w:color="auto"/>
              <w:right w:val="single" w:sz="4" w:space="0" w:color="auto"/>
            </w:tcBorders>
            <w:shd w:val="clear" w:color="000000" w:fill="FFFFFF"/>
            <w:noWrap/>
            <w:vAlign w:val="center"/>
            <w:hideMark/>
          </w:tcPr>
          <w:p w14:paraId="40787C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95320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7,060,003</w:t>
            </w:r>
          </w:p>
        </w:tc>
        <w:tc>
          <w:tcPr>
            <w:tcW w:w="1045" w:type="dxa"/>
            <w:tcBorders>
              <w:top w:val="nil"/>
              <w:left w:val="nil"/>
              <w:bottom w:val="single" w:sz="4" w:space="0" w:color="auto"/>
              <w:right w:val="single" w:sz="4" w:space="0" w:color="auto"/>
            </w:tcBorders>
            <w:shd w:val="clear" w:color="000000" w:fill="FFFFFF"/>
            <w:noWrap/>
            <w:vAlign w:val="center"/>
            <w:hideMark/>
          </w:tcPr>
          <w:p w14:paraId="3512EF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7931802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598D6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3778CE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C65C26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6E0AC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271,284</w:t>
            </w:r>
          </w:p>
        </w:tc>
        <w:tc>
          <w:tcPr>
            <w:tcW w:w="854" w:type="dxa"/>
            <w:tcBorders>
              <w:top w:val="nil"/>
              <w:left w:val="nil"/>
              <w:bottom w:val="single" w:sz="4" w:space="0" w:color="auto"/>
              <w:right w:val="single" w:sz="4" w:space="0" w:color="auto"/>
            </w:tcBorders>
            <w:shd w:val="clear" w:color="000000" w:fill="FFFFFF"/>
            <w:noWrap/>
            <w:vAlign w:val="center"/>
            <w:hideMark/>
          </w:tcPr>
          <w:p w14:paraId="24387A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5C82A0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7,506,471</w:t>
            </w:r>
          </w:p>
        </w:tc>
        <w:tc>
          <w:tcPr>
            <w:tcW w:w="623" w:type="dxa"/>
            <w:tcBorders>
              <w:top w:val="nil"/>
              <w:left w:val="nil"/>
              <w:bottom w:val="single" w:sz="4" w:space="0" w:color="auto"/>
              <w:right w:val="single" w:sz="4" w:space="0" w:color="auto"/>
            </w:tcBorders>
            <w:shd w:val="clear" w:color="000000" w:fill="FFFFFF"/>
            <w:noWrap/>
            <w:vAlign w:val="center"/>
            <w:hideMark/>
          </w:tcPr>
          <w:p w14:paraId="0B0111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315D0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296,936</w:t>
            </w:r>
          </w:p>
        </w:tc>
        <w:tc>
          <w:tcPr>
            <w:tcW w:w="855" w:type="dxa"/>
            <w:tcBorders>
              <w:top w:val="nil"/>
              <w:left w:val="nil"/>
              <w:bottom w:val="single" w:sz="4" w:space="0" w:color="auto"/>
              <w:right w:val="single" w:sz="4" w:space="0" w:color="auto"/>
            </w:tcBorders>
            <w:shd w:val="clear" w:color="000000" w:fill="FFFFFF"/>
            <w:noWrap/>
            <w:vAlign w:val="center"/>
            <w:hideMark/>
          </w:tcPr>
          <w:p w14:paraId="36E11A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4CB48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8,240,977</w:t>
            </w:r>
          </w:p>
        </w:tc>
        <w:tc>
          <w:tcPr>
            <w:tcW w:w="740" w:type="dxa"/>
            <w:tcBorders>
              <w:top w:val="nil"/>
              <w:left w:val="nil"/>
              <w:bottom w:val="single" w:sz="4" w:space="0" w:color="auto"/>
              <w:right w:val="single" w:sz="4" w:space="0" w:color="auto"/>
            </w:tcBorders>
            <w:shd w:val="clear" w:color="000000" w:fill="FFFFFF"/>
            <w:noWrap/>
            <w:vAlign w:val="center"/>
            <w:hideMark/>
          </w:tcPr>
          <w:p w14:paraId="35A87A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B75A50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263,303</w:t>
            </w:r>
          </w:p>
        </w:tc>
        <w:tc>
          <w:tcPr>
            <w:tcW w:w="882" w:type="dxa"/>
            <w:tcBorders>
              <w:top w:val="nil"/>
              <w:left w:val="nil"/>
              <w:bottom w:val="single" w:sz="4" w:space="0" w:color="auto"/>
              <w:right w:val="single" w:sz="4" w:space="0" w:color="auto"/>
            </w:tcBorders>
            <w:shd w:val="clear" w:color="000000" w:fill="FFFFFF"/>
            <w:noWrap/>
            <w:vAlign w:val="center"/>
            <w:hideMark/>
          </w:tcPr>
          <w:p w14:paraId="0B496B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1A9D3D6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7,221,040</w:t>
            </w:r>
          </w:p>
        </w:tc>
        <w:tc>
          <w:tcPr>
            <w:tcW w:w="1045" w:type="dxa"/>
            <w:tcBorders>
              <w:top w:val="nil"/>
              <w:left w:val="nil"/>
              <w:bottom w:val="single" w:sz="4" w:space="0" w:color="auto"/>
              <w:right w:val="single" w:sz="4" w:space="0" w:color="auto"/>
            </w:tcBorders>
            <w:shd w:val="clear" w:color="000000" w:fill="FFFFFF"/>
            <w:noWrap/>
            <w:vAlign w:val="center"/>
            <w:hideMark/>
          </w:tcPr>
          <w:p w14:paraId="1D4849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0A776ED"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7B0EBFF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FE8737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3A2E1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AA1299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136,305</w:t>
            </w:r>
          </w:p>
        </w:tc>
        <w:tc>
          <w:tcPr>
            <w:tcW w:w="854" w:type="dxa"/>
            <w:tcBorders>
              <w:top w:val="nil"/>
              <w:left w:val="nil"/>
              <w:bottom w:val="single" w:sz="4" w:space="0" w:color="auto"/>
              <w:right w:val="single" w:sz="4" w:space="0" w:color="auto"/>
            </w:tcBorders>
            <w:shd w:val="clear" w:color="000000" w:fill="FFFFFF"/>
            <w:noWrap/>
            <w:vAlign w:val="center"/>
            <w:hideMark/>
          </w:tcPr>
          <w:p w14:paraId="43C616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16365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3,774,124</w:t>
            </w:r>
          </w:p>
        </w:tc>
        <w:tc>
          <w:tcPr>
            <w:tcW w:w="623" w:type="dxa"/>
            <w:tcBorders>
              <w:top w:val="nil"/>
              <w:left w:val="nil"/>
              <w:bottom w:val="single" w:sz="4" w:space="0" w:color="auto"/>
              <w:right w:val="single" w:sz="4" w:space="0" w:color="auto"/>
            </w:tcBorders>
            <w:shd w:val="clear" w:color="000000" w:fill="FFFFFF"/>
            <w:noWrap/>
            <w:vAlign w:val="center"/>
            <w:hideMark/>
          </w:tcPr>
          <w:p w14:paraId="7D359C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0CC289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147,964</w:t>
            </w:r>
          </w:p>
        </w:tc>
        <w:tc>
          <w:tcPr>
            <w:tcW w:w="855" w:type="dxa"/>
            <w:tcBorders>
              <w:top w:val="nil"/>
              <w:left w:val="nil"/>
              <w:bottom w:val="single" w:sz="4" w:space="0" w:color="auto"/>
              <w:right w:val="single" w:sz="4" w:space="0" w:color="auto"/>
            </w:tcBorders>
            <w:shd w:val="clear" w:color="000000" w:fill="FFFFFF"/>
            <w:noWrap/>
            <w:vAlign w:val="center"/>
            <w:hideMark/>
          </w:tcPr>
          <w:p w14:paraId="1E1F4F8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23BA1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4,108,344</w:t>
            </w:r>
          </w:p>
        </w:tc>
        <w:tc>
          <w:tcPr>
            <w:tcW w:w="740" w:type="dxa"/>
            <w:tcBorders>
              <w:top w:val="nil"/>
              <w:left w:val="nil"/>
              <w:bottom w:val="single" w:sz="4" w:space="0" w:color="auto"/>
              <w:right w:val="single" w:sz="4" w:space="0" w:color="auto"/>
            </w:tcBorders>
            <w:shd w:val="clear" w:color="000000" w:fill="FFFFFF"/>
            <w:noWrap/>
            <w:vAlign w:val="center"/>
            <w:hideMark/>
          </w:tcPr>
          <w:p w14:paraId="34A023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E8C78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130,324</w:t>
            </w:r>
          </w:p>
        </w:tc>
        <w:tc>
          <w:tcPr>
            <w:tcW w:w="882" w:type="dxa"/>
            <w:tcBorders>
              <w:top w:val="nil"/>
              <w:left w:val="nil"/>
              <w:bottom w:val="single" w:sz="4" w:space="0" w:color="auto"/>
              <w:right w:val="single" w:sz="4" w:space="0" w:color="auto"/>
            </w:tcBorders>
            <w:shd w:val="clear" w:color="000000" w:fill="FFFFFF"/>
            <w:noWrap/>
            <w:vAlign w:val="center"/>
            <w:hideMark/>
          </w:tcPr>
          <w:p w14:paraId="6DF1EE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75644E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3,573,835</w:t>
            </w:r>
          </w:p>
        </w:tc>
        <w:tc>
          <w:tcPr>
            <w:tcW w:w="1045" w:type="dxa"/>
            <w:tcBorders>
              <w:top w:val="nil"/>
              <w:left w:val="nil"/>
              <w:bottom w:val="single" w:sz="4" w:space="0" w:color="auto"/>
              <w:right w:val="single" w:sz="4" w:space="0" w:color="auto"/>
            </w:tcBorders>
            <w:shd w:val="clear" w:color="000000" w:fill="FFFFFF"/>
            <w:noWrap/>
            <w:vAlign w:val="center"/>
            <w:hideMark/>
          </w:tcPr>
          <w:p w14:paraId="243782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1.98</w:t>
            </w:r>
          </w:p>
        </w:tc>
      </w:tr>
      <w:tr w:rsidR="00177999" w:rsidRPr="00057D13" w14:paraId="1CBBD93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38A22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6D02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52161A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4F8CF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484BB6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B938C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87,634</w:t>
            </w:r>
          </w:p>
        </w:tc>
        <w:tc>
          <w:tcPr>
            <w:tcW w:w="623" w:type="dxa"/>
            <w:tcBorders>
              <w:top w:val="nil"/>
              <w:left w:val="nil"/>
              <w:bottom w:val="single" w:sz="4" w:space="0" w:color="auto"/>
              <w:right w:val="single" w:sz="4" w:space="0" w:color="auto"/>
            </w:tcBorders>
            <w:shd w:val="clear" w:color="000000" w:fill="FFFFFF"/>
            <w:noWrap/>
            <w:vAlign w:val="center"/>
            <w:hideMark/>
          </w:tcPr>
          <w:p w14:paraId="0682EA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762EB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58E421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42F6EE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33,429</w:t>
            </w:r>
          </w:p>
        </w:tc>
        <w:tc>
          <w:tcPr>
            <w:tcW w:w="740" w:type="dxa"/>
            <w:tcBorders>
              <w:top w:val="nil"/>
              <w:left w:val="nil"/>
              <w:bottom w:val="single" w:sz="4" w:space="0" w:color="auto"/>
              <w:right w:val="single" w:sz="4" w:space="0" w:color="auto"/>
            </w:tcBorders>
            <w:shd w:val="clear" w:color="000000" w:fill="FFFFFF"/>
            <w:noWrap/>
            <w:vAlign w:val="center"/>
            <w:hideMark/>
          </w:tcPr>
          <w:p w14:paraId="161BDC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5EFEE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209C20B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0A03CB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291,412</w:t>
            </w:r>
          </w:p>
        </w:tc>
        <w:tc>
          <w:tcPr>
            <w:tcW w:w="1045" w:type="dxa"/>
            <w:tcBorders>
              <w:top w:val="nil"/>
              <w:left w:val="nil"/>
              <w:bottom w:val="single" w:sz="4" w:space="0" w:color="auto"/>
              <w:right w:val="single" w:sz="4" w:space="0" w:color="auto"/>
            </w:tcBorders>
            <w:shd w:val="clear" w:color="000000" w:fill="FFFFFF"/>
            <w:noWrap/>
            <w:vAlign w:val="center"/>
            <w:hideMark/>
          </w:tcPr>
          <w:p w14:paraId="3E45F4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1FF9B9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D8804F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63456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0D7BE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FA298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86,169</w:t>
            </w:r>
          </w:p>
        </w:tc>
        <w:tc>
          <w:tcPr>
            <w:tcW w:w="854" w:type="dxa"/>
            <w:tcBorders>
              <w:top w:val="nil"/>
              <w:left w:val="nil"/>
              <w:bottom w:val="single" w:sz="4" w:space="0" w:color="auto"/>
              <w:right w:val="single" w:sz="4" w:space="0" w:color="auto"/>
            </w:tcBorders>
            <w:shd w:val="clear" w:color="000000" w:fill="FFFFFF"/>
            <w:noWrap/>
            <w:vAlign w:val="center"/>
            <w:hideMark/>
          </w:tcPr>
          <w:p w14:paraId="3BBB34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7DE8A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2,248,357</w:t>
            </w:r>
          </w:p>
        </w:tc>
        <w:tc>
          <w:tcPr>
            <w:tcW w:w="623" w:type="dxa"/>
            <w:tcBorders>
              <w:top w:val="nil"/>
              <w:left w:val="nil"/>
              <w:bottom w:val="single" w:sz="4" w:space="0" w:color="auto"/>
              <w:right w:val="single" w:sz="4" w:space="0" w:color="auto"/>
            </w:tcBorders>
            <w:shd w:val="clear" w:color="000000" w:fill="FFFFFF"/>
            <w:noWrap/>
            <w:vAlign w:val="center"/>
            <w:hideMark/>
          </w:tcPr>
          <w:p w14:paraId="4F793EA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796518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63,983</w:t>
            </w:r>
          </w:p>
        </w:tc>
        <w:tc>
          <w:tcPr>
            <w:tcW w:w="855" w:type="dxa"/>
            <w:tcBorders>
              <w:top w:val="nil"/>
              <w:left w:val="nil"/>
              <w:bottom w:val="single" w:sz="4" w:space="0" w:color="auto"/>
              <w:right w:val="single" w:sz="4" w:space="0" w:color="auto"/>
            </w:tcBorders>
            <w:shd w:val="clear" w:color="000000" w:fill="FFFFFF"/>
            <w:noWrap/>
            <w:vAlign w:val="center"/>
            <w:hideMark/>
          </w:tcPr>
          <w:p w14:paraId="367B40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16FE62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1,697,487</w:t>
            </w:r>
          </w:p>
        </w:tc>
        <w:tc>
          <w:tcPr>
            <w:tcW w:w="740" w:type="dxa"/>
            <w:tcBorders>
              <w:top w:val="nil"/>
              <w:left w:val="nil"/>
              <w:bottom w:val="single" w:sz="4" w:space="0" w:color="auto"/>
              <w:right w:val="single" w:sz="4" w:space="0" w:color="auto"/>
            </w:tcBorders>
            <w:shd w:val="clear" w:color="000000" w:fill="FFFFFF"/>
            <w:noWrap/>
            <w:vAlign w:val="center"/>
            <w:hideMark/>
          </w:tcPr>
          <w:p w14:paraId="2CDE6A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B9AFBC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79,623</w:t>
            </w:r>
          </w:p>
        </w:tc>
        <w:tc>
          <w:tcPr>
            <w:tcW w:w="882" w:type="dxa"/>
            <w:tcBorders>
              <w:top w:val="nil"/>
              <w:left w:val="nil"/>
              <w:bottom w:val="single" w:sz="4" w:space="0" w:color="auto"/>
              <w:right w:val="single" w:sz="4" w:space="0" w:color="auto"/>
            </w:tcBorders>
            <w:shd w:val="clear" w:color="000000" w:fill="FFFFFF"/>
            <w:noWrap/>
            <w:vAlign w:val="center"/>
            <w:hideMark/>
          </w:tcPr>
          <w:p w14:paraId="33BB23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D49A2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2,092,148</w:t>
            </w:r>
          </w:p>
        </w:tc>
        <w:tc>
          <w:tcPr>
            <w:tcW w:w="1045" w:type="dxa"/>
            <w:tcBorders>
              <w:top w:val="nil"/>
              <w:left w:val="nil"/>
              <w:bottom w:val="single" w:sz="4" w:space="0" w:color="auto"/>
              <w:right w:val="single" w:sz="4" w:space="0" w:color="auto"/>
            </w:tcBorders>
            <w:shd w:val="clear" w:color="000000" w:fill="FFFFFF"/>
            <w:noWrap/>
            <w:vAlign w:val="center"/>
            <w:hideMark/>
          </w:tcPr>
          <w:p w14:paraId="7CE9D7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5CF7DC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6008F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E7EA8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6C11DD2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45D3D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57,855</w:t>
            </w:r>
          </w:p>
        </w:tc>
        <w:tc>
          <w:tcPr>
            <w:tcW w:w="854" w:type="dxa"/>
            <w:tcBorders>
              <w:top w:val="nil"/>
              <w:left w:val="nil"/>
              <w:bottom w:val="single" w:sz="4" w:space="0" w:color="auto"/>
              <w:right w:val="single" w:sz="4" w:space="0" w:color="auto"/>
            </w:tcBorders>
            <w:shd w:val="clear" w:color="000000" w:fill="FFFFFF"/>
            <w:noWrap/>
            <w:vAlign w:val="center"/>
            <w:hideMark/>
          </w:tcPr>
          <w:p w14:paraId="080DB49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0D6C5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1,536,784</w:t>
            </w:r>
          </w:p>
        </w:tc>
        <w:tc>
          <w:tcPr>
            <w:tcW w:w="623" w:type="dxa"/>
            <w:tcBorders>
              <w:top w:val="nil"/>
              <w:left w:val="nil"/>
              <w:bottom w:val="single" w:sz="4" w:space="0" w:color="auto"/>
              <w:right w:val="single" w:sz="4" w:space="0" w:color="auto"/>
            </w:tcBorders>
            <w:shd w:val="clear" w:color="000000" w:fill="FFFFFF"/>
            <w:noWrap/>
            <w:vAlign w:val="center"/>
            <w:hideMark/>
          </w:tcPr>
          <w:p w14:paraId="1A6B35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8.80</w:t>
            </w:r>
          </w:p>
        </w:tc>
        <w:tc>
          <w:tcPr>
            <w:tcW w:w="811" w:type="dxa"/>
            <w:tcBorders>
              <w:top w:val="nil"/>
              <w:left w:val="nil"/>
              <w:bottom w:val="single" w:sz="4" w:space="0" w:color="auto"/>
              <w:right w:val="single" w:sz="4" w:space="0" w:color="auto"/>
            </w:tcBorders>
            <w:shd w:val="clear" w:color="000000" w:fill="FFFFFF"/>
            <w:noWrap/>
            <w:vAlign w:val="center"/>
            <w:hideMark/>
          </w:tcPr>
          <w:p w14:paraId="1DF50D8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43,144</w:t>
            </w:r>
          </w:p>
        </w:tc>
        <w:tc>
          <w:tcPr>
            <w:tcW w:w="855" w:type="dxa"/>
            <w:tcBorders>
              <w:top w:val="nil"/>
              <w:left w:val="nil"/>
              <w:bottom w:val="single" w:sz="4" w:space="0" w:color="auto"/>
              <w:right w:val="single" w:sz="4" w:space="0" w:color="auto"/>
            </w:tcBorders>
            <w:shd w:val="clear" w:color="000000" w:fill="FFFFFF"/>
            <w:noWrap/>
            <w:vAlign w:val="center"/>
            <w:hideMark/>
          </w:tcPr>
          <w:p w14:paraId="5D1586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1DCA6A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1,152,674</w:t>
            </w:r>
          </w:p>
        </w:tc>
        <w:tc>
          <w:tcPr>
            <w:tcW w:w="740" w:type="dxa"/>
            <w:tcBorders>
              <w:top w:val="nil"/>
              <w:left w:val="nil"/>
              <w:bottom w:val="single" w:sz="4" w:space="0" w:color="auto"/>
              <w:right w:val="single" w:sz="4" w:space="0" w:color="auto"/>
            </w:tcBorders>
            <w:shd w:val="clear" w:color="000000" w:fill="FFFFFF"/>
            <w:noWrap/>
            <w:vAlign w:val="center"/>
            <w:hideMark/>
          </w:tcPr>
          <w:p w14:paraId="796998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21.01</w:t>
            </w:r>
          </w:p>
        </w:tc>
        <w:tc>
          <w:tcPr>
            <w:tcW w:w="718" w:type="dxa"/>
            <w:tcBorders>
              <w:top w:val="nil"/>
              <w:left w:val="nil"/>
              <w:bottom w:val="single" w:sz="4" w:space="0" w:color="auto"/>
              <w:right w:val="single" w:sz="4" w:space="0" w:color="auto"/>
            </w:tcBorders>
            <w:shd w:val="clear" w:color="000000" w:fill="FFFFFF"/>
            <w:noWrap/>
            <w:vAlign w:val="center"/>
            <w:hideMark/>
          </w:tcPr>
          <w:p w14:paraId="630683D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50,632</w:t>
            </w:r>
          </w:p>
        </w:tc>
        <w:tc>
          <w:tcPr>
            <w:tcW w:w="882" w:type="dxa"/>
            <w:tcBorders>
              <w:top w:val="nil"/>
              <w:left w:val="nil"/>
              <w:bottom w:val="single" w:sz="4" w:space="0" w:color="auto"/>
              <w:right w:val="single" w:sz="4" w:space="0" w:color="auto"/>
            </w:tcBorders>
            <w:shd w:val="clear" w:color="000000" w:fill="FFFFFF"/>
            <w:noWrap/>
            <w:vAlign w:val="center"/>
            <w:hideMark/>
          </w:tcPr>
          <w:p w14:paraId="0BFBE1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591775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1,327,126</w:t>
            </w:r>
          </w:p>
        </w:tc>
        <w:tc>
          <w:tcPr>
            <w:tcW w:w="1045" w:type="dxa"/>
            <w:tcBorders>
              <w:top w:val="nil"/>
              <w:left w:val="nil"/>
              <w:bottom w:val="single" w:sz="4" w:space="0" w:color="auto"/>
              <w:right w:val="single" w:sz="4" w:space="0" w:color="auto"/>
            </w:tcBorders>
            <w:shd w:val="clear" w:color="000000" w:fill="FFFFFF"/>
            <w:noWrap/>
            <w:vAlign w:val="center"/>
            <w:hideMark/>
          </w:tcPr>
          <w:p w14:paraId="73F33F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4B1AE36"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1926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Pulmonary embolism (PE)</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DBED8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47348D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62AA37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603,628</w:t>
            </w:r>
          </w:p>
        </w:tc>
        <w:tc>
          <w:tcPr>
            <w:tcW w:w="854" w:type="dxa"/>
            <w:tcBorders>
              <w:top w:val="nil"/>
              <w:left w:val="nil"/>
              <w:bottom w:val="single" w:sz="4" w:space="0" w:color="auto"/>
              <w:right w:val="single" w:sz="4" w:space="0" w:color="auto"/>
            </w:tcBorders>
            <w:shd w:val="clear" w:color="000000" w:fill="FFFFFF"/>
            <w:noWrap/>
            <w:vAlign w:val="center"/>
            <w:hideMark/>
          </w:tcPr>
          <w:p w14:paraId="6CCF0D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5E4914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15,109,619</w:t>
            </w:r>
          </w:p>
        </w:tc>
        <w:tc>
          <w:tcPr>
            <w:tcW w:w="623" w:type="dxa"/>
            <w:tcBorders>
              <w:top w:val="nil"/>
              <w:left w:val="nil"/>
              <w:bottom w:val="single" w:sz="4" w:space="0" w:color="auto"/>
              <w:right w:val="single" w:sz="4" w:space="0" w:color="auto"/>
            </w:tcBorders>
            <w:shd w:val="clear" w:color="000000" w:fill="FFFFFF"/>
            <w:noWrap/>
            <w:vAlign w:val="center"/>
            <w:hideMark/>
          </w:tcPr>
          <w:p w14:paraId="3496DB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1A80296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605,187</w:t>
            </w:r>
          </w:p>
        </w:tc>
        <w:tc>
          <w:tcPr>
            <w:tcW w:w="855" w:type="dxa"/>
            <w:tcBorders>
              <w:top w:val="nil"/>
              <w:left w:val="nil"/>
              <w:bottom w:val="single" w:sz="4" w:space="0" w:color="auto"/>
              <w:right w:val="single" w:sz="4" w:space="0" w:color="auto"/>
            </w:tcBorders>
            <w:shd w:val="clear" w:color="000000" w:fill="FFFFFF"/>
            <w:noWrap/>
            <w:vAlign w:val="center"/>
            <w:hideMark/>
          </w:tcPr>
          <w:p w14:paraId="41C13C7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D3A93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15,312,029</w:t>
            </w:r>
          </w:p>
        </w:tc>
        <w:tc>
          <w:tcPr>
            <w:tcW w:w="740" w:type="dxa"/>
            <w:tcBorders>
              <w:top w:val="nil"/>
              <w:left w:val="nil"/>
              <w:bottom w:val="single" w:sz="4" w:space="0" w:color="auto"/>
              <w:right w:val="single" w:sz="4" w:space="0" w:color="auto"/>
            </w:tcBorders>
            <w:shd w:val="clear" w:color="000000" w:fill="FFFFFF"/>
            <w:noWrap/>
            <w:vAlign w:val="center"/>
            <w:hideMark/>
          </w:tcPr>
          <w:p w14:paraId="3B292F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62039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572,776</w:t>
            </w:r>
          </w:p>
        </w:tc>
        <w:tc>
          <w:tcPr>
            <w:tcW w:w="882" w:type="dxa"/>
            <w:tcBorders>
              <w:top w:val="nil"/>
              <w:left w:val="nil"/>
              <w:bottom w:val="single" w:sz="4" w:space="0" w:color="auto"/>
              <w:right w:val="single" w:sz="4" w:space="0" w:color="auto"/>
            </w:tcBorders>
            <w:shd w:val="clear" w:color="000000" w:fill="FFFFFF"/>
            <w:noWrap/>
            <w:vAlign w:val="center"/>
            <w:hideMark/>
          </w:tcPr>
          <w:p w14:paraId="0D4778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09EDE8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14,156,230</w:t>
            </w:r>
          </w:p>
        </w:tc>
        <w:tc>
          <w:tcPr>
            <w:tcW w:w="1045" w:type="dxa"/>
            <w:tcBorders>
              <w:top w:val="nil"/>
              <w:left w:val="nil"/>
              <w:bottom w:val="single" w:sz="4" w:space="0" w:color="auto"/>
              <w:right w:val="single" w:sz="4" w:space="0" w:color="auto"/>
            </w:tcBorders>
            <w:shd w:val="clear" w:color="000000" w:fill="FFFFFF"/>
            <w:noWrap/>
            <w:vAlign w:val="center"/>
            <w:hideMark/>
          </w:tcPr>
          <w:p w14:paraId="06F6CA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EB253F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F7519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A60DD3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113F9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2647233F"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573,504</w:t>
            </w:r>
          </w:p>
        </w:tc>
        <w:tc>
          <w:tcPr>
            <w:tcW w:w="854" w:type="dxa"/>
            <w:tcBorders>
              <w:top w:val="nil"/>
              <w:left w:val="nil"/>
              <w:bottom w:val="single" w:sz="4" w:space="0" w:color="auto"/>
              <w:right w:val="single" w:sz="4" w:space="0" w:color="auto"/>
            </w:tcBorders>
            <w:shd w:val="clear" w:color="000000" w:fill="FFFFFF"/>
            <w:noWrap/>
            <w:vAlign w:val="center"/>
            <w:hideMark/>
          </w:tcPr>
          <w:p w14:paraId="121FFD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704E15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14,338,531</w:t>
            </w:r>
          </w:p>
        </w:tc>
        <w:tc>
          <w:tcPr>
            <w:tcW w:w="623" w:type="dxa"/>
            <w:tcBorders>
              <w:top w:val="nil"/>
              <w:left w:val="nil"/>
              <w:bottom w:val="single" w:sz="4" w:space="0" w:color="auto"/>
              <w:right w:val="single" w:sz="4" w:space="0" w:color="auto"/>
            </w:tcBorders>
            <w:shd w:val="clear" w:color="000000" w:fill="FFFFFF"/>
            <w:noWrap/>
            <w:vAlign w:val="center"/>
            <w:hideMark/>
          </w:tcPr>
          <w:p w14:paraId="7E9B10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1.06</w:t>
            </w:r>
          </w:p>
        </w:tc>
        <w:tc>
          <w:tcPr>
            <w:tcW w:w="811" w:type="dxa"/>
            <w:tcBorders>
              <w:top w:val="nil"/>
              <w:left w:val="nil"/>
              <w:bottom w:val="single" w:sz="4" w:space="0" w:color="auto"/>
              <w:right w:val="single" w:sz="4" w:space="0" w:color="auto"/>
            </w:tcBorders>
            <w:shd w:val="clear" w:color="000000" w:fill="FFFFFF"/>
            <w:noWrap/>
            <w:vAlign w:val="center"/>
            <w:hideMark/>
          </w:tcPr>
          <w:p w14:paraId="1DC308F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653,808</w:t>
            </w:r>
          </w:p>
        </w:tc>
        <w:tc>
          <w:tcPr>
            <w:tcW w:w="855" w:type="dxa"/>
            <w:tcBorders>
              <w:top w:val="nil"/>
              <w:left w:val="nil"/>
              <w:bottom w:val="single" w:sz="4" w:space="0" w:color="auto"/>
              <w:right w:val="single" w:sz="4" w:space="0" w:color="auto"/>
            </w:tcBorders>
            <w:shd w:val="clear" w:color="000000" w:fill="FFFFFF"/>
            <w:noWrap/>
            <w:vAlign w:val="center"/>
            <w:hideMark/>
          </w:tcPr>
          <w:p w14:paraId="5E3B50D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498CD3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16,512,834</w:t>
            </w:r>
          </w:p>
        </w:tc>
        <w:tc>
          <w:tcPr>
            <w:tcW w:w="740" w:type="dxa"/>
            <w:tcBorders>
              <w:top w:val="nil"/>
              <w:left w:val="nil"/>
              <w:bottom w:val="single" w:sz="4" w:space="0" w:color="auto"/>
              <w:right w:val="single" w:sz="4" w:space="0" w:color="auto"/>
            </w:tcBorders>
            <w:shd w:val="clear" w:color="000000" w:fill="FFFFFF"/>
            <w:noWrap/>
            <w:vAlign w:val="center"/>
            <w:hideMark/>
          </w:tcPr>
          <w:p w14:paraId="150504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C980B8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566,002</w:t>
            </w:r>
          </w:p>
        </w:tc>
        <w:tc>
          <w:tcPr>
            <w:tcW w:w="882" w:type="dxa"/>
            <w:tcBorders>
              <w:top w:val="nil"/>
              <w:left w:val="nil"/>
              <w:bottom w:val="single" w:sz="4" w:space="0" w:color="auto"/>
              <w:right w:val="single" w:sz="4" w:space="0" w:color="auto"/>
            </w:tcBorders>
            <w:shd w:val="clear" w:color="000000" w:fill="FFFFFF"/>
            <w:noWrap/>
            <w:vAlign w:val="center"/>
            <w:hideMark/>
          </w:tcPr>
          <w:p w14:paraId="6FFF9F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CA9E5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14,069,828</w:t>
            </w:r>
          </w:p>
        </w:tc>
        <w:tc>
          <w:tcPr>
            <w:tcW w:w="1045" w:type="dxa"/>
            <w:tcBorders>
              <w:top w:val="nil"/>
              <w:left w:val="nil"/>
              <w:bottom w:val="single" w:sz="4" w:space="0" w:color="auto"/>
              <w:right w:val="single" w:sz="4" w:space="0" w:color="auto"/>
            </w:tcBorders>
            <w:shd w:val="clear" w:color="000000" w:fill="FFFFFF"/>
            <w:noWrap/>
            <w:vAlign w:val="center"/>
            <w:hideMark/>
          </w:tcPr>
          <w:p w14:paraId="5CC362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0.56</w:t>
            </w:r>
          </w:p>
        </w:tc>
      </w:tr>
      <w:tr w:rsidR="00177999" w:rsidRPr="00057D13" w14:paraId="5675FE3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A4B665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9A137D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8E854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73FBB635"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291,724</w:t>
            </w:r>
          </w:p>
        </w:tc>
        <w:tc>
          <w:tcPr>
            <w:tcW w:w="854" w:type="dxa"/>
            <w:tcBorders>
              <w:top w:val="nil"/>
              <w:left w:val="nil"/>
              <w:bottom w:val="single" w:sz="4" w:space="0" w:color="auto"/>
              <w:right w:val="single" w:sz="4" w:space="0" w:color="auto"/>
            </w:tcBorders>
            <w:shd w:val="clear" w:color="000000" w:fill="FFFFFF"/>
            <w:noWrap/>
            <w:vAlign w:val="center"/>
            <w:hideMark/>
          </w:tcPr>
          <w:p w14:paraId="1A89FC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AAB6D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7,314,350</w:t>
            </w:r>
          </w:p>
        </w:tc>
        <w:tc>
          <w:tcPr>
            <w:tcW w:w="623" w:type="dxa"/>
            <w:tcBorders>
              <w:top w:val="nil"/>
              <w:left w:val="nil"/>
              <w:bottom w:val="single" w:sz="4" w:space="0" w:color="auto"/>
              <w:right w:val="single" w:sz="4" w:space="0" w:color="auto"/>
            </w:tcBorders>
            <w:shd w:val="clear" w:color="000000" w:fill="FFFFFF"/>
            <w:noWrap/>
            <w:vAlign w:val="center"/>
            <w:hideMark/>
          </w:tcPr>
          <w:p w14:paraId="5DA1B42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1.58</w:t>
            </w:r>
          </w:p>
        </w:tc>
        <w:tc>
          <w:tcPr>
            <w:tcW w:w="811" w:type="dxa"/>
            <w:tcBorders>
              <w:top w:val="nil"/>
              <w:left w:val="nil"/>
              <w:bottom w:val="single" w:sz="4" w:space="0" w:color="auto"/>
              <w:right w:val="single" w:sz="4" w:space="0" w:color="auto"/>
            </w:tcBorders>
            <w:shd w:val="clear" w:color="000000" w:fill="FFFFFF"/>
            <w:noWrap/>
            <w:vAlign w:val="center"/>
            <w:hideMark/>
          </w:tcPr>
          <w:p w14:paraId="1F8967AE"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335,190</w:t>
            </w:r>
          </w:p>
        </w:tc>
        <w:tc>
          <w:tcPr>
            <w:tcW w:w="855" w:type="dxa"/>
            <w:tcBorders>
              <w:top w:val="nil"/>
              <w:left w:val="nil"/>
              <w:bottom w:val="single" w:sz="4" w:space="0" w:color="auto"/>
              <w:right w:val="single" w:sz="4" w:space="0" w:color="auto"/>
            </w:tcBorders>
            <w:shd w:val="clear" w:color="000000" w:fill="FFFFFF"/>
            <w:noWrap/>
            <w:vAlign w:val="center"/>
            <w:hideMark/>
          </w:tcPr>
          <w:p w14:paraId="755B4F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4B032B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8,524,694</w:t>
            </w:r>
          </w:p>
        </w:tc>
        <w:tc>
          <w:tcPr>
            <w:tcW w:w="740" w:type="dxa"/>
            <w:tcBorders>
              <w:top w:val="nil"/>
              <w:left w:val="nil"/>
              <w:bottom w:val="single" w:sz="4" w:space="0" w:color="auto"/>
              <w:right w:val="single" w:sz="4" w:space="0" w:color="auto"/>
            </w:tcBorders>
            <w:shd w:val="clear" w:color="000000" w:fill="FFFFFF"/>
            <w:noWrap/>
            <w:vAlign w:val="center"/>
            <w:hideMark/>
          </w:tcPr>
          <w:p w14:paraId="539FB6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1.79</w:t>
            </w:r>
          </w:p>
        </w:tc>
        <w:tc>
          <w:tcPr>
            <w:tcW w:w="718" w:type="dxa"/>
            <w:tcBorders>
              <w:top w:val="nil"/>
              <w:left w:val="nil"/>
              <w:bottom w:val="single" w:sz="4" w:space="0" w:color="auto"/>
              <w:right w:val="single" w:sz="4" w:space="0" w:color="auto"/>
            </w:tcBorders>
            <w:shd w:val="clear" w:color="000000" w:fill="FFFFFF"/>
            <w:noWrap/>
            <w:vAlign w:val="center"/>
            <w:hideMark/>
          </w:tcPr>
          <w:p w14:paraId="3131F468"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286,159</w:t>
            </w:r>
          </w:p>
        </w:tc>
        <w:tc>
          <w:tcPr>
            <w:tcW w:w="882" w:type="dxa"/>
            <w:tcBorders>
              <w:top w:val="nil"/>
              <w:left w:val="nil"/>
              <w:bottom w:val="single" w:sz="4" w:space="0" w:color="auto"/>
              <w:right w:val="single" w:sz="4" w:space="0" w:color="auto"/>
            </w:tcBorders>
            <w:shd w:val="clear" w:color="000000" w:fill="FFFFFF"/>
            <w:noWrap/>
            <w:vAlign w:val="center"/>
            <w:hideMark/>
          </w:tcPr>
          <w:p w14:paraId="647A16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AC8470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7,150,951</w:t>
            </w:r>
          </w:p>
        </w:tc>
        <w:tc>
          <w:tcPr>
            <w:tcW w:w="1045" w:type="dxa"/>
            <w:tcBorders>
              <w:top w:val="nil"/>
              <w:left w:val="nil"/>
              <w:bottom w:val="single" w:sz="4" w:space="0" w:color="auto"/>
              <w:right w:val="single" w:sz="4" w:space="0" w:color="auto"/>
            </w:tcBorders>
            <w:shd w:val="clear" w:color="000000" w:fill="FFFFFF"/>
            <w:noWrap/>
            <w:vAlign w:val="center"/>
            <w:hideMark/>
          </w:tcPr>
          <w:p w14:paraId="3058B7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553AE80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7A6A2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A1DD4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42B2A94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5B1439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318,569</w:t>
            </w:r>
          </w:p>
        </w:tc>
        <w:tc>
          <w:tcPr>
            <w:tcW w:w="854" w:type="dxa"/>
            <w:tcBorders>
              <w:top w:val="nil"/>
              <w:left w:val="nil"/>
              <w:bottom w:val="single" w:sz="4" w:space="0" w:color="auto"/>
              <w:right w:val="single" w:sz="4" w:space="0" w:color="auto"/>
            </w:tcBorders>
            <w:shd w:val="clear" w:color="000000" w:fill="FFFFFF"/>
            <w:noWrap/>
            <w:vAlign w:val="center"/>
            <w:hideMark/>
          </w:tcPr>
          <w:p w14:paraId="31E3F6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184DD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7,303,427</w:t>
            </w:r>
          </w:p>
        </w:tc>
        <w:tc>
          <w:tcPr>
            <w:tcW w:w="623" w:type="dxa"/>
            <w:tcBorders>
              <w:top w:val="nil"/>
              <w:left w:val="nil"/>
              <w:bottom w:val="single" w:sz="4" w:space="0" w:color="auto"/>
              <w:right w:val="single" w:sz="4" w:space="0" w:color="auto"/>
            </w:tcBorders>
            <w:shd w:val="clear" w:color="000000" w:fill="FFFFFF"/>
            <w:noWrap/>
            <w:vAlign w:val="center"/>
            <w:hideMark/>
          </w:tcPr>
          <w:p w14:paraId="3129DE5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E425D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335,608</w:t>
            </w:r>
          </w:p>
        </w:tc>
        <w:tc>
          <w:tcPr>
            <w:tcW w:w="855" w:type="dxa"/>
            <w:tcBorders>
              <w:top w:val="nil"/>
              <w:left w:val="nil"/>
              <w:bottom w:val="single" w:sz="4" w:space="0" w:color="auto"/>
              <w:right w:val="single" w:sz="4" w:space="0" w:color="auto"/>
            </w:tcBorders>
            <w:shd w:val="clear" w:color="000000" w:fill="FFFFFF"/>
            <w:noWrap/>
            <w:vAlign w:val="center"/>
            <w:hideMark/>
          </w:tcPr>
          <w:p w14:paraId="430FD18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0E5AC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7,897,662</w:t>
            </w:r>
          </w:p>
        </w:tc>
        <w:tc>
          <w:tcPr>
            <w:tcW w:w="740" w:type="dxa"/>
            <w:tcBorders>
              <w:top w:val="nil"/>
              <w:left w:val="nil"/>
              <w:bottom w:val="single" w:sz="4" w:space="0" w:color="auto"/>
              <w:right w:val="single" w:sz="4" w:space="0" w:color="auto"/>
            </w:tcBorders>
            <w:shd w:val="clear" w:color="000000" w:fill="FFFFFF"/>
            <w:noWrap/>
            <w:vAlign w:val="center"/>
            <w:hideMark/>
          </w:tcPr>
          <w:p w14:paraId="16247F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113E67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310,694</w:t>
            </w:r>
          </w:p>
        </w:tc>
        <w:tc>
          <w:tcPr>
            <w:tcW w:w="882" w:type="dxa"/>
            <w:tcBorders>
              <w:top w:val="nil"/>
              <w:left w:val="nil"/>
              <w:bottom w:val="single" w:sz="4" w:space="0" w:color="auto"/>
              <w:right w:val="single" w:sz="4" w:space="0" w:color="auto"/>
            </w:tcBorders>
            <w:shd w:val="clear" w:color="000000" w:fill="FFFFFF"/>
            <w:noWrap/>
            <w:vAlign w:val="center"/>
            <w:hideMark/>
          </w:tcPr>
          <w:p w14:paraId="22123E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102EA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7,096,199</w:t>
            </w:r>
          </w:p>
        </w:tc>
        <w:tc>
          <w:tcPr>
            <w:tcW w:w="1045" w:type="dxa"/>
            <w:tcBorders>
              <w:top w:val="nil"/>
              <w:left w:val="nil"/>
              <w:bottom w:val="single" w:sz="4" w:space="0" w:color="auto"/>
              <w:right w:val="single" w:sz="4" w:space="0" w:color="auto"/>
            </w:tcBorders>
            <w:shd w:val="clear" w:color="000000" w:fill="FFFFFF"/>
            <w:noWrap/>
            <w:vAlign w:val="center"/>
            <w:hideMark/>
          </w:tcPr>
          <w:p w14:paraId="57E708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084A914"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FE3673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1FBCF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1441E0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E4BF89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302,224</w:t>
            </w:r>
          </w:p>
        </w:tc>
        <w:tc>
          <w:tcPr>
            <w:tcW w:w="854" w:type="dxa"/>
            <w:tcBorders>
              <w:top w:val="nil"/>
              <w:left w:val="nil"/>
              <w:bottom w:val="single" w:sz="4" w:space="0" w:color="auto"/>
              <w:right w:val="single" w:sz="4" w:space="0" w:color="auto"/>
            </w:tcBorders>
            <w:shd w:val="clear" w:color="000000" w:fill="FFFFFF"/>
            <w:noWrap/>
            <w:vAlign w:val="center"/>
            <w:hideMark/>
          </w:tcPr>
          <w:p w14:paraId="038B77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188430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6,816,484</w:t>
            </w:r>
          </w:p>
        </w:tc>
        <w:tc>
          <w:tcPr>
            <w:tcW w:w="623" w:type="dxa"/>
            <w:tcBorders>
              <w:top w:val="nil"/>
              <w:left w:val="nil"/>
              <w:bottom w:val="single" w:sz="4" w:space="0" w:color="auto"/>
              <w:right w:val="single" w:sz="4" w:space="0" w:color="auto"/>
            </w:tcBorders>
            <w:shd w:val="clear" w:color="000000" w:fill="FFFFFF"/>
            <w:noWrap/>
            <w:vAlign w:val="center"/>
            <w:hideMark/>
          </w:tcPr>
          <w:p w14:paraId="2242154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5C36CB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356,874</w:t>
            </w:r>
          </w:p>
        </w:tc>
        <w:tc>
          <w:tcPr>
            <w:tcW w:w="855" w:type="dxa"/>
            <w:tcBorders>
              <w:top w:val="nil"/>
              <w:left w:val="nil"/>
              <w:bottom w:val="single" w:sz="4" w:space="0" w:color="auto"/>
              <w:right w:val="single" w:sz="4" w:space="0" w:color="auto"/>
            </w:tcBorders>
            <w:shd w:val="clear" w:color="000000" w:fill="FFFFFF"/>
            <w:noWrap/>
            <w:vAlign w:val="center"/>
            <w:hideMark/>
          </w:tcPr>
          <w:p w14:paraId="3D36AD6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5A822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8,252,689</w:t>
            </w:r>
          </w:p>
        </w:tc>
        <w:tc>
          <w:tcPr>
            <w:tcW w:w="740" w:type="dxa"/>
            <w:tcBorders>
              <w:top w:val="nil"/>
              <w:left w:val="nil"/>
              <w:bottom w:val="single" w:sz="4" w:space="0" w:color="auto"/>
              <w:right w:val="single" w:sz="4" w:space="0" w:color="auto"/>
            </w:tcBorders>
            <w:shd w:val="clear" w:color="000000" w:fill="FFFFFF"/>
            <w:noWrap/>
            <w:vAlign w:val="center"/>
            <w:hideMark/>
          </w:tcPr>
          <w:p w14:paraId="4E4F34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FA5E04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302,699</w:t>
            </w:r>
          </w:p>
        </w:tc>
        <w:tc>
          <w:tcPr>
            <w:tcW w:w="882" w:type="dxa"/>
            <w:tcBorders>
              <w:top w:val="nil"/>
              <w:left w:val="nil"/>
              <w:bottom w:val="single" w:sz="4" w:space="0" w:color="auto"/>
              <w:right w:val="single" w:sz="4" w:space="0" w:color="auto"/>
            </w:tcBorders>
            <w:shd w:val="clear" w:color="000000" w:fill="FFFFFF"/>
            <w:noWrap/>
            <w:vAlign w:val="center"/>
            <w:hideMark/>
          </w:tcPr>
          <w:p w14:paraId="299A5D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21F7A5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6,848,786</w:t>
            </w:r>
          </w:p>
        </w:tc>
        <w:tc>
          <w:tcPr>
            <w:tcW w:w="1045" w:type="dxa"/>
            <w:tcBorders>
              <w:top w:val="nil"/>
              <w:left w:val="nil"/>
              <w:bottom w:val="single" w:sz="4" w:space="0" w:color="auto"/>
              <w:right w:val="single" w:sz="4" w:space="0" w:color="auto"/>
            </w:tcBorders>
            <w:shd w:val="clear" w:color="000000" w:fill="FFFFFF"/>
            <w:noWrap/>
            <w:vAlign w:val="center"/>
            <w:hideMark/>
          </w:tcPr>
          <w:p w14:paraId="348C96D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7F48EC6"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C5723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45F431A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442194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573BB1B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155,442</w:t>
            </w:r>
          </w:p>
        </w:tc>
        <w:tc>
          <w:tcPr>
            <w:tcW w:w="854" w:type="dxa"/>
            <w:tcBorders>
              <w:top w:val="nil"/>
              <w:left w:val="nil"/>
              <w:bottom w:val="single" w:sz="4" w:space="0" w:color="auto"/>
              <w:right w:val="single" w:sz="4" w:space="0" w:color="auto"/>
            </w:tcBorders>
            <w:shd w:val="clear" w:color="000000" w:fill="FFFFFF"/>
            <w:noWrap/>
            <w:vAlign w:val="center"/>
            <w:hideMark/>
          </w:tcPr>
          <w:p w14:paraId="281E89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367AFA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3,533,778</w:t>
            </w:r>
          </w:p>
        </w:tc>
        <w:tc>
          <w:tcPr>
            <w:tcW w:w="623" w:type="dxa"/>
            <w:tcBorders>
              <w:top w:val="nil"/>
              <w:left w:val="nil"/>
              <w:bottom w:val="single" w:sz="4" w:space="0" w:color="auto"/>
              <w:right w:val="single" w:sz="4" w:space="0" w:color="auto"/>
            </w:tcBorders>
            <w:shd w:val="clear" w:color="000000" w:fill="FFFFFF"/>
            <w:noWrap/>
            <w:vAlign w:val="center"/>
            <w:hideMark/>
          </w:tcPr>
          <w:p w14:paraId="26E511B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2.18</w:t>
            </w:r>
          </w:p>
        </w:tc>
        <w:tc>
          <w:tcPr>
            <w:tcW w:w="811" w:type="dxa"/>
            <w:tcBorders>
              <w:top w:val="nil"/>
              <w:left w:val="nil"/>
              <w:bottom w:val="single" w:sz="4" w:space="0" w:color="auto"/>
              <w:right w:val="single" w:sz="4" w:space="0" w:color="auto"/>
            </w:tcBorders>
            <w:shd w:val="clear" w:color="000000" w:fill="FFFFFF"/>
            <w:noWrap/>
            <w:vAlign w:val="center"/>
            <w:hideMark/>
          </w:tcPr>
          <w:p w14:paraId="3CE6751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187,238</w:t>
            </w:r>
          </w:p>
        </w:tc>
        <w:tc>
          <w:tcPr>
            <w:tcW w:w="855" w:type="dxa"/>
            <w:tcBorders>
              <w:top w:val="nil"/>
              <w:left w:val="nil"/>
              <w:bottom w:val="single" w:sz="4" w:space="0" w:color="auto"/>
              <w:right w:val="single" w:sz="4" w:space="0" w:color="auto"/>
            </w:tcBorders>
            <w:shd w:val="clear" w:color="000000" w:fill="FFFFFF"/>
            <w:noWrap/>
            <w:vAlign w:val="center"/>
            <w:hideMark/>
          </w:tcPr>
          <w:p w14:paraId="7026259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27C8A2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4,407,873</w:t>
            </w:r>
          </w:p>
        </w:tc>
        <w:tc>
          <w:tcPr>
            <w:tcW w:w="740" w:type="dxa"/>
            <w:tcBorders>
              <w:top w:val="nil"/>
              <w:left w:val="nil"/>
              <w:bottom w:val="single" w:sz="4" w:space="0" w:color="auto"/>
              <w:right w:val="single" w:sz="4" w:space="0" w:color="auto"/>
            </w:tcBorders>
            <w:shd w:val="clear" w:color="000000" w:fill="FFFFFF"/>
            <w:noWrap/>
            <w:vAlign w:val="center"/>
            <w:hideMark/>
          </w:tcPr>
          <w:p w14:paraId="7ECC45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2.61</w:t>
            </w:r>
          </w:p>
        </w:tc>
        <w:tc>
          <w:tcPr>
            <w:tcW w:w="718" w:type="dxa"/>
            <w:tcBorders>
              <w:top w:val="nil"/>
              <w:left w:val="nil"/>
              <w:bottom w:val="single" w:sz="4" w:space="0" w:color="auto"/>
              <w:right w:val="single" w:sz="4" w:space="0" w:color="auto"/>
            </w:tcBorders>
            <w:shd w:val="clear" w:color="000000" w:fill="FFFFFF"/>
            <w:noWrap/>
            <w:vAlign w:val="center"/>
            <w:hideMark/>
          </w:tcPr>
          <w:p w14:paraId="7D9E57D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155,851</w:t>
            </w:r>
          </w:p>
        </w:tc>
        <w:tc>
          <w:tcPr>
            <w:tcW w:w="882" w:type="dxa"/>
            <w:tcBorders>
              <w:top w:val="nil"/>
              <w:left w:val="nil"/>
              <w:bottom w:val="single" w:sz="4" w:space="0" w:color="auto"/>
              <w:right w:val="single" w:sz="4" w:space="0" w:color="auto"/>
            </w:tcBorders>
            <w:shd w:val="clear" w:color="000000" w:fill="FFFFFF"/>
            <w:noWrap/>
            <w:vAlign w:val="center"/>
            <w:hideMark/>
          </w:tcPr>
          <w:p w14:paraId="3E9D7F0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B1FA7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3,577,578</w:t>
            </w:r>
          </w:p>
        </w:tc>
        <w:tc>
          <w:tcPr>
            <w:tcW w:w="1045" w:type="dxa"/>
            <w:tcBorders>
              <w:top w:val="nil"/>
              <w:left w:val="nil"/>
              <w:bottom w:val="single" w:sz="4" w:space="0" w:color="auto"/>
              <w:right w:val="single" w:sz="4" w:space="0" w:color="auto"/>
            </w:tcBorders>
            <w:shd w:val="clear" w:color="000000" w:fill="FFFFFF"/>
            <w:noWrap/>
            <w:vAlign w:val="center"/>
            <w:hideMark/>
          </w:tcPr>
          <w:p w14:paraId="4857B6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02EF32BB"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C1625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9B76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2F0D7F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33EFD7C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285,059</w:t>
            </w:r>
          </w:p>
        </w:tc>
        <w:tc>
          <w:tcPr>
            <w:tcW w:w="854" w:type="dxa"/>
            <w:tcBorders>
              <w:top w:val="nil"/>
              <w:left w:val="nil"/>
              <w:bottom w:val="single" w:sz="4" w:space="0" w:color="auto"/>
              <w:right w:val="single" w:sz="4" w:space="0" w:color="auto"/>
            </w:tcBorders>
            <w:shd w:val="clear" w:color="000000" w:fill="FFFFFF"/>
            <w:noWrap/>
            <w:vAlign w:val="center"/>
            <w:hideMark/>
          </w:tcPr>
          <w:p w14:paraId="133666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290D01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7,806,192</w:t>
            </w:r>
          </w:p>
        </w:tc>
        <w:tc>
          <w:tcPr>
            <w:tcW w:w="623" w:type="dxa"/>
            <w:tcBorders>
              <w:top w:val="nil"/>
              <w:left w:val="nil"/>
              <w:bottom w:val="single" w:sz="4" w:space="0" w:color="auto"/>
              <w:right w:val="single" w:sz="4" w:space="0" w:color="auto"/>
            </w:tcBorders>
            <w:shd w:val="clear" w:color="000000" w:fill="FFFFFF"/>
            <w:noWrap/>
            <w:vAlign w:val="center"/>
            <w:hideMark/>
          </w:tcPr>
          <w:p w14:paraId="7306A1C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079AEF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269,579</w:t>
            </w:r>
          </w:p>
        </w:tc>
        <w:tc>
          <w:tcPr>
            <w:tcW w:w="855" w:type="dxa"/>
            <w:tcBorders>
              <w:top w:val="nil"/>
              <w:left w:val="nil"/>
              <w:bottom w:val="single" w:sz="4" w:space="0" w:color="auto"/>
              <w:right w:val="single" w:sz="4" w:space="0" w:color="auto"/>
            </w:tcBorders>
            <w:shd w:val="clear" w:color="000000" w:fill="FFFFFF"/>
            <w:noWrap/>
            <w:vAlign w:val="center"/>
            <w:hideMark/>
          </w:tcPr>
          <w:p w14:paraId="3739A8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9F3932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7,414,367</w:t>
            </w:r>
          </w:p>
        </w:tc>
        <w:tc>
          <w:tcPr>
            <w:tcW w:w="740" w:type="dxa"/>
            <w:tcBorders>
              <w:top w:val="nil"/>
              <w:left w:val="nil"/>
              <w:bottom w:val="single" w:sz="4" w:space="0" w:color="auto"/>
              <w:right w:val="single" w:sz="4" w:space="0" w:color="auto"/>
            </w:tcBorders>
            <w:shd w:val="clear" w:color="000000" w:fill="FFFFFF"/>
            <w:noWrap/>
            <w:vAlign w:val="center"/>
            <w:hideMark/>
          </w:tcPr>
          <w:p w14:paraId="50618D4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9766A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262,082</w:t>
            </w:r>
          </w:p>
        </w:tc>
        <w:tc>
          <w:tcPr>
            <w:tcW w:w="882" w:type="dxa"/>
            <w:tcBorders>
              <w:top w:val="nil"/>
              <w:left w:val="nil"/>
              <w:bottom w:val="single" w:sz="4" w:space="0" w:color="auto"/>
              <w:right w:val="single" w:sz="4" w:space="0" w:color="auto"/>
            </w:tcBorders>
            <w:shd w:val="clear" w:color="000000" w:fill="FFFFFF"/>
            <w:noWrap/>
            <w:vAlign w:val="center"/>
            <w:hideMark/>
          </w:tcPr>
          <w:p w14:paraId="5EE79F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6E883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7,060,031</w:t>
            </w:r>
          </w:p>
        </w:tc>
        <w:tc>
          <w:tcPr>
            <w:tcW w:w="1045" w:type="dxa"/>
            <w:tcBorders>
              <w:top w:val="nil"/>
              <w:left w:val="nil"/>
              <w:bottom w:val="single" w:sz="4" w:space="0" w:color="auto"/>
              <w:right w:val="single" w:sz="4" w:space="0" w:color="auto"/>
            </w:tcBorders>
            <w:shd w:val="clear" w:color="000000" w:fill="FFFFFF"/>
            <w:noWrap/>
            <w:vAlign w:val="center"/>
            <w:hideMark/>
          </w:tcPr>
          <w:p w14:paraId="510334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3C8F57D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D79E9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38ED9B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E64BC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991AC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271,280</w:t>
            </w:r>
          </w:p>
        </w:tc>
        <w:tc>
          <w:tcPr>
            <w:tcW w:w="854" w:type="dxa"/>
            <w:tcBorders>
              <w:top w:val="nil"/>
              <w:left w:val="nil"/>
              <w:bottom w:val="single" w:sz="4" w:space="0" w:color="auto"/>
              <w:right w:val="single" w:sz="4" w:space="0" w:color="auto"/>
            </w:tcBorders>
            <w:shd w:val="clear" w:color="000000" w:fill="FFFFFF"/>
            <w:noWrap/>
            <w:vAlign w:val="center"/>
            <w:hideMark/>
          </w:tcPr>
          <w:p w14:paraId="74864B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F0C617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7,522,047</w:t>
            </w:r>
          </w:p>
        </w:tc>
        <w:tc>
          <w:tcPr>
            <w:tcW w:w="623" w:type="dxa"/>
            <w:tcBorders>
              <w:top w:val="nil"/>
              <w:left w:val="nil"/>
              <w:bottom w:val="single" w:sz="4" w:space="0" w:color="auto"/>
              <w:right w:val="single" w:sz="4" w:space="0" w:color="auto"/>
            </w:tcBorders>
            <w:shd w:val="clear" w:color="000000" w:fill="FFFFFF"/>
            <w:noWrap/>
            <w:vAlign w:val="center"/>
            <w:hideMark/>
          </w:tcPr>
          <w:p w14:paraId="79031F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2.02</w:t>
            </w:r>
          </w:p>
        </w:tc>
        <w:tc>
          <w:tcPr>
            <w:tcW w:w="811" w:type="dxa"/>
            <w:tcBorders>
              <w:top w:val="nil"/>
              <w:left w:val="nil"/>
              <w:bottom w:val="single" w:sz="4" w:space="0" w:color="auto"/>
              <w:right w:val="single" w:sz="4" w:space="0" w:color="auto"/>
            </w:tcBorders>
            <w:shd w:val="clear" w:color="000000" w:fill="FFFFFF"/>
            <w:noWrap/>
            <w:vAlign w:val="center"/>
            <w:hideMark/>
          </w:tcPr>
          <w:p w14:paraId="07D721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296,934</w:t>
            </w:r>
          </w:p>
        </w:tc>
        <w:tc>
          <w:tcPr>
            <w:tcW w:w="855" w:type="dxa"/>
            <w:tcBorders>
              <w:top w:val="nil"/>
              <w:left w:val="nil"/>
              <w:bottom w:val="single" w:sz="4" w:space="0" w:color="auto"/>
              <w:right w:val="single" w:sz="4" w:space="0" w:color="auto"/>
            </w:tcBorders>
            <w:shd w:val="clear" w:color="000000" w:fill="FFFFFF"/>
            <w:noWrap/>
            <w:vAlign w:val="center"/>
            <w:hideMark/>
          </w:tcPr>
          <w:p w14:paraId="632E23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7C22BD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8,260,145</w:t>
            </w:r>
          </w:p>
        </w:tc>
        <w:tc>
          <w:tcPr>
            <w:tcW w:w="740" w:type="dxa"/>
            <w:tcBorders>
              <w:top w:val="nil"/>
              <w:left w:val="nil"/>
              <w:bottom w:val="single" w:sz="4" w:space="0" w:color="auto"/>
              <w:right w:val="single" w:sz="4" w:space="0" w:color="auto"/>
            </w:tcBorders>
            <w:shd w:val="clear" w:color="000000" w:fill="FFFFFF"/>
            <w:noWrap/>
            <w:vAlign w:val="center"/>
            <w:hideMark/>
          </w:tcPr>
          <w:p w14:paraId="5BD5B71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0DD55C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263,303</w:t>
            </w:r>
          </w:p>
        </w:tc>
        <w:tc>
          <w:tcPr>
            <w:tcW w:w="882" w:type="dxa"/>
            <w:tcBorders>
              <w:top w:val="nil"/>
              <w:left w:val="nil"/>
              <w:bottom w:val="single" w:sz="4" w:space="0" w:color="auto"/>
              <w:right w:val="single" w:sz="4" w:space="0" w:color="auto"/>
            </w:tcBorders>
            <w:shd w:val="clear" w:color="000000" w:fill="FFFFFF"/>
            <w:noWrap/>
            <w:vAlign w:val="center"/>
            <w:hideMark/>
          </w:tcPr>
          <w:p w14:paraId="362F9E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BE59EA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7,221,042</w:t>
            </w:r>
          </w:p>
        </w:tc>
        <w:tc>
          <w:tcPr>
            <w:tcW w:w="1045" w:type="dxa"/>
            <w:tcBorders>
              <w:top w:val="nil"/>
              <w:left w:val="nil"/>
              <w:bottom w:val="single" w:sz="4" w:space="0" w:color="auto"/>
              <w:right w:val="single" w:sz="4" w:space="0" w:color="auto"/>
            </w:tcBorders>
            <w:shd w:val="clear" w:color="000000" w:fill="FFFFFF"/>
            <w:noWrap/>
            <w:vAlign w:val="center"/>
            <w:hideMark/>
          </w:tcPr>
          <w:p w14:paraId="1304DC9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1.10</w:t>
            </w:r>
          </w:p>
        </w:tc>
      </w:tr>
      <w:tr w:rsidR="00177999" w:rsidRPr="00057D13" w14:paraId="6FDD42C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22A65F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F95B2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CE544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029230F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136,282</w:t>
            </w:r>
          </w:p>
        </w:tc>
        <w:tc>
          <w:tcPr>
            <w:tcW w:w="854" w:type="dxa"/>
            <w:tcBorders>
              <w:top w:val="nil"/>
              <w:left w:val="nil"/>
              <w:bottom w:val="single" w:sz="4" w:space="0" w:color="auto"/>
              <w:right w:val="single" w:sz="4" w:space="0" w:color="auto"/>
            </w:tcBorders>
            <w:shd w:val="clear" w:color="000000" w:fill="FFFFFF"/>
            <w:noWrap/>
            <w:vAlign w:val="center"/>
            <w:hideMark/>
          </w:tcPr>
          <w:p w14:paraId="3D6D00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9B4F0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3,780,572</w:t>
            </w:r>
          </w:p>
        </w:tc>
        <w:tc>
          <w:tcPr>
            <w:tcW w:w="623" w:type="dxa"/>
            <w:tcBorders>
              <w:top w:val="nil"/>
              <w:left w:val="nil"/>
              <w:bottom w:val="single" w:sz="4" w:space="0" w:color="auto"/>
              <w:right w:val="single" w:sz="4" w:space="0" w:color="auto"/>
            </w:tcBorders>
            <w:shd w:val="clear" w:color="000000" w:fill="FFFFFF"/>
            <w:noWrap/>
            <w:vAlign w:val="center"/>
            <w:hideMark/>
          </w:tcPr>
          <w:p w14:paraId="4D8B4A2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1.02</w:t>
            </w:r>
          </w:p>
        </w:tc>
        <w:tc>
          <w:tcPr>
            <w:tcW w:w="811" w:type="dxa"/>
            <w:tcBorders>
              <w:top w:val="nil"/>
              <w:left w:val="nil"/>
              <w:bottom w:val="single" w:sz="4" w:space="0" w:color="auto"/>
              <w:right w:val="single" w:sz="4" w:space="0" w:color="auto"/>
            </w:tcBorders>
            <w:shd w:val="clear" w:color="000000" w:fill="FFFFFF"/>
            <w:noWrap/>
            <w:vAlign w:val="center"/>
            <w:hideMark/>
          </w:tcPr>
          <w:p w14:paraId="73A796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147,952</w:t>
            </w:r>
          </w:p>
        </w:tc>
        <w:tc>
          <w:tcPr>
            <w:tcW w:w="855" w:type="dxa"/>
            <w:tcBorders>
              <w:top w:val="nil"/>
              <w:left w:val="nil"/>
              <w:bottom w:val="single" w:sz="4" w:space="0" w:color="auto"/>
              <w:right w:val="single" w:sz="4" w:space="0" w:color="auto"/>
            </w:tcBorders>
            <w:shd w:val="clear" w:color="000000" w:fill="FFFFFF"/>
            <w:noWrap/>
            <w:vAlign w:val="center"/>
            <w:hideMark/>
          </w:tcPr>
          <w:p w14:paraId="7F54D7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74D2F9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4,116,821</w:t>
            </w:r>
          </w:p>
        </w:tc>
        <w:tc>
          <w:tcPr>
            <w:tcW w:w="740" w:type="dxa"/>
            <w:tcBorders>
              <w:top w:val="nil"/>
              <w:left w:val="nil"/>
              <w:bottom w:val="single" w:sz="4" w:space="0" w:color="auto"/>
              <w:right w:val="single" w:sz="4" w:space="0" w:color="auto"/>
            </w:tcBorders>
            <w:shd w:val="clear" w:color="000000" w:fill="FFFFFF"/>
            <w:noWrap/>
            <w:vAlign w:val="center"/>
            <w:hideMark/>
          </w:tcPr>
          <w:p w14:paraId="5CC562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0.93</w:t>
            </w:r>
          </w:p>
        </w:tc>
        <w:tc>
          <w:tcPr>
            <w:tcW w:w="718" w:type="dxa"/>
            <w:tcBorders>
              <w:top w:val="nil"/>
              <w:left w:val="nil"/>
              <w:bottom w:val="single" w:sz="4" w:space="0" w:color="auto"/>
              <w:right w:val="single" w:sz="4" w:space="0" w:color="auto"/>
            </w:tcBorders>
            <w:shd w:val="clear" w:color="000000" w:fill="FFFFFF"/>
            <w:noWrap/>
            <w:vAlign w:val="center"/>
            <w:hideMark/>
          </w:tcPr>
          <w:p w14:paraId="1B6AF5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130,308</w:t>
            </w:r>
          </w:p>
        </w:tc>
        <w:tc>
          <w:tcPr>
            <w:tcW w:w="882" w:type="dxa"/>
            <w:tcBorders>
              <w:top w:val="nil"/>
              <w:left w:val="nil"/>
              <w:bottom w:val="single" w:sz="4" w:space="0" w:color="auto"/>
              <w:right w:val="single" w:sz="4" w:space="0" w:color="auto"/>
            </w:tcBorders>
            <w:shd w:val="clear" w:color="000000" w:fill="FFFFFF"/>
            <w:noWrap/>
            <w:vAlign w:val="center"/>
            <w:hideMark/>
          </w:tcPr>
          <w:p w14:paraId="7164E2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6584CC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3,573,373</w:t>
            </w:r>
          </w:p>
        </w:tc>
        <w:tc>
          <w:tcPr>
            <w:tcW w:w="1045" w:type="dxa"/>
            <w:tcBorders>
              <w:top w:val="nil"/>
              <w:left w:val="nil"/>
              <w:bottom w:val="single" w:sz="4" w:space="0" w:color="auto"/>
              <w:right w:val="single" w:sz="4" w:space="0" w:color="auto"/>
            </w:tcBorders>
            <w:shd w:val="clear" w:color="000000" w:fill="FFFFFF"/>
            <w:noWrap/>
            <w:vAlign w:val="center"/>
            <w:hideMark/>
          </w:tcPr>
          <w:p w14:paraId="448650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1BC34BA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65718A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5A2C4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6C6105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12AF55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11,446</w:t>
            </w:r>
          </w:p>
        </w:tc>
        <w:tc>
          <w:tcPr>
            <w:tcW w:w="854" w:type="dxa"/>
            <w:tcBorders>
              <w:top w:val="nil"/>
              <w:left w:val="nil"/>
              <w:bottom w:val="single" w:sz="4" w:space="0" w:color="auto"/>
              <w:right w:val="single" w:sz="4" w:space="0" w:color="auto"/>
            </w:tcBorders>
            <w:shd w:val="clear" w:color="000000" w:fill="FFFFFF"/>
            <w:noWrap/>
            <w:vAlign w:val="center"/>
            <w:hideMark/>
          </w:tcPr>
          <w:p w14:paraId="4812961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0C1402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113,843</w:t>
            </w:r>
          </w:p>
        </w:tc>
        <w:tc>
          <w:tcPr>
            <w:tcW w:w="623" w:type="dxa"/>
            <w:tcBorders>
              <w:top w:val="nil"/>
              <w:left w:val="nil"/>
              <w:bottom w:val="single" w:sz="4" w:space="0" w:color="auto"/>
              <w:right w:val="single" w:sz="4" w:space="0" w:color="auto"/>
            </w:tcBorders>
            <w:shd w:val="clear" w:color="000000" w:fill="FFFFFF"/>
            <w:noWrap/>
            <w:vAlign w:val="center"/>
            <w:hideMark/>
          </w:tcPr>
          <w:p w14:paraId="76AB6A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292B0DB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1,341</w:t>
            </w:r>
          </w:p>
        </w:tc>
        <w:tc>
          <w:tcPr>
            <w:tcW w:w="855" w:type="dxa"/>
            <w:tcBorders>
              <w:top w:val="nil"/>
              <w:left w:val="nil"/>
              <w:bottom w:val="single" w:sz="4" w:space="0" w:color="auto"/>
              <w:right w:val="single" w:sz="4" w:space="0" w:color="auto"/>
            </w:tcBorders>
            <w:shd w:val="clear" w:color="000000" w:fill="FFFFFF"/>
            <w:noWrap/>
            <w:vAlign w:val="center"/>
            <w:hideMark/>
          </w:tcPr>
          <w:p w14:paraId="73BAB1F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C498A2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34,377</w:t>
            </w:r>
          </w:p>
        </w:tc>
        <w:tc>
          <w:tcPr>
            <w:tcW w:w="740" w:type="dxa"/>
            <w:tcBorders>
              <w:top w:val="nil"/>
              <w:left w:val="nil"/>
              <w:bottom w:val="single" w:sz="4" w:space="0" w:color="auto"/>
              <w:right w:val="single" w:sz="4" w:space="0" w:color="auto"/>
            </w:tcBorders>
            <w:shd w:val="clear" w:color="000000" w:fill="FFFFFF"/>
            <w:noWrap/>
            <w:vAlign w:val="center"/>
            <w:hideMark/>
          </w:tcPr>
          <w:p w14:paraId="0C45A9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678DEB5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19,048</w:t>
            </w:r>
          </w:p>
        </w:tc>
        <w:tc>
          <w:tcPr>
            <w:tcW w:w="882" w:type="dxa"/>
            <w:tcBorders>
              <w:top w:val="nil"/>
              <w:left w:val="nil"/>
              <w:bottom w:val="single" w:sz="4" w:space="0" w:color="auto"/>
              <w:right w:val="single" w:sz="4" w:space="0" w:color="auto"/>
            </w:tcBorders>
            <w:shd w:val="clear" w:color="000000" w:fill="FFFFFF"/>
            <w:noWrap/>
            <w:vAlign w:val="center"/>
            <w:hideMark/>
          </w:tcPr>
          <w:p w14:paraId="4A8A321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2B13D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291,412</w:t>
            </w:r>
          </w:p>
        </w:tc>
        <w:tc>
          <w:tcPr>
            <w:tcW w:w="1045" w:type="dxa"/>
            <w:tcBorders>
              <w:top w:val="nil"/>
              <w:left w:val="nil"/>
              <w:bottom w:val="single" w:sz="4" w:space="0" w:color="auto"/>
              <w:right w:val="single" w:sz="4" w:space="0" w:color="auto"/>
            </w:tcBorders>
            <w:shd w:val="clear" w:color="000000" w:fill="FFFFFF"/>
            <w:noWrap/>
            <w:vAlign w:val="center"/>
            <w:hideMark/>
          </w:tcPr>
          <w:p w14:paraId="5488B63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29D14BB2"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E39055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C8E36F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56DE83B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316F8D8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86,168</w:t>
            </w:r>
          </w:p>
        </w:tc>
        <w:tc>
          <w:tcPr>
            <w:tcW w:w="854" w:type="dxa"/>
            <w:tcBorders>
              <w:top w:val="nil"/>
              <w:left w:val="nil"/>
              <w:bottom w:val="single" w:sz="4" w:space="0" w:color="auto"/>
              <w:right w:val="single" w:sz="4" w:space="0" w:color="auto"/>
            </w:tcBorders>
            <w:shd w:val="clear" w:color="000000" w:fill="FFFFFF"/>
            <w:noWrap/>
            <w:vAlign w:val="center"/>
            <w:hideMark/>
          </w:tcPr>
          <w:p w14:paraId="1F950E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44E56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2,319,678</w:t>
            </w:r>
          </w:p>
        </w:tc>
        <w:tc>
          <w:tcPr>
            <w:tcW w:w="623" w:type="dxa"/>
            <w:tcBorders>
              <w:top w:val="nil"/>
              <w:left w:val="nil"/>
              <w:bottom w:val="single" w:sz="4" w:space="0" w:color="auto"/>
              <w:right w:val="single" w:sz="4" w:space="0" w:color="auto"/>
            </w:tcBorders>
            <w:shd w:val="clear" w:color="000000" w:fill="FFFFFF"/>
            <w:noWrap/>
            <w:vAlign w:val="center"/>
            <w:hideMark/>
          </w:tcPr>
          <w:p w14:paraId="3C60F6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6ED404A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63,983</w:t>
            </w:r>
          </w:p>
        </w:tc>
        <w:tc>
          <w:tcPr>
            <w:tcW w:w="855" w:type="dxa"/>
            <w:tcBorders>
              <w:top w:val="nil"/>
              <w:left w:val="nil"/>
              <w:bottom w:val="single" w:sz="4" w:space="0" w:color="auto"/>
              <w:right w:val="single" w:sz="4" w:space="0" w:color="auto"/>
            </w:tcBorders>
            <w:shd w:val="clear" w:color="000000" w:fill="FFFFFF"/>
            <w:noWrap/>
            <w:vAlign w:val="center"/>
            <w:hideMark/>
          </w:tcPr>
          <w:p w14:paraId="56C3BA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DD8E0D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1,746,941</w:t>
            </w:r>
          </w:p>
        </w:tc>
        <w:tc>
          <w:tcPr>
            <w:tcW w:w="740" w:type="dxa"/>
            <w:tcBorders>
              <w:top w:val="nil"/>
              <w:left w:val="nil"/>
              <w:bottom w:val="single" w:sz="4" w:space="0" w:color="auto"/>
              <w:right w:val="single" w:sz="4" w:space="0" w:color="auto"/>
            </w:tcBorders>
            <w:shd w:val="clear" w:color="000000" w:fill="FFFFFF"/>
            <w:noWrap/>
            <w:vAlign w:val="center"/>
            <w:hideMark/>
          </w:tcPr>
          <w:p w14:paraId="74361F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5B7290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79,622</w:t>
            </w:r>
          </w:p>
        </w:tc>
        <w:tc>
          <w:tcPr>
            <w:tcW w:w="882" w:type="dxa"/>
            <w:tcBorders>
              <w:top w:val="nil"/>
              <w:left w:val="nil"/>
              <w:bottom w:val="single" w:sz="4" w:space="0" w:color="auto"/>
              <w:right w:val="single" w:sz="4" w:space="0" w:color="auto"/>
            </w:tcBorders>
            <w:shd w:val="clear" w:color="000000" w:fill="FFFFFF"/>
            <w:noWrap/>
            <w:vAlign w:val="center"/>
            <w:hideMark/>
          </w:tcPr>
          <w:p w14:paraId="5512BF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4B5057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2,092,120</w:t>
            </w:r>
          </w:p>
        </w:tc>
        <w:tc>
          <w:tcPr>
            <w:tcW w:w="1045" w:type="dxa"/>
            <w:tcBorders>
              <w:top w:val="nil"/>
              <w:left w:val="nil"/>
              <w:bottom w:val="single" w:sz="4" w:space="0" w:color="auto"/>
              <w:right w:val="single" w:sz="4" w:space="0" w:color="auto"/>
            </w:tcBorders>
            <w:shd w:val="clear" w:color="000000" w:fill="FFFFFF"/>
            <w:noWrap/>
            <w:vAlign w:val="center"/>
            <w:hideMark/>
          </w:tcPr>
          <w:p w14:paraId="642CE8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55AA8A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D51B71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22EAD0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54871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6729B8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57,847</w:t>
            </w:r>
          </w:p>
        </w:tc>
        <w:tc>
          <w:tcPr>
            <w:tcW w:w="854" w:type="dxa"/>
            <w:tcBorders>
              <w:top w:val="nil"/>
              <w:left w:val="nil"/>
              <w:bottom w:val="single" w:sz="4" w:space="0" w:color="auto"/>
              <w:right w:val="single" w:sz="4" w:space="0" w:color="auto"/>
            </w:tcBorders>
            <w:shd w:val="clear" w:color="000000" w:fill="FFFFFF"/>
            <w:noWrap/>
            <w:vAlign w:val="center"/>
            <w:hideMark/>
          </w:tcPr>
          <w:p w14:paraId="468BED2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1165B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1,563,040</w:t>
            </w:r>
          </w:p>
        </w:tc>
        <w:tc>
          <w:tcPr>
            <w:tcW w:w="623" w:type="dxa"/>
            <w:tcBorders>
              <w:top w:val="nil"/>
              <w:left w:val="nil"/>
              <w:bottom w:val="single" w:sz="4" w:space="0" w:color="auto"/>
              <w:right w:val="single" w:sz="4" w:space="0" w:color="auto"/>
            </w:tcBorders>
            <w:shd w:val="clear" w:color="000000" w:fill="FFFFFF"/>
            <w:noWrap/>
            <w:vAlign w:val="center"/>
            <w:hideMark/>
          </w:tcPr>
          <w:p w14:paraId="51BD04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2.60</w:t>
            </w:r>
          </w:p>
        </w:tc>
        <w:tc>
          <w:tcPr>
            <w:tcW w:w="811" w:type="dxa"/>
            <w:tcBorders>
              <w:top w:val="nil"/>
              <w:left w:val="nil"/>
              <w:bottom w:val="single" w:sz="4" w:space="0" w:color="auto"/>
              <w:right w:val="single" w:sz="4" w:space="0" w:color="auto"/>
            </w:tcBorders>
            <w:shd w:val="clear" w:color="000000" w:fill="FFFFFF"/>
            <w:noWrap/>
            <w:vAlign w:val="center"/>
            <w:hideMark/>
          </w:tcPr>
          <w:p w14:paraId="5B567E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43,141</w:t>
            </w:r>
          </w:p>
        </w:tc>
        <w:tc>
          <w:tcPr>
            <w:tcW w:w="855" w:type="dxa"/>
            <w:tcBorders>
              <w:top w:val="nil"/>
              <w:left w:val="nil"/>
              <w:bottom w:val="single" w:sz="4" w:space="0" w:color="auto"/>
              <w:right w:val="single" w:sz="4" w:space="0" w:color="auto"/>
            </w:tcBorders>
            <w:shd w:val="clear" w:color="000000" w:fill="FFFFFF"/>
            <w:noWrap/>
            <w:vAlign w:val="center"/>
            <w:hideMark/>
          </w:tcPr>
          <w:p w14:paraId="204984D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3F79CD9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1,173,213</w:t>
            </w:r>
          </w:p>
        </w:tc>
        <w:tc>
          <w:tcPr>
            <w:tcW w:w="740" w:type="dxa"/>
            <w:tcBorders>
              <w:top w:val="nil"/>
              <w:left w:val="nil"/>
              <w:bottom w:val="single" w:sz="4" w:space="0" w:color="auto"/>
              <w:right w:val="single" w:sz="4" w:space="0" w:color="auto"/>
            </w:tcBorders>
            <w:shd w:val="clear" w:color="000000" w:fill="FFFFFF"/>
            <w:noWrap/>
            <w:vAlign w:val="center"/>
            <w:hideMark/>
          </w:tcPr>
          <w:p w14:paraId="3ED147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7DBDD41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50,627</w:t>
            </w:r>
          </w:p>
        </w:tc>
        <w:tc>
          <w:tcPr>
            <w:tcW w:w="882" w:type="dxa"/>
            <w:tcBorders>
              <w:top w:val="nil"/>
              <w:left w:val="nil"/>
              <w:bottom w:val="single" w:sz="4" w:space="0" w:color="auto"/>
              <w:right w:val="single" w:sz="4" w:space="0" w:color="auto"/>
            </w:tcBorders>
            <w:shd w:val="clear" w:color="000000" w:fill="FFFFFF"/>
            <w:noWrap/>
            <w:vAlign w:val="center"/>
            <w:hideMark/>
          </w:tcPr>
          <w:p w14:paraId="767ED0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7A1EE1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1,326,986</w:t>
            </w:r>
          </w:p>
        </w:tc>
        <w:tc>
          <w:tcPr>
            <w:tcW w:w="1045" w:type="dxa"/>
            <w:tcBorders>
              <w:top w:val="nil"/>
              <w:left w:val="nil"/>
              <w:bottom w:val="single" w:sz="4" w:space="0" w:color="auto"/>
              <w:right w:val="single" w:sz="4" w:space="0" w:color="auto"/>
            </w:tcBorders>
            <w:shd w:val="clear" w:color="000000" w:fill="FFFFFF"/>
            <w:noWrap/>
            <w:vAlign w:val="center"/>
            <w:hideMark/>
          </w:tcPr>
          <w:p w14:paraId="0DC8A4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4DE4FD05" w14:textId="77777777" w:rsidTr="00177999">
        <w:trPr>
          <w:trHeight w:val="300"/>
        </w:trPr>
        <w:tc>
          <w:tcPr>
            <w:tcW w:w="17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05AB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Seizures/convulsions</w:t>
            </w:r>
          </w:p>
        </w:tc>
        <w:tc>
          <w:tcPr>
            <w:tcW w:w="7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9E63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Primary Series</w:t>
            </w:r>
          </w:p>
        </w:tc>
        <w:tc>
          <w:tcPr>
            <w:tcW w:w="479" w:type="dxa"/>
            <w:tcBorders>
              <w:top w:val="nil"/>
              <w:left w:val="nil"/>
              <w:bottom w:val="single" w:sz="4" w:space="0" w:color="auto"/>
              <w:right w:val="single" w:sz="4" w:space="0" w:color="auto"/>
            </w:tcBorders>
            <w:shd w:val="clear" w:color="000000" w:fill="FFFFFF"/>
            <w:noWrap/>
            <w:vAlign w:val="center"/>
            <w:hideMark/>
          </w:tcPr>
          <w:p w14:paraId="6D656DE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673616C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732,503</w:t>
            </w:r>
          </w:p>
        </w:tc>
        <w:tc>
          <w:tcPr>
            <w:tcW w:w="854" w:type="dxa"/>
            <w:tcBorders>
              <w:top w:val="nil"/>
              <w:left w:val="nil"/>
              <w:bottom w:val="single" w:sz="4" w:space="0" w:color="auto"/>
              <w:right w:val="single" w:sz="4" w:space="0" w:color="auto"/>
            </w:tcBorders>
            <w:shd w:val="clear" w:color="000000" w:fill="FFFFFF"/>
            <w:noWrap/>
            <w:vAlign w:val="center"/>
            <w:hideMark/>
          </w:tcPr>
          <w:p w14:paraId="2113A9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w:t>
            </w:r>
          </w:p>
        </w:tc>
        <w:tc>
          <w:tcPr>
            <w:tcW w:w="1013" w:type="dxa"/>
            <w:tcBorders>
              <w:top w:val="nil"/>
              <w:left w:val="nil"/>
              <w:bottom w:val="single" w:sz="4" w:space="0" w:color="auto"/>
              <w:right w:val="single" w:sz="4" w:space="0" w:color="auto"/>
            </w:tcBorders>
            <w:shd w:val="clear" w:color="000000" w:fill="FFFFFF"/>
            <w:noWrap/>
            <w:vAlign w:val="center"/>
            <w:hideMark/>
          </w:tcPr>
          <w:p w14:paraId="0A68E65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5,804,883</w:t>
            </w:r>
          </w:p>
        </w:tc>
        <w:tc>
          <w:tcPr>
            <w:tcW w:w="623" w:type="dxa"/>
            <w:tcBorders>
              <w:top w:val="nil"/>
              <w:left w:val="nil"/>
              <w:bottom w:val="single" w:sz="4" w:space="0" w:color="auto"/>
              <w:right w:val="single" w:sz="4" w:space="0" w:color="auto"/>
            </w:tcBorders>
            <w:shd w:val="clear" w:color="000000" w:fill="FFFFFF"/>
            <w:noWrap/>
            <w:vAlign w:val="center"/>
            <w:hideMark/>
          </w:tcPr>
          <w:p w14:paraId="7558998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1.81</w:t>
            </w:r>
          </w:p>
        </w:tc>
        <w:tc>
          <w:tcPr>
            <w:tcW w:w="811" w:type="dxa"/>
            <w:tcBorders>
              <w:top w:val="nil"/>
              <w:left w:val="nil"/>
              <w:bottom w:val="single" w:sz="4" w:space="0" w:color="auto"/>
              <w:right w:val="single" w:sz="4" w:space="0" w:color="auto"/>
            </w:tcBorders>
            <w:shd w:val="clear" w:color="000000" w:fill="FFFFFF"/>
            <w:noWrap/>
            <w:vAlign w:val="center"/>
            <w:hideMark/>
          </w:tcPr>
          <w:p w14:paraId="6305A8C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721,478</w:t>
            </w:r>
          </w:p>
        </w:tc>
        <w:tc>
          <w:tcPr>
            <w:tcW w:w="855" w:type="dxa"/>
            <w:tcBorders>
              <w:top w:val="nil"/>
              <w:left w:val="nil"/>
              <w:bottom w:val="single" w:sz="4" w:space="0" w:color="auto"/>
              <w:right w:val="single" w:sz="4" w:space="0" w:color="auto"/>
            </w:tcBorders>
            <w:shd w:val="clear" w:color="000000" w:fill="FFFFFF"/>
            <w:noWrap/>
            <w:vAlign w:val="center"/>
            <w:hideMark/>
          </w:tcPr>
          <w:p w14:paraId="6B29B0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w:t>
            </w:r>
          </w:p>
        </w:tc>
        <w:tc>
          <w:tcPr>
            <w:tcW w:w="1014" w:type="dxa"/>
            <w:tcBorders>
              <w:top w:val="nil"/>
              <w:left w:val="nil"/>
              <w:bottom w:val="single" w:sz="4" w:space="0" w:color="auto"/>
              <w:right w:val="single" w:sz="4" w:space="0" w:color="auto"/>
            </w:tcBorders>
            <w:shd w:val="clear" w:color="000000" w:fill="FFFFFF"/>
            <w:noWrap/>
            <w:vAlign w:val="center"/>
            <w:hideMark/>
          </w:tcPr>
          <w:p w14:paraId="39649A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5,748,418</w:t>
            </w:r>
          </w:p>
        </w:tc>
        <w:tc>
          <w:tcPr>
            <w:tcW w:w="740" w:type="dxa"/>
            <w:tcBorders>
              <w:top w:val="nil"/>
              <w:left w:val="nil"/>
              <w:bottom w:val="single" w:sz="4" w:space="0" w:color="auto"/>
              <w:right w:val="single" w:sz="4" w:space="0" w:color="auto"/>
            </w:tcBorders>
            <w:shd w:val="clear" w:color="000000" w:fill="FFFFFF"/>
            <w:noWrap/>
            <w:vAlign w:val="center"/>
            <w:hideMark/>
          </w:tcPr>
          <w:p w14:paraId="6386357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1.79</w:t>
            </w:r>
          </w:p>
        </w:tc>
        <w:tc>
          <w:tcPr>
            <w:tcW w:w="718" w:type="dxa"/>
            <w:tcBorders>
              <w:top w:val="nil"/>
              <w:left w:val="nil"/>
              <w:bottom w:val="single" w:sz="4" w:space="0" w:color="auto"/>
              <w:right w:val="single" w:sz="4" w:space="0" w:color="auto"/>
            </w:tcBorders>
            <w:shd w:val="clear" w:color="000000" w:fill="FFFFFF"/>
            <w:noWrap/>
            <w:vAlign w:val="center"/>
            <w:hideMark/>
          </w:tcPr>
          <w:p w14:paraId="2EBE3A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676,710</w:t>
            </w:r>
          </w:p>
        </w:tc>
        <w:tc>
          <w:tcPr>
            <w:tcW w:w="882" w:type="dxa"/>
            <w:tcBorders>
              <w:top w:val="nil"/>
              <w:left w:val="nil"/>
              <w:bottom w:val="single" w:sz="4" w:space="0" w:color="auto"/>
              <w:right w:val="single" w:sz="4" w:space="0" w:color="auto"/>
            </w:tcBorders>
            <w:shd w:val="clear" w:color="000000" w:fill="FFFFFF"/>
            <w:noWrap/>
            <w:vAlign w:val="center"/>
            <w:hideMark/>
          </w:tcPr>
          <w:p w14:paraId="52E7530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w:t>
            </w:r>
          </w:p>
        </w:tc>
        <w:tc>
          <w:tcPr>
            <w:tcW w:w="1045" w:type="dxa"/>
            <w:tcBorders>
              <w:top w:val="nil"/>
              <w:left w:val="nil"/>
              <w:bottom w:val="single" w:sz="4" w:space="0" w:color="auto"/>
              <w:right w:val="single" w:sz="4" w:space="0" w:color="auto"/>
            </w:tcBorders>
            <w:shd w:val="clear" w:color="000000" w:fill="FFFFFF"/>
            <w:noWrap/>
            <w:vAlign w:val="center"/>
            <w:hideMark/>
          </w:tcPr>
          <w:p w14:paraId="0F688D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5,356,934</w:t>
            </w:r>
          </w:p>
        </w:tc>
        <w:tc>
          <w:tcPr>
            <w:tcW w:w="1045" w:type="dxa"/>
            <w:tcBorders>
              <w:top w:val="nil"/>
              <w:left w:val="nil"/>
              <w:bottom w:val="single" w:sz="4" w:space="0" w:color="auto"/>
              <w:right w:val="single" w:sz="4" w:space="0" w:color="auto"/>
            </w:tcBorders>
            <w:shd w:val="clear" w:color="000000" w:fill="FFFFFF"/>
            <w:noWrap/>
            <w:vAlign w:val="center"/>
            <w:hideMark/>
          </w:tcPr>
          <w:p w14:paraId="3913F68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w:t>
            </w:r>
          </w:p>
        </w:tc>
      </w:tr>
      <w:tr w:rsidR="00177999" w:rsidRPr="00057D13" w14:paraId="2B9A1D69"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4CB853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EC1F44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1C63B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4CD4AFDA"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685,589</w:t>
            </w:r>
          </w:p>
        </w:tc>
        <w:tc>
          <w:tcPr>
            <w:tcW w:w="854" w:type="dxa"/>
            <w:tcBorders>
              <w:top w:val="nil"/>
              <w:left w:val="nil"/>
              <w:bottom w:val="single" w:sz="4" w:space="0" w:color="auto"/>
              <w:right w:val="single" w:sz="4" w:space="0" w:color="auto"/>
            </w:tcBorders>
            <w:shd w:val="clear" w:color="000000" w:fill="FFFFFF"/>
            <w:noWrap/>
            <w:vAlign w:val="center"/>
            <w:hideMark/>
          </w:tcPr>
          <w:p w14:paraId="166B0C4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w:t>
            </w:r>
          </w:p>
        </w:tc>
        <w:tc>
          <w:tcPr>
            <w:tcW w:w="1013" w:type="dxa"/>
            <w:tcBorders>
              <w:top w:val="nil"/>
              <w:left w:val="nil"/>
              <w:bottom w:val="single" w:sz="4" w:space="0" w:color="auto"/>
              <w:right w:val="single" w:sz="4" w:space="0" w:color="auto"/>
            </w:tcBorders>
            <w:shd w:val="clear" w:color="000000" w:fill="FFFFFF"/>
            <w:noWrap/>
            <w:vAlign w:val="center"/>
            <w:hideMark/>
          </w:tcPr>
          <w:p w14:paraId="23C2973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5,467,492</w:t>
            </w:r>
          </w:p>
        </w:tc>
        <w:tc>
          <w:tcPr>
            <w:tcW w:w="623" w:type="dxa"/>
            <w:tcBorders>
              <w:top w:val="nil"/>
              <w:left w:val="nil"/>
              <w:bottom w:val="single" w:sz="4" w:space="0" w:color="auto"/>
              <w:right w:val="single" w:sz="4" w:space="0" w:color="auto"/>
            </w:tcBorders>
            <w:shd w:val="clear" w:color="000000" w:fill="FFFFFF"/>
            <w:noWrap/>
            <w:vAlign w:val="center"/>
            <w:hideMark/>
          </w:tcPr>
          <w:p w14:paraId="7B31201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1.60</w:t>
            </w:r>
          </w:p>
        </w:tc>
        <w:tc>
          <w:tcPr>
            <w:tcW w:w="811" w:type="dxa"/>
            <w:tcBorders>
              <w:top w:val="nil"/>
              <w:left w:val="nil"/>
              <w:bottom w:val="single" w:sz="4" w:space="0" w:color="auto"/>
              <w:right w:val="single" w:sz="4" w:space="0" w:color="auto"/>
            </w:tcBorders>
            <w:shd w:val="clear" w:color="000000" w:fill="FFFFFF"/>
            <w:noWrap/>
            <w:vAlign w:val="center"/>
            <w:hideMark/>
          </w:tcPr>
          <w:p w14:paraId="26A98BF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768,292</w:t>
            </w:r>
          </w:p>
        </w:tc>
        <w:tc>
          <w:tcPr>
            <w:tcW w:w="855" w:type="dxa"/>
            <w:tcBorders>
              <w:top w:val="nil"/>
              <w:left w:val="nil"/>
              <w:bottom w:val="single" w:sz="4" w:space="0" w:color="auto"/>
              <w:right w:val="single" w:sz="4" w:space="0" w:color="auto"/>
            </w:tcBorders>
            <w:shd w:val="clear" w:color="000000" w:fill="FFFFFF"/>
            <w:noWrap/>
            <w:vAlign w:val="center"/>
            <w:hideMark/>
          </w:tcPr>
          <w:p w14:paraId="516A78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20</w:t>
            </w:r>
          </w:p>
        </w:tc>
        <w:tc>
          <w:tcPr>
            <w:tcW w:w="1014" w:type="dxa"/>
            <w:tcBorders>
              <w:top w:val="nil"/>
              <w:left w:val="nil"/>
              <w:bottom w:val="single" w:sz="4" w:space="0" w:color="auto"/>
              <w:right w:val="single" w:sz="4" w:space="0" w:color="auto"/>
            </w:tcBorders>
            <w:shd w:val="clear" w:color="000000" w:fill="FFFFFF"/>
            <w:noWrap/>
            <w:vAlign w:val="center"/>
            <w:hideMark/>
          </w:tcPr>
          <w:p w14:paraId="7C91A8E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6,136,727</w:t>
            </w:r>
          </w:p>
        </w:tc>
        <w:tc>
          <w:tcPr>
            <w:tcW w:w="740" w:type="dxa"/>
            <w:tcBorders>
              <w:top w:val="nil"/>
              <w:left w:val="nil"/>
              <w:bottom w:val="single" w:sz="4" w:space="0" w:color="auto"/>
              <w:right w:val="single" w:sz="4" w:space="0" w:color="auto"/>
            </w:tcBorders>
            <w:shd w:val="clear" w:color="000000" w:fill="FFFFFF"/>
            <w:noWrap/>
            <w:vAlign w:val="center"/>
            <w:hideMark/>
          </w:tcPr>
          <w:p w14:paraId="7B0942C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1.11</w:t>
            </w:r>
          </w:p>
        </w:tc>
        <w:tc>
          <w:tcPr>
            <w:tcW w:w="718" w:type="dxa"/>
            <w:tcBorders>
              <w:top w:val="nil"/>
              <w:left w:val="nil"/>
              <w:bottom w:val="single" w:sz="4" w:space="0" w:color="auto"/>
              <w:right w:val="single" w:sz="4" w:space="0" w:color="auto"/>
            </w:tcBorders>
            <w:shd w:val="clear" w:color="000000" w:fill="FFFFFF"/>
            <w:noWrap/>
            <w:vAlign w:val="center"/>
            <w:hideMark/>
          </w:tcPr>
          <w:p w14:paraId="2D53307F"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666,728</w:t>
            </w:r>
          </w:p>
        </w:tc>
        <w:tc>
          <w:tcPr>
            <w:tcW w:w="882" w:type="dxa"/>
            <w:tcBorders>
              <w:top w:val="nil"/>
              <w:left w:val="nil"/>
              <w:bottom w:val="single" w:sz="4" w:space="0" w:color="auto"/>
              <w:right w:val="single" w:sz="4" w:space="0" w:color="auto"/>
            </w:tcBorders>
            <w:shd w:val="clear" w:color="000000" w:fill="FFFFFF"/>
            <w:noWrap/>
            <w:vAlign w:val="center"/>
            <w:hideMark/>
          </w:tcPr>
          <w:p w14:paraId="6B7843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w:t>
            </w:r>
          </w:p>
        </w:tc>
        <w:tc>
          <w:tcPr>
            <w:tcW w:w="1045" w:type="dxa"/>
            <w:tcBorders>
              <w:top w:val="nil"/>
              <w:left w:val="nil"/>
              <w:bottom w:val="single" w:sz="4" w:space="0" w:color="auto"/>
              <w:right w:val="single" w:sz="4" w:space="0" w:color="auto"/>
            </w:tcBorders>
            <w:shd w:val="clear" w:color="000000" w:fill="FFFFFF"/>
            <w:noWrap/>
            <w:vAlign w:val="center"/>
            <w:hideMark/>
          </w:tcPr>
          <w:p w14:paraId="7FB48F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5,310,571</w:t>
            </w:r>
          </w:p>
        </w:tc>
        <w:tc>
          <w:tcPr>
            <w:tcW w:w="1045" w:type="dxa"/>
            <w:tcBorders>
              <w:top w:val="nil"/>
              <w:left w:val="nil"/>
              <w:bottom w:val="single" w:sz="4" w:space="0" w:color="auto"/>
              <w:right w:val="single" w:sz="4" w:space="0" w:color="auto"/>
            </w:tcBorders>
            <w:shd w:val="clear" w:color="000000" w:fill="FFFFFF"/>
            <w:noWrap/>
            <w:vAlign w:val="center"/>
            <w:hideMark/>
          </w:tcPr>
          <w:p w14:paraId="4CE295D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w:t>
            </w:r>
          </w:p>
        </w:tc>
      </w:tr>
      <w:tr w:rsidR="00177999" w:rsidRPr="00057D13" w14:paraId="2E03D54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2671E9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90E1BD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D4FDB4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B9C258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347,431</w:t>
            </w:r>
          </w:p>
        </w:tc>
        <w:tc>
          <w:tcPr>
            <w:tcW w:w="854" w:type="dxa"/>
            <w:tcBorders>
              <w:top w:val="nil"/>
              <w:left w:val="nil"/>
              <w:bottom w:val="single" w:sz="4" w:space="0" w:color="auto"/>
              <w:right w:val="single" w:sz="4" w:space="0" w:color="auto"/>
            </w:tcBorders>
            <w:shd w:val="clear" w:color="000000" w:fill="FFFFFF"/>
            <w:noWrap/>
            <w:vAlign w:val="center"/>
            <w:hideMark/>
          </w:tcPr>
          <w:p w14:paraId="4057C99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w:t>
            </w:r>
          </w:p>
        </w:tc>
        <w:tc>
          <w:tcPr>
            <w:tcW w:w="1013" w:type="dxa"/>
            <w:tcBorders>
              <w:top w:val="nil"/>
              <w:left w:val="nil"/>
              <w:bottom w:val="single" w:sz="4" w:space="0" w:color="auto"/>
              <w:right w:val="single" w:sz="4" w:space="0" w:color="auto"/>
            </w:tcBorders>
            <w:shd w:val="clear" w:color="000000" w:fill="FFFFFF"/>
            <w:noWrap/>
            <w:vAlign w:val="center"/>
            <w:hideMark/>
          </w:tcPr>
          <w:p w14:paraId="02DD65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2,770,390</w:t>
            </w:r>
          </w:p>
        </w:tc>
        <w:tc>
          <w:tcPr>
            <w:tcW w:w="623" w:type="dxa"/>
            <w:tcBorders>
              <w:top w:val="nil"/>
              <w:left w:val="nil"/>
              <w:bottom w:val="single" w:sz="4" w:space="0" w:color="auto"/>
              <w:right w:val="single" w:sz="4" w:space="0" w:color="auto"/>
            </w:tcBorders>
            <w:shd w:val="clear" w:color="000000" w:fill="FFFFFF"/>
            <w:noWrap/>
            <w:vAlign w:val="center"/>
            <w:hideMark/>
          </w:tcPr>
          <w:p w14:paraId="02960E1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1.63</w:t>
            </w:r>
          </w:p>
        </w:tc>
        <w:tc>
          <w:tcPr>
            <w:tcW w:w="811" w:type="dxa"/>
            <w:tcBorders>
              <w:top w:val="nil"/>
              <w:left w:val="nil"/>
              <w:bottom w:val="single" w:sz="4" w:space="0" w:color="auto"/>
              <w:right w:val="single" w:sz="4" w:space="0" w:color="auto"/>
            </w:tcBorders>
            <w:shd w:val="clear" w:color="000000" w:fill="FFFFFF"/>
            <w:noWrap/>
            <w:vAlign w:val="center"/>
            <w:hideMark/>
          </w:tcPr>
          <w:p w14:paraId="51A71B77"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391,217</w:t>
            </w:r>
          </w:p>
        </w:tc>
        <w:tc>
          <w:tcPr>
            <w:tcW w:w="855" w:type="dxa"/>
            <w:tcBorders>
              <w:top w:val="nil"/>
              <w:left w:val="nil"/>
              <w:bottom w:val="single" w:sz="4" w:space="0" w:color="auto"/>
              <w:right w:val="single" w:sz="4" w:space="0" w:color="auto"/>
            </w:tcBorders>
            <w:shd w:val="clear" w:color="000000" w:fill="FFFFFF"/>
            <w:noWrap/>
            <w:vAlign w:val="center"/>
            <w:hideMark/>
          </w:tcPr>
          <w:p w14:paraId="12D57AE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w:t>
            </w:r>
          </w:p>
        </w:tc>
        <w:tc>
          <w:tcPr>
            <w:tcW w:w="1014" w:type="dxa"/>
            <w:tcBorders>
              <w:top w:val="nil"/>
              <w:left w:val="nil"/>
              <w:bottom w:val="single" w:sz="4" w:space="0" w:color="auto"/>
              <w:right w:val="single" w:sz="4" w:space="0" w:color="auto"/>
            </w:tcBorders>
            <w:shd w:val="clear" w:color="000000" w:fill="FFFFFF"/>
            <w:noWrap/>
            <w:vAlign w:val="center"/>
            <w:hideMark/>
          </w:tcPr>
          <w:p w14:paraId="22D961A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3,123,757</w:t>
            </w:r>
          </w:p>
        </w:tc>
        <w:tc>
          <w:tcPr>
            <w:tcW w:w="740" w:type="dxa"/>
            <w:tcBorders>
              <w:top w:val="nil"/>
              <w:left w:val="nil"/>
              <w:bottom w:val="single" w:sz="4" w:space="0" w:color="auto"/>
              <w:right w:val="single" w:sz="4" w:space="0" w:color="auto"/>
            </w:tcBorders>
            <w:shd w:val="clear" w:color="000000" w:fill="FFFFFF"/>
            <w:noWrap/>
            <w:vAlign w:val="center"/>
            <w:hideMark/>
          </w:tcPr>
          <w:p w14:paraId="088383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1.27</w:t>
            </w:r>
          </w:p>
        </w:tc>
        <w:tc>
          <w:tcPr>
            <w:tcW w:w="718" w:type="dxa"/>
            <w:tcBorders>
              <w:top w:val="nil"/>
              <w:left w:val="nil"/>
              <w:bottom w:val="single" w:sz="4" w:space="0" w:color="auto"/>
              <w:right w:val="single" w:sz="4" w:space="0" w:color="auto"/>
            </w:tcBorders>
            <w:shd w:val="clear" w:color="000000" w:fill="FFFFFF"/>
            <w:noWrap/>
            <w:vAlign w:val="center"/>
            <w:hideMark/>
          </w:tcPr>
          <w:p w14:paraId="3845A092" w14:textId="77777777" w:rsidR="00177999" w:rsidRPr="00057D13" w:rsidRDefault="00177999" w:rsidP="00057D13">
            <w:pPr>
              <w:spacing w:after="0" w:line="240" w:lineRule="auto"/>
              <w:jc w:val="center"/>
              <w:rPr>
                <w:rFonts w:ascii="Times New Roman" w:eastAsia="Times New Roman" w:hAnsi="Times New Roman" w:cs="Times New Roman"/>
                <w:sz w:val="18"/>
                <w:szCs w:val="18"/>
              </w:rPr>
            </w:pPr>
            <w:r w:rsidRPr="00057D13">
              <w:rPr>
                <w:rFonts w:ascii="Times New Roman" w:eastAsia="Times New Roman" w:hAnsi="Times New Roman" w:cs="Times New Roman"/>
                <w:sz w:val="18"/>
                <w:szCs w:val="18"/>
              </w:rPr>
              <w:t>335,928</w:t>
            </w:r>
          </w:p>
        </w:tc>
        <w:tc>
          <w:tcPr>
            <w:tcW w:w="882" w:type="dxa"/>
            <w:tcBorders>
              <w:top w:val="nil"/>
              <w:left w:val="nil"/>
              <w:bottom w:val="single" w:sz="4" w:space="0" w:color="auto"/>
              <w:right w:val="single" w:sz="4" w:space="0" w:color="auto"/>
            </w:tcBorders>
            <w:shd w:val="clear" w:color="000000" w:fill="FFFFFF"/>
            <w:noWrap/>
            <w:vAlign w:val="center"/>
            <w:hideMark/>
          </w:tcPr>
          <w:p w14:paraId="622DC76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1475D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2,675,382</w:t>
            </w:r>
          </w:p>
        </w:tc>
        <w:tc>
          <w:tcPr>
            <w:tcW w:w="1045" w:type="dxa"/>
            <w:tcBorders>
              <w:top w:val="nil"/>
              <w:left w:val="nil"/>
              <w:bottom w:val="single" w:sz="4" w:space="0" w:color="auto"/>
              <w:right w:val="single" w:sz="4" w:space="0" w:color="auto"/>
            </w:tcBorders>
            <w:shd w:val="clear" w:color="000000" w:fill="FFFFFF"/>
            <w:noWrap/>
            <w:vAlign w:val="center"/>
            <w:hideMark/>
          </w:tcPr>
          <w:p w14:paraId="79C8F8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0.91</w:t>
            </w:r>
          </w:p>
        </w:tc>
      </w:tr>
      <w:tr w:rsidR="00177999" w:rsidRPr="00057D13" w14:paraId="0D9104A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419CB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9EDFA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1</w:t>
            </w:r>
          </w:p>
        </w:tc>
        <w:tc>
          <w:tcPr>
            <w:tcW w:w="479" w:type="dxa"/>
            <w:tcBorders>
              <w:top w:val="nil"/>
              <w:left w:val="nil"/>
              <w:bottom w:val="single" w:sz="4" w:space="0" w:color="auto"/>
              <w:right w:val="single" w:sz="4" w:space="0" w:color="auto"/>
            </w:tcBorders>
            <w:shd w:val="clear" w:color="000000" w:fill="FFFFFF"/>
            <w:noWrap/>
            <w:vAlign w:val="center"/>
            <w:hideMark/>
          </w:tcPr>
          <w:p w14:paraId="05F6101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4BD2F0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388,213</w:t>
            </w:r>
          </w:p>
        </w:tc>
        <w:tc>
          <w:tcPr>
            <w:tcW w:w="854" w:type="dxa"/>
            <w:tcBorders>
              <w:top w:val="nil"/>
              <w:left w:val="nil"/>
              <w:bottom w:val="single" w:sz="4" w:space="0" w:color="auto"/>
              <w:right w:val="single" w:sz="4" w:space="0" w:color="auto"/>
            </w:tcBorders>
            <w:shd w:val="clear" w:color="000000" w:fill="FFFFFF"/>
            <w:noWrap/>
            <w:vAlign w:val="center"/>
            <w:hideMark/>
          </w:tcPr>
          <w:p w14:paraId="766EE0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6A720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3,076,139</w:t>
            </w:r>
          </w:p>
        </w:tc>
        <w:tc>
          <w:tcPr>
            <w:tcW w:w="623" w:type="dxa"/>
            <w:tcBorders>
              <w:top w:val="nil"/>
              <w:left w:val="nil"/>
              <w:bottom w:val="single" w:sz="4" w:space="0" w:color="auto"/>
              <w:right w:val="single" w:sz="4" w:space="0" w:color="auto"/>
            </w:tcBorders>
            <w:shd w:val="clear" w:color="000000" w:fill="FFFFFF"/>
            <w:noWrap/>
            <w:vAlign w:val="center"/>
            <w:hideMark/>
          </w:tcPr>
          <w:p w14:paraId="24A73E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2.26</w:t>
            </w:r>
          </w:p>
        </w:tc>
        <w:tc>
          <w:tcPr>
            <w:tcW w:w="811" w:type="dxa"/>
            <w:tcBorders>
              <w:top w:val="nil"/>
              <w:left w:val="nil"/>
              <w:bottom w:val="single" w:sz="4" w:space="0" w:color="auto"/>
              <w:right w:val="single" w:sz="4" w:space="0" w:color="auto"/>
            </w:tcBorders>
            <w:shd w:val="clear" w:color="000000" w:fill="FFFFFF"/>
            <w:noWrap/>
            <w:vAlign w:val="center"/>
            <w:hideMark/>
          </w:tcPr>
          <w:p w14:paraId="3F1C421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401,399</w:t>
            </w:r>
          </w:p>
        </w:tc>
        <w:tc>
          <w:tcPr>
            <w:tcW w:w="855" w:type="dxa"/>
            <w:tcBorders>
              <w:top w:val="nil"/>
              <w:left w:val="nil"/>
              <w:bottom w:val="single" w:sz="4" w:space="0" w:color="auto"/>
              <w:right w:val="single" w:sz="4" w:space="0" w:color="auto"/>
            </w:tcBorders>
            <w:shd w:val="clear" w:color="000000" w:fill="FFFFFF"/>
            <w:noWrap/>
            <w:vAlign w:val="center"/>
            <w:hideMark/>
          </w:tcPr>
          <w:p w14:paraId="3A217FD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232607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3,199,876</w:t>
            </w:r>
          </w:p>
        </w:tc>
        <w:tc>
          <w:tcPr>
            <w:tcW w:w="740" w:type="dxa"/>
            <w:tcBorders>
              <w:top w:val="nil"/>
              <w:left w:val="nil"/>
              <w:bottom w:val="single" w:sz="4" w:space="0" w:color="auto"/>
              <w:right w:val="single" w:sz="4" w:space="0" w:color="auto"/>
            </w:tcBorders>
            <w:shd w:val="clear" w:color="000000" w:fill="FFFFFF"/>
            <w:noWrap/>
            <w:vAlign w:val="center"/>
            <w:hideMark/>
          </w:tcPr>
          <w:p w14:paraId="51AC0E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1.98</w:t>
            </w:r>
          </w:p>
        </w:tc>
        <w:tc>
          <w:tcPr>
            <w:tcW w:w="718" w:type="dxa"/>
            <w:tcBorders>
              <w:top w:val="nil"/>
              <w:left w:val="nil"/>
              <w:bottom w:val="single" w:sz="4" w:space="0" w:color="auto"/>
              <w:right w:val="single" w:sz="4" w:space="0" w:color="auto"/>
            </w:tcBorders>
            <w:shd w:val="clear" w:color="000000" w:fill="FFFFFF"/>
            <w:noWrap/>
            <w:vAlign w:val="center"/>
            <w:hideMark/>
          </w:tcPr>
          <w:p w14:paraId="50B31B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369,270</w:t>
            </w:r>
          </w:p>
        </w:tc>
        <w:tc>
          <w:tcPr>
            <w:tcW w:w="882" w:type="dxa"/>
            <w:tcBorders>
              <w:top w:val="nil"/>
              <w:left w:val="nil"/>
              <w:bottom w:val="single" w:sz="4" w:space="0" w:color="auto"/>
              <w:right w:val="single" w:sz="4" w:space="0" w:color="auto"/>
            </w:tcBorders>
            <w:shd w:val="clear" w:color="000000" w:fill="FFFFFF"/>
            <w:noWrap/>
            <w:vAlign w:val="center"/>
            <w:hideMark/>
          </w:tcPr>
          <w:p w14:paraId="022D5A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20E7AFA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2,922,238</w:t>
            </w:r>
          </w:p>
        </w:tc>
        <w:tc>
          <w:tcPr>
            <w:tcW w:w="1045" w:type="dxa"/>
            <w:tcBorders>
              <w:top w:val="nil"/>
              <w:left w:val="nil"/>
              <w:bottom w:val="single" w:sz="4" w:space="0" w:color="auto"/>
              <w:right w:val="single" w:sz="4" w:space="0" w:color="auto"/>
            </w:tcBorders>
            <w:shd w:val="clear" w:color="000000" w:fill="FFFFFF"/>
            <w:noWrap/>
            <w:vAlign w:val="center"/>
            <w:hideMark/>
          </w:tcPr>
          <w:p w14:paraId="734A89A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1.22</w:t>
            </w:r>
          </w:p>
        </w:tc>
      </w:tr>
      <w:tr w:rsidR="00177999" w:rsidRPr="00057D13" w14:paraId="7F6F1EBA"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0F6B1FF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BB5A57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299873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6E44F2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363,843</w:t>
            </w:r>
          </w:p>
        </w:tc>
        <w:tc>
          <w:tcPr>
            <w:tcW w:w="854" w:type="dxa"/>
            <w:tcBorders>
              <w:top w:val="nil"/>
              <w:left w:val="nil"/>
              <w:bottom w:val="single" w:sz="4" w:space="0" w:color="auto"/>
              <w:right w:val="single" w:sz="4" w:space="0" w:color="auto"/>
            </w:tcBorders>
            <w:shd w:val="clear" w:color="000000" w:fill="FFFFFF"/>
            <w:noWrap/>
            <w:vAlign w:val="center"/>
            <w:hideMark/>
          </w:tcPr>
          <w:p w14:paraId="2FBD31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81968B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2,900,710</w:t>
            </w:r>
          </w:p>
        </w:tc>
        <w:tc>
          <w:tcPr>
            <w:tcW w:w="623" w:type="dxa"/>
            <w:tcBorders>
              <w:top w:val="nil"/>
              <w:left w:val="nil"/>
              <w:bottom w:val="single" w:sz="4" w:space="0" w:color="auto"/>
              <w:right w:val="single" w:sz="4" w:space="0" w:color="auto"/>
            </w:tcBorders>
            <w:shd w:val="clear" w:color="000000" w:fill="FFFFFF"/>
            <w:noWrap/>
            <w:vAlign w:val="center"/>
            <w:hideMark/>
          </w:tcPr>
          <w:p w14:paraId="51D2CCC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1.42</w:t>
            </w:r>
          </w:p>
        </w:tc>
        <w:tc>
          <w:tcPr>
            <w:tcW w:w="811" w:type="dxa"/>
            <w:tcBorders>
              <w:top w:val="nil"/>
              <w:left w:val="nil"/>
              <w:bottom w:val="single" w:sz="4" w:space="0" w:color="auto"/>
              <w:right w:val="single" w:sz="4" w:space="0" w:color="auto"/>
            </w:tcBorders>
            <w:shd w:val="clear" w:color="000000" w:fill="FFFFFF"/>
            <w:noWrap/>
            <w:vAlign w:val="center"/>
            <w:hideMark/>
          </w:tcPr>
          <w:p w14:paraId="1F0602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422,576</w:t>
            </w:r>
          </w:p>
        </w:tc>
        <w:tc>
          <w:tcPr>
            <w:tcW w:w="855" w:type="dxa"/>
            <w:tcBorders>
              <w:top w:val="nil"/>
              <w:left w:val="nil"/>
              <w:bottom w:val="single" w:sz="4" w:space="0" w:color="auto"/>
              <w:right w:val="single" w:sz="4" w:space="0" w:color="auto"/>
            </w:tcBorders>
            <w:shd w:val="clear" w:color="000000" w:fill="FFFFFF"/>
            <w:noWrap/>
            <w:vAlign w:val="center"/>
            <w:hideMark/>
          </w:tcPr>
          <w:p w14:paraId="449F66E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323C71C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3,375,193</w:t>
            </w:r>
          </w:p>
        </w:tc>
        <w:tc>
          <w:tcPr>
            <w:tcW w:w="740" w:type="dxa"/>
            <w:tcBorders>
              <w:top w:val="nil"/>
              <w:left w:val="nil"/>
              <w:bottom w:val="single" w:sz="4" w:space="0" w:color="auto"/>
              <w:right w:val="single" w:sz="4" w:space="0" w:color="auto"/>
            </w:tcBorders>
            <w:shd w:val="clear" w:color="000000" w:fill="FFFFFF"/>
            <w:noWrap/>
            <w:vAlign w:val="center"/>
            <w:hideMark/>
          </w:tcPr>
          <w:p w14:paraId="53E5DDC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0.91</w:t>
            </w:r>
          </w:p>
        </w:tc>
        <w:tc>
          <w:tcPr>
            <w:tcW w:w="718" w:type="dxa"/>
            <w:tcBorders>
              <w:top w:val="nil"/>
              <w:left w:val="nil"/>
              <w:bottom w:val="single" w:sz="4" w:space="0" w:color="auto"/>
              <w:right w:val="single" w:sz="4" w:space="0" w:color="auto"/>
            </w:tcBorders>
            <w:shd w:val="clear" w:color="000000" w:fill="FFFFFF"/>
            <w:noWrap/>
            <w:vAlign w:val="center"/>
            <w:hideMark/>
          </w:tcPr>
          <w:p w14:paraId="3479BFC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358,999</w:t>
            </w:r>
          </w:p>
        </w:tc>
        <w:tc>
          <w:tcPr>
            <w:tcW w:w="882" w:type="dxa"/>
            <w:tcBorders>
              <w:top w:val="nil"/>
              <w:left w:val="nil"/>
              <w:bottom w:val="single" w:sz="4" w:space="0" w:color="auto"/>
              <w:right w:val="single" w:sz="4" w:space="0" w:color="auto"/>
            </w:tcBorders>
            <w:shd w:val="clear" w:color="000000" w:fill="FFFFFF"/>
            <w:noWrap/>
            <w:vAlign w:val="center"/>
            <w:hideMark/>
          </w:tcPr>
          <w:p w14:paraId="3DBF471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6E179C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2,859,080</w:t>
            </w:r>
          </w:p>
        </w:tc>
        <w:tc>
          <w:tcPr>
            <w:tcW w:w="1045" w:type="dxa"/>
            <w:tcBorders>
              <w:top w:val="nil"/>
              <w:left w:val="nil"/>
              <w:bottom w:val="single" w:sz="4" w:space="0" w:color="auto"/>
              <w:right w:val="single" w:sz="4" w:space="0" w:color="auto"/>
            </w:tcBorders>
            <w:shd w:val="clear" w:color="000000" w:fill="FFFFFF"/>
            <w:noWrap/>
            <w:vAlign w:val="center"/>
            <w:hideMark/>
          </w:tcPr>
          <w:p w14:paraId="1AD884E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w:t>
            </w:r>
          </w:p>
        </w:tc>
      </w:tr>
      <w:tr w:rsidR="00177999" w:rsidRPr="00057D13" w14:paraId="32918EF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64FAC8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3DB2A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0A0395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692528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186,243</w:t>
            </w:r>
          </w:p>
        </w:tc>
        <w:tc>
          <w:tcPr>
            <w:tcW w:w="854" w:type="dxa"/>
            <w:tcBorders>
              <w:top w:val="nil"/>
              <w:left w:val="nil"/>
              <w:bottom w:val="single" w:sz="4" w:space="0" w:color="auto"/>
              <w:right w:val="single" w:sz="4" w:space="0" w:color="auto"/>
            </w:tcBorders>
            <w:shd w:val="clear" w:color="000000" w:fill="FFFFFF"/>
            <w:noWrap/>
            <w:vAlign w:val="center"/>
            <w:hideMark/>
          </w:tcPr>
          <w:p w14:paraId="767524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06FA3E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1,484,375</w:t>
            </w:r>
          </w:p>
        </w:tc>
        <w:tc>
          <w:tcPr>
            <w:tcW w:w="623" w:type="dxa"/>
            <w:tcBorders>
              <w:top w:val="nil"/>
              <w:left w:val="nil"/>
              <w:bottom w:val="single" w:sz="4" w:space="0" w:color="auto"/>
              <w:right w:val="single" w:sz="4" w:space="0" w:color="auto"/>
            </w:tcBorders>
            <w:shd w:val="clear" w:color="000000" w:fill="FFFFFF"/>
            <w:noWrap/>
            <w:vAlign w:val="center"/>
            <w:hideMark/>
          </w:tcPr>
          <w:p w14:paraId="492F034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2.22</w:t>
            </w:r>
          </w:p>
        </w:tc>
        <w:tc>
          <w:tcPr>
            <w:tcW w:w="811" w:type="dxa"/>
            <w:tcBorders>
              <w:top w:val="nil"/>
              <w:left w:val="nil"/>
              <w:bottom w:val="single" w:sz="4" w:space="0" w:color="auto"/>
              <w:right w:val="single" w:sz="4" w:space="0" w:color="auto"/>
            </w:tcBorders>
            <w:shd w:val="clear" w:color="000000" w:fill="FFFFFF"/>
            <w:noWrap/>
            <w:vAlign w:val="center"/>
            <w:hideMark/>
          </w:tcPr>
          <w:p w14:paraId="2B9CD17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220,499</w:t>
            </w:r>
          </w:p>
        </w:tc>
        <w:tc>
          <w:tcPr>
            <w:tcW w:w="855" w:type="dxa"/>
            <w:tcBorders>
              <w:top w:val="nil"/>
              <w:left w:val="nil"/>
              <w:bottom w:val="single" w:sz="4" w:space="0" w:color="auto"/>
              <w:right w:val="single" w:sz="4" w:space="0" w:color="auto"/>
            </w:tcBorders>
            <w:shd w:val="clear" w:color="000000" w:fill="FFFFFF"/>
            <w:noWrap/>
            <w:vAlign w:val="center"/>
            <w:hideMark/>
          </w:tcPr>
          <w:p w14:paraId="3A1BCD6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57A454E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1,760,130</w:t>
            </w:r>
          </w:p>
        </w:tc>
        <w:tc>
          <w:tcPr>
            <w:tcW w:w="740" w:type="dxa"/>
            <w:tcBorders>
              <w:top w:val="nil"/>
              <w:left w:val="nil"/>
              <w:bottom w:val="single" w:sz="4" w:space="0" w:color="auto"/>
              <w:right w:val="single" w:sz="4" w:space="0" w:color="auto"/>
            </w:tcBorders>
            <w:shd w:val="clear" w:color="000000" w:fill="FFFFFF"/>
            <w:noWrap/>
            <w:vAlign w:val="center"/>
            <w:hideMark/>
          </w:tcPr>
          <w:p w14:paraId="565992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1.33</w:t>
            </w:r>
          </w:p>
        </w:tc>
        <w:tc>
          <w:tcPr>
            <w:tcW w:w="718" w:type="dxa"/>
            <w:tcBorders>
              <w:top w:val="nil"/>
              <w:left w:val="nil"/>
              <w:bottom w:val="single" w:sz="4" w:space="0" w:color="auto"/>
              <w:right w:val="single" w:sz="4" w:space="0" w:color="auto"/>
            </w:tcBorders>
            <w:shd w:val="clear" w:color="000000" w:fill="FFFFFF"/>
            <w:noWrap/>
            <w:vAlign w:val="center"/>
            <w:hideMark/>
          </w:tcPr>
          <w:p w14:paraId="455848B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184,243</w:t>
            </w:r>
          </w:p>
        </w:tc>
        <w:tc>
          <w:tcPr>
            <w:tcW w:w="882" w:type="dxa"/>
            <w:tcBorders>
              <w:top w:val="nil"/>
              <w:left w:val="nil"/>
              <w:bottom w:val="single" w:sz="4" w:space="0" w:color="auto"/>
              <w:right w:val="single" w:sz="4" w:space="0" w:color="auto"/>
            </w:tcBorders>
            <w:shd w:val="clear" w:color="000000" w:fill="FFFFFF"/>
            <w:noWrap/>
            <w:vAlign w:val="center"/>
            <w:hideMark/>
          </w:tcPr>
          <w:p w14:paraId="66EAB3B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54FCD9B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1,467,105</w:t>
            </w:r>
          </w:p>
        </w:tc>
        <w:tc>
          <w:tcPr>
            <w:tcW w:w="1045" w:type="dxa"/>
            <w:tcBorders>
              <w:top w:val="nil"/>
              <w:left w:val="nil"/>
              <w:bottom w:val="single" w:sz="4" w:space="0" w:color="auto"/>
              <w:right w:val="single" w:sz="4" w:space="0" w:color="auto"/>
            </w:tcBorders>
            <w:shd w:val="clear" w:color="000000" w:fill="FFFFFF"/>
            <w:noWrap/>
            <w:vAlign w:val="center"/>
            <w:hideMark/>
          </w:tcPr>
          <w:p w14:paraId="0338BC0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1.04</w:t>
            </w:r>
          </w:p>
        </w:tc>
      </w:tr>
      <w:tr w:rsidR="00177999" w:rsidRPr="00057D13" w14:paraId="020C3A9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152665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D0A694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2</w:t>
            </w:r>
          </w:p>
        </w:tc>
        <w:tc>
          <w:tcPr>
            <w:tcW w:w="479" w:type="dxa"/>
            <w:tcBorders>
              <w:top w:val="nil"/>
              <w:left w:val="nil"/>
              <w:bottom w:val="single" w:sz="4" w:space="0" w:color="auto"/>
              <w:right w:val="single" w:sz="4" w:space="0" w:color="auto"/>
            </w:tcBorders>
            <w:shd w:val="clear" w:color="000000" w:fill="FFFFFF"/>
            <w:noWrap/>
            <w:vAlign w:val="center"/>
            <w:hideMark/>
          </w:tcPr>
          <w:p w14:paraId="1375F59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2F5B03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344,290</w:t>
            </w:r>
          </w:p>
        </w:tc>
        <w:tc>
          <w:tcPr>
            <w:tcW w:w="854" w:type="dxa"/>
            <w:tcBorders>
              <w:top w:val="nil"/>
              <w:left w:val="nil"/>
              <w:bottom w:val="single" w:sz="4" w:space="0" w:color="auto"/>
              <w:right w:val="single" w:sz="4" w:space="0" w:color="auto"/>
            </w:tcBorders>
            <w:shd w:val="clear" w:color="000000" w:fill="FFFFFF"/>
            <w:noWrap/>
            <w:vAlign w:val="center"/>
            <w:hideMark/>
          </w:tcPr>
          <w:p w14:paraId="51A27CC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61999D0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2,728,744</w:t>
            </w:r>
          </w:p>
        </w:tc>
        <w:tc>
          <w:tcPr>
            <w:tcW w:w="623" w:type="dxa"/>
            <w:tcBorders>
              <w:top w:val="nil"/>
              <w:left w:val="nil"/>
              <w:bottom w:val="single" w:sz="4" w:space="0" w:color="auto"/>
              <w:right w:val="single" w:sz="4" w:space="0" w:color="auto"/>
            </w:tcBorders>
            <w:shd w:val="clear" w:color="000000" w:fill="FFFFFF"/>
            <w:noWrap/>
            <w:vAlign w:val="center"/>
            <w:hideMark/>
          </w:tcPr>
          <w:p w14:paraId="5D2930D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1.29</w:t>
            </w:r>
          </w:p>
        </w:tc>
        <w:tc>
          <w:tcPr>
            <w:tcW w:w="811" w:type="dxa"/>
            <w:tcBorders>
              <w:top w:val="nil"/>
              <w:left w:val="nil"/>
              <w:bottom w:val="single" w:sz="4" w:space="0" w:color="auto"/>
              <w:right w:val="single" w:sz="4" w:space="0" w:color="auto"/>
            </w:tcBorders>
            <w:shd w:val="clear" w:color="000000" w:fill="FFFFFF"/>
            <w:noWrap/>
            <w:vAlign w:val="center"/>
            <w:hideMark/>
          </w:tcPr>
          <w:p w14:paraId="10437D2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320,079</w:t>
            </w:r>
          </w:p>
        </w:tc>
        <w:tc>
          <w:tcPr>
            <w:tcW w:w="855" w:type="dxa"/>
            <w:tcBorders>
              <w:top w:val="nil"/>
              <w:left w:val="nil"/>
              <w:bottom w:val="single" w:sz="4" w:space="0" w:color="auto"/>
              <w:right w:val="single" w:sz="4" w:space="0" w:color="auto"/>
            </w:tcBorders>
            <w:shd w:val="clear" w:color="000000" w:fill="FFFFFF"/>
            <w:noWrap/>
            <w:vAlign w:val="center"/>
            <w:hideMark/>
          </w:tcPr>
          <w:p w14:paraId="0824FAD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DB8C4E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2,548,542</w:t>
            </w:r>
          </w:p>
        </w:tc>
        <w:tc>
          <w:tcPr>
            <w:tcW w:w="740" w:type="dxa"/>
            <w:tcBorders>
              <w:top w:val="nil"/>
              <w:left w:val="nil"/>
              <w:bottom w:val="single" w:sz="4" w:space="0" w:color="auto"/>
              <w:right w:val="single" w:sz="4" w:space="0" w:color="auto"/>
            </w:tcBorders>
            <w:shd w:val="clear" w:color="000000" w:fill="FFFFFF"/>
            <w:noWrap/>
            <w:vAlign w:val="center"/>
            <w:hideMark/>
          </w:tcPr>
          <w:p w14:paraId="0465C85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1.53</w:t>
            </w:r>
          </w:p>
        </w:tc>
        <w:tc>
          <w:tcPr>
            <w:tcW w:w="718" w:type="dxa"/>
            <w:tcBorders>
              <w:top w:val="nil"/>
              <w:left w:val="nil"/>
              <w:bottom w:val="single" w:sz="4" w:space="0" w:color="auto"/>
              <w:right w:val="single" w:sz="4" w:space="0" w:color="auto"/>
            </w:tcBorders>
            <w:shd w:val="clear" w:color="000000" w:fill="FFFFFF"/>
            <w:noWrap/>
            <w:vAlign w:val="center"/>
            <w:hideMark/>
          </w:tcPr>
          <w:p w14:paraId="4FC3EBA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307,440</w:t>
            </w:r>
          </w:p>
        </w:tc>
        <w:tc>
          <w:tcPr>
            <w:tcW w:w="882" w:type="dxa"/>
            <w:tcBorders>
              <w:top w:val="nil"/>
              <w:left w:val="nil"/>
              <w:bottom w:val="single" w:sz="4" w:space="0" w:color="auto"/>
              <w:right w:val="single" w:sz="4" w:space="0" w:color="auto"/>
            </w:tcBorders>
            <w:shd w:val="clear" w:color="000000" w:fill="FFFFFF"/>
            <w:noWrap/>
            <w:vAlign w:val="center"/>
            <w:hideMark/>
          </w:tcPr>
          <w:p w14:paraId="2A34400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31894EF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2,434,696</w:t>
            </w:r>
          </w:p>
        </w:tc>
        <w:tc>
          <w:tcPr>
            <w:tcW w:w="1045" w:type="dxa"/>
            <w:tcBorders>
              <w:top w:val="nil"/>
              <w:left w:val="nil"/>
              <w:bottom w:val="single" w:sz="4" w:space="0" w:color="auto"/>
              <w:right w:val="single" w:sz="4" w:space="0" w:color="auto"/>
            </w:tcBorders>
            <w:shd w:val="clear" w:color="000000" w:fill="FFFFFF"/>
            <w:noWrap/>
            <w:vAlign w:val="center"/>
            <w:hideMark/>
          </w:tcPr>
          <w:p w14:paraId="7BA8492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1.46</w:t>
            </w:r>
          </w:p>
        </w:tc>
      </w:tr>
      <w:tr w:rsidR="00177999" w:rsidRPr="00057D13" w14:paraId="19613AA7"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2A2F597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588EC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0E89DE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16FF040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321,746</w:t>
            </w:r>
          </w:p>
        </w:tc>
        <w:tc>
          <w:tcPr>
            <w:tcW w:w="854" w:type="dxa"/>
            <w:tcBorders>
              <w:top w:val="nil"/>
              <w:left w:val="nil"/>
              <w:bottom w:val="single" w:sz="4" w:space="0" w:color="auto"/>
              <w:right w:val="single" w:sz="4" w:space="0" w:color="auto"/>
            </w:tcBorders>
            <w:shd w:val="clear" w:color="000000" w:fill="FFFFFF"/>
            <w:noWrap/>
            <w:vAlign w:val="center"/>
            <w:hideMark/>
          </w:tcPr>
          <w:p w14:paraId="504A81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55598F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2,566,782</w:t>
            </w:r>
          </w:p>
        </w:tc>
        <w:tc>
          <w:tcPr>
            <w:tcW w:w="623" w:type="dxa"/>
            <w:tcBorders>
              <w:top w:val="nil"/>
              <w:left w:val="nil"/>
              <w:bottom w:val="single" w:sz="4" w:space="0" w:color="auto"/>
              <w:right w:val="single" w:sz="4" w:space="0" w:color="auto"/>
            </w:tcBorders>
            <w:shd w:val="clear" w:color="000000" w:fill="FFFFFF"/>
            <w:noWrap/>
            <w:vAlign w:val="center"/>
            <w:hideMark/>
          </w:tcPr>
          <w:p w14:paraId="67E832A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1.81</w:t>
            </w:r>
          </w:p>
        </w:tc>
        <w:tc>
          <w:tcPr>
            <w:tcW w:w="811" w:type="dxa"/>
            <w:tcBorders>
              <w:top w:val="nil"/>
              <w:left w:val="nil"/>
              <w:bottom w:val="single" w:sz="4" w:space="0" w:color="auto"/>
              <w:right w:val="single" w:sz="4" w:space="0" w:color="auto"/>
            </w:tcBorders>
            <w:shd w:val="clear" w:color="000000" w:fill="FFFFFF"/>
            <w:noWrap/>
            <w:vAlign w:val="center"/>
            <w:hideMark/>
          </w:tcPr>
          <w:p w14:paraId="51EB698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345,716</w:t>
            </w:r>
          </w:p>
        </w:tc>
        <w:tc>
          <w:tcPr>
            <w:tcW w:w="855" w:type="dxa"/>
            <w:tcBorders>
              <w:top w:val="nil"/>
              <w:left w:val="nil"/>
              <w:bottom w:val="single" w:sz="4" w:space="0" w:color="auto"/>
              <w:right w:val="single" w:sz="4" w:space="0" w:color="auto"/>
            </w:tcBorders>
            <w:shd w:val="clear" w:color="000000" w:fill="FFFFFF"/>
            <w:noWrap/>
            <w:vAlign w:val="center"/>
            <w:hideMark/>
          </w:tcPr>
          <w:p w14:paraId="4F3D84B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61849C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2,761,534</w:t>
            </w:r>
          </w:p>
        </w:tc>
        <w:tc>
          <w:tcPr>
            <w:tcW w:w="740" w:type="dxa"/>
            <w:tcBorders>
              <w:top w:val="nil"/>
              <w:left w:val="nil"/>
              <w:bottom w:val="single" w:sz="4" w:space="0" w:color="auto"/>
              <w:right w:val="single" w:sz="4" w:space="0" w:color="auto"/>
            </w:tcBorders>
            <w:shd w:val="clear" w:color="000000" w:fill="FFFFFF"/>
            <w:noWrap/>
            <w:vAlign w:val="center"/>
            <w:hideMark/>
          </w:tcPr>
          <w:p w14:paraId="6CD40C9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w:t>
            </w:r>
          </w:p>
        </w:tc>
        <w:tc>
          <w:tcPr>
            <w:tcW w:w="718" w:type="dxa"/>
            <w:tcBorders>
              <w:top w:val="nil"/>
              <w:left w:val="nil"/>
              <w:bottom w:val="single" w:sz="4" w:space="0" w:color="auto"/>
              <w:right w:val="single" w:sz="4" w:space="0" w:color="auto"/>
            </w:tcBorders>
            <w:shd w:val="clear" w:color="000000" w:fill="FFFFFF"/>
            <w:noWrap/>
            <w:vAlign w:val="center"/>
            <w:hideMark/>
          </w:tcPr>
          <w:p w14:paraId="1DF41C3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307,729</w:t>
            </w:r>
          </w:p>
        </w:tc>
        <w:tc>
          <w:tcPr>
            <w:tcW w:w="882" w:type="dxa"/>
            <w:tcBorders>
              <w:top w:val="nil"/>
              <w:left w:val="nil"/>
              <w:bottom w:val="single" w:sz="4" w:space="0" w:color="auto"/>
              <w:right w:val="single" w:sz="4" w:space="0" w:color="auto"/>
            </w:tcBorders>
            <w:shd w:val="clear" w:color="000000" w:fill="FFFFFF"/>
            <w:noWrap/>
            <w:vAlign w:val="center"/>
            <w:hideMark/>
          </w:tcPr>
          <w:p w14:paraId="38EBC46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7DA430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2,451,491</w:t>
            </w:r>
          </w:p>
        </w:tc>
        <w:tc>
          <w:tcPr>
            <w:tcW w:w="1045" w:type="dxa"/>
            <w:tcBorders>
              <w:top w:val="nil"/>
              <w:left w:val="nil"/>
              <w:bottom w:val="single" w:sz="4" w:space="0" w:color="auto"/>
              <w:right w:val="single" w:sz="4" w:space="0" w:color="auto"/>
            </w:tcBorders>
            <w:shd w:val="clear" w:color="000000" w:fill="FFFFFF"/>
            <w:noWrap/>
            <w:vAlign w:val="center"/>
            <w:hideMark/>
          </w:tcPr>
          <w:p w14:paraId="1B4AA32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0.97</w:t>
            </w:r>
          </w:p>
        </w:tc>
      </w:tr>
      <w:tr w:rsidR="00177999" w:rsidRPr="00057D13" w14:paraId="5EB847F5"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4213D05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0D2C71E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7D1950C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4F3DABA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161,188</w:t>
            </w:r>
          </w:p>
        </w:tc>
        <w:tc>
          <w:tcPr>
            <w:tcW w:w="854" w:type="dxa"/>
            <w:tcBorders>
              <w:top w:val="nil"/>
              <w:left w:val="nil"/>
              <w:bottom w:val="single" w:sz="4" w:space="0" w:color="auto"/>
              <w:right w:val="single" w:sz="4" w:space="0" w:color="auto"/>
            </w:tcBorders>
            <w:shd w:val="clear" w:color="000000" w:fill="FFFFFF"/>
            <w:noWrap/>
            <w:vAlign w:val="center"/>
            <w:hideMark/>
          </w:tcPr>
          <w:p w14:paraId="0BEFF89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01FC206"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1,286,015</w:t>
            </w:r>
          </w:p>
        </w:tc>
        <w:tc>
          <w:tcPr>
            <w:tcW w:w="623" w:type="dxa"/>
            <w:tcBorders>
              <w:top w:val="nil"/>
              <w:left w:val="nil"/>
              <w:bottom w:val="single" w:sz="4" w:space="0" w:color="auto"/>
              <w:right w:val="single" w:sz="4" w:space="0" w:color="auto"/>
            </w:tcBorders>
            <w:shd w:val="clear" w:color="000000" w:fill="FFFFFF"/>
            <w:noWrap/>
            <w:vAlign w:val="center"/>
            <w:hideMark/>
          </w:tcPr>
          <w:p w14:paraId="2D63108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1.28</w:t>
            </w:r>
          </w:p>
        </w:tc>
        <w:tc>
          <w:tcPr>
            <w:tcW w:w="811" w:type="dxa"/>
            <w:tcBorders>
              <w:top w:val="nil"/>
              <w:left w:val="nil"/>
              <w:bottom w:val="single" w:sz="4" w:space="0" w:color="auto"/>
              <w:right w:val="single" w:sz="4" w:space="0" w:color="auto"/>
            </w:tcBorders>
            <w:shd w:val="clear" w:color="000000" w:fill="FFFFFF"/>
            <w:noWrap/>
            <w:vAlign w:val="center"/>
            <w:hideMark/>
          </w:tcPr>
          <w:p w14:paraId="4C7D2B22"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170,718</w:t>
            </w:r>
          </w:p>
        </w:tc>
        <w:tc>
          <w:tcPr>
            <w:tcW w:w="855" w:type="dxa"/>
            <w:tcBorders>
              <w:top w:val="nil"/>
              <w:left w:val="nil"/>
              <w:bottom w:val="single" w:sz="4" w:space="0" w:color="auto"/>
              <w:right w:val="single" w:sz="4" w:space="0" w:color="auto"/>
            </w:tcBorders>
            <w:shd w:val="clear" w:color="000000" w:fill="FFFFFF"/>
            <w:noWrap/>
            <w:vAlign w:val="center"/>
            <w:hideMark/>
          </w:tcPr>
          <w:p w14:paraId="78ECA4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296AB55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1,363,627</w:t>
            </w:r>
          </w:p>
        </w:tc>
        <w:tc>
          <w:tcPr>
            <w:tcW w:w="740" w:type="dxa"/>
            <w:tcBorders>
              <w:top w:val="nil"/>
              <w:left w:val="nil"/>
              <w:bottom w:val="single" w:sz="4" w:space="0" w:color="auto"/>
              <w:right w:val="single" w:sz="4" w:space="0" w:color="auto"/>
            </w:tcBorders>
            <w:shd w:val="clear" w:color="000000" w:fill="FFFFFF"/>
            <w:noWrap/>
            <w:vAlign w:val="center"/>
            <w:hideMark/>
          </w:tcPr>
          <w:p w14:paraId="7DBC9D8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1.20</w:t>
            </w:r>
          </w:p>
        </w:tc>
        <w:tc>
          <w:tcPr>
            <w:tcW w:w="718" w:type="dxa"/>
            <w:tcBorders>
              <w:top w:val="nil"/>
              <w:left w:val="nil"/>
              <w:bottom w:val="single" w:sz="4" w:space="0" w:color="auto"/>
              <w:right w:val="single" w:sz="4" w:space="0" w:color="auto"/>
            </w:tcBorders>
            <w:shd w:val="clear" w:color="000000" w:fill="FFFFFF"/>
            <w:noWrap/>
            <w:vAlign w:val="center"/>
            <w:hideMark/>
          </w:tcPr>
          <w:p w14:paraId="47F34D3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151,685</w:t>
            </w:r>
          </w:p>
        </w:tc>
        <w:tc>
          <w:tcPr>
            <w:tcW w:w="882" w:type="dxa"/>
            <w:tcBorders>
              <w:top w:val="nil"/>
              <w:left w:val="nil"/>
              <w:bottom w:val="single" w:sz="4" w:space="0" w:color="auto"/>
              <w:right w:val="single" w:sz="4" w:space="0" w:color="auto"/>
            </w:tcBorders>
            <w:shd w:val="clear" w:color="000000" w:fill="FFFFFF"/>
            <w:noWrap/>
            <w:vAlign w:val="center"/>
            <w:hideMark/>
          </w:tcPr>
          <w:p w14:paraId="5BE5C1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182DA39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1,208,277</w:t>
            </w:r>
          </w:p>
        </w:tc>
        <w:tc>
          <w:tcPr>
            <w:tcW w:w="1045" w:type="dxa"/>
            <w:tcBorders>
              <w:top w:val="nil"/>
              <w:left w:val="nil"/>
              <w:bottom w:val="single" w:sz="4" w:space="0" w:color="auto"/>
              <w:right w:val="single" w:sz="4" w:space="0" w:color="auto"/>
            </w:tcBorders>
            <w:shd w:val="clear" w:color="000000" w:fill="FFFFFF"/>
            <w:noWrap/>
            <w:vAlign w:val="center"/>
            <w:hideMark/>
          </w:tcPr>
          <w:p w14:paraId="29E8B01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0.76</w:t>
            </w:r>
          </w:p>
        </w:tc>
      </w:tr>
      <w:tr w:rsidR="00177999" w:rsidRPr="00057D13" w14:paraId="4DC01ED3"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EAD678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D69AAF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Dose 3</w:t>
            </w:r>
          </w:p>
        </w:tc>
        <w:tc>
          <w:tcPr>
            <w:tcW w:w="479" w:type="dxa"/>
            <w:tcBorders>
              <w:top w:val="nil"/>
              <w:left w:val="nil"/>
              <w:bottom w:val="single" w:sz="4" w:space="0" w:color="auto"/>
              <w:right w:val="single" w:sz="4" w:space="0" w:color="auto"/>
            </w:tcBorders>
            <w:shd w:val="clear" w:color="000000" w:fill="FFFFFF"/>
            <w:noWrap/>
            <w:vAlign w:val="center"/>
            <w:hideMark/>
          </w:tcPr>
          <w:p w14:paraId="19D0A86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5-11</w:t>
            </w:r>
          </w:p>
        </w:tc>
        <w:tc>
          <w:tcPr>
            <w:tcW w:w="863" w:type="dxa"/>
            <w:tcBorders>
              <w:top w:val="nil"/>
              <w:left w:val="nil"/>
              <w:bottom w:val="single" w:sz="4" w:space="0" w:color="auto"/>
              <w:right w:val="single" w:sz="4" w:space="0" w:color="auto"/>
            </w:tcBorders>
            <w:shd w:val="clear" w:color="000000" w:fill="FFFFFF"/>
            <w:noWrap/>
            <w:vAlign w:val="center"/>
            <w:hideMark/>
          </w:tcPr>
          <w:p w14:paraId="74D9A67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13,572</w:t>
            </w:r>
          </w:p>
        </w:tc>
        <w:tc>
          <w:tcPr>
            <w:tcW w:w="854" w:type="dxa"/>
            <w:tcBorders>
              <w:top w:val="nil"/>
              <w:left w:val="nil"/>
              <w:bottom w:val="single" w:sz="4" w:space="0" w:color="auto"/>
              <w:right w:val="single" w:sz="4" w:space="0" w:color="auto"/>
            </w:tcBorders>
            <w:shd w:val="clear" w:color="000000" w:fill="FFFFFF"/>
            <w:noWrap/>
            <w:vAlign w:val="center"/>
            <w:hideMark/>
          </w:tcPr>
          <w:p w14:paraId="5CD36F9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3" w:type="dxa"/>
            <w:tcBorders>
              <w:top w:val="nil"/>
              <w:left w:val="nil"/>
              <w:bottom w:val="single" w:sz="4" w:space="0" w:color="auto"/>
              <w:right w:val="single" w:sz="4" w:space="0" w:color="auto"/>
            </w:tcBorders>
            <w:shd w:val="clear" w:color="000000" w:fill="FFFFFF"/>
            <w:noWrap/>
            <w:vAlign w:val="center"/>
            <w:hideMark/>
          </w:tcPr>
          <w:p w14:paraId="366D617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34,157</w:t>
            </w:r>
          </w:p>
        </w:tc>
        <w:tc>
          <w:tcPr>
            <w:tcW w:w="623" w:type="dxa"/>
            <w:tcBorders>
              <w:top w:val="nil"/>
              <w:left w:val="nil"/>
              <w:bottom w:val="single" w:sz="4" w:space="0" w:color="auto"/>
              <w:right w:val="single" w:sz="4" w:space="0" w:color="auto"/>
            </w:tcBorders>
            <w:shd w:val="clear" w:color="000000" w:fill="FFFFFF"/>
            <w:noWrap/>
            <w:vAlign w:val="center"/>
            <w:hideMark/>
          </w:tcPr>
          <w:p w14:paraId="1D40784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811" w:type="dxa"/>
            <w:tcBorders>
              <w:top w:val="nil"/>
              <w:left w:val="nil"/>
              <w:bottom w:val="single" w:sz="4" w:space="0" w:color="auto"/>
              <w:right w:val="single" w:sz="4" w:space="0" w:color="auto"/>
            </w:tcBorders>
            <w:shd w:val="clear" w:color="000000" w:fill="FFFFFF"/>
            <w:noWrap/>
            <w:vAlign w:val="center"/>
            <w:hideMark/>
          </w:tcPr>
          <w:p w14:paraId="4D54280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1,476</w:t>
            </w:r>
          </w:p>
        </w:tc>
        <w:tc>
          <w:tcPr>
            <w:tcW w:w="855" w:type="dxa"/>
            <w:tcBorders>
              <w:top w:val="nil"/>
              <w:left w:val="nil"/>
              <w:bottom w:val="single" w:sz="4" w:space="0" w:color="auto"/>
              <w:right w:val="single" w:sz="4" w:space="0" w:color="auto"/>
            </w:tcBorders>
            <w:shd w:val="clear" w:color="000000" w:fill="FFFFFF"/>
            <w:noWrap/>
            <w:vAlign w:val="center"/>
            <w:hideMark/>
          </w:tcPr>
          <w:p w14:paraId="30901FE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2425DEA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11,690</w:t>
            </w:r>
          </w:p>
        </w:tc>
        <w:tc>
          <w:tcPr>
            <w:tcW w:w="740" w:type="dxa"/>
            <w:tcBorders>
              <w:top w:val="nil"/>
              <w:left w:val="nil"/>
              <w:bottom w:val="single" w:sz="4" w:space="0" w:color="auto"/>
              <w:right w:val="single" w:sz="4" w:space="0" w:color="auto"/>
            </w:tcBorders>
            <w:shd w:val="clear" w:color="000000" w:fill="FFFFFF"/>
            <w:noWrap/>
            <w:vAlign w:val="center"/>
            <w:hideMark/>
          </w:tcPr>
          <w:p w14:paraId="5BDC7E4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34E5EF3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21,413</w:t>
            </w:r>
          </w:p>
        </w:tc>
        <w:tc>
          <w:tcPr>
            <w:tcW w:w="882" w:type="dxa"/>
            <w:tcBorders>
              <w:top w:val="nil"/>
              <w:left w:val="nil"/>
              <w:bottom w:val="single" w:sz="4" w:space="0" w:color="auto"/>
              <w:right w:val="single" w:sz="4" w:space="0" w:color="auto"/>
            </w:tcBorders>
            <w:shd w:val="clear" w:color="000000" w:fill="FFFFFF"/>
            <w:noWrap/>
            <w:vAlign w:val="center"/>
            <w:hideMark/>
          </w:tcPr>
          <w:p w14:paraId="741707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32827AB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141,013</w:t>
            </w:r>
          </w:p>
        </w:tc>
        <w:tc>
          <w:tcPr>
            <w:tcW w:w="1045" w:type="dxa"/>
            <w:tcBorders>
              <w:top w:val="nil"/>
              <w:left w:val="nil"/>
              <w:bottom w:val="single" w:sz="4" w:space="0" w:color="auto"/>
              <w:right w:val="single" w:sz="4" w:space="0" w:color="auto"/>
            </w:tcBorders>
            <w:shd w:val="clear" w:color="000000" w:fill="FFFFFF"/>
            <w:noWrap/>
            <w:vAlign w:val="center"/>
            <w:hideMark/>
          </w:tcPr>
          <w:p w14:paraId="52A98E2C"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r w:rsidR="00177999" w:rsidRPr="00057D13" w14:paraId="6895266C"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5E6B739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B3F74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2C7768F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12-15</w:t>
            </w:r>
          </w:p>
        </w:tc>
        <w:tc>
          <w:tcPr>
            <w:tcW w:w="863" w:type="dxa"/>
            <w:tcBorders>
              <w:top w:val="nil"/>
              <w:left w:val="nil"/>
              <w:bottom w:val="single" w:sz="4" w:space="0" w:color="auto"/>
              <w:right w:val="single" w:sz="4" w:space="0" w:color="auto"/>
            </w:tcBorders>
            <w:shd w:val="clear" w:color="000000" w:fill="FFFFFF"/>
            <w:noWrap/>
            <w:vAlign w:val="center"/>
            <w:hideMark/>
          </w:tcPr>
          <w:p w14:paraId="7C02DD3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96,123</w:t>
            </w:r>
          </w:p>
        </w:tc>
        <w:tc>
          <w:tcPr>
            <w:tcW w:w="854" w:type="dxa"/>
            <w:tcBorders>
              <w:top w:val="nil"/>
              <w:left w:val="nil"/>
              <w:bottom w:val="single" w:sz="4" w:space="0" w:color="auto"/>
              <w:right w:val="single" w:sz="4" w:space="0" w:color="auto"/>
            </w:tcBorders>
            <w:shd w:val="clear" w:color="000000" w:fill="FFFFFF"/>
            <w:noWrap/>
            <w:vAlign w:val="center"/>
            <w:hideMark/>
          </w:tcPr>
          <w:p w14:paraId="14EE63A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870AB59"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747,307</w:t>
            </w:r>
          </w:p>
        </w:tc>
        <w:tc>
          <w:tcPr>
            <w:tcW w:w="623" w:type="dxa"/>
            <w:tcBorders>
              <w:top w:val="nil"/>
              <w:left w:val="nil"/>
              <w:bottom w:val="single" w:sz="4" w:space="0" w:color="auto"/>
              <w:right w:val="single" w:sz="4" w:space="0" w:color="auto"/>
            </w:tcBorders>
            <w:shd w:val="clear" w:color="000000" w:fill="FFFFFF"/>
            <w:noWrap/>
            <w:vAlign w:val="center"/>
            <w:hideMark/>
          </w:tcPr>
          <w:p w14:paraId="356A2DF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3.04</w:t>
            </w:r>
          </w:p>
        </w:tc>
        <w:tc>
          <w:tcPr>
            <w:tcW w:w="811" w:type="dxa"/>
            <w:tcBorders>
              <w:top w:val="nil"/>
              <w:left w:val="nil"/>
              <w:bottom w:val="single" w:sz="4" w:space="0" w:color="auto"/>
              <w:right w:val="single" w:sz="4" w:space="0" w:color="auto"/>
            </w:tcBorders>
            <w:shd w:val="clear" w:color="000000" w:fill="FFFFFF"/>
            <w:noWrap/>
            <w:vAlign w:val="center"/>
            <w:hideMark/>
          </w:tcPr>
          <w:p w14:paraId="4572B5F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66,287</w:t>
            </w:r>
          </w:p>
        </w:tc>
        <w:tc>
          <w:tcPr>
            <w:tcW w:w="855" w:type="dxa"/>
            <w:tcBorders>
              <w:top w:val="nil"/>
              <w:left w:val="nil"/>
              <w:bottom w:val="single" w:sz="4" w:space="0" w:color="auto"/>
              <w:right w:val="single" w:sz="4" w:space="0" w:color="auto"/>
            </w:tcBorders>
            <w:shd w:val="clear" w:color="000000" w:fill="FFFFFF"/>
            <w:noWrap/>
            <w:vAlign w:val="center"/>
            <w:hideMark/>
          </w:tcPr>
          <w:p w14:paraId="5CBAF4D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4" w:type="dxa"/>
            <w:tcBorders>
              <w:top w:val="nil"/>
              <w:left w:val="nil"/>
              <w:bottom w:val="single" w:sz="4" w:space="0" w:color="auto"/>
              <w:right w:val="single" w:sz="4" w:space="0" w:color="auto"/>
            </w:tcBorders>
            <w:shd w:val="clear" w:color="000000" w:fill="FFFFFF"/>
            <w:noWrap/>
            <w:vAlign w:val="center"/>
            <w:hideMark/>
          </w:tcPr>
          <w:p w14:paraId="0B505DA3"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527,774</w:t>
            </w:r>
          </w:p>
        </w:tc>
        <w:tc>
          <w:tcPr>
            <w:tcW w:w="740" w:type="dxa"/>
            <w:tcBorders>
              <w:top w:val="nil"/>
              <w:left w:val="nil"/>
              <w:bottom w:val="single" w:sz="4" w:space="0" w:color="auto"/>
              <w:right w:val="single" w:sz="4" w:space="0" w:color="auto"/>
            </w:tcBorders>
            <w:shd w:val="clear" w:color="000000" w:fill="FFFFFF"/>
            <w:noWrap/>
            <w:vAlign w:val="center"/>
            <w:hideMark/>
          </w:tcPr>
          <w:p w14:paraId="2524F52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0.73</w:t>
            </w:r>
          </w:p>
        </w:tc>
        <w:tc>
          <w:tcPr>
            <w:tcW w:w="718" w:type="dxa"/>
            <w:tcBorders>
              <w:top w:val="nil"/>
              <w:left w:val="nil"/>
              <w:bottom w:val="single" w:sz="4" w:space="0" w:color="auto"/>
              <w:right w:val="single" w:sz="4" w:space="0" w:color="auto"/>
            </w:tcBorders>
            <w:shd w:val="clear" w:color="000000" w:fill="FFFFFF"/>
            <w:noWrap/>
            <w:vAlign w:val="center"/>
            <w:hideMark/>
          </w:tcPr>
          <w:p w14:paraId="15DDC93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85,908</w:t>
            </w:r>
          </w:p>
        </w:tc>
        <w:tc>
          <w:tcPr>
            <w:tcW w:w="882" w:type="dxa"/>
            <w:tcBorders>
              <w:top w:val="nil"/>
              <w:left w:val="nil"/>
              <w:bottom w:val="single" w:sz="4" w:space="0" w:color="auto"/>
              <w:right w:val="single" w:sz="4" w:space="0" w:color="auto"/>
            </w:tcBorders>
            <w:shd w:val="clear" w:color="000000" w:fill="FFFFFF"/>
            <w:noWrap/>
            <w:vAlign w:val="center"/>
            <w:hideMark/>
          </w:tcPr>
          <w:p w14:paraId="787BFF1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45" w:type="dxa"/>
            <w:tcBorders>
              <w:top w:val="nil"/>
              <w:left w:val="nil"/>
              <w:bottom w:val="single" w:sz="4" w:space="0" w:color="auto"/>
              <w:right w:val="single" w:sz="4" w:space="0" w:color="auto"/>
            </w:tcBorders>
            <w:shd w:val="clear" w:color="000000" w:fill="FFFFFF"/>
            <w:noWrap/>
            <w:vAlign w:val="center"/>
            <w:hideMark/>
          </w:tcPr>
          <w:p w14:paraId="47F70315"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672,632</w:t>
            </w:r>
          </w:p>
        </w:tc>
        <w:tc>
          <w:tcPr>
            <w:tcW w:w="1045" w:type="dxa"/>
            <w:tcBorders>
              <w:top w:val="nil"/>
              <w:left w:val="nil"/>
              <w:bottom w:val="single" w:sz="4" w:space="0" w:color="auto"/>
              <w:right w:val="single" w:sz="4" w:space="0" w:color="auto"/>
            </w:tcBorders>
            <w:shd w:val="clear" w:color="000000" w:fill="FFFFFF"/>
            <w:noWrap/>
            <w:vAlign w:val="center"/>
            <w:hideMark/>
          </w:tcPr>
          <w:p w14:paraId="6A3E06BB"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1.44</w:t>
            </w:r>
          </w:p>
        </w:tc>
      </w:tr>
      <w:tr w:rsidR="00177999" w:rsidRPr="00057D13" w14:paraId="22322650" w14:textId="77777777" w:rsidTr="00177999">
        <w:trPr>
          <w:trHeight w:val="300"/>
        </w:trPr>
        <w:tc>
          <w:tcPr>
            <w:tcW w:w="1763" w:type="dxa"/>
            <w:vMerge/>
            <w:tcBorders>
              <w:top w:val="nil"/>
              <w:left w:val="single" w:sz="4" w:space="0" w:color="auto"/>
              <w:bottom w:val="single" w:sz="4" w:space="0" w:color="000000"/>
              <w:right w:val="single" w:sz="4" w:space="0" w:color="auto"/>
            </w:tcBorders>
            <w:vAlign w:val="center"/>
            <w:hideMark/>
          </w:tcPr>
          <w:p w14:paraId="3CEFEC0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5B3FA15D"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p>
        </w:tc>
        <w:tc>
          <w:tcPr>
            <w:tcW w:w="479" w:type="dxa"/>
            <w:tcBorders>
              <w:top w:val="nil"/>
              <w:left w:val="nil"/>
              <w:bottom w:val="single" w:sz="4" w:space="0" w:color="auto"/>
              <w:right w:val="single" w:sz="4" w:space="0" w:color="auto"/>
            </w:tcBorders>
            <w:shd w:val="clear" w:color="000000" w:fill="FFFFFF"/>
            <w:noWrap/>
            <w:vAlign w:val="center"/>
            <w:hideMark/>
          </w:tcPr>
          <w:p w14:paraId="331E43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16-17</w:t>
            </w:r>
          </w:p>
        </w:tc>
        <w:tc>
          <w:tcPr>
            <w:tcW w:w="863" w:type="dxa"/>
            <w:tcBorders>
              <w:top w:val="nil"/>
              <w:left w:val="nil"/>
              <w:bottom w:val="single" w:sz="4" w:space="0" w:color="auto"/>
              <w:right w:val="single" w:sz="4" w:space="0" w:color="auto"/>
            </w:tcBorders>
            <w:shd w:val="clear" w:color="000000" w:fill="FFFFFF"/>
            <w:noWrap/>
            <w:vAlign w:val="center"/>
            <w:hideMark/>
          </w:tcPr>
          <w:p w14:paraId="2B03FFBF"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65,777</w:t>
            </w:r>
          </w:p>
        </w:tc>
        <w:tc>
          <w:tcPr>
            <w:tcW w:w="854" w:type="dxa"/>
            <w:tcBorders>
              <w:top w:val="nil"/>
              <w:left w:val="nil"/>
              <w:bottom w:val="single" w:sz="4" w:space="0" w:color="auto"/>
              <w:right w:val="single" w:sz="4" w:space="0" w:color="auto"/>
            </w:tcBorders>
            <w:shd w:val="clear" w:color="000000" w:fill="FFFFFF"/>
            <w:noWrap/>
            <w:vAlign w:val="center"/>
            <w:hideMark/>
          </w:tcPr>
          <w:p w14:paraId="5377198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&lt;11</w:t>
            </w:r>
          </w:p>
        </w:tc>
        <w:tc>
          <w:tcPr>
            <w:tcW w:w="1013" w:type="dxa"/>
            <w:tcBorders>
              <w:top w:val="nil"/>
              <w:left w:val="nil"/>
              <w:bottom w:val="single" w:sz="4" w:space="0" w:color="auto"/>
              <w:right w:val="single" w:sz="4" w:space="0" w:color="auto"/>
            </w:tcBorders>
            <w:shd w:val="clear" w:color="000000" w:fill="FFFFFF"/>
            <w:noWrap/>
            <w:vAlign w:val="center"/>
            <w:hideMark/>
          </w:tcPr>
          <w:p w14:paraId="1B1B33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516,066</w:t>
            </w:r>
          </w:p>
        </w:tc>
        <w:tc>
          <w:tcPr>
            <w:tcW w:w="623" w:type="dxa"/>
            <w:tcBorders>
              <w:top w:val="nil"/>
              <w:left w:val="nil"/>
              <w:bottom w:val="single" w:sz="4" w:space="0" w:color="auto"/>
              <w:right w:val="single" w:sz="4" w:space="0" w:color="auto"/>
            </w:tcBorders>
            <w:shd w:val="clear" w:color="000000" w:fill="FFFFFF"/>
            <w:noWrap/>
            <w:vAlign w:val="center"/>
            <w:hideMark/>
          </w:tcPr>
          <w:p w14:paraId="7D8FA458"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0.86</w:t>
            </w:r>
          </w:p>
        </w:tc>
        <w:tc>
          <w:tcPr>
            <w:tcW w:w="811" w:type="dxa"/>
            <w:tcBorders>
              <w:top w:val="nil"/>
              <w:left w:val="nil"/>
              <w:bottom w:val="single" w:sz="4" w:space="0" w:color="auto"/>
              <w:right w:val="single" w:sz="4" w:space="0" w:color="auto"/>
            </w:tcBorders>
            <w:shd w:val="clear" w:color="000000" w:fill="FFFFFF"/>
            <w:noWrap/>
            <w:vAlign w:val="center"/>
            <w:hideMark/>
          </w:tcPr>
          <w:p w14:paraId="0AA0D170"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45,550</w:t>
            </w:r>
          </w:p>
        </w:tc>
        <w:tc>
          <w:tcPr>
            <w:tcW w:w="855" w:type="dxa"/>
            <w:tcBorders>
              <w:top w:val="nil"/>
              <w:left w:val="nil"/>
              <w:bottom w:val="single" w:sz="4" w:space="0" w:color="auto"/>
              <w:right w:val="single" w:sz="4" w:space="0" w:color="auto"/>
            </w:tcBorders>
            <w:shd w:val="clear" w:color="000000" w:fill="FFFFFF"/>
            <w:noWrap/>
            <w:vAlign w:val="center"/>
            <w:hideMark/>
          </w:tcPr>
          <w:p w14:paraId="568F66C4"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14" w:type="dxa"/>
            <w:tcBorders>
              <w:top w:val="nil"/>
              <w:left w:val="nil"/>
              <w:bottom w:val="single" w:sz="4" w:space="0" w:color="auto"/>
              <w:right w:val="single" w:sz="4" w:space="0" w:color="auto"/>
            </w:tcBorders>
            <w:shd w:val="clear" w:color="000000" w:fill="FFFFFF"/>
            <w:noWrap/>
            <w:vAlign w:val="center"/>
            <w:hideMark/>
          </w:tcPr>
          <w:p w14:paraId="5666461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361,811</w:t>
            </w:r>
          </w:p>
        </w:tc>
        <w:tc>
          <w:tcPr>
            <w:tcW w:w="740" w:type="dxa"/>
            <w:tcBorders>
              <w:top w:val="nil"/>
              <w:left w:val="nil"/>
              <w:bottom w:val="single" w:sz="4" w:space="0" w:color="auto"/>
              <w:right w:val="single" w:sz="4" w:space="0" w:color="auto"/>
            </w:tcBorders>
            <w:shd w:val="clear" w:color="000000" w:fill="FFFFFF"/>
            <w:noWrap/>
            <w:vAlign w:val="center"/>
            <w:hideMark/>
          </w:tcPr>
          <w:p w14:paraId="2C9AE45A"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c>
          <w:tcPr>
            <w:tcW w:w="718" w:type="dxa"/>
            <w:tcBorders>
              <w:top w:val="nil"/>
              <w:left w:val="nil"/>
              <w:bottom w:val="single" w:sz="4" w:space="0" w:color="auto"/>
              <w:right w:val="single" w:sz="4" w:space="0" w:color="auto"/>
            </w:tcBorders>
            <w:shd w:val="clear" w:color="000000" w:fill="FFFFFF"/>
            <w:noWrap/>
            <w:vAlign w:val="center"/>
            <w:hideMark/>
          </w:tcPr>
          <w:p w14:paraId="4D3712E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55,387</w:t>
            </w:r>
          </w:p>
        </w:tc>
        <w:tc>
          <w:tcPr>
            <w:tcW w:w="882" w:type="dxa"/>
            <w:tcBorders>
              <w:top w:val="nil"/>
              <w:left w:val="nil"/>
              <w:bottom w:val="single" w:sz="4" w:space="0" w:color="auto"/>
              <w:right w:val="single" w:sz="4" w:space="0" w:color="auto"/>
            </w:tcBorders>
            <w:shd w:val="clear" w:color="000000" w:fill="FFFFFF"/>
            <w:noWrap/>
            <w:vAlign w:val="center"/>
            <w:hideMark/>
          </w:tcPr>
          <w:p w14:paraId="54DE242E"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w:t>
            </w:r>
          </w:p>
        </w:tc>
        <w:tc>
          <w:tcPr>
            <w:tcW w:w="1045" w:type="dxa"/>
            <w:tcBorders>
              <w:top w:val="nil"/>
              <w:left w:val="nil"/>
              <w:bottom w:val="single" w:sz="4" w:space="0" w:color="auto"/>
              <w:right w:val="single" w:sz="4" w:space="0" w:color="auto"/>
            </w:tcBorders>
            <w:shd w:val="clear" w:color="000000" w:fill="FFFFFF"/>
            <w:noWrap/>
            <w:vAlign w:val="center"/>
            <w:hideMark/>
          </w:tcPr>
          <w:p w14:paraId="691ECBE1"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434,725</w:t>
            </w:r>
          </w:p>
        </w:tc>
        <w:tc>
          <w:tcPr>
            <w:tcW w:w="1045" w:type="dxa"/>
            <w:tcBorders>
              <w:top w:val="nil"/>
              <w:left w:val="nil"/>
              <w:bottom w:val="single" w:sz="4" w:space="0" w:color="auto"/>
              <w:right w:val="single" w:sz="4" w:space="0" w:color="auto"/>
            </w:tcBorders>
            <w:shd w:val="clear" w:color="000000" w:fill="FFFFFF"/>
            <w:noWrap/>
            <w:vAlign w:val="center"/>
            <w:hideMark/>
          </w:tcPr>
          <w:p w14:paraId="5D806867" w14:textId="77777777" w:rsidR="00177999" w:rsidRPr="00057D13" w:rsidRDefault="00177999" w:rsidP="00057D13">
            <w:pPr>
              <w:spacing w:after="0" w:line="240" w:lineRule="auto"/>
              <w:jc w:val="center"/>
              <w:rPr>
                <w:rFonts w:ascii="Times New Roman" w:eastAsia="Times New Roman" w:hAnsi="Times New Roman" w:cs="Times New Roman"/>
                <w:color w:val="000000"/>
                <w:sz w:val="18"/>
                <w:szCs w:val="18"/>
              </w:rPr>
            </w:pPr>
            <w:r w:rsidRPr="00057D13">
              <w:rPr>
                <w:rFonts w:ascii="Times New Roman" w:eastAsia="Times New Roman" w:hAnsi="Times New Roman" w:cs="Times New Roman"/>
                <w:color w:val="000000"/>
                <w:sz w:val="18"/>
                <w:szCs w:val="18"/>
              </w:rPr>
              <w:t>0.00</w:t>
            </w:r>
          </w:p>
        </w:tc>
      </w:tr>
    </w:tbl>
    <w:p w14:paraId="374E14BA" w14:textId="77777777" w:rsidR="00177999" w:rsidRPr="00057D13" w:rsidRDefault="00177999" w:rsidP="00177999">
      <w:pPr>
        <w:rPr>
          <w:rFonts w:ascii="Times New Roman" w:hAnsi="Times New Roman" w:cs="Times New Roman"/>
        </w:rPr>
      </w:pPr>
    </w:p>
    <w:p w14:paraId="7C4B0017" w14:textId="77777777" w:rsidR="00177999" w:rsidRPr="00057D13" w:rsidRDefault="00177999" w:rsidP="00177999">
      <w:pPr>
        <w:spacing w:after="0" w:line="240" w:lineRule="auto"/>
        <w:rPr>
          <w:rFonts w:ascii="Times New Roman" w:eastAsia="Times New Roman" w:hAnsi="Times New Roman" w:cs="Times New Roman"/>
          <w:bCs/>
          <w:sz w:val="20"/>
          <w:szCs w:val="20"/>
        </w:rPr>
      </w:pPr>
      <w:r w:rsidRPr="00057D13">
        <w:rPr>
          <w:rFonts w:ascii="Times New Roman" w:eastAsia="Times New Roman" w:hAnsi="Times New Roman" w:cs="Times New Roman"/>
          <w:bCs/>
          <w:sz w:val="20"/>
          <w:szCs w:val="20"/>
        </w:rPr>
        <w:t>Abbreviation: RR, rate ratio; IP, inpatient; OP-ED, Outpatient Emergency Department</w:t>
      </w:r>
    </w:p>
    <w:p w14:paraId="2DA4A5D4" w14:textId="77777777" w:rsidR="00933019" w:rsidRPr="00057D13" w:rsidRDefault="00933019" w:rsidP="00933019">
      <w:pPr>
        <w:spacing w:after="0" w:line="240" w:lineRule="auto"/>
        <w:rPr>
          <w:rFonts w:ascii="Times New Roman" w:hAnsi="Times New Roman" w:cs="Times New Roman"/>
          <w:b/>
          <w:bCs/>
        </w:rPr>
      </w:pPr>
      <w:r w:rsidRPr="00057D13">
        <w:rPr>
          <w:rFonts w:ascii="Times New Roman" w:eastAsia="Times New Roman" w:hAnsi="Times New Roman" w:cs="Times New Roman"/>
          <w:bCs/>
          <w:i/>
          <w:sz w:val="20"/>
          <w:szCs w:val="20"/>
        </w:rPr>
        <w:t>Data cuts: CVS Health data through 5/31/2022</w:t>
      </w:r>
      <w:r>
        <w:rPr>
          <w:rFonts w:ascii="Times New Roman" w:hAnsi="Times New Roman" w:cs="Times New Roman"/>
          <w:bCs/>
          <w:i/>
          <w:sz w:val="20"/>
          <w:szCs w:val="20"/>
        </w:rPr>
        <w:t xml:space="preserve">, </w:t>
      </w:r>
      <w:proofErr w:type="spellStart"/>
      <w:r w:rsidRPr="00057D13">
        <w:rPr>
          <w:rFonts w:ascii="Times New Roman" w:eastAsia="Times New Roman" w:hAnsi="Times New Roman" w:cs="Times New Roman"/>
          <w:bCs/>
          <w:i/>
          <w:sz w:val="20"/>
          <w:szCs w:val="20"/>
        </w:rPr>
        <w:t>HealthCore</w:t>
      </w:r>
      <w:proofErr w:type="spellEnd"/>
      <w:r w:rsidRPr="00057D13">
        <w:rPr>
          <w:rFonts w:ascii="Times New Roman" w:eastAsia="Times New Roman" w:hAnsi="Times New Roman" w:cs="Times New Roman"/>
          <w:bCs/>
          <w:i/>
          <w:sz w:val="20"/>
          <w:szCs w:val="20"/>
        </w:rPr>
        <w:t xml:space="preserve"> data through 5/6/2022, and</w:t>
      </w:r>
      <w:r>
        <w:rPr>
          <w:rFonts w:ascii="Times New Roman" w:hAnsi="Times New Roman" w:cs="Times New Roman"/>
          <w:bCs/>
          <w:i/>
          <w:sz w:val="20"/>
          <w:szCs w:val="20"/>
        </w:rPr>
        <w:t xml:space="preserve"> </w:t>
      </w:r>
      <w:r w:rsidRPr="00057D13">
        <w:rPr>
          <w:rFonts w:ascii="Times New Roman" w:eastAsia="Times New Roman" w:hAnsi="Times New Roman" w:cs="Times New Roman"/>
          <w:bCs/>
          <w:i/>
          <w:sz w:val="20"/>
          <w:szCs w:val="20"/>
        </w:rPr>
        <w:t>Optum data through 6/25/2022</w:t>
      </w:r>
    </w:p>
    <w:p w14:paraId="4306E418" w14:textId="77777777" w:rsidR="00976513" w:rsidRPr="00057D13" w:rsidRDefault="00B30B4B" w:rsidP="00976513">
      <w:pPr>
        <w:spacing w:after="0" w:line="240" w:lineRule="auto"/>
        <w:rPr>
          <w:rFonts w:ascii="Times New Roman" w:eastAsia="Times New Roman" w:hAnsi="Times New Roman" w:cs="Times New Roman"/>
          <w:bCs/>
          <w:sz w:val="20"/>
          <w:szCs w:val="20"/>
        </w:rPr>
      </w:pPr>
      <w:r w:rsidRPr="00057D13">
        <w:rPr>
          <w:rFonts w:ascii="Times New Roman" w:eastAsia="Times New Roman" w:hAnsi="Times New Roman" w:cs="Times New Roman"/>
          <w:bCs/>
          <w:sz w:val="20"/>
          <w:szCs w:val="20"/>
        </w:rPr>
        <w:t>*indicates the AESI has signaled in the data.</w:t>
      </w:r>
    </w:p>
    <w:p w14:paraId="505D9946" w14:textId="396CE463" w:rsidR="00B30B4B" w:rsidRPr="00057D13" w:rsidRDefault="00B30B4B" w:rsidP="00B30B4B">
      <w:pPr>
        <w:rPr>
          <w:rFonts w:ascii="Times New Roman" w:hAnsi="Times New Roman" w:cs="Times New Roman"/>
          <w:bCs/>
          <w:sz w:val="20"/>
        </w:rPr>
      </w:pPr>
      <w:r w:rsidRPr="00057D13">
        <w:rPr>
          <w:rFonts w:ascii="Times New Roman" w:hAnsi="Times New Roman" w:cs="Times New Roman"/>
          <w:bCs/>
          <w:sz w:val="20"/>
        </w:rPr>
        <w:t>Cell sizes 1-1</w:t>
      </w:r>
      <w:r w:rsidR="005B469D" w:rsidRPr="00057D13">
        <w:rPr>
          <w:rFonts w:ascii="Times New Roman" w:hAnsi="Times New Roman" w:cs="Times New Roman"/>
          <w:bCs/>
          <w:sz w:val="20"/>
        </w:rPr>
        <w:t>0</w:t>
      </w:r>
      <w:r w:rsidRPr="00057D13">
        <w:rPr>
          <w:rFonts w:ascii="Times New Roman" w:hAnsi="Times New Roman" w:cs="Times New Roman"/>
          <w:bCs/>
          <w:sz w:val="20"/>
        </w:rPr>
        <w:t xml:space="preserve"> were masked for confidentiality</w:t>
      </w:r>
    </w:p>
    <w:p w14:paraId="31CE0153" w14:textId="3138D8CC" w:rsidR="005B469D" w:rsidRPr="00057D13" w:rsidRDefault="005B469D">
      <w:pPr>
        <w:rPr>
          <w:rFonts w:ascii="Times New Roman" w:hAnsi="Times New Roman" w:cs="Times New Roman"/>
        </w:rPr>
      </w:pPr>
      <w:r w:rsidRPr="00057D13">
        <w:rPr>
          <w:rFonts w:ascii="Times New Roman" w:hAnsi="Times New Roman" w:cs="Times New Roman"/>
        </w:rPr>
        <w:br w:type="page"/>
      </w:r>
    </w:p>
    <w:p w14:paraId="0C615BA8" w14:textId="153EFF4E" w:rsidR="00E84E8D" w:rsidRPr="00057D13" w:rsidRDefault="005B469D" w:rsidP="00CC556E">
      <w:pPr>
        <w:spacing w:before="240" w:after="0"/>
        <w:rPr>
          <w:rStyle w:val="CommentReference"/>
          <w:rFonts w:ascii="Times New Roman" w:hAnsi="Times New Roman" w:cs="Times New Roman"/>
          <w:b/>
          <w:bCs/>
          <w:sz w:val="22"/>
          <w:szCs w:val="22"/>
        </w:rPr>
      </w:pPr>
      <w:r w:rsidRPr="00057D13">
        <w:rPr>
          <w:rStyle w:val="CommentReference"/>
          <w:rFonts w:ascii="Times New Roman" w:hAnsi="Times New Roman" w:cs="Times New Roman"/>
          <w:b/>
          <w:bCs/>
          <w:sz w:val="22"/>
          <w:szCs w:val="22"/>
        </w:rPr>
        <w:t>Supplemental Table 5. Descriptive Outcome Counts, Overall and by Data Partners</w:t>
      </w:r>
    </w:p>
    <w:tbl>
      <w:tblPr>
        <w:tblW w:w="13780" w:type="dxa"/>
        <w:tblLook w:val="04A0" w:firstRow="1" w:lastRow="0" w:firstColumn="1" w:lastColumn="0" w:noHBand="0" w:noVBand="1"/>
      </w:tblPr>
      <w:tblGrid>
        <w:gridCol w:w="1860"/>
        <w:gridCol w:w="1580"/>
        <w:gridCol w:w="1400"/>
        <w:gridCol w:w="1580"/>
        <w:gridCol w:w="1400"/>
        <w:gridCol w:w="1580"/>
        <w:gridCol w:w="1400"/>
        <w:gridCol w:w="1580"/>
        <w:gridCol w:w="1400"/>
      </w:tblGrid>
      <w:tr w:rsidR="00933019" w:rsidRPr="00057D13" w14:paraId="0619DB82" w14:textId="77777777" w:rsidTr="001C5929">
        <w:trPr>
          <w:trHeight w:val="290"/>
        </w:trPr>
        <w:tc>
          <w:tcPr>
            <w:tcW w:w="1860" w:type="dxa"/>
            <w:vMerge w:val="restart"/>
            <w:tcBorders>
              <w:top w:val="single" w:sz="8" w:space="0" w:color="auto"/>
              <w:left w:val="single" w:sz="8" w:space="0" w:color="auto"/>
              <w:bottom w:val="single" w:sz="4" w:space="0" w:color="000000"/>
              <w:right w:val="single" w:sz="4" w:space="0" w:color="auto"/>
            </w:tcBorders>
            <w:shd w:val="clear" w:color="000000" w:fill="DDEBF7"/>
            <w:noWrap/>
            <w:vAlign w:val="center"/>
            <w:hideMark/>
          </w:tcPr>
          <w:p w14:paraId="73B4376C"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Outcome</w:t>
            </w:r>
          </w:p>
        </w:tc>
        <w:tc>
          <w:tcPr>
            <w:tcW w:w="2980" w:type="dxa"/>
            <w:gridSpan w:val="2"/>
            <w:tcBorders>
              <w:top w:val="single" w:sz="8" w:space="0" w:color="auto"/>
              <w:left w:val="nil"/>
              <w:bottom w:val="single" w:sz="4" w:space="0" w:color="auto"/>
              <w:right w:val="single" w:sz="4" w:space="0" w:color="auto"/>
            </w:tcBorders>
            <w:shd w:val="clear" w:color="000000" w:fill="DDEBF7"/>
            <w:noWrap/>
            <w:vAlign w:val="center"/>
            <w:hideMark/>
          </w:tcPr>
          <w:p w14:paraId="63BF2A82"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All Data Partners</w:t>
            </w:r>
          </w:p>
        </w:tc>
        <w:tc>
          <w:tcPr>
            <w:tcW w:w="2980" w:type="dxa"/>
            <w:gridSpan w:val="2"/>
            <w:tcBorders>
              <w:top w:val="single" w:sz="8" w:space="0" w:color="auto"/>
              <w:left w:val="single" w:sz="4" w:space="0" w:color="auto"/>
              <w:bottom w:val="single" w:sz="4" w:space="0" w:color="auto"/>
              <w:right w:val="single" w:sz="4" w:space="0" w:color="000000"/>
            </w:tcBorders>
            <w:shd w:val="clear" w:color="000000" w:fill="DDEBF7"/>
            <w:noWrap/>
            <w:vAlign w:val="center"/>
            <w:hideMark/>
          </w:tcPr>
          <w:p w14:paraId="37CEBC3B" w14:textId="70AE8EC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CVS (data through 5/31/22)</w:t>
            </w:r>
          </w:p>
        </w:tc>
        <w:tc>
          <w:tcPr>
            <w:tcW w:w="2980" w:type="dxa"/>
            <w:gridSpan w:val="2"/>
            <w:tcBorders>
              <w:top w:val="single" w:sz="8" w:space="0" w:color="auto"/>
              <w:left w:val="nil"/>
              <w:bottom w:val="single" w:sz="4" w:space="0" w:color="auto"/>
              <w:right w:val="single" w:sz="4" w:space="0" w:color="auto"/>
            </w:tcBorders>
            <w:shd w:val="clear" w:color="000000" w:fill="DDEBF7"/>
            <w:noWrap/>
            <w:vAlign w:val="center"/>
            <w:hideMark/>
          </w:tcPr>
          <w:p w14:paraId="1117F8B5" w14:textId="4C844DA6"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proofErr w:type="spellStart"/>
            <w:r w:rsidRPr="00057D13">
              <w:rPr>
                <w:rFonts w:ascii="Times New Roman" w:eastAsia="Times New Roman" w:hAnsi="Times New Roman" w:cs="Times New Roman"/>
                <w:b/>
                <w:bCs/>
                <w:color w:val="000000"/>
                <w:sz w:val="20"/>
                <w:szCs w:val="20"/>
              </w:rPr>
              <w:t>HealthCore</w:t>
            </w:r>
            <w:proofErr w:type="spellEnd"/>
            <w:r w:rsidRPr="00057D13">
              <w:rPr>
                <w:rFonts w:ascii="Times New Roman" w:eastAsia="Times New Roman" w:hAnsi="Times New Roman" w:cs="Times New Roman"/>
                <w:b/>
                <w:bCs/>
                <w:color w:val="000000"/>
                <w:sz w:val="20"/>
                <w:szCs w:val="20"/>
              </w:rPr>
              <w:t xml:space="preserve"> (data through 5/6/22)</w:t>
            </w:r>
          </w:p>
        </w:tc>
        <w:tc>
          <w:tcPr>
            <w:tcW w:w="2980" w:type="dxa"/>
            <w:gridSpan w:val="2"/>
            <w:tcBorders>
              <w:top w:val="single" w:sz="8" w:space="0" w:color="auto"/>
              <w:left w:val="nil"/>
              <w:bottom w:val="single" w:sz="4" w:space="0" w:color="auto"/>
              <w:right w:val="single" w:sz="8" w:space="0" w:color="000000"/>
            </w:tcBorders>
            <w:shd w:val="clear" w:color="000000" w:fill="DDEBF7"/>
            <w:noWrap/>
            <w:vAlign w:val="center"/>
            <w:hideMark/>
          </w:tcPr>
          <w:p w14:paraId="5FACDFFD" w14:textId="0BFF76F0"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Optum (data through 6/25/22)</w:t>
            </w:r>
          </w:p>
        </w:tc>
      </w:tr>
      <w:tr w:rsidR="00933019" w:rsidRPr="00057D13" w14:paraId="1C75DD79" w14:textId="77777777" w:rsidTr="001C5929">
        <w:trPr>
          <w:trHeight w:val="290"/>
        </w:trPr>
        <w:tc>
          <w:tcPr>
            <w:tcW w:w="1860" w:type="dxa"/>
            <w:vMerge/>
            <w:tcBorders>
              <w:top w:val="single" w:sz="8" w:space="0" w:color="auto"/>
              <w:left w:val="single" w:sz="8" w:space="0" w:color="auto"/>
              <w:bottom w:val="single" w:sz="4" w:space="0" w:color="000000"/>
              <w:right w:val="single" w:sz="4" w:space="0" w:color="auto"/>
            </w:tcBorders>
            <w:vAlign w:val="center"/>
            <w:hideMark/>
          </w:tcPr>
          <w:p w14:paraId="2906C19A" w14:textId="77777777" w:rsidR="00933019" w:rsidRPr="00057D13" w:rsidRDefault="00933019" w:rsidP="00933019">
            <w:pPr>
              <w:spacing w:after="0" w:line="240" w:lineRule="auto"/>
              <w:rPr>
                <w:rFonts w:ascii="Times New Roman" w:eastAsia="Times New Roman" w:hAnsi="Times New Roman" w:cs="Times New Roman"/>
                <w:b/>
                <w:bCs/>
                <w:color w:val="000000"/>
                <w:sz w:val="20"/>
                <w:szCs w:val="20"/>
              </w:rPr>
            </w:pPr>
          </w:p>
        </w:tc>
        <w:tc>
          <w:tcPr>
            <w:tcW w:w="1580" w:type="dxa"/>
            <w:tcBorders>
              <w:top w:val="nil"/>
              <w:left w:val="nil"/>
              <w:bottom w:val="single" w:sz="4" w:space="0" w:color="auto"/>
              <w:right w:val="single" w:sz="4" w:space="0" w:color="auto"/>
            </w:tcBorders>
            <w:shd w:val="clear" w:color="000000" w:fill="DDEBF7"/>
            <w:vAlign w:val="center"/>
            <w:hideMark/>
          </w:tcPr>
          <w:p w14:paraId="033DED57"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400" w:type="dxa"/>
            <w:tcBorders>
              <w:top w:val="nil"/>
              <w:left w:val="nil"/>
              <w:bottom w:val="single" w:sz="4" w:space="0" w:color="auto"/>
              <w:right w:val="single" w:sz="4" w:space="0" w:color="auto"/>
            </w:tcBorders>
            <w:shd w:val="clear" w:color="000000" w:fill="DDEBF7"/>
            <w:vAlign w:val="center"/>
            <w:hideMark/>
          </w:tcPr>
          <w:p w14:paraId="79C6E583" w14:textId="1D81701D"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580" w:type="dxa"/>
            <w:tcBorders>
              <w:top w:val="nil"/>
              <w:left w:val="nil"/>
              <w:bottom w:val="nil"/>
              <w:right w:val="single" w:sz="4" w:space="0" w:color="auto"/>
            </w:tcBorders>
            <w:shd w:val="clear" w:color="000000" w:fill="DDEBF7"/>
            <w:vAlign w:val="center"/>
            <w:hideMark/>
          </w:tcPr>
          <w:p w14:paraId="5E5FDAA9" w14:textId="482A40F0"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400" w:type="dxa"/>
            <w:tcBorders>
              <w:top w:val="nil"/>
              <w:left w:val="nil"/>
              <w:bottom w:val="nil"/>
              <w:right w:val="single" w:sz="4" w:space="0" w:color="auto"/>
            </w:tcBorders>
            <w:shd w:val="clear" w:color="000000" w:fill="DDEBF7"/>
            <w:vAlign w:val="center"/>
            <w:hideMark/>
          </w:tcPr>
          <w:p w14:paraId="1E5470EB" w14:textId="44BBF3B0"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580" w:type="dxa"/>
            <w:tcBorders>
              <w:top w:val="nil"/>
              <w:left w:val="nil"/>
              <w:bottom w:val="nil"/>
              <w:right w:val="single" w:sz="4" w:space="0" w:color="auto"/>
            </w:tcBorders>
            <w:shd w:val="clear" w:color="000000" w:fill="DDEBF7"/>
            <w:vAlign w:val="center"/>
            <w:hideMark/>
          </w:tcPr>
          <w:p w14:paraId="287CB3F3" w14:textId="6635D8C9"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400" w:type="dxa"/>
            <w:tcBorders>
              <w:top w:val="nil"/>
              <w:left w:val="nil"/>
              <w:bottom w:val="nil"/>
              <w:right w:val="single" w:sz="4" w:space="0" w:color="auto"/>
            </w:tcBorders>
            <w:shd w:val="clear" w:color="000000" w:fill="DDEBF7"/>
            <w:vAlign w:val="center"/>
            <w:hideMark/>
          </w:tcPr>
          <w:p w14:paraId="53103D2E"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Outcomes</w:t>
            </w:r>
          </w:p>
        </w:tc>
        <w:tc>
          <w:tcPr>
            <w:tcW w:w="1580" w:type="dxa"/>
            <w:tcBorders>
              <w:top w:val="nil"/>
              <w:left w:val="nil"/>
              <w:bottom w:val="nil"/>
              <w:right w:val="single" w:sz="4" w:space="0" w:color="auto"/>
            </w:tcBorders>
            <w:shd w:val="clear" w:color="000000" w:fill="DDEBF7"/>
            <w:vAlign w:val="center"/>
            <w:hideMark/>
          </w:tcPr>
          <w:p w14:paraId="3107E7A0"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Vaccine Doses</w:t>
            </w:r>
          </w:p>
        </w:tc>
        <w:tc>
          <w:tcPr>
            <w:tcW w:w="1400" w:type="dxa"/>
            <w:tcBorders>
              <w:top w:val="nil"/>
              <w:left w:val="nil"/>
              <w:bottom w:val="nil"/>
              <w:right w:val="single" w:sz="8" w:space="0" w:color="auto"/>
            </w:tcBorders>
            <w:shd w:val="clear" w:color="000000" w:fill="DDEBF7"/>
            <w:vAlign w:val="center"/>
            <w:hideMark/>
          </w:tcPr>
          <w:p w14:paraId="174DBDC5"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 of Outcomes</w:t>
            </w:r>
          </w:p>
        </w:tc>
      </w:tr>
      <w:tr w:rsidR="00933019" w:rsidRPr="00057D13" w14:paraId="2ADEFCB7" w14:textId="77777777" w:rsidTr="008C6578">
        <w:trPr>
          <w:trHeight w:val="290"/>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70BE398E"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AMI</w:t>
            </w:r>
          </w:p>
        </w:tc>
        <w:tc>
          <w:tcPr>
            <w:tcW w:w="1580" w:type="dxa"/>
            <w:tcBorders>
              <w:top w:val="nil"/>
              <w:left w:val="nil"/>
              <w:bottom w:val="single" w:sz="4" w:space="0" w:color="auto"/>
              <w:right w:val="single" w:sz="4" w:space="0" w:color="auto"/>
            </w:tcBorders>
            <w:shd w:val="clear" w:color="auto" w:fill="auto"/>
            <w:noWrap/>
            <w:vAlign w:val="bottom"/>
            <w:hideMark/>
          </w:tcPr>
          <w:p w14:paraId="4CB2EB2E"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4,904,152</w:t>
            </w:r>
          </w:p>
        </w:tc>
        <w:tc>
          <w:tcPr>
            <w:tcW w:w="1400" w:type="dxa"/>
            <w:tcBorders>
              <w:top w:val="nil"/>
              <w:left w:val="nil"/>
              <w:bottom w:val="single" w:sz="4" w:space="0" w:color="auto"/>
              <w:right w:val="nil"/>
            </w:tcBorders>
            <w:shd w:val="clear" w:color="auto" w:fill="auto"/>
            <w:noWrap/>
            <w:vAlign w:val="center"/>
            <w:hideMark/>
          </w:tcPr>
          <w:p w14:paraId="06F52173" w14:textId="4246518A"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1,625,585</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F52C" w14:textId="53E8DA79"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1,703,210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69A5BE4" w14:textId="53041684"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AC441E7" w14:textId="08C4DB22"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1,575,357</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620E8FF"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79773AC"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1,575,357</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383D8333"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w:t>
            </w:r>
          </w:p>
        </w:tc>
      </w:tr>
      <w:tr w:rsidR="00933019" w:rsidRPr="00057D13" w14:paraId="22872F22" w14:textId="77777777" w:rsidTr="008C6578">
        <w:trPr>
          <w:trHeight w:val="290"/>
        </w:trPr>
        <w:tc>
          <w:tcPr>
            <w:tcW w:w="1860" w:type="dxa"/>
            <w:tcBorders>
              <w:top w:val="nil"/>
              <w:left w:val="single" w:sz="8" w:space="0" w:color="auto"/>
              <w:bottom w:val="single" w:sz="4" w:space="0" w:color="auto"/>
              <w:right w:val="nil"/>
            </w:tcBorders>
            <w:shd w:val="clear" w:color="auto" w:fill="auto"/>
            <w:noWrap/>
            <w:vAlign w:val="bottom"/>
            <w:hideMark/>
          </w:tcPr>
          <w:p w14:paraId="4791D35E"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GBS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66A3A7"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4,904,135</w:t>
            </w:r>
          </w:p>
        </w:tc>
        <w:tc>
          <w:tcPr>
            <w:tcW w:w="1400" w:type="dxa"/>
            <w:tcBorders>
              <w:top w:val="nil"/>
              <w:left w:val="nil"/>
              <w:bottom w:val="single" w:sz="4" w:space="0" w:color="auto"/>
              <w:right w:val="nil"/>
            </w:tcBorders>
            <w:shd w:val="clear" w:color="auto" w:fill="auto"/>
            <w:noWrap/>
            <w:vAlign w:val="center"/>
            <w:hideMark/>
          </w:tcPr>
          <w:p w14:paraId="3CA103BA" w14:textId="50505E71"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1,625,574</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18CA0B" w14:textId="034510D0"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1,703,207</w:t>
            </w:r>
          </w:p>
        </w:tc>
        <w:tc>
          <w:tcPr>
            <w:tcW w:w="1400" w:type="dxa"/>
            <w:tcBorders>
              <w:top w:val="nil"/>
              <w:left w:val="nil"/>
              <w:bottom w:val="single" w:sz="4" w:space="0" w:color="auto"/>
              <w:right w:val="single" w:sz="4" w:space="0" w:color="auto"/>
            </w:tcBorders>
            <w:shd w:val="clear" w:color="auto" w:fill="auto"/>
            <w:noWrap/>
            <w:vAlign w:val="center"/>
            <w:hideMark/>
          </w:tcPr>
          <w:p w14:paraId="3A0BC8CF" w14:textId="69568C50"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1,575,354</w:t>
            </w:r>
          </w:p>
        </w:tc>
        <w:tc>
          <w:tcPr>
            <w:tcW w:w="1580" w:type="dxa"/>
            <w:tcBorders>
              <w:top w:val="nil"/>
              <w:left w:val="nil"/>
              <w:bottom w:val="single" w:sz="4" w:space="0" w:color="auto"/>
              <w:right w:val="single" w:sz="4" w:space="0" w:color="auto"/>
            </w:tcBorders>
            <w:shd w:val="clear" w:color="auto" w:fill="auto"/>
            <w:noWrap/>
            <w:vAlign w:val="center"/>
            <w:hideMark/>
          </w:tcPr>
          <w:p w14:paraId="71238B9B" w14:textId="329CA1D6"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1,575,354</w:t>
            </w:r>
          </w:p>
        </w:tc>
        <w:tc>
          <w:tcPr>
            <w:tcW w:w="1400" w:type="dxa"/>
            <w:tcBorders>
              <w:top w:val="nil"/>
              <w:left w:val="nil"/>
              <w:bottom w:val="single" w:sz="4" w:space="0" w:color="auto"/>
              <w:right w:val="single" w:sz="4" w:space="0" w:color="auto"/>
            </w:tcBorders>
            <w:shd w:val="clear" w:color="auto" w:fill="auto"/>
            <w:noWrap/>
            <w:vAlign w:val="center"/>
            <w:hideMark/>
          </w:tcPr>
          <w:p w14:paraId="7BAFB46A"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c>
          <w:tcPr>
            <w:tcW w:w="1580" w:type="dxa"/>
            <w:tcBorders>
              <w:top w:val="nil"/>
              <w:left w:val="nil"/>
              <w:bottom w:val="single" w:sz="4" w:space="0" w:color="auto"/>
              <w:right w:val="single" w:sz="4" w:space="0" w:color="auto"/>
            </w:tcBorders>
            <w:shd w:val="clear" w:color="auto" w:fill="auto"/>
            <w:noWrap/>
            <w:vAlign w:val="center"/>
            <w:hideMark/>
          </w:tcPr>
          <w:p w14:paraId="1EA93122"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1,575,354</w:t>
            </w:r>
          </w:p>
        </w:tc>
        <w:tc>
          <w:tcPr>
            <w:tcW w:w="1400" w:type="dxa"/>
            <w:tcBorders>
              <w:top w:val="nil"/>
              <w:left w:val="nil"/>
              <w:bottom w:val="single" w:sz="4" w:space="0" w:color="auto"/>
              <w:right w:val="single" w:sz="8" w:space="0" w:color="auto"/>
            </w:tcBorders>
            <w:shd w:val="clear" w:color="auto" w:fill="auto"/>
            <w:noWrap/>
            <w:vAlign w:val="center"/>
            <w:hideMark/>
          </w:tcPr>
          <w:p w14:paraId="5BCEAB1C"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r>
      <w:tr w:rsidR="00933019" w:rsidRPr="00057D13" w14:paraId="6EB7FE68" w14:textId="77777777" w:rsidTr="001C5929">
        <w:trPr>
          <w:trHeight w:val="290"/>
        </w:trPr>
        <w:tc>
          <w:tcPr>
            <w:tcW w:w="1860" w:type="dxa"/>
            <w:tcBorders>
              <w:top w:val="nil"/>
              <w:left w:val="single" w:sz="8" w:space="0" w:color="auto"/>
              <w:bottom w:val="single" w:sz="4" w:space="0" w:color="auto"/>
              <w:right w:val="nil"/>
            </w:tcBorders>
            <w:shd w:val="clear" w:color="auto" w:fill="auto"/>
            <w:vAlign w:val="bottom"/>
            <w:hideMark/>
          </w:tcPr>
          <w:p w14:paraId="3727FCA6"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Hemorrhagic Stroke</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14:paraId="14144938"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4,904,039</w:t>
            </w:r>
          </w:p>
        </w:tc>
        <w:tc>
          <w:tcPr>
            <w:tcW w:w="1400" w:type="dxa"/>
            <w:tcBorders>
              <w:top w:val="nil"/>
              <w:left w:val="nil"/>
              <w:bottom w:val="single" w:sz="4" w:space="0" w:color="auto"/>
              <w:right w:val="nil"/>
            </w:tcBorders>
            <w:shd w:val="clear" w:color="auto" w:fill="auto"/>
            <w:vAlign w:val="center"/>
            <w:hideMark/>
          </w:tcPr>
          <w:p w14:paraId="6949A5CF" w14:textId="683EA65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1,625,548</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96AE671" w14:textId="7DCE0586"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1,703,163</w:t>
            </w:r>
          </w:p>
        </w:tc>
        <w:tc>
          <w:tcPr>
            <w:tcW w:w="1400" w:type="dxa"/>
            <w:tcBorders>
              <w:top w:val="nil"/>
              <w:left w:val="nil"/>
              <w:bottom w:val="single" w:sz="4" w:space="0" w:color="auto"/>
              <w:right w:val="single" w:sz="4" w:space="0" w:color="auto"/>
            </w:tcBorders>
            <w:shd w:val="clear" w:color="auto" w:fill="auto"/>
            <w:noWrap/>
            <w:vAlign w:val="center"/>
            <w:hideMark/>
          </w:tcPr>
          <w:p w14:paraId="25175AA3" w14:textId="364B1FE9"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1,575,328</w:t>
            </w:r>
          </w:p>
        </w:tc>
        <w:tc>
          <w:tcPr>
            <w:tcW w:w="1580" w:type="dxa"/>
            <w:tcBorders>
              <w:top w:val="nil"/>
              <w:left w:val="nil"/>
              <w:bottom w:val="single" w:sz="4" w:space="0" w:color="auto"/>
              <w:right w:val="single" w:sz="4" w:space="0" w:color="auto"/>
            </w:tcBorders>
            <w:shd w:val="clear" w:color="auto" w:fill="auto"/>
            <w:noWrap/>
            <w:vAlign w:val="center"/>
            <w:hideMark/>
          </w:tcPr>
          <w:p w14:paraId="0BFCF40A" w14:textId="2020537E"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1,575,328</w:t>
            </w:r>
          </w:p>
        </w:tc>
        <w:tc>
          <w:tcPr>
            <w:tcW w:w="1400" w:type="dxa"/>
            <w:tcBorders>
              <w:top w:val="nil"/>
              <w:left w:val="nil"/>
              <w:bottom w:val="single" w:sz="4" w:space="0" w:color="auto"/>
              <w:right w:val="single" w:sz="4" w:space="0" w:color="auto"/>
            </w:tcBorders>
            <w:shd w:val="clear" w:color="auto" w:fill="auto"/>
            <w:noWrap/>
            <w:vAlign w:val="center"/>
            <w:hideMark/>
          </w:tcPr>
          <w:p w14:paraId="022AC86D"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c>
          <w:tcPr>
            <w:tcW w:w="1580" w:type="dxa"/>
            <w:tcBorders>
              <w:top w:val="nil"/>
              <w:left w:val="nil"/>
              <w:bottom w:val="single" w:sz="4" w:space="0" w:color="auto"/>
              <w:right w:val="single" w:sz="4" w:space="0" w:color="auto"/>
            </w:tcBorders>
            <w:shd w:val="clear" w:color="auto" w:fill="auto"/>
            <w:noWrap/>
            <w:vAlign w:val="center"/>
            <w:hideMark/>
          </w:tcPr>
          <w:p w14:paraId="3E57B831"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1,575,328</w:t>
            </w:r>
          </w:p>
        </w:tc>
        <w:tc>
          <w:tcPr>
            <w:tcW w:w="1400" w:type="dxa"/>
            <w:tcBorders>
              <w:top w:val="nil"/>
              <w:left w:val="nil"/>
              <w:bottom w:val="single" w:sz="4" w:space="0" w:color="auto"/>
              <w:right w:val="single" w:sz="8" w:space="0" w:color="auto"/>
            </w:tcBorders>
            <w:shd w:val="clear" w:color="auto" w:fill="auto"/>
            <w:noWrap/>
            <w:vAlign w:val="center"/>
            <w:hideMark/>
          </w:tcPr>
          <w:p w14:paraId="46420B4A"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r>
      <w:tr w:rsidR="00933019" w:rsidRPr="00057D13" w14:paraId="6612ECBA" w14:textId="77777777" w:rsidTr="008C6578">
        <w:trPr>
          <w:trHeight w:val="290"/>
        </w:trPr>
        <w:tc>
          <w:tcPr>
            <w:tcW w:w="1860" w:type="dxa"/>
            <w:tcBorders>
              <w:top w:val="nil"/>
              <w:left w:val="single" w:sz="8" w:space="0" w:color="auto"/>
              <w:bottom w:val="single" w:sz="4" w:space="0" w:color="auto"/>
              <w:right w:val="nil"/>
            </w:tcBorders>
            <w:shd w:val="clear" w:color="auto" w:fill="auto"/>
            <w:vAlign w:val="bottom"/>
            <w:hideMark/>
          </w:tcPr>
          <w:p w14:paraId="23A7C488"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Kawasaki Disease</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14:paraId="762B6CD8"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4,903,075</w:t>
            </w:r>
          </w:p>
        </w:tc>
        <w:tc>
          <w:tcPr>
            <w:tcW w:w="1400" w:type="dxa"/>
            <w:tcBorders>
              <w:top w:val="nil"/>
              <w:left w:val="nil"/>
              <w:bottom w:val="single" w:sz="4" w:space="0" w:color="auto"/>
              <w:right w:val="nil"/>
            </w:tcBorders>
            <w:shd w:val="clear" w:color="auto" w:fill="auto"/>
            <w:vAlign w:val="center"/>
            <w:hideMark/>
          </w:tcPr>
          <w:p w14:paraId="7AFB99B2" w14:textId="4414791D"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1,625,217</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442BFD" w14:textId="7ABD237C"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1,702,843</w:t>
            </w:r>
          </w:p>
        </w:tc>
        <w:tc>
          <w:tcPr>
            <w:tcW w:w="1400" w:type="dxa"/>
            <w:tcBorders>
              <w:top w:val="nil"/>
              <w:left w:val="nil"/>
              <w:bottom w:val="single" w:sz="4" w:space="0" w:color="auto"/>
              <w:right w:val="single" w:sz="4" w:space="0" w:color="auto"/>
            </w:tcBorders>
            <w:shd w:val="clear" w:color="auto" w:fill="auto"/>
            <w:noWrap/>
            <w:vAlign w:val="center"/>
            <w:hideMark/>
          </w:tcPr>
          <w:p w14:paraId="4F585928" w14:textId="4AE2EC8C"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1,575,015</w:t>
            </w:r>
          </w:p>
        </w:tc>
        <w:tc>
          <w:tcPr>
            <w:tcW w:w="1580" w:type="dxa"/>
            <w:tcBorders>
              <w:top w:val="nil"/>
              <w:left w:val="nil"/>
              <w:bottom w:val="single" w:sz="4" w:space="0" w:color="auto"/>
              <w:right w:val="single" w:sz="4" w:space="0" w:color="auto"/>
            </w:tcBorders>
            <w:shd w:val="clear" w:color="auto" w:fill="auto"/>
            <w:noWrap/>
            <w:vAlign w:val="center"/>
            <w:hideMark/>
          </w:tcPr>
          <w:p w14:paraId="0B6141FB" w14:textId="2C6391BF"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1,575,015</w:t>
            </w:r>
          </w:p>
        </w:tc>
        <w:tc>
          <w:tcPr>
            <w:tcW w:w="1400" w:type="dxa"/>
            <w:tcBorders>
              <w:top w:val="nil"/>
              <w:left w:val="nil"/>
              <w:bottom w:val="single" w:sz="4" w:space="0" w:color="auto"/>
              <w:right w:val="single" w:sz="4" w:space="0" w:color="auto"/>
            </w:tcBorders>
            <w:shd w:val="clear" w:color="auto" w:fill="auto"/>
            <w:noWrap/>
            <w:vAlign w:val="center"/>
            <w:hideMark/>
          </w:tcPr>
          <w:p w14:paraId="2D2CE39F"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19</w:t>
            </w:r>
          </w:p>
        </w:tc>
        <w:tc>
          <w:tcPr>
            <w:tcW w:w="1580" w:type="dxa"/>
            <w:tcBorders>
              <w:top w:val="nil"/>
              <w:left w:val="nil"/>
              <w:bottom w:val="single" w:sz="4" w:space="0" w:color="auto"/>
              <w:right w:val="single" w:sz="4" w:space="0" w:color="auto"/>
            </w:tcBorders>
            <w:shd w:val="clear" w:color="auto" w:fill="auto"/>
            <w:noWrap/>
            <w:vAlign w:val="center"/>
            <w:hideMark/>
          </w:tcPr>
          <w:p w14:paraId="2E250F66"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1,575,015</w:t>
            </w:r>
          </w:p>
        </w:tc>
        <w:tc>
          <w:tcPr>
            <w:tcW w:w="1400" w:type="dxa"/>
            <w:tcBorders>
              <w:top w:val="nil"/>
              <w:left w:val="nil"/>
              <w:bottom w:val="single" w:sz="4" w:space="0" w:color="auto"/>
              <w:right w:val="single" w:sz="8" w:space="0" w:color="auto"/>
            </w:tcBorders>
            <w:shd w:val="clear" w:color="auto" w:fill="auto"/>
            <w:noWrap/>
            <w:vAlign w:val="center"/>
            <w:hideMark/>
          </w:tcPr>
          <w:p w14:paraId="5ECC7E37"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24</w:t>
            </w:r>
          </w:p>
        </w:tc>
      </w:tr>
      <w:tr w:rsidR="00933019" w:rsidRPr="00057D13" w14:paraId="6E8E8BEE" w14:textId="77777777" w:rsidTr="008C6578">
        <w:trPr>
          <w:trHeight w:val="290"/>
        </w:trPr>
        <w:tc>
          <w:tcPr>
            <w:tcW w:w="1860" w:type="dxa"/>
            <w:tcBorders>
              <w:top w:val="nil"/>
              <w:left w:val="single" w:sz="8" w:space="0" w:color="auto"/>
              <w:bottom w:val="single" w:sz="4" w:space="0" w:color="auto"/>
              <w:right w:val="nil"/>
            </w:tcBorders>
            <w:shd w:val="clear" w:color="auto" w:fill="auto"/>
            <w:noWrap/>
            <w:vAlign w:val="bottom"/>
            <w:hideMark/>
          </w:tcPr>
          <w:p w14:paraId="7F109939"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MIS-C</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D31100"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4,903,902</w:t>
            </w:r>
          </w:p>
        </w:tc>
        <w:tc>
          <w:tcPr>
            <w:tcW w:w="1400" w:type="dxa"/>
            <w:tcBorders>
              <w:top w:val="nil"/>
              <w:left w:val="nil"/>
              <w:bottom w:val="single" w:sz="4" w:space="0" w:color="auto"/>
              <w:right w:val="nil"/>
            </w:tcBorders>
            <w:shd w:val="clear" w:color="auto" w:fill="auto"/>
            <w:noWrap/>
            <w:vAlign w:val="center"/>
            <w:hideMark/>
          </w:tcPr>
          <w:p w14:paraId="4E3FF90D" w14:textId="56341F4A"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1,625,518</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424F94" w14:textId="44AE9D71"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1,703,107</w:t>
            </w:r>
          </w:p>
        </w:tc>
        <w:tc>
          <w:tcPr>
            <w:tcW w:w="1400" w:type="dxa"/>
            <w:tcBorders>
              <w:top w:val="nil"/>
              <w:left w:val="nil"/>
              <w:bottom w:val="single" w:sz="4" w:space="0" w:color="auto"/>
              <w:right w:val="single" w:sz="4" w:space="0" w:color="auto"/>
            </w:tcBorders>
            <w:shd w:val="clear" w:color="auto" w:fill="auto"/>
            <w:noWrap/>
            <w:vAlign w:val="center"/>
            <w:hideMark/>
          </w:tcPr>
          <w:p w14:paraId="15F38ACE" w14:textId="629088DF"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1,575,277</w:t>
            </w:r>
          </w:p>
        </w:tc>
        <w:tc>
          <w:tcPr>
            <w:tcW w:w="1580" w:type="dxa"/>
            <w:tcBorders>
              <w:top w:val="nil"/>
              <w:left w:val="nil"/>
              <w:bottom w:val="single" w:sz="4" w:space="0" w:color="auto"/>
              <w:right w:val="single" w:sz="4" w:space="0" w:color="auto"/>
            </w:tcBorders>
            <w:shd w:val="clear" w:color="auto" w:fill="auto"/>
            <w:noWrap/>
            <w:vAlign w:val="center"/>
            <w:hideMark/>
          </w:tcPr>
          <w:p w14:paraId="3B20B07E" w14:textId="2B032001"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1,575,277</w:t>
            </w:r>
          </w:p>
        </w:tc>
        <w:tc>
          <w:tcPr>
            <w:tcW w:w="1400" w:type="dxa"/>
            <w:tcBorders>
              <w:top w:val="nil"/>
              <w:left w:val="nil"/>
              <w:bottom w:val="single" w:sz="4" w:space="0" w:color="auto"/>
              <w:right w:val="single" w:sz="4" w:space="0" w:color="auto"/>
            </w:tcBorders>
            <w:shd w:val="clear" w:color="auto" w:fill="auto"/>
            <w:noWrap/>
            <w:vAlign w:val="center"/>
            <w:hideMark/>
          </w:tcPr>
          <w:p w14:paraId="701F9954"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c>
          <w:tcPr>
            <w:tcW w:w="1580" w:type="dxa"/>
            <w:tcBorders>
              <w:top w:val="nil"/>
              <w:left w:val="nil"/>
              <w:bottom w:val="single" w:sz="4" w:space="0" w:color="auto"/>
              <w:right w:val="single" w:sz="4" w:space="0" w:color="auto"/>
            </w:tcBorders>
            <w:shd w:val="clear" w:color="auto" w:fill="auto"/>
            <w:noWrap/>
            <w:vAlign w:val="center"/>
            <w:hideMark/>
          </w:tcPr>
          <w:p w14:paraId="074A1744"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1,575,277</w:t>
            </w:r>
          </w:p>
        </w:tc>
        <w:tc>
          <w:tcPr>
            <w:tcW w:w="1400" w:type="dxa"/>
            <w:tcBorders>
              <w:top w:val="nil"/>
              <w:left w:val="nil"/>
              <w:bottom w:val="single" w:sz="4" w:space="0" w:color="auto"/>
              <w:right w:val="single" w:sz="8" w:space="0" w:color="auto"/>
            </w:tcBorders>
            <w:shd w:val="clear" w:color="auto" w:fill="auto"/>
            <w:noWrap/>
            <w:vAlign w:val="center"/>
            <w:hideMark/>
          </w:tcPr>
          <w:p w14:paraId="406B46F9"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r>
      <w:tr w:rsidR="00933019" w:rsidRPr="00057D13" w14:paraId="6B38DADF" w14:textId="77777777" w:rsidTr="008C6578">
        <w:trPr>
          <w:trHeight w:val="290"/>
        </w:trPr>
        <w:tc>
          <w:tcPr>
            <w:tcW w:w="1860" w:type="dxa"/>
            <w:tcBorders>
              <w:top w:val="nil"/>
              <w:left w:val="single" w:sz="8" w:space="0" w:color="auto"/>
              <w:bottom w:val="single" w:sz="4" w:space="0" w:color="auto"/>
              <w:right w:val="nil"/>
            </w:tcBorders>
            <w:shd w:val="clear" w:color="auto" w:fill="auto"/>
            <w:vAlign w:val="bottom"/>
            <w:hideMark/>
          </w:tcPr>
          <w:p w14:paraId="6D9B229E"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Transverse Myelitis</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14:paraId="738BFCA9"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4,904,143</w:t>
            </w:r>
          </w:p>
        </w:tc>
        <w:tc>
          <w:tcPr>
            <w:tcW w:w="1400" w:type="dxa"/>
            <w:tcBorders>
              <w:top w:val="nil"/>
              <w:left w:val="nil"/>
              <w:bottom w:val="single" w:sz="4" w:space="0" w:color="auto"/>
              <w:right w:val="nil"/>
            </w:tcBorders>
            <w:shd w:val="clear" w:color="auto" w:fill="auto"/>
            <w:vAlign w:val="center"/>
            <w:hideMark/>
          </w:tcPr>
          <w:p w14:paraId="5C68C392" w14:textId="49FCA0E1"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1,625,584</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A23B2B3" w14:textId="5AC70898"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1,703,206</w:t>
            </w:r>
          </w:p>
        </w:tc>
        <w:tc>
          <w:tcPr>
            <w:tcW w:w="1400" w:type="dxa"/>
            <w:tcBorders>
              <w:top w:val="nil"/>
              <w:left w:val="nil"/>
              <w:bottom w:val="single" w:sz="4" w:space="0" w:color="auto"/>
              <w:right w:val="single" w:sz="4" w:space="0" w:color="auto"/>
            </w:tcBorders>
            <w:shd w:val="clear" w:color="auto" w:fill="auto"/>
            <w:noWrap/>
            <w:vAlign w:val="center"/>
            <w:hideMark/>
          </w:tcPr>
          <w:p w14:paraId="068B3DC5" w14:textId="6D46C734"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1,575,353</w:t>
            </w:r>
          </w:p>
        </w:tc>
        <w:tc>
          <w:tcPr>
            <w:tcW w:w="1580" w:type="dxa"/>
            <w:tcBorders>
              <w:top w:val="nil"/>
              <w:left w:val="nil"/>
              <w:bottom w:val="single" w:sz="4" w:space="0" w:color="auto"/>
              <w:right w:val="single" w:sz="4" w:space="0" w:color="auto"/>
            </w:tcBorders>
            <w:shd w:val="clear" w:color="auto" w:fill="auto"/>
            <w:noWrap/>
            <w:vAlign w:val="center"/>
            <w:hideMark/>
          </w:tcPr>
          <w:p w14:paraId="26CD5FA5" w14:textId="4EF369CF"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1,575,353</w:t>
            </w:r>
          </w:p>
        </w:tc>
        <w:tc>
          <w:tcPr>
            <w:tcW w:w="1400" w:type="dxa"/>
            <w:tcBorders>
              <w:top w:val="nil"/>
              <w:left w:val="nil"/>
              <w:bottom w:val="single" w:sz="4" w:space="0" w:color="auto"/>
              <w:right w:val="single" w:sz="4" w:space="0" w:color="auto"/>
            </w:tcBorders>
            <w:shd w:val="clear" w:color="auto" w:fill="auto"/>
            <w:noWrap/>
            <w:vAlign w:val="center"/>
            <w:hideMark/>
          </w:tcPr>
          <w:p w14:paraId="2FDB15CF"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w:t>
            </w:r>
          </w:p>
        </w:tc>
        <w:tc>
          <w:tcPr>
            <w:tcW w:w="1580" w:type="dxa"/>
            <w:tcBorders>
              <w:top w:val="nil"/>
              <w:left w:val="nil"/>
              <w:bottom w:val="single" w:sz="4" w:space="0" w:color="auto"/>
              <w:right w:val="single" w:sz="4" w:space="0" w:color="auto"/>
            </w:tcBorders>
            <w:shd w:val="clear" w:color="auto" w:fill="auto"/>
            <w:noWrap/>
            <w:vAlign w:val="center"/>
            <w:hideMark/>
          </w:tcPr>
          <w:p w14:paraId="02E06A03"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1,575,353</w:t>
            </w:r>
          </w:p>
        </w:tc>
        <w:tc>
          <w:tcPr>
            <w:tcW w:w="1400" w:type="dxa"/>
            <w:tcBorders>
              <w:top w:val="nil"/>
              <w:left w:val="nil"/>
              <w:bottom w:val="single" w:sz="4" w:space="0" w:color="auto"/>
              <w:right w:val="single" w:sz="8" w:space="0" w:color="auto"/>
            </w:tcBorders>
            <w:shd w:val="clear" w:color="auto" w:fill="auto"/>
            <w:noWrap/>
            <w:vAlign w:val="center"/>
            <w:hideMark/>
          </w:tcPr>
          <w:p w14:paraId="764FB753"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&lt;11</w:t>
            </w:r>
          </w:p>
        </w:tc>
      </w:tr>
      <w:tr w:rsidR="00933019" w:rsidRPr="00057D13" w14:paraId="5D4D7F7B" w14:textId="77777777" w:rsidTr="001C5929">
        <w:trPr>
          <w:trHeight w:val="540"/>
        </w:trPr>
        <w:tc>
          <w:tcPr>
            <w:tcW w:w="1860" w:type="dxa"/>
            <w:tcBorders>
              <w:top w:val="nil"/>
              <w:left w:val="single" w:sz="8" w:space="0" w:color="auto"/>
              <w:bottom w:val="single" w:sz="8" w:space="0" w:color="auto"/>
              <w:right w:val="nil"/>
            </w:tcBorders>
            <w:shd w:val="clear" w:color="auto" w:fill="auto"/>
            <w:vAlign w:val="bottom"/>
            <w:hideMark/>
          </w:tcPr>
          <w:p w14:paraId="7F31872E" w14:textId="77777777" w:rsidR="00933019" w:rsidRPr="00057D13" w:rsidRDefault="00933019" w:rsidP="00933019">
            <w:pPr>
              <w:spacing w:after="0" w:line="240" w:lineRule="auto"/>
              <w:jc w:val="center"/>
              <w:rPr>
                <w:rFonts w:ascii="Times New Roman" w:eastAsia="Times New Roman" w:hAnsi="Times New Roman" w:cs="Times New Roman"/>
                <w:b/>
                <w:bCs/>
                <w:color w:val="000000"/>
                <w:sz w:val="20"/>
                <w:szCs w:val="20"/>
              </w:rPr>
            </w:pPr>
            <w:r w:rsidRPr="00057D13">
              <w:rPr>
                <w:rFonts w:ascii="Times New Roman" w:eastAsia="Times New Roman" w:hAnsi="Times New Roman" w:cs="Times New Roman"/>
                <w:b/>
                <w:bCs/>
                <w:color w:val="000000"/>
                <w:sz w:val="20"/>
                <w:szCs w:val="20"/>
              </w:rPr>
              <w:t>Unusual Site Thromboses</w:t>
            </w:r>
          </w:p>
        </w:tc>
        <w:tc>
          <w:tcPr>
            <w:tcW w:w="1580" w:type="dxa"/>
            <w:tcBorders>
              <w:top w:val="nil"/>
              <w:left w:val="single" w:sz="4" w:space="0" w:color="auto"/>
              <w:bottom w:val="single" w:sz="8" w:space="0" w:color="auto"/>
              <w:right w:val="single" w:sz="4" w:space="0" w:color="auto"/>
            </w:tcBorders>
            <w:shd w:val="clear" w:color="auto" w:fill="auto"/>
            <w:vAlign w:val="center"/>
            <w:hideMark/>
          </w:tcPr>
          <w:p w14:paraId="2A1BFEC0"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4,904,140</w:t>
            </w:r>
          </w:p>
        </w:tc>
        <w:tc>
          <w:tcPr>
            <w:tcW w:w="1400" w:type="dxa"/>
            <w:tcBorders>
              <w:top w:val="nil"/>
              <w:left w:val="nil"/>
              <w:bottom w:val="single" w:sz="8" w:space="0" w:color="auto"/>
              <w:right w:val="nil"/>
            </w:tcBorders>
            <w:shd w:val="clear" w:color="auto" w:fill="auto"/>
            <w:vAlign w:val="center"/>
            <w:hideMark/>
          </w:tcPr>
          <w:p w14:paraId="0F08DC27" w14:textId="60A26EB1"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1,625,582</w:t>
            </w:r>
          </w:p>
        </w:tc>
        <w:tc>
          <w:tcPr>
            <w:tcW w:w="1580" w:type="dxa"/>
            <w:tcBorders>
              <w:top w:val="nil"/>
              <w:left w:val="single" w:sz="4" w:space="0" w:color="auto"/>
              <w:bottom w:val="single" w:sz="8" w:space="0" w:color="auto"/>
              <w:right w:val="single" w:sz="4" w:space="0" w:color="auto"/>
            </w:tcBorders>
            <w:shd w:val="clear" w:color="auto" w:fill="auto"/>
            <w:noWrap/>
            <w:vAlign w:val="center"/>
            <w:hideMark/>
          </w:tcPr>
          <w:p w14:paraId="61F273D2" w14:textId="7172865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1,703,209</w:t>
            </w:r>
          </w:p>
        </w:tc>
        <w:tc>
          <w:tcPr>
            <w:tcW w:w="1400" w:type="dxa"/>
            <w:tcBorders>
              <w:top w:val="nil"/>
              <w:left w:val="nil"/>
              <w:bottom w:val="single" w:sz="8" w:space="0" w:color="auto"/>
              <w:right w:val="single" w:sz="4" w:space="0" w:color="auto"/>
            </w:tcBorders>
            <w:shd w:val="clear" w:color="auto" w:fill="auto"/>
            <w:noWrap/>
            <w:vAlign w:val="center"/>
            <w:hideMark/>
          </w:tcPr>
          <w:p w14:paraId="2D522D36" w14:textId="0CBC39CC"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1,575,349</w:t>
            </w:r>
          </w:p>
        </w:tc>
        <w:tc>
          <w:tcPr>
            <w:tcW w:w="1580" w:type="dxa"/>
            <w:tcBorders>
              <w:top w:val="nil"/>
              <w:left w:val="nil"/>
              <w:bottom w:val="single" w:sz="8" w:space="0" w:color="auto"/>
              <w:right w:val="single" w:sz="4" w:space="0" w:color="auto"/>
            </w:tcBorders>
            <w:shd w:val="clear" w:color="auto" w:fill="auto"/>
            <w:noWrap/>
            <w:vAlign w:val="center"/>
            <w:hideMark/>
          </w:tcPr>
          <w:p w14:paraId="449D3600" w14:textId="070B162D"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1,575,349</w:t>
            </w:r>
          </w:p>
        </w:tc>
        <w:tc>
          <w:tcPr>
            <w:tcW w:w="1400" w:type="dxa"/>
            <w:tcBorders>
              <w:top w:val="nil"/>
              <w:left w:val="nil"/>
              <w:bottom w:val="single" w:sz="8" w:space="0" w:color="auto"/>
              <w:right w:val="single" w:sz="4" w:space="0" w:color="auto"/>
            </w:tcBorders>
            <w:shd w:val="clear" w:color="auto" w:fill="auto"/>
            <w:noWrap/>
            <w:vAlign w:val="center"/>
            <w:hideMark/>
          </w:tcPr>
          <w:p w14:paraId="5E2D7F7B"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w:t>
            </w:r>
          </w:p>
        </w:tc>
        <w:tc>
          <w:tcPr>
            <w:tcW w:w="1580" w:type="dxa"/>
            <w:tcBorders>
              <w:top w:val="nil"/>
              <w:left w:val="nil"/>
              <w:bottom w:val="single" w:sz="8" w:space="0" w:color="auto"/>
              <w:right w:val="single" w:sz="4" w:space="0" w:color="auto"/>
            </w:tcBorders>
            <w:shd w:val="clear" w:color="auto" w:fill="auto"/>
            <w:noWrap/>
            <w:vAlign w:val="center"/>
            <w:hideMark/>
          </w:tcPr>
          <w:p w14:paraId="12807797"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1,575,349</w:t>
            </w:r>
          </w:p>
        </w:tc>
        <w:tc>
          <w:tcPr>
            <w:tcW w:w="1400" w:type="dxa"/>
            <w:tcBorders>
              <w:top w:val="nil"/>
              <w:left w:val="nil"/>
              <w:bottom w:val="single" w:sz="8" w:space="0" w:color="auto"/>
              <w:right w:val="single" w:sz="8" w:space="0" w:color="auto"/>
            </w:tcBorders>
            <w:shd w:val="clear" w:color="auto" w:fill="auto"/>
            <w:noWrap/>
            <w:vAlign w:val="center"/>
            <w:hideMark/>
          </w:tcPr>
          <w:p w14:paraId="65789087" w14:textId="77777777" w:rsidR="00933019" w:rsidRPr="00057D13" w:rsidRDefault="00933019" w:rsidP="00933019">
            <w:pPr>
              <w:spacing w:after="0" w:line="240" w:lineRule="auto"/>
              <w:jc w:val="center"/>
              <w:rPr>
                <w:rFonts w:ascii="Times New Roman" w:eastAsia="Times New Roman" w:hAnsi="Times New Roman" w:cs="Times New Roman"/>
                <w:color w:val="000000"/>
                <w:sz w:val="20"/>
                <w:szCs w:val="20"/>
              </w:rPr>
            </w:pPr>
            <w:r w:rsidRPr="00057D13">
              <w:rPr>
                <w:rFonts w:ascii="Times New Roman" w:eastAsia="Times New Roman" w:hAnsi="Times New Roman" w:cs="Times New Roman"/>
                <w:color w:val="000000"/>
                <w:sz w:val="20"/>
                <w:szCs w:val="20"/>
              </w:rPr>
              <w:t>0</w:t>
            </w:r>
          </w:p>
        </w:tc>
      </w:tr>
    </w:tbl>
    <w:p w14:paraId="7761A763" w14:textId="77777777" w:rsidR="00933019" w:rsidRPr="00057D13" w:rsidRDefault="00933019" w:rsidP="00933019">
      <w:pPr>
        <w:rPr>
          <w:rFonts w:ascii="Times New Roman" w:hAnsi="Times New Roman" w:cs="Times New Roman"/>
          <w:bCs/>
          <w:sz w:val="20"/>
        </w:rPr>
      </w:pPr>
      <w:r w:rsidRPr="00057D13">
        <w:rPr>
          <w:rFonts w:ascii="Times New Roman" w:hAnsi="Times New Roman" w:cs="Times New Roman"/>
          <w:bCs/>
          <w:sz w:val="20"/>
        </w:rPr>
        <w:t>Cell sizes 1-10 were masked for confidentiality</w:t>
      </w:r>
    </w:p>
    <w:p w14:paraId="26307D8A" w14:textId="4E5A43BE" w:rsidR="00B30B4B" w:rsidRPr="00057D13" w:rsidRDefault="00B30B4B" w:rsidP="00CC556E">
      <w:pPr>
        <w:spacing w:before="240" w:after="0"/>
        <w:rPr>
          <w:rStyle w:val="CommentReference"/>
          <w:rFonts w:ascii="Times New Roman" w:hAnsi="Times New Roman" w:cs="Times New Roman"/>
          <w:b/>
          <w:bCs/>
          <w:sz w:val="22"/>
          <w:szCs w:val="22"/>
        </w:rPr>
      </w:pPr>
    </w:p>
    <w:p w14:paraId="3DCF32E1" w14:textId="6202A855" w:rsidR="00673661" w:rsidRPr="00057D13" w:rsidRDefault="00673661" w:rsidP="00CC556E">
      <w:pPr>
        <w:spacing w:before="240" w:after="0"/>
        <w:rPr>
          <w:rStyle w:val="CommentReference"/>
          <w:rFonts w:ascii="Times New Roman" w:hAnsi="Times New Roman" w:cs="Times New Roman"/>
          <w:b/>
          <w:bCs/>
          <w:sz w:val="22"/>
          <w:szCs w:val="22"/>
        </w:rPr>
      </w:pPr>
    </w:p>
    <w:p w14:paraId="79C8177E" w14:textId="77777777" w:rsidR="005B469D" w:rsidRPr="00057D13" w:rsidRDefault="005B469D">
      <w:pPr>
        <w:rPr>
          <w:rFonts w:ascii="Times New Roman" w:eastAsiaTheme="majorEastAsia" w:hAnsi="Times New Roman" w:cs="Times New Roman"/>
          <w:color w:val="1F4D78" w:themeColor="accent1" w:themeShade="7F"/>
          <w:sz w:val="24"/>
          <w:szCs w:val="24"/>
        </w:rPr>
      </w:pPr>
      <w:r w:rsidRPr="00057D13">
        <w:rPr>
          <w:rFonts w:ascii="Times New Roman" w:hAnsi="Times New Roman" w:cs="Times New Roman"/>
        </w:rPr>
        <w:br w:type="page"/>
      </w:r>
    </w:p>
    <w:p w14:paraId="140E7FD3" w14:textId="3E08FC69" w:rsidR="00673661" w:rsidRPr="00057D13" w:rsidRDefault="00673661" w:rsidP="00673661">
      <w:pPr>
        <w:pStyle w:val="Heading3"/>
        <w:rPr>
          <w:rFonts w:ascii="Times New Roman" w:hAnsi="Times New Roman" w:cs="Times New Roman"/>
        </w:rPr>
      </w:pPr>
      <w:r w:rsidRPr="00057D13">
        <w:rPr>
          <w:rFonts w:ascii="Times New Roman" w:hAnsi="Times New Roman" w:cs="Times New Roman"/>
        </w:rPr>
        <w:t>References</w:t>
      </w:r>
    </w:p>
    <w:p w14:paraId="0B4A6F36"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3" w:name="_Ref89420639"/>
      <w:r w:rsidRPr="00057D13">
        <w:rPr>
          <w:rFonts w:ascii="Times New Roman" w:hAnsi="Times New Roman" w:cs="Times New Roman"/>
        </w:rPr>
        <w:t>Oster ME, Shay DK, Su JR, et al. Myocarditis Cases Reported After mRNA-Based COVID-19 Vaccination in the US From December 2020 to August 2021. JAMA. 2022; 327(4):331–340. doi:10.1001/jama.2021.24110</w:t>
      </w:r>
      <w:bookmarkEnd w:id="3"/>
    </w:p>
    <w:p w14:paraId="41992EE1"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4" w:name="_Ref97189488"/>
      <w:r w:rsidRPr="00057D13">
        <w:rPr>
          <w:rFonts w:ascii="Times New Roman" w:hAnsi="Times New Roman" w:cs="Times New Roman"/>
        </w:rPr>
        <w:t>Klein N. Myocarditis Analyses in the Vaccine Safety Datalink: Rapid Cycle Analyses and “Head-to-Head” Product Comparisons. Presented on: October 21, 2021.</w:t>
      </w:r>
      <w:r w:rsidRPr="00057D13">
        <w:rPr>
          <w:rFonts w:ascii="Times New Roman" w:hAnsi="Times New Roman" w:cs="Times New Roman"/>
          <w:color w:val="1F497D"/>
        </w:rPr>
        <w:t xml:space="preserve"> </w:t>
      </w:r>
      <w:hyperlink r:id="rId11" w:history="1">
        <w:r w:rsidRPr="00057D13">
          <w:rPr>
            <w:rStyle w:val="Hyperlink"/>
            <w:rFonts w:ascii="Times New Roman" w:hAnsi="Times New Roman" w:cs="Times New Roman"/>
          </w:rPr>
          <w:t>https://www.cdc.gov/vaccines/acip/meetings/downloads/slides-2021-10-20-21/08-COVID-Klein-508.pdf</w:t>
        </w:r>
      </w:hyperlink>
      <w:r w:rsidRPr="00057D13">
        <w:rPr>
          <w:rFonts w:ascii="Times New Roman" w:hAnsi="Times New Roman" w:cs="Times New Roman"/>
          <w:color w:val="1F497D"/>
        </w:rPr>
        <w:t>.</w:t>
      </w:r>
      <w:r w:rsidRPr="00057D13" w:rsidDel="00DC6936">
        <w:rPr>
          <w:rFonts w:ascii="Times New Roman" w:hAnsi="Times New Roman" w:cs="Times New Roman"/>
        </w:rPr>
        <w:t xml:space="preserve"> </w:t>
      </w:r>
      <w:bookmarkEnd w:id="4"/>
    </w:p>
    <w:p w14:paraId="2CA8336C"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5" w:name="_Ref98933361"/>
      <w:r w:rsidRPr="00057D13">
        <w:rPr>
          <w:rFonts w:ascii="Times New Roman" w:hAnsi="Times New Roman" w:cs="Times New Roman"/>
        </w:rPr>
        <w:t>Dodd, C.N., et al., International collaboration to assess the risk of Guillain Barré Syndrome following Influenza A (H1N1) 2009 monovalent vaccines. Vaccine. 2013; 31(40): p. 4448-4458.</w:t>
      </w:r>
      <w:bookmarkEnd w:id="5"/>
    </w:p>
    <w:p w14:paraId="4BC98D3A"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6" w:name="_Ref89420657"/>
      <w:r w:rsidRPr="00057D13">
        <w:rPr>
          <w:rFonts w:ascii="Times New Roman" w:hAnsi="Times New Roman" w:cs="Times New Roman"/>
        </w:rPr>
        <w:t>Schonberger, L.B., et al., Guillain-Barré syndrome following vaccination in the national influenza immunization program, United States, 1976–1977. American Journal of Epidemiology. 1979; 110(2): p. 105-123.</w:t>
      </w:r>
      <w:bookmarkEnd w:id="6"/>
    </w:p>
    <w:p w14:paraId="0E3BBF7E"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7" w:name="_Ref89420690"/>
      <w:r w:rsidRPr="00057D13">
        <w:rPr>
          <w:rFonts w:ascii="Times New Roman" w:hAnsi="Times New Roman" w:cs="Times New Roman"/>
        </w:rPr>
        <w:t>Hennon, T.R., et al., COVID-19 associated Multisystem Inflammatory Syndrome in Children (MIS-C) guidelines; a Western New York approach. Progress in Pediatric Cardiology. 2020</w:t>
      </w:r>
      <w:bookmarkEnd w:id="7"/>
      <w:r w:rsidRPr="00057D13">
        <w:rPr>
          <w:rFonts w:ascii="Times New Roman" w:hAnsi="Times New Roman" w:cs="Times New Roman"/>
        </w:rPr>
        <w:t>;</w:t>
      </w:r>
    </w:p>
    <w:p w14:paraId="252DFAF3" w14:textId="77777777" w:rsidR="00673661" w:rsidRPr="00057D13" w:rsidRDefault="00673661" w:rsidP="00673661">
      <w:pPr>
        <w:pStyle w:val="Default"/>
        <w:numPr>
          <w:ilvl w:val="0"/>
          <w:numId w:val="28"/>
        </w:numPr>
        <w:rPr>
          <w:rFonts w:ascii="Times New Roman" w:hAnsi="Times New Roman" w:cs="Times New Roman"/>
          <w:sz w:val="22"/>
          <w:szCs w:val="22"/>
        </w:rPr>
      </w:pPr>
      <w:r w:rsidRPr="00057D13">
        <w:rPr>
          <w:rFonts w:ascii="Times New Roman" w:hAnsi="Times New Roman" w:cs="Times New Roman"/>
          <w:sz w:val="22"/>
          <w:szCs w:val="22"/>
        </w:rPr>
        <w:t xml:space="preserve">Pellegrino, P., et al., </w:t>
      </w:r>
      <w:r w:rsidRPr="00057D13">
        <w:rPr>
          <w:rFonts w:ascii="Times New Roman" w:hAnsi="Times New Roman" w:cs="Times New Roman"/>
          <w:iCs/>
          <w:sz w:val="22"/>
          <w:szCs w:val="22"/>
        </w:rPr>
        <w:t xml:space="preserve">Acute disseminated encephalomyelitis onset: evaluation based on vaccine adverse events reporting systems. </w:t>
      </w:r>
      <w:proofErr w:type="spellStart"/>
      <w:r w:rsidRPr="00057D13">
        <w:rPr>
          <w:rFonts w:ascii="Times New Roman" w:hAnsi="Times New Roman" w:cs="Times New Roman"/>
          <w:sz w:val="22"/>
          <w:szCs w:val="22"/>
        </w:rPr>
        <w:t>PloS</w:t>
      </w:r>
      <w:proofErr w:type="spellEnd"/>
      <w:r w:rsidRPr="00057D13">
        <w:rPr>
          <w:rFonts w:ascii="Times New Roman" w:hAnsi="Times New Roman" w:cs="Times New Roman"/>
          <w:sz w:val="22"/>
          <w:szCs w:val="22"/>
        </w:rPr>
        <w:t xml:space="preserve"> one. 2013; </w:t>
      </w:r>
      <w:r w:rsidRPr="00057D13">
        <w:rPr>
          <w:rFonts w:ascii="Times New Roman" w:hAnsi="Times New Roman" w:cs="Times New Roman"/>
          <w:bCs/>
          <w:sz w:val="22"/>
          <w:szCs w:val="22"/>
        </w:rPr>
        <w:t>8</w:t>
      </w:r>
      <w:r w:rsidRPr="00057D13">
        <w:rPr>
          <w:rFonts w:ascii="Times New Roman" w:hAnsi="Times New Roman" w:cs="Times New Roman"/>
          <w:sz w:val="22"/>
          <w:szCs w:val="22"/>
        </w:rPr>
        <w:t xml:space="preserve">(10): p. e77766. </w:t>
      </w:r>
    </w:p>
    <w:p w14:paraId="7000FC43" w14:textId="77777777" w:rsidR="00673661" w:rsidRPr="00057D13" w:rsidRDefault="00673661" w:rsidP="00673661">
      <w:pPr>
        <w:pStyle w:val="ListParagraph"/>
        <w:numPr>
          <w:ilvl w:val="0"/>
          <w:numId w:val="28"/>
        </w:numPr>
        <w:shd w:val="clear" w:color="auto" w:fill="FFFFFF"/>
        <w:spacing w:after="100" w:afterAutospacing="1" w:line="240" w:lineRule="auto"/>
        <w:contextualSpacing w:val="0"/>
        <w:rPr>
          <w:rFonts w:ascii="Times New Roman" w:hAnsi="Times New Roman" w:cs="Times New Roman"/>
        </w:rPr>
      </w:pPr>
      <w:bookmarkStart w:id="8" w:name="_Ref89421189"/>
      <w:proofErr w:type="spellStart"/>
      <w:r w:rsidRPr="00057D13">
        <w:rPr>
          <w:rFonts w:ascii="Times New Roman" w:hAnsi="Times New Roman" w:cs="Times New Roman"/>
        </w:rPr>
        <w:t>Agmon</w:t>
      </w:r>
      <w:proofErr w:type="spellEnd"/>
      <w:r w:rsidRPr="00057D13">
        <w:rPr>
          <w:rFonts w:ascii="Times New Roman" w:hAnsi="Times New Roman" w:cs="Times New Roman"/>
        </w:rPr>
        <w:t>-Levin, N., et al., Transverse myelitis and vaccines: a multi-analysis. Lupus. 2009; 18(13): p. 1198-1204.</w:t>
      </w:r>
      <w:bookmarkEnd w:id="8"/>
    </w:p>
    <w:p w14:paraId="70DA9B2F"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9" w:name="_Ref89421214"/>
      <w:r w:rsidRPr="00057D13">
        <w:rPr>
          <w:rFonts w:ascii="Times New Roman" w:hAnsi="Times New Roman" w:cs="Times New Roman"/>
        </w:rPr>
        <w:t>Rüggeberg, J.U., et al., Anaphylaxis: case definition and guidelines for data collection, analysis, and presentation of immunization safety data. Vaccine. 2007; 25(31): p. 5675-5684.</w:t>
      </w:r>
      <w:bookmarkEnd w:id="9"/>
    </w:p>
    <w:p w14:paraId="0D805C3A"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0" w:name="_Ref89421225"/>
      <w:r w:rsidRPr="00057D13">
        <w:rPr>
          <w:rFonts w:ascii="Times New Roman" w:hAnsi="Times New Roman" w:cs="Times New Roman"/>
        </w:rPr>
        <w:t>Su, J.R., et al., Anaphylaxis after vaccination reported to the Vaccine Adverse Event Reporting System, 1990-2016. Journal of Allergy and Clinical Immunology. 2019; 143(4): p. 1465-1473.</w:t>
      </w:r>
      <w:bookmarkEnd w:id="10"/>
    </w:p>
    <w:p w14:paraId="105EE42E"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1" w:name="_Ref89422031"/>
      <w:r w:rsidRPr="00057D13">
        <w:rPr>
          <w:rFonts w:ascii="Times New Roman" w:hAnsi="Times New Roman" w:cs="Times New Roman"/>
        </w:rPr>
        <w:t>Pishko, A.M., et al., COVID-19 vaccination and immune thrombocytopenia. Nat Med 27. 1145–1146 (2021).</w:t>
      </w:r>
      <w:bookmarkEnd w:id="11"/>
      <w:r w:rsidRPr="00057D13">
        <w:rPr>
          <w:rFonts w:ascii="Times New Roman" w:hAnsi="Times New Roman" w:cs="Times New Roman"/>
        </w:rPr>
        <w:t xml:space="preserve"> </w:t>
      </w:r>
    </w:p>
    <w:p w14:paraId="23647AA6" w14:textId="77777777" w:rsidR="00673661" w:rsidRPr="00057D13" w:rsidRDefault="00673661" w:rsidP="00673661">
      <w:pPr>
        <w:pStyle w:val="Default"/>
        <w:numPr>
          <w:ilvl w:val="0"/>
          <w:numId w:val="28"/>
        </w:numPr>
        <w:rPr>
          <w:rFonts w:ascii="Times New Roman" w:hAnsi="Times New Roman" w:cs="Times New Roman"/>
          <w:sz w:val="22"/>
          <w:szCs w:val="22"/>
        </w:rPr>
      </w:pPr>
      <w:bookmarkStart w:id="12" w:name="_Ref89425757"/>
      <w:r w:rsidRPr="00057D13">
        <w:rPr>
          <w:rFonts w:ascii="Times New Roman" w:hAnsi="Times New Roman" w:cs="Times New Roman"/>
          <w:sz w:val="22"/>
          <w:szCs w:val="22"/>
        </w:rPr>
        <w:t>Whitworth, H., et al., Rate of thrombosis in children and adolescents hospitalized with COVID-19 or MIS-C. Blood. 138(2), 190-198.</w:t>
      </w:r>
      <w:bookmarkEnd w:id="12"/>
    </w:p>
    <w:p w14:paraId="60C20626"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3" w:name="_Ref89423497"/>
      <w:r w:rsidRPr="00057D13">
        <w:rPr>
          <w:rFonts w:ascii="Times New Roman" w:hAnsi="Times New Roman" w:cs="Times New Roman"/>
        </w:rPr>
        <w:t>Duffy, J., et al., Febrile seizure risk after vaccination in children 6 to 23 months. Pediatrics. 2016; 138(1).</w:t>
      </w:r>
      <w:bookmarkEnd w:id="13"/>
    </w:p>
    <w:p w14:paraId="0E72C376"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4" w:name="_Ref89426073"/>
      <w:r w:rsidRPr="00057D13">
        <w:rPr>
          <w:rFonts w:ascii="Times New Roman" w:hAnsi="Times New Roman" w:cs="Times New Roman"/>
        </w:rPr>
        <w:t>Renoud L; et al; Association of Facial Paralysis With mRNA COVID-19 Vaccines: A Disproportionality Analysis Using the World Health Organization Pharmacovigilance Database. </w:t>
      </w:r>
      <w:r w:rsidRPr="00057D13">
        <w:rPr>
          <w:rFonts w:ascii="Times New Roman" w:hAnsi="Times New Roman" w:cs="Times New Roman"/>
          <w:iCs/>
        </w:rPr>
        <w:t>JAMA Intern Med.</w:t>
      </w:r>
      <w:r w:rsidRPr="00057D13">
        <w:rPr>
          <w:rFonts w:ascii="Times New Roman" w:hAnsi="Times New Roman" w:cs="Times New Roman"/>
        </w:rPr>
        <w:t> 2021; 181(9):1243–1245.</w:t>
      </w:r>
      <w:bookmarkEnd w:id="14"/>
      <w:r w:rsidRPr="00057D13">
        <w:rPr>
          <w:rFonts w:ascii="Times New Roman" w:hAnsi="Times New Roman" w:cs="Times New Roman"/>
          <w:color w:val="333333"/>
          <w:shd w:val="clear" w:color="auto" w:fill="FFFFFF"/>
        </w:rPr>
        <w:t xml:space="preserve"> </w:t>
      </w:r>
    </w:p>
    <w:p w14:paraId="63C14FAB"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5" w:name="_Ref89426299"/>
      <w:r w:rsidRPr="00057D13">
        <w:rPr>
          <w:rFonts w:ascii="Times New Roman" w:hAnsi="Times New Roman" w:cs="Times New Roman"/>
        </w:rPr>
        <w:t>Kearon, C., Natural history of venous thromboembolism. Circulation. 2003; 107(23_suppl_1): p. I-22-I-30.</w:t>
      </w:r>
      <w:bookmarkEnd w:id="15"/>
    </w:p>
    <w:p w14:paraId="0A1A501B"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6" w:name="_Ref89426303"/>
      <w:r w:rsidRPr="00057D13">
        <w:rPr>
          <w:rFonts w:ascii="Times New Roman" w:hAnsi="Times New Roman" w:cs="Times New Roman"/>
        </w:rPr>
        <w:t>Kearon, C. and E.A. Akl, Duration of anticoagulant therapy for deep vein thrombosis and pulmonary embolism. Blood. 2014; 123(12): p. 1794-1801.</w:t>
      </w:r>
      <w:bookmarkEnd w:id="16"/>
    </w:p>
    <w:p w14:paraId="2E7FCE63"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7" w:name="_Ref89426305"/>
      <w:r w:rsidRPr="00057D13">
        <w:rPr>
          <w:rFonts w:ascii="Times New Roman" w:hAnsi="Times New Roman" w:cs="Times New Roman"/>
        </w:rPr>
        <w:t>Vickers, E.R., et al., Risk of venous thromboembolism following influenza vaccination in adults aged 50 years and older in the Vaccine Safety Datalink. Vaccine. 2017; 35(43): p. 5872-5877.</w:t>
      </w:r>
      <w:bookmarkEnd w:id="17"/>
    </w:p>
    <w:p w14:paraId="781D76BD"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8" w:name="_Ref89426501"/>
      <w:r w:rsidRPr="00057D13">
        <w:rPr>
          <w:rFonts w:ascii="Times New Roman" w:hAnsi="Times New Roman" w:cs="Times New Roman"/>
        </w:rPr>
        <w:t>Tang, N., et al., Abnormal coagulation parameters are associated with poor prognosis in patients with novel coronavirus pneumonia. Journal of Thrombosis Haemostasis. 2020; 18(4): p. 844-847.</w:t>
      </w:r>
      <w:bookmarkEnd w:id="18"/>
    </w:p>
    <w:p w14:paraId="1D613B81"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19" w:name="_Ref89426567"/>
      <w:r w:rsidRPr="00057D13">
        <w:rPr>
          <w:rFonts w:ascii="Times New Roman" w:hAnsi="Times New Roman" w:cs="Times New Roman"/>
        </w:rPr>
        <w:t>Black, C., J.A. Kaye, and H. Jick, MMR vaccine and idiopathic thrombocytopaenic purpura. British Journal of Clinical Pharmacology. 2003; 55(1): p. 107-111.</w:t>
      </w:r>
      <w:bookmarkEnd w:id="19"/>
    </w:p>
    <w:p w14:paraId="36348DAB"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0" w:name="_Ref89426575"/>
      <w:r w:rsidRPr="00057D13">
        <w:rPr>
          <w:rFonts w:ascii="Times New Roman" w:hAnsi="Times New Roman" w:cs="Times New Roman"/>
        </w:rPr>
        <w:t>D'alò, G.L., et al., Frequently asked questions on seven rare adverse events following immunization. Journal of Preventive Medicine Hygiene. 2017; 58(1): p. E13.</w:t>
      </w:r>
      <w:bookmarkEnd w:id="20"/>
    </w:p>
    <w:p w14:paraId="192BAFBE"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1" w:name="_Ref89426666"/>
      <w:r w:rsidRPr="00057D13">
        <w:rPr>
          <w:rFonts w:ascii="Times New Roman" w:hAnsi="Times New Roman" w:cs="Times New Roman"/>
        </w:rPr>
        <w:t>Baker, M.A., et al., Kawasaki disease and 13-valent pneumococcal conjugate vaccination among young children: A self-controlled risk interval and cohort study with null results. PLOS Medicine. 2019; 16(7): p. e1002844.</w:t>
      </w:r>
      <w:bookmarkEnd w:id="21"/>
    </w:p>
    <w:p w14:paraId="3C01BE9A"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2" w:name="_Ref89426673"/>
      <w:r w:rsidRPr="00057D13">
        <w:rPr>
          <w:rFonts w:ascii="Times New Roman" w:hAnsi="Times New Roman" w:cs="Times New Roman"/>
        </w:rPr>
        <w:t>Yung, C.F., et al., Kawasaki Disease following administration of 13-valent pneumococcal conjugate vaccine in young children. Scientific reports. 2019; 9(1): p. 1-7.</w:t>
      </w:r>
      <w:bookmarkEnd w:id="22"/>
    </w:p>
    <w:p w14:paraId="29F9E4BA"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3" w:name="_Ref89426808"/>
      <w:r w:rsidRPr="00057D13">
        <w:rPr>
          <w:rFonts w:ascii="Times New Roman" w:hAnsi="Times New Roman" w:cs="Times New Roman"/>
        </w:rPr>
        <w:t>Duffy, J., et al., Narcolepsy and influenza A (H1N1) pandemic 2009 vaccination in the United States. Neurology. 2014; 83(20): p. 1823-1830.</w:t>
      </w:r>
      <w:bookmarkEnd w:id="23"/>
    </w:p>
    <w:p w14:paraId="72C871AF" w14:textId="77777777" w:rsidR="00673661" w:rsidRPr="00057D13" w:rsidRDefault="00673661" w:rsidP="00673661">
      <w:pPr>
        <w:pStyle w:val="EndNoteBibliography"/>
        <w:numPr>
          <w:ilvl w:val="0"/>
          <w:numId w:val="28"/>
        </w:numPr>
        <w:spacing w:after="0"/>
        <w:rPr>
          <w:rFonts w:ascii="Times New Roman" w:hAnsi="Times New Roman" w:cs="Times New Roman"/>
        </w:rPr>
      </w:pPr>
      <w:r w:rsidRPr="00057D13">
        <w:rPr>
          <w:rFonts w:ascii="Times New Roman" w:hAnsi="Times New Roman" w:cs="Times New Roman"/>
        </w:rPr>
        <w:t>Montplaisir, J., et al., Risk of narcolepsy associated with inactivated adjuvanted (AS03) A/H1N1 (2009) pandemic influenza vaccine in Quebec. PloS one. 2014; 9(9): p. e108489.</w:t>
      </w:r>
    </w:p>
    <w:p w14:paraId="0EBE36AC"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4" w:name="_Ref98919412"/>
      <w:r w:rsidRPr="00057D13">
        <w:rPr>
          <w:rFonts w:ascii="Times New Roman" w:hAnsi="Times New Roman" w:cs="Times New Roman"/>
        </w:rPr>
        <w:t>Sarkanen, T.O., et al., Incidence of narcolepsy after H1N1 influenza and vaccinations: Systematic review and meta-analysis. Sleep Medicine Reviews. 2018; 38: p. 177-186.</w:t>
      </w:r>
      <w:bookmarkEnd w:id="24"/>
    </w:p>
    <w:p w14:paraId="32440DC5"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5" w:name="_Ref89427079"/>
      <w:r w:rsidRPr="00057D13">
        <w:rPr>
          <w:rFonts w:ascii="Times New Roman" w:hAnsi="Times New Roman" w:cs="Times New Roman"/>
        </w:rPr>
        <w:t>Donahue, J.G., et al., Near Real-Time Surveillance to Assess the Safety of the 9-Valent Human Papillomavirus Vaccine. Pediatrics. 2019; 144(6): p. e20191808</w:t>
      </w:r>
      <w:bookmarkEnd w:id="25"/>
      <w:r w:rsidRPr="00057D13">
        <w:rPr>
          <w:rFonts w:ascii="Times New Roman" w:hAnsi="Times New Roman" w:cs="Times New Roman"/>
        </w:rPr>
        <w:t>.</w:t>
      </w:r>
    </w:p>
    <w:p w14:paraId="77D11BA0"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6" w:name="_Ref89427084"/>
      <w:r w:rsidRPr="00057D13">
        <w:rPr>
          <w:rFonts w:ascii="Times New Roman" w:hAnsi="Times New Roman" w:cs="Times New Roman"/>
        </w:rPr>
        <w:t>Gee, J., et al., Monitoring the safety of quadrivalent human papillomavirus vaccine: findings from the Vaccine Safety Datalink. Vaccine. 2011; 29(46): p. 8279-84</w:t>
      </w:r>
      <w:bookmarkEnd w:id="26"/>
      <w:r w:rsidRPr="00057D13">
        <w:rPr>
          <w:rFonts w:ascii="Times New Roman" w:hAnsi="Times New Roman" w:cs="Times New Roman"/>
        </w:rPr>
        <w:t>.</w:t>
      </w:r>
    </w:p>
    <w:p w14:paraId="2C1DB9E5" w14:textId="77777777" w:rsidR="00673661" w:rsidRPr="00057D13" w:rsidRDefault="00673661" w:rsidP="00673661">
      <w:pPr>
        <w:pStyle w:val="EndNoteBibliography"/>
        <w:numPr>
          <w:ilvl w:val="0"/>
          <w:numId w:val="28"/>
        </w:numPr>
        <w:spacing w:after="0"/>
        <w:rPr>
          <w:rFonts w:ascii="Times New Roman" w:hAnsi="Times New Roman" w:cs="Times New Roman"/>
        </w:rPr>
      </w:pPr>
      <w:bookmarkStart w:id="27" w:name="_Ref89427198"/>
      <w:r w:rsidRPr="00057D13">
        <w:rPr>
          <w:rFonts w:ascii="Times New Roman" w:hAnsi="Times New Roman" w:cs="Times New Roman"/>
        </w:rPr>
        <w:t>Al Qudah, Z., W. Abukwaik, and N. Souayah, Stroke after Vaccination in United States. A Report from the CDC/FDA Vaccine Adverse Event Reporting System. [1990–2010] (P01.009). Neurology. 2012; 78(1 Supplement): p. P01.009-P01.009.</w:t>
      </w:r>
      <w:bookmarkEnd w:id="27"/>
    </w:p>
    <w:p w14:paraId="0B7147E8" w14:textId="033A554A" w:rsidR="00673661" w:rsidRPr="00057D13" w:rsidRDefault="00673661" w:rsidP="00673661">
      <w:pPr>
        <w:pStyle w:val="EndNoteBibliography"/>
        <w:numPr>
          <w:ilvl w:val="0"/>
          <w:numId w:val="28"/>
        </w:numPr>
        <w:spacing w:after="0"/>
        <w:rPr>
          <w:rFonts w:ascii="Times New Roman" w:hAnsi="Times New Roman" w:cs="Times New Roman"/>
        </w:rPr>
      </w:pPr>
      <w:bookmarkStart w:id="28" w:name="_Ref89427205"/>
      <w:r w:rsidRPr="00057D13">
        <w:rPr>
          <w:rFonts w:ascii="Times New Roman" w:hAnsi="Times New Roman" w:cs="Times New Roman"/>
        </w:rPr>
        <w:t>Smeeth, L., et al., Risk of myocardial infarction and stroke after acute infection or vaccination. New England Journal of Medicine. 2004; 351(25): p. 2611-2618.</w:t>
      </w:r>
      <w:bookmarkEnd w:id="28"/>
    </w:p>
    <w:p w14:paraId="48F6DE17" w14:textId="77777777" w:rsidR="00177999" w:rsidRPr="00057D13" w:rsidRDefault="00177999" w:rsidP="00177999">
      <w:pPr>
        <w:pStyle w:val="ListParagraph"/>
        <w:numPr>
          <w:ilvl w:val="0"/>
          <w:numId w:val="28"/>
        </w:numPr>
        <w:spacing w:before="100" w:beforeAutospacing="1" w:after="100" w:afterAutospacing="1" w:line="240" w:lineRule="auto"/>
        <w:rPr>
          <w:rFonts w:ascii="Times New Roman" w:hAnsi="Times New Roman" w:cs="Times New Roman"/>
        </w:rPr>
      </w:pPr>
      <w:bookmarkStart w:id="29" w:name="_Ref109207094"/>
      <w:r w:rsidRPr="00057D13">
        <w:rPr>
          <w:rFonts w:ascii="Times New Roman" w:hAnsi="Times New Roman" w:cs="Times New Roman"/>
        </w:rPr>
        <w:t xml:space="preserve">Center for Biologics Evaluation and Research, BEST Initiative (2022, April 12). </w:t>
      </w:r>
      <w:r w:rsidRPr="00057D13">
        <w:rPr>
          <w:rFonts w:ascii="Times New Roman" w:hAnsi="Times New Roman" w:cs="Times New Roman"/>
          <w:i/>
          <w:iCs/>
        </w:rPr>
        <w:t xml:space="preserve">CBER Surveillance Program Biologics Effectiveness and Safety Initiative, </w:t>
      </w:r>
      <w:r w:rsidRPr="00057D13">
        <w:rPr>
          <w:rFonts w:ascii="Times New Roman" w:hAnsi="Times New Roman" w:cs="Times New Roman"/>
        </w:rPr>
        <w:t xml:space="preserve">Retrieved from </w:t>
      </w:r>
      <w:hyperlink r:id="rId12">
        <w:r w:rsidRPr="00057D13">
          <w:rPr>
            <w:rStyle w:val="Hyperlink"/>
            <w:rFonts w:ascii="Times New Roman" w:hAnsi="Times New Roman" w:cs="Times New Roman"/>
          </w:rPr>
          <w:t>https://bestinitiative.org/wp-content/uploads/2022/04/C19-Active-Monitoring-Protocol-Addendum-2022.pdf</w:t>
        </w:r>
      </w:hyperlink>
      <w:r w:rsidRPr="00057D13">
        <w:rPr>
          <w:rFonts w:ascii="Times New Roman" w:hAnsi="Times New Roman" w:cs="Times New Roman"/>
        </w:rPr>
        <w:t>.</w:t>
      </w:r>
      <w:bookmarkEnd w:id="29"/>
    </w:p>
    <w:p w14:paraId="6FE6ABE1" w14:textId="4C977A46" w:rsidR="00D16C6B" w:rsidRPr="00057D13" w:rsidRDefault="00177999" w:rsidP="00673661">
      <w:pPr>
        <w:pStyle w:val="EndNoteBibliography"/>
        <w:numPr>
          <w:ilvl w:val="0"/>
          <w:numId w:val="28"/>
        </w:numPr>
        <w:spacing w:after="0"/>
        <w:rPr>
          <w:rFonts w:ascii="Times New Roman" w:hAnsi="Times New Roman" w:cs="Times New Roman"/>
        </w:rPr>
      </w:pPr>
      <w:r w:rsidRPr="00057D13">
        <w:rPr>
          <w:rFonts w:ascii="Times New Roman" w:hAnsi="Times New Roman" w:cs="Times New Roman"/>
        </w:rPr>
        <w:t xml:space="preserve">Center for Biologics Evaluation and Research, BEST Initiative (February 10, 2021). </w:t>
      </w:r>
      <w:r w:rsidRPr="00057D13">
        <w:rPr>
          <w:rFonts w:ascii="Times New Roman" w:hAnsi="Times New Roman" w:cs="Times New Roman"/>
          <w:i/>
          <w:iCs/>
        </w:rPr>
        <w:t xml:space="preserve">CBER Surveillance Program Biologics Effectiveness and Safety Initiative, </w:t>
      </w:r>
      <w:r w:rsidRPr="00057D13">
        <w:rPr>
          <w:rFonts w:ascii="Times New Roman" w:hAnsi="Times New Roman" w:cs="Times New Roman"/>
        </w:rPr>
        <w:t xml:space="preserve">Retrieved from </w:t>
      </w:r>
      <w:hyperlink r:id="rId13">
        <w:r w:rsidRPr="00057D13">
          <w:rPr>
            <w:rStyle w:val="Hyperlink"/>
            <w:rFonts w:ascii="Times New Roman" w:hAnsi="Times New Roman" w:cs="Times New Roman"/>
          </w:rPr>
          <w:t>https://bestinitiative.org/wp-content/uploads/2021/02/C19-Vaccine-Safety-Protocol-2021.pdf</w:t>
        </w:r>
      </w:hyperlink>
    </w:p>
    <w:p w14:paraId="13E04E39" w14:textId="77777777" w:rsidR="00673661" w:rsidRPr="00057D13" w:rsidRDefault="00673661" w:rsidP="00673661">
      <w:pPr>
        <w:pStyle w:val="EndNoteBibliography"/>
        <w:spacing w:after="0"/>
        <w:rPr>
          <w:rFonts w:ascii="Times New Roman" w:hAnsi="Times New Roman" w:cs="Times New Roman"/>
        </w:rPr>
      </w:pPr>
    </w:p>
    <w:p w14:paraId="1F25AA5D" w14:textId="77777777" w:rsidR="00673661" w:rsidRPr="00057D13" w:rsidRDefault="00673661" w:rsidP="00673661">
      <w:pPr>
        <w:spacing w:before="240" w:after="0"/>
        <w:ind w:left="360"/>
        <w:rPr>
          <w:rStyle w:val="CommentReference"/>
          <w:rFonts w:ascii="Times New Roman" w:hAnsi="Times New Roman" w:cs="Times New Roman"/>
          <w:b/>
          <w:bCs/>
          <w:sz w:val="22"/>
          <w:szCs w:val="22"/>
        </w:rPr>
      </w:pPr>
    </w:p>
    <w:p w14:paraId="72D6A3AA" w14:textId="44747A87" w:rsidR="00673661" w:rsidRPr="00057D13" w:rsidRDefault="00673661" w:rsidP="00CC556E">
      <w:pPr>
        <w:spacing w:before="240" w:after="0"/>
        <w:rPr>
          <w:rStyle w:val="CommentReference"/>
          <w:rFonts w:ascii="Times New Roman" w:hAnsi="Times New Roman" w:cs="Times New Roman"/>
          <w:b/>
          <w:bCs/>
          <w:sz w:val="22"/>
          <w:szCs w:val="22"/>
        </w:rPr>
      </w:pPr>
    </w:p>
    <w:sectPr w:rsidR="00673661" w:rsidRPr="00057D13" w:rsidSect="00CC556E">
      <w:footerReference w:type="defaul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ED3E" w14:textId="77777777" w:rsidR="00057D13" w:rsidRDefault="00057D13" w:rsidP="0035014E">
      <w:pPr>
        <w:spacing w:after="0" w:line="240" w:lineRule="auto"/>
      </w:pPr>
      <w:r>
        <w:separator/>
      </w:r>
    </w:p>
  </w:endnote>
  <w:endnote w:type="continuationSeparator" w:id="0">
    <w:p w14:paraId="4DB13C72" w14:textId="77777777" w:rsidR="00057D13" w:rsidRDefault="00057D13" w:rsidP="0035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824595"/>
      <w:docPartObj>
        <w:docPartGallery w:val="Page Numbers (Bottom of Page)"/>
        <w:docPartUnique/>
      </w:docPartObj>
    </w:sdtPr>
    <w:sdtEndPr>
      <w:rPr>
        <w:noProof/>
      </w:rPr>
    </w:sdtEndPr>
    <w:sdtContent>
      <w:p w14:paraId="6664AB27" w14:textId="6F861619" w:rsidR="00057D13" w:rsidRDefault="00057D1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F06F220" w14:textId="77777777" w:rsidR="00057D13" w:rsidRDefault="0005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366860"/>
      <w:docPartObj>
        <w:docPartGallery w:val="Page Numbers (Bottom of Page)"/>
        <w:docPartUnique/>
      </w:docPartObj>
    </w:sdtPr>
    <w:sdtEndPr>
      <w:rPr>
        <w:noProof/>
      </w:rPr>
    </w:sdtEndPr>
    <w:sdtContent>
      <w:p w14:paraId="3C45C155" w14:textId="01E2C03F" w:rsidR="00057D13" w:rsidRDefault="00057D1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16A388" w14:textId="77777777" w:rsidR="00057D13" w:rsidRDefault="0005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81219" w14:textId="77777777" w:rsidR="00057D13" w:rsidRDefault="00057D13" w:rsidP="0035014E">
      <w:pPr>
        <w:spacing w:after="0" w:line="240" w:lineRule="auto"/>
      </w:pPr>
      <w:r>
        <w:separator/>
      </w:r>
    </w:p>
  </w:footnote>
  <w:footnote w:type="continuationSeparator" w:id="0">
    <w:p w14:paraId="60A82F1D" w14:textId="77777777" w:rsidR="00057D13" w:rsidRDefault="00057D13" w:rsidP="00350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884"/>
    <w:multiLevelType w:val="hybridMultilevel"/>
    <w:tmpl w:val="6A08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52027"/>
    <w:multiLevelType w:val="hybridMultilevel"/>
    <w:tmpl w:val="787C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537939"/>
    <w:multiLevelType w:val="hybridMultilevel"/>
    <w:tmpl w:val="85A46412"/>
    <w:lvl w:ilvl="0" w:tplc="FAF88B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80771"/>
    <w:multiLevelType w:val="hybridMultilevel"/>
    <w:tmpl w:val="4F92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56012"/>
    <w:multiLevelType w:val="multilevel"/>
    <w:tmpl w:val="DA9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A494B"/>
    <w:multiLevelType w:val="hybridMultilevel"/>
    <w:tmpl w:val="FBC0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55445"/>
    <w:multiLevelType w:val="hybridMultilevel"/>
    <w:tmpl w:val="BD505972"/>
    <w:lvl w:ilvl="0" w:tplc="884EB2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A6D2F"/>
    <w:multiLevelType w:val="hybridMultilevel"/>
    <w:tmpl w:val="DB9E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252C"/>
    <w:multiLevelType w:val="hybridMultilevel"/>
    <w:tmpl w:val="7B9E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80A0D"/>
    <w:multiLevelType w:val="hybridMultilevel"/>
    <w:tmpl w:val="281C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03274"/>
    <w:multiLevelType w:val="hybridMultilevel"/>
    <w:tmpl w:val="AA4CD9CA"/>
    <w:lvl w:ilvl="0" w:tplc="2FFC3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01C9B"/>
    <w:multiLevelType w:val="hybridMultilevel"/>
    <w:tmpl w:val="CEC4C88A"/>
    <w:lvl w:ilvl="0" w:tplc="1FD20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F3416"/>
    <w:multiLevelType w:val="hybridMultilevel"/>
    <w:tmpl w:val="DE2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72392"/>
    <w:multiLevelType w:val="hybridMultilevel"/>
    <w:tmpl w:val="94CA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A555A"/>
    <w:multiLevelType w:val="hybridMultilevel"/>
    <w:tmpl w:val="5CB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B4681"/>
    <w:multiLevelType w:val="hybridMultilevel"/>
    <w:tmpl w:val="DE96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64893"/>
    <w:multiLevelType w:val="hybridMultilevel"/>
    <w:tmpl w:val="EEFA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363AB"/>
    <w:multiLevelType w:val="multilevel"/>
    <w:tmpl w:val="894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0197B"/>
    <w:multiLevelType w:val="hybridMultilevel"/>
    <w:tmpl w:val="26C49640"/>
    <w:lvl w:ilvl="0" w:tplc="7ECCCE4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523FD"/>
    <w:multiLevelType w:val="hybridMultilevel"/>
    <w:tmpl w:val="BF1040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58B3461"/>
    <w:multiLevelType w:val="hybridMultilevel"/>
    <w:tmpl w:val="2D208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B510BE"/>
    <w:multiLevelType w:val="hybridMultilevel"/>
    <w:tmpl w:val="EFB8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A7D7E"/>
    <w:multiLevelType w:val="hybridMultilevel"/>
    <w:tmpl w:val="1C2634C6"/>
    <w:lvl w:ilvl="0" w:tplc="DEF87126">
      <w:start w:val="1"/>
      <w:numFmt w:val="bullet"/>
      <w:lvlText w:val=""/>
      <w:lvlJc w:val="left"/>
      <w:pPr>
        <w:ind w:left="720" w:hanging="360"/>
      </w:pPr>
      <w:rPr>
        <w:rFonts w:ascii="Symbol" w:hAnsi="Symbol" w:hint="default"/>
        <w:color w:val="000000"/>
      </w:rPr>
    </w:lvl>
    <w:lvl w:ilvl="1" w:tplc="0D9EDEDE">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0F3F8F"/>
    <w:multiLevelType w:val="hybridMultilevel"/>
    <w:tmpl w:val="800E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376BE"/>
    <w:multiLevelType w:val="hybridMultilevel"/>
    <w:tmpl w:val="55F2B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B724F"/>
    <w:multiLevelType w:val="hybridMultilevel"/>
    <w:tmpl w:val="02F6C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E03C6"/>
    <w:multiLevelType w:val="hybridMultilevel"/>
    <w:tmpl w:val="172C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64079"/>
    <w:multiLevelType w:val="hybridMultilevel"/>
    <w:tmpl w:val="A29A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0081F"/>
    <w:multiLevelType w:val="hybridMultilevel"/>
    <w:tmpl w:val="0A76A580"/>
    <w:lvl w:ilvl="0" w:tplc="5FEC561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A9B21"/>
    <w:multiLevelType w:val="hybridMultilevel"/>
    <w:tmpl w:val="CAD308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7AD6D7F"/>
    <w:multiLevelType w:val="hybridMultilevel"/>
    <w:tmpl w:val="014A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73314"/>
    <w:multiLevelType w:val="hybridMultilevel"/>
    <w:tmpl w:val="7F40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1"/>
  </w:num>
  <w:num w:numId="4">
    <w:abstractNumId w:val="12"/>
  </w:num>
  <w:num w:numId="5">
    <w:abstractNumId w:val="15"/>
  </w:num>
  <w:num w:numId="6">
    <w:abstractNumId w:val="27"/>
  </w:num>
  <w:num w:numId="7">
    <w:abstractNumId w:val="0"/>
  </w:num>
  <w:num w:numId="8">
    <w:abstractNumId w:val="28"/>
  </w:num>
  <w:num w:numId="9">
    <w:abstractNumId w:val="29"/>
  </w:num>
  <w:num w:numId="10">
    <w:abstractNumId w:val="19"/>
  </w:num>
  <w:num w:numId="11">
    <w:abstractNumId w:val="24"/>
  </w:num>
  <w:num w:numId="12">
    <w:abstractNumId w:val="16"/>
  </w:num>
  <w:num w:numId="13">
    <w:abstractNumId w:val="25"/>
  </w:num>
  <w:num w:numId="14">
    <w:abstractNumId w:val="18"/>
  </w:num>
  <w:num w:numId="15">
    <w:abstractNumId w:val="5"/>
  </w:num>
  <w:num w:numId="16">
    <w:abstractNumId w:val="4"/>
  </w:num>
  <w:num w:numId="17">
    <w:abstractNumId w:val="30"/>
  </w:num>
  <w:num w:numId="18">
    <w:abstractNumId w:val="1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20"/>
  </w:num>
  <w:num w:numId="23">
    <w:abstractNumId w:val="7"/>
  </w:num>
  <w:num w:numId="24">
    <w:abstractNumId w:val="2"/>
  </w:num>
  <w:num w:numId="25">
    <w:abstractNumId w:val="3"/>
  </w:num>
  <w:num w:numId="26">
    <w:abstractNumId w:val="17"/>
  </w:num>
  <w:num w:numId="27">
    <w:abstractNumId w:val="23"/>
  </w:num>
  <w:num w:numId="28">
    <w:abstractNumId w:val="13"/>
  </w:num>
  <w:num w:numId="29">
    <w:abstractNumId w:val="9"/>
  </w:num>
  <w:num w:numId="30">
    <w:abstractNumId w:val="6"/>
  </w:num>
  <w:num w:numId="31">
    <w:abstractNumId w:val="22"/>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6E"/>
    <w:rsid w:val="000534D3"/>
    <w:rsid w:val="00057D13"/>
    <w:rsid w:val="000614D7"/>
    <w:rsid w:val="000B15EC"/>
    <w:rsid w:val="000C09CB"/>
    <w:rsid w:val="00174452"/>
    <w:rsid w:val="00177999"/>
    <w:rsid w:val="00273D00"/>
    <w:rsid w:val="00276315"/>
    <w:rsid w:val="0028618C"/>
    <w:rsid w:val="002931DC"/>
    <w:rsid w:val="002933D6"/>
    <w:rsid w:val="002A24D5"/>
    <w:rsid w:val="002A3901"/>
    <w:rsid w:val="002B68A8"/>
    <w:rsid w:val="0035014E"/>
    <w:rsid w:val="003A781F"/>
    <w:rsid w:val="003D0000"/>
    <w:rsid w:val="003E67D7"/>
    <w:rsid w:val="00407688"/>
    <w:rsid w:val="00431D27"/>
    <w:rsid w:val="00441857"/>
    <w:rsid w:val="004B6438"/>
    <w:rsid w:val="004F6817"/>
    <w:rsid w:val="005355DC"/>
    <w:rsid w:val="005518F1"/>
    <w:rsid w:val="00565172"/>
    <w:rsid w:val="005B29CE"/>
    <w:rsid w:val="005B469D"/>
    <w:rsid w:val="005C6A68"/>
    <w:rsid w:val="005F778E"/>
    <w:rsid w:val="006138B7"/>
    <w:rsid w:val="00673661"/>
    <w:rsid w:val="006A7213"/>
    <w:rsid w:val="006C776A"/>
    <w:rsid w:val="00706263"/>
    <w:rsid w:val="007A3822"/>
    <w:rsid w:val="007C5AAA"/>
    <w:rsid w:val="0082202B"/>
    <w:rsid w:val="0087661B"/>
    <w:rsid w:val="00884B0B"/>
    <w:rsid w:val="008870D2"/>
    <w:rsid w:val="008B5124"/>
    <w:rsid w:val="008B562D"/>
    <w:rsid w:val="00933019"/>
    <w:rsid w:val="00936C0C"/>
    <w:rsid w:val="00976513"/>
    <w:rsid w:val="00995B7C"/>
    <w:rsid w:val="00A3702A"/>
    <w:rsid w:val="00AB61B5"/>
    <w:rsid w:val="00AC11E0"/>
    <w:rsid w:val="00B16BF8"/>
    <w:rsid w:val="00B30B4B"/>
    <w:rsid w:val="00B337CD"/>
    <w:rsid w:val="00BE2E16"/>
    <w:rsid w:val="00C71388"/>
    <w:rsid w:val="00C75977"/>
    <w:rsid w:val="00CA63C4"/>
    <w:rsid w:val="00CB5D14"/>
    <w:rsid w:val="00CC556E"/>
    <w:rsid w:val="00D152D1"/>
    <w:rsid w:val="00D16C6B"/>
    <w:rsid w:val="00D56BAD"/>
    <w:rsid w:val="00D62289"/>
    <w:rsid w:val="00D7568E"/>
    <w:rsid w:val="00DB6FD4"/>
    <w:rsid w:val="00E5042B"/>
    <w:rsid w:val="00E54D96"/>
    <w:rsid w:val="00E7061E"/>
    <w:rsid w:val="00E84E8D"/>
    <w:rsid w:val="00EE2A77"/>
    <w:rsid w:val="00EE5EC5"/>
    <w:rsid w:val="00EF09B7"/>
    <w:rsid w:val="00F12523"/>
    <w:rsid w:val="00F1305D"/>
    <w:rsid w:val="00F63693"/>
    <w:rsid w:val="00F67327"/>
    <w:rsid w:val="00F9466E"/>
    <w:rsid w:val="00FB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31170B"/>
  <w15:chartTrackingRefBased/>
  <w15:docId w15:val="{F9C2386F-2D40-41DE-BEDE-0DD5970E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438"/>
  </w:style>
  <w:style w:type="paragraph" w:styleId="Heading1">
    <w:name w:val="heading 1"/>
    <w:basedOn w:val="Normal"/>
    <w:next w:val="Normal"/>
    <w:link w:val="Heading1Char"/>
    <w:uiPriority w:val="9"/>
    <w:qFormat/>
    <w:rsid w:val="00EE2A77"/>
    <w:pPr>
      <w:spacing w:before="240" w:after="0"/>
      <w:outlineLvl w:val="0"/>
    </w:pPr>
    <w:rPr>
      <w:b/>
      <w:bCs/>
    </w:rPr>
  </w:style>
  <w:style w:type="paragraph" w:styleId="Heading2">
    <w:name w:val="heading 2"/>
    <w:basedOn w:val="Normal"/>
    <w:next w:val="Normal"/>
    <w:link w:val="Heading2Char"/>
    <w:uiPriority w:val="9"/>
    <w:unhideWhenUsed/>
    <w:qFormat/>
    <w:rsid w:val="00CC556E"/>
    <w:pPr>
      <w:spacing w:line="480" w:lineRule="auto"/>
      <w:outlineLvl w:val="1"/>
    </w:pPr>
    <w:rPr>
      <w:rFonts w:ascii="Calibri" w:eastAsia="Calibri" w:hAnsi="Calibri" w:cs="Arial"/>
      <w:b/>
      <w:bCs/>
      <w:i/>
      <w:spacing w:val="8"/>
      <w:sz w:val="24"/>
      <w:szCs w:val="24"/>
      <w:shd w:val="clear" w:color="auto" w:fill="FFFFFF"/>
    </w:rPr>
  </w:style>
  <w:style w:type="paragraph" w:styleId="Heading3">
    <w:name w:val="heading 3"/>
    <w:basedOn w:val="Normal"/>
    <w:next w:val="Normal"/>
    <w:link w:val="Heading3Char"/>
    <w:uiPriority w:val="9"/>
    <w:unhideWhenUsed/>
    <w:qFormat/>
    <w:rsid w:val="006736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A77"/>
    <w:rPr>
      <w:b/>
      <w:bCs/>
    </w:rPr>
  </w:style>
  <w:style w:type="character" w:customStyle="1" w:styleId="Heading2Char">
    <w:name w:val="Heading 2 Char"/>
    <w:basedOn w:val="DefaultParagraphFont"/>
    <w:link w:val="Heading2"/>
    <w:uiPriority w:val="9"/>
    <w:rsid w:val="00CC556E"/>
    <w:rPr>
      <w:rFonts w:ascii="Calibri" w:eastAsia="Calibri" w:hAnsi="Calibri" w:cs="Arial"/>
      <w:b/>
      <w:bCs/>
      <w:i/>
      <w:spacing w:val="8"/>
      <w:sz w:val="24"/>
      <w:szCs w:val="24"/>
    </w:rPr>
  </w:style>
  <w:style w:type="character" w:styleId="CommentReference">
    <w:name w:val="annotation reference"/>
    <w:basedOn w:val="DefaultParagraphFont"/>
    <w:uiPriority w:val="99"/>
    <w:semiHidden/>
    <w:unhideWhenUsed/>
    <w:rsid w:val="00CC556E"/>
    <w:rPr>
      <w:sz w:val="16"/>
      <w:szCs w:val="16"/>
    </w:rPr>
  </w:style>
  <w:style w:type="paragraph" w:styleId="CommentText">
    <w:name w:val="annotation text"/>
    <w:basedOn w:val="Normal"/>
    <w:link w:val="CommentTextChar"/>
    <w:uiPriority w:val="99"/>
    <w:unhideWhenUsed/>
    <w:rsid w:val="00CC556E"/>
    <w:pPr>
      <w:spacing w:line="240" w:lineRule="auto"/>
    </w:pPr>
    <w:rPr>
      <w:sz w:val="20"/>
      <w:szCs w:val="20"/>
    </w:rPr>
  </w:style>
  <w:style w:type="character" w:customStyle="1" w:styleId="CommentTextChar">
    <w:name w:val="Comment Text Char"/>
    <w:basedOn w:val="DefaultParagraphFont"/>
    <w:link w:val="CommentText"/>
    <w:uiPriority w:val="99"/>
    <w:rsid w:val="00CC556E"/>
    <w:rPr>
      <w:sz w:val="20"/>
      <w:szCs w:val="20"/>
    </w:rPr>
  </w:style>
  <w:style w:type="paragraph" w:styleId="CommentSubject">
    <w:name w:val="annotation subject"/>
    <w:basedOn w:val="CommentText"/>
    <w:next w:val="CommentText"/>
    <w:link w:val="CommentSubjectChar"/>
    <w:uiPriority w:val="99"/>
    <w:semiHidden/>
    <w:unhideWhenUsed/>
    <w:rsid w:val="00CC556E"/>
    <w:rPr>
      <w:b/>
      <w:bCs/>
    </w:rPr>
  </w:style>
  <w:style w:type="character" w:customStyle="1" w:styleId="CommentSubjectChar">
    <w:name w:val="Comment Subject Char"/>
    <w:basedOn w:val="CommentTextChar"/>
    <w:link w:val="CommentSubject"/>
    <w:uiPriority w:val="99"/>
    <w:semiHidden/>
    <w:rsid w:val="00CC556E"/>
    <w:rPr>
      <w:b/>
      <w:bCs/>
      <w:sz w:val="20"/>
      <w:szCs w:val="20"/>
    </w:rPr>
  </w:style>
  <w:style w:type="paragraph" w:styleId="BalloonText">
    <w:name w:val="Balloon Text"/>
    <w:basedOn w:val="Normal"/>
    <w:link w:val="BalloonTextChar"/>
    <w:uiPriority w:val="99"/>
    <w:unhideWhenUsed/>
    <w:rsid w:val="00CC5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C556E"/>
    <w:rPr>
      <w:rFonts w:ascii="Segoe UI" w:hAnsi="Segoe UI" w:cs="Segoe UI"/>
      <w:sz w:val="18"/>
      <w:szCs w:val="18"/>
    </w:rPr>
  </w:style>
  <w:style w:type="paragraph" w:styleId="ListParagraph">
    <w:name w:val="List Paragraph"/>
    <w:basedOn w:val="Normal"/>
    <w:link w:val="ListParagraphChar"/>
    <w:uiPriority w:val="34"/>
    <w:qFormat/>
    <w:rsid w:val="00CC556E"/>
    <w:pPr>
      <w:ind w:left="720"/>
      <w:contextualSpacing/>
    </w:pPr>
  </w:style>
  <w:style w:type="paragraph" w:styleId="EndnoteText">
    <w:name w:val="endnote text"/>
    <w:basedOn w:val="Normal"/>
    <w:link w:val="EndnoteTextChar"/>
    <w:uiPriority w:val="99"/>
    <w:semiHidden/>
    <w:unhideWhenUsed/>
    <w:rsid w:val="00CC55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56E"/>
    <w:rPr>
      <w:sz w:val="20"/>
      <w:szCs w:val="20"/>
    </w:rPr>
  </w:style>
  <w:style w:type="character" w:styleId="EndnoteReference">
    <w:name w:val="endnote reference"/>
    <w:basedOn w:val="DefaultParagraphFont"/>
    <w:uiPriority w:val="99"/>
    <w:semiHidden/>
    <w:unhideWhenUsed/>
    <w:rsid w:val="00CC556E"/>
    <w:rPr>
      <w:vertAlign w:val="superscript"/>
    </w:rPr>
  </w:style>
  <w:style w:type="paragraph" w:customStyle="1" w:styleId="msonormal0">
    <w:name w:val="msonormal"/>
    <w:basedOn w:val="Normal"/>
    <w:rsid w:val="00CC556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C5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56E"/>
    <w:rPr>
      <w:sz w:val="20"/>
      <w:szCs w:val="20"/>
    </w:rPr>
  </w:style>
  <w:style w:type="character" w:styleId="FootnoteReference">
    <w:name w:val="footnote reference"/>
    <w:basedOn w:val="DefaultParagraphFont"/>
    <w:uiPriority w:val="99"/>
    <w:semiHidden/>
    <w:unhideWhenUsed/>
    <w:rsid w:val="00CC556E"/>
    <w:rPr>
      <w:vertAlign w:val="superscript"/>
    </w:rPr>
  </w:style>
  <w:style w:type="character" w:styleId="Hyperlink">
    <w:name w:val="Hyperlink"/>
    <w:basedOn w:val="DefaultParagraphFont"/>
    <w:uiPriority w:val="99"/>
    <w:unhideWhenUsed/>
    <w:rsid w:val="00CC556E"/>
    <w:rPr>
      <w:color w:val="0563C1"/>
      <w:u w:val="single"/>
    </w:rPr>
  </w:style>
  <w:style w:type="paragraph" w:customStyle="1" w:styleId="xl65">
    <w:name w:val="xl65"/>
    <w:basedOn w:val="Normal"/>
    <w:rsid w:val="00CC55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CC556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CC556E"/>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CC556E"/>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Normal"/>
    <w:rsid w:val="00CC55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CC55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CC556E"/>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CC556E"/>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CC55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CC55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CC556E"/>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CC556E"/>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C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56E"/>
  </w:style>
  <w:style w:type="paragraph" w:styleId="Footer">
    <w:name w:val="footer"/>
    <w:basedOn w:val="Normal"/>
    <w:link w:val="FooterChar"/>
    <w:uiPriority w:val="99"/>
    <w:unhideWhenUsed/>
    <w:rsid w:val="00CC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56E"/>
  </w:style>
  <w:style w:type="paragraph" w:customStyle="1" w:styleId="Default">
    <w:name w:val="Default"/>
    <w:rsid w:val="00CC556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C556E"/>
    <w:rPr>
      <w:color w:val="954F72"/>
      <w:u w:val="single"/>
    </w:rPr>
  </w:style>
  <w:style w:type="paragraph" w:customStyle="1" w:styleId="xl77">
    <w:name w:val="xl77"/>
    <w:basedOn w:val="Normal"/>
    <w:rsid w:val="00CC556E"/>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CC556E"/>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CC55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CC556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CC556E"/>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Normal"/>
    <w:rsid w:val="00CC556E"/>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CC556E"/>
    <w:pPr>
      <w:pBdr>
        <w:top w:val="single" w:sz="8"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styleId="NormalWeb">
    <w:name w:val="Normal (Web)"/>
    <w:basedOn w:val="Normal"/>
    <w:uiPriority w:val="99"/>
    <w:unhideWhenUsed/>
    <w:rsid w:val="00CC556E"/>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C556E"/>
    <w:pPr>
      <w:spacing w:after="0" w:line="240" w:lineRule="auto"/>
    </w:pPr>
  </w:style>
  <w:style w:type="paragraph" w:customStyle="1" w:styleId="EndNoteBibliographyTitle">
    <w:name w:val="EndNote Bibliography Title"/>
    <w:basedOn w:val="Normal"/>
    <w:link w:val="EndNoteBibliographyTitleChar"/>
    <w:rsid w:val="00CC556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556E"/>
    <w:rPr>
      <w:rFonts w:ascii="Calibri" w:hAnsi="Calibri" w:cs="Calibri"/>
      <w:noProof/>
    </w:rPr>
  </w:style>
  <w:style w:type="paragraph" w:customStyle="1" w:styleId="EndNoteBibliography">
    <w:name w:val="EndNote Bibliography"/>
    <w:basedOn w:val="Normal"/>
    <w:link w:val="EndNoteBibliographyChar"/>
    <w:rsid w:val="00CC556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C556E"/>
    <w:rPr>
      <w:rFonts w:ascii="Calibri" w:hAnsi="Calibri" w:cs="Calibri"/>
      <w:noProof/>
    </w:rPr>
  </w:style>
  <w:style w:type="paragraph" w:customStyle="1" w:styleId="xl84">
    <w:name w:val="xl84"/>
    <w:basedOn w:val="Normal"/>
    <w:rsid w:val="00CC556E"/>
    <w:pPr>
      <w:pBdr>
        <w:top w:val="single" w:sz="8" w:space="0" w:color="auto"/>
        <w:lef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Normal"/>
    <w:rsid w:val="00CC556E"/>
    <w:pPr>
      <w:pBdr>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Normal"/>
    <w:rsid w:val="00CC556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C556E"/>
    <w:rPr>
      <w:color w:val="605E5C"/>
      <w:shd w:val="clear" w:color="auto" w:fill="E1DFDD"/>
    </w:rPr>
  </w:style>
  <w:style w:type="paragraph" w:customStyle="1" w:styleId="loaitem">
    <w:name w:val="loa__item"/>
    <w:basedOn w:val="Normal"/>
    <w:rsid w:val="00CC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series">
    <w:name w:val="ref__series"/>
    <w:basedOn w:val="DefaultParagraphFont"/>
    <w:rsid w:val="00CC556E"/>
  </w:style>
  <w:style w:type="character" w:customStyle="1" w:styleId="refseriesdate">
    <w:name w:val="ref__seriesdate"/>
    <w:basedOn w:val="DefaultParagraphFont"/>
    <w:rsid w:val="00CC556E"/>
  </w:style>
  <w:style w:type="character" w:customStyle="1" w:styleId="refseriesvolume">
    <w:name w:val="ref__seriesvolume"/>
    <w:basedOn w:val="DefaultParagraphFont"/>
    <w:rsid w:val="00CC556E"/>
  </w:style>
  <w:style w:type="character" w:customStyle="1" w:styleId="refseriespages">
    <w:name w:val="ref__seriespages"/>
    <w:basedOn w:val="DefaultParagraphFont"/>
    <w:rsid w:val="00CC556E"/>
  </w:style>
  <w:style w:type="table" w:styleId="TableGrid">
    <w:name w:val="Table Grid"/>
    <w:aliases w:val="Acumen"/>
    <w:basedOn w:val="TableNormal"/>
    <w:uiPriority w:val="39"/>
    <w:rsid w:val="00CC556E"/>
    <w:pPr>
      <w:spacing w:after="0" w:line="240" w:lineRule="auto"/>
      <w:jc w:val="center"/>
    </w:pPr>
    <w:rPr>
      <w:rFonts w:ascii="Times New Roman" w:eastAsia="Times New Roman" w:hAnsi="Times New Roman" w:cs="Times New Roman"/>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cPr>
      <w:vAlign w:val="center"/>
    </w:tcPr>
    <w:tblStylePr w:type="firstRow">
      <w:pPr>
        <w:wordWrap/>
        <w:spacing w:line="240" w:lineRule="auto"/>
        <w:jc w:val="center"/>
      </w:pPr>
      <w:rPr>
        <w:b/>
      </w:rPr>
      <w:tblPr/>
      <w:tcPr>
        <w:shd w:val="clear" w:color="auto" w:fill="CDECFF"/>
      </w:tcPr>
    </w:tblStylePr>
    <w:tblStylePr w:type="firstCol">
      <w:pPr>
        <w:wordWrap/>
        <w:ind w:leftChars="0" w:left="72" w:rightChars="0" w:right="0"/>
        <w:jc w:val="left"/>
      </w:pPr>
      <w:rPr>
        <w:rFonts w:ascii="Times New Roman" w:hAnsi="Times New Roman"/>
        <w:sz w:val="20"/>
      </w:rPr>
    </w:tblStylePr>
  </w:style>
  <w:style w:type="paragraph" w:styleId="NoSpacing">
    <w:name w:val="No Spacing"/>
    <w:uiPriority w:val="1"/>
    <w:qFormat/>
    <w:rsid w:val="00CC556E"/>
    <w:pPr>
      <w:spacing w:after="0" w:line="240" w:lineRule="auto"/>
    </w:pPr>
  </w:style>
  <w:style w:type="character" w:customStyle="1" w:styleId="UnresolvedMention2">
    <w:name w:val="Unresolved Mention2"/>
    <w:basedOn w:val="DefaultParagraphFont"/>
    <w:uiPriority w:val="99"/>
    <w:semiHidden/>
    <w:unhideWhenUsed/>
    <w:rsid w:val="00CC556E"/>
    <w:rPr>
      <w:color w:val="605E5C"/>
      <w:shd w:val="clear" w:color="auto" w:fill="E1DFDD"/>
    </w:rPr>
  </w:style>
  <w:style w:type="character" w:styleId="LineNumber">
    <w:name w:val="line number"/>
    <w:basedOn w:val="DefaultParagraphFont"/>
    <w:uiPriority w:val="99"/>
    <w:semiHidden/>
    <w:unhideWhenUsed/>
    <w:rsid w:val="00CC556E"/>
    <w:rPr>
      <w:rFonts w:ascii="Times New Roman" w:hAnsi="Times New Roman"/>
      <w:sz w:val="24"/>
    </w:rPr>
  </w:style>
  <w:style w:type="paragraph" w:styleId="Caption">
    <w:name w:val="caption"/>
    <w:basedOn w:val="Normal"/>
    <w:next w:val="Normal"/>
    <w:uiPriority w:val="35"/>
    <w:unhideWhenUsed/>
    <w:qFormat/>
    <w:rsid w:val="00F12523"/>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EE5EC5"/>
  </w:style>
  <w:style w:type="character" w:customStyle="1" w:styleId="Heading3Char">
    <w:name w:val="Heading 3 Char"/>
    <w:basedOn w:val="DefaultParagraphFont"/>
    <w:link w:val="Heading3"/>
    <w:uiPriority w:val="9"/>
    <w:rsid w:val="00673661"/>
    <w:rPr>
      <w:rFonts w:asciiTheme="majorHAnsi" w:eastAsiaTheme="majorEastAsia" w:hAnsiTheme="majorHAnsi" w:cstheme="majorBidi"/>
      <w:color w:val="1F4D78" w:themeColor="accent1" w:themeShade="7F"/>
      <w:sz w:val="24"/>
      <w:szCs w:val="24"/>
    </w:rPr>
  </w:style>
  <w:style w:type="paragraph" w:customStyle="1" w:styleId="xl87">
    <w:name w:val="xl87"/>
    <w:basedOn w:val="Normal"/>
    <w:rsid w:val="001779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ko-KR"/>
    </w:rPr>
  </w:style>
  <w:style w:type="paragraph" w:customStyle="1" w:styleId="xl88">
    <w:name w:val="xl88"/>
    <w:basedOn w:val="Normal"/>
    <w:rsid w:val="001779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ko-KR"/>
    </w:rPr>
  </w:style>
  <w:style w:type="paragraph" w:customStyle="1" w:styleId="xl89">
    <w:name w:val="xl89"/>
    <w:basedOn w:val="Normal"/>
    <w:rsid w:val="001779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ko-KR"/>
    </w:rPr>
  </w:style>
  <w:style w:type="paragraph" w:customStyle="1" w:styleId="xl90">
    <w:name w:val="xl90"/>
    <w:basedOn w:val="Normal"/>
    <w:rsid w:val="001779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ko-KR"/>
    </w:rPr>
  </w:style>
  <w:style w:type="paragraph" w:customStyle="1" w:styleId="xl91">
    <w:name w:val="xl91"/>
    <w:basedOn w:val="Normal"/>
    <w:rsid w:val="001779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ko-KR"/>
    </w:rPr>
  </w:style>
  <w:style w:type="paragraph" w:customStyle="1" w:styleId="xl92">
    <w:name w:val="xl92"/>
    <w:basedOn w:val="Normal"/>
    <w:rsid w:val="00177999"/>
    <w:pPr>
      <w:spacing w:before="100" w:beforeAutospacing="1" w:after="100" w:afterAutospacing="1" w:line="240" w:lineRule="auto"/>
    </w:pPr>
    <w:rPr>
      <w:rFonts w:ascii="Times New Roman" w:eastAsia="Times New Roman" w:hAnsi="Times New Roman" w:cs="Times New Roman"/>
      <w:sz w:val="18"/>
      <w:szCs w:val="18"/>
      <w:lang w:eastAsia="ko-KR"/>
    </w:rPr>
  </w:style>
  <w:style w:type="paragraph" w:customStyle="1" w:styleId="xl93">
    <w:name w:val="xl93"/>
    <w:basedOn w:val="Normal"/>
    <w:rsid w:val="00177999"/>
    <w:pPr>
      <w:spacing w:before="100" w:beforeAutospacing="1" w:after="100" w:afterAutospacing="1" w:line="240" w:lineRule="auto"/>
    </w:pPr>
    <w:rPr>
      <w:rFonts w:ascii="Times New Roman" w:eastAsia="Times New Roman" w:hAnsi="Times New Roman" w:cs="Times New Roman"/>
      <w:sz w:val="18"/>
      <w:szCs w:val="18"/>
      <w:lang w:eastAsia="ko-KR"/>
    </w:rPr>
  </w:style>
  <w:style w:type="paragraph" w:customStyle="1" w:styleId="xl94">
    <w:name w:val="xl94"/>
    <w:basedOn w:val="Normal"/>
    <w:rsid w:val="00177999"/>
    <w:pPr>
      <w:spacing w:before="100" w:beforeAutospacing="1" w:after="100" w:afterAutospacing="1" w:line="240" w:lineRule="auto"/>
    </w:pPr>
    <w:rPr>
      <w:rFonts w:ascii="Times New Roman" w:eastAsia="Times New Roman" w:hAnsi="Times New Roman"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85302">
      <w:bodyDiv w:val="1"/>
      <w:marLeft w:val="0"/>
      <w:marRight w:val="0"/>
      <w:marTop w:val="0"/>
      <w:marBottom w:val="0"/>
      <w:divBdr>
        <w:top w:val="none" w:sz="0" w:space="0" w:color="auto"/>
        <w:left w:val="none" w:sz="0" w:space="0" w:color="auto"/>
        <w:bottom w:val="none" w:sz="0" w:space="0" w:color="auto"/>
        <w:right w:val="none" w:sz="0" w:space="0" w:color="auto"/>
      </w:divBdr>
    </w:div>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795761418">
      <w:bodyDiv w:val="1"/>
      <w:marLeft w:val="0"/>
      <w:marRight w:val="0"/>
      <w:marTop w:val="0"/>
      <w:marBottom w:val="0"/>
      <w:divBdr>
        <w:top w:val="none" w:sz="0" w:space="0" w:color="auto"/>
        <w:left w:val="none" w:sz="0" w:space="0" w:color="auto"/>
        <w:bottom w:val="none" w:sz="0" w:space="0" w:color="auto"/>
        <w:right w:val="none" w:sz="0" w:space="0" w:color="auto"/>
      </w:divBdr>
    </w:div>
    <w:div w:id="1218394049">
      <w:bodyDiv w:val="1"/>
      <w:marLeft w:val="0"/>
      <w:marRight w:val="0"/>
      <w:marTop w:val="0"/>
      <w:marBottom w:val="0"/>
      <w:divBdr>
        <w:top w:val="none" w:sz="0" w:space="0" w:color="auto"/>
        <w:left w:val="none" w:sz="0" w:space="0" w:color="auto"/>
        <w:bottom w:val="none" w:sz="0" w:space="0" w:color="auto"/>
        <w:right w:val="none" w:sz="0" w:space="0" w:color="auto"/>
      </w:divBdr>
    </w:div>
    <w:div w:id="1498954895">
      <w:bodyDiv w:val="1"/>
      <w:marLeft w:val="0"/>
      <w:marRight w:val="0"/>
      <w:marTop w:val="0"/>
      <w:marBottom w:val="0"/>
      <w:divBdr>
        <w:top w:val="none" w:sz="0" w:space="0" w:color="auto"/>
        <w:left w:val="none" w:sz="0" w:space="0" w:color="auto"/>
        <w:bottom w:val="none" w:sz="0" w:space="0" w:color="auto"/>
        <w:right w:val="none" w:sz="0" w:space="0" w:color="auto"/>
      </w:divBdr>
    </w:div>
    <w:div w:id="1587567530">
      <w:bodyDiv w:val="1"/>
      <w:marLeft w:val="0"/>
      <w:marRight w:val="0"/>
      <w:marTop w:val="0"/>
      <w:marBottom w:val="0"/>
      <w:divBdr>
        <w:top w:val="none" w:sz="0" w:space="0" w:color="auto"/>
        <w:left w:val="none" w:sz="0" w:space="0" w:color="auto"/>
        <w:bottom w:val="none" w:sz="0" w:space="0" w:color="auto"/>
        <w:right w:val="none" w:sz="0" w:space="0" w:color="auto"/>
      </w:divBdr>
    </w:div>
    <w:div w:id="1631010283">
      <w:bodyDiv w:val="1"/>
      <w:marLeft w:val="0"/>
      <w:marRight w:val="0"/>
      <w:marTop w:val="0"/>
      <w:marBottom w:val="0"/>
      <w:divBdr>
        <w:top w:val="none" w:sz="0" w:space="0" w:color="auto"/>
        <w:left w:val="none" w:sz="0" w:space="0" w:color="auto"/>
        <w:bottom w:val="none" w:sz="0" w:space="0" w:color="auto"/>
        <w:right w:val="none" w:sz="0" w:space="0" w:color="auto"/>
      </w:divBdr>
    </w:div>
    <w:div w:id="1942487057">
      <w:bodyDiv w:val="1"/>
      <w:marLeft w:val="0"/>
      <w:marRight w:val="0"/>
      <w:marTop w:val="0"/>
      <w:marBottom w:val="0"/>
      <w:divBdr>
        <w:top w:val="none" w:sz="0" w:space="0" w:color="auto"/>
        <w:left w:val="none" w:sz="0" w:space="0" w:color="auto"/>
        <w:bottom w:val="none" w:sz="0" w:space="0" w:color="auto"/>
        <w:right w:val="none" w:sz="0" w:space="0" w:color="auto"/>
      </w:divBdr>
    </w:div>
    <w:div w:id="1990818761">
      <w:bodyDiv w:val="1"/>
      <w:marLeft w:val="0"/>
      <w:marRight w:val="0"/>
      <w:marTop w:val="0"/>
      <w:marBottom w:val="0"/>
      <w:divBdr>
        <w:top w:val="none" w:sz="0" w:space="0" w:color="auto"/>
        <w:left w:val="none" w:sz="0" w:space="0" w:color="auto"/>
        <w:bottom w:val="none" w:sz="0" w:space="0" w:color="auto"/>
        <w:right w:val="none" w:sz="0" w:space="0" w:color="auto"/>
      </w:divBdr>
    </w:div>
    <w:div w:id="20564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stinitiative.org/wp-content/uploads/2021/02/C19-Vaccine-Safety-Protocol-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stinitiative.org/wp-content/uploads/2022/04/C19-Active-Monitoring-Protocol-Addendum-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accines/acip/meetings/downloads/slides-2021-10-20-21/08-COVID-Klein-508.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f5496bdd-33ad-4e37-96fe-c424689e03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50FE6C896AE4F88EC9F611C7AA6DE" ma:contentTypeVersion="10" ma:contentTypeDescription="Create a new document." ma:contentTypeScope="" ma:versionID="852c40f556e0581fafc9cabbe7f4f729">
  <xsd:schema xmlns:xsd="http://www.w3.org/2001/XMLSchema" xmlns:xs="http://www.w3.org/2001/XMLSchema" xmlns:p="http://schemas.microsoft.com/office/2006/metadata/properties" xmlns:ns2="f5496bdd-33ad-4e37-96fe-c424689e0308" xmlns:ns3="d71a1de1-d62a-400e-aadb-fdac5d6851e1" xmlns:ns4="20867c8d-1cc9-4acd-a073-94634f6a764f" targetNamespace="http://schemas.microsoft.com/office/2006/metadata/properties" ma:root="true" ma:fieldsID="c9a5b8aa2e6acd12d802f8e3eeaa9c5d" ns2:_="" ns3:_="" ns4:_="">
    <xsd:import namespace="f5496bdd-33ad-4e37-96fe-c424689e0308"/>
    <xsd:import namespace="d71a1de1-d62a-400e-aadb-fdac5d6851e1"/>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6bdd-33ad-4e37-96fe-c424689e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a1de1-d62a-400e-aadb-fdac5d6851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95fc6-637a-4b2d-a9ef-bbb2540f742f}" ma:internalName="TaxCatchAll" ma:showField="CatchAllData" ma:web="d71a1de1-d62a-400e-aadb-fdac5d68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C74C-C35B-4CEE-8D20-EAB366106F24}">
  <ds:schemaRefs>
    <ds:schemaRef ds:uri="http://www.w3.org/XML/1998/namespace"/>
    <ds:schemaRef ds:uri="f5496bdd-33ad-4e37-96fe-c424689e0308"/>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0867c8d-1cc9-4acd-a073-94634f6a764f"/>
    <ds:schemaRef ds:uri="d71a1de1-d62a-400e-aadb-fdac5d6851e1"/>
    <ds:schemaRef ds:uri="http://purl.org/dc/dcmitype/"/>
  </ds:schemaRefs>
</ds:datastoreItem>
</file>

<file path=customXml/itemProps2.xml><?xml version="1.0" encoding="utf-8"?>
<ds:datastoreItem xmlns:ds="http://schemas.openxmlformats.org/officeDocument/2006/customXml" ds:itemID="{D0DD3A18-426F-4C20-8CFF-EBDAF13E1D61}">
  <ds:schemaRefs>
    <ds:schemaRef ds:uri="http://schemas.microsoft.com/sharepoint/v3/contenttype/forms"/>
  </ds:schemaRefs>
</ds:datastoreItem>
</file>

<file path=customXml/itemProps3.xml><?xml version="1.0" encoding="utf-8"?>
<ds:datastoreItem xmlns:ds="http://schemas.openxmlformats.org/officeDocument/2006/customXml" ds:itemID="{26BEB63C-FC79-48EB-92BB-DB8880D27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6bdd-33ad-4e37-96fe-c424689e0308"/>
    <ds:schemaRef ds:uri="d71a1de1-d62a-400e-aadb-fdac5d6851e1"/>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120662-8DEB-4E0E-8182-7A380245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5653</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Lassman</dc:creator>
  <cp:keywords/>
  <dc:description/>
  <cp:lastModifiedBy>Ellie Smith</cp:lastModifiedBy>
  <cp:revision>2</cp:revision>
  <dcterms:created xsi:type="dcterms:W3CDTF">2022-10-28T21:13:00Z</dcterms:created>
  <dcterms:modified xsi:type="dcterms:W3CDTF">2022-10-28T21:13:00Z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2022-09-01T17:26:50Z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4bd82fd8-b681-458e-9396-a5a13e8a1493</vt:lpwstr>
  </property>
  <property fmtid="{D5CDD505-2E9C-101B-9397-08002B2CF9AE}" pid="8" name="MSIP_Label_67599526-06ca-49cc-9fa9-5307800a949a_ContentBits">
    <vt:lpwstr>0</vt:lpwstr>
  </property>
  <property fmtid="{D5CDD505-2E9C-101B-9397-08002B2CF9AE}" pid="9" name="ContentTypeId">
    <vt:lpwstr>0x01010043950FE6C896AE4F88EC9F611C7AA6DE</vt:lpwstr>
  </property>
</Properties>
</file>