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4C96" w14:textId="6F03B7CC" w:rsidR="00A92487" w:rsidRPr="001C0C4B" w:rsidRDefault="00BF3814" w:rsidP="00A92487">
      <w:pPr>
        <w:spacing w:after="200" w:line="276" w:lineRule="auto"/>
        <w:rPr>
          <w:rFonts w:ascii="Calibri" w:eastAsia="Calibri" w:hAnsi="Calibri" w:cs="Calibri"/>
          <w:b/>
          <w:bCs/>
          <w:sz w:val="24"/>
          <w:szCs w:val="24"/>
          <w:lang w:val="en-GB"/>
        </w:rPr>
      </w:pPr>
      <w:r w:rsidRPr="00D23D22">
        <w:rPr>
          <w:rFonts w:ascii="Calibri" w:eastAsia="Calibri" w:hAnsi="Calibri" w:cs="Calibri"/>
          <w:b/>
          <w:bCs/>
          <w:sz w:val="24"/>
          <w:szCs w:val="24"/>
          <w:lang w:val="en-GB"/>
        </w:rPr>
        <w:t>Master protocol</w:t>
      </w:r>
      <w:r w:rsidR="00A92487" w:rsidRPr="001C0C4B">
        <w:rPr>
          <w:rFonts w:ascii="Calibri" w:eastAsia="Calibri" w:hAnsi="Calibri" w:cs="Calibri"/>
          <w:b/>
          <w:bCs/>
          <w:sz w:val="24"/>
          <w:szCs w:val="24"/>
          <w:lang w:val="en-GB"/>
        </w:rPr>
        <w:t xml:space="preserve">: </w:t>
      </w:r>
    </w:p>
    <w:p w14:paraId="1A89CED7" w14:textId="77777777" w:rsidR="00A92487" w:rsidRPr="001C0C4B" w:rsidRDefault="00A92487" w:rsidP="00A92487">
      <w:pPr>
        <w:spacing w:after="200" w:line="276" w:lineRule="auto"/>
        <w:jc w:val="center"/>
        <w:rPr>
          <w:rFonts w:ascii="Calibri" w:eastAsia="Times New Roman" w:hAnsi="Calibri" w:cs="Calibri"/>
          <w:b/>
          <w:bCs/>
          <w:sz w:val="24"/>
          <w:szCs w:val="24"/>
          <w:lang w:val="en-GB" w:eastAsia="en-GB"/>
        </w:rPr>
      </w:pPr>
      <w:r w:rsidRPr="001C0C4B">
        <w:rPr>
          <w:rFonts w:ascii="Calibri" w:eastAsia="Calibri" w:hAnsi="Calibri" w:cs="Calibri"/>
          <w:b/>
          <w:bCs/>
          <w:sz w:val="24"/>
          <w:szCs w:val="24"/>
          <w:lang w:val="en-GB"/>
        </w:rPr>
        <w:t>Finding treatments for COVID-19: A phase 2 multi-centre adaptive platform trial to assess antiviral pharmacodynamics in early symptomatic COVID-19 (PLATCOV)</w:t>
      </w:r>
    </w:p>
    <w:p w14:paraId="33D0D85C" w14:textId="77777777" w:rsidR="00A92487" w:rsidRPr="001C0C4B" w:rsidRDefault="00A92487" w:rsidP="00A92487">
      <w:pPr>
        <w:spacing w:after="200" w:line="276" w:lineRule="auto"/>
        <w:rPr>
          <w:rFonts w:ascii="Calibri" w:eastAsia="Calibri" w:hAnsi="Calibri" w:cs="Calibri"/>
        </w:rPr>
      </w:pPr>
      <w:r w:rsidRPr="001C0C4B">
        <w:rPr>
          <w:rFonts w:ascii="Calibri" w:eastAsia="Calibri" w:hAnsi="Calibri" w:cs="Calibri"/>
          <w:b/>
          <w:bCs/>
          <w:lang w:val="en-GB"/>
        </w:rPr>
        <w:t>Short title:</w:t>
      </w:r>
      <w:r w:rsidRPr="001C0C4B">
        <w:rPr>
          <w:rFonts w:ascii="Calibri" w:eastAsia="Calibri" w:hAnsi="Calibri" w:cs="Calibri"/>
          <w:lang w:val="en-GB"/>
        </w:rPr>
        <w:t xml:space="preserve"> Finding treatments for COVID-19: A phase 2 platform trial of antiviral pharmacodynamics in early symptomatic COVID-19 (PLATCOV)</w:t>
      </w:r>
    </w:p>
    <w:p w14:paraId="6E091B7C" w14:textId="77777777" w:rsidR="00A92487" w:rsidRPr="001C0C4B" w:rsidRDefault="00A92487" w:rsidP="00A92487">
      <w:pPr>
        <w:spacing w:after="200" w:line="276" w:lineRule="auto"/>
        <w:rPr>
          <w:rFonts w:ascii="Calibri" w:eastAsia="Calibri" w:hAnsi="Calibri" w:cs="Calibri"/>
          <w:lang w:val="en-GB"/>
        </w:rPr>
      </w:pPr>
      <w:r w:rsidRPr="001C0C4B">
        <w:rPr>
          <w:rFonts w:ascii="Calibri" w:eastAsia="Calibri" w:hAnsi="Calibri" w:cs="Calibri"/>
          <w:b/>
          <w:bCs/>
          <w:lang w:val="en-GB"/>
        </w:rPr>
        <w:t>Acronym:</w:t>
      </w:r>
      <w:r w:rsidRPr="001C0C4B">
        <w:rPr>
          <w:rFonts w:ascii="Calibri" w:eastAsia="Calibri" w:hAnsi="Calibri" w:cs="Calibri"/>
          <w:lang w:val="en-GB"/>
        </w:rPr>
        <w:t xml:space="preserve"> </w:t>
      </w:r>
      <w:r w:rsidRPr="001C0C4B">
        <w:rPr>
          <w:rFonts w:ascii="Calibri" w:eastAsia="Times New Roman" w:hAnsi="Calibri" w:cs="Calibri"/>
          <w:lang w:bidi="th-TH"/>
        </w:rPr>
        <w:t>PLATCOV</w:t>
      </w:r>
    </w:p>
    <w:p w14:paraId="6E704A9F" w14:textId="77777777" w:rsidR="00A92487" w:rsidRPr="001C0C4B" w:rsidRDefault="00A92487" w:rsidP="00A92487">
      <w:pPr>
        <w:spacing w:after="200" w:line="276" w:lineRule="auto"/>
        <w:rPr>
          <w:rFonts w:ascii="Calibri" w:eastAsia="Calibri" w:hAnsi="Calibri" w:cs="Calibri"/>
          <w:lang w:val="en-GB"/>
        </w:rPr>
      </w:pPr>
      <w:r w:rsidRPr="001C0C4B">
        <w:rPr>
          <w:rFonts w:ascii="Calibri" w:eastAsia="Calibri" w:hAnsi="Calibri" w:cs="Calibri"/>
          <w:b/>
          <w:bCs/>
          <w:lang w:val="en-GB"/>
        </w:rPr>
        <w:t>OxTREC Ref:</w:t>
      </w:r>
      <w:r w:rsidRPr="001C0C4B">
        <w:rPr>
          <w:rFonts w:ascii="Calibri" w:eastAsia="Calibri" w:hAnsi="Calibri" w:cs="Calibri"/>
          <w:lang w:val="en-GB"/>
        </w:rPr>
        <w:t xml:space="preserve"> 24-21</w:t>
      </w:r>
    </w:p>
    <w:p w14:paraId="64EBA939" w14:textId="77777777" w:rsidR="00A92487" w:rsidRPr="001C0C4B" w:rsidRDefault="00A92487" w:rsidP="00A92487">
      <w:pPr>
        <w:spacing w:after="200" w:line="276" w:lineRule="auto"/>
        <w:rPr>
          <w:rFonts w:ascii="Calibri" w:eastAsia="Calibri" w:hAnsi="Calibri" w:cs="Calibri"/>
        </w:rPr>
      </w:pPr>
      <w:r w:rsidRPr="001C0C4B">
        <w:rPr>
          <w:rFonts w:ascii="Calibri" w:hAnsi="Calibri" w:cs="Calibri"/>
          <w:b/>
          <w:bCs/>
        </w:rPr>
        <w:t>Trial Registration Number</w:t>
      </w:r>
      <w:r w:rsidRPr="001C0C4B">
        <w:rPr>
          <w:rFonts w:ascii="Calibri" w:hAnsi="Calibri" w:cs="Calibri"/>
        </w:rPr>
        <w:t>: NCT05041907</w:t>
      </w:r>
    </w:p>
    <w:p w14:paraId="3FC7EC77" w14:textId="77777777" w:rsidR="00A92487" w:rsidRPr="001C0C4B" w:rsidRDefault="00A92487" w:rsidP="00A92487">
      <w:pPr>
        <w:rPr>
          <w:rFonts w:ascii="Calibri" w:eastAsia="Times New Roman" w:hAnsi="Calibri" w:cs="Calibri"/>
          <w:sz w:val="21"/>
          <w:szCs w:val="21"/>
          <w:lang w:bidi="th-TH"/>
        </w:rPr>
      </w:pPr>
      <w:r w:rsidRPr="001C0C4B">
        <w:rPr>
          <w:rFonts w:ascii="Calibri" w:eastAsia="Calibri" w:hAnsi="Calibri" w:cs="Calibri"/>
          <w:b/>
          <w:bCs/>
          <w:lang w:val="en-GB"/>
        </w:rPr>
        <w:t xml:space="preserve">Protocol number: </w:t>
      </w:r>
      <w:r w:rsidRPr="001C0C4B">
        <w:rPr>
          <w:rFonts w:ascii="Calibri" w:eastAsia="Times New Roman" w:hAnsi="Calibri" w:cs="Calibri"/>
          <w:sz w:val="21"/>
          <w:szCs w:val="21"/>
          <w:lang w:bidi="th-TH"/>
        </w:rPr>
        <w:t>VIR21001</w:t>
      </w:r>
    </w:p>
    <w:p w14:paraId="73C75543" w14:textId="2FEFBA8E" w:rsidR="00A92487" w:rsidRDefault="00A92487" w:rsidP="00A92487">
      <w:pPr>
        <w:spacing w:after="200" w:line="276" w:lineRule="auto"/>
        <w:rPr>
          <w:rFonts w:eastAsia="Calibri" w:cstheme="minorHAnsi"/>
          <w:lang w:val="en-GB"/>
        </w:rPr>
      </w:pPr>
      <w:r w:rsidRPr="001C0C4B">
        <w:rPr>
          <w:rFonts w:ascii="Calibri" w:eastAsia="Calibri" w:hAnsi="Calibri" w:cs="Calibri"/>
          <w:b/>
          <w:bCs/>
          <w:lang w:val="en-GB"/>
        </w:rPr>
        <w:t>Date and Version No:</w:t>
      </w:r>
      <w:r w:rsidRPr="001C0C4B">
        <w:rPr>
          <w:rFonts w:ascii="Calibri" w:eastAsia="Calibri" w:hAnsi="Calibri" w:cs="Calibri"/>
          <w:lang w:val="en-GB"/>
        </w:rPr>
        <w:t xml:space="preserve"> Version </w:t>
      </w:r>
      <w:r w:rsidR="00D60A5D">
        <w:rPr>
          <w:rFonts w:ascii="Calibri" w:eastAsia="Calibri" w:hAnsi="Calibri" w:cs="Calibri"/>
          <w:lang w:val="en-GB"/>
        </w:rPr>
        <w:t>4</w:t>
      </w:r>
      <w:r w:rsidR="00646B80" w:rsidRPr="001C0C4B">
        <w:rPr>
          <w:rFonts w:ascii="Calibri" w:eastAsia="Calibri" w:hAnsi="Calibri" w:cs="Calibri"/>
          <w:lang w:val="en-GB"/>
        </w:rPr>
        <w:t>.0</w:t>
      </w:r>
      <w:r w:rsidRPr="001C0C4B">
        <w:rPr>
          <w:rFonts w:eastAsia="Calibri" w:cstheme="minorHAnsi"/>
          <w:lang w:val="en-GB"/>
        </w:rPr>
        <w:t xml:space="preserve"> / </w:t>
      </w:r>
      <w:r w:rsidR="00773305">
        <w:rPr>
          <w:rFonts w:ascii="Calibri" w:eastAsia="Calibri" w:hAnsi="Calibri" w:cs="Calibri"/>
          <w:lang w:val="en-GB"/>
        </w:rPr>
        <w:t>1</w:t>
      </w:r>
      <w:r w:rsidR="00D60A5D">
        <w:rPr>
          <w:rFonts w:ascii="Calibri" w:eastAsia="Calibri" w:hAnsi="Calibri" w:cs="Calibri"/>
          <w:lang w:val="en-GB"/>
        </w:rPr>
        <w:t xml:space="preserve">7 August </w:t>
      </w:r>
      <w:r w:rsidRPr="001C0C4B">
        <w:rPr>
          <w:rFonts w:eastAsia="Calibri" w:cstheme="minorHAnsi"/>
          <w:lang w:val="en-GB"/>
        </w:rPr>
        <w:t>2022</w:t>
      </w:r>
    </w:p>
    <w:tbl>
      <w:tblPr>
        <w:tblW w:w="9900" w:type="dxa"/>
        <w:tblInd w:w="-90" w:type="dxa"/>
        <w:tblLayout w:type="fixed"/>
        <w:tblLook w:val="0000" w:firstRow="0" w:lastRow="0" w:firstColumn="0" w:lastColumn="0" w:noHBand="0" w:noVBand="0"/>
      </w:tblPr>
      <w:tblGrid>
        <w:gridCol w:w="2610"/>
        <w:gridCol w:w="7290"/>
      </w:tblGrid>
      <w:tr w:rsidR="004A41A4" w:rsidRPr="001B277D" w14:paraId="3A708207" w14:textId="77777777" w:rsidTr="00657E5D">
        <w:trPr>
          <w:trHeight w:val="2574"/>
        </w:trPr>
        <w:tc>
          <w:tcPr>
            <w:tcW w:w="2610" w:type="dxa"/>
          </w:tcPr>
          <w:p w14:paraId="7C5B3039" w14:textId="77777777" w:rsidR="004A41A4" w:rsidRPr="001B277D" w:rsidRDefault="004A41A4" w:rsidP="00657E5D">
            <w:pPr>
              <w:spacing w:after="0" w:line="276" w:lineRule="auto"/>
              <w:ind w:left="-18"/>
              <w:rPr>
                <w:rFonts w:ascii="Calibri" w:eastAsia="Calibri" w:hAnsi="Calibri" w:cs="Calibri"/>
                <w:b/>
                <w:bCs/>
                <w:lang w:val="en-GB"/>
              </w:rPr>
            </w:pPr>
            <w:r w:rsidRPr="001B277D">
              <w:rPr>
                <w:rFonts w:ascii="Calibri" w:eastAsia="Calibri" w:hAnsi="Calibri" w:cs="Calibri"/>
                <w:b/>
                <w:bCs/>
                <w:lang w:val="en-GB"/>
              </w:rPr>
              <w:t>Co-Principal Investigators:</w:t>
            </w:r>
          </w:p>
          <w:p w14:paraId="5155E58E" w14:textId="77777777" w:rsidR="004A41A4" w:rsidRPr="001B277D" w:rsidRDefault="004A41A4" w:rsidP="00657E5D">
            <w:pPr>
              <w:spacing w:after="0" w:line="276" w:lineRule="auto"/>
              <w:ind w:left="598"/>
              <w:rPr>
                <w:rFonts w:ascii="Calibri" w:eastAsia="Calibri" w:hAnsi="Calibri" w:cs="Calibri"/>
                <w:b/>
                <w:bCs/>
                <w:lang w:val="en-GB"/>
              </w:rPr>
            </w:pPr>
          </w:p>
          <w:p w14:paraId="67545352" w14:textId="77777777" w:rsidR="004A41A4" w:rsidRPr="001B277D" w:rsidRDefault="004A41A4" w:rsidP="00657E5D">
            <w:pPr>
              <w:spacing w:after="0" w:line="276" w:lineRule="auto"/>
              <w:ind w:left="598"/>
              <w:rPr>
                <w:rFonts w:ascii="Calibri" w:eastAsia="Calibri" w:hAnsi="Calibri" w:cs="Calibri"/>
                <w:b/>
                <w:bCs/>
                <w:lang w:val="en-GB"/>
              </w:rPr>
            </w:pPr>
          </w:p>
          <w:p w14:paraId="290D6FB8" w14:textId="77777777" w:rsidR="004A41A4" w:rsidRPr="001B277D" w:rsidRDefault="004A41A4" w:rsidP="00657E5D">
            <w:pPr>
              <w:spacing w:after="0" w:line="276" w:lineRule="auto"/>
              <w:ind w:left="598"/>
              <w:rPr>
                <w:rFonts w:ascii="Calibri" w:eastAsia="Calibri" w:hAnsi="Calibri" w:cs="Calibri"/>
                <w:b/>
                <w:bCs/>
                <w:lang w:val="en-GB"/>
              </w:rPr>
            </w:pPr>
          </w:p>
          <w:p w14:paraId="0383B426" w14:textId="77777777" w:rsidR="004A41A4" w:rsidRPr="001B277D" w:rsidRDefault="004A41A4" w:rsidP="00657E5D">
            <w:pPr>
              <w:spacing w:after="0" w:line="276" w:lineRule="auto"/>
              <w:ind w:left="598"/>
              <w:rPr>
                <w:rFonts w:ascii="Calibri" w:eastAsia="Calibri" w:hAnsi="Calibri" w:cs="Calibri"/>
                <w:b/>
                <w:bCs/>
                <w:lang w:val="en-GB"/>
              </w:rPr>
            </w:pPr>
          </w:p>
          <w:p w14:paraId="6EA2C229" w14:textId="77777777" w:rsidR="004A41A4" w:rsidRPr="001B277D" w:rsidRDefault="004A41A4" w:rsidP="00657E5D">
            <w:pPr>
              <w:spacing w:after="0" w:line="276" w:lineRule="auto"/>
              <w:ind w:left="598"/>
              <w:rPr>
                <w:rFonts w:ascii="Calibri" w:eastAsia="Calibri" w:hAnsi="Calibri" w:cs="Calibri"/>
                <w:b/>
                <w:bCs/>
                <w:lang w:val="en-GB"/>
              </w:rPr>
            </w:pPr>
          </w:p>
          <w:p w14:paraId="74FF8D1C" w14:textId="77777777" w:rsidR="004A41A4" w:rsidRPr="001B277D" w:rsidRDefault="004A41A4" w:rsidP="00657E5D">
            <w:pPr>
              <w:spacing w:after="0" w:line="276" w:lineRule="auto"/>
              <w:rPr>
                <w:rFonts w:ascii="Calibri" w:eastAsia="Calibri" w:hAnsi="Calibri" w:cs="Calibri"/>
                <w:b/>
                <w:bCs/>
                <w:lang w:val="en-GB"/>
              </w:rPr>
            </w:pPr>
          </w:p>
        </w:tc>
        <w:tc>
          <w:tcPr>
            <w:tcW w:w="7290" w:type="dxa"/>
          </w:tcPr>
          <w:p w14:paraId="0AD572DF" w14:textId="77777777" w:rsidR="004A41A4" w:rsidRPr="001B277D" w:rsidRDefault="004A41A4" w:rsidP="00657E5D">
            <w:pPr>
              <w:tabs>
                <w:tab w:val="left" w:pos="709"/>
              </w:tabs>
              <w:spacing w:after="0" w:line="240" w:lineRule="auto"/>
              <w:rPr>
                <w:rFonts w:ascii="Calibri" w:hAnsi="Calibri" w:cs="Calibri"/>
              </w:rPr>
            </w:pPr>
            <w:r w:rsidRPr="001B277D">
              <w:rPr>
                <w:rFonts w:ascii="Calibri" w:hAnsi="Calibri" w:cs="Calibri"/>
                <w:b/>
                <w:bCs/>
              </w:rPr>
              <w:t xml:space="preserve">Dr William Schilling </w:t>
            </w:r>
            <w:r w:rsidRPr="001B277D">
              <w:rPr>
                <w:rFonts w:ascii="Calibri" w:hAnsi="Calibri" w:cs="Calibri"/>
              </w:rPr>
              <w:t>(william@tropmedres.ac)</w:t>
            </w:r>
          </w:p>
          <w:p w14:paraId="39A486B1" w14:textId="77777777" w:rsidR="004A41A4" w:rsidRPr="00D23D22" w:rsidRDefault="004A41A4" w:rsidP="00657E5D">
            <w:pPr>
              <w:spacing w:after="0" w:line="240" w:lineRule="auto"/>
              <w:rPr>
                <w:rFonts w:ascii="Calibri" w:hAnsi="Calibri" w:cs="Calibri"/>
              </w:rPr>
            </w:pPr>
            <w:r w:rsidRPr="00D23D22">
              <w:rPr>
                <w:rFonts w:ascii="Calibri" w:hAnsi="Calibri" w:cs="Calibri"/>
              </w:rPr>
              <w:t>Research Physician &amp; Infectious Diseases/ Microbiology Registrar</w:t>
            </w:r>
          </w:p>
          <w:p w14:paraId="77CFF82F" w14:textId="77777777" w:rsidR="004A41A4" w:rsidRPr="00D23D22" w:rsidRDefault="004A41A4" w:rsidP="00657E5D">
            <w:pPr>
              <w:spacing w:after="0" w:line="240" w:lineRule="auto"/>
              <w:rPr>
                <w:rFonts w:ascii="Calibri" w:hAnsi="Calibri" w:cs="Calibri"/>
              </w:rPr>
            </w:pPr>
            <w:r w:rsidRPr="001B277D">
              <w:rPr>
                <w:rFonts w:ascii="Calibri" w:hAnsi="Calibri" w:cs="Calibri"/>
              </w:rPr>
              <w:t>Mahidol Oxford Tropical Medicine Research Unit, Faculty of Tropical Medicine, Mahidol University</w:t>
            </w:r>
            <w:r w:rsidRPr="00D23D22">
              <w:rPr>
                <w:rFonts w:ascii="Calibri" w:hAnsi="Calibri" w:cs="Calibri"/>
              </w:rPr>
              <w:t xml:space="preserve">, Bangkok, Thailand </w:t>
            </w:r>
          </w:p>
          <w:p w14:paraId="007112A6" w14:textId="77777777" w:rsidR="004A41A4" w:rsidRPr="00D23D22" w:rsidRDefault="004A41A4" w:rsidP="00657E5D">
            <w:pPr>
              <w:spacing w:after="0" w:line="240" w:lineRule="auto"/>
              <w:rPr>
                <w:rFonts w:ascii="Calibri" w:hAnsi="Calibri" w:cs="Calibri"/>
              </w:rPr>
            </w:pPr>
          </w:p>
          <w:p w14:paraId="0CE50941" w14:textId="77777777" w:rsidR="004A41A4" w:rsidRPr="001B277D" w:rsidRDefault="004A41A4" w:rsidP="00657E5D">
            <w:pPr>
              <w:spacing w:after="0" w:line="240" w:lineRule="auto"/>
              <w:rPr>
                <w:rFonts w:ascii="Calibri" w:eastAsia="Calibri" w:hAnsi="Calibri" w:cs="Calibri"/>
              </w:rPr>
            </w:pPr>
            <w:r w:rsidRPr="001B277D">
              <w:rPr>
                <w:rFonts w:ascii="Calibri" w:eastAsia="Calibri" w:hAnsi="Calibri" w:cs="Calibri"/>
                <w:b/>
                <w:bCs/>
                <w:lang w:val="en-GB"/>
              </w:rPr>
              <w:t xml:space="preserve">Professor Sir Nicholas J White </w:t>
            </w:r>
            <w:r w:rsidRPr="001B277D">
              <w:rPr>
                <w:rFonts w:ascii="Calibri" w:eastAsia="Calibri" w:hAnsi="Calibri" w:cs="Calibri"/>
                <w:lang w:val="en-GB"/>
              </w:rPr>
              <w:t>(</w:t>
            </w:r>
            <w:hyperlink r:id="rId11">
              <w:r w:rsidRPr="00712A4E">
                <w:rPr>
                  <w:rStyle w:val="Hyperlink"/>
                  <w:rFonts w:ascii="Calibri" w:eastAsia="Calibri" w:hAnsi="Calibri" w:cs="Calibri"/>
                  <w:color w:val="auto"/>
                  <w:u w:val="none"/>
                  <w:lang w:val="en-GB"/>
                </w:rPr>
                <w:t>nickw@tropmedres.ac</w:t>
              </w:r>
            </w:hyperlink>
            <w:r w:rsidRPr="00712A4E">
              <w:rPr>
                <w:rFonts w:ascii="Calibri" w:eastAsia="Calibri" w:hAnsi="Calibri" w:cs="Calibri"/>
                <w:lang w:val="en-GB"/>
              </w:rPr>
              <w:t xml:space="preserve">) </w:t>
            </w:r>
          </w:p>
          <w:p w14:paraId="49A0B6C4" w14:textId="77777777" w:rsidR="004A41A4" w:rsidRPr="00D23D22" w:rsidRDefault="004A41A4" w:rsidP="00657E5D">
            <w:pPr>
              <w:spacing w:after="0" w:line="240" w:lineRule="auto"/>
              <w:rPr>
                <w:rFonts w:ascii="Calibri" w:eastAsia="Calibri" w:hAnsi="Calibri" w:cs="Calibri"/>
              </w:rPr>
            </w:pPr>
            <w:r w:rsidRPr="00D23D22">
              <w:rPr>
                <w:rFonts w:ascii="Calibri" w:eastAsia="Calibri" w:hAnsi="Calibri" w:cs="Calibri"/>
                <w:lang w:val="en-GB"/>
              </w:rPr>
              <w:t xml:space="preserve">Chairman Wellcome Trust Southeast Asian Tropical Medicine Programmes &amp; Consultant Physician </w:t>
            </w:r>
          </w:p>
          <w:p w14:paraId="35904C5E" w14:textId="77777777" w:rsidR="004A41A4" w:rsidRDefault="004A41A4" w:rsidP="00657E5D">
            <w:pPr>
              <w:spacing w:after="0" w:line="240" w:lineRule="auto"/>
              <w:rPr>
                <w:rFonts w:cstheme="minorHAnsi"/>
              </w:rPr>
            </w:pPr>
            <w:r w:rsidRPr="001B277D">
              <w:rPr>
                <w:rFonts w:ascii="Calibri" w:eastAsia="Calibri" w:hAnsi="Calibri" w:cs="Calibri"/>
                <w:lang w:val="en-GB"/>
              </w:rPr>
              <w:t xml:space="preserve">Mahidol Oxford Tropical Medicine Research Unit, </w:t>
            </w:r>
            <w:r w:rsidRPr="001B277D">
              <w:rPr>
                <w:rFonts w:ascii="Calibri" w:hAnsi="Calibri" w:cs="Calibri"/>
              </w:rPr>
              <w:t>Faculty of Tropical Medicine, Mahidol University</w:t>
            </w:r>
            <w:r w:rsidRPr="00D23D22">
              <w:rPr>
                <w:rFonts w:ascii="Calibri" w:hAnsi="Calibri" w:cs="Calibri"/>
              </w:rPr>
              <w:t>,</w:t>
            </w:r>
            <w:r w:rsidRPr="001B277D">
              <w:rPr>
                <w:rFonts w:cstheme="minorHAnsi"/>
              </w:rPr>
              <w:t xml:space="preserve"> Bangkok</w:t>
            </w:r>
            <w:r w:rsidRPr="00D23D22">
              <w:rPr>
                <w:rFonts w:ascii="Calibri" w:hAnsi="Calibri" w:cs="Calibri"/>
              </w:rPr>
              <w:t>,</w:t>
            </w:r>
            <w:r w:rsidRPr="001B277D">
              <w:rPr>
                <w:rFonts w:cstheme="minorHAnsi"/>
              </w:rPr>
              <w:t xml:space="preserve"> Thailand</w:t>
            </w:r>
          </w:p>
          <w:p w14:paraId="7BCE7522" w14:textId="77777777" w:rsidR="004A41A4" w:rsidRPr="001B277D" w:rsidRDefault="004A41A4" w:rsidP="00657E5D">
            <w:pPr>
              <w:spacing w:after="0" w:line="240" w:lineRule="auto"/>
              <w:rPr>
                <w:rFonts w:cstheme="minorHAnsi"/>
              </w:rPr>
            </w:pPr>
          </w:p>
        </w:tc>
      </w:tr>
      <w:tr w:rsidR="004A41A4" w:rsidRPr="001B277D" w14:paraId="1AFF4F70" w14:textId="77777777" w:rsidTr="00657E5D">
        <w:tc>
          <w:tcPr>
            <w:tcW w:w="2610" w:type="dxa"/>
          </w:tcPr>
          <w:p w14:paraId="093916F2" w14:textId="77777777" w:rsidR="004A41A4" w:rsidRPr="001B277D" w:rsidRDefault="004A41A4" w:rsidP="00657E5D">
            <w:pPr>
              <w:spacing w:after="0" w:line="240" w:lineRule="auto"/>
              <w:rPr>
                <w:rFonts w:ascii="Calibri" w:eastAsia="Calibri" w:hAnsi="Calibri" w:cs="Calibri"/>
                <w:b/>
                <w:bCs/>
                <w:lang w:val="en-GB"/>
              </w:rPr>
            </w:pPr>
            <w:r w:rsidRPr="001B277D">
              <w:rPr>
                <w:rFonts w:ascii="Calibri" w:eastAsia="Calibri" w:hAnsi="Calibri" w:cs="Calibri"/>
                <w:b/>
                <w:bCs/>
                <w:lang w:val="en-GB"/>
              </w:rPr>
              <w:t>Co-Investigators:</w:t>
            </w:r>
          </w:p>
          <w:p w14:paraId="6E31F191" w14:textId="77777777" w:rsidR="004A41A4" w:rsidRPr="001B277D" w:rsidRDefault="004A41A4" w:rsidP="00657E5D">
            <w:pPr>
              <w:spacing w:after="0" w:line="240" w:lineRule="auto"/>
              <w:ind w:left="598"/>
              <w:rPr>
                <w:rFonts w:ascii="Calibri" w:eastAsia="Calibri" w:hAnsi="Calibri" w:cs="Calibri"/>
                <w:b/>
                <w:bCs/>
                <w:lang w:val="en-GB"/>
              </w:rPr>
            </w:pPr>
          </w:p>
          <w:p w14:paraId="0D0D3599" w14:textId="77777777" w:rsidR="004A41A4" w:rsidRPr="001B277D" w:rsidRDefault="004A41A4" w:rsidP="00657E5D">
            <w:pPr>
              <w:spacing w:after="0" w:line="240" w:lineRule="auto"/>
              <w:rPr>
                <w:rFonts w:ascii="Calibri" w:eastAsia="Calibri" w:hAnsi="Calibri" w:cs="Calibri"/>
                <w:lang w:val="en-GB"/>
              </w:rPr>
            </w:pPr>
          </w:p>
          <w:p w14:paraId="4ECDF40A" w14:textId="77777777" w:rsidR="004A41A4" w:rsidRPr="001B277D" w:rsidRDefault="004A41A4" w:rsidP="00657E5D">
            <w:pPr>
              <w:spacing w:after="0" w:line="240" w:lineRule="auto"/>
              <w:rPr>
                <w:rFonts w:ascii="Calibri" w:eastAsia="Calibri" w:hAnsi="Calibri" w:cs="Calibri"/>
                <w:lang w:val="en-GB"/>
              </w:rPr>
            </w:pPr>
          </w:p>
          <w:p w14:paraId="4E180C15" w14:textId="77777777" w:rsidR="004A41A4" w:rsidRPr="001B277D" w:rsidRDefault="004A41A4" w:rsidP="00657E5D">
            <w:pPr>
              <w:spacing w:after="0" w:line="240" w:lineRule="auto"/>
              <w:rPr>
                <w:rFonts w:ascii="Calibri" w:eastAsia="Calibri" w:hAnsi="Calibri" w:cs="Calibri"/>
                <w:lang w:val="en-GB"/>
              </w:rPr>
            </w:pPr>
          </w:p>
          <w:p w14:paraId="0B94636A" w14:textId="77777777" w:rsidR="004A41A4" w:rsidRPr="001B277D" w:rsidRDefault="004A41A4" w:rsidP="00657E5D">
            <w:pPr>
              <w:spacing w:after="0" w:line="240" w:lineRule="auto"/>
              <w:rPr>
                <w:rFonts w:ascii="Calibri" w:eastAsia="Calibri" w:hAnsi="Calibri" w:cs="Calibri"/>
                <w:lang w:val="en-GB"/>
              </w:rPr>
            </w:pPr>
          </w:p>
          <w:p w14:paraId="56B68E8E" w14:textId="77777777" w:rsidR="004A41A4" w:rsidRPr="001B277D" w:rsidRDefault="004A41A4" w:rsidP="00657E5D">
            <w:pPr>
              <w:spacing w:after="0" w:line="240" w:lineRule="auto"/>
              <w:rPr>
                <w:rFonts w:ascii="Calibri" w:eastAsia="Calibri" w:hAnsi="Calibri" w:cs="Calibri"/>
                <w:lang w:val="en-GB"/>
              </w:rPr>
            </w:pPr>
          </w:p>
          <w:p w14:paraId="3487CE81" w14:textId="77777777" w:rsidR="004A41A4" w:rsidRPr="001B277D" w:rsidRDefault="004A41A4" w:rsidP="00657E5D">
            <w:pPr>
              <w:spacing w:after="0" w:line="240" w:lineRule="auto"/>
              <w:rPr>
                <w:rFonts w:ascii="Calibri" w:eastAsia="Calibri" w:hAnsi="Calibri" w:cs="Calibri"/>
                <w:lang w:val="en-GB"/>
              </w:rPr>
            </w:pPr>
          </w:p>
          <w:p w14:paraId="5909FA70" w14:textId="77777777" w:rsidR="004A41A4" w:rsidRPr="001B277D" w:rsidRDefault="004A41A4" w:rsidP="00657E5D">
            <w:pPr>
              <w:spacing w:after="0" w:line="240" w:lineRule="auto"/>
              <w:rPr>
                <w:rFonts w:ascii="Calibri" w:eastAsia="Calibri" w:hAnsi="Calibri" w:cs="Calibri"/>
                <w:lang w:val="en-GB"/>
              </w:rPr>
            </w:pPr>
          </w:p>
          <w:p w14:paraId="6ED970C7" w14:textId="77777777" w:rsidR="004A41A4" w:rsidRPr="001B277D" w:rsidRDefault="004A41A4" w:rsidP="00657E5D">
            <w:pPr>
              <w:spacing w:after="0" w:line="240" w:lineRule="auto"/>
              <w:rPr>
                <w:rFonts w:ascii="Calibri" w:eastAsia="Calibri" w:hAnsi="Calibri" w:cs="Calibri"/>
                <w:lang w:val="en-GB"/>
              </w:rPr>
            </w:pPr>
          </w:p>
          <w:p w14:paraId="26C8772F" w14:textId="77777777" w:rsidR="004A41A4" w:rsidRPr="001B277D" w:rsidRDefault="004A41A4" w:rsidP="00657E5D">
            <w:pPr>
              <w:spacing w:after="0" w:line="240" w:lineRule="auto"/>
              <w:rPr>
                <w:rFonts w:ascii="Calibri" w:eastAsia="Calibri" w:hAnsi="Calibri" w:cs="Calibri"/>
                <w:lang w:val="en-GB"/>
              </w:rPr>
            </w:pPr>
          </w:p>
          <w:p w14:paraId="73910755" w14:textId="77777777" w:rsidR="004A41A4" w:rsidRPr="001B277D" w:rsidRDefault="004A41A4" w:rsidP="00657E5D">
            <w:pPr>
              <w:spacing w:after="0" w:line="240" w:lineRule="auto"/>
              <w:rPr>
                <w:rFonts w:ascii="Calibri" w:eastAsia="Calibri" w:hAnsi="Calibri" w:cs="Calibri"/>
                <w:lang w:val="en-GB"/>
              </w:rPr>
            </w:pPr>
          </w:p>
          <w:p w14:paraId="1DD3501A" w14:textId="77777777" w:rsidR="004A41A4" w:rsidRPr="001B277D" w:rsidRDefault="004A41A4" w:rsidP="00657E5D">
            <w:pPr>
              <w:spacing w:after="0" w:line="240" w:lineRule="auto"/>
              <w:rPr>
                <w:rFonts w:ascii="Calibri" w:eastAsia="Calibri" w:hAnsi="Calibri" w:cs="Calibri"/>
                <w:lang w:val="en-GB"/>
              </w:rPr>
            </w:pPr>
          </w:p>
          <w:p w14:paraId="4EB4B19D" w14:textId="77777777" w:rsidR="004A41A4" w:rsidRPr="001B277D" w:rsidRDefault="004A41A4" w:rsidP="00657E5D">
            <w:pPr>
              <w:spacing w:after="0" w:line="240" w:lineRule="auto"/>
              <w:rPr>
                <w:rFonts w:ascii="Calibri" w:eastAsia="Calibri" w:hAnsi="Calibri" w:cs="Calibri"/>
                <w:lang w:val="en-GB"/>
              </w:rPr>
            </w:pPr>
          </w:p>
          <w:p w14:paraId="050EA869" w14:textId="77777777" w:rsidR="004A41A4" w:rsidRPr="001B277D" w:rsidRDefault="004A41A4" w:rsidP="00657E5D">
            <w:pPr>
              <w:spacing w:after="0" w:line="240" w:lineRule="auto"/>
              <w:rPr>
                <w:rFonts w:ascii="Calibri" w:eastAsia="Calibri" w:hAnsi="Calibri" w:cs="Calibri"/>
                <w:lang w:val="en-GB"/>
              </w:rPr>
            </w:pPr>
          </w:p>
          <w:p w14:paraId="1E5F657D" w14:textId="77777777" w:rsidR="004A41A4" w:rsidRPr="001B277D" w:rsidRDefault="004A41A4" w:rsidP="00657E5D">
            <w:pPr>
              <w:spacing w:after="0" w:line="240" w:lineRule="auto"/>
              <w:ind w:left="598"/>
              <w:rPr>
                <w:rFonts w:ascii="Calibri" w:eastAsia="Calibri" w:hAnsi="Calibri" w:cs="Calibri"/>
                <w:b/>
                <w:bCs/>
                <w:lang w:val="en-GB"/>
              </w:rPr>
            </w:pPr>
          </w:p>
        </w:tc>
        <w:tc>
          <w:tcPr>
            <w:tcW w:w="7290" w:type="dxa"/>
          </w:tcPr>
          <w:p w14:paraId="4CC53FBB" w14:textId="77777777" w:rsidR="004A41A4" w:rsidRDefault="004A41A4" w:rsidP="00657E5D">
            <w:pPr>
              <w:spacing w:after="0" w:line="240" w:lineRule="auto"/>
              <w:rPr>
                <w:rFonts w:cs="Times New Roman"/>
                <w:b/>
                <w:bCs/>
              </w:rPr>
            </w:pPr>
            <w:r w:rsidRPr="001B277D">
              <w:rPr>
                <w:rFonts w:cs="Times New Roman"/>
                <w:b/>
                <w:bCs/>
              </w:rPr>
              <w:t>Dr. Simon Boyd</w:t>
            </w:r>
          </w:p>
          <w:p w14:paraId="462AC22C" w14:textId="77777777" w:rsidR="004A41A4" w:rsidRPr="00C17FE0" w:rsidRDefault="004A41A4" w:rsidP="00657E5D">
            <w:pPr>
              <w:spacing w:after="0" w:line="240" w:lineRule="auto"/>
              <w:rPr>
                <w:rFonts w:cs="Times New Roman"/>
              </w:rPr>
            </w:pPr>
            <w:r>
              <w:rPr>
                <w:rFonts w:cs="Times New Roman"/>
              </w:rPr>
              <w:t xml:space="preserve">Research </w:t>
            </w:r>
            <w:r w:rsidRPr="00C17FE0">
              <w:rPr>
                <w:rFonts w:cs="Times New Roman"/>
              </w:rPr>
              <w:t>P</w:t>
            </w:r>
            <w:r>
              <w:rPr>
                <w:rFonts w:cs="Times New Roman"/>
              </w:rPr>
              <w:t>hy</w:t>
            </w:r>
            <w:r w:rsidRPr="00C17FE0">
              <w:rPr>
                <w:rFonts w:cs="Times New Roman"/>
              </w:rPr>
              <w:t>sician</w:t>
            </w:r>
          </w:p>
          <w:p w14:paraId="7167F8A2" w14:textId="77777777" w:rsidR="004A41A4" w:rsidRDefault="004A41A4" w:rsidP="00657E5D">
            <w:pPr>
              <w:spacing w:after="0" w:line="240" w:lineRule="auto"/>
              <w:rPr>
                <w:rFonts w:cstheme="minorHAnsi"/>
              </w:rPr>
            </w:pPr>
            <w:r w:rsidRPr="001B277D">
              <w:rPr>
                <w:rFonts w:ascii="Calibri" w:hAnsi="Calibri" w:cs="Calibri"/>
              </w:rPr>
              <w:t>Mahidol Oxford Tropical Medicine Research Unit, Faculty of Tropical Medicine, Mahidol University</w:t>
            </w:r>
            <w:r>
              <w:rPr>
                <w:rFonts w:ascii="Calibri" w:hAnsi="Calibri" w:cs="Calibri"/>
              </w:rPr>
              <w:t>, B</w:t>
            </w:r>
            <w:r w:rsidRPr="001B277D">
              <w:rPr>
                <w:rFonts w:cstheme="minorHAnsi"/>
              </w:rPr>
              <w:t>angkok</w:t>
            </w:r>
            <w:r>
              <w:rPr>
                <w:rFonts w:cstheme="minorHAnsi"/>
              </w:rPr>
              <w:t xml:space="preserve">, </w:t>
            </w:r>
            <w:r w:rsidRPr="001B277D">
              <w:rPr>
                <w:rFonts w:cstheme="minorHAnsi"/>
              </w:rPr>
              <w:t>Thailand</w:t>
            </w:r>
          </w:p>
          <w:p w14:paraId="3CBA5936" w14:textId="77777777" w:rsidR="004A41A4" w:rsidRDefault="004A41A4" w:rsidP="00657E5D">
            <w:pPr>
              <w:spacing w:after="0" w:line="240" w:lineRule="auto"/>
              <w:rPr>
                <w:rFonts w:ascii="Calibri" w:hAnsi="Calibri" w:cs="Calibri"/>
                <w:b/>
                <w:bCs/>
              </w:rPr>
            </w:pPr>
          </w:p>
          <w:p w14:paraId="53FD37EB" w14:textId="77777777" w:rsidR="004A41A4" w:rsidRPr="001B277D" w:rsidRDefault="004A41A4" w:rsidP="00657E5D">
            <w:pPr>
              <w:spacing w:after="0" w:line="240" w:lineRule="auto"/>
              <w:rPr>
                <w:rFonts w:ascii="Calibri" w:hAnsi="Calibri" w:cs="Calibri"/>
                <w:b/>
                <w:bCs/>
              </w:rPr>
            </w:pPr>
            <w:r w:rsidRPr="001B277D">
              <w:rPr>
                <w:rFonts w:ascii="Calibri" w:hAnsi="Calibri" w:cs="Calibri"/>
                <w:b/>
                <w:bCs/>
              </w:rPr>
              <w:t>Dr Cintia Cruz</w:t>
            </w:r>
          </w:p>
          <w:p w14:paraId="34572144" w14:textId="77777777" w:rsidR="004A41A4" w:rsidRPr="001B277D" w:rsidRDefault="004A41A4" w:rsidP="00657E5D">
            <w:pPr>
              <w:spacing w:after="0" w:line="240" w:lineRule="auto"/>
              <w:rPr>
                <w:rFonts w:ascii="Calibri" w:hAnsi="Calibri" w:cs="Calibri"/>
              </w:rPr>
            </w:pPr>
            <w:r w:rsidRPr="001B277D">
              <w:rPr>
                <w:rFonts w:ascii="Calibri" w:hAnsi="Calibri" w:cs="Calibri"/>
              </w:rPr>
              <w:t>Paediatrician and Clinical Pharmacologist</w:t>
            </w:r>
          </w:p>
          <w:p w14:paraId="0DA400F4" w14:textId="77777777" w:rsidR="004A41A4" w:rsidRPr="001B277D" w:rsidRDefault="004A41A4" w:rsidP="00657E5D">
            <w:pPr>
              <w:spacing w:after="0" w:line="240" w:lineRule="auto"/>
              <w:rPr>
                <w:rFonts w:ascii="Calibri" w:hAnsi="Calibri" w:cs="Calibri"/>
                <w:b/>
                <w:bCs/>
              </w:rPr>
            </w:pPr>
            <w:r w:rsidRPr="001B277D">
              <w:rPr>
                <w:rFonts w:ascii="Calibri" w:hAnsi="Calibri" w:cs="Calibri"/>
              </w:rPr>
              <w:t>Mahidol Oxford Tropical Medicine Research Unit, Faculty of Tropical Medicine, Mahidol University, Bangkok, Thailand</w:t>
            </w:r>
          </w:p>
          <w:p w14:paraId="67C53C8C" w14:textId="77777777" w:rsidR="004A41A4" w:rsidRPr="001B277D" w:rsidRDefault="004A41A4" w:rsidP="00657E5D">
            <w:pPr>
              <w:spacing w:after="0" w:line="240" w:lineRule="auto"/>
              <w:rPr>
                <w:rFonts w:ascii="Calibri" w:hAnsi="Calibri" w:cs="Calibri"/>
              </w:rPr>
            </w:pPr>
          </w:p>
          <w:p w14:paraId="14B0B1A3" w14:textId="77777777" w:rsidR="004A41A4" w:rsidRPr="001B277D" w:rsidRDefault="004A41A4" w:rsidP="00657E5D">
            <w:pPr>
              <w:spacing w:after="0" w:line="240" w:lineRule="auto"/>
              <w:rPr>
                <w:rFonts w:ascii="Calibri" w:hAnsi="Calibri" w:cs="Calibri"/>
                <w:b/>
                <w:bCs/>
              </w:rPr>
            </w:pPr>
            <w:r w:rsidRPr="001B277D">
              <w:rPr>
                <w:rFonts w:ascii="Calibri" w:hAnsi="Calibri" w:cs="Calibri"/>
                <w:b/>
                <w:bCs/>
              </w:rPr>
              <w:t>Dr James A Watson</w:t>
            </w:r>
          </w:p>
          <w:p w14:paraId="599B6778" w14:textId="77777777" w:rsidR="004A41A4" w:rsidRPr="001B277D" w:rsidRDefault="004A41A4" w:rsidP="00657E5D">
            <w:pPr>
              <w:spacing w:after="0" w:line="240" w:lineRule="auto"/>
              <w:rPr>
                <w:rFonts w:ascii="Calibri" w:hAnsi="Calibri" w:cs="Calibri"/>
              </w:rPr>
            </w:pPr>
            <w:r w:rsidRPr="001B277D">
              <w:rPr>
                <w:rFonts w:ascii="Calibri" w:hAnsi="Calibri" w:cs="Calibri"/>
              </w:rPr>
              <w:t>Statistician</w:t>
            </w:r>
          </w:p>
          <w:p w14:paraId="39DD5BB5" w14:textId="77777777" w:rsidR="004A41A4" w:rsidRDefault="004A41A4" w:rsidP="00657E5D">
            <w:pPr>
              <w:spacing w:after="0" w:line="240" w:lineRule="auto"/>
              <w:rPr>
                <w:rFonts w:ascii="Calibri" w:hAnsi="Calibri" w:cs="Calibri"/>
              </w:rPr>
            </w:pPr>
            <w:r w:rsidRPr="001B277D">
              <w:rPr>
                <w:rFonts w:ascii="Calibri" w:hAnsi="Calibri" w:cs="Calibri"/>
              </w:rPr>
              <w:t>Mahidol Oxford Tropical Medicine Research Unit, Faculty of Tropical Medicine, Mahidol University, Bangkok,Thailand</w:t>
            </w:r>
          </w:p>
          <w:p w14:paraId="7C1404EB" w14:textId="77777777" w:rsidR="004A41A4" w:rsidRDefault="004A41A4" w:rsidP="00657E5D">
            <w:pPr>
              <w:spacing w:after="0" w:line="240" w:lineRule="auto"/>
              <w:rPr>
                <w:rFonts w:ascii="Calibri" w:hAnsi="Calibri" w:cs="Calibri"/>
              </w:rPr>
            </w:pPr>
          </w:p>
          <w:p w14:paraId="270DA73B" w14:textId="77777777" w:rsidR="004A41A4" w:rsidRPr="001B277D" w:rsidRDefault="004A41A4" w:rsidP="00657E5D">
            <w:pPr>
              <w:tabs>
                <w:tab w:val="left" w:pos="709"/>
              </w:tabs>
              <w:spacing w:after="0" w:line="240" w:lineRule="auto"/>
              <w:rPr>
                <w:rFonts w:ascii="Calibri" w:hAnsi="Calibri" w:cs="Calibri"/>
                <w:b/>
                <w:bCs/>
              </w:rPr>
            </w:pPr>
            <w:r w:rsidRPr="001B277D">
              <w:rPr>
                <w:rFonts w:ascii="Calibri" w:hAnsi="Calibri" w:cs="Calibri"/>
                <w:b/>
                <w:bCs/>
              </w:rPr>
              <w:t>Dr James Callery</w:t>
            </w:r>
          </w:p>
          <w:p w14:paraId="51D53FA6" w14:textId="77777777" w:rsidR="004A41A4" w:rsidRPr="001B277D" w:rsidRDefault="004A41A4" w:rsidP="00657E5D">
            <w:pPr>
              <w:tabs>
                <w:tab w:val="left" w:pos="709"/>
              </w:tabs>
              <w:spacing w:after="0" w:line="240" w:lineRule="auto"/>
              <w:rPr>
                <w:rFonts w:ascii="Calibri" w:hAnsi="Calibri" w:cs="Calibri"/>
              </w:rPr>
            </w:pPr>
            <w:r w:rsidRPr="001B277D">
              <w:rPr>
                <w:rFonts w:ascii="Calibri" w:hAnsi="Calibri" w:cs="Calibri"/>
              </w:rPr>
              <w:t>Research Physician</w:t>
            </w:r>
          </w:p>
          <w:p w14:paraId="7CF7AC80" w14:textId="77777777" w:rsidR="004A41A4" w:rsidRDefault="004A41A4" w:rsidP="00657E5D">
            <w:pPr>
              <w:spacing w:after="0" w:line="240" w:lineRule="auto"/>
              <w:rPr>
                <w:rFonts w:ascii="Calibri" w:hAnsi="Calibri" w:cs="Calibri"/>
              </w:rPr>
            </w:pPr>
            <w:r w:rsidRPr="001B277D">
              <w:rPr>
                <w:rFonts w:ascii="Calibri" w:hAnsi="Calibri" w:cs="Calibri"/>
              </w:rPr>
              <w:t>Mahidol Oxford Tropical Medicine Research Unit, Faculty of Tropical Medicine, Mahidol University, Bangkok,Thailand</w:t>
            </w:r>
          </w:p>
          <w:p w14:paraId="44A1AB9A" w14:textId="77777777" w:rsidR="004A41A4" w:rsidRPr="001B277D" w:rsidRDefault="004A41A4" w:rsidP="00657E5D">
            <w:pPr>
              <w:spacing w:after="0" w:line="240" w:lineRule="auto"/>
              <w:rPr>
                <w:rFonts w:ascii="Calibri" w:hAnsi="Calibri" w:cs="Calibri"/>
              </w:rPr>
            </w:pPr>
          </w:p>
          <w:p w14:paraId="09410B97" w14:textId="77777777" w:rsidR="004A41A4" w:rsidRPr="001B277D" w:rsidRDefault="004A41A4" w:rsidP="00657E5D">
            <w:pPr>
              <w:tabs>
                <w:tab w:val="left" w:pos="4230"/>
              </w:tabs>
              <w:spacing w:after="0" w:line="240" w:lineRule="auto"/>
              <w:rPr>
                <w:rFonts w:ascii="Calibri" w:hAnsi="Calibri" w:cs="Calibri"/>
              </w:rPr>
            </w:pPr>
            <w:r w:rsidRPr="001B277D">
              <w:rPr>
                <w:rFonts w:ascii="Calibri" w:hAnsi="Calibri" w:cs="Calibri"/>
                <w:b/>
              </w:rPr>
              <w:t>Professor Nicholas PJ Day</w:t>
            </w:r>
            <w:r w:rsidRPr="001B277D">
              <w:rPr>
                <w:rFonts w:ascii="Calibri" w:hAnsi="Calibri" w:cs="Calibri"/>
              </w:rPr>
              <w:t xml:space="preserve"> </w:t>
            </w:r>
            <w:r w:rsidRPr="001B277D">
              <w:rPr>
                <w:rFonts w:ascii="Calibri" w:hAnsi="Calibri" w:cs="Calibri"/>
              </w:rPr>
              <w:tab/>
            </w:r>
          </w:p>
          <w:p w14:paraId="1F664EC3" w14:textId="77777777" w:rsidR="004A41A4" w:rsidRPr="001B277D" w:rsidRDefault="004A41A4" w:rsidP="00657E5D">
            <w:pPr>
              <w:spacing w:after="0" w:line="240" w:lineRule="auto"/>
              <w:rPr>
                <w:rFonts w:ascii="Calibri" w:hAnsi="Calibri" w:cs="Calibri"/>
              </w:rPr>
            </w:pPr>
            <w:r w:rsidRPr="001B277D">
              <w:rPr>
                <w:rFonts w:ascii="Calibri" w:hAnsi="Calibri" w:cs="Calibri"/>
              </w:rPr>
              <w:t>Director &amp; Consultant Physician</w:t>
            </w:r>
          </w:p>
          <w:p w14:paraId="32E85D71" w14:textId="77777777" w:rsidR="004A41A4" w:rsidRDefault="004A41A4" w:rsidP="00657E5D">
            <w:pPr>
              <w:spacing w:after="0" w:line="240" w:lineRule="auto"/>
              <w:rPr>
                <w:rFonts w:ascii="Calibri" w:hAnsi="Calibri" w:cs="Calibri"/>
              </w:rPr>
            </w:pPr>
            <w:r w:rsidRPr="001B277D">
              <w:rPr>
                <w:rFonts w:ascii="Calibri" w:hAnsi="Calibri" w:cs="Calibri"/>
              </w:rPr>
              <w:lastRenderedPageBreak/>
              <w:t>Mahidol Oxford Tropical Medicine Research Unit, Faculty of Tropical Medicine, Mahidol University, Bangkok,Thailand</w:t>
            </w:r>
          </w:p>
          <w:p w14:paraId="17558049" w14:textId="77777777" w:rsidR="004A41A4" w:rsidRDefault="004A41A4" w:rsidP="00657E5D">
            <w:pPr>
              <w:spacing w:after="0" w:line="240" w:lineRule="auto"/>
              <w:rPr>
                <w:rFonts w:ascii="Calibri" w:hAnsi="Calibri" w:cs="Calibri"/>
              </w:rPr>
            </w:pPr>
          </w:p>
          <w:p w14:paraId="462727E4" w14:textId="77777777" w:rsidR="004A41A4" w:rsidRPr="001B277D" w:rsidRDefault="004A41A4" w:rsidP="00657E5D">
            <w:pPr>
              <w:tabs>
                <w:tab w:val="left" w:pos="709"/>
              </w:tabs>
              <w:spacing w:after="0" w:line="240" w:lineRule="auto"/>
              <w:rPr>
                <w:rFonts w:ascii="Calibri" w:hAnsi="Calibri" w:cs="Calibri"/>
                <w:b/>
                <w:bCs/>
              </w:rPr>
            </w:pPr>
            <w:r w:rsidRPr="001B277D">
              <w:rPr>
                <w:rFonts w:ascii="Calibri" w:hAnsi="Calibri" w:cs="Calibri"/>
                <w:b/>
                <w:bCs/>
              </w:rPr>
              <w:t>Dr Walter RJ Taylor</w:t>
            </w:r>
          </w:p>
          <w:p w14:paraId="67323895" w14:textId="77777777" w:rsidR="004A41A4" w:rsidRPr="001B277D" w:rsidRDefault="004A41A4" w:rsidP="00657E5D">
            <w:pPr>
              <w:tabs>
                <w:tab w:val="left" w:pos="709"/>
              </w:tabs>
              <w:spacing w:after="0" w:line="240" w:lineRule="auto"/>
              <w:rPr>
                <w:rFonts w:ascii="Calibri" w:hAnsi="Calibri" w:cs="Calibri"/>
              </w:rPr>
            </w:pPr>
            <w:r w:rsidRPr="001B277D">
              <w:rPr>
                <w:rFonts w:ascii="Calibri" w:hAnsi="Calibri" w:cs="Calibri"/>
              </w:rPr>
              <w:t>Senior Clinical Researcher and Infectious Diseases Physician</w:t>
            </w:r>
          </w:p>
          <w:p w14:paraId="0CB19568" w14:textId="77777777" w:rsidR="004A41A4" w:rsidRPr="001B277D" w:rsidRDefault="004A41A4" w:rsidP="00657E5D">
            <w:pPr>
              <w:tabs>
                <w:tab w:val="left" w:pos="709"/>
              </w:tabs>
              <w:spacing w:after="0" w:line="240" w:lineRule="auto"/>
              <w:rPr>
                <w:rFonts w:ascii="Calibri" w:hAnsi="Calibri" w:cs="Calibri"/>
              </w:rPr>
            </w:pPr>
            <w:r w:rsidRPr="001B277D">
              <w:rPr>
                <w:rFonts w:ascii="Calibri" w:hAnsi="Calibri" w:cs="Calibri"/>
              </w:rPr>
              <w:t>Mahidol Oxford Tropical Medicine Research Unit, Faculty of Tropical Medicine, Mahidol University, Bangkok,Thailand</w:t>
            </w:r>
          </w:p>
          <w:p w14:paraId="13BD7221" w14:textId="77777777" w:rsidR="004A41A4" w:rsidRPr="001B277D" w:rsidRDefault="004A41A4" w:rsidP="00657E5D">
            <w:pPr>
              <w:spacing w:after="0" w:line="240" w:lineRule="auto"/>
              <w:rPr>
                <w:rFonts w:ascii="Calibri" w:hAnsi="Calibri" w:cs="Calibri"/>
              </w:rPr>
            </w:pPr>
          </w:p>
          <w:p w14:paraId="65D00A11" w14:textId="77777777" w:rsidR="004A41A4" w:rsidRPr="001B277D" w:rsidRDefault="004A41A4" w:rsidP="00657E5D">
            <w:pPr>
              <w:tabs>
                <w:tab w:val="left" w:pos="709"/>
              </w:tabs>
              <w:spacing w:after="0" w:line="240" w:lineRule="auto"/>
              <w:rPr>
                <w:rFonts w:ascii="Calibri" w:hAnsi="Calibri" w:cs="Calibri"/>
                <w:b/>
                <w:bCs/>
              </w:rPr>
            </w:pPr>
            <w:r w:rsidRPr="001B277D">
              <w:rPr>
                <w:rFonts w:ascii="Calibri" w:hAnsi="Calibri" w:cs="Calibri"/>
                <w:b/>
                <w:bCs/>
              </w:rPr>
              <w:t>Professor Arjen M Dondorp</w:t>
            </w:r>
          </w:p>
          <w:p w14:paraId="791F2336" w14:textId="77777777" w:rsidR="004A41A4" w:rsidRPr="001B277D" w:rsidRDefault="004A41A4" w:rsidP="00657E5D">
            <w:pPr>
              <w:tabs>
                <w:tab w:val="left" w:pos="709"/>
              </w:tabs>
              <w:spacing w:after="0" w:line="240" w:lineRule="auto"/>
              <w:rPr>
                <w:rFonts w:ascii="Calibri" w:hAnsi="Calibri" w:cs="Calibri"/>
              </w:rPr>
            </w:pPr>
            <w:r w:rsidRPr="001B277D">
              <w:rPr>
                <w:rFonts w:ascii="Calibri" w:hAnsi="Calibri" w:cs="Calibri"/>
              </w:rPr>
              <w:t>Deputy Director and Head of Malaria &amp; Critical Illness</w:t>
            </w:r>
          </w:p>
          <w:p w14:paraId="3A96C42E" w14:textId="77777777" w:rsidR="004A41A4" w:rsidRDefault="004A41A4" w:rsidP="00657E5D">
            <w:pPr>
              <w:tabs>
                <w:tab w:val="left" w:pos="709"/>
              </w:tabs>
              <w:spacing w:after="0" w:line="240" w:lineRule="auto"/>
              <w:rPr>
                <w:rFonts w:ascii="Calibri" w:hAnsi="Calibri" w:cs="Calibri"/>
              </w:rPr>
            </w:pPr>
            <w:r w:rsidRPr="001B277D">
              <w:rPr>
                <w:rFonts w:ascii="Calibri" w:hAnsi="Calibri" w:cs="Calibri"/>
              </w:rPr>
              <w:t>Mahidol Oxford Tropical Medicine Research Unit, Faculty of Tropical Medicine, Mahidol University, Bangkok,Thailand</w:t>
            </w:r>
          </w:p>
          <w:p w14:paraId="44F0F266" w14:textId="77777777" w:rsidR="004A41A4" w:rsidRDefault="004A41A4" w:rsidP="00657E5D">
            <w:pPr>
              <w:tabs>
                <w:tab w:val="left" w:pos="709"/>
              </w:tabs>
              <w:spacing w:after="0" w:line="240" w:lineRule="auto"/>
              <w:rPr>
                <w:rFonts w:ascii="Calibri" w:hAnsi="Calibri" w:cs="Calibri"/>
              </w:rPr>
            </w:pPr>
          </w:p>
          <w:p w14:paraId="6A901D27" w14:textId="77777777" w:rsidR="004A41A4" w:rsidRDefault="004A41A4" w:rsidP="00657E5D">
            <w:pPr>
              <w:tabs>
                <w:tab w:val="left" w:pos="709"/>
              </w:tabs>
              <w:spacing w:after="0" w:line="240" w:lineRule="auto"/>
              <w:rPr>
                <w:rFonts w:ascii="Calibri" w:hAnsi="Calibri" w:cs="Calibri"/>
                <w:b/>
                <w:bCs/>
              </w:rPr>
            </w:pPr>
            <w:r w:rsidRPr="00AC1007">
              <w:rPr>
                <w:rFonts w:ascii="Calibri" w:hAnsi="Calibri" w:cs="Calibri"/>
                <w:b/>
                <w:bCs/>
              </w:rPr>
              <w:t>Professor Mauro Teixeira</w:t>
            </w:r>
          </w:p>
          <w:p w14:paraId="35BB42CD" w14:textId="77777777" w:rsidR="004A41A4" w:rsidRPr="006B3373" w:rsidRDefault="004A41A4" w:rsidP="00657E5D">
            <w:pPr>
              <w:tabs>
                <w:tab w:val="left" w:pos="709"/>
              </w:tabs>
              <w:spacing w:after="0" w:line="240" w:lineRule="auto"/>
              <w:rPr>
                <w:rFonts w:ascii="Calibri" w:hAnsi="Calibri" w:cs="Calibri"/>
              </w:rPr>
            </w:pPr>
            <w:r w:rsidRPr="006B3373">
              <w:rPr>
                <w:rFonts w:ascii="Calibri" w:hAnsi="Calibri" w:cs="Calibri"/>
              </w:rPr>
              <w:t xml:space="preserve">Professor of Immunology </w:t>
            </w:r>
          </w:p>
          <w:p w14:paraId="6BFE7FF2" w14:textId="77777777" w:rsidR="004A41A4" w:rsidRPr="003B59B4" w:rsidRDefault="004A41A4" w:rsidP="00657E5D">
            <w:pPr>
              <w:tabs>
                <w:tab w:val="left" w:pos="709"/>
              </w:tabs>
              <w:spacing w:after="0" w:line="240" w:lineRule="auto"/>
              <w:rPr>
                <w:rFonts w:ascii="Calibri" w:hAnsi="Calibri" w:cs="Calibri"/>
              </w:rPr>
            </w:pPr>
            <w:r w:rsidRPr="003B59B4">
              <w:rPr>
                <w:rFonts w:ascii="Calibri" w:hAnsi="Calibri" w:cs="Calibri"/>
              </w:rPr>
              <w:t>Unidade de Pesquisa Clínica,</w:t>
            </w:r>
          </w:p>
          <w:p w14:paraId="1D7F6013" w14:textId="77777777" w:rsidR="004A41A4" w:rsidRPr="003B59B4" w:rsidRDefault="004A41A4" w:rsidP="00657E5D">
            <w:pPr>
              <w:tabs>
                <w:tab w:val="left" w:pos="709"/>
              </w:tabs>
              <w:spacing w:after="0" w:line="240" w:lineRule="auto"/>
              <w:rPr>
                <w:rFonts w:ascii="Calibri" w:hAnsi="Calibri" w:cs="Calibri"/>
              </w:rPr>
            </w:pPr>
            <w:r w:rsidRPr="003B59B4">
              <w:rPr>
                <w:rFonts w:ascii="Calibri" w:hAnsi="Calibri" w:cs="Calibri"/>
              </w:rPr>
              <w:t>Centro de Terapias Avançadas e Inovadoras</w:t>
            </w:r>
          </w:p>
          <w:p w14:paraId="3A9587CD" w14:textId="77777777" w:rsidR="004A41A4" w:rsidRPr="003B59B4" w:rsidRDefault="004A41A4" w:rsidP="00657E5D">
            <w:pPr>
              <w:tabs>
                <w:tab w:val="left" w:pos="709"/>
              </w:tabs>
              <w:spacing w:after="0" w:line="240" w:lineRule="auto"/>
              <w:rPr>
                <w:rFonts w:ascii="Calibri" w:hAnsi="Calibri" w:cs="Calibri"/>
              </w:rPr>
            </w:pPr>
            <w:r w:rsidRPr="003B59B4">
              <w:rPr>
                <w:rFonts w:ascii="Calibri" w:hAnsi="Calibri" w:cs="Calibri"/>
              </w:rPr>
              <w:t xml:space="preserve">Universidade Federal de Minas Gerais, </w:t>
            </w:r>
          </w:p>
          <w:p w14:paraId="1587A794" w14:textId="77777777" w:rsidR="004A41A4" w:rsidRPr="003B59B4" w:rsidRDefault="004A41A4" w:rsidP="00657E5D">
            <w:pPr>
              <w:tabs>
                <w:tab w:val="left" w:pos="709"/>
              </w:tabs>
              <w:spacing w:after="0" w:line="240" w:lineRule="auto"/>
              <w:rPr>
                <w:rFonts w:ascii="Calibri" w:hAnsi="Calibri" w:cs="Calibri"/>
              </w:rPr>
            </w:pPr>
            <w:r w:rsidRPr="003B59B4">
              <w:rPr>
                <w:rFonts w:ascii="Calibri" w:hAnsi="Calibri" w:cs="Calibri"/>
              </w:rPr>
              <w:t>Belo Horizonte, MG, Brasil</w:t>
            </w:r>
          </w:p>
          <w:p w14:paraId="1034A605" w14:textId="77777777" w:rsidR="004A41A4" w:rsidRDefault="004A41A4" w:rsidP="00657E5D">
            <w:pPr>
              <w:tabs>
                <w:tab w:val="left" w:pos="709"/>
              </w:tabs>
              <w:spacing w:after="0" w:line="240" w:lineRule="auto"/>
              <w:rPr>
                <w:rFonts w:ascii="Calibri" w:hAnsi="Calibri" w:cs="Calibri"/>
              </w:rPr>
            </w:pPr>
          </w:p>
          <w:p w14:paraId="4ED1CBB5" w14:textId="77777777" w:rsidR="004A41A4" w:rsidRDefault="004A41A4" w:rsidP="00657E5D">
            <w:pPr>
              <w:tabs>
                <w:tab w:val="left" w:pos="709"/>
              </w:tabs>
              <w:spacing w:after="0" w:line="240" w:lineRule="auto"/>
              <w:rPr>
                <w:rFonts w:ascii="Calibri" w:hAnsi="Calibri" w:cs="Calibri"/>
                <w:b/>
                <w:bCs/>
              </w:rPr>
            </w:pPr>
            <w:r w:rsidRPr="00AC1007">
              <w:rPr>
                <w:rFonts w:ascii="Calibri" w:hAnsi="Calibri" w:cs="Calibri"/>
                <w:b/>
                <w:bCs/>
              </w:rPr>
              <w:t>Assoc. Prof. Weerapong Phumratanaprapin</w:t>
            </w:r>
          </w:p>
          <w:p w14:paraId="6180B9F1" w14:textId="77777777" w:rsidR="004A41A4" w:rsidRPr="00F249A1" w:rsidRDefault="004A41A4" w:rsidP="00657E5D">
            <w:pPr>
              <w:tabs>
                <w:tab w:val="left" w:pos="709"/>
              </w:tabs>
              <w:spacing w:after="0" w:line="240" w:lineRule="auto"/>
              <w:rPr>
                <w:rFonts w:ascii="Calibri" w:hAnsi="Calibri" w:cs="Calibri"/>
              </w:rPr>
            </w:pPr>
            <w:r>
              <w:rPr>
                <w:rFonts w:ascii="Calibri" w:hAnsi="Calibri" w:cs="Calibri"/>
              </w:rPr>
              <w:t>Dean of Faculty of Tropical Medicine, Mahidol University</w:t>
            </w:r>
          </w:p>
          <w:p w14:paraId="226A2E91" w14:textId="77777777" w:rsidR="004A41A4" w:rsidRPr="008C5B2B" w:rsidRDefault="004A41A4" w:rsidP="00657E5D">
            <w:pPr>
              <w:tabs>
                <w:tab w:val="left" w:pos="709"/>
              </w:tabs>
              <w:spacing w:after="0" w:line="240" w:lineRule="auto"/>
              <w:rPr>
                <w:rFonts w:ascii="Calibri" w:hAnsi="Calibri" w:cs="Calibri"/>
              </w:rPr>
            </w:pPr>
            <w:r w:rsidRPr="008C5B2B">
              <w:rPr>
                <w:rFonts w:ascii="Calibri" w:hAnsi="Calibri" w:cs="Calibri"/>
              </w:rPr>
              <w:t xml:space="preserve">Department of Clinical Tropical Medicine </w:t>
            </w:r>
          </w:p>
          <w:p w14:paraId="5E89263F" w14:textId="77777777" w:rsidR="004A41A4" w:rsidRDefault="004A41A4" w:rsidP="00657E5D">
            <w:pPr>
              <w:tabs>
                <w:tab w:val="left" w:pos="709"/>
              </w:tabs>
              <w:spacing w:after="0" w:line="240" w:lineRule="auto"/>
              <w:rPr>
                <w:rFonts w:ascii="Calibri" w:hAnsi="Calibri" w:cs="Calibri"/>
              </w:rPr>
            </w:pPr>
            <w:r w:rsidRPr="008C5B2B">
              <w:rPr>
                <w:rFonts w:ascii="Calibri" w:hAnsi="Calibri" w:cs="Calibri"/>
              </w:rPr>
              <w:t>Faculty of Tropical Medicine, Mahidol University</w:t>
            </w:r>
            <w:r>
              <w:rPr>
                <w:rFonts w:ascii="Calibri" w:hAnsi="Calibri" w:cs="Calibri"/>
              </w:rPr>
              <w:t xml:space="preserve">, </w:t>
            </w:r>
            <w:r w:rsidRPr="008C5B2B">
              <w:rPr>
                <w:rFonts w:ascii="Calibri" w:hAnsi="Calibri" w:cs="Calibri"/>
              </w:rPr>
              <w:t>Bangkok</w:t>
            </w:r>
            <w:r>
              <w:rPr>
                <w:rFonts w:ascii="Calibri" w:hAnsi="Calibri" w:cs="Calibri"/>
              </w:rPr>
              <w:t xml:space="preserve">, </w:t>
            </w:r>
            <w:r w:rsidRPr="008C5B2B">
              <w:rPr>
                <w:rFonts w:ascii="Calibri" w:hAnsi="Calibri" w:cs="Calibri"/>
              </w:rPr>
              <w:t>Thailand</w:t>
            </w:r>
          </w:p>
          <w:p w14:paraId="4E8D3A38" w14:textId="77777777" w:rsidR="004A41A4" w:rsidRPr="001B277D" w:rsidRDefault="004A41A4" w:rsidP="00657E5D">
            <w:pPr>
              <w:spacing w:after="0" w:line="240" w:lineRule="auto"/>
              <w:rPr>
                <w:rFonts w:ascii="Calibri" w:hAnsi="Calibri" w:cs="Calibri"/>
              </w:rPr>
            </w:pPr>
          </w:p>
        </w:tc>
      </w:tr>
      <w:tr w:rsidR="004A41A4" w:rsidRPr="00D23D22" w14:paraId="7594D744" w14:textId="77777777" w:rsidTr="00657E5D">
        <w:tc>
          <w:tcPr>
            <w:tcW w:w="2610" w:type="dxa"/>
          </w:tcPr>
          <w:p w14:paraId="4F972E0A" w14:textId="77777777" w:rsidR="004A41A4" w:rsidRPr="00D23D22" w:rsidRDefault="004A41A4" w:rsidP="004A41A4">
            <w:pPr>
              <w:spacing w:after="200" w:line="276" w:lineRule="auto"/>
              <w:rPr>
                <w:rFonts w:ascii="Calibri" w:eastAsia="Calibri" w:hAnsi="Calibri" w:cs="Calibri"/>
                <w:b/>
                <w:bCs/>
                <w:lang w:val="en-GB"/>
              </w:rPr>
            </w:pPr>
            <w:r w:rsidRPr="00D23D22">
              <w:rPr>
                <w:rFonts w:ascii="Calibri" w:eastAsia="Calibri" w:hAnsi="Calibri" w:cs="Calibri"/>
                <w:b/>
                <w:bCs/>
                <w:lang w:val="en-GB"/>
              </w:rPr>
              <w:lastRenderedPageBreak/>
              <w:t xml:space="preserve">Sponsor: </w:t>
            </w:r>
          </w:p>
        </w:tc>
        <w:tc>
          <w:tcPr>
            <w:tcW w:w="7290" w:type="dxa"/>
          </w:tcPr>
          <w:p w14:paraId="75CE11DE" w14:textId="77777777" w:rsidR="004A41A4" w:rsidRPr="0008485F" w:rsidRDefault="004A41A4" w:rsidP="00657E5D">
            <w:pPr>
              <w:tabs>
                <w:tab w:val="left" w:pos="709"/>
              </w:tabs>
              <w:spacing w:after="0" w:line="240" w:lineRule="auto"/>
              <w:rPr>
                <w:rFonts w:ascii="Calibri" w:hAnsi="Calibri" w:cs="Calibri"/>
              </w:rPr>
            </w:pPr>
            <w:r w:rsidRPr="0008485F">
              <w:rPr>
                <w:rFonts w:ascii="Calibri" w:hAnsi="Calibri" w:cs="Calibri"/>
              </w:rPr>
              <w:t>The University of Oxford</w:t>
            </w:r>
          </w:p>
          <w:p w14:paraId="7D90627D" w14:textId="77777777" w:rsidR="004A41A4" w:rsidRDefault="004A41A4" w:rsidP="00657E5D">
            <w:pPr>
              <w:tabs>
                <w:tab w:val="left" w:pos="709"/>
              </w:tabs>
              <w:spacing w:after="0" w:line="240" w:lineRule="auto"/>
              <w:rPr>
                <w:rFonts w:ascii="Calibri" w:eastAsia="Calibri" w:hAnsi="Calibri" w:cs="Calibri"/>
                <w:bCs/>
                <w:color w:val="000000"/>
                <w:spacing w:val="-3"/>
              </w:rPr>
            </w:pPr>
            <w:r w:rsidRPr="0008485F">
              <w:rPr>
                <w:rFonts w:ascii="Calibri" w:eastAsia="Calibri" w:hAnsi="Calibri" w:cs="Calibri"/>
                <w:bCs/>
                <w:color w:val="000000"/>
                <w:spacing w:val="-3"/>
              </w:rPr>
              <w:t>Research Governance, Ethics and Assurance, Boundary Brook House, Churchill Drive, Oxford OX3 7GB United Kingdom</w:t>
            </w:r>
          </w:p>
          <w:p w14:paraId="271F4488" w14:textId="77777777" w:rsidR="004A41A4" w:rsidRPr="0008485F" w:rsidRDefault="004A41A4" w:rsidP="00657E5D">
            <w:pPr>
              <w:tabs>
                <w:tab w:val="left" w:pos="709"/>
              </w:tabs>
              <w:spacing w:after="0" w:line="240" w:lineRule="auto"/>
              <w:rPr>
                <w:rFonts w:ascii="Calibri" w:eastAsia="Calibri" w:hAnsi="Calibri" w:cs="Calibri"/>
                <w:bCs/>
                <w:spacing w:val="-3"/>
              </w:rPr>
            </w:pPr>
          </w:p>
        </w:tc>
      </w:tr>
      <w:tr w:rsidR="001B7DFA" w:rsidRPr="001C0C4B" w14:paraId="60076120" w14:textId="77777777" w:rsidTr="00A92487">
        <w:tblPrEx>
          <w:tblLook w:val="04A0" w:firstRow="1" w:lastRow="0" w:firstColumn="1" w:lastColumn="0" w:noHBand="0" w:noVBand="1"/>
        </w:tblPrEx>
        <w:tc>
          <w:tcPr>
            <w:tcW w:w="2610" w:type="dxa"/>
          </w:tcPr>
          <w:p w14:paraId="34064A0F" w14:textId="642FB460" w:rsidR="001B7DFA" w:rsidRPr="001C0C4B" w:rsidRDefault="001B7DFA" w:rsidP="001B7DFA">
            <w:pPr>
              <w:spacing w:after="0" w:line="240" w:lineRule="auto"/>
              <w:rPr>
                <w:rFonts w:ascii="Calibri" w:eastAsia="Calibri" w:hAnsi="Calibri" w:cs="Calibri"/>
                <w:b/>
                <w:bCs/>
                <w:lang w:val="en-GB"/>
              </w:rPr>
            </w:pPr>
            <w:r w:rsidRPr="001C0C4B">
              <w:rPr>
                <w:rFonts w:ascii="Calibri" w:eastAsia="Calibri" w:hAnsi="Calibri" w:cs="Calibri"/>
                <w:b/>
                <w:bCs/>
                <w:lang w:val="en-GB"/>
              </w:rPr>
              <w:t xml:space="preserve">Funder: </w:t>
            </w:r>
          </w:p>
        </w:tc>
        <w:tc>
          <w:tcPr>
            <w:tcW w:w="7290" w:type="dxa"/>
          </w:tcPr>
          <w:p w14:paraId="5AE00E6D" w14:textId="31F6B0FB" w:rsidR="00DF0650" w:rsidRDefault="00DF0650" w:rsidP="001B7DFA">
            <w:pPr>
              <w:tabs>
                <w:tab w:val="left" w:pos="709"/>
              </w:tabs>
              <w:spacing w:after="0" w:line="240" w:lineRule="auto"/>
              <w:rPr>
                <w:lang w:val="en-GB"/>
              </w:rPr>
            </w:pPr>
            <w:r w:rsidRPr="001C0C4B">
              <w:rPr>
                <w:lang w:val="en-GB"/>
              </w:rPr>
              <w:t>Wellcome Trust Grant ref: 223195/Z/21/Z through the COVID-19 Therapeutics Accelerator</w:t>
            </w:r>
          </w:p>
          <w:p w14:paraId="7053F5BE" w14:textId="3372EC4D" w:rsidR="0095736A" w:rsidRPr="001C0C4B" w:rsidRDefault="0095736A" w:rsidP="001B7DFA">
            <w:pPr>
              <w:tabs>
                <w:tab w:val="left" w:pos="709"/>
              </w:tabs>
              <w:spacing w:after="0" w:line="240" w:lineRule="auto"/>
              <w:rPr>
                <w:rFonts w:ascii="Calibri" w:hAnsi="Calibri" w:cs="Calibri"/>
              </w:rPr>
            </w:pPr>
          </w:p>
        </w:tc>
      </w:tr>
    </w:tbl>
    <w:p w14:paraId="40C8A746" w14:textId="77777777" w:rsidR="00A92487" w:rsidRPr="001C0C4B" w:rsidRDefault="00A92487" w:rsidP="00A92487">
      <w:pPr>
        <w:rPr>
          <w:rFonts w:ascii="Calibri" w:hAnsi="Calibri" w:cs="Cordia New"/>
          <w:b/>
          <w:bCs/>
          <w:lang w:bidi="th-TH"/>
        </w:rPr>
      </w:pPr>
    </w:p>
    <w:p w14:paraId="6CC5F9E0" w14:textId="77777777" w:rsidR="00A92487" w:rsidRPr="001C0C4B" w:rsidRDefault="00A92487" w:rsidP="00A92487">
      <w:pPr>
        <w:rPr>
          <w:rFonts w:ascii="Calibri" w:hAnsi="Calibri" w:cs="Calibri"/>
          <w:b/>
          <w:bCs/>
          <w:lang w:bidi="th-TH"/>
        </w:rPr>
      </w:pPr>
      <w:r w:rsidRPr="001C0C4B">
        <w:rPr>
          <w:rFonts w:ascii="Calibri" w:hAnsi="Calibri" w:cs="Calibri"/>
          <w:b/>
          <w:bCs/>
          <w:lang w:bidi="th-TH"/>
        </w:rPr>
        <w:t>Investigators’ contributions:</w:t>
      </w:r>
    </w:p>
    <w:p w14:paraId="020FF13A" w14:textId="26D6D671" w:rsidR="00A92487" w:rsidRPr="001C0C4B" w:rsidRDefault="00A92487" w:rsidP="00A92487">
      <w:pPr>
        <w:pStyle w:val="CommentText"/>
      </w:pPr>
      <w:r w:rsidRPr="001C0C4B">
        <w:rPr>
          <w:rFonts w:eastAsia="Times New Roman" w:cstheme="minorHAnsi"/>
          <w:i/>
          <w:iCs/>
        </w:rPr>
        <w:t>NJW</w:t>
      </w:r>
      <w:r w:rsidRPr="001C0C4B">
        <w:rPr>
          <w:rFonts w:eastAsia="Times New Roman" w:cstheme="minorHAnsi"/>
        </w:rPr>
        <w:t xml:space="preserve"> conceived of the study and initiated the study design with other investigators. </w:t>
      </w:r>
      <w:r w:rsidR="0067727E" w:rsidRPr="00D23D22">
        <w:rPr>
          <w:rFonts w:eastAsia="Times New Roman" w:cstheme="minorHAnsi"/>
        </w:rPr>
        <w:t xml:space="preserve">WS, JW, </w:t>
      </w:r>
      <w:r w:rsidR="000E6662" w:rsidRPr="00D23D22">
        <w:rPr>
          <w:rFonts w:eastAsia="Times New Roman" w:cstheme="minorHAnsi"/>
        </w:rPr>
        <w:t xml:space="preserve">CC, JC, NPJD, WRJT, and AMD supported development of protocol and implementation. </w:t>
      </w:r>
      <w:r w:rsidR="000E6662" w:rsidRPr="00D23D22">
        <w:rPr>
          <w:rFonts w:eastAsia="Times New Roman" w:cstheme="minorHAnsi"/>
          <w:iCs/>
        </w:rPr>
        <w:t>JW</w:t>
      </w:r>
      <w:r w:rsidR="000E6662" w:rsidRPr="00D23D22">
        <w:rPr>
          <w:rFonts w:eastAsia="Times New Roman" w:cstheme="minorHAnsi"/>
        </w:rPr>
        <w:t xml:space="preserve"> provided statistical expertise in clinical study design. </w:t>
      </w:r>
    </w:p>
    <w:p w14:paraId="38A5F272" w14:textId="2EA7A4ED" w:rsidR="00A92487" w:rsidRDefault="00A92487" w:rsidP="00A92487">
      <w:pPr>
        <w:rPr>
          <w:rFonts w:ascii="Calibri" w:hAnsi="Calibri" w:cs="Calibri"/>
          <w:b/>
          <w:bCs/>
        </w:rPr>
      </w:pPr>
    </w:p>
    <w:p w14:paraId="706ED6CF" w14:textId="18557152" w:rsidR="0095736A" w:rsidRDefault="0095736A" w:rsidP="00A92487">
      <w:pPr>
        <w:rPr>
          <w:rFonts w:ascii="Calibri" w:hAnsi="Calibri" w:cs="Calibri"/>
          <w:b/>
          <w:bCs/>
        </w:rPr>
      </w:pPr>
    </w:p>
    <w:p w14:paraId="20E90373" w14:textId="40660A07" w:rsidR="0095736A" w:rsidRDefault="0095736A" w:rsidP="00A92487">
      <w:pPr>
        <w:rPr>
          <w:rFonts w:ascii="Calibri" w:hAnsi="Calibri" w:cs="Calibri"/>
          <w:b/>
          <w:bCs/>
        </w:rPr>
      </w:pPr>
    </w:p>
    <w:p w14:paraId="259B7846" w14:textId="3E276251" w:rsidR="0095736A" w:rsidRDefault="0095736A" w:rsidP="00A92487">
      <w:pPr>
        <w:rPr>
          <w:rFonts w:ascii="Calibri" w:hAnsi="Calibri" w:cs="Calibri"/>
          <w:b/>
          <w:bCs/>
        </w:rPr>
      </w:pPr>
    </w:p>
    <w:p w14:paraId="07F380B7" w14:textId="67C268C2" w:rsidR="0095736A" w:rsidRDefault="0095736A" w:rsidP="00A92487">
      <w:pPr>
        <w:rPr>
          <w:rFonts w:ascii="Calibri" w:hAnsi="Calibri" w:cs="Calibri"/>
          <w:b/>
          <w:bCs/>
        </w:rPr>
      </w:pPr>
    </w:p>
    <w:p w14:paraId="2839DAE8" w14:textId="062913F9" w:rsidR="0095736A" w:rsidRDefault="0095736A" w:rsidP="00A92487">
      <w:pPr>
        <w:rPr>
          <w:rFonts w:ascii="Calibri" w:hAnsi="Calibri" w:cs="Calibri"/>
          <w:b/>
          <w:bCs/>
        </w:rPr>
      </w:pPr>
    </w:p>
    <w:p w14:paraId="70EFF186" w14:textId="4A61F43D" w:rsidR="0095736A" w:rsidRDefault="0095736A" w:rsidP="00A92487">
      <w:pPr>
        <w:rPr>
          <w:rFonts w:ascii="Calibri" w:hAnsi="Calibri" w:cs="Calibri"/>
          <w:b/>
          <w:bCs/>
        </w:rPr>
      </w:pPr>
    </w:p>
    <w:p w14:paraId="2AE3AB38" w14:textId="77777777" w:rsidR="0095736A" w:rsidRPr="001C0C4B" w:rsidRDefault="0095736A" w:rsidP="00A92487">
      <w:pPr>
        <w:rPr>
          <w:rFonts w:ascii="Calibri" w:hAnsi="Calibri" w:cs="Calibri"/>
          <w:b/>
          <w:bCs/>
        </w:rPr>
      </w:pPr>
    </w:p>
    <w:p w14:paraId="5152D7FB" w14:textId="77777777" w:rsidR="00A92487" w:rsidRPr="001C0C4B" w:rsidRDefault="00A92487" w:rsidP="00A92487">
      <w:pPr>
        <w:rPr>
          <w:rFonts w:ascii="Calibri" w:hAnsi="Calibri" w:cs="Calibri"/>
          <w:b/>
          <w:bCs/>
        </w:rPr>
      </w:pPr>
      <w:r w:rsidRPr="001C0C4B">
        <w:rPr>
          <w:rFonts w:ascii="Calibri" w:hAnsi="Calibri" w:cs="Calibri"/>
          <w:b/>
          <w:bCs/>
        </w:rPr>
        <w:lastRenderedPageBreak/>
        <w:t>Confidentiality Statement</w:t>
      </w:r>
    </w:p>
    <w:p w14:paraId="72349D7C" w14:textId="77777777" w:rsidR="00A92487" w:rsidRPr="001C0C4B" w:rsidRDefault="00A92487" w:rsidP="00A92487">
      <w:pPr>
        <w:rPr>
          <w:rFonts w:ascii="Calibri" w:hAnsi="Calibri" w:cs="Calibri"/>
        </w:rPr>
      </w:pPr>
      <w:r w:rsidRPr="001C0C4B">
        <w:rPr>
          <w:rFonts w:ascii="Calibri" w:hAnsi="Calibri" w:cs="Calibri"/>
        </w:rPr>
        <w:t>This document contains confidential information that must not be disclosed to anyone other than the Sponsor, the Investigator Team, host organisation, and members of the Research Ethics Committee and Regulatory Authorities unless authorised to do so.</w:t>
      </w:r>
    </w:p>
    <w:p w14:paraId="678A8E10" w14:textId="77777777" w:rsidR="00A92487" w:rsidRPr="001C0C4B" w:rsidRDefault="00A92487" w:rsidP="00A92487">
      <w:pPr>
        <w:rPr>
          <w:rFonts w:ascii="Calibri" w:hAnsi="Calibri" w:cs="Calibri"/>
        </w:rPr>
      </w:pPr>
    </w:p>
    <w:p w14:paraId="4978EAEE" w14:textId="77777777" w:rsidR="00A92487" w:rsidRPr="001C0C4B" w:rsidRDefault="00A92487" w:rsidP="00A92487">
      <w:pPr>
        <w:rPr>
          <w:rFonts w:ascii="Calibri" w:hAnsi="Calibri" w:cs="Calibri"/>
          <w:b/>
        </w:rPr>
      </w:pPr>
      <w:r w:rsidRPr="001C0C4B">
        <w:rPr>
          <w:rFonts w:ascii="Calibri" w:hAnsi="Calibri" w:cs="Calibri"/>
          <w:b/>
        </w:rPr>
        <w:t>Investigator Agreement and Declaration of Interests</w:t>
      </w:r>
    </w:p>
    <w:p w14:paraId="3ED9949D" w14:textId="77777777" w:rsidR="00A92487" w:rsidRPr="001C0C4B" w:rsidRDefault="00A92487" w:rsidP="00A92487">
      <w:pPr>
        <w:jc w:val="both"/>
        <w:rPr>
          <w:rFonts w:ascii="Calibri" w:hAnsi="Calibri" w:cs="Calibri"/>
        </w:rPr>
      </w:pPr>
      <w:r w:rsidRPr="001C0C4B">
        <w:rPr>
          <w:rFonts w:ascii="Calibri" w:hAnsi="Calibri" w:cs="Calibri"/>
        </w:rPr>
        <w:t>“The undersigned has read and understood the trial protocol detailed above and:</w:t>
      </w:r>
    </w:p>
    <w:p w14:paraId="3C2710F2" w14:textId="77777777" w:rsidR="00A92487" w:rsidRPr="001C0C4B" w:rsidRDefault="00A92487" w:rsidP="00A92487">
      <w:pPr>
        <w:pStyle w:val="ListParagraph"/>
        <w:numPr>
          <w:ilvl w:val="0"/>
          <w:numId w:val="71"/>
        </w:numPr>
        <w:spacing w:after="200" w:line="240" w:lineRule="auto"/>
        <w:jc w:val="both"/>
        <w:rPr>
          <w:rFonts w:ascii="Calibri" w:hAnsi="Calibri" w:cs="Calibri"/>
        </w:rPr>
      </w:pPr>
      <w:r w:rsidRPr="001C0C4B">
        <w:rPr>
          <w:rFonts w:ascii="Calibri" w:hAnsi="Calibri" w:cs="Calibri"/>
        </w:rPr>
        <w:t xml:space="preserve"> agrees to conduct the trial in compliance with the protocol.</w:t>
      </w:r>
    </w:p>
    <w:p w14:paraId="41C1D973" w14:textId="77777777" w:rsidR="00A92487" w:rsidRPr="001C0C4B" w:rsidRDefault="00A92487" w:rsidP="00A92487">
      <w:pPr>
        <w:pStyle w:val="ListParagraph"/>
        <w:numPr>
          <w:ilvl w:val="0"/>
          <w:numId w:val="71"/>
        </w:numPr>
        <w:spacing w:after="200" w:line="240" w:lineRule="auto"/>
        <w:jc w:val="both"/>
        <w:rPr>
          <w:rFonts w:ascii="Calibri" w:hAnsi="Calibri" w:cs="Calibri"/>
        </w:rPr>
      </w:pPr>
      <w:r w:rsidRPr="001C0C4B">
        <w:rPr>
          <w:rFonts w:ascii="Calibri" w:hAnsi="Calibri" w:cs="Calibri"/>
        </w:rPr>
        <w:t xml:space="preserve"> agrees to comply with the principles of the International Conference on Harmonisation Tripartite Guideline on Good Clinical Practice.</w:t>
      </w:r>
    </w:p>
    <w:p w14:paraId="44BFD9D5" w14:textId="77777777" w:rsidR="00A92487" w:rsidRPr="001C0C4B" w:rsidRDefault="00A92487" w:rsidP="00A92487">
      <w:pPr>
        <w:pStyle w:val="CommentText"/>
        <w:rPr>
          <w:rFonts w:ascii="Calibri" w:hAnsi="Calibri" w:cs="Calibri"/>
          <w:sz w:val="22"/>
          <w:szCs w:val="22"/>
        </w:rPr>
      </w:pPr>
      <w:r w:rsidRPr="001C0C4B">
        <w:rPr>
          <w:rFonts w:ascii="Calibri" w:hAnsi="Calibri" w:cs="Calibri"/>
          <w:sz w:val="22"/>
          <w:szCs w:val="22"/>
        </w:rPr>
        <w:t>and declare no conflict of interest, according to the current version of the Declaration of Helsinki”</w:t>
      </w:r>
    </w:p>
    <w:p w14:paraId="24FFC16C" w14:textId="77777777" w:rsidR="00A92487" w:rsidRPr="001C0C4B" w:rsidRDefault="00A92487" w:rsidP="00A92487">
      <w:pPr>
        <w:rPr>
          <w:rFonts w:ascii="Calibri" w:hAnsi="Calibri" w:cs="Calibri"/>
          <w:b/>
          <w:bCs/>
        </w:rPr>
      </w:pPr>
    </w:p>
    <w:tbl>
      <w:tblPr>
        <w:tblW w:w="0" w:type="auto"/>
        <w:tblLayout w:type="fixed"/>
        <w:tblCellMar>
          <w:left w:w="0" w:type="dxa"/>
          <w:right w:w="0" w:type="dxa"/>
        </w:tblCellMar>
        <w:tblLook w:val="04A0" w:firstRow="1" w:lastRow="0" w:firstColumn="1" w:lastColumn="0" w:noHBand="0" w:noVBand="1"/>
      </w:tblPr>
      <w:tblGrid>
        <w:gridCol w:w="3120"/>
        <w:gridCol w:w="3080"/>
        <w:gridCol w:w="2440"/>
      </w:tblGrid>
      <w:tr w:rsidR="00A92487" w:rsidRPr="001C0C4B" w14:paraId="29D057E4" w14:textId="77777777" w:rsidTr="00A92487">
        <w:trPr>
          <w:trHeight w:val="281"/>
        </w:trPr>
        <w:tc>
          <w:tcPr>
            <w:tcW w:w="3120" w:type="dxa"/>
            <w:vAlign w:val="bottom"/>
            <w:hideMark/>
          </w:tcPr>
          <w:p w14:paraId="02AC1345" w14:textId="77777777" w:rsidR="00A92487" w:rsidRPr="001C0C4B" w:rsidRDefault="00A92487">
            <w:pPr>
              <w:spacing w:line="0" w:lineRule="atLeast"/>
              <w:rPr>
                <w:rFonts w:ascii="Calibri" w:hAnsi="Calibri" w:cs="Calibri"/>
              </w:rPr>
            </w:pPr>
            <w:r w:rsidRPr="001C0C4B">
              <w:rPr>
                <w:rFonts w:ascii="Calibri" w:hAnsi="Calibri" w:cs="Calibri"/>
              </w:rPr>
              <w:t xml:space="preserve">Dr William Schilling </w:t>
            </w:r>
          </w:p>
        </w:tc>
        <w:tc>
          <w:tcPr>
            <w:tcW w:w="3080" w:type="dxa"/>
            <w:vAlign w:val="bottom"/>
          </w:tcPr>
          <w:p w14:paraId="1E6BF90A" w14:textId="77777777" w:rsidR="00A92487" w:rsidRPr="001C0C4B" w:rsidRDefault="00A92487">
            <w:pPr>
              <w:spacing w:line="0" w:lineRule="atLeast"/>
              <w:ind w:right="167"/>
              <w:rPr>
                <w:rFonts w:ascii="Calibri" w:hAnsi="Calibri" w:cs="Calibri"/>
              </w:rPr>
            </w:pPr>
          </w:p>
          <w:p w14:paraId="2F3DA63D" w14:textId="294AD45C" w:rsidR="00A92487" w:rsidRPr="001C0C4B" w:rsidRDefault="008019B4">
            <w:pPr>
              <w:spacing w:line="0" w:lineRule="atLeast"/>
              <w:ind w:right="167"/>
              <w:rPr>
                <w:rFonts w:ascii="Calibri" w:hAnsi="Calibri" w:cs="Calibri"/>
              </w:rPr>
            </w:pPr>
            <w:r w:rsidRPr="00C03997">
              <w:rPr>
                <w:rFonts w:ascii="Calibri" w:hAnsi="Calibri" w:cs="Calibri"/>
                <w:noProof/>
                <w:lang w:bidi="th-TH"/>
              </w:rPr>
              <w:drawing>
                <wp:inline distT="0" distB="0" distL="0" distR="0" wp14:anchorId="23D2DC38" wp14:editId="6B571EDE">
                  <wp:extent cx="1047218" cy="266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5768" cy="274182"/>
                          </a:xfrm>
                          <a:prstGeom prst="rect">
                            <a:avLst/>
                          </a:prstGeom>
                        </pic:spPr>
                      </pic:pic>
                    </a:graphicData>
                  </a:graphic>
                </wp:inline>
              </w:drawing>
            </w:r>
          </w:p>
        </w:tc>
        <w:tc>
          <w:tcPr>
            <w:tcW w:w="2440" w:type="dxa"/>
            <w:vAlign w:val="bottom"/>
            <w:hideMark/>
          </w:tcPr>
          <w:p w14:paraId="6B1F4614" w14:textId="21DE8B16" w:rsidR="00A92487" w:rsidRPr="001C0C4B" w:rsidRDefault="00A92487" w:rsidP="007528C8">
            <w:pPr>
              <w:spacing w:line="0" w:lineRule="atLeast"/>
              <w:rPr>
                <w:rFonts w:ascii="Calibri" w:hAnsi="Calibri" w:cs="Calibri"/>
                <w:w w:val="99"/>
              </w:rPr>
            </w:pPr>
            <w:r w:rsidRPr="001C0C4B">
              <w:rPr>
                <w:rFonts w:ascii="Calibri" w:hAnsi="Calibri" w:cs="Calibri"/>
                <w:w w:val="99"/>
              </w:rPr>
              <w:t>…</w:t>
            </w:r>
            <w:r w:rsidR="009E6334">
              <w:rPr>
                <w:rFonts w:ascii="Calibri" w:hAnsi="Calibri" w:cs="Calibri"/>
                <w:w w:val="99"/>
              </w:rPr>
              <w:t>1</w:t>
            </w:r>
            <w:r w:rsidR="007528C8">
              <w:rPr>
                <w:rFonts w:ascii="Calibri" w:hAnsi="Calibri" w:cs="Calibri"/>
                <w:w w:val="99"/>
              </w:rPr>
              <w:t>7</w:t>
            </w:r>
            <w:r w:rsidR="008019B4" w:rsidRPr="001B277D">
              <w:rPr>
                <w:w w:val="99"/>
              </w:rPr>
              <w:t>/</w:t>
            </w:r>
            <w:r w:rsidR="008019B4" w:rsidRPr="00C03997">
              <w:rPr>
                <w:rFonts w:ascii="Calibri" w:hAnsi="Calibri" w:cs="Calibri"/>
                <w:w w:val="99"/>
              </w:rPr>
              <w:t>0</w:t>
            </w:r>
            <w:r w:rsidR="007528C8">
              <w:rPr>
                <w:rFonts w:ascii="Calibri" w:hAnsi="Calibri" w:cs="Calibri"/>
                <w:w w:val="99"/>
              </w:rPr>
              <w:t>8</w:t>
            </w:r>
            <w:r w:rsidRPr="001C0C4B">
              <w:rPr>
                <w:rFonts w:cstheme="minorHAnsi"/>
                <w:w w:val="99"/>
              </w:rPr>
              <w:t>/202</w:t>
            </w:r>
            <w:r w:rsidRPr="001C0C4B">
              <w:rPr>
                <w:rFonts w:cstheme="minorHAnsi"/>
                <w:w w:val="99"/>
                <w:cs/>
                <w:lang w:bidi="th-TH"/>
              </w:rPr>
              <w:t>2</w:t>
            </w:r>
            <w:r w:rsidRPr="001C0C4B">
              <w:rPr>
                <w:rFonts w:ascii="Calibri" w:hAnsi="Calibri" w:cs="Calibri"/>
                <w:w w:val="99"/>
              </w:rPr>
              <w:t>………</w:t>
            </w:r>
          </w:p>
        </w:tc>
      </w:tr>
      <w:tr w:rsidR="00A92487" w:rsidRPr="001C0C4B" w14:paraId="58E2FB99" w14:textId="77777777" w:rsidTr="00A92487">
        <w:trPr>
          <w:trHeight w:val="521"/>
        </w:trPr>
        <w:tc>
          <w:tcPr>
            <w:tcW w:w="3120" w:type="dxa"/>
            <w:vAlign w:val="bottom"/>
            <w:hideMark/>
          </w:tcPr>
          <w:p w14:paraId="38C88B96" w14:textId="77777777" w:rsidR="00A92487" w:rsidRPr="001C0C4B" w:rsidRDefault="00A92487">
            <w:pPr>
              <w:spacing w:line="0" w:lineRule="atLeast"/>
              <w:rPr>
                <w:rFonts w:ascii="Calibri" w:hAnsi="Calibri" w:cs="Calibri"/>
              </w:rPr>
            </w:pPr>
            <w:r w:rsidRPr="001C0C4B">
              <w:rPr>
                <w:rFonts w:ascii="Calibri" w:hAnsi="Calibri" w:cs="Calibri"/>
              </w:rPr>
              <w:t xml:space="preserve">Co-Principal Investigator </w:t>
            </w:r>
          </w:p>
        </w:tc>
        <w:tc>
          <w:tcPr>
            <w:tcW w:w="3080" w:type="dxa"/>
            <w:vAlign w:val="bottom"/>
            <w:hideMark/>
          </w:tcPr>
          <w:p w14:paraId="009FD775" w14:textId="77777777" w:rsidR="00A92487" w:rsidRPr="001C0C4B" w:rsidRDefault="00A92487">
            <w:pPr>
              <w:spacing w:line="0" w:lineRule="atLeast"/>
              <w:ind w:right="1127"/>
              <w:rPr>
                <w:rFonts w:ascii="Calibri" w:hAnsi="Calibri" w:cs="Calibri"/>
              </w:rPr>
            </w:pPr>
            <w:r w:rsidRPr="001C0C4B">
              <w:rPr>
                <w:rFonts w:ascii="Calibri" w:hAnsi="Calibri" w:cs="Calibri"/>
              </w:rPr>
              <w:t>Signature</w:t>
            </w:r>
          </w:p>
        </w:tc>
        <w:tc>
          <w:tcPr>
            <w:tcW w:w="2440" w:type="dxa"/>
            <w:vAlign w:val="bottom"/>
            <w:hideMark/>
          </w:tcPr>
          <w:p w14:paraId="0F194E71" w14:textId="77777777" w:rsidR="00A92487" w:rsidRPr="001C0C4B" w:rsidRDefault="00A92487">
            <w:pPr>
              <w:spacing w:line="0" w:lineRule="atLeast"/>
              <w:rPr>
                <w:rFonts w:ascii="Calibri" w:hAnsi="Calibri" w:cs="Calibri"/>
              </w:rPr>
            </w:pPr>
            <w:r w:rsidRPr="001C0C4B">
              <w:rPr>
                <w:rFonts w:ascii="Calibri" w:hAnsi="Calibri" w:cs="Calibri"/>
              </w:rPr>
              <w:t>Date</w:t>
            </w:r>
          </w:p>
        </w:tc>
      </w:tr>
    </w:tbl>
    <w:p w14:paraId="16DB0AEB" w14:textId="77777777" w:rsidR="00A92487" w:rsidRPr="001C0C4B" w:rsidRDefault="00A92487" w:rsidP="00A92487">
      <w:pPr>
        <w:rPr>
          <w:rFonts w:ascii="Calibri" w:hAnsi="Calibri" w:cs="Calibri"/>
          <w:b/>
          <w:bCs/>
          <w:lang w:val="en-GB"/>
        </w:rPr>
      </w:pPr>
    </w:p>
    <w:p w14:paraId="6C3E8B92" w14:textId="77777777" w:rsidR="00A92487" w:rsidRPr="001C0C4B" w:rsidRDefault="00A92487" w:rsidP="00A92487">
      <w:pPr>
        <w:rPr>
          <w:rFonts w:ascii="Calibri" w:hAnsi="Calibri" w:cs="Calibri"/>
          <w:b/>
          <w:bCs/>
        </w:rPr>
      </w:pPr>
    </w:p>
    <w:tbl>
      <w:tblPr>
        <w:tblW w:w="0" w:type="auto"/>
        <w:tblLayout w:type="fixed"/>
        <w:tblCellMar>
          <w:left w:w="0" w:type="dxa"/>
          <w:right w:w="0" w:type="dxa"/>
        </w:tblCellMar>
        <w:tblLook w:val="04A0" w:firstRow="1" w:lastRow="0" w:firstColumn="1" w:lastColumn="0" w:noHBand="0" w:noVBand="1"/>
      </w:tblPr>
      <w:tblGrid>
        <w:gridCol w:w="3120"/>
        <w:gridCol w:w="3080"/>
        <w:gridCol w:w="2440"/>
      </w:tblGrid>
      <w:tr w:rsidR="00A92487" w:rsidRPr="001C0C4B" w14:paraId="0BB3A029" w14:textId="77777777" w:rsidTr="00A92487">
        <w:trPr>
          <w:trHeight w:val="281"/>
        </w:trPr>
        <w:tc>
          <w:tcPr>
            <w:tcW w:w="3120" w:type="dxa"/>
            <w:vAlign w:val="bottom"/>
            <w:hideMark/>
          </w:tcPr>
          <w:p w14:paraId="367D54B4" w14:textId="77777777" w:rsidR="00A92487" w:rsidRPr="001C0C4B" w:rsidRDefault="00A92487">
            <w:pPr>
              <w:spacing w:line="0" w:lineRule="atLeast"/>
              <w:rPr>
                <w:rFonts w:ascii="Calibri" w:hAnsi="Calibri" w:cs="Calibri"/>
              </w:rPr>
            </w:pPr>
            <w:r w:rsidRPr="001C0C4B">
              <w:rPr>
                <w:rFonts w:ascii="Calibri" w:eastAsia="Calibri" w:hAnsi="Calibri" w:cs="Calibri"/>
                <w:lang w:val="en-GB"/>
              </w:rPr>
              <w:t>Professor Sir Nicholas J White</w:t>
            </w:r>
          </w:p>
        </w:tc>
        <w:tc>
          <w:tcPr>
            <w:tcW w:w="3080" w:type="dxa"/>
            <w:vAlign w:val="bottom"/>
            <w:hideMark/>
          </w:tcPr>
          <w:p w14:paraId="4FF1E95C" w14:textId="77777777" w:rsidR="00A0466F" w:rsidRPr="00C03997" w:rsidRDefault="00D425F4" w:rsidP="00571C1C">
            <w:pPr>
              <w:spacing w:line="0" w:lineRule="atLeast"/>
              <w:ind w:right="167"/>
              <w:rPr>
                <w:rFonts w:ascii="Calibri" w:hAnsi="Calibri" w:cs="Calibri"/>
              </w:rPr>
            </w:pPr>
            <w:r w:rsidRPr="00C03997">
              <w:rPr>
                <w:bCs/>
                <w:noProof/>
                <w:sz w:val="18"/>
                <w:lang w:bidi="th-TH"/>
              </w:rPr>
              <w:drawing>
                <wp:anchor distT="0" distB="0" distL="114300" distR="114300" simplePos="0" relativeHeight="251693068" behindDoc="0" locked="0" layoutInCell="1" allowOverlap="1" wp14:anchorId="0E9257C6" wp14:editId="1F3E093E">
                  <wp:simplePos x="0" y="0"/>
                  <wp:positionH relativeFrom="margin">
                    <wp:posOffset>66675</wp:posOffset>
                  </wp:positionH>
                  <wp:positionV relativeFrom="paragraph">
                    <wp:posOffset>18415</wp:posOffset>
                  </wp:positionV>
                  <wp:extent cx="1526540" cy="501015"/>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540" cy="501015"/>
                          </a:xfrm>
                          <a:prstGeom prst="rect">
                            <a:avLst/>
                          </a:prstGeom>
                          <a:noFill/>
                        </pic:spPr>
                      </pic:pic>
                    </a:graphicData>
                  </a:graphic>
                  <wp14:sizeRelH relativeFrom="page">
                    <wp14:pctWidth>0</wp14:pctWidth>
                  </wp14:sizeRelH>
                  <wp14:sizeRelV relativeFrom="page">
                    <wp14:pctHeight>0</wp14:pctHeight>
                  </wp14:sizeRelV>
                </wp:anchor>
              </w:drawing>
            </w:r>
          </w:p>
          <w:p w14:paraId="5C3C1043" w14:textId="6B09F815" w:rsidR="00A92487" w:rsidRPr="001C0C4B" w:rsidRDefault="00A92487">
            <w:pPr>
              <w:spacing w:line="0" w:lineRule="atLeast"/>
              <w:ind w:right="167"/>
              <w:rPr>
                <w:rFonts w:ascii="Calibri" w:hAnsi="Calibri" w:cs="Calibri"/>
              </w:rPr>
            </w:pPr>
          </w:p>
        </w:tc>
        <w:tc>
          <w:tcPr>
            <w:tcW w:w="2440" w:type="dxa"/>
            <w:vAlign w:val="bottom"/>
            <w:hideMark/>
          </w:tcPr>
          <w:p w14:paraId="0748B77B" w14:textId="3B555D17" w:rsidR="00A92487" w:rsidRPr="001C0C4B" w:rsidRDefault="00A92487" w:rsidP="007528C8">
            <w:pPr>
              <w:spacing w:line="0" w:lineRule="atLeast"/>
              <w:rPr>
                <w:rFonts w:ascii="Calibri" w:hAnsi="Calibri" w:cs="Calibri"/>
                <w:w w:val="99"/>
              </w:rPr>
            </w:pPr>
            <w:r w:rsidRPr="001C0C4B">
              <w:rPr>
                <w:rFonts w:ascii="Calibri" w:hAnsi="Calibri" w:cs="Calibri"/>
                <w:w w:val="99"/>
              </w:rPr>
              <w:t>…</w:t>
            </w:r>
            <w:r w:rsidR="009E6334">
              <w:rPr>
                <w:rFonts w:ascii="Calibri" w:hAnsi="Calibri" w:cs="Calibri"/>
                <w:w w:val="99"/>
              </w:rPr>
              <w:t>1</w:t>
            </w:r>
            <w:r w:rsidR="007528C8">
              <w:rPr>
                <w:rFonts w:ascii="Calibri" w:hAnsi="Calibri" w:cs="Calibri"/>
                <w:w w:val="99"/>
              </w:rPr>
              <w:t>7</w:t>
            </w:r>
            <w:r w:rsidR="00716C22" w:rsidRPr="001B277D">
              <w:rPr>
                <w:w w:val="99"/>
              </w:rPr>
              <w:t>/</w:t>
            </w:r>
            <w:r w:rsidR="00D425F4" w:rsidRPr="00C03997">
              <w:rPr>
                <w:rFonts w:ascii="Calibri" w:hAnsi="Calibri" w:cs="Calibri"/>
                <w:w w:val="99"/>
              </w:rPr>
              <w:t>0</w:t>
            </w:r>
            <w:r w:rsidR="007528C8">
              <w:rPr>
                <w:rFonts w:ascii="Calibri" w:hAnsi="Calibri" w:cs="Calibri"/>
                <w:w w:val="99"/>
              </w:rPr>
              <w:t>8</w:t>
            </w:r>
            <w:r w:rsidRPr="001C0C4B">
              <w:rPr>
                <w:rFonts w:cstheme="minorHAnsi"/>
                <w:w w:val="99"/>
              </w:rPr>
              <w:t>/202</w:t>
            </w:r>
            <w:r w:rsidRPr="001C0C4B">
              <w:rPr>
                <w:rFonts w:cstheme="minorHAnsi"/>
                <w:w w:val="99"/>
                <w:cs/>
                <w:lang w:bidi="th-TH"/>
              </w:rPr>
              <w:t>2</w:t>
            </w:r>
            <w:r w:rsidR="00150924" w:rsidRPr="00C03997">
              <w:rPr>
                <w:rFonts w:ascii="Calibri" w:hAnsi="Calibri" w:cs="Calibri"/>
                <w:w w:val="99"/>
              </w:rPr>
              <w:t>…………</w:t>
            </w:r>
          </w:p>
        </w:tc>
      </w:tr>
      <w:tr w:rsidR="00A92487" w:rsidRPr="001C0C4B" w14:paraId="0CF4C2EF" w14:textId="77777777" w:rsidTr="00A92487">
        <w:trPr>
          <w:trHeight w:val="521"/>
        </w:trPr>
        <w:tc>
          <w:tcPr>
            <w:tcW w:w="3120" w:type="dxa"/>
            <w:vAlign w:val="bottom"/>
            <w:hideMark/>
          </w:tcPr>
          <w:p w14:paraId="0513FA66" w14:textId="77777777" w:rsidR="00A92487" w:rsidRPr="001C0C4B" w:rsidRDefault="00A92487">
            <w:pPr>
              <w:spacing w:line="0" w:lineRule="atLeast"/>
              <w:rPr>
                <w:rFonts w:ascii="Calibri" w:hAnsi="Calibri" w:cs="Calibri"/>
              </w:rPr>
            </w:pPr>
            <w:r w:rsidRPr="001C0C4B">
              <w:rPr>
                <w:rFonts w:ascii="Calibri" w:hAnsi="Calibri" w:cs="Calibri"/>
              </w:rPr>
              <w:t>Co-Principal Investigator</w:t>
            </w:r>
          </w:p>
        </w:tc>
        <w:tc>
          <w:tcPr>
            <w:tcW w:w="3080" w:type="dxa"/>
            <w:vAlign w:val="bottom"/>
            <w:hideMark/>
          </w:tcPr>
          <w:p w14:paraId="6A79C2B1" w14:textId="77777777" w:rsidR="00A92487" w:rsidRPr="001C0C4B" w:rsidRDefault="00A92487">
            <w:pPr>
              <w:spacing w:line="0" w:lineRule="atLeast"/>
              <w:ind w:right="1127"/>
              <w:rPr>
                <w:rFonts w:ascii="Calibri" w:hAnsi="Calibri" w:cs="Calibri"/>
              </w:rPr>
            </w:pPr>
            <w:r w:rsidRPr="001C0C4B">
              <w:rPr>
                <w:rFonts w:ascii="Calibri" w:hAnsi="Calibri" w:cs="Calibri"/>
              </w:rPr>
              <w:t>Signature</w:t>
            </w:r>
          </w:p>
        </w:tc>
        <w:tc>
          <w:tcPr>
            <w:tcW w:w="2440" w:type="dxa"/>
            <w:vAlign w:val="bottom"/>
            <w:hideMark/>
          </w:tcPr>
          <w:p w14:paraId="5C2EDD83" w14:textId="77777777" w:rsidR="00A92487" w:rsidRPr="001C0C4B" w:rsidRDefault="00A92487">
            <w:pPr>
              <w:spacing w:line="0" w:lineRule="atLeast"/>
              <w:ind w:left="440"/>
              <w:rPr>
                <w:rFonts w:ascii="Calibri" w:hAnsi="Calibri" w:cs="Calibri"/>
              </w:rPr>
            </w:pPr>
            <w:r w:rsidRPr="001C0C4B">
              <w:rPr>
                <w:rFonts w:ascii="Calibri" w:hAnsi="Calibri" w:cs="Calibri"/>
              </w:rPr>
              <w:t>Date</w:t>
            </w:r>
          </w:p>
        </w:tc>
      </w:tr>
    </w:tbl>
    <w:p w14:paraId="22E7B98D" w14:textId="46B00098" w:rsidR="00E142CD" w:rsidRDefault="00E142CD" w:rsidP="002A0BB7">
      <w:pPr>
        <w:rPr>
          <w:rFonts w:ascii="Calibri" w:hAnsi="Calibri" w:cs="Calibri"/>
        </w:rPr>
      </w:pPr>
    </w:p>
    <w:p w14:paraId="6913A793" w14:textId="3F596217" w:rsidR="00392441" w:rsidRDefault="00392441" w:rsidP="002A0BB7">
      <w:pPr>
        <w:rPr>
          <w:rFonts w:ascii="Calibri" w:hAnsi="Calibri" w:cs="Calibri"/>
        </w:rPr>
      </w:pPr>
    </w:p>
    <w:p w14:paraId="6314E7D7" w14:textId="3F2AD4EB" w:rsidR="00392441" w:rsidRDefault="00392441" w:rsidP="002A0BB7">
      <w:pPr>
        <w:rPr>
          <w:rFonts w:ascii="Calibri" w:hAnsi="Calibri" w:cs="Calibri"/>
        </w:rPr>
      </w:pPr>
    </w:p>
    <w:p w14:paraId="69371462" w14:textId="5519F393" w:rsidR="00392441" w:rsidRDefault="00392441" w:rsidP="002A0BB7">
      <w:pPr>
        <w:rPr>
          <w:rFonts w:ascii="Calibri" w:hAnsi="Calibri" w:cs="Calibri"/>
        </w:rPr>
      </w:pPr>
    </w:p>
    <w:p w14:paraId="5FA2246B" w14:textId="3A910EB4" w:rsidR="00392441" w:rsidRDefault="00392441" w:rsidP="002A0BB7">
      <w:pPr>
        <w:rPr>
          <w:rFonts w:ascii="Calibri" w:hAnsi="Calibri" w:cs="Calibri"/>
        </w:rPr>
      </w:pPr>
    </w:p>
    <w:p w14:paraId="69EDEAF3" w14:textId="774C9D6A" w:rsidR="00392441" w:rsidRDefault="00392441" w:rsidP="002A0BB7">
      <w:pPr>
        <w:rPr>
          <w:rFonts w:ascii="Calibri" w:hAnsi="Calibri" w:cs="Calibri"/>
        </w:rPr>
      </w:pPr>
    </w:p>
    <w:p w14:paraId="513FF42D" w14:textId="14EC0E78" w:rsidR="00392441" w:rsidRDefault="00392441" w:rsidP="002A0BB7">
      <w:pPr>
        <w:rPr>
          <w:rFonts w:ascii="Calibri" w:hAnsi="Calibri" w:cs="Calibri"/>
        </w:rPr>
      </w:pPr>
    </w:p>
    <w:p w14:paraId="3EF3DB8C" w14:textId="7501DD16" w:rsidR="00392441" w:rsidRDefault="00392441" w:rsidP="002A0BB7">
      <w:pPr>
        <w:rPr>
          <w:rFonts w:ascii="Calibri" w:hAnsi="Calibri" w:cs="Calibri"/>
        </w:rPr>
      </w:pPr>
    </w:p>
    <w:p w14:paraId="638B8336" w14:textId="59FFC360" w:rsidR="00392441" w:rsidRDefault="00392441" w:rsidP="002A0BB7">
      <w:pPr>
        <w:rPr>
          <w:rFonts w:ascii="Calibri" w:hAnsi="Calibri" w:cs="Calibri"/>
        </w:rPr>
      </w:pPr>
    </w:p>
    <w:p w14:paraId="43F7228D" w14:textId="29A98378" w:rsidR="00392441" w:rsidRDefault="00392441" w:rsidP="002A0BB7">
      <w:pPr>
        <w:rPr>
          <w:rFonts w:ascii="Calibri" w:hAnsi="Calibri" w:cs="Calibri"/>
        </w:rPr>
      </w:pPr>
    </w:p>
    <w:p w14:paraId="672559C6" w14:textId="2342FB3D" w:rsidR="00392441" w:rsidRDefault="00392441" w:rsidP="002A0BB7">
      <w:pPr>
        <w:rPr>
          <w:rFonts w:ascii="Calibri" w:hAnsi="Calibri" w:cs="Calibri"/>
        </w:rPr>
      </w:pPr>
    </w:p>
    <w:p w14:paraId="5BAD14A5" w14:textId="6F45B739" w:rsidR="00392441" w:rsidRDefault="00392441" w:rsidP="002A0BB7">
      <w:pPr>
        <w:rPr>
          <w:rFonts w:ascii="Calibri" w:hAnsi="Calibri" w:cs="Calibri"/>
        </w:rPr>
      </w:pPr>
    </w:p>
    <w:sdt>
      <w:sdtPr>
        <w:rPr>
          <w:rFonts w:ascii="Calibri" w:eastAsiaTheme="minorHAnsi" w:hAnsi="Calibri" w:cs="Calibri"/>
          <w:b w:val="0"/>
          <w:bCs w:val="0"/>
          <w:color w:val="auto"/>
          <w:sz w:val="32"/>
          <w:szCs w:val="32"/>
        </w:rPr>
        <w:id w:val="1975247697"/>
        <w:docPartObj>
          <w:docPartGallery w:val="Table of Contents"/>
          <w:docPartUnique/>
        </w:docPartObj>
      </w:sdtPr>
      <w:sdtEndPr>
        <w:rPr>
          <w:rFonts w:ascii="Arial" w:hAnsi="Arial" w:cs="Arial"/>
          <w:noProof/>
          <w:sz w:val="20"/>
          <w:szCs w:val="20"/>
        </w:rPr>
      </w:sdtEndPr>
      <w:sdtContent>
        <w:p w14:paraId="20CC00E8" w14:textId="772AAA8E" w:rsidR="00A85EF6" w:rsidRPr="0084105B" w:rsidRDefault="00A85EF6" w:rsidP="002D1B0D">
          <w:pPr>
            <w:pStyle w:val="TOCHeading"/>
            <w:numPr>
              <w:ilvl w:val="0"/>
              <w:numId w:val="0"/>
            </w:numPr>
            <w:spacing w:before="0"/>
            <w:ind w:left="360" w:hanging="360"/>
            <w:rPr>
              <w:rFonts w:asciiTheme="minorHAnsi" w:hAnsiTheme="minorHAnsi" w:cstheme="minorHAnsi"/>
              <w:b w:val="0"/>
              <w:bCs w:val="0"/>
              <w:color w:val="auto"/>
              <w:sz w:val="22"/>
              <w:szCs w:val="22"/>
            </w:rPr>
          </w:pPr>
          <w:r w:rsidRPr="0084105B">
            <w:rPr>
              <w:rFonts w:asciiTheme="minorHAnsi" w:hAnsiTheme="minorHAnsi" w:cstheme="minorHAnsi"/>
              <w:b w:val="0"/>
              <w:bCs w:val="0"/>
              <w:color w:val="auto"/>
              <w:sz w:val="22"/>
              <w:szCs w:val="22"/>
            </w:rPr>
            <w:t>Table of Contents</w:t>
          </w:r>
        </w:p>
        <w:p w14:paraId="7EBE0CE6" w14:textId="1DEA59AF" w:rsidR="00D42808" w:rsidRDefault="00A85EF6">
          <w:pPr>
            <w:pStyle w:val="TOC1"/>
            <w:rPr>
              <w:rFonts w:eastAsiaTheme="minorEastAsia" w:cstheme="minorBidi"/>
              <w:b w:val="0"/>
              <w:bCs w:val="0"/>
              <w:i w:val="0"/>
              <w:iCs w:val="0"/>
              <w:noProof/>
              <w:sz w:val="22"/>
              <w:szCs w:val="28"/>
              <w:lang w:bidi="th-TH"/>
            </w:rPr>
          </w:pPr>
          <w:r w:rsidRPr="001C0C4B">
            <w:rPr>
              <w:rFonts w:ascii="Calibri" w:hAnsi="Calibri" w:cs="Calibri"/>
              <w:sz w:val="20"/>
              <w:szCs w:val="20"/>
            </w:rPr>
            <w:fldChar w:fldCharType="begin"/>
          </w:r>
          <w:r w:rsidRPr="001C0C4B">
            <w:rPr>
              <w:rFonts w:ascii="Calibri" w:hAnsi="Calibri" w:cs="Calibri"/>
              <w:sz w:val="20"/>
              <w:szCs w:val="20"/>
            </w:rPr>
            <w:instrText xml:space="preserve"> TOC \o "1-3" \h \z \u </w:instrText>
          </w:r>
          <w:r w:rsidRPr="001C0C4B">
            <w:rPr>
              <w:rFonts w:ascii="Calibri" w:hAnsi="Calibri" w:cs="Calibri"/>
              <w:sz w:val="20"/>
              <w:szCs w:val="20"/>
            </w:rPr>
            <w:fldChar w:fldCharType="separate"/>
          </w:r>
          <w:hyperlink w:anchor="_Toc112917612" w:history="1">
            <w:r w:rsidR="00D42808" w:rsidRPr="005427CC">
              <w:rPr>
                <w:rStyle w:val="Hyperlink"/>
                <w:rFonts w:ascii="Calibri" w:eastAsia="Times New Roman" w:hAnsi="Calibri" w:cs="Calibri"/>
                <w:noProof/>
                <w:lang w:val="en-GB" w:eastAsia="en-GB"/>
              </w:rPr>
              <w:t>1.</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SYNOPSIS</w:t>
            </w:r>
            <w:r w:rsidR="00D42808">
              <w:rPr>
                <w:noProof/>
                <w:webHidden/>
              </w:rPr>
              <w:tab/>
            </w:r>
            <w:r w:rsidR="00D42808">
              <w:rPr>
                <w:noProof/>
                <w:webHidden/>
              </w:rPr>
              <w:fldChar w:fldCharType="begin"/>
            </w:r>
            <w:r w:rsidR="00D42808">
              <w:rPr>
                <w:noProof/>
                <w:webHidden/>
              </w:rPr>
              <w:instrText xml:space="preserve"> PAGEREF _Toc112917612 \h </w:instrText>
            </w:r>
            <w:r w:rsidR="00D42808">
              <w:rPr>
                <w:noProof/>
                <w:webHidden/>
              </w:rPr>
            </w:r>
            <w:r w:rsidR="00D42808">
              <w:rPr>
                <w:noProof/>
                <w:webHidden/>
              </w:rPr>
              <w:fldChar w:fldCharType="separate"/>
            </w:r>
            <w:r w:rsidR="005D4773">
              <w:rPr>
                <w:noProof/>
                <w:webHidden/>
              </w:rPr>
              <w:t>7</w:t>
            </w:r>
            <w:r w:rsidR="00D42808">
              <w:rPr>
                <w:noProof/>
                <w:webHidden/>
              </w:rPr>
              <w:fldChar w:fldCharType="end"/>
            </w:r>
          </w:hyperlink>
        </w:p>
        <w:p w14:paraId="5C01C19F" w14:textId="502531D9" w:rsidR="00D42808" w:rsidRDefault="00000000">
          <w:pPr>
            <w:pStyle w:val="TOC1"/>
            <w:rPr>
              <w:rFonts w:eastAsiaTheme="minorEastAsia" w:cstheme="minorBidi"/>
              <w:b w:val="0"/>
              <w:bCs w:val="0"/>
              <w:i w:val="0"/>
              <w:iCs w:val="0"/>
              <w:noProof/>
              <w:sz w:val="22"/>
              <w:szCs w:val="28"/>
              <w:lang w:bidi="th-TH"/>
            </w:rPr>
          </w:pPr>
          <w:hyperlink w:anchor="_Toc112917613" w:history="1">
            <w:r w:rsidR="00D42808" w:rsidRPr="005427CC">
              <w:rPr>
                <w:rStyle w:val="Hyperlink"/>
                <w:noProof/>
                <w:lang w:val="en-GB"/>
              </w:rPr>
              <w:t>2.</w:t>
            </w:r>
            <w:r w:rsidR="00D42808">
              <w:rPr>
                <w:rFonts w:eastAsiaTheme="minorEastAsia" w:cstheme="minorBidi"/>
                <w:b w:val="0"/>
                <w:bCs w:val="0"/>
                <w:i w:val="0"/>
                <w:iCs w:val="0"/>
                <w:noProof/>
                <w:sz w:val="22"/>
                <w:szCs w:val="28"/>
                <w:lang w:bidi="th-TH"/>
              </w:rPr>
              <w:tab/>
            </w:r>
            <w:r w:rsidR="00D42808" w:rsidRPr="005427CC">
              <w:rPr>
                <w:rStyle w:val="Hyperlink"/>
                <w:noProof/>
                <w:lang w:val="en-GB"/>
              </w:rPr>
              <w:t>ABBREVIATION</w:t>
            </w:r>
            <w:r w:rsidR="00D42808">
              <w:rPr>
                <w:noProof/>
                <w:webHidden/>
              </w:rPr>
              <w:tab/>
            </w:r>
            <w:r w:rsidR="00D42808">
              <w:rPr>
                <w:noProof/>
                <w:webHidden/>
              </w:rPr>
              <w:fldChar w:fldCharType="begin"/>
            </w:r>
            <w:r w:rsidR="00D42808">
              <w:rPr>
                <w:noProof/>
                <w:webHidden/>
              </w:rPr>
              <w:instrText xml:space="preserve"> PAGEREF _Toc112917613 \h </w:instrText>
            </w:r>
            <w:r w:rsidR="00D42808">
              <w:rPr>
                <w:noProof/>
                <w:webHidden/>
              </w:rPr>
            </w:r>
            <w:r w:rsidR="00D42808">
              <w:rPr>
                <w:noProof/>
                <w:webHidden/>
              </w:rPr>
              <w:fldChar w:fldCharType="separate"/>
            </w:r>
            <w:r w:rsidR="005D4773">
              <w:rPr>
                <w:noProof/>
                <w:webHidden/>
              </w:rPr>
              <w:t>10</w:t>
            </w:r>
            <w:r w:rsidR="00D42808">
              <w:rPr>
                <w:noProof/>
                <w:webHidden/>
              </w:rPr>
              <w:fldChar w:fldCharType="end"/>
            </w:r>
          </w:hyperlink>
        </w:p>
        <w:p w14:paraId="4A6DEA85" w14:textId="2A5D5B7B" w:rsidR="00D42808" w:rsidRDefault="00000000">
          <w:pPr>
            <w:pStyle w:val="TOC1"/>
            <w:rPr>
              <w:rFonts w:eastAsiaTheme="minorEastAsia" w:cstheme="minorBidi"/>
              <w:b w:val="0"/>
              <w:bCs w:val="0"/>
              <w:i w:val="0"/>
              <w:iCs w:val="0"/>
              <w:noProof/>
              <w:sz w:val="22"/>
              <w:szCs w:val="28"/>
              <w:lang w:bidi="th-TH"/>
            </w:rPr>
          </w:pPr>
          <w:hyperlink w:anchor="_Toc112917614" w:history="1">
            <w:r w:rsidR="00D42808" w:rsidRPr="005427CC">
              <w:rPr>
                <w:rStyle w:val="Hyperlink"/>
                <w:rFonts w:ascii="Calibri" w:hAnsi="Calibri" w:cs="Calibri"/>
                <w:noProof/>
                <w:lang w:val="en-GB"/>
              </w:rPr>
              <w:t>3.</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BACKGROUND AND RATIONALE</w:t>
            </w:r>
            <w:r w:rsidR="00D42808">
              <w:rPr>
                <w:noProof/>
                <w:webHidden/>
              </w:rPr>
              <w:tab/>
            </w:r>
            <w:r w:rsidR="00D42808">
              <w:rPr>
                <w:noProof/>
                <w:webHidden/>
              </w:rPr>
              <w:fldChar w:fldCharType="begin"/>
            </w:r>
            <w:r w:rsidR="00D42808">
              <w:rPr>
                <w:noProof/>
                <w:webHidden/>
              </w:rPr>
              <w:instrText xml:space="preserve"> PAGEREF _Toc112917614 \h </w:instrText>
            </w:r>
            <w:r w:rsidR="00D42808">
              <w:rPr>
                <w:noProof/>
                <w:webHidden/>
              </w:rPr>
            </w:r>
            <w:r w:rsidR="00D42808">
              <w:rPr>
                <w:noProof/>
                <w:webHidden/>
              </w:rPr>
              <w:fldChar w:fldCharType="separate"/>
            </w:r>
            <w:r w:rsidR="005D4773">
              <w:rPr>
                <w:noProof/>
                <w:webHidden/>
              </w:rPr>
              <w:t>11</w:t>
            </w:r>
            <w:r w:rsidR="00D42808">
              <w:rPr>
                <w:noProof/>
                <w:webHidden/>
              </w:rPr>
              <w:fldChar w:fldCharType="end"/>
            </w:r>
          </w:hyperlink>
        </w:p>
        <w:p w14:paraId="75CAD085" w14:textId="2EA9815A" w:rsidR="00D42808" w:rsidRDefault="00000000">
          <w:pPr>
            <w:pStyle w:val="TOC2"/>
            <w:rPr>
              <w:rFonts w:eastAsiaTheme="minorEastAsia" w:cstheme="minorBidi"/>
              <w:b w:val="0"/>
              <w:bCs w:val="0"/>
              <w:noProof/>
              <w:szCs w:val="28"/>
              <w:lang w:bidi="th-TH"/>
            </w:rPr>
          </w:pPr>
          <w:hyperlink w:anchor="_Toc112917615" w:history="1">
            <w:r w:rsidR="00D42808" w:rsidRPr="005427CC">
              <w:rPr>
                <w:rStyle w:val="Hyperlink"/>
                <w:rFonts w:ascii="Calibri" w:hAnsi="Calibri" w:cs="Calibri"/>
                <w:noProof/>
              </w:rPr>
              <w:t>3.1.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Proposal</w:t>
            </w:r>
            <w:r w:rsidR="00D42808">
              <w:rPr>
                <w:noProof/>
                <w:webHidden/>
              </w:rPr>
              <w:tab/>
            </w:r>
            <w:r w:rsidR="00D42808">
              <w:rPr>
                <w:noProof/>
                <w:webHidden/>
              </w:rPr>
              <w:fldChar w:fldCharType="begin"/>
            </w:r>
            <w:r w:rsidR="00D42808">
              <w:rPr>
                <w:noProof/>
                <w:webHidden/>
              </w:rPr>
              <w:instrText xml:space="preserve"> PAGEREF _Toc112917615 \h </w:instrText>
            </w:r>
            <w:r w:rsidR="00D42808">
              <w:rPr>
                <w:noProof/>
                <w:webHidden/>
              </w:rPr>
            </w:r>
            <w:r w:rsidR="00D42808">
              <w:rPr>
                <w:noProof/>
                <w:webHidden/>
              </w:rPr>
              <w:fldChar w:fldCharType="separate"/>
            </w:r>
            <w:r w:rsidR="005D4773">
              <w:rPr>
                <w:noProof/>
                <w:webHidden/>
              </w:rPr>
              <w:t>13</w:t>
            </w:r>
            <w:r w:rsidR="00D42808">
              <w:rPr>
                <w:noProof/>
                <w:webHidden/>
              </w:rPr>
              <w:fldChar w:fldCharType="end"/>
            </w:r>
          </w:hyperlink>
        </w:p>
        <w:p w14:paraId="00AE8737" w14:textId="62B8A137" w:rsidR="00D42808" w:rsidRDefault="00000000">
          <w:pPr>
            <w:pStyle w:val="TOC2"/>
            <w:rPr>
              <w:rFonts w:eastAsiaTheme="minorEastAsia" w:cstheme="minorBidi"/>
              <w:b w:val="0"/>
              <w:bCs w:val="0"/>
              <w:noProof/>
              <w:szCs w:val="28"/>
              <w:lang w:bidi="th-TH"/>
            </w:rPr>
          </w:pPr>
          <w:hyperlink w:anchor="_Toc112917616" w:history="1">
            <w:r w:rsidR="00D42808" w:rsidRPr="005427CC">
              <w:rPr>
                <w:rStyle w:val="Hyperlink"/>
                <w:rFonts w:ascii="Calibri" w:hAnsi="Calibri" w:cs="Calibri"/>
                <w:noProof/>
              </w:rPr>
              <w:t>3.2.</w:t>
            </w:r>
            <w:r w:rsidR="00D42808">
              <w:rPr>
                <w:rFonts w:eastAsiaTheme="minorEastAsia" w:cstheme="minorBidi"/>
                <w:b w:val="0"/>
                <w:bCs w:val="0"/>
                <w:noProof/>
                <w:szCs w:val="28"/>
                <w:lang w:bidi="th-TH"/>
              </w:rPr>
              <w:tab/>
            </w:r>
            <w:r w:rsidR="00D42808" w:rsidRPr="005427CC">
              <w:rPr>
                <w:rStyle w:val="Hyperlink"/>
                <w:rFonts w:ascii="Calibri" w:hAnsi="Calibri" w:cs="Calibri"/>
                <w:noProof/>
              </w:rPr>
              <w:t>Pharmacodynamic assessment</w:t>
            </w:r>
            <w:r w:rsidR="00D42808">
              <w:rPr>
                <w:noProof/>
                <w:webHidden/>
              </w:rPr>
              <w:tab/>
            </w:r>
            <w:r w:rsidR="00D42808">
              <w:rPr>
                <w:noProof/>
                <w:webHidden/>
              </w:rPr>
              <w:fldChar w:fldCharType="begin"/>
            </w:r>
            <w:r w:rsidR="00D42808">
              <w:rPr>
                <w:noProof/>
                <w:webHidden/>
              </w:rPr>
              <w:instrText xml:space="preserve"> PAGEREF _Toc112917616 \h </w:instrText>
            </w:r>
            <w:r w:rsidR="00D42808">
              <w:rPr>
                <w:noProof/>
                <w:webHidden/>
              </w:rPr>
            </w:r>
            <w:r w:rsidR="00D42808">
              <w:rPr>
                <w:noProof/>
                <w:webHidden/>
              </w:rPr>
              <w:fldChar w:fldCharType="separate"/>
            </w:r>
            <w:r w:rsidR="005D4773">
              <w:rPr>
                <w:noProof/>
                <w:webHidden/>
              </w:rPr>
              <w:t>14</w:t>
            </w:r>
            <w:r w:rsidR="00D42808">
              <w:rPr>
                <w:noProof/>
                <w:webHidden/>
              </w:rPr>
              <w:fldChar w:fldCharType="end"/>
            </w:r>
          </w:hyperlink>
        </w:p>
        <w:p w14:paraId="4285F710" w14:textId="07B66410" w:rsidR="00D42808" w:rsidRDefault="00000000">
          <w:pPr>
            <w:pStyle w:val="TOC1"/>
            <w:rPr>
              <w:rFonts w:eastAsiaTheme="minorEastAsia" w:cstheme="minorBidi"/>
              <w:b w:val="0"/>
              <w:bCs w:val="0"/>
              <w:i w:val="0"/>
              <w:iCs w:val="0"/>
              <w:noProof/>
              <w:sz w:val="22"/>
              <w:szCs w:val="28"/>
              <w:lang w:bidi="th-TH"/>
            </w:rPr>
          </w:pPr>
          <w:hyperlink w:anchor="_Toc112917617" w:history="1">
            <w:r w:rsidR="00D42808" w:rsidRPr="005427CC">
              <w:rPr>
                <w:rStyle w:val="Hyperlink"/>
                <w:rFonts w:ascii="Calibri" w:hAnsi="Calibri" w:cs="Calibri"/>
                <w:noProof/>
                <w:lang w:val="en-GB"/>
              </w:rPr>
              <w:t>4.</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OBJECTIVES AND ENDPOINTS</w:t>
            </w:r>
            <w:r w:rsidR="00D42808">
              <w:rPr>
                <w:noProof/>
                <w:webHidden/>
              </w:rPr>
              <w:tab/>
            </w:r>
            <w:r w:rsidR="00D42808">
              <w:rPr>
                <w:noProof/>
                <w:webHidden/>
              </w:rPr>
              <w:fldChar w:fldCharType="begin"/>
            </w:r>
            <w:r w:rsidR="00D42808">
              <w:rPr>
                <w:noProof/>
                <w:webHidden/>
              </w:rPr>
              <w:instrText xml:space="preserve"> PAGEREF _Toc112917617 \h </w:instrText>
            </w:r>
            <w:r w:rsidR="00D42808">
              <w:rPr>
                <w:noProof/>
                <w:webHidden/>
              </w:rPr>
            </w:r>
            <w:r w:rsidR="00D42808">
              <w:rPr>
                <w:noProof/>
                <w:webHidden/>
              </w:rPr>
              <w:fldChar w:fldCharType="separate"/>
            </w:r>
            <w:r w:rsidR="005D4773">
              <w:rPr>
                <w:noProof/>
                <w:webHidden/>
              </w:rPr>
              <w:t>14</w:t>
            </w:r>
            <w:r w:rsidR="00D42808">
              <w:rPr>
                <w:noProof/>
                <w:webHidden/>
              </w:rPr>
              <w:fldChar w:fldCharType="end"/>
            </w:r>
          </w:hyperlink>
        </w:p>
        <w:p w14:paraId="2863EF7D" w14:textId="0060B567" w:rsidR="00D42808" w:rsidRDefault="00000000">
          <w:pPr>
            <w:pStyle w:val="TOC1"/>
            <w:rPr>
              <w:rFonts w:eastAsiaTheme="minorEastAsia" w:cstheme="minorBidi"/>
              <w:b w:val="0"/>
              <w:bCs w:val="0"/>
              <w:i w:val="0"/>
              <w:iCs w:val="0"/>
              <w:noProof/>
              <w:sz w:val="22"/>
              <w:szCs w:val="28"/>
              <w:lang w:bidi="th-TH"/>
            </w:rPr>
          </w:pPr>
          <w:hyperlink w:anchor="_Toc112917618" w:history="1">
            <w:r w:rsidR="00D42808" w:rsidRPr="005427CC">
              <w:rPr>
                <w:rStyle w:val="Hyperlink"/>
                <w:rFonts w:ascii="Calibri" w:hAnsi="Calibri" w:cs="Calibri"/>
                <w:noProof/>
                <w:lang w:val="en-GB"/>
              </w:rPr>
              <w:t>5.</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STUDY DESIGN</w:t>
            </w:r>
            <w:r w:rsidR="00D42808">
              <w:rPr>
                <w:noProof/>
                <w:webHidden/>
              </w:rPr>
              <w:tab/>
            </w:r>
            <w:r w:rsidR="00D42808">
              <w:rPr>
                <w:noProof/>
                <w:webHidden/>
              </w:rPr>
              <w:fldChar w:fldCharType="begin"/>
            </w:r>
            <w:r w:rsidR="00D42808">
              <w:rPr>
                <w:noProof/>
                <w:webHidden/>
              </w:rPr>
              <w:instrText xml:space="preserve"> PAGEREF _Toc112917618 \h </w:instrText>
            </w:r>
            <w:r w:rsidR="00D42808">
              <w:rPr>
                <w:noProof/>
                <w:webHidden/>
              </w:rPr>
            </w:r>
            <w:r w:rsidR="00D42808">
              <w:rPr>
                <w:noProof/>
                <w:webHidden/>
              </w:rPr>
              <w:fldChar w:fldCharType="separate"/>
            </w:r>
            <w:r w:rsidR="005D4773">
              <w:rPr>
                <w:noProof/>
                <w:webHidden/>
              </w:rPr>
              <w:t>15</w:t>
            </w:r>
            <w:r w:rsidR="00D42808">
              <w:rPr>
                <w:noProof/>
                <w:webHidden/>
              </w:rPr>
              <w:fldChar w:fldCharType="end"/>
            </w:r>
          </w:hyperlink>
        </w:p>
        <w:p w14:paraId="1CE76913" w14:textId="5D61A11B" w:rsidR="00D42808" w:rsidRDefault="00000000">
          <w:pPr>
            <w:pStyle w:val="TOC2"/>
            <w:rPr>
              <w:rFonts w:eastAsiaTheme="minorEastAsia" w:cstheme="minorBidi"/>
              <w:b w:val="0"/>
              <w:bCs w:val="0"/>
              <w:noProof/>
              <w:szCs w:val="28"/>
              <w:lang w:bidi="th-TH"/>
            </w:rPr>
          </w:pPr>
          <w:hyperlink w:anchor="_Toc112917619" w:history="1">
            <w:r w:rsidR="00D42808" w:rsidRPr="005427CC">
              <w:rPr>
                <w:rStyle w:val="Hyperlink"/>
                <w:rFonts w:ascii="Calibri" w:hAnsi="Calibri" w:cs="Calibri"/>
                <w:noProof/>
              </w:rPr>
              <w:t>5.1.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Interventions</w:t>
            </w:r>
            <w:r w:rsidR="00D42808">
              <w:rPr>
                <w:noProof/>
                <w:webHidden/>
              </w:rPr>
              <w:tab/>
            </w:r>
            <w:r w:rsidR="00D42808">
              <w:rPr>
                <w:noProof/>
                <w:webHidden/>
              </w:rPr>
              <w:fldChar w:fldCharType="begin"/>
            </w:r>
            <w:r w:rsidR="00D42808">
              <w:rPr>
                <w:noProof/>
                <w:webHidden/>
              </w:rPr>
              <w:instrText xml:space="preserve"> PAGEREF _Toc112917619 \h </w:instrText>
            </w:r>
            <w:r w:rsidR="00D42808">
              <w:rPr>
                <w:noProof/>
                <w:webHidden/>
              </w:rPr>
            </w:r>
            <w:r w:rsidR="00D42808">
              <w:rPr>
                <w:noProof/>
                <w:webHidden/>
              </w:rPr>
              <w:fldChar w:fldCharType="separate"/>
            </w:r>
            <w:r w:rsidR="005D4773">
              <w:rPr>
                <w:noProof/>
                <w:webHidden/>
              </w:rPr>
              <w:t>15</w:t>
            </w:r>
            <w:r w:rsidR="00D42808">
              <w:rPr>
                <w:noProof/>
                <w:webHidden/>
              </w:rPr>
              <w:fldChar w:fldCharType="end"/>
            </w:r>
          </w:hyperlink>
        </w:p>
        <w:p w14:paraId="74B6CF7F" w14:textId="78F83AEF" w:rsidR="00D42808" w:rsidRDefault="00000000">
          <w:pPr>
            <w:pStyle w:val="TOC1"/>
            <w:rPr>
              <w:rFonts w:eastAsiaTheme="minorEastAsia" w:cstheme="minorBidi"/>
              <w:b w:val="0"/>
              <w:bCs w:val="0"/>
              <w:i w:val="0"/>
              <w:iCs w:val="0"/>
              <w:noProof/>
              <w:sz w:val="22"/>
              <w:szCs w:val="28"/>
              <w:lang w:bidi="th-TH"/>
            </w:rPr>
          </w:pPr>
          <w:hyperlink w:anchor="_Toc112917620" w:history="1">
            <w:r w:rsidR="00D42808" w:rsidRPr="005427CC">
              <w:rPr>
                <w:rStyle w:val="Hyperlink"/>
                <w:rFonts w:ascii="Calibri" w:hAnsi="Calibri" w:cs="Calibri"/>
                <w:noProof/>
                <w:lang w:val="en-GB"/>
              </w:rPr>
              <w:t>6.</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PATIENT IDENTIFICATION AND RECRUITMENT</w:t>
            </w:r>
            <w:r w:rsidR="00D42808">
              <w:rPr>
                <w:noProof/>
                <w:webHidden/>
              </w:rPr>
              <w:tab/>
            </w:r>
            <w:r w:rsidR="00D42808">
              <w:rPr>
                <w:noProof/>
                <w:webHidden/>
              </w:rPr>
              <w:fldChar w:fldCharType="begin"/>
            </w:r>
            <w:r w:rsidR="00D42808">
              <w:rPr>
                <w:noProof/>
                <w:webHidden/>
              </w:rPr>
              <w:instrText xml:space="preserve"> PAGEREF _Toc112917620 \h </w:instrText>
            </w:r>
            <w:r w:rsidR="00D42808">
              <w:rPr>
                <w:noProof/>
                <w:webHidden/>
              </w:rPr>
            </w:r>
            <w:r w:rsidR="00D42808">
              <w:rPr>
                <w:noProof/>
                <w:webHidden/>
              </w:rPr>
              <w:fldChar w:fldCharType="separate"/>
            </w:r>
            <w:r w:rsidR="005D4773">
              <w:rPr>
                <w:noProof/>
                <w:webHidden/>
              </w:rPr>
              <w:t>17</w:t>
            </w:r>
            <w:r w:rsidR="00D42808">
              <w:rPr>
                <w:noProof/>
                <w:webHidden/>
              </w:rPr>
              <w:fldChar w:fldCharType="end"/>
            </w:r>
          </w:hyperlink>
        </w:p>
        <w:p w14:paraId="244333EC" w14:textId="3FCC269A" w:rsidR="00D42808" w:rsidRDefault="00000000">
          <w:pPr>
            <w:pStyle w:val="TOC2"/>
            <w:rPr>
              <w:rFonts w:eastAsiaTheme="minorEastAsia" w:cstheme="minorBidi"/>
              <w:b w:val="0"/>
              <w:bCs w:val="0"/>
              <w:noProof/>
              <w:szCs w:val="28"/>
              <w:lang w:bidi="th-TH"/>
            </w:rPr>
          </w:pPr>
          <w:hyperlink w:anchor="_Toc112917621" w:history="1">
            <w:r w:rsidR="00D42808" w:rsidRPr="005427CC">
              <w:rPr>
                <w:rStyle w:val="Hyperlink"/>
                <w:rFonts w:ascii="Calibri" w:hAnsi="Calibri" w:cs="Calibri"/>
                <w:noProof/>
              </w:rPr>
              <w:t>6.1.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Study Patients</w:t>
            </w:r>
            <w:r w:rsidR="00D42808">
              <w:rPr>
                <w:noProof/>
                <w:webHidden/>
              </w:rPr>
              <w:tab/>
            </w:r>
            <w:r w:rsidR="00D42808">
              <w:rPr>
                <w:noProof/>
                <w:webHidden/>
              </w:rPr>
              <w:fldChar w:fldCharType="begin"/>
            </w:r>
            <w:r w:rsidR="00D42808">
              <w:rPr>
                <w:noProof/>
                <w:webHidden/>
              </w:rPr>
              <w:instrText xml:space="preserve"> PAGEREF _Toc112917621 \h </w:instrText>
            </w:r>
            <w:r w:rsidR="00D42808">
              <w:rPr>
                <w:noProof/>
                <w:webHidden/>
              </w:rPr>
            </w:r>
            <w:r w:rsidR="00D42808">
              <w:rPr>
                <w:noProof/>
                <w:webHidden/>
              </w:rPr>
              <w:fldChar w:fldCharType="separate"/>
            </w:r>
            <w:r w:rsidR="005D4773">
              <w:rPr>
                <w:noProof/>
                <w:webHidden/>
              </w:rPr>
              <w:t>17</w:t>
            </w:r>
            <w:r w:rsidR="00D42808">
              <w:rPr>
                <w:noProof/>
                <w:webHidden/>
              </w:rPr>
              <w:fldChar w:fldCharType="end"/>
            </w:r>
          </w:hyperlink>
        </w:p>
        <w:p w14:paraId="412BB715" w14:textId="74E089A6" w:rsidR="00D42808" w:rsidRDefault="00000000">
          <w:pPr>
            <w:pStyle w:val="TOC2"/>
            <w:rPr>
              <w:rFonts w:eastAsiaTheme="minorEastAsia" w:cstheme="minorBidi"/>
              <w:b w:val="0"/>
              <w:bCs w:val="0"/>
              <w:noProof/>
              <w:szCs w:val="28"/>
              <w:lang w:bidi="th-TH"/>
            </w:rPr>
          </w:pPr>
          <w:hyperlink w:anchor="_Toc112917622" w:history="1">
            <w:r w:rsidR="00D42808" w:rsidRPr="005427CC">
              <w:rPr>
                <w:rStyle w:val="Hyperlink"/>
                <w:rFonts w:ascii="Calibri" w:hAnsi="Calibri" w:cs="Calibri"/>
                <w:noProof/>
              </w:rPr>
              <w:t>6.2.</w:t>
            </w:r>
            <w:r w:rsidR="00D42808">
              <w:rPr>
                <w:rFonts w:eastAsiaTheme="minorEastAsia" w:cstheme="minorBidi"/>
                <w:b w:val="0"/>
                <w:bCs w:val="0"/>
                <w:noProof/>
                <w:szCs w:val="28"/>
                <w:lang w:bidi="th-TH"/>
              </w:rPr>
              <w:tab/>
            </w:r>
            <w:r w:rsidR="00D42808" w:rsidRPr="005427CC">
              <w:rPr>
                <w:rStyle w:val="Hyperlink"/>
                <w:rFonts w:ascii="Calibri" w:hAnsi="Calibri" w:cs="Calibri"/>
                <w:noProof/>
              </w:rPr>
              <w:t>Inclusion Criteria</w:t>
            </w:r>
            <w:r w:rsidR="00D42808">
              <w:rPr>
                <w:noProof/>
                <w:webHidden/>
              </w:rPr>
              <w:tab/>
            </w:r>
            <w:r w:rsidR="00D42808">
              <w:rPr>
                <w:noProof/>
                <w:webHidden/>
              </w:rPr>
              <w:fldChar w:fldCharType="begin"/>
            </w:r>
            <w:r w:rsidR="00D42808">
              <w:rPr>
                <w:noProof/>
                <w:webHidden/>
              </w:rPr>
              <w:instrText xml:space="preserve"> PAGEREF _Toc112917622 \h </w:instrText>
            </w:r>
            <w:r w:rsidR="00D42808">
              <w:rPr>
                <w:noProof/>
                <w:webHidden/>
              </w:rPr>
            </w:r>
            <w:r w:rsidR="00D42808">
              <w:rPr>
                <w:noProof/>
                <w:webHidden/>
              </w:rPr>
              <w:fldChar w:fldCharType="separate"/>
            </w:r>
            <w:r w:rsidR="005D4773">
              <w:rPr>
                <w:noProof/>
                <w:webHidden/>
              </w:rPr>
              <w:t>17</w:t>
            </w:r>
            <w:r w:rsidR="00D42808">
              <w:rPr>
                <w:noProof/>
                <w:webHidden/>
              </w:rPr>
              <w:fldChar w:fldCharType="end"/>
            </w:r>
          </w:hyperlink>
        </w:p>
        <w:p w14:paraId="451B6C02" w14:textId="5351CEE9" w:rsidR="00D42808" w:rsidRDefault="00000000">
          <w:pPr>
            <w:pStyle w:val="TOC2"/>
            <w:rPr>
              <w:rFonts w:eastAsiaTheme="minorEastAsia" w:cstheme="minorBidi"/>
              <w:b w:val="0"/>
              <w:bCs w:val="0"/>
              <w:noProof/>
              <w:szCs w:val="28"/>
              <w:lang w:bidi="th-TH"/>
            </w:rPr>
          </w:pPr>
          <w:hyperlink w:anchor="_Toc112917623" w:history="1">
            <w:r w:rsidR="00D42808" w:rsidRPr="005427CC">
              <w:rPr>
                <w:rStyle w:val="Hyperlink"/>
                <w:rFonts w:ascii="Calibri" w:hAnsi="Calibri" w:cs="Calibri"/>
                <w:noProof/>
              </w:rPr>
              <w:t>6.3.</w:t>
            </w:r>
            <w:r w:rsidR="00D42808">
              <w:rPr>
                <w:rFonts w:eastAsiaTheme="minorEastAsia" w:cstheme="minorBidi"/>
                <w:b w:val="0"/>
                <w:bCs w:val="0"/>
                <w:noProof/>
                <w:szCs w:val="28"/>
                <w:lang w:bidi="th-TH"/>
              </w:rPr>
              <w:tab/>
            </w:r>
            <w:r w:rsidR="00D42808" w:rsidRPr="005427CC">
              <w:rPr>
                <w:rStyle w:val="Hyperlink"/>
                <w:rFonts w:ascii="Calibri" w:hAnsi="Calibri" w:cs="Calibri"/>
                <w:noProof/>
              </w:rPr>
              <w:t>Exclusion Criteria</w:t>
            </w:r>
            <w:r w:rsidR="00D42808">
              <w:rPr>
                <w:noProof/>
                <w:webHidden/>
              </w:rPr>
              <w:tab/>
            </w:r>
            <w:r w:rsidR="00D42808">
              <w:rPr>
                <w:noProof/>
                <w:webHidden/>
              </w:rPr>
              <w:fldChar w:fldCharType="begin"/>
            </w:r>
            <w:r w:rsidR="00D42808">
              <w:rPr>
                <w:noProof/>
                <w:webHidden/>
              </w:rPr>
              <w:instrText xml:space="preserve"> PAGEREF _Toc112917623 \h </w:instrText>
            </w:r>
            <w:r w:rsidR="00D42808">
              <w:rPr>
                <w:noProof/>
                <w:webHidden/>
              </w:rPr>
            </w:r>
            <w:r w:rsidR="00D42808">
              <w:rPr>
                <w:noProof/>
                <w:webHidden/>
              </w:rPr>
              <w:fldChar w:fldCharType="separate"/>
            </w:r>
            <w:r w:rsidR="005D4773">
              <w:rPr>
                <w:noProof/>
                <w:webHidden/>
              </w:rPr>
              <w:t>17</w:t>
            </w:r>
            <w:r w:rsidR="00D42808">
              <w:rPr>
                <w:noProof/>
                <w:webHidden/>
              </w:rPr>
              <w:fldChar w:fldCharType="end"/>
            </w:r>
          </w:hyperlink>
        </w:p>
        <w:p w14:paraId="480B583A" w14:textId="18EA4A4B" w:rsidR="00D42808" w:rsidRDefault="00000000">
          <w:pPr>
            <w:pStyle w:val="TOC1"/>
            <w:rPr>
              <w:rFonts w:eastAsiaTheme="minorEastAsia" w:cstheme="minorBidi"/>
              <w:b w:val="0"/>
              <w:bCs w:val="0"/>
              <w:i w:val="0"/>
              <w:iCs w:val="0"/>
              <w:noProof/>
              <w:sz w:val="22"/>
              <w:szCs w:val="28"/>
              <w:lang w:bidi="th-TH"/>
            </w:rPr>
          </w:pPr>
          <w:hyperlink w:anchor="_Toc112917624" w:history="1">
            <w:r w:rsidR="00D42808" w:rsidRPr="005427CC">
              <w:rPr>
                <w:rStyle w:val="Hyperlink"/>
                <w:rFonts w:ascii="Calibri" w:hAnsi="Calibri" w:cs="Calibri"/>
                <w:noProof/>
                <w:lang w:val="en-GB"/>
              </w:rPr>
              <w:t>7.</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STUDY SET-UP AND PROCEDURES</w:t>
            </w:r>
            <w:r w:rsidR="00D42808">
              <w:rPr>
                <w:noProof/>
                <w:webHidden/>
              </w:rPr>
              <w:tab/>
            </w:r>
            <w:r w:rsidR="00D42808">
              <w:rPr>
                <w:noProof/>
                <w:webHidden/>
              </w:rPr>
              <w:fldChar w:fldCharType="begin"/>
            </w:r>
            <w:r w:rsidR="00D42808">
              <w:rPr>
                <w:noProof/>
                <w:webHidden/>
              </w:rPr>
              <w:instrText xml:space="preserve"> PAGEREF _Toc112917624 \h </w:instrText>
            </w:r>
            <w:r w:rsidR="00D42808">
              <w:rPr>
                <w:noProof/>
                <w:webHidden/>
              </w:rPr>
            </w:r>
            <w:r w:rsidR="00D42808">
              <w:rPr>
                <w:noProof/>
                <w:webHidden/>
              </w:rPr>
              <w:fldChar w:fldCharType="separate"/>
            </w:r>
            <w:r w:rsidR="005D4773">
              <w:rPr>
                <w:noProof/>
                <w:webHidden/>
              </w:rPr>
              <w:t>18</w:t>
            </w:r>
            <w:r w:rsidR="00D42808">
              <w:rPr>
                <w:noProof/>
                <w:webHidden/>
              </w:rPr>
              <w:fldChar w:fldCharType="end"/>
            </w:r>
          </w:hyperlink>
        </w:p>
        <w:p w14:paraId="76447831" w14:textId="418098D1" w:rsidR="00D42808" w:rsidRDefault="00000000">
          <w:pPr>
            <w:pStyle w:val="TOC2"/>
            <w:rPr>
              <w:rFonts w:eastAsiaTheme="minorEastAsia" w:cstheme="minorBidi"/>
              <w:b w:val="0"/>
              <w:bCs w:val="0"/>
              <w:noProof/>
              <w:szCs w:val="28"/>
              <w:lang w:bidi="th-TH"/>
            </w:rPr>
          </w:pPr>
          <w:hyperlink w:anchor="_Toc112917625" w:history="1">
            <w:r w:rsidR="00D42808" w:rsidRPr="005427CC">
              <w:rPr>
                <w:rStyle w:val="Hyperlink"/>
                <w:rFonts w:ascii="Calibri" w:hAnsi="Calibri" w:cs="Calibri"/>
                <w:noProof/>
              </w:rPr>
              <w:t>7.1.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Virological sampling</w:t>
            </w:r>
            <w:r w:rsidR="00D42808">
              <w:rPr>
                <w:noProof/>
                <w:webHidden/>
              </w:rPr>
              <w:tab/>
            </w:r>
            <w:r w:rsidR="00D42808">
              <w:rPr>
                <w:noProof/>
                <w:webHidden/>
              </w:rPr>
              <w:fldChar w:fldCharType="begin"/>
            </w:r>
            <w:r w:rsidR="00D42808">
              <w:rPr>
                <w:noProof/>
                <w:webHidden/>
              </w:rPr>
              <w:instrText xml:space="preserve"> PAGEREF _Toc112917625 \h </w:instrText>
            </w:r>
            <w:r w:rsidR="00D42808">
              <w:rPr>
                <w:noProof/>
                <w:webHidden/>
              </w:rPr>
            </w:r>
            <w:r w:rsidR="00D42808">
              <w:rPr>
                <w:noProof/>
                <w:webHidden/>
              </w:rPr>
              <w:fldChar w:fldCharType="separate"/>
            </w:r>
            <w:r w:rsidR="005D4773">
              <w:rPr>
                <w:noProof/>
                <w:webHidden/>
              </w:rPr>
              <w:t>18</w:t>
            </w:r>
            <w:r w:rsidR="00D42808">
              <w:rPr>
                <w:noProof/>
                <w:webHidden/>
              </w:rPr>
              <w:fldChar w:fldCharType="end"/>
            </w:r>
          </w:hyperlink>
        </w:p>
        <w:p w14:paraId="3BC3E8D0" w14:textId="4CEFBD15" w:rsidR="00D42808" w:rsidRDefault="00000000">
          <w:pPr>
            <w:pStyle w:val="TOC2"/>
            <w:rPr>
              <w:rFonts w:eastAsiaTheme="minorEastAsia" w:cstheme="minorBidi"/>
              <w:b w:val="0"/>
              <w:bCs w:val="0"/>
              <w:noProof/>
              <w:szCs w:val="28"/>
              <w:lang w:bidi="th-TH"/>
            </w:rPr>
          </w:pPr>
          <w:hyperlink w:anchor="_Toc112917626" w:history="1">
            <w:r w:rsidR="00D42808" w:rsidRPr="005427CC">
              <w:rPr>
                <w:rStyle w:val="Hyperlink"/>
                <w:rFonts w:ascii="Calibri" w:hAnsi="Calibri" w:cs="Calibri"/>
                <w:noProof/>
              </w:rPr>
              <w:t>7.2.</w:t>
            </w:r>
            <w:r w:rsidR="00D42808">
              <w:rPr>
                <w:rFonts w:eastAsiaTheme="minorEastAsia" w:cstheme="minorBidi"/>
                <w:b w:val="0"/>
                <w:bCs w:val="0"/>
                <w:noProof/>
                <w:szCs w:val="28"/>
                <w:lang w:bidi="th-TH"/>
              </w:rPr>
              <w:tab/>
            </w:r>
            <w:r w:rsidR="00D42808" w:rsidRPr="005427CC">
              <w:rPr>
                <w:rStyle w:val="Hyperlink"/>
                <w:rFonts w:ascii="Calibri" w:hAnsi="Calibri" w:cs="Calibri"/>
                <w:noProof/>
              </w:rPr>
              <w:t>Recruitment</w:t>
            </w:r>
            <w:r w:rsidR="00D42808">
              <w:rPr>
                <w:noProof/>
                <w:webHidden/>
              </w:rPr>
              <w:tab/>
            </w:r>
            <w:r w:rsidR="00D42808">
              <w:rPr>
                <w:noProof/>
                <w:webHidden/>
              </w:rPr>
              <w:fldChar w:fldCharType="begin"/>
            </w:r>
            <w:r w:rsidR="00D42808">
              <w:rPr>
                <w:noProof/>
                <w:webHidden/>
              </w:rPr>
              <w:instrText xml:space="preserve"> PAGEREF _Toc112917626 \h </w:instrText>
            </w:r>
            <w:r w:rsidR="00D42808">
              <w:rPr>
                <w:noProof/>
                <w:webHidden/>
              </w:rPr>
            </w:r>
            <w:r w:rsidR="00D42808">
              <w:rPr>
                <w:noProof/>
                <w:webHidden/>
              </w:rPr>
              <w:fldChar w:fldCharType="separate"/>
            </w:r>
            <w:r w:rsidR="005D4773">
              <w:rPr>
                <w:noProof/>
                <w:webHidden/>
              </w:rPr>
              <w:t>19</w:t>
            </w:r>
            <w:r w:rsidR="00D42808">
              <w:rPr>
                <w:noProof/>
                <w:webHidden/>
              </w:rPr>
              <w:fldChar w:fldCharType="end"/>
            </w:r>
          </w:hyperlink>
        </w:p>
        <w:p w14:paraId="65C73486" w14:textId="3D0DACEB" w:rsidR="00D42808" w:rsidRDefault="00000000">
          <w:pPr>
            <w:pStyle w:val="TOC2"/>
            <w:rPr>
              <w:rFonts w:eastAsiaTheme="minorEastAsia" w:cstheme="minorBidi"/>
              <w:b w:val="0"/>
              <w:bCs w:val="0"/>
              <w:noProof/>
              <w:szCs w:val="28"/>
              <w:lang w:bidi="th-TH"/>
            </w:rPr>
          </w:pPr>
          <w:hyperlink w:anchor="_Toc112917627" w:history="1">
            <w:r w:rsidR="00D42808" w:rsidRPr="005427CC">
              <w:rPr>
                <w:rStyle w:val="Hyperlink"/>
                <w:rFonts w:ascii="Calibri" w:hAnsi="Calibri" w:cs="Calibri"/>
                <w:noProof/>
              </w:rPr>
              <w:t>7.3.</w:t>
            </w:r>
            <w:r w:rsidR="00D42808">
              <w:rPr>
                <w:rFonts w:eastAsiaTheme="minorEastAsia" w:cstheme="minorBidi"/>
                <w:b w:val="0"/>
                <w:bCs w:val="0"/>
                <w:noProof/>
                <w:szCs w:val="28"/>
                <w:lang w:bidi="th-TH"/>
              </w:rPr>
              <w:tab/>
            </w:r>
            <w:r w:rsidR="00D42808" w:rsidRPr="005427CC">
              <w:rPr>
                <w:rStyle w:val="Hyperlink"/>
                <w:rFonts w:ascii="Calibri" w:hAnsi="Calibri" w:cs="Calibri"/>
                <w:noProof/>
              </w:rPr>
              <w:t>Screening and Eligibility Assessment</w:t>
            </w:r>
            <w:r w:rsidR="00D42808">
              <w:rPr>
                <w:noProof/>
                <w:webHidden/>
              </w:rPr>
              <w:tab/>
            </w:r>
            <w:r w:rsidR="00D42808">
              <w:rPr>
                <w:noProof/>
                <w:webHidden/>
              </w:rPr>
              <w:fldChar w:fldCharType="begin"/>
            </w:r>
            <w:r w:rsidR="00D42808">
              <w:rPr>
                <w:noProof/>
                <w:webHidden/>
              </w:rPr>
              <w:instrText xml:space="preserve"> PAGEREF _Toc112917627 \h </w:instrText>
            </w:r>
            <w:r w:rsidR="00D42808">
              <w:rPr>
                <w:noProof/>
                <w:webHidden/>
              </w:rPr>
            </w:r>
            <w:r w:rsidR="00D42808">
              <w:rPr>
                <w:noProof/>
                <w:webHidden/>
              </w:rPr>
              <w:fldChar w:fldCharType="separate"/>
            </w:r>
            <w:r w:rsidR="005D4773">
              <w:rPr>
                <w:noProof/>
                <w:webHidden/>
              </w:rPr>
              <w:t>19</w:t>
            </w:r>
            <w:r w:rsidR="00D42808">
              <w:rPr>
                <w:noProof/>
                <w:webHidden/>
              </w:rPr>
              <w:fldChar w:fldCharType="end"/>
            </w:r>
          </w:hyperlink>
        </w:p>
        <w:p w14:paraId="2636E507" w14:textId="76C10534" w:rsidR="00D42808" w:rsidRDefault="00000000">
          <w:pPr>
            <w:pStyle w:val="TOC2"/>
            <w:rPr>
              <w:rFonts w:eastAsiaTheme="minorEastAsia" w:cstheme="minorBidi"/>
              <w:b w:val="0"/>
              <w:bCs w:val="0"/>
              <w:noProof/>
              <w:szCs w:val="28"/>
              <w:lang w:bidi="th-TH"/>
            </w:rPr>
          </w:pPr>
          <w:hyperlink w:anchor="_Toc112917628" w:history="1">
            <w:r w:rsidR="00D42808" w:rsidRPr="005427CC">
              <w:rPr>
                <w:rStyle w:val="Hyperlink"/>
                <w:rFonts w:ascii="Calibri" w:hAnsi="Calibri" w:cs="Calibri"/>
                <w:noProof/>
              </w:rPr>
              <w:t>7.4.</w:t>
            </w:r>
            <w:r w:rsidR="00D42808">
              <w:rPr>
                <w:rFonts w:eastAsiaTheme="minorEastAsia" w:cstheme="minorBidi"/>
                <w:b w:val="0"/>
                <w:bCs w:val="0"/>
                <w:noProof/>
                <w:szCs w:val="28"/>
                <w:lang w:bidi="th-TH"/>
              </w:rPr>
              <w:tab/>
            </w:r>
            <w:r w:rsidR="00D42808" w:rsidRPr="005427CC">
              <w:rPr>
                <w:rStyle w:val="Hyperlink"/>
                <w:rFonts w:ascii="Calibri" w:hAnsi="Calibri" w:cs="Calibri"/>
                <w:noProof/>
              </w:rPr>
              <w:t>Informed Consent</w:t>
            </w:r>
            <w:r w:rsidR="00D42808">
              <w:rPr>
                <w:noProof/>
                <w:webHidden/>
              </w:rPr>
              <w:tab/>
            </w:r>
            <w:r w:rsidR="00D42808">
              <w:rPr>
                <w:noProof/>
                <w:webHidden/>
              </w:rPr>
              <w:fldChar w:fldCharType="begin"/>
            </w:r>
            <w:r w:rsidR="00D42808">
              <w:rPr>
                <w:noProof/>
                <w:webHidden/>
              </w:rPr>
              <w:instrText xml:space="preserve"> PAGEREF _Toc112917628 \h </w:instrText>
            </w:r>
            <w:r w:rsidR="00D42808">
              <w:rPr>
                <w:noProof/>
                <w:webHidden/>
              </w:rPr>
            </w:r>
            <w:r w:rsidR="00D42808">
              <w:rPr>
                <w:noProof/>
                <w:webHidden/>
              </w:rPr>
              <w:fldChar w:fldCharType="separate"/>
            </w:r>
            <w:r w:rsidR="005D4773">
              <w:rPr>
                <w:noProof/>
                <w:webHidden/>
              </w:rPr>
              <w:t>19</w:t>
            </w:r>
            <w:r w:rsidR="00D42808">
              <w:rPr>
                <w:noProof/>
                <w:webHidden/>
              </w:rPr>
              <w:fldChar w:fldCharType="end"/>
            </w:r>
          </w:hyperlink>
        </w:p>
        <w:p w14:paraId="22FD0A0C" w14:textId="00F296FD" w:rsidR="00D42808" w:rsidRDefault="00000000">
          <w:pPr>
            <w:pStyle w:val="TOC2"/>
            <w:rPr>
              <w:rFonts w:eastAsiaTheme="minorEastAsia" w:cstheme="minorBidi"/>
              <w:b w:val="0"/>
              <w:bCs w:val="0"/>
              <w:noProof/>
              <w:szCs w:val="28"/>
              <w:lang w:bidi="th-TH"/>
            </w:rPr>
          </w:pPr>
          <w:hyperlink w:anchor="_Toc112917629" w:history="1">
            <w:r w:rsidR="00D42808" w:rsidRPr="005427CC">
              <w:rPr>
                <w:rStyle w:val="Hyperlink"/>
                <w:rFonts w:ascii="Calibri" w:hAnsi="Calibri" w:cs="Calibri"/>
                <w:noProof/>
              </w:rPr>
              <w:t>7.5.</w:t>
            </w:r>
            <w:r w:rsidR="00D42808">
              <w:rPr>
                <w:rFonts w:eastAsiaTheme="minorEastAsia" w:cstheme="minorBidi"/>
                <w:b w:val="0"/>
                <w:bCs w:val="0"/>
                <w:noProof/>
                <w:szCs w:val="28"/>
                <w:lang w:bidi="th-TH"/>
              </w:rPr>
              <w:tab/>
            </w:r>
            <w:r w:rsidR="00D42808" w:rsidRPr="005427CC">
              <w:rPr>
                <w:rStyle w:val="Hyperlink"/>
                <w:rFonts w:ascii="Calibri" w:hAnsi="Calibri" w:cs="Calibri"/>
                <w:noProof/>
              </w:rPr>
              <w:t>Baseline Assessments</w:t>
            </w:r>
            <w:r w:rsidR="00D42808">
              <w:rPr>
                <w:noProof/>
                <w:webHidden/>
              </w:rPr>
              <w:tab/>
            </w:r>
            <w:r w:rsidR="00D42808">
              <w:rPr>
                <w:noProof/>
                <w:webHidden/>
              </w:rPr>
              <w:fldChar w:fldCharType="begin"/>
            </w:r>
            <w:r w:rsidR="00D42808">
              <w:rPr>
                <w:noProof/>
                <w:webHidden/>
              </w:rPr>
              <w:instrText xml:space="preserve"> PAGEREF _Toc112917629 \h </w:instrText>
            </w:r>
            <w:r w:rsidR="00D42808">
              <w:rPr>
                <w:noProof/>
                <w:webHidden/>
              </w:rPr>
            </w:r>
            <w:r w:rsidR="00D42808">
              <w:rPr>
                <w:noProof/>
                <w:webHidden/>
              </w:rPr>
              <w:fldChar w:fldCharType="separate"/>
            </w:r>
            <w:r w:rsidR="005D4773">
              <w:rPr>
                <w:noProof/>
                <w:webHidden/>
              </w:rPr>
              <w:t>19</w:t>
            </w:r>
            <w:r w:rsidR="00D42808">
              <w:rPr>
                <w:noProof/>
                <w:webHidden/>
              </w:rPr>
              <w:fldChar w:fldCharType="end"/>
            </w:r>
          </w:hyperlink>
        </w:p>
        <w:p w14:paraId="6077334B" w14:textId="3EB53126" w:rsidR="00D42808" w:rsidRDefault="00000000">
          <w:pPr>
            <w:pStyle w:val="TOC2"/>
            <w:rPr>
              <w:rFonts w:eastAsiaTheme="minorEastAsia" w:cstheme="minorBidi"/>
              <w:b w:val="0"/>
              <w:bCs w:val="0"/>
              <w:noProof/>
              <w:szCs w:val="28"/>
              <w:lang w:bidi="th-TH"/>
            </w:rPr>
          </w:pPr>
          <w:hyperlink w:anchor="_Toc112917630" w:history="1">
            <w:r w:rsidR="00D42808" w:rsidRPr="005427CC">
              <w:rPr>
                <w:rStyle w:val="Hyperlink"/>
                <w:rFonts w:ascii="Calibri" w:hAnsi="Calibri" w:cs="Calibri"/>
                <w:noProof/>
              </w:rPr>
              <w:t>7.6.</w:t>
            </w:r>
            <w:r w:rsidR="00D42808">
              <w:rPr>
                <w:rFonts w:eastAsiaTheme="minorEastAsia" w:cstheme="minorBidi"/>
                <w:b w:val="0"/>
                <w:bCs w:val="0"/>
                <w:noProof/>
                <w:szCs w:val="28"/>
                <w:lang w:bidi="th-TH"/>
              </w:rPr>
              <w:tab/>
            </w:r>
            <w:r w:rsidR="00D42808" w:rsidRPr="005427CC">
              <w:rPr>
                <w:rStyle w:val="Hyperlink"/>
                <w:rFonts w:ascii="Calibri" w:hAnsi="Calibri" w:cs="Calibri"/>
                <w:noProof/>
              </w:rPr>
              <w:t>Days of study</w:t>
            </w:r>
            <w:r w:rsidR="00D42808">
              <w:rPr>
                <w:noProof/>
                <w:webHidden/>
              </w:rPr>
              <w:tab/>
            </w:r>
            <w:r w:rsidR="00D42808">
              <w:rPr>
                <w:noProof/>
                <w:webHidden/>
              </w:rPr>
              <w:fldChar w:fldCharType="begin"/>
            </w:r>
            <w:r w:rsidR="00D42808">
              <w:rPr>
                <w:noProof/>
                <w:webHidden/>
              </w:rPr>
              <w:instrText xml:space="preserve"> PAGEREF _Toc112917630 \h </w:instrText>
            </w:r>
            <w:r w:rsidR="00D42808">
              <w:rPr>
                <w:noProof/>
                <w:webHidden/>
              </w:rPr>
            </w:r>
            <w:r w:rsidR="00D42808">
              <w:rPr>
                <w:noProof/>
                <w:webHidden/>
              </w:rPr>
              <w:fldChar w:fldCharType="separate"/>
            </w:r>
            <w:r w:rsidR="005D4773">
              <w:rPr>
                <w:noProof/>
                <w:webHidden/>
              </w:rPr>
              <w:t>20</w:t>
            </w:r>
            <w:r w:rsidR="00D42808">
              <w:rPr>
                <w:noProof/>
                <w:webHidden/>
              </w:rPr>
              <w:fldChar w:fldCharType="end"/>
            </w:r>
          </w:hyperlink>
        </w:p>
        <w:p w14:paraId="57F7A248" w14:textId="43C06EEC" w:rsidR="00D42808" w:rsidRDefault="00000000">
          <w:pPr>
            <w:pStyle w:val="TOC2"/>
            <w:rPr>
              <w:rFonts w:eastAsiaTheme="minorEastAsia" w:cstheme="minorBidi"/>
              <w:b w:val="0"/>
              <w:bCs w:val="0"/>
              <w:noProof/>
              <w:szCs w:val="28"/>
              <w:lang w:bidi="th-TH"/>
            </w:rPr>
          </w:pPr>
          <w:hyperlink w:anchor="_Toc112917631" w:history="1">
            <w:r w:rsidR="00D42808" w:rsidRPr="005427CC">
              <w:rPr>
                <w:rStyle w:val="Hyperlink"/>
                <w:rFonts w:ascii="Calibri" w:hAnsi="Calibri" w:cs="Calibri"/>
                <w:noProof/>
              </w:rPr>
              <w:t>7.7.</w:t>
            </w:r>
            <w:r w:rsidR="00D42808">
              <w:rPr>
                <w:rFonts w:eastAsiaTheme="minorEastAsia" w:cstheme="minorBidi"/>
                <w:b w:val="0"/>
                <w:bCs w:val="0"/>
                <w:noProof/>
                <w:szCs w:val="28"/>
                <w:lang w:bidi="th-TH"/>
              </w:rPr>
              <w:tab/>
            </w:r>
            <w:r w:rsidR="00D42808" w:rsidRPr="005427CC">
              <w:rPr>
                <w:rStyle w:val="Hyperlink"/>
                <w:rFonts w:ascii="Calibri" w:hAnsi="Calibri" w:cs="Calibri"/>
                <w:noProof/>
              </w:rPr>
              <w:t>Intensive pharmacokinetic sampling</w:t>
            </w:r>
            <w:r w:rsidR="00D42808">
              <w:rPr>
                <w:noProof/>
                <w:webHidden/>
              </w:rPr>
              <w:tab/>
            </w:r>
            <w:r w:rsidR="00D42808">
              <w:rPr>
                <w:noProof/>
                <w:webHidden/>
              </w:rPr>
              <w:fldChar w:fldCharType="begin"/>
            </w:r>
            <w:r w:rsidR="00D42808">
              <w:rPr>
                <w:noProof/>
                <w:webHidden/>
              </w:rPr>
              <w:instrText xml:space="preserve"> PAGEREF _Toc112917631 \h </w:instrText>
            </w:r>
            <w:r w:rsidR="00D42808">
              <w:rPr>
                <w:noProof/>
                <w:webHidden/>
              </w:rPr>
            </w:r>
            <w:r w:rsidR="00D42808">
              <w:rPr>
                <w:noProof/>
                <w:webHidden/>
              </w:rPr>
              <w:fldChar w:fldCharType="separate"/>
            </w:r>
            <w:r w:rsidR="005D4773">
              <w:rPr>
                <w:noProof/>
                <w:webHidden/>
              </w:rPr>
              <w:t>21</w:t>
            </w:r>
            <w:r w:rsidR="00D42808">
              <w:rPr>
                <w:noProof/>
                <w:webHidden/>
              </w:rPr>
              <w:fldChar w:fldCharType="end"/>
            </w:r>
          </w:hyperlink>
        </w:p>
        <w:p w14:paraId="52197C6C" w14:textId="77F7FF43" w:rsidR="00D42808" w:rsidRDefault="00000000">
          <w:pPr>
            <w:pStyle w:val="TOC2"/>
            <w:rPr>
              <w:rFonts w:eastAsiaTheme="minorEastAsia" w:cstheme="minorBidi"/>
              <w:b w:val="0"/>
              <w:bCs w:val="0"/>
              <w:noProof/>
              <w:szCs w:val="28"/>
              <w:lang w:bidi="th-TH"/>
            </w:rPr>
          </w:pPr>
          <w:hyperlink w:anchor="_Toc112917632" w:history="1">
            <w:r w:rsidR="00D42808" w:rsidRPr="005427CC">
              <w:rPr>
                <w:rStyle w:val="Hyperlink"/>
                <w:rFonts w:ascii="Calibri" w:hAnsi="Calibri" w:cs="Calibri"/>
                <w:noProof/>
              </w:rPr>
              <w:t>7.8.</w:t>
            </w:r>
            <w:r w:rsidR="00D42808">
              <w:rPr>
                <w:rFonts w:eastAsiaTheme="minorEastAsia" w:cstheme="minorBidi"/>
                <w:b w:val="0"/>
                <w:bCs w:val="0"/>
                <w:noProof/>
                <w:szCs w:val="28"/>
                <w:lang w:bidi="th-TH"/>
              </w:rPr>
              <w:tab/>
            </w:r>
            <w:r w:rsidR="00D42808" w:rsidRPr="005427CC">
              <w:rPr>
                <w:rStyle w:val="Hyperlink"/>
                <w:rFonts w:ascii="Calibri" w:hAnsi="Calibri" w:cs="Calibri"/>
                <w:noProof/>
              </w:rPr>
              <w:t>Management of patients who become ill</w:t>
            </w:r>
            <w:r w:rsidR="00D42808">
              <w:rPr>
                <w:noProof/>
                <w:webHidden/>
              </w:rPr>
              <w:tab/>
            </w:r>
            <w:r w:rsidR="00D42808">
              <w:rPr>
                <w:noProof/>
                <w:webHidden/>
              </w:rPr>
              <w:fldChar w:fldCharType="begin"/>
            </w:r>
            <w:r w:rsidR="00D42808">
              <w:rPr>
                <w:noProof/>
                <w:webHidden/>
              </w:rPr>
              <w:instrText xml:space="preserve"> PAGEREF _Toc112917632 \h </w:instrText>
            </w:r>
            <w:r w:rsidR="00D42808">
              <w:rPr>
                <w:noProof/>
                <w:webHidden/>
              </w:rPr>
            </w:r>
            <w:r w:rsidR="00D42808">
              <w:rPr>
                <w:noProof/>
                <w:webHidden/>
              </w:rPr>
              <w:fldChar w:fldCharType="separate"/>
            </w:r>
            <w:r w:rsidR="005D4773">
              <w:rPr>
                <w:noProof/>
                <w:webHidden/>
              </w:rPr>
              <w:t>21</w:t>
            </w:r>
            <w:r w:rsidR="00D42808">
              <w:rPr>
                <w:noProof/>
                <w:webHidden/>
              </w:rPr>
              <w:fldChar w:fldCharType="end"/>
            </w:r>
          </w:hyperlink>
        </w:p>
        <w:p w14:paraId="36C71406" w14:textId="67A602DD" w:rsidR="00D42808" w:rsidRDefault="00000000">
          <w:pPr>
            <w:pStyle w:val="TOC2"/>
            <w:rPr>
              <w:rFonts w:eastAsiaTheme="minorEastAsia" w:cstheme="minorBidi"/>
              <w:b w:val="0"/>
              <w:bCs w:val="0"/>
              <w:noProof/>
              <w:szCs w:val="28"/>
              <w:lang w:bidi="th-TH"/>
            </w:rPr>
          </w:pPr>
          <w:hyperlink w:anchor="_Toc112917633" w:history="1">
            <w:r w:rsidR="00D42808" w:rsidRPr="005427CC">
              <w:rPr>
                <w:rStyle w:val="Hyperlink"/>
                <w:rFonts w:ascii="Calibri" w:hAnsi="Calibri" w:cs="Calibri"/>
                <w:noProof/>
              </w:rPr>
              <w:t>7.9.</w:t>
            </w:r>
            <w:r w:rsidR="00D42808">
              <w:rPr>
                <w:rFonts w:eastAsiaTheme="minorEastAsia" w:cstheme="minorBidi"/>
                <w:b w:val="0"/>
                <w:bCs w:val="0"/>
                <w:noProof/>
                <w:szCs w:val="28"/>
                <w:lang w:bidi="th-TH"/>
              </w:rPr>
              <w:tab/>
            </w:r>
            <w:r w:rsidR="00D42808" w:rsidRPr="005427CC">
              <w:rPr>
                <w:rStyle w:val="Hyperlink"/>
                <w:rFonts w:ascii="Calibri" w:hAnsi="Calibri" w:cs="Calibri"/>
                <w:noProof/>
              </w:rPr>
              <w:t>Sample Handling and Retention</w:t>
            </w:r>
            <w:r w:rsidR="00D42808">
              <w:rPr>
                <w:noProof/>
                <w:webHidden/>
              </w:rPr>
              <w:tab/>
            </w:r>
            <w:r w:rsidR="00D42808">
              <w:rPr>
                <w:noProof/>
                <w:webHidden/>
              </w:rPr>
              <w:fldChar w:fldCharType="begin"/>
            </w:r>
            <w:r w:rsidR="00D42808">
              <w:rPr>
                <w:noProof/>
                <w:webHidden/>
              </w:rPr>
              <w:instrText xml:space="preserve"> PAGEREF _Toc112917633 \h </w:instrText>
            </w:r>
            <w:r w:rsidR="00D42808">
              <w:rPr>
                <w:noProof/>
                <w:webHidden/>
              </w:rPr>
            </w:r>
            <w:r w:rsidR="00D42808">
              <w:rPr>
                <w:noProof/>
                <w:webHidden/>
              </w:rPr>
              <w:fldChar w:fldCharType="separate"/>
            </w:r>
            <w:r w:rsidR="005D4773">
              <w:rPr>
                <w:noProof/>
                <w:webHidden/>
              </w:rPr>
              <w:t>22</w:t>
            </w:r>
            <w:r w:rsidR="00D42808">
              <w:rPr>
                <w:noProof/>
                <w:webHidden/>
              </w:rPr>
              <w:fldChar w:fldCharType="end"/>
            </w:r>
          </w:hyperlink>
        </w:p>
        <w:p w14:paraId="0E580D63" w14:textId="3D6BE92A" w:rsidR="00D42808" w:rsidRDefault="00000000">
          <w:pPr>
            <w:pStyle w:val="TOC1"/>
            <w:rPr>
              <w:rFonts w:eastAsiaTheme="minorEastAsia" w:cstheme="minorBidi"/>
              <w:b w:val="0"/>
              <w:bCs w:val="0"/>
              <w:i w:val="0"/>
              <w:iCs w:val="0"/>
              <w:noProof/>
              <w:sz w:val="22"/>
              <w:szCs w:val="28"/>
              <w:lang w:bidi="th-TH"/>
            </w:rPr>
          </w:pPr>
          <w:hyperlink w:anchor="_Toc112917634" w:history="1">
            <w:r w:rsidR="00D42808" w:rsidRPr="005427CC">
              <w:rPr>
                <w:rStyle w:val="Hyperlink"/>
                <w:rFonts w:ascii="Calibri" w:hAnsi="Calibri" w:cs="Calibri"/>
                <w:noProof/>
                <w:lang w:val="en-GB"/>
              </w:rPr>
              <w:t>8.</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DISCONTINUATION/WITHDRAWAL OF PATIENTS FROM STUDY</w:t>
            </w:r>
            <w:r w:rsidR="00D42808">
              <w:rPr>
                <w:noProof/>
                <w:webHidden/>
              </w:rPr>
              <w:tab/>
            </w:r>
            <w:r w:rsidR="00D42808">
              <w:rPr>
                <w:noProof/>
                <w:webHidden/>
              </w:rPr>
              <w:fldChar w:fldCharType="begin"/>
            </w:r>
            <w:r w:rsidR="00D42808">
              <w:rPr>
                <w:noProof/>
                <w:webHidden/>
              </w:rPr>
              <w:instrText xml:space="preserve"> PAGEREF _Toc112917634 \h </w:instrText>
            </w:r>
            <w:r w:rsidR="00D42808">
              <w:rPr>
                <w:noProof/>
                <w:webHidden/>
              </w:rPr>
            </w:r>
            <w:r w:rsidR="00D42808">
              <w:rPr>
                <w:noProof/>
                <w:webHidden/>
              </w:rPr>
              <w:fldChar w:fldCharType="separate"/>
            </w:r>
            <w:r w:rsidR="005D4773">
              <w:rPr>
                <w:noProof/>
                <w:webHidden/>
              </w:rPr>
              <w:t>22</w:t>
            </w:r>
            <w:r w:rsidR="00D42808">
              <w:rPr>
                <w:noProof/>
                <w:webHidden/>
              </w:rPr>
              <w:fldChar w:fldCharType="end"/>
            </w:r>
          </w:hyperlink>
        </w:p>
        <w:p w14:paraId="63065552" w14:textId="05D180C8" w:rsidR="00D42808" w:rsidRDefault="00000000">
          <w:pPr>
            <w:pStyle w:val="TOC2"/>
            <w:rPr>
              <w:rFonts w:eastAsiaTheme="minorEastAsia" w:cstheme="minorBidi"/>
              <w:b w:val="0"/>
              <w:bCs w:val="0"/>
              <w:noProof/>
              <w:szCs w:val="28"/>
              <w:lang w:bidi="th-TH"/>
            </w:rPr>
          </w:pPr>
          <w:hyperlink w:anchor="_Toc112917635" w:history="1">
            <w:r w:rsidR="00D42808" w:rsidRPr="005427CC">
              <w:rPr>
                <w:rStyle w:val="Hyperlink"/>
                <w:rFonts w:ascii="Calibri" w:hAnsi="Calibri" w:cs="Calibri"/>
                <w:noProof/>
              </w:rPr>
              <w:t>8.1.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Definition of End of Study</w:t>
            </w:r>
            <w:r w:rsidR="00D42808">
              <w:rPr>
                <w:noProof/>
                <w:webHidden/>
              </w:rPr>
              <w:tab/>
            </w:r>
            <w:r w:rsidR="00D42808">
              <w:rPr>
                <w:noProof/>
                <w:webHidden/>
              </w:rPr>
              <w:fldChar w:fldCharType="begin"/>
            </w:r>
            <w:r w:rsidR="00D42808">
              <w:rPr>
                <w:noProof/>
                <w:webHidden/>
              </w:rPr>
              <w:instrText xml:space="preserve"> PAGEREF _Toc112917635 \h </w:instrText>
            </w:r>
            <w:r w:rsidR="00D42808">
              <w:rPr>
                <w:noProof/>
                <w:webHidden/>
              </w:rPr>
            </w:r>
            <w:r w:rsidR="00D42808">
              <w:rPr>
                <w:noProof/>
                <w:webHidden/>
              </w:rPr>
              <w:fldChar w:fldCharType="separate"/>
            </w:r>
            <w:r w:rsidR="005D4773">
              <w:rPr>
                <w:noProof/>
                <w:webHidden/>
              </w:rPr>
              <w:t>23</w:t>
            </w:r>
            <w:r w:rsidR="00D42808">
              <w:rPr>
                <w:noProof/>
                <w:webHidden/>
              </w:rPr>
              <w:fldChar w:fldCharType="end"/>
            </w:r>
          </w:hyperlink>
        </w:p>
        <w:p w14:paraId="05041A23" w14:textId="0C6E2226" w:rsidR="00D42808" w:rsidRDefault="00000000">
          <w:pPr>
            <w:pStyle w:val="TOC1"/>
            <w:rPr>
              <w:rFonts w:eastAsiaTheme="minorEastAsia" w:cstheme="minorBidi"/>
              <w:b w:val="0"/>
              <w:bCs w:val="0"/>
              <w:i w:val="0"/>
              <w:iCs w:val="0"/>
              <w:noProof/>
              <w:sz w:val="22"/>
              <w:szCs w:val="28"/>
              <w:lang w:bidi="th-TH"/>
            </w:rPr>
          </w:pPr>
          <w:hyperlink w:anchor="_Toc112917636" w:history="1">
            <w:r w:rsidR="00D42808" w:rsidRPr="005427CC">
              <w:rPr>
                <w:rStyle w:val="Hyperlink"/>
                <w:rFonts w:ascii="Calibri" w:hAnsi="Calibri" w:cs="Calibri"/>
                <w:noProof/>
                <w:lang w:val="en-GB"/>
              </w:rPr>
              <w:t>9.</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SAFETY REPORTING</w:t>
            </w:r>
            <w:r w:rsidR="00D42808">
              <w:rPr>
                <w:noProof/>
                <w:webHidden/>
              </w:rPr>
              <w:tab/>
            </w:r>
            <w:r w:rsidR="00D42808">
              <w:rPr>
                <w:noProof/>
                <w:webHidden/>
              </w:rPr>
              <w:fldChar w:fldCharType="begin"/>
            </w:r>
            <w:r w:rsidR="00D42808">
              <w:rPr>
                <w:noProof/>
                <w:webHidden/>
              </w:rPr>
              <w:instrText xml:space="preserve"> PAGEREF _Toc112917636 \h </w:instrText>
            </w:r>
            <w:r w:rsidR="00D42808">
              <w:rPr>
                <w:noProof/>
                <w:webHidden/>
              </w:rPr>
            </w:r>
            <w:r w:rsidR="00D42808">
              <w:rPr>
                <w:noProof/>
                <w:webHidden/>
              </w:rPr>
              <w:fldChar w:fldCharType="separate"/>
            </w:r>
            <w:r w:rsidR="005D4773">
              <w:rPr>
                <w:noProof/>
                <w:webHidden/>
              </w:rPr>
              <w:t>23</w:t>
            </w:r>
            <w:r w:rsidR="00D42808">
              <w:rPr>
                <w:noProof/>
                <w:webHidden/>
              </w:rPr>
              <w:fldChar w:fldCharType="end"/>
            </w:r>
          </w:hyperlink>
        </w:p>
        <w:p w14:paraId="096B610C" w14:textId="19FE0E5A" w:rsidR="00D42808" w:rsidRDefault="00000000">
          <w:pPr>
            <w:pStyle w:val="TOC2"/>
            <w:rPr>
              <w:rFonts w:eastAsiaTheme="minorEastAsia" w:cstheme="minorBidi"/>
              <w:b w:val="0"/>
              <w:bCs w:val="0"/>
              <w:noProof/>
              <w:szCs w:val="28"/>
              <w:lang w:bidi="th-TH"/>
            </w:rPr>
          </w:pPr>
          <w:hyperlink w:anchor="_Toc112917637" w:history="1">
            <w:r w:rsidR="00D42808" w:rsidRPr="005427CC">
              <w:rPr>
                <w:rStyle w:val="Hyperlink"/>
                <w:rFonts w:ascii="Calibri" w:hAnsi="Calibri" w:cs="Calibri"/>
                <w:noProof/>
              </w:rPr>
              <w:t>9.1.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Definitions</w:t>
            </w:r>
            <w:r w:rsidR="00D42808">
              <w:rPr>
                <w:noProof/>
                <w:webHidden/>
              </w:rPr>
              <w:tab/>
            </w:r>
            <w:r w:rsidR="00D42808">
              <w:rPr>
                <w:noProof/>
                <w:webHidden/>
              </w:rPr>
              <w:fldChar w:fldCharType="begin"/>
            </w:r>
            <w:r w:rsidR="00D42808">
              <w:rPr>
                <w:noProof/>
                <w:webHidden/>
              </w:rPr>
              <w:instrText xml:space="preserve"> PAGEREF _Toc112917637 \h </w:instrText>
            </w:r>
            <w:r w:rsidR="00D42808">
              <w:rPr>
                <w:noProof/>
                <w:webHidden/>
              </w:rPr>
            </w:r>
            <w:r w:rsidR="00D42808">
              <w:rPr>
                <w:noProof/>
                <w:webHidden/>
              </w:rPr>
              <w:fldChar w:fldCharType="separate"/>
            </w:r>
            <w:r w:rsidR="005D4773">
              <w:rPr>
                <w:noProof/>
                <w:webHidden/>
              </w:rPr>
              <w:t>23</w:t>
            </w:r>
            <w:r w:rsidR="00D42808">
              <w:rPr>
                <w:noProof/>
                <w:webHidden/>
              </w:rPr>
              <w:fldChar w:fldCharType="end"/>
            </w:r>
          </w:hyperlink>
        </w:p>
        <w:p w14:paraId="7776C2E7" w14:textId="40D95F6B" w:rsidR="00D42808" w:rsidRDefault="00000000">
          <w:pPr>
            <w:pStyle w:val="TOC2"/>
            <w:rPr>
              <w:rFonts w:eastAsiaTheme="minorEastAsia" w:cstheme="minorBidi"/>
              <w:b w:val="0"/>
              <w:bCs w:val="0"/>
              <w:noProof/>
              <w:szCs w:val="28"/>
              <w:lang w:bidi="th-TH"/>
            </w:rPr>
          </w:pPr>
          <w:hyperlink w:anchor="_Toc112917638" w:history="1">
            <w:r w:rsidR="00D42808" w:rsidRPr="005427CC">
              <w:rPr>
                <w:rStyle w:val="Hyperlink"/>
                <w:rFonts w:ascii="Calibri" w:hAnsi="Calibri" w:cs="Calibri"/>
                <w:noProof/>
              </w:rPr>
              <w:t>9.2.</w:t>
            </w:r>
            <w:r w:rsidR="00D42808">
              <w:rPr>
                <w:rFonts w:eastAsiaTheme="minorEastAsia" w:cstheme="minorBidi"/>
                <w:b w:val="0"/>
                <w:bCs w:val="0"/>
                <w:noProof/>
                <w:szCs w:val="28"/>
                <w:lang w:bidi="th-TH"/>
              </w:rPr>
              <w:tab/>
            </w:r>
            <w:r w:rsidR="00D42808" w:rsidRPr="005427CC">
              <w:rPr>
                <w:rStyle w:val="Hyperlink"/>
                <w:rFonts w:ascii="Calibri" w:hAnsi="Calibri" w:cs="Calibri"/>
                <w:noProof/>
              </w:rPr>
              <w:t>Causality</w:t>
            </w:r>
            <w:r w:rsidR="00D42808">
              <w:rPr>
                <w:noProof/>
                <w:webHidden/>
              </w:rPr>
              <w:tab/>
            </w:r>
            <w:r w:rsidR="00D42808">
              <w:rPr>
                <w:noProof/>
                <w:webHidden/>
              </w:rPr>
              <w:fldChar w:fldCharType="begin"/>
            </w:r>
            <w:r w:rsidR="00D42808">
              <w:rPr>
                <w:noProof/>
                <w:webHidden/>
              </w:rPr>
              <w:instrText xml:space="preserve"> PAGEREF _Toc112917638 \h </w:instrText>
            </w:r>
            <w:r w:rsidR="00D42808">
              <w:rPr>
                <w:noProof/>
                <w:webHidden/>
              </w:rPr>
            </w:r>
            <w:r w:rsidR="00D42808">
              <w:rPr>
                <w:noProof/>
                <w:webHidden/>
              </w:rPr>
              <w:fldChar w:fldCharType="separate"/>
            </w:r>
            <w:r w:rsidR="005D4773">
              <w:rPr>
                <w:noProof/>
                <w:webHidden/>
              </w:rPr>
              <w:t>24</w:t>
            </w:r>
            <w:r w:rsidR="00D42808">
              <w:rPr>
                <w:noProof/>
                <w:webHidden/>
              </w:rPr>
              <w:fldChar w:fldCharType="end"/>
            </w:r>
          </w:hyperlink>
        </w:p>
        <w:p w14:paraId="222004F1" w14:textId="01BF2E4C" w:rsidR="00D42808" w:rsidRDefault="00000000">
          <w:pPr>
            <w:pStyle w:val="TOC2"/>
            <w:rPr>
              <w:rFonts w:eastAsiaTheme="minorEastAsia" w:cstheme="minorBidi"/>
              <w:b w:val="0"/>
              <w:bCs w:val="0"/>
              <w:noProof/>
              <w:szCs w:val="28"/>
              <w:lang w:bidi="th-TH"/>
            </w:rPr>
          </w:pPr>
          <w:hyperlink w:anchor="_Toc112917639" w:history="1">
            <w:r w:rsidR="00D42808" w:rsidRPr="005427CC">
              <w:rPr>
                <w:rStyle w:val="Hyperlink"/>
                <w:rFonts w:ascii="Calibri" w:hAnsi="Calibri" w:cs="Calibri"/>
                <w:noProof/>
              </w:rPr>
              <w:t>9.3.</w:t>
            </w:r>
            <w:r w:rsidR="00D42808">
              <w:rPr>
                <w:rFonts w:eastAsiaTheme="minorEastAsia" w:cstheme="minorBidi"/>
                <w:b w:val="0"/>
                <w:bCs w:val="0"/>
                <w:noProof/>
                <w:szCs w:val="28"/>
                <w:lang w:bidi="th-TH"/>
              </w:rPr>
              <w:tab/>
            </w:r>
            <w:r w:rsidR="00D42808" w:rsidRPr="005427CC">
              <w:rPr>
                <w:rStyle w:val="Hyperlink"/>
                <w:rFonts w:ascii="Calibri" w:hAnsi="Calibri" w:cs="Calibri"/>
                <w:noProof/>
              </w:rPr>
              <w:t>Procedures for Recording Adverse Events</w:t>
            </w:r>
            <w:r w:rsidR="00D42808">
              <w:rPr>
                <w:noProof/>
                <w:webHidden/>
              </w:rPr>
              <w:tab/>
            </w:r>
            <w:r w:rsidR="00D42808">
              <w:rPr>
                <w:noProof/>
                <w:webHidden/>
              </w:rPr>
              <w:fldChar w:fldCharType="begin"/>
            </w:r>
            <w:r w:rsidR="00D42808">
              <w:rPr>
                <w:noProof/>
                <w:webHidden/>
              </w:rPr>
              <w:instrText xml:space="preserve"> PAGEREF _Toc112917639 \h </w:instrText>
            </w:r>
            <w:r w:rsidR="00D42808">
              <w:rPr>
                <w:noProof/>
                <w:webHidden/>
              </w:rPr>
            </w:r>
            <w:r w:rsidR="00D42808">
              <w:rPr>
                <w:noProof/>
                <w:webHidden/>
              </w:rPr>
              <w:fldChar w:fldCharType="separate"/>
            </w:r>
            <w:r w:rsidR="005D4773">
              <w:rPr>
                <w:noProof/>
                <w:webHidden/>
              </w:rPr>
              <w:t>24</w:t>
            </w:r>
            <w:r w:rsidR="00D42808">
              <w:rPr>
                <w:noProof/>
                <w:webHidden/>
              </w:rPr>
              <w:fldChar w:fldCharType="end"/>
            </w:r>
          </w:hyperlink>
        </w:p>
        <w:p w14:paraId="416A501E" w14:textId="5D1A8D5A" w:rsidR="00D42808" w:rsidRDefault="00000000">
          <w:pPr>
            <w:pStyle w:val="TOC2"/>
            <w:rPr>
              <w:rFonts w:eastAsiaTheme="minorEastAsia" w:cstheme="minorBidi"/>
              <w:b w:val="0"/>
              <w:bCs w:val="0"/>
              <w:noProof/>
              <w:szCs w:val="28"/>
              <w:lang w:bidi="th-TH"/>
            </w:rPr>
          </w:pPr>
          <w:hyperlink w:anchor="_Toc112917640" w:history="1">
            <w:r w:rsidR="00D42808" w:rsidRPr="005427CC">
              <w:rPr>
                <w:rStyle w:val="Hyperlink"/>
                <w:rFonts w:ascii="Calibri" w:hAnsi="Calibri" w:cs="Calibri"/>
                <w:noProof/>
              </w:rPr>
              <w:t>9.4.</w:t>
            </w:r>
            <w:r w:rsidR="00D42808">
              <w:rPr>
                <w:rFonts w:eastAsiaTheme="minorEastAsia" w:cstheme="minorBidi"/>
                <w:b w:val="0"/>
                <w:bCs w:val="0"/>
                <w:noProof/>
                <w:szCs w:val="28"/>
                <w:lang w:bidi="th-TH"/>
              </w:rPr>
              <w:tab/>
            </w:r>
            <w:r w:rsidR="00D42808" w:rsidRPr="005427CC">
              <w:rPr>
                <w:rStyle w:val="Hyperlink"/>
                <w:rFonts w:ascii="Calibri" w:hAnsi="Calibri" w:cs="Calibri"/>
                <w:noProof/>
              </w:rPr>
              <w:t>Grading of laboratory abnormalities</w:t>
            </w:r>
            <w:r w:rsidR="00D42808">
              <w:rPr>
                <w:noProof/>
                <w:webHidden/>
              </w:rPr>
              <w:tab/>
            </w:r>
            <w:r w:rsidR="00D42808">
              <w:rPr>
                <w:noProof/>
                <w:webHidden/>
              </w:rPr>
              <w:fldChar w:fldCharType="begin"/>
            </w:r>
            <w:r w:rsidR="00D42808">
              <w:rPr>
                <w:noProof/>
                <w:webHidden/>
              </w:rPr>
              <w:instrText xml:space="preserve"> PAGEREF _Toc112917640 \h </w:instrText>
            </w:r>
            <w:r w:rsidR="00D42808">
              <w:rPr>
                <w:noProof/>
                <w:webHidden/>
              </w:rPr>
            </w:r>
            <w:r w:rsidR="00D42808">
              <w:rPr>
                <w:noProof/>
                <w:webHidden/>
              </w:rPr>
              <w:fldChar w:fldCharType="separate"/>
            </w:r>
            <w:r w:rsidR="005D4773">
              <w:rPr>
                <w:noProof/>
                <w:webHidden/>
              </w:rPr>
              <w:t>25</w:t>
            </w:r>
            <w:r w:rsidR="00D42808">
              <w:rPr>
                <w:noProof/>
                <w:webHidden/>
              </w:rPr>
              <w:fldChar w:fldCharType="end"/>
            </w:r>
          </w:hyperlink>
        </w:p>
        <w:p w14:paraId="26905C14" w14:textId="485073ED" w:rsidR="00D42808" w:rsidRDefault="00000000">
          <w:pPr>
            <w:pStyle w:val="TOC2"/>
            <w:rPr>
              <w:rFonts w:eastAsiaTheme="minorEastAsia" w:cstheme="minorBidi"/>
              <w:b w:val="0"/>
              <w:bCs w:val="0"/>
              <w:noProof/>
              <w:szCs w:val="28"/>
              <w:lang w:bidi="th-TH"/>
            </w:rPr>
          </w:pPr>
          <w:hyperlink w:anchor="_Toc112917641" w:history="1">
            <w:r w:rsidR="00D42808" w:rsidRPr="005427CC">
              <w:rPr>
                <w:rStyle w:val="Hyperlink"/>
                <w:rFonts w:ascii="Calibri" w:hAnsi="Calibri" w:cs="Calibri"/>
                <w:noProof/>
              </w:rPr>
              <w:t>9.5.</w:t>
            </w:r>
            <w:r w:rsidR="00D42808">
              <w:rPr>
                <w:rFonts w:eastAsiaTheme="minorEastAsia" w:cstheme="minorBidi"/>
                <w:b w:val="0"/>
                <w:bCs w:val="0"/>
                <w:noProof/>
                <w:szCs w:val="28"/>
                <w:lang w:bidi="th-TH"/>
              </w:rPr>
              <w:tab/>
            </w:r>
            <w:r w:rsidR="00D42808" w:rsidRPr="005427CC">
              <w:rPr>
                <w:rStyle w:val="Hyperlink"/>
                <w:rFonts w:ascii="Calibri" w:hAnsi="Calibri" w:cs="Calibri"/>
                <w:noProof/>
              </w:rPr>
              <w:t>Reporting Procedures for Serious Adverse Events</w:t>
            </w:r>
            <w:r w:rsidR="00D42808">
              <w:rPr>
                <w:noProof/>
                <w:webHidden/>
              </w:rPr>
              <w:tab/>
            </w:r>
            <w:r w:rsidR="00D42808">
              <w:rPr>
                <w:noProof/>
                <w:webHidden/>
              </w:rPr>
              <w:fldChar w:fldCharType="begin"/>
            </w:r>
            <w:r w:rsidR="00D42808">
              <w:rPr>
                <w:noProof/>
                <w:webHidden/>
              </w:rPr>
              <w:instrText xml:space="preserve"> PAGEREF _Toc112917641 \h </w:instrText>
            </w:r>
            <w:r w:rsidR="00D42808">
              <w:rPr>
                <w:noProof/>
                <w:webHidden/>
              </w:rPr>
            </w:r>
            <w:r w:rsidR="00D42808">
              <w:rPr>
                <w:noProof/>
                <w:webHidden/>
              </w:rPr>
              <w:fldChar w:fldCharType="separate"/>
            </w:r>
            <w:r w:rsidR="005D4773">
              <w:rPr>
                <w:noProof/>
                <w:webHidden/>
              </w:rPr>
              <w:t>25</w:t>
            </w:r>
            <w:r w:rsidR="00D42808">
              <w:rPr>
                <w:noProof/>
                <w:webHidden/>
              </w:rPr>
              <w:fldChar w:fldCharType="end"/>
            </w:r>
          </w:hyperlink>
        </w:p>
        <w:p w14:paraId="0B292231" w14:textId="22E3F9E3" w:rsidR="00D42808" w:rsidRDefault="00000000">
          <w:pPr>
            <w:pStyle w:val="TOC2"/>
            <w:rPr>
              <w:rFonts w:eastAsiaTheme="minorEastAsia" w:cstheme="minorBidi"/>
              <w:b w:val="0"/>
              <w:bCs w:val="0"/>
              <w:noProof/>
              <w:szCs w:val="28"/>
              <w:lang w:bidi="th-TH"/>
            </w:rPr>
          </w:pPr>
          <w:hyperlink w:anchor="_Toc112917642" w:history="1">
            <w:r w:rsidR="00D42808" w:rsidRPr="005427CC">
              <w:rPr>
                <w:rStyle w:val="Hyperlink"/>
                <w:rFonts w:ascii="Calibri" w:hAnsi="Calibri" w:cs="Calibri"/>
                <w:noProof/>
              </w:rPr>
              <w:t>9.6.</w:t>
            </w:r>
            <w:r w:rsidR="00D42808">
              <w:rPr>
                <w:rFonts w:eastAsiaTheme="minorEastAsia" w:cstheme="minorBidi"/>
                <w:b w:val="0"/>
                <w:bCs w:val="0"/>
                <w:noProof/>
                <w:szCs w:val="28"/>
                <w:lang w:bidi="th-TH"/>
              </w:rPr>
              <w:tab/>
            </w:r>
            <w:r w:rsidR="00D42808" w:rsidRPr="005427CC">
              <w:rPr>
                <w:rStyle w:val="Hyperlink"/>
                <w:rFonts w:ascii="Calibri" w:hAnsi="Calibri" w:cs="Calibri"/>
                <w:noProof/>
              </w:rPr>
              <w:t>Data Safety Monitoring Board (DSMB)</w:t>
            </w:r>
            <w:r w:rsidR="00D42808">
              <w:rPr>
                <w:noProof/>
                <w:webHidden/>
              </w:rPr>
              <w:tab/>
            </w:r>
            <w:r w:rsidR="00D42808">
              <w:rPr>
                <w:noProof/>
                <w:webHidden/>
              </w:rPr>
              <w:fldChar w:fldCharType="begin"/>
            </w:r>
            <w:r w:rsidR="00D42808">
              <w:rPr>
                <w:noProof/>
                <w:webHidden/>
              </w:rPr>
              <w:instrText xml:space="preserve"> PAGEREF _Toc112917642 \h </w:instrText>
            </w:r>
            <w:r w:rsidR="00D42808">
              <w:rPr>
                <w:noProof/>
                <w:webHidden/>
              </w:rPr>
            </w:r>
            <w:r w:rsidR="00D42808">
              <w:rPr>
                <w:noProof/>
                <w:webHidden/>
              </w:rPr>
              <w:fldChar w:fldCharType="separate"/>
            </w:r>
            <w:r w:rsidR="005D4773">
              <w:rPr>
                <w:noProof/>
                <w:webHidden/>
              </w:rPr>
              <w:t>26</w:t>
            </w:r>
            <w:r w:rsidR="00D42808">
              <w:rPr>
                <w:noProof/>
                <w:webHidden/>
              </w:rPr>
              <w:fldChar w:fldCharType="end"/>
            </w:r>
          </w:hyperlink>
        </w:p>
        <w:p w14:paraId="44116ABF" w14:textId="6820A8F3" w:rsidR="00D42808" w:rsidRDefault="00000000">
          <w:pPr>
            <w:pStyle w:val="TOC1"/>
            <w:rPr>
              <w:rFonts w:eastAsiaTheme="minorEastAsia" w:cstheme="minorBidi"/>
              <w:b w:val="0"/>
              <w:bCs w:val="0"/>
              <w:i w:val="0"/>
              <w:iCs w:val="0"/>
              <w:noProof/>
              <w:sz w:val="22"/>
              <w:szCs w:val="28"/>
              <w:lang w:bidi="th-TH"/>
            </w:rPr>
          </w:pPr>
          <w:hyperlink w:anchor="_Toc112917643" w:history="1">
            <w:r w:rsidR="00D42808" w:rsidRPr="005427CC">
              <w:rPr>
                <w:rStyle w:val="Hyperlink"/>
                <w:rFonts w:ascii="Calibri" w:hAnsi="Calibri" w:cs="Calibri"/>
                <w:noProof/>
                <w:lang w:val="en-GB"/>
              </w:rPr>
              <w:t>10.</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STATISTICS AND ANALYSIS</w:t>
            </w:r>
            <w:r w:rsidR="00D42808">
              <w:rPr>
                <w:noProof/>
                <w:webHidden/>
              </w:rPr>
              <w:tab/>
            </w:r>
            <w:r w:rsidR="00D42808">
              <w:rPr>
                <w:noProof/>
                <w:webHidden/>
              </w:rPr>
              <w:fldChar w:fldCharType="begin"/>
            </w:r>
            <w:r w:rsidR="00D42808">
              <w:rPr>
                <w:noProof/>
                <w:webHidden/>
              </w:rPr>
              <w:instrText xml:space="preserve"> PAGEREF _Toc112917643 \h </w:instrText>
            </w:r>
            <w:r w:rsidR="00D42808">
              <w:rPr>
                <w:noProof/>
                <w:webHidden/>
              </w:rPr>
            </w:r>
            <w:r w:rsidR="00D42808">
              <w:rPr>
                <w:noProof/>
                <w:webHidden/>
              </w:rPr>
              <w:fldChar w:fldCharType="separate"/>
            </w:r>
            <w:r w:rsidR="005D4773">
              <w:rPr>
                <w:noProof/>
                <w:webHidden/>
              </w:rPr>
              <w:t>26</w:t>
            </w:r>
            <w:r w:rsidR="00D42808">
              <w:rPr>
                <w:noProof/>
                <w:webHidden/>
              </w:rPr>
              <w:fldChar w:fldCharType="end"/>
            </w:r>
          </w:hyperlink>
        </w:p>
        <w:p w14:paraId="6B38FD06" w14:textId="04BA6A0B" w:rsidR="00D42808" w:rsidRDefault="00000000">
          <w:pPr>
            <w:pStyle w:val="TOC2"/>
            <w:rPr>
              <w:rFonts w:eastAsiaTheme="minorEastAsia" w:cstheme="minorBidi"/>
              <w:b w:val="0"/>
              <w:bCs w:val="0"/>
              <w:noProof/>
              <w:szCs w:val="28"/>
              <w:lang w:bidi="th-TH"/>
            </w:rPr>
          </w:pPr>
          <w:hyperlink w:anchor="_Toc112917644" w:history="1">
            <w:r w:rsidR="00D42808" w:rsidRPr="005427CC">
              <w:rPr>
                <w:rStyle w:val="Hyperlink"/>
                <w:rFonts w:ascii="Calibri" w:hAnsi="Calibri" w:cs="Calibri"/>
                <w:noProof/>
              </w:rPr>
              <w:t>10.1.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Overview of adaptive study design and overall approach</w:t>
            </w:r>
            <w:r w:rsidR="00D42808">
              <w:rPr>
                <w:noProof/>
                <w:webHidden/>
              </w:rPr>
              <w:tab/>
            </w:r>
            <w:r w:rsidR="00D42808">
              <w:rPr>
                <w:noProof/>
                <w:webHidden/>
              </w:rPr>
              <w:fldChar w:fldCharType="begin"/>
            </w:r>
            <w:r w:rsidR="00D42808">
              <w:rPr>
                <w:noProof/>
                <w:webHidden/>
              </w:rPr>
              <w:instrText xml:space="preserve"> PAGEREF _Toc112917644 \h </w:instrText>
            </w:r>
            <w:r w:rsidR="00D42808">
              <w:rPr>
                <w:noProof/>
                <w:webHidden/>
              </w:rPr>
            </w:r>
            <w:r w:rsidR="00D42808">
              <w:rPr>
                <w:noProof/>
                <w:webHidden/>
              </w:rPr>
              <w:fldChar w:fldCharType="separate"/>
            </w:r>
            <w:r w:rsidR="005D4773">
              <w:rPr>
                <w:noProof/>
                <w:webHidden/>
              </w:rPr>
              <w:t>26</w:t>
            </w:r>
            <w:r w:rsidR="00D42808">
              <w:rPr>
                <w:noProof/>
                <w:webHidden/>
              </w:rPr>
              <w:fldChar w:fldCharType="end"/>
            </w:r>
          </w:hyperlink>
        </w:p>
        <w:p w14:paraId="044FAEA4" w14:textId="7EEDCE52" w:rsidR="00D42808" w:rsidRDefault="00000000">
          <w:pPr>
            <w:pStyle w:val="TOC2"/>
            <w:rPr>
              <w:rFonts w:eastAsiaTheme="minorEastAsia" w:cstheme="minorBidi"/>
              <w:b w:val="0"/>
              <w:bCs w:val="0"/>
              <w:noProof/>
              <w:szCs w:val="28"/>
              <w:lang w:bidi="th-TH"/>
            </w:rPr>
          </w:pPr>
          <w:hyperlink w:anchor="_Toc112917645" w:history="1">
            <w:r w:rsidR="00D42808" w:rsidRPr="005427CC">
              <w:rPr>
                <w:rStyle w:val="Hyperlink"/>
                <w:rFonts w:ascii="Calibri" w:hAnsi="Calibri" w:cs="Calibri"/>
                <w:noProof/>
              </w:rPr>
              <w:t>10.2.</w:t>
            </w:r>
            <w:r w:rsidR="00D42808">
              <w:rPr>
                <w:rFonts w:eastAsiaTheme="minorEastAsia" w:cstheme="minorBidi"/>
                <w:b w:val="0"/>
                <w:bCs w:val="0"/>
                <w:noProof/>
                <w:szCs w:val="28"/>
                <w:lang w:bidi="th-TH"/>
              </w:rPr>
              <w:tab/>
            </w:r>
            <w:r w:rsidR="00D42808" w:rsidRPr="005427CC">
              <w:rPr>
                <w:rStyle w:val="Hyperlink"/>
                <w:rFonts w:ascii="Calibri" w:hAnsi="Calibri" w:cs="Calibri"/>
                <w:noProof/>
              </w:rPr>
              <w:t>Results of the first interim analysis</w:t>
            </w:r>
            <w:r w:rsidR="00D42808">
              <w:rPr>
                <w:noProof/>
                <w:webHidden/>
              </w:rPr>
              <w:tab/>
            </w:r>
            <w:r w:rsidR="00D42808">
              <w:rPr>
                <w:noProof/>
                <w:webHidden/>
              </w:rPr>
              <w:fldChar w:fldCharType="begin"/>
            </w:r>
            <w:r w:rsidR="00D42808">
              <w:rPr>
                <w:noProof/>
                <w:webHidden/>
              </w:rPr>
              <w:instrText xml:space="preserve"> PAGEREF _Toc112917645 \h </w:instrText>
            </w:r>
            <w:r w:rsidR="00D42808">
              <w:rPr>
                <w:noProof/>
                <w:webHidden/>
              </w:rPr>
            </w:r>
            <w:r w:rsidR="00D42808">
              <w:rPr>
                <w:noProof/>
                <w:webHidden/>
              </w:rPr>
              <w:fldChar w:fldCharType="separate"/>
            </w:r>
            <w:r w:rsidR="005D4773">
              <w:rPr>
                <w:noProof/>
                <w:webHidden/>
              </w:rPr>
              <w:t>27</w:t>
            </w:r>
            <w:r w:rsidR="00D42808">
              <w:rPr>
                <w:noProof/>
                <w:webHidden/>
              </w:rPr>
              <w:fldChar w:fldCharType="end"/>
            </w:r>
          </w:hyperlink>
        </w:p>
        <w:p w14:paraId="7FEB8CEF" w14:textId="20BD1CBF" w:rsidR="00D42808" w:rsidRDefault="00000000">
          <w:pPr>
            <w:pStyle w:val="TOC2"/>
            <w:rPr>
              <w:rFonts w:eastAsiaTheme="minorEastAsia" w:cstheme="minorBidi"/>
              <w:b w:val="0"/>
              <w:bCs w:val="0"/>
              <w:noProof/>
              <w:szCs w:val="28"/>
              <w:lang w:bidi="th-TH"/>
            </w:rPr>
          </w:pPr>
          <w:hyperlink w:anchor="_Toc112917646" w:history="1">
            <w:r w:rsidR="00D42808" w:rsidRPr="005427CC">
              <w:rPr>
                <w:rStyle w:val="Hyperlink"/>
                <w:rFonts w:ascii="Calibri" w:hAnsi="Calibri" w:cs="Calibri"/>
                <w:noProof/>
              </w:rPr>
              <w:t>10.3.</w:t>
            </w:r>
            <w:r w:rsidR="00D42808">
              <w:rPr>
                <w:rFonts w:eastAsiaTheme="minorEastAsia" w:cstheme="minorBidi"/>
                <w:b w:val="0"/>
                <w:bCs w:val="0"/>
                <w:noProof/>
                <w:szCs w:val="28"/>
                <w:lang w:bidi="th-TH"/>
              </w:rPr>
              <w:tab/>
            </w:r>
            <w:r w:rsidR="00D42808" w:rsidRPr="005427CC">
              <w:rPr>
                <w:rStyle w:val="Hyperlink"/>
                <w:rFonts w:ascii="Calibri" w:hAnsi="Calibri" w:cs="Calibri"/>
                <w:noProof/>
              </w:rPr>
              <w:t>Bayesian hierarchical model of viral clearance</w:t>
            </w:r>
            <w:r w:rsidR="00D42808">
              <w:rPr>
                <w:noProof/>
                <w:webHidden/>
              </w:rPr>
              <w:tab/>
            </w:r>
            <w:r w:rsidR="00D42808">
              <w:rPr>
                <w:noProof/>
                <w:webHidden/>
              </w:rPr>
              <w:fldChar w:fldCharType="begin"/>
            </w:r>
            <w:r w:rsidR="00D42808">
              <w:rPr>
                <w:noProof/>
                <w:webHidden/>
              </w:rPr>
              <w:instrText xml:space="preserve"> PAGEREF _Toc112917646 \h </w:instrText>
            </w:r>
            <w:r w:rsidR="00D42808">
              <w:rPr>
                <w:noProof/>
                <w:webHidden/>
              </w:rPr>
            </w:r>
            <w:r w:rsidR="00D42808">
              <w:rPr>
                <w:noProof/>
                <w:webHidden/>
              </w:rPr>
              <w:fldChar w:fldCharType="separate"/>
            </w:r>
            <w:r w:rsidR="005D4773">
              <w:rPr>
                <w:noProof/>
                <w:webHidden/>
              </w:rPr>
              <w:t>28</w:t>
            </w:r>
            <w:r w:rsidR="00D42808">
              <w:rPr>
                <w:noProof/>
                <w:webHidden/>
              </w:rPr>
              <w:fldChar w:fldCharType="end"/>
            </w:r>
          </w:hyperlink>
        </w:p>
        <w:p w14:paraId="0A8AB858" w14:textId="5335C26E" w:rsidR="00D42808" w:rsidRDefault="00000000">
          <w:pPr>
            <w:pStyle w:val="TOC2"/>
            <w:rPr>
              <w:rFonts w:eastAsiaTheme="minorEastAsia" w:cstheme="minorBidi"/>
              <w:b w:val="0"/>
              <w:bCs w:val="0"/>
              <w:noProof/>
              <w:szCs w:val="28"/>
              <w:lang w:bidi="th-TH"/>
            </w:rPr>
          </w:pPr>
          <w:hyperlink w:anchor="_Toc112917647" w:history="1">
            <w:r w:rsidR="00D42808" w:rsidRPr="005427CC">
              <w:rPr>
                <w:rStyle w:val="Hyperlink"/>
                <w:rFonts w:ascii="Calibri" w:hAnsi="Calibri" w:cs="Calibri"/>
                <w:noProof/>
              </w:rPr>
              <w:t>10.4.</w:t>
            </w:r>
            <w:r w:rsidR="00D42808">
              <w:rPr>
                <w:rFonts w:eastAsiaTheme="minorEastAsia" w:cstheme="minorBidi"/>
                <w:b w:val="0"/>
                <w:bCs w:val="0"/>
                <w:noProof/>
                <w:szCs w:val="28"/>
                <w:lang w:bidi="th-TH"/>
              </w:rPr>
              <w:tab/>
            </w:r>
            <w:r w:rsidR="00D42808" w:rsidRPr="005427CC">
              <w:rPr>
                <w:rStyle w:val="Hyperlink"/>
                <w:rFonts w:ascii="Calibri" w:hAnsi="Calibri" w:cs="Calibri"/>
                <w:noProof/>
              </w:rPr>
              <w:t>Time varying effects</w:t>
            </w:r>
            <w:r w:rsidR="00D42808">
              <w:rPr>
                <w:noProof/>
                <w:webHidden/>
              </w:rPr>
              <w:tab/>
            </w:r>
            <w:r w:rsidR="00D42808">
              <w:rPr>
                <w:noProof/>
                <w:webHidden/>
              </w:rPr>
              <w:fldChar w:fldCharType="begin"/>
            </w:r>
            <w:r w:rsidR="00D42808">
              <w:rPr>
                <w:noProof/>
                <w:webHidden/>
              </w:rPr>
              <w:instrText xml:space="preserve"> PAGEREF _Toc112917647 \h </w:instrText>
            </w:r>
            <w:r w:rsidR="00D42808">
              <w:rPr>
                <w:noProof/>
                <w:webHidden/>
              </w:rPr>
            </w:r>
            <w:r w:rsidR="00D42808">
              <w:rPr>
                <w:noProof/>
                <w:webHidden/>
              </w:rPr>
              <w:fldChar w:fldCharType="separate"/>
            </w:r>
            <w:r w:rsidR="005D4773">
              <w:rPr>
                <w:noProof/>
                <w:webHidden/>
              </w:rPr>
              <w:t>28</w:t>
            </w:r>
            <w:r w:rsidR="00D42808">
              <w:rPr>
                <w:noProof/>
                <w:webHidden/>
              </w:rPr>
              <w:fldChar w:fldCharType="end"/>
            </w:r>
          </w:hyperlink>
        </w:p>
        <w:p w14:paraId="06CEC3D7" w14:textId="118AAC8A" w:rsidR="00D42808" w:rsidRDefault="00000000">
          <w:pPr>
            <w:pStyle w:val="TOC2"/>
            <w:rPr>
              <w:rFonts w:eastAsiaTheme="minorEastAsia" w:cstheme="minorBidi"/>
              <w:b w:val="0"/>
              <w:bCs w:val="0"/>
              <w:noProof/>
              <w:szCs w:val="28"/>
              <w:lang w:bidi="th-TH"/>
            </w:rPr>
          </w:pPr>
          <w:hyperlink w:anchor="_Toc112917648" w:history="1">
            <w:r w:rsidR="00D42808" w:rsidRPr="005427CC">
              <w:rPr>
                <w:rStyle w:val="Hyperlink"/>
                <w:rFonts w:ascii="Calibri" w:hAnsi="Calibri"/>
                <w:noProof/>
              </w:rPr>
              <w:t>10.5.</w:t>
            </w:r>
            <w:r w:rsidR="00D42808">
              <w:rPr>
                <w:rFonts w:eastAsiaTheme="minorEastAsia" w:cstheme="minorBidi"/>
                <w:b w:val="0"/>
                <w:bCs w:val="0"/>
                <w:noProof/>
                <w:szCs w:val="28"/>
                <w:lang w:bidi="th-TH"/>
              </w:rPr>
              <w:tab/>
            </w:r>
            <w:r w:rsidR="00D42808" w:rsidRPr="005427CC">
              <w:rPr>
                <w:rStyle w:val="Hyperlink"/>
                <w:rFonts w:ascii="Calibri" w:hAnsi="Calibri"/>
                <w:noProof/>
              </w:rPr>
              <w:t>Sample size estimation, randomisation and statistical considerations for the Bayesian group sequential design</w:t>
            </w:r>
            <w:r w:rsidR="00D42808">
              <w:rPr>
                <w:noProof/>
                <w:webHidden/>
              </w:rPr>
              <w:tab/>
            </w:r>
            <w:r w:rsidR="00D42808">
              <w:rPr>
                <w:noProof/>
                <w:webHidden/>
              </w:rPr>
              <w:fldChar w:fldCharType="begin"/>
            </w:r>
            <w:r w:rsidR="00D42808">
              <w:rPr>
                <w:noProof/>
                <w:webHidden/>
              </w:rPr>
              <w:instrText xml:space="preserve"> PAGEREF _Toc112917648 \h </w:instrText>
            </w:r>
            <w:r w:rsidR="00D42808">
              <w:rPr>
                <w:noProof/>
                <w:webHidden/>
              </w:rPr>
            </w:r>
            <w:r w:rsidR="00D42808">
              <w:rPr>
                <w:noProof/>
                <w:webHidden/>
              </w:rPr>
              <w:fldChar w:fldCharType="separate"/>
            </w:r>
            <w:r w:rsidR="005D4773">
              <w:rPr>
                <w:noProof/>
                <w:webHidden/>
              </w:rPr>
              <w:t>29</w:t>
            </w:r>
            <w:r w:rsidR="00D42808">
              <w:rPr>
                <w:noProof/>
                <w:webHidden/>
              </w:rPr>
              <w:fldChar w:fldCharType="end"/>
            </w:r>
          </w:hyperlink>
        </w:p>
        <w:p w14:paraId="453BC79A" w14:textId="64372A79" w:rsidR="00D42808" w:rsidRDefault="00000000">
          <w:pPr>
            <w:pStyle w:val="TOC2"/>
            <w:rPr>
              <w:rFonts w:eastAsiaTheme="minorEastAsia" w:cstheme="minorBidi"/>
              <w:b w:val="0"/>
              <w:bCs w:val="0"/>
              <w:noProof/>
              <w:szCs w:val="28"/>
              <w:lang w:bidi="th-TH"/>
            </w:rPr>
          </w:pPr>
          <w:hyperlink w:anchor="_Toc112917649" w:history="1">
            <w:r w:rsidR="00D42808" w:rsidRPr="005427CC">
              <w:rPr>
                <w:rStyle w:val="Hyperlink"/>
                <w:rFonts w:ascii="Calibri" w:hAnsi="Calibri" w:cs="Calibri"/>
                <w:noProof/>
              </w:rPr>
              <w:t>10.6.</w:t>
            </w:r>
            <w:r w:rsidR="00D42808">
              <w:rPr>
                <w:rFonts w:eastAsiaTheme="minorEastAsia" w:cstheme="minorBidi"/>
                <w:b w:val="0"/>
                <w:bCs w:val="0"/>
                <w:noProof/>
                <w:szCs w:val="28"/>
                <w:lang w:bidi="th-TH"/>
              </w:rPr>
              <w:tab/>
            </w:r>
            <w:r w:rsidR="00D42808" w:rsidRPr="005427CC">
              <w:rPr>
                <w:rStyle w:val="Hyperlink"/>
                <w:rFonts w:ascii="Calibri" w:hAnsi="Calibri" w:cs="Calibri"/>
                <w:noProof/>
              </w:rPr>
              <w:t>Sample size for the intensive PK-PD sub-study</w:t>
            </w:r>
            <w:r w:rsidR="00D42808">
              <w:rPr>
                <w:noProof/>
                <w:webHidden/>
              </w:rPr>
              <w:tab/>
            </w:r>
            <w:r w:rsidR="00D42808">
              <w:rPr>
                <w:noProof/>
                <w:webHidden/>
              </w:rPr>
              <w:fldChar w:fldCharType="begin"/>
            </w:r>
            <w:r w:rsidR="00D42808">
              <w:rPr>
                <w:noProof/>
                <w:webHidden/>
              </w:rPr>
              <w:instrText xml:space="preserve"> PAGEREF _Toc112917649 \h </w:instrText>
            </w:r>
            <w:r w:rsidR="00D42808">
              <w:rPr>
                <w:noProof/>
                <w:webHidden/>
              </w:rPr>
            </w:r>
            <w:r w:rsidR="00D42808">
              <w:rPr>
                <w:noProof/>
                <w:webHidden/>
              </w:rPr>
              <w:fldChar w:fldCharType="separate"/>
            </w:r>
            <w:r w:rsidR="005D4773">
              <w:rPr>
                <w:noProof/>
                <w:webHidden/>
              </w:rPr>
              <w:t>30</w:t>
            </w:r>
            <w:r w:rsidR="00D42808">
              <w:rPr>
                <w:noProof/>
                <w:webHidden/>
              </w:rPr>
              <w:fldChar w:fldCharType="end"/>
            </w:r>
          </w:hyperlink>
        </w:p>
        <w:p w14:paraId="21653723" w14:textId="5133C7EC" w:rsidR="00D42808" w:rsidRDefault="00000000">
          <w:pPr>
            <w:pStyle w:val="TOC2"/>
            <w:rPr>
              <w:rFonts w:eastAsiaTheme="minorEastAsia" w:cstheme="minorBidi"/>
              <w:b w:val="0"/>
              <w:bCs w:val="0"/>
              <w:noProof/>
              <w:szCs w:val="28"/>
              <w:lang w:bidi="th-TH"/>
            </w:rPr>
          </w:pPr>
          <w:hyperlink w:anchor="_Toc112917650" w:history="1">
            <w:r w:rsidR="00D42808" w:rsidRPr="005427CC">
              <w:rPr>
                <w:rStyle w:val="Hyperlink"/>
                <w:rFonts w:ascii="Calibri" w:hAnsi="Calibri" w:cs="Calibri"/>
                <w:noProof/>
              </w:rPr>
              <w:t>10.7.</w:t>
            </w:r>
            <w:r w:rsidR="00D42808">
              <w:rPr>
                <w:rFonts w:eastAsiaTheme="minorEastAsia" w:cstheme="minorBidi"/>
                <w:b w:val="0"/>
                <w:bCs w:val="0"/>
                <w:noProof/>
                <w:szCs w:val="28"/>
                <w:lang w:bidi="th-TH"/>
              </w:rPr>
              <w:tab/>
            </w:r>
            <w:r w:rsidR="00D42808" w:rsidRPr="005427CC">
              <w:rPr>
                <w:rStyle w:val="Hyperlink"/>
                <w:rFonts w:ascii="Calibri" w:hAnsi="Calibri" w:cs="Calibri"/>
                <w:noProof/>
              </w:rPr>
              <w:t>Final analysis of primary outcome</w:t>
            </w:r>
            <w:r w:rsidR="00D42808">
              <w:rPr>
                <w:noProof/>
                <w:webHidden/>
              </w:rPr>
              <w:tab/>
            </w:r>
            <w:r w:rsidR="00D42808">
              <w:rPr>
                <w:noProof/>
                <w:webHidden/>
              </w:rPr>
              <w:fldChar w:fldCharType="begin"/>
            </w:r>
            <w:r w:rsidR="00D42808">
              <w:rPr>
                <w:noProof/>
                <w:webHidden/>
              </w:rPr>
              <w:instrText xml:space="preserve"> PAGEREF _Toc112917650 \h </w:instrText>
            </w:r>
            <w:r w:rsidR="00D42808">
              <w:rPr>
                <w:noProof/>
                <w:webHidden/>
              </w:rPr>
            </w:r>
            <w:r w:rsidR="00D42808">
              <w:rPr>
                <w:noProof/>
                <w:webHidden/>
              </w:rPr>
              <w:fldChar w:fldCharType="separate"/>
            </w:r>
            <w:r w:rsidR="005D4773">
              <w:rPr>
                <w:noProof/>
                <w:webHidden/>
              </w:rPr>
              <w:t>30</w:t>
            </w:r>
            <w:r w:rsidR="00D42808">
              <w:rPr>
                <w:noProof/>
                <w:webHidden/>
              </w:rPr>
              <w:fldChar w:fldCharType="end"/>
            </w:r>
          </w:hyperlink>
        </w:p>
        <w:p w14:paraId="43010B89" w14:textId="1A881A60" w:rsidR="00D42808" w:rsidRDefault="00000000">
          <w:pPr>
            <w:pStyle w:val="TOC1"/>
            <w:rPr>
              <w:rFonts w:eastAsiaTheme="minorEastAsia" w:cstheme="minorBidi"/>
              <w:b w:val="0"/>
              <w:bCs w:val="0"/>
              <w:i w:val="0"/>
              <w:iCs w:val="0"/>
              <w:noProof/>
              <w:sz w:val="22"/>
              <w:szCs w:val="28"/>
              <w:lang w:bidi="th-TH"/>
            </w:rPr>
          </w:pPr>
          <w:hyperlink w:anchor="_Toc112917651" w:history="1">
            <w:r w:rsidR="00D42808" w:rsidRPr="005427CC">
              <w:rPr>
                <w:rStyle w:val="Hyperlink"/>
                <w:rFonts w:ascii="Calibri" w:hAnsi="Calibri" w:cs="Calibri"/>
                <w:noProof/>
                <w:lang w:val="en-GB"/>
              </w:rPr>
              <w:t>11.</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DATA MANAGEMENT</w:t>
            </w:r>
            <w:r w:rsidR="00D42808">
              <w:rPr>
                <w:noProof/>
                <w:webHidden/>
              </w:rPr>
              <w:tab/>
            </w:r>
            <w:r w:rsidR="00D42808">
              <w:rPr>
                <w:noProof/>
                <w:webHidden/>
              </w:rPr>
              <w:fldChar w:fldCharType="begin"/>
            </w:r>
            <w:r w:rsidR="00D42808">
              <w:rPr>
                <w:noProof/>
                <w:webHidden/>
              </w:rPr>
              <w:instrText xml:space="preserve"> PAGEREF _Toc112917651 \h </w:instrText>
            </w:r>
            <w:r w:rsidR="00D42808">
              <w:rPr>
                <w:noProof/>
                <w:webHidden/>
              </w:rPr>
            </w:r>
            <w:r w:rsidR="00D42808">
              <w:rPr>
                <w:noProof/>
                <w:webHidden/>
              </w:rPr>
              <w:fldChar w:fldCharType="separate"/>
            </w:r>
            <w:r w:rsidR="005D4773">
              <w:rPr>
                <w:noProof/>
                <w:webHidden/>
              </w:rPr>
              <w:t>30</w:t>
            </w:r>
            <w:r w:rsidR="00D42808">
              <w:rPr>
                <w:noProof/>
                <w:webHidden/>
              </w:rPr>
              <w:fldChar w:fldCharType="end"/>
            </w:r>
          </w:hyperlink>
        </w:p>
        <w:p w14:paraId="1A246E19" w14:textId="31F87733" w:rsidR="00D42808" w:rsidRDefault="00000000">
          <w:pPr>
            <w:pStyle w:val="TOC2"/>
            <w:rPr>
              <w:rFonts w:eastAsiaTheme="minorEastAsia" w:cstheme="minorBidi"/>
              <w:b w:val="0"/>
              <w:bCs w:val="0"/>
              <w:noProof/>
              <w:szCs w:val="28"/>
              <w:lang w:bidi="th-TH"/>
            </w:rPr>
          </w:pPr>
          <w:hyperlink w:anchor="_Toc112917652" w:history="1">
            <w:r w:rsidR="00D42808" w:rsidRPr="005427CC">
              <w:rPr>
                <w:rStyle w:val="Hyperlink"/>
                <w:rFonts w:ascii="Calibri" w:hAnsi="Calibri" w:cs="Calibri"/>
                <w:noProof/>
              </w:rPr>
              <w:t>11.1.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Access to Data</w:t>
            </w:r>
            <w:r w:rsidR="00D42808">
              <w:rPr>
                <w:noProof/>
                <w:webHidden/>
              </w:rPr>
              <w:tab/>
            </w:r>
            <w:r w:rsidR="00D42808">
              <w:rPr>
                <w:noProof/>
                <w:webHidden/>
              </w:rPr>
              <w:fldChar w:fldCharType="begin"/>
            </w:r>
            <w:r w:rsidR="00D42808">
              <w:rPr>
                <w:noProof/>
                <w:webHidden/>
              </w:rPr>
              <w:instrText xml:space="preserve"> PAGEREF _Toc112917652 \h </w:instrText>
            </w:r>
            <w:r w:rsidR="00D42808">
              <w:rPr>
                <w:noProof/>
                <w:webHidden/>
              </w:rPr>
            </w:r>
            <w:r w:rsidR="00D42808">
              <w:rPr>
                <w:noProof/>
                <w:webHidden/>
              </w:rPr>
              <w:fldChar w:fldCharType="separate"/>
            </w:r>
            <w:r w:rsidR="005D4773">
              <w:rPr>
                <w:noProof/>
                <w:webHidden/>
              </w:rPr>
              <w:t>30</w:t>
            </w:r>
            <w:r w:rsidR="00D42808">
              <w:rPr>
                <w:noProof/>
                <w:webHidden/>
              </w:rPr>
              <w:fldChar w:fldCharType="end"/>
            </w:r>
          </w:hyperlink>
        </w:p>
        <w:p w14:paraId="02A07B12" w14:textId="71C69618" w:rsidR="00D42808" w:rsidRDefault="00000000">
          <w:pPr>
            <w:pStyle w:val="TOC2"/>
            <w:rPr>
              <w:rFonts w:eastAsiaTheme="minorEastAsia" w:cstheme="minorBidi"/>
              <w:b w:val="0"/>
              <w:bCs w:val="0"/>
              <w:noProof/>
              <w:szCs w:val="28"/>
              <w:lang w:bidi="th-TH"/>
            </w:rPr>
          </w:pPr>
          <w:hyperlink w:anchor="_Toc112917653" w:history="1">
            <w:r w:rsidR="00D42808" w:rsidRPr="005427CC">
              <w:rPr>
                <w:rStyle w:val="Hyperlink"/>
                <w:rFonts w:ascii="Calibri" w:hAnsi="Calibri" w:cs="Calibri"/>
                <w:noProof/>
              </w:rPr>
              <w:t>11.2.</w:t>
            </w:r>
            <w:r w:rsidR="00D42808">
              <w:rPr>
                <w:rFonts w:eastAsiaTheme="minorEastAsia" w:cstheme="minorBidi"/>
                <w:b w:val="0"/>
                <w:bCs w:val="0"/>
                <w:noProof/>
                <w:szCs w:val="28"/>
                <w:lang w:bidi="th-TH"/>
              </w:rPr>
              <w:tab/>
            </w:r>
            <w:r w:rsidR="00D42808" w:rsidRPr="005427CC">
              <w:rPr>
                <w:rStyle w:val="Hyperlink"/>
                <w:rFonts w:ascii="Calibri" w:hAnsi="Calibri" w:cs="Calibri"/>
                <w:noProof/>
              </w:rPr>
              <w:t>Data Handling and Record Keeping</w:t>
            </w:r>
            <w:r w:rsidR="00D42808">
              <w:rPr>
                <w:noProof/>
                <w:webHidden/>
              </w:rPr>
              <w:tab/>
            </w:r>
            <w:r w:rsidR="00D42808">
              <w:rPr>
                <w:noProof/>
                <w:webHidden/>
              </w:rPr>
              <w:fldChar w:fldCharType="begin"/>
            </w:r>
            <w:r w:rsidR="00D42808">
              <w:rPr>
                <w:noProof/>
                <w:webHidden/>
              </w:rPr>
              <w:instrText xml:space="preserve"> PAGEREF _Toc112917653 \h </w:instrText>
            </w:r>
            <w:r w:rsidR="00D42808">
              <w:rPr>
                <w:noProof/>
                <w:webHidden/>
              </w:rPr>
            </w:r>
            <w:r w:rsidR="00D42808">
              <w:rPr>
                <w:noProof/>
                <w:webHidden/>
              </w:rPr>
              <w:fldChar w:fldCharType="separate"/>
            </w:r>
            <w:r w:rsidR="005D4773">
              <w:rPr>
                <w:noProof/>
                <w:webHidden/>
              </w:rPr>
              <w:t>30</w:t>
            </w:r>
            <w:r w:rsidR="00D42808">
              <w:rPr>
                <w:noProof/>
                <w:webHidden/>
              </w:rPr>
              <w:fldChar w:fldCharType="end"/>
            </w:r>
          </w:hyperlink>
        </w:p>
        <w:p w14:paraId="619E07AD" w14:textId="3F01950E" w:rsidR="00D42808" w:rsidRDefault="00000000">
          <w:pPr>
            <w:pStyle w:val="TOC1"/>
            <w:rPr>
              <w:rFonts w:eastAsiaTheme="minorEastAsia" w:cstheme="minorBidi"/>
              <w:b w:val="0"/>
              <w:bCs w:val="0"/>
              <w:i w:val="0"/>
              <w:iCs w:val="0"/>
              <w:noProof/>
              <w:sz w:val="22"/>
              <w:szCs w:val="28"/>
              <w:lang w:bidi="th-TH"/>
            </w:rPr>
          </w:pPr>
          <w:hyperlink w:anchor="_Toc112917654" w:history="1">
            <w:r w:rsidR="00D42808" w:rsidRPr="005427CC">
              <w:rPr>
                <w:rStyle w:val="Hyperlink"/>
                <w:rFonts w:ascii="Calibri" w:hAnsi="Calibri" w:cs="Calibri"/>
                <w:noProof/>
                <w:lang w:val="en-GB"/>
              </w:rPr>
              <w:t>12.</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QUALITY CONTROL AND QUALITY ASSURANCE PROCEDURES</w:t>
            </w:r>
            <w:r w:rsidR="00D42808">
              <w:rPr>
                <w:noProof/>
                <w:webHidden/>
              </w:rPr>
              <w:tab/>
            </w:r>
            <w:r w:rsidR="00D42808">
              <w:rPr>
                <w:noProof/>
                <w:webHidden/>
              </w:rPr>
              <w:fldChar w:fldCharType="begin"/>
            </w:r>
            <w:r w:rsidR="00D42808">
              <w:rPr>
                <w:noProof/>
                <w:webHidden/>
              </w:rPr>
              <w:instrText xml:space="preserve"> PAGEREF _Toc112917654 \h </w:instrText>
            </w:r>
            <w:r w:rsidR="00D42808">
              <w:rPr>
                <w:noProof/>
                <w:webHidden/>
              </w:rPr>
            </w:r>
            <w:r w:rsidR="00D42808">
              <w:rPr>
                <w:noProof/>
                <w:webHidden/>
              </w:rPr>
              <w:fldChar w:fldCharType="separate"/>
            </w:r>
            <w:r w:rsidR="005D4773">
              <w:rPr>
                <w:noProof/>
                <w:webHidden/>
              </w:rPr>
              <w:t>31</w:t>
            </w:r>
            <w:r w:rsidR="00D42808">
              <w:rPr>
                <w:noProof/>
                <w:webHidden/>
              </w:rPr>
              <w:fldChar w:fldCharType="end"/>
            </w:r>
          </w:hyperlink>
        </w:p>
        <w:p w14:paraId="06996327" w14:textId="76059A0D" w:rsidR="00D42808" w:rsidRDefault="00000000">
          <w:pPr>
            <w:pStyle w:val="TOC1"/>
            <w:rPr>
              <w:rFonts w:eastAsiaTheme="minorEastAsia" w:cstheme="minorBidi"/>
              <w:b w:val="0"/>
              <w:bCs w:val="0"/>
              <w:i w:val="0"/>
              <w:iCs w:val="0"/>
              <w:noProof/>
              <w:sz w:val="22"/>
              <w:szCs w:val="28"/>
              <w:lang w:bidi="th-TH"/>
            </w:rPr>
          </w:pPr>
          <w:hyperlink w:anchor="_Toc112917655" w:history="1">
            <w:r w:rsidR="00D42808" w:rsidRPr="005427CC">
              <w:rPr>
                <w:rStyle w:val="Hyperlink"/>
                <w:rFonts w:ascii="Calibri" w:hAnsi="Calibri" w:cs="Calibri"/>
                <w:noProof/>
                <w:lang w:val="en-GB"/>
              </w:rPr>
              <w:t>13.</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ETHICAL AND REGULATORY CONSIDERATIONS</w:t>
            </w:r>
            <w:r w:rsidR="00D42808">
              <w:rPr>
                <w:noProof/>
                <w:webHidden/>
              </w:rPr>
              <w:tab/>
            </w:r>
            <w:r w:rsidR="00D42808">
              <w:rPr>
                <w:noProof/>
                <w:webHidden/>
              </w:rPr>
              <w:fldChar w:fldCharType="begin"/>
            </w:r>
            <w:r w:rsidR="00D42808">
              <w:rPr>
                <w:noProof/>
                <w:webHidden/>
              </w:rPr>
              <w:instrText xml:space="preserve"> PAGEREF _Toc112917655 \h </w:instrText>
            </w:r>
            <w:r w:rsidR="00D42808">
              <w:rPr>
                <w:noProof/>
                <w:webHidden/>
              </w:rPr>
            </w:r>
            <w:r w:rsidR="00D42808">
              <w:rPr>
                <w:noProof/>
                <w:webHidden/>
              </w:rPr>
              <w:fldChar w:fldCharType="separate"/>
            </w:r>
            <w:r w:rsidR="005D4773">
              <w:rPr>
                <w:noProof/>
                <w:webHidden/>
              </w:rPr>
              <w:t>31</w:t>
            </w:r>
            <w:r w:rsidR="00D42808">
              <w:rPr>
                <w:noProof/>
                <w:webHidden/>
              </w:rPr>
              <w:fldChar w:fldCharType="end"/>
            </w:r>
          </w:hyperlink>
        </w:p>
        <w:p w14:paraId="457D777B" w14:textId="59185BA3" w:rsidR="00D42808" w:rsidRDefault="00000000">
          <w:pPr>
            <w:pStyle w:val="TOC2"/>
            <w:rPr>
              <w:rFonts w:eastAsiaTheme="minorEastAsia" w:cstheme="minorBidi"/>
              <w:b w:val="0"/>
              <w:bCs w:val="0"/>
              <w:noProof/>
              <w:szCs w:val="28"/>
              <w:lang w:bidi="th-TH"/>
            </w:rPr>
          </w:pPr>
          <w:hyperlink w:anchor="_Toc112917656" w:history="1">
            <w:r w:rsidR="00D42808" w:rsidRPr="005427CC">
              <w:rPr>
                <w:rStyle w:val="Hyperlink"/>
                <w:rFonts w:ascii="Calibri" w:hAnsi="Calibri" w:cs="Calibri"/>
                <w:noProof/>
              </w:rPr>
              <w:t>13.1.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Declaration of Helsinki</w:t>
            </w:r>
            <w:r w:rsidR="00D42808">
              <w:rPr>
                <w:noProof/>
                <w:webHidden/>
              </w:rPr>
              <w:tab/>
            </w:r>
            <w:r w:rsidR="00D42808">
              <w:rPr>
                <w:noProof/>
                <w:webHidden/>
              </w:rPr>
              <w:fldChar w:fldCharType="begin"/>
            </w:r>
            <w:r w:rsidR="00D42808">
              <w:rPr>
                <w:noProof/>
                <w:webHidden/>
              </w:rPr>
              <w:instrText xml:space="preserve"> PAGEREF _Toc112917656 \h </w:instrText>
            </w:r>
            <w:r w:rsidR="00D42808">
              <w:rPr>
                <w:noProof/>
                <w:webHidden/>
              </w:rPr>
            </w:r>
            <w:r w:rsidR="00D42808">
              <w:rPr>
                <w:noProof/>
                <w:webHidden/>
              </w:rPr>
              <w:fldChar w:fldCharType="separate"/>
            </w:r>
            <w:r w:rsidR="005D4773">
              <w:rPr>
                <w:noProof/>
                <w:webHidden/>
              </w:rPr>
              <w:t>31</w:t>
            </w:r>
            <w:r w:rsidR="00D42808">
              <w:rPr>
                <w:noProof/>
                <w:webHidden/>
              </w:rPr>
              <w:fldChar w:fldCharType="end"/>
            </w:r>
          </w:hyperlink>
        </w:p>
        <w:p w14:paraId="795D78E1" w14:textId="54D6C43B" w:rsidR="00D42808" w:rsidRDefault="00000000">
          <w:pPr>
            <w:pStyle w:val="TOC2"/>
            <w:rPr>
              <w:rFonts w:eastAsiaTheme="minorEastAsia" w:cstheme="minorBidi"/>
              <w:b w:val="0"/>
              <w:bCs w:val="0"/>
              <w:noProof/>
              <w:szCs w:val="28"/>
              <w:lang w:bidi="th-TH"/>
            </w:rPr>
          </w:pPr>
          <w:hyperlink w:anchor="_Toc112917657" w:history="1">
            <w:r w:rsidR="00D42808" w:rsidRPr="005427CC">
              <w:rPr>
                <w:rStyle w:val="Hyperlink"/>
                <w:rFonts w:ascii="Calibri" w:hAnsi="Calibri" w:cs="Calibri"/>
                <w:noProof/>
              </w:rPr>
              <w:t>13.2.</w:t>
            </w:r>
            <w:r w:rsidR="00D42808">
              <w:rPr>
                <w:rFonts w:eastAsiaTheme="minorEastAsia" w:cstheme="minorBidi"/>
                <w:b w:val="0"/>
                <w:bCs w:val="0"/>
                <w:noProof/>
                <w:szCs w:val="28"/>
                <w:lang w:bidi="th-TH"/>
              </w:rPr>
              <w:tab/>
            </w:r>
            <w:r w:rsidR="00D42808" w:rsidRPr="005427CC">
              <w:rPr>
                <w:rStyle w:val="Hyperlink"/>
                <w:rFonts w:ascii="Calibri" w:hAnsi="Calibri" w:cs="Calibri"/>
                <w:noProof/>
              </w:rPr>
              <w:t>Guidelines for Good Clinical Practice</w:t>
            </w:r>
            <w:r w:rsidR="00D42808">
              <w:rPr>
                <w:noProof/>
                <w:webHidden/>
              </w:rPr>
              <w:tab/>
            </w:r>
            <w:r w:rsidR="00D42808">
              <w:rPr>
                <w:noProof/>
                <w:webHidden/>
              </w:rPr>
              <w:fldChar w:fldCharType="begin"/>
            </w:r>
            <w:r w:rsidR="00D42808">
              <w:rPr>
                <w:noProof/>
                <w:webHidden/>
              </w:rPr>
              <w:instrText xml:space="preserve"> PAGEREF _Toc112917657 \h </w:instrText>
            </w:r>
            <w:r w:rsidR="00D42808">
              <w:rPr>
                <w:noProof/>
                <w:webHidden/>
              </w:rPr>
            </w:r>
            <w:r w:rsidR="00D42808">
              <w:rPr>
                <w:noProof/>
                <w:webHidden/>
              </w:rPr>
              <w:fldChar w:fldCharType="separate"/>
            </w:r>
            <w:r w:rsidR="005D4773">
              <w:rPr>
                <w:noProof/>
                <w:webHidden/>
              </w:rPr>
              <w:t>31</w:t>
            </w:r>
            <w:r w:rsidR="00D42808">
              <w:rPr>
                <w:noProof/>
                <w:webHidden/>
              </w:rPr>
              <w:fldChar w:fldCharType="end"/>
            </w:r>
          </w:hyperlink>
        </w:p>
        <w:p w14:paraId="11F34FB8" w14:textId="12E2D0F9" w:rsidR="00D42808" w:rsidRDefault="00000000">
          <w:pPr>
            <w:pStyle w:val="TOC2"/>
            <w:rPr>
              <w:rFonts w:eastAsiaTheme="minorEastAsia" w:cstheme="minorBidi"/>
              <w:b w:val="0"/>
              <w:bCs w:val="0"/>
              <w:noProof/>
              <w:szCs w:val="28"/>
              <w:lang w:bidi="th-TH"/>
            </w:rPr>
          </w:pPr>
          <w:hyperlink w:anchor="_Toc112917658" w:history="1">
            <w:r w:rsidR="00D42808" w:rsidRPr="005427CC">
              <w:rPr>
                <w:rStyle w:val="Hyperlink"/>
                <w:rFonts w:ascii="Calibri" w:hAnsi="Calibri" w:cs="Calibri"/>
                <w:noProof/>
              </w:rPr>
              <w:t>13.3.</w:t>
            </w:r>
            <w:r w:rsidR="00D42808">
              <w:rPr>
                <w:rFonts w:eastAsiaTheme="minorEastAsia" w:cstheme="minorBidi"/>
                <w:b w:val="0"/>
                <w:bCs w:val="0"/>
                <w:noProof/>
                <w:szCs w:val="28"/>
                <w:lang w:bidi="th-TH"/>
              </w:rPr>
              <w:tab/>
            </w:r>
            <w:r w:rsidR="00D42808" w:rsidRPr="005427CC">
              <w:rPr>
                <w:rStyle w:val="Hyperlink"/>
                <w:rFonts w:ascii="Calibri" w:hAnsi="Calibri" w:cs="Calibri"/>
                <w:noProof/>
              </w:rPr>
              <w:t>Approvals</w:t>
            </w:r>
            <w:r w:rsidR="00D42808">
              <w:rPr>
                <w:noProof/>
                <w:webHidden/>
              </w:rPr>
              <w:tab/>
            </w:r>
            <w:r w:rsidR="00D42808">
              <w:rPr>
                <w:noProof/>
                <w:webHidden/>
              </w:rPr>
              <w:fldChar w:fldCharType="begin"/>
            </w:r>
            <w:r w:rsidR="00D42808">
              <w:rPr>
                <w:noProof/>
                <w:webHidden/>
              </w:rPr>
              <w:instrText xml:space="preserve"> PAGEREF _Toc112917658 \h </w:instrText>
            </w:r>
            <w:r w:rsidR="00D42808">
              <w:rPr>
                <w:noProof/>
                <w:webHidden/>
              </w:rPr>
            </w:r>
            <w:r w:rsidR="00D42808">
              <w:rPr>
                <w:noProof/>
                <w:webHidden/>
              </w:rPr>
              <w:fldChar w:fldCharType="separate"/>
            </w:r>
            <w:r w:rsidR="005D4773">
              <w:rPr>
                <w:noProof/>
                <w:webHidden/>
              </w:rPr>
              <w:t>32</w:t>
            </w:r>
            <w:r w:rsidR="00D42808">
              <w:rPr>
                <w:noProof/>
                <w:webHidden/>
              </w:rPr>
              <w:fldChar w:fldCharType="end"/>
            </w:r>
          </w:hyperlink>
        </w:p>
        <w:p w14:paraId="3E46029C" w14:textId="62DD0DB0" w:rsidR="00D42808" w:rsidRDefault="00000000">
          <w:pPr>
            <w:pStyle w:val="TOC2"/>
            <w:rPr>
              <w:rFonts w:eastAsiaTheme="minorEastAsia" w:cstheme="minorBidi"/>
              <w:b w:val="0"/>
              <w:bCs w:val="0"/>
              <w:noProof/>
              <w:szCs w:val="28"/>
              <w:lang w:bidi="th-TH"/>
            </w:rPr>
          </w:pPr>
          <w:hyperlink w:anchor="_Toc112917659" w:history="1">
            <w:r w:rsidR="00D42808" w:rsidRPr="005427CC">
              <w:rPr>
                <w:rStyle w:val="Hyperlink"/>
                <w:rFonts w:ascii="Calibri" w:hAnsi="Calibri" w:cs="Calibri"/>
                <w:noProof/>
              </w:rPr>
              <w:t>13.4.</w:t>
            </w:r>
            <w:r w:rsidR="00D42808">
              <w:rPr>
                <w:rFonts w:eastAsiaTheme="minorEastAsia" w:cstheme="minorBidi"/>
                <w:b w:val="0"/>
                <w:bCs w:val="0"/>
                <w:noProof/>
                <w:szCs w:val="28"/>
                <w:lang w:bidi="th-TH"/>
              </w:rPr>
              <w:tab/>
            </w:r>
            <w:r w:rsidR="00D42808" w:rsidRPr="005427CC">
              <w:rPr>
                <w:rStyle w:val="Hyperlink"/>
                <w:rFonts w:ascii="Calibri" w:hAnsi="Calibri" w:cs="Calibri"/>
                <w:noProof/>
              </w:rPr>
              <w:t>Patient Confidentiality</w:t>
            </w:r>
            <w:r w:rsidR="00D42808">
              <w:rPr>
                <w:noProof/>
                <w:webHidden/>
              </w:rPr>
              <w:tab/>
            </w:r>
            <w:r w:rsidR="00D42808">
              <w:rPr>
                <w:noProof/>
                <w:webHidden/>
              </w:rPr>
              <w:fldChar w:fldCharType="begin"/>
            </w:r>
            <w:r w:rsidR="00D42808">
              <w:rPr>
                <w:noProof/>
                <w:webHidden/>
              </w:rPr>
              <w:instrText xml:space="preserve"> PAGEREF _Toc112917659 \h </w:instrText>
            </w:r>
            <w:r w:rsidR="00D42808">
              <w:rPr>
                <w:noProof/>
                <w:webHidden/>
              </w:rPr>
            </w:r>
            <w:r w:rsidR="00D42808">
              <w:rPr>
                <w:noProof/>
                <w:webHidden/>
              </w:rPr>
              <w:fldChar w:fldCharType="separate"/>
            </w:r>
            <w:r w:rsidR="005D4773">
              <w:rPr>
                <w:noProof/>
                <w:webHidden/>
              </w:rPr>
              <w:t>32</w:t>
            </w:r>
            <w:r w:rsidR="00D42808">
              <w:rPr>
                <w:noProof/>
                <w:webHidden/>
              </w:rPr>
              <w:fldChar w:fldCharType="end"/>
            </w:r>
          </w:hyperlink>
        </w:p>
        <w:p w14:paraId="1EDF006D" w14:textId="552A32DD" w:rsidR="00D42808" w:rsidRDefault="00000000">
          <w:pPr>
            <w:pStyle w:val="TOC2"/>
            <w:rPr>
              <w:rFonts w:eastAsiaTheme="minorEastAsia" w:cstheme="minorBidi"/>
              <w:b w:val="0"/>
              <w:bCs w:val="0"/>
              <w:noProof/>
              <w:szCs w:val="28"/>
              <w:lang w:bidi="th-TH"/>
            </w:rPr>
          </w:pPr>
          <w:hyperlink w:anchor="_Toc112917660" w:history="1">
            <w:r w:rsidR="00D42808" w:rsidRPr="005427CC">
              <w:rPr>
                <w:rStyle w:val="Hyperlink"/>
                <w:rFonts w:ascii="Calibri" w:hAnsi="Calibri" w:cs="Calibri"/>
                <w:noProof/>
              </w:rPr>
              <w:t>13.5.</w:t>
            </w:r>
            <w:r w:rsidR="00D42808">
              <w:rPr>
                <w:rFonts w:eastAsiaTheme="minorEastAsia" w:cstheme="minorBidi"/>
                <w:b w:val="0"/>
                <w:bCs w:val="0"/>
                <w:noProof/>
                <w:szCs w:val="28"/>
                <w:lang w:bidi="th-TH"/>
              </w:rPr>
              <w:tab/>
            </w:r>
            <w:r w:rsidR="00D42808" w:rsidRPr="005427CC">
              <w:rPr>
                <w:rStyle w:val="Hyperlink"/>
                <w:rFonts w:ascii="Calibri" w:hAnsi="Calibri" w:cs="Calibri"/>
                <w:noProof/>
              </w:rPr>
              <w:t>Expenses</w:t>
            </w:r>
            <w:r w:rsidR="00D42808">
              <w:rPr>
                <w:noProof/>
                <w:webHidden/>
              </w:rPr>
              <w:tab/>
            </w:r>
            <w:r w:rsidR="00D42808">
              <w:rPr>
                <w:noProof/>
                <w:webHidden/>
              </w:rPr>
              <w:fldChar w:fldCharType="begin"/>
            </w:r>
            <w:r w:rsidR="00D42808">
              <w:rPr>
                <w:noProof/>
                <w:webHidden/>
              </w:rPr>
              <w:instrText xml:space="preserve"> PAGEREF _Toc112917660 \h </w:instrText>
            </w:r>
            <w:r w:rsidR="00D42808">
              <w:rPr>
                <w:noProof/>
                <w:webHidden/>
              </w:rPr>
            </w:r>
            <w:r w:rsidR="00D42808">
              <w:rPr>
                <w:noProof/>
                <w:webHidden/>
              </w:rPr>
              <w:fldChar w:fldCharType="separate"/>
            </w:r>
            <w:r w:rsidR="005D4773">
              <w:rPr>
                <w:noProof/>
                <w:webHidden/>
              </w:rPr>
              <w:t>32</w:t>
            </w:r>
            <w:r w:rsidR="00D42808">
              <w:rPr>
                <w:noProof/>
                <w:webHidden/>
              </w:rPr>
              <w:fldChar w:fldCharType="end"/>
            </w:r>
          </w:hyperlink>
        </w:p>
        <w:p w14:paraId="6C2022B2" w14:textId="20079E27" w:rsidR="00D42808" w:rsidRDefault="00000000">
          <w:pPr>
            <w:pStyle w:val="TOC2"/>
            <w:rPr>
              <w:rFonts w:eastAsiaTheme="minorEastAsia" w:cstheme="minorBidi"/>
              <w:b w:val="0"/>
              <w:bCs w:val="0"/>
              <w:noProof/>
              <w:szCs w:val="28"/>
              <w:lang w:bidi="th-TH"/>
            </w:rPr>
          </w:pPr>
          <w:hyperlink w:anchor="_Toc112917661" w:history="1">
            <w:r w:rsidR="00D42808" w:rsidRPr="005427CC">
              <w:rPr>
                <w:rStyle w:val="Hyperlink"/>
                <w:rFonts w:ascii="Calibri" w:hAnsi="Calibri" w:cs="Calibri"/>
                <w:noProof/>
              </w:rPr>
              <w:t>13.6.</w:t>
            </w:r>
            <w:r w:rsidR="00D42808">
              <w:rPr>
                <w:rFonts w:eastAsiaTheme="minorEastAsia" w:cstheme="minorBidi"/>
                <w:b w:val="0"/>
                <w:bCs w:val="0"/>
                <w:noProof/>
                <w:szCs w:val="28"/>
                <w:lang w:bidi="th-TH"/>
              </w:rPr>
              <w:tab/>
            </w:r>
            <w:r w:rsidR="00D42808" w:rsidRPr="005427CC">
              <w:rPr>
                <w:rStyle w:val="Hyperlink"/>
                <w:rFonts w:ascii="Calibri" w:hAnsi="Calibri" w:cs="Calibri"/>
                <w:noProof/>
              </w:rPr>
              <w:t>Risk</w:t>
            </w:r>
            <w:r w:rsidR="00D42808">
              <w:rPr>
                <w:noProof/>
                <w:webHidden/>
              </w:rPr>
              <w:tab/>
            </w:r>
            <w:r w:rsidR="00D42808">
              <w:rPr>
                <w:noProof/>
                <w:webHidden/>
              </w:rPr>
              <w:fldChar w:fldCharType="begin"/>
            </w:r>
            <w:r w:rsidR="00D42808">
              <w:rPr>
                <w:noProof/>
                <w:webHidden/>
              </w:rPr>
              <w:instrText xml:space="preserve"> PAGEREF _Toc112917661 \h </w:instrText>
            </w:r>
            <w:r w:rsidR="00D42808">
              <w:rPr>
                <w:noProof/>
                <w:webHidden/>
              </w:rPr>
            </w:r>
            <w:r w:rsidR="00D42808">
              <w:rPr>
                <w:noProof/>
                <w:webHidden/>
              </w:rPr>
              <w:fldChar w:fldCharType="separate"/>
            </w:r>
            <w:r w:rsidR="005D4773">
              <w:rPr>
                <w:noProof/>
                <w:webHidden/>
              </w:rPr>
              <w:t>32</w:t>
            </w:r>
            <w:r w:rsidR="00D42808">
              <w:rPr>
                <w:noProof/>
                <w:webHidden/>
              </w:rPr>
              <w:fldChar w:fldCharType="end"/>
            </w:r>
          </w:hyperlink>
        </w:p>
        <w:p w14:paraId="27E00359" w14:textId="5D104B7A" w:rsidR="00D42808" w:rsidRDefault="00000000">
          <w:pPr>
            <w:pStyle w:val="TOC2"/>
            <w:rPr>
              <w:rFonts w:eastAsiaTheme="minorEastAsia" w:cstheme="minorBidi"/>
              <w:b w:val="0"/>
              <w:bCs w:val="0"/>
              <w:noProof/>
              <w:szCs w:val="28"/>
              <w:lang w:bidi="th-TH"/>
            </w:rPr>
          </w:pPr>
          <w:hyperlink w:anchor="_Toc112917662" w:history="1">
            <w:r w:rsidR="00D42808" w:rsidRPr="005427CC">
              <w:rPr>
                <w:rStyle w:val="Hyperlink"/>
                <w:rFonts w:ascii="Calibri" w:hAnsi="Calibri" w:cs="Calibri"/>
                <w:noProof/>
              </w:rPr>
              <w:t>13.7.</w:t>
            </w:r>
            <w:r w:rsidR="00D42808">
              <w:rPr>
                <w:rFonts w:eastAsiaTheme="minorEastAsia" w:cstheme="minorBidi"/>
                <w:b w:val="0"/>
                <w:bCs w:val="0"/>
                <w:noProof/>
                <w:szCs w:val="28"/>
                <w:lang w:bidi="th-TH"/>
              </w:rPr>
              <w:tab/>
            </w:r>
            <w:r w:rsidR="00D42808" w:rsidRPr="005427CC">
              <w:rPr>
                <w:rStyle w:val="Hyperlink"/>
                <w:rFonts w:ascii="Calibri" w:hAnsi="Calibri" w:cs="Calibri"/>
                <w:noProof/>
              </w:rPr>
              <w:t>Benefits</w:t>
            </w:r>
            <w:r w:rsidR="00D42808">
              <w:rPr>
                <w:noProof/>
                <w:webHidden/>
              </w:rPr>
              <w:tab/>
            </w:r>
            <w:r w:rsidR="00D42808">
              <w:rPr>
                <w:noProof/>
                <w:webHidden/>
              </w:rPr>
              <w:fldChar w:fldCharType="begin"/>
            </w:r>
            <w:r w:rsidR="00D42808">
              <w:rPr>
                <w:noProof/>
                <w:webHidden/>
              </w:rPr>
              <w:instrText xml:space="preserve"> PAGEREF _Toc112917662 \h </w:instrText>
            </w:r>
            <w:r w:rsidR="00D42808">
              <w:rPr>
                <w:noProof/>
                <w:webHidden/>
              </w:rPr>
            </w:r>
            <w:r w:rsidR="00D42808">
              <w:rPr>
                <w:noProof/>
                <w:webHidden/>
              </w:rPr>
              <w:fldChar w:fldCharType="separate"/>
            </w:r>
            <w:r w:rsidR="005D4773">
              <w:rPr>
                <w:noProof/>
                <w:webHidden/>
              </w:rPr>
              <w:t>32</w:t>
            </w:r>
            <w:r w:rsidR="00D42808">
              <w:rPr>
                <w:noProof/>
                <w:webHidden/>
              </w:rPr>
              <w:fldChar w:fldCharType="end"/>
            </w:r>
          </w:hyperlink>
        </w:p>
        <w:p w14:paraId="57ED2A66" w14:textId="25753297" w:rsidR="00D42808" w:rsidRDefault="00000000">
          <w:pPr>
            <w:pStyle w:val="TOC2"/>
            <w:rPr>
              <w:rFonts w:eastAsiaTheme="minorEastAsia" w:cstheme="minorBidi"/>
              <w:b w:val="0"/>
              <w:bCs w:val="0"/>
              <w:noProof/>
              <w:szCs w:val="28"/>
              <w:lang w:bidi="th-TH"/>
            </w:rPr>
          </w:pPr>
          <w:hyperlink w:anchor="_Toc112917663" w:history="1">
            <w:r w:rsidR="00D42808" w:rsidRPr="005427CC">
              <w:rPr>
                <w:rStyle w:val="Hyperlink"/>
                <w:rFonts w:ascii="Calibri" w:hAnsi="Calibri" w:cs="Calibri"/>
                <w:noProof/>
              </w:rPr>
              <w:t>13.8.</w:t>
            </w:r>
            <w:r w:rsidR="00D42808">
              <w:rPr>
                <w:rFonts w:eastAsiaTheme="minorEastAsia" w:cstheme="minorBidi"/>
                <w:b w:val="0"/>
                <w:bCs w:val="0"/>
                <w:noProof/>
                <w:szCs w:val="28"/>
                <w:lang w:bidi="th-TH"/>
              </w:rPr>
              <w:tab/>
            </w:r>
            <w:r w:rsidR="00D42808" w:rsidRPr="005427CC">
              <w:rPr>
                <w:rStyle w:val="Hyperlink"/>
                <w:rFonts w:ascii="Calibri" w:hAnsi="Calibri" w:cs="Calibri"/>
                <w:noProof/>
              </w:rPr>
              <w:t>Reporting</w:t>
            </w:r>
            <w:r w:rsidR="00D42808">
              <w:rPr>
                <w:noProof/>
                <w:webHidden/>
              </w:rPr>
              <w:tab/>
            </w:r>
            <w:r w:rsidR="00D42808">
              <w:rPr>
                <w:noProof/>
                <w:webHidden/>
              </w:rPr>
              <w:fldChar w:fldCharType="begin"/>
            </w:r>
            <w:r w:rsidR="00D42808">
              <w:rPr>
                <w:noProof/>
                <w:webHidden/>
              </w:rPr>
              <w:instrText xml:space="preserve"> PAGEREF _Toc112917663 \h </w:instrText>
            </w:r>
            <w:r w:rsidR="00D42808">
              <w:rPr>
                <w:noProof/>
                <w:webHidden/>
              </w:rPr>
            </w:r>
            <w:r w:rsidR="00D42808">
              <w:rPr>
                <w:noProof/>
                <w:webHidden/>
              </w:rPr>
              <w:fldChar w:fldCharType="separate"/>
            </w:r>
            <w:r w:rsidR="005D4773">
              <w:rPr>
                <w:noProof/>
                <w:webHidden/>
              </w:rPr>
              <w:t>32</w:t>
            </w:r>
            <w:r w:rsidR="00D42808">
              <w:rPr>
                <w:noProof/>
                <w:webHidden/>
              </w:rPr>
              <w:fldChar w:fldCharType="end"/>
            </w:r>
          </w:hyperlink>
        </w:p>
        <w:p w14:paraId="40806651" w14:textId="75C20D1A" w:rsidR="00D42808" w:rsidRDefault="00000000">
          <w:pPr>
            <w:pStyle w:val="TOC2"/>
            <w:rPr>
              <w:rFonts w:eastAsiaTheme="minorEastAsia" w:cstheme="minorBidi"/>
              <w:b w:val="0"/>
              <w:bCs w:val="0"/>
              <w:noProof/>
              <w:szCs w:val="28"/>
              <w:lang w:bidi="th-TH"/>
            </w:rPr>
          </w:pPr>
          <w:hyperlink w:anchor="_Toc112917664" w:history="1">
            <w:r w:rsidR="00D42808" w:rsidRPr="005427CC">
              <w:rPr>
                <w:rStyle w:val="Hyperlink"/>
                <w:rFonts w:ascii="Calibri" w:hAnsi="Calibri" w:cs="Calibri"/>
                <w:noProof/>
              </w:rPr>
              <w:t>13.9.</w:t>
            </w:r>
            <w:r w:rsidR="00D42808">
              <w:rPr>
                <w:rFonts w:eastAsiaTheme="minorEastAsia" w:cstheme="minorBidi"/>
                <w:b w:val="0"/>
                <w:bCs w:val="0"/>
                <w:noProof/>
                <w:szCs w:val="28"/>
                <w:lang w:bidi="th-TH"/>
              </w:rPr>
              <w:tab/>
            </w:r>
            <w:r w:rsidR="00D42808" w:rsidRPr="005427CC">
              <w:rPr>
                <w:rStyle w:val="Hyperlink"/>
                <w:rFonts w:ascii="Calibri" w:hAnsi="Calibri" w:cs="Calibri"/>
                <w:noProof/>
              </w:rPr>
              <w:t>Finance and insurance</w:t>
            </w:r>
            <w:r w:rsidR="00D42808">
              <w:rPr>
                <w:noProof/>
                <w:webHidden/>
              </w:rPr>
              <w:tab/>
            </w:r>
            <w:r w:rsidR="00D42808">
              <w:rPr>
                <w:noProof/>
                <w:webHidden/>
              </w:rPr>
              <w:fldChar w:fldCharType="begin"/>
            </w:r>
            <w:r w:rsidR="00D42808">
              <w:rPr>
                <w:noProof/>
                <w:webHidden/>
              </w:rPr>
              <w:instrText xml:space="preserve"> PAGEREF _Toc112917664 \h </w:instrText>
            </w:r>
            <w:r w:rsidR="00D42808">
              <w:rPr>
                <w:noProof/>
                <w:webHidden/>
              </w:rPr>
            </w:r>
            <w:r w:rsidR="00D42808">
              <w:rPr>
                <w:noProof/>
                <w:webHidden/>
              </w:rPr>
              <w:fldChar w:fldCharType="separate"/>
            </w:r>
            <w:r w:rsidR="005D4773">
              <w:rPr>
                <w:noProof/>
                <w:webHidden/>
              </w:rPr>
              <w:t>32</w:t>
            </w:r>
            <w:r w:rsidR="00D42808">
              <w:rPr>
                <w:noProof/>
                <w:webHidden/>
              </w:rPr>
              <w:fldChar w:fldCharType="end"/>
            </w:r>
          </w:hyperlink>
        </w:p>
        <w:p w14:paraId="18E21469" w14:textId="5F86A941" w:rsidR="00D42808" w:rsidRDefault="00000000">
          <w:pPr>
            <w:pStyle w:val="TOC2"/>
            <w:rPr>
              <w:rFonts w:eastAsiaTheme="minorEastAsia" w:cstheme="minorBidi"/>
              <w:b w:val="0"/>
              <w:bCs w:val="0"/>
              <w:noProof/>
              <w:szCs w:val="28"/>
              <w:lang w:bidi="th-TH"/>
            </w:rPr>
          </w:pPr>
          <w:hyperlink w:anchor="_Toc112917665" w:history="1">
            <w:r w:rsidR="00D42808" w:rsidRPr="005427CC">
              <w:rPr>
                <w:rStyle w:val="Hyperlink"/>
                <w:rFonts w:ascii="Calibri" w:hAnsi="Calibri" w:cs="Calibri"/>
                <w:noProof/>
              </w:rPr>
              <w:t>13.10.</w:t>
            </w:r>
            <w:r w:rsidR="00D42808">
              <w:rPr>
                <w:rFonts w:eastAsiaTheme="minorEastAsia" w:cstheme="minorBidi"/>
                <w:b w:val="0"/>
                <w:bCs w:val="0"/>
                <w:noProof/>
                <w:szCs w:val="28"/>
                <w:lang w:bidi="th-TH"/>
              </w:rPr>
              <w:tab/>
            </w:r>
            <w:r w:rsidR="00D42808" w:rsidRPr="005427CC">
              <w:rPr>
                <w:rStyle w:val="Hyperlink"/>
                <w:rFonts w:ascii="Calibri" w:hAnsi="Calibri" w:cs="Calibri"/>
                <w:noProof/>
              </w:rPr>
              <w:t>Data ownership</w:t>
            </w:r>
            <w:r w:rsidR="00D42808">
              <w:rPr>
                <w:noProof/>
                <w:webHidden/>
              </w:rPr>
              <w:tab/>
            </w:r>
            <w:r w:rsidR="00D42808">
              <w:rPr>
                <w:noProof/>
                <w:webHidden/>
              </w:rPr>
              <w:fldChar w:fldCharType="begin"/>
            </w:r>
            <w:r w:rsidR="00D42808">
              <w:rPr>
                <w:noProof/>
                <w:webHidden/>
              </w:rPr>
              <w:instrText xml:space="preserve"> PAGEREF _Toc112917665 \h </w:instrText>
            </w:r>
            <w:r w:rsidR="00D42808">
              <w:rPr>
                <w:noProof/>
                <w:webHidden/>
              </w:rPr>
            </w:r>
            <w:r w:rsidR="00D42808">
              <w:rPr>
                <w:noProof/>
                <w:webHidden/>
              </w:rPr>
              <w:fldChar w:fldCharType="separate"/>
            </w:r>
            <w:r w:rsidR="005D4773">
              <w:rPr>
                <w:noProof/>
                <w:webHidden/>
              </w:rPr>
              <w:t>33</w:t>
            </w:r>
            <w:r w:rsidR="00D42808">
              <w:rPr>
                <w:noProof/>
                <w:webHidden/>
              </w:rPr>
              <w:fldChar w:fldCharType="end"/>
            </w:r>
          </w:hyperlink>
        </w:p>
        <w:p w14:paraId="3435B199" w14:textId="4F39DFF1" w:rsidR="00D42808" w:rsidRDefault="00000000">
          <w:pPr>
            <w:pStyle w:val="TOC2"/>
            <w:rPr>
              <w:rFonts w:eastAsiaTheme="minorEastAsia" w:cstheme="minorBidi"/>
              <w:b w:val="0"/>
              <w:bCs w:val="0"/>
              <w:noProof/>
              <w:szCs w:val="28"/>
              <w:lang w:bidi="th-TH"/>
            </w:rPr>
          </w:pPr>
          <w:hyperlink w:anchor="_Toc112917666" w:history="1">
            <w:r w:rsidR="00D42808" w:rsidRPr="005427CC">
              <w:rPr>
                <w:rStyle w:val="Hyperlink"/>
                <w:rFonts w:ascii="Calibri" w:hAnsi="Calibri" w:cs="Calibri"/>
                <w:noProof/>
              </w:rPr>
              <w:t>13.11.</w:t>
            </w:r>
            <w:r w:rsidR="00D42808">
              <w:rPr>
                <w:rFonts w:eastAsiaTheme="minorEastAsia" w:cstheme="minorBidi"/>
                <w:b w:val="0"/>
                <w:bCs w:val="0"/>
                <w:noProof/>
                <w:szCs w:val="28"/>
                <w:lang w:bidi="th-TH"/>
              </w:rPr>
              <w:tab/>
            </w:r>
            <w:r w:rsidR="00D42808" w:rsidRPr="005427CC">
              <w:rPr>
                <w:rStyle w:val="Hyperlink"/>
                <w:rFonts w:ascii="Calibri" w:hAnsi="Calibri" w:cs="Calibri"/>
                <w:noProof/>
              </w:rPr>
              <w:t>Publication policy</w:t>
            </w:r>
            <w:r w:rsidR="00D42808">
              <w:rPr>
                <w:noProof/>
                <w:webHidden/>
              </w:rPr>
              <w:tab/>
            </w:r>
            <w:r w:rsidR="00D42808">
              <w:rPr>
                <w:noProof/>
                <w:webHidden/>
              </w:rPr>
              <w:fldChar w:fldCharType="begin"/>
            </w:r>
            <w:r w:rsidR="00D42808">
              <w:rPr>
                <w:noProof/>
                <w:webHidden/>
              </w:rPr>
              <w:instrText xml:space="preserve"> PAGEREF _Toc112917666 \h </w:instrText>
            </w:r>
            <w:r w:rsidR="00D42808">
              <w:rPr>
                <w:noProof/>
                <w:webHidden/>
              </w:rPr>
            </w:r>
            <w:r w:rsidR="00D42808">
              <w:rPr>
                <w:noProof/>
                <w:webHidden/>
              </w:rPr>
              <w:fldChar w:fldCharType="separate"/>
            </w:r>
            <w:r w:rsidR="005D4773">
              <w:rPr>
                <w:noProof/>
                <w:webHidden/>
              </w:rPr>
              <w:t>33</w:t>
            </w:r>
            <w:r w:rsidR="00D42808">
              <w:rPr>
                <w:noProof/>
                <w:webHidden/>
              </w:rPr>
              <w:fldChar w:fldCharType="end"/>
            </w:r>
          </w:hyperlink>
        </w:p>
        <w:p w14:paraId="0AEB0FEE" w14:textId="102F79AB" w:rsidR="00D42808" w:rsidRDefault="00000000">
          <w:pPr>
            <w:pStyle w:val="TOC1"/>
            <w:rPr>
              <w:rFonts w:eastAsiaTheme="minorEastAsia" w:cstheme="minorBidi"/>
              <w:b w:val="0"/>
              <w:bCs w:val="0"/>
              <w:i w:val="0"/>
              <w:iCs w:val="0"/>
              <w:noProof/>
              <w:sz w:val="22"/>
              <w:szCs w:val="28"/>
              <w:lang w:bidi="th-TH"/>
            </w:rPr>
          </w:pPr>
          <w:hyperlink w:anchor="_Toc112917667" w:history="1">
            <w:r w:rsidR="00D42808" w:rsidRPr="005427CC">
              <w:rPr>
                <w:rStyle w:val="Hyperlink"/>
                <w:rFonts w:ascii="Calibri" w:hAnsi="Calibri" w:cs="Calibri"/>
                <w:noProof/>
                <w:lang w:val="en-GB"/>
              </w:rPr>
              <w:t>14.</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REFERENCES</w:t>
            </w:r>
            <w:r w:rsidR="00D42808">
              <w:rPr>
                <w:noProof/>
                <w:webHidden/>
              </w:rPr>
              <w:tab/>
            </w:r>
            <w:r w:rsidR="00D42808">
              <w:rPr>
                <w:noProof/>
                <w:webHidden/>
              </w:rPr>
              <w:fldChar w:fldCharType="begin"/>
            </w:r>
            <w:r w:rsidR="00D42808">
              <w:rPr>
                <w:noProof/>
                <w:webHidden/>
              </w:rPr>
              <w:instrText xml:space="preserve"> PAGEREF _Toc112917667 \h </w:instrText>
            </w:r>
            <w:r w:rsidR="00D42808">
              <w:rPr>
                <w:noProof/>
                <w:webHidden/>
              </w:rPr>
            </w:r>
            <w:r w:rsidR="00D42808">
              <w:rPr>
                <w:noProof/>
                <w:webHidden/>
              </w:rPr>
              <w:fldChar w:fldCharType="separate"/>
            </w:r>
            <w:r w:rsidR="005D4773">
              <w:rPr>
                <w:noProof/>
                <w:webHidden/>
              </w:rPr>
              <w:t>34</w:t>
            </w:r>
            <w:r w:rsidR="00D42808">
              <w:rPr>
                <w:noProof/>
                <w:webHidden/>
              </w:rPr>
              <w:fldChar w:fldCharType="end"/>
            </w:r>
          </w:hyperlink>
        </w:p>
        <w:p w14:paraId="76CECCAA" w14:textId="2F6A795C" w:rsidR="00D42808" w:rsidRDefault="00000000">
          <w:pPr>
            <w:pStyle w:val="TOC1"/>
            <w:rPr>
              <w:rFonts w:eastAsiaTheme="minorEastAsia" w:cstheme="minorBidi"/>
              <w:b w:val="0"/>
              <w:bCs w:val="0"/>
              <w:i w:val="0"/>
              <w:iCs w:val="0"/>
              <w:noProof/>
              <w:sz w:val="22"/>
              <w:szCs w:val="28"/>
              <w:lang w:bidi="th-TH"/>
            </w:rPr>
          </w:pPr>
          <w:hyperlink w:anchor="_Toc112917668" w:history="1">
            <w:r w:rsidR="00D42808" w:rsidRPr="005427CC">
              <w:rPr>
                <w:rStyle w:val="Hyperlink"/>
                <w:rFonts w:ascii="Calibri" w:hAnsi="Calibri" w:cs="Calibri"/>
                <w:noProof/>
                <w:lang w:val="en-GB"/>
              </w:rPr>
              <w:t>15.</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Appendix 1: Schedule of activities</w:t>
            </w:r>
            <w:r w:rsidR="00D42808">
              <w:rPr>
                <w:noProof/>
                <w:webHidden/>
              </w:rPr>
              <w:tab/>
            </w:r>
            <w:r w:rsidR="00D42808">
              <w:rPr>
                <w:noProof/>
                <w:webHidden/>
              </w:rPr>
              <w:fldChar w:fldCharType="begin"/>
            </w:r>
            <w:r w:rsidR="00D42808">
              <w:rPr>
                <w:noProof/>
                <w:webHidden/>
              </w:rPr>
              <w:instrText xml:space="preserve"> PAGEREF _Toc112917668 \h </w:instrText>
            </w:r>
            <w:r w:rsidR="00D42808">
              <w:rPr>
                <w:noProof/>
                <w:webHidden/>
              </w:rPr>
            </w:r>
            <w:r w:rsidR="00D42808">
              <w:rPr>
                <w:noProof/>
                <w:webHidden/>
              </w:rPr>
              <w:fldChar w:fldCharType="separate"/>
            </w:r>
            <w:r w:rsidR="005D4773">
              <w:rPr>
                <w:noProof/>
                <w:webHidden/>
              </w:rPr>
              <w:t>36</w:t>
            </w:r>
            <w:r w:rsidR="00D42808">
              <w:rPr>
                <w:noProof/>
                <w:webHidden/>
              </w:rPr>
              <w:fldChar w:fldCharType="end"/>
            </w:r>
          </w:hyperlink>
        </w:p>
        <w:p w14:paraId="768E803A" w14:textId="050C5234" w:rsidR="00D42808" w:rsidRDefault="00000000">
          <w:pPr>
            <w:pStyle w:val="TOC1"/>
            <w:rPr>
              <w:rFonts w:eastAsiaTheme="minorEastAsia" w:cstheme="minorBidi"/>
              <w:b w:val="0"/>
              <w:bCs w:val="0"/>
              <w:i w:val="0"/>
              <w:iCs w:val="0"/>
              <w:noProof/>
              <w:sz w:val="22"/>
              <w:szCs w:val="28"/>
              <w:lang w:bidi="th-TH"/>
            </w:rPr>
          </w:pPr>
          <w:hyperlink w:anchor="_Toc112917669" w:history="1">
            <w:r w:rsidR="00D42808" w:rsidRPr="005427CC">
              <w:rPr>
                <w:rStyle w:val="Hyperlink"/>
                <w:rFonts w:ascii="Calibri" w:hAnsi="Calibri"/>
                <w:noProof/>
                <w:lang w:val="en-GB"/>
              </w:rPr>
              <w:t>16.</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noProof/>
                <w:lang w:val="en-GB"/>
              </w:rPr>
              <w:t>Appendix 2: Study drugs</w:t>
            </w:r>
            <w:r w:rsidR="00D42808">
              <w:rPr>
                <w:noProof/>
                <w:webHidden/>
              </w:rPr>
              <w:tab/>
            </w:r>
            <w:r w:rsidR="00D42808">
              <w:rPr>
                <w:noProof/>
                <w:webHidden/>
              </w:rPr>
              <w:fldChar w:fldCharType="begin"/>
            </w:r>
            <w:r w:rsidR="00D42808">
              <w:rPr>
                <w:noProof/>
                <w:webHidden/>
              </w:rPr>
              <w:instrText xml:space="preserve"> PAGEREF _Toc112917669 \h </w:instrText>
            </w:r>
            <w:r w:rsidR="00D42808">
              <w:rPr>
                <w:noProof/>
                <w:webHidden/>
              </w:rPr>
            </w:r>
            <w:r w:rsidR="00D42808">
              <w:rPr>
                <w:noProof/>
                <w:webHidden/>
              </w:rPr>
              <w:fldChar w:fldCharType="separate"/>
            </w:r>
            <w:r w:rsidR="005D4773">
              <w:rPr>
                <w:noProof/>
                <w:webHidden/>
              </w:rPr>
              <w:t>38</w:t>
            </w:r>
            <w:r w:rsidR="00D42808">
              <w:rPr>
                <w:noProof/>
                <w:webHidden/>
              </w:rPr>
              <w:fldChar w:fldCharType="end"/>
            </w:r>
          </w:hyperlink>
        </w:p>
        <w:p w14:paraId="53DA359E" w14:textId="3C3FEFBF" w:rsidR="00D42808" w:rsidRDefault="00000000">
          <w:pPr>
            <w:pStyle w:val="TOC2"/>
            <w:rPr>
              <w:rFonts w:eastAsiaTheme="minorEastAsia" w:cstheme="minorBidi"/>
              <w:b w:val="0"/>
              <w:bCs w:val="0"/>
              <w:noProof/>
              <w:szCs w:val="28"/>
              <w:lang w:bidi="th-TH"/>
            </w:rPr>
          </w:pPr>
          <w:hyperlink w:anchor="_Toc112917670" w:history="1">
            <w:r w:rsidR="00D42808" w:rsidRPr="005427CC">
              <w:rPr>
                <w:rStyle w:val="Hyperlink"/>
                <w:rFonts w:ascii="Calibri" w:hAnsi="Calibri"/>
                <w:noProof/>
              </w:rPr>
              <w:t>16.1.</w:t>
            </w:r>
            <w:r w:rsidR="00D42808">
              <w:rPr>
                <w:rFonts w:eastAsiaTheme="minorEastAsia" w:cstheme="minorBidi"/>
                <w:b w:val="0"/>
                <w:bCs w:val="0"/>
                <w:noProof/>
                <w:szCs w:val="28"/>
                <w:lang w:bidi="th-TH"/>
              </w:rPr>
              <w:tab/>
            </w:r>
            <w:r w:rsidR="00D42808" w:rsidRPr="005427CC">
              <w:rPr>
                <w:rStyle w:val="Hyperlink"/>
                <w:rFonts w:ascii="Calibri" w:hAnsi="Calibri"/>
                <w:noProof/>
              </w:rPr>
              <w:t>Hydroxychloroquine</w:t>
            </w:r>
            <w:r w:rsidR="00D42808">
              <w:rPr>
                <w:noProof/>
                <w:webHidden/>
              </w:rPr>
              <w:tab/>
            </w:r>
            <w:r w:rsidR="00D42808">
              <w:rPr>
                <w:noProof/>
                <w:webHidden/>
              </w:rPr>
              <w:fldChar w:fldCharType="begin"/>
            </w:r>
            <w:r w:rsidR="00D42808">
              <w:rPr>
                <w:noProof/>
                <w:webHidden/>
              </w:rPr>
              <w:instrText xml:space="preserve"> PAGEREF _Toc112917670 \h </w:instrText>
            </w:r>
            <w:r w:rsidR="00D42808">
              <w:rPr>
                <w:noProof/>
                <w:webHidden/>
              </w:rPr>
            </w:r>
            <w:r w:rsidR="00D42808">
              <w:rPr>
                <w:noProof/>
                <w:webHidden/>
              </w:rPr>
              <w:fldChar w:fldCharType="separate"/>
            </w:r>
            <w:r w:rsidR="005D4773">
              <w:rPr>
                <w:noProof/>
                <w:webHidden/>
              </w:rPr>
              <w:t>38</w:t>
            </w:r>
            <w:r w:rsidR="00D42808">
              <w:rPr>
                <w:noProof/>
                <w:webHidden/>
              </w:rPr>
              <w:fldChar w:fldCharType="end"/>
            </w:r>
          </w:hyperlink>
        </w:p>
        <w:p w14:paraId="7547D4AC" w14:textId="75C1C7B8" w:rsidR="00D42808" w:rsidRDefault="00000000">
          <w:pPr>
            <w:pStyle w:val="TOC2"/>
            <w:rPr>
              <w:rFonts w:eastAsiaTheme="minorEastAsia" w:cstheme="minorBidi"/>
              <w:b w:val="0"/>
              <w:bCs w:val="0"/>
              <w:noProof/>
              <w:szCs w:val="28"/>
              <w:lang w:bidi="th-TH"/>
            </w:rPr>
          </w:pPr>
          <w:hyperlink w:anchor="_Toc112917671" w:history="1">
            <w:r w:rsidR="00D42808" w:rsidRPr="005427CC">
              <w:rPr>
                <w:rStyle w:val="Hyperlink"/>
                <w:rFonts w:ascii="Calibri" w:hAnsi="Calibri"/>
                <w:noProof/>
              </w:rPr>
              <w:t>16.2.</w:t>
            </w:r>
            <w:r w:rsidR="00D42808">
              <w:rPr>
                <w:rFonts w:eastAsiaTheme="minorEastAsia" w:cstheme="minorBidi"/>
                <w:b w:val="0"/>
                <w:bCs w:val="0"/>
                <w:noProof/>
                <w:szCs w:val="28"/>
                <w:lang w:bidi="th-TH"/>
              </w:rPr>
              <w:tab/>
            </w:r>
            <w:r w:rsidR="00D42808" w:rsidRPr="005427CC">
              <w:rPr>
                <w:rStyle w:val="Hyperlink"/>
                <w:rFonts w:ascii="Calibri" w:hAnsi="Calibri"/>
                <w:noProof/>
              </w:rPr>
              <w:t>Remdesivir</w:t>
            </w:r>
            <w:r w:rsidR="00D42808">
              <w:rPr>
                <w:noProof/>
                <w:webHidden/>
              </w:rPr>
              <w:tab/>
            </w:r>
            <w:r w:rsidR="00D42808">
              <w:rPr>
                <w:noProof/>
                <w:webHidden/>
              </w:rPr>
              <w:fldChar w:fldCharType="begin"/>
            </w:r>
            <w:r w:rsidR="00D42808">
              <w:rPr>
                <w:noProof/>
                <w:webHidden/>
              </w:rPr>
              <w:instrText xml:space="preserve"> PAGEREF _Toc112917671 \h </w:instrText>
            </w:r>
            <w:r w:rsidR="00D42808">
              <w:rPr>
                <w:noProof/>
                <w:webHidden/>
              </w:rPr>
            </w:r>
            <w:r w:rsidR="00D42808">
              <w:rPr>
                <w:noProof/>
                <w:webHidden/>
              </w:rPr>
              <w:fldChar w:fldCharType="separate"/>
            </w:r>
            <w:r w:rsidR="005D4773">
              <w:rPr>
                <w:noProof/>
                <w:webHidden/>
              </w:rPr>
              <w:t>41</w:t>
            </w:r>
            <w:r w:rsidR="00D42808">
              <w:rPr>
                <w:noProof/>
                <w:webHidden/>
              </w:rPr>
              <w:fldChar w:fldCharType="end"/>
            </w:r>
          </w:hyperlink>
        </w:p>
        <w:p w14:paraId="5FB6C85D" w14:textId="7BEACCE6" w:rsidR="00D42808" w:rsidRDefault="00000000">
          <w:pPr>
            <w:pStyle w:val="TOC2"/>
            <w:rPr>
              <w:rFonts w:eastAsiaTheme="minorEastAsia" w:cstheme="minorBidi"/>
              <w:b w:val="0"/>
              <w:bCs w:val="0"/>
              <w:noProof/>
              <w:szCs w:val="28"/>
              <w:lang w:bidi="th-TH"/>
            </w:rPr>
          </w:pPr>
          <w:hyperlink w:anchor="_Toc112917672" w:history="1">
            <w:r w:rsidR="00D42808" w:rsidRPr="005427CC">
              <w:rPr>
                <w:rStyle w:val="Hyperlink"/>
                <w:rFonts w:ascii="Calibri" w:hAnsi="Calibri"/>
                <w:noProof/>
              </w:rPr>
              <w:t>16.2</w:t>
            </w:r>
            <w:r w:rsidR="00D42808">
              <w:rPr>
                <w:rFonts w:eastAsiaTheme="minorEastAsia" w:cstheme="minorBidi"/>
                <w:b w:val="0"/>
                <w:bCs w:val="0"/>
                <w:noProof/>
                <w:szCs w:val="28"/>
                <w:lang w:bidi="th-TH"/>
              </w:rPr>
              <w:tab/>
            </w:r>
            <w:r w:rsidR="00D42808" w:rsidRPr="005427CC">
              <w:rPr>
                <w:rStyle w:val="Hyperlink"/>
                <w:rFonts w:ascii="Calibri" w:hAnsi="Calibri"/>
                <w:noProof/>
              </w:rPr>
              <w:t>Lopinavir/ritonavir</w:t>
            </w:r>
            <w:r w:rsidR="00D42808">
              <w:rPr>
                <w:noProof/>
                <w:webHidden/>
              </w:rPr>
              <w:tab/>
            </w:r>
            <w:r w:rsidR="00D42808">
              <w:rPr>
                <w:noProof/>
                <w:webHidden/>
              </w:rPr>
              <w:fldChar w:fldCharType="begin"/>
            </w:r>
            <w:r w:rsidR="00D42808">
              <w:rPr>
                <w:noProof/>
                <w:webHidden/>
              </w:rPr>
              <w:instrText xml:space="preserve"> PAGEREF _Toc112917672 \h </w:instrText>
            </w:r>
            <w:r w:rsidR="00D42808">
              <w:rPr>
                <w:noProof/>
                <w:webHidden/>
              </w:rPr>
            </w:r>
            <w:r w:rsidR="00D42808">
              <w:rPr>
                <w:noProof/>
                <w:webHidden/>
              </w:rPr>
              <w:fldChar w:fldCharType="separate"/>
            </w:r>
            <w:r w:rsidR="005D4773">
              <w:rPr>
                <w:noProof/>
                <w:webHidden/>
              </w:rPr>
              <w:t>45</w:t>
            </w:r>
            <w:r w:rsidR="00D42808">
              <w:rPr>
                <w:noProof/>
                <w:webHidden/>
              </w:rPr>
              <w:fldChar w:fldCharType="end"/>
            </w:r>
          </w:hyperlink>
        </w:p>
        <w:p w14:paraId="0231779F" w14:textId="5C030E16" w:rsidR="00D42808" w:rsidRDefault="00000000">
          <w:pPr>
            <w:pStyle w:val="TOC2"/>
            <w:rPr>
              <w:rFonts w:eastAsiaTheme="minorEastAsia" w:cstheme="minorBidi"/>
              <w:b w:val="0"/>
              <w:bCs w:val="0"/>
              <w:noProof/>
              <w:szCs w:val="28"/>
              <w:lang w:bidi="th-TH"/>
            </w:rPr>
          </w:pPr>
          <w:hyperlink w:anchor="_Toc112917673" w:history="1">
            <w:r w:rsidR="00D42808" w:rsidRPr="005427CC">
              <w:rPr>
                <w:rStyle w:val="Hyperlink"/>
                <w:rFonts w:ascii="Calibri" w:hAnsi="Calibri"/>
                <w:noProof/>
              </w:rPr>
              <w:t>16.3.</w:t>
            </w:r>
            <w:r w:rsidR="00D42808">
              <w:rPr>
                <w:rFonts w:eastAsiaTheme="minorEastAsia" w:cstheme="minorBidi"/>
                <w:b w:val="0"/>
                <w:bCs w:val="0"/>
                <w:noProof/>
                <w:szCs w:val="28"/>
                <w:lang w:bidi="th-TH"/>
              </w:rPr>
              <w:tab/>
            </w:r>
            <w:r w:rsidR="00D42808" w:rsidRPr="005427CC">
              <w:rPr>
                <w:rStyle w:val="Hyperlink"/>
                <w:rFonts w:ascii="Calibri" w:hAnsi="Calibri"/>
                <w:noProof/>
              </w:rPr>
              <w:t>Miglustat</w:t>
            </w:r>
            <w:r w:rsidR="00D42808">
              <w:rPr>
                <w:noProof/>
                <w:webHidden/>
              </w:rPr>
              <w:tab/>
            </w:r>
            <w:r w:rsidR="00D42808">
              <w:rPr>
                <w:noProof/>
                <w:webHidden/>
              </w:rPr>
              <w:fldChar w:fldCharType="begin"/>
            </w:r>
            <w:r w:rsidR="00D42808">
              <w:rPr>
                <w:noProof/>
                <w:webHidden/>
              </w:rPr>
              <w:instrText xml:space="preserve"> PAGEREF _Toc112917673 \h </w:instrText>
            </w:r>
            <w:r w:rsidR="00D42808">
              <w:rPr>
                <w:noProof/>
                <w:webHidden/>
              </w:rPr>
            </w:r>
            <w:r w:rsidR="00D42808">
              <w:rPr>
                <w:noProof/>
                <w:webHidden/>
              </w:rPr>
              <w:fldChar w:fldCharType="separate"/>
            </w:r>
            <w:r w:rsidR="005D4773">
              <w:rPr>
                <w:noProof/>
                <w:webHidden/>
              </w:rPr>
              <w:t>49</w:t>
            </w:r>
            <w:r w:rsidR="00D42808">
              <w:rPr>
                <w:noProof/>
                <w:webHidden/>
              </w:rPr>
              <w:fldChar w:fldCharType="end"/>
            </w:r>
          </w:hyperlink>
        </w:p>
        <w:p w14:paraId="3EC6CE73" w14:textId="48B41B7F" w:rsidR="00D42808" w:rsidRDefault="00000000">
          <w:pPr>
            <w:pStyle w:val="TOC2"/>
            <w:rPr>
              <w:rFonts w:eastAsiaTheme="minorEastAsia" w:cstheme="minorBidi"/>
              <w:b w:val="0"/>
              <w:bCs w:val="0"/>
              <w:noProof/>
              <w:szCs w:val="28"/>
              <w:lang w:bidi="th-TH"/>
            </w:rPr>
          </w:pPr>
          <w:hyperlink w:anchor="_Toc112917674" w:history="1">
            <w:r w:rsidR="00D42808" w:rsidRPr="005427CC">
              <w:rPr>
                <w:rStyle w:val="Hyperlink"/>
                <w:rFonts w:ascii="Calibri" w:hAnsi="Calibri"/>
                <w:noProof/>
              </w:rPr>
              <w:t>16.4.</w:t>
            </w:r>
            <w:r w:rsidR="00D42808">
              <w:rPr>
                <w:rFonts w:eastAsiaTheme="minorEastAsia" w:cstheme="minorBidi"/>
                <w:b w:val="0"/>
                <w:bCs w:val="0"/>
                <w:noProof/>
                <w:szCs w:val="28"/>
                <w:lang w:bidi="th-TH"/>
              </w:rPr>
              <w:tab/>
            </w:r>
            <w:r w:rsidR="00D42808" w:rsidRPr="005427CC">
              <w:rPr>
                <w:rStyle w:val="Hyperlink"/>
                <w:rFonts w:ascii="Calibri" w:hAnsi="Calibri"/>
                <w:noProof/>
              </w:rPr>
              <w:t>Ivermectin</w:t>
            </w:r>
            <w:r w:rsidR="00D42808">
              <w:rPr>
                <w:noProof/>
                <w:webHidden/>
              </w:rPr>
              <w:tab/>
            </w:r>
            <w:r w:rsidR="00D42808">
              <w:rPr>
                <w:noProof/>
                <w:webHidden/>
              </w:rPr>
              <w:fldChar w:fldCharType="begin"/>
            </w:r>
            <w:r w:rsidR="00D42808">
              <w:rPr>
                <w:noProof/>
                <w:webHidden/>
              </w:rPr>
              <w:instrText xml:space="preserve"> PAGEREF _Toc112917674 \h </w:instrText>
            </w:r>
            <w:r w:rsidR="00D42808">
              <w:rPr>
                <w:noProof/>
                <w:webHidden/>
              </w:rPr>
            </w:r>
            <w:r w:rsidR="00D42808">
              <w:rPr>
                <w:noProof/>
                <w:webHidden/>
              </w:rPr>
              <w:fldChar w:fldCharType="separate"/>
            </w:r>
            <w:r w:rsidR="005D4773">
              <w:rPr>
                <w:noProof/>
                <w:webHidden/>
              </w:rPr>
              <w:t>52</w:t>
            </w:r>
            <w:r w:rsidR="00D42808">
              <w:rPr>
                <w:noProof/>
                <w:webHidden/>
              </w:rPr>
              <w:fldChar w:fldCharType="end"/>
            </w:r>
          </w:hyperlink>
        </w:p>
        <w:p w14:paraId="6BEAFAC0" w14:textId="64E9A874" w:rsidR="00D42808" w:rsidRDefault="00000000">
          <w:pPr>
            <w:pStyle w:val="TOC2"/>
            <w:rPr>
              <w:rFonts w:eastAsiaTheme="minorEastAsia" w:cstheme="minorBidi"/>
              <w:b w:val="0"/>
              <w:bCs w:val="0"/>
              <w:noProof/>
              <w:szCs w:val="28"/>
              <w:lang w:bidi="th-TH"/>
            </w:rPr>
          </w:pPr>
          <w:hyperlink w:anchor="_Toc112917675" w:history="1">
            <w:r w:rsidR="00D42808" w:rsidRPr="005427CC">
              <w:rPr>
                <w:rStyle w:val="Hyperlink"/>
                <w:rFonts w:ascii="Calibri" w:hAnsi="Calibri"/>
                <w:noProof/>
              </w:rPr>
              <w:t>16.5.</w:t>
            </w:r>
            <w:r w:rsidR="00D42808">
              <w:rPr>
                <w:rFonts w:eastAsiaTheme="minorEastAsia" w:cstheme="minorBidi"/>
                <w:b w:val="0"/>
                <w:bCs w:val="0"/>
                <w:noProof/>
                <w:szCs w:val="28"/>
                <w:lang w:bidi="th-TH"/>
              </w:rPr>
              <w:tab/>
            </w:r>
            <w:r w:rsidR="00D42808" w:rsidRPr="005427CC">
              <w:rPr>
                <w:rStyle w:val="Hyperlink"/>
                <w:rFonts w:ascii="Calibri" w:hAnsi="Calibri"/>
                <w:noProof/>
              </w:rPr>
              <w:t>Nitazoxanide</w:t>
            </w:r>
            <w:r w:rsidR="00D42808">
              <w:rPr>
                <w:noProof/>
                <w:webHidden/>
              </w:rPr>
              <w:tab/>
            </w:r>
            <w:r w:rsidR="00D42808">
              <w:rPr>
                <w:noProof/>
                <w:webHidden/>
              </w:rPr>
              <w:fldChar w:fldCharType="begin"/>
            </w:r>
            <w:r w:rsidR="00D42808">
              <w:rPr>
                <w:noProof/>
                <w:webHidden/>
              </w:rPr>
              <w:instrText xml:space="preserve"> PAGEREF _Toc112917675 \h </w:instrText>
            </w:r>
            <w:r w:rsidR="00D42808">
              <w:rPr>
                <w:noProof/>
                <w:webHidden/>
              </w:rPr>
            </w:r>
            <w:r w:rsidR="00D42808">
              <w:rPr>
                <w:noProof/>
                <w:webHidden/>
              </w:rPr>
              <w:fldChar w:fldCharType="separate"/>
            </w:r>
            <w:r w:rsidR="005D4773">
              <w:rPr>
                <w:noProof/>
                <w:webHidden/>
              </w:rPr>
              <w:t>55</w:t>
            </w:r>
            <w:r w:rsidR="00D42808">
              <w:rPr>
                <w:noProof/>
                <w:webHidden/>
              </w:rPr>
              <w:fldChar w:fldCharType="end"/>
            </w:r>
          </w:hyperlink>
        </w:p>
        <w:p w14:paraId="30A29AF3" w14:textId="0A43D9A1" w:rsidR="00D42808" w:rsidRDefault="00000000">
          <w:pPr>
            <w:pStyle w:val="TOC2"/>
            <w:rPr>
              <w:rFonts w:eastAsiaTheme="minorEastAsia" w:cstheme="minorBidi"/>
              <w:b w:val="0"/>
              <w:bCs w:val="0"/>
              <w:noProof/>
              <w:szCs w:val="28"/>
              <w:lang w:bidi="th-TH"/>
            </w:rPr>
          </w:pPr>
          <w:hyperlink w:anchor="_Toc112917676" w:history="1">
            <w:r w:rsidR="00D42808" w:rsidRPr="005427CC">
              <w:rPr>
                <w:rStyle w:val="Hyperlink"/>
                <w:rFonts w:ascii="Calibri" w:hAnsi="Calibri"/>
                <w:noProof/>
              </w:rPr>
              <w:t>16.6.</w:t>
            </w:r>
            <w:r w:rsidR="00D42808">
              <w:rPr>
                <w:rFonts w:eastAsiaTheme="minorEastAsia" w:cstheme="minorBidi"/>
                <w:b w:val="0"/>
                <w:bCs w:val="0"/>
                <w:noProof/>
                <w:szCs w:val="28"/>
                <w:lang w:bidi="th-TH"/>
              </w:rPr>
              <w:tab/>
            </w:r>
            <w:r w:rsidR="00D42808" w:rsidRPr="005427CC">
              <w:rPr>
                <w:rStyle w:val="Hyperlink"/>
                <w:rFonts w:ascii="Calibri" w:hAnsi="Calibri"/>
                <w:noProof/>
              </w:rPr>
              <w:t>REGN-COV2</w:t>
            </w:r>
            <w:r w:rsidR="00D42808">
              <w:rPr>
                <w:noProof/>
                <w:webHidden/>
              </w:rPr>
              <w:tab/>
            </w:r>
            <w:r w:rsidR="00D42808">
              <w:rPr>
                <w:noProof/>
                <w:webHidden/>
              </w:rPr>
              <w:fldChar w:fldCharType="begin"/>
            </w:r>
            <w:r w:rsidR="00D42808">
              <w:rPr>
                <w:noProof/>
                <w:webHidden/>
              </w:rPr>
              <w:instrText xml:space="preserve"> PAGEREF _Toc112917676 \h </w:instrText>
            </w:r>
            <w:r w:rsidR="00D42808">
              <w:rPr>
                <w:noProof/>
                <w:webHidden/>
              </w:rPr>
            </w:r>
            <w:r w:rsidR="00D42808">
              <w:rPr>
                <w:noProof/>
                <w:webHidden/>
              </w:rPr>
              <w:fldChar w:fldCharType="separate"/>
            </w:r>
            <w:r w:rsidR="005D4773">
              <w:rPr>
                <w:noProof/>
                <w:webHidden/>
              </w:rPr>
              <w:t>58</w:t>
            </w:r>
            <w:r w:rsidR="00D42808">
              <w:rPr>
                <w:noProof/>
                <w:webHidden/>
              </w:rPr>
              <w:fldChar w:fldCharType="end"/>
            </w:r>
          </w:hyperlink>
        </w:p>
        <w:p w14:paraId="691F3836" w14:textId="7DCECCD8" w:rsidR="00D42808" w:rsidRDefault="00000000">
          <w:pPr>
            <w:pStyle w:val="TOC2"/>
            <w:rPr>
              <w:rFonts w:eastAsiaTheme="minorEastAsia" w:cstheme="minorBidi"/>
              <w:b w:val="0"/>
              <w:bCs w:val="0"/>
              <w:noProof/>
              <w:szCs w:val="28"/>
              <w:lang w:bidi="th-TH"/>
            </w:rPr>
          </w:pPr>
          <w:hyperlink w:anchor="_Toc112917677" w:history="1">
            <w:r w:rsidR="00D42808" w:rsidRPr="005427CC">
              <w:rPr>
                <w:rStyle w:val="Hyperlink"/>
                <w:noProof/>
              </w:rPr>
              <w:t>16.8</w:t>
            </w:r>
            <w:r w:rsidR="00D42808">
              <w:rPr>
                <w:rFonts w:eastAsiaTheme="minorEastAsia" w:cstheme="minorBidi"/>
                <w:b w:val="0"/>
                <w:bCs w:val="0"/>
                <w:noProof/>
                <w:szCs w:val="28"/>
                <w:lang w:bidi="th-TH"/>
              </w:rPr>
              <w:tab/>
            </w:r>
            <w:r w:rsidR="00D42808" w:rsidRPr="005427CC">
              <w:rPr>
                <w:rStyle w:val="Hyperlink"/>
                <w:rFonts w:ascii="Calibri" w:hAnsi="Calibri"/>
                <w:noProof/>
              </w:rPr>
              <w:t>Nebulised Unfractionated Heparin (UFH)</w:t>
            </w:r>
            <w:r w:rsidR="00D42808">
              <w:rPr>
                <w:noProof/>
                <w:webHidden/>
              </w:rPr>
              <w:tab/>
            </w:r>
            <w:r w:rsidR="00D42808">
              <w:rPr>
                <w:noProof/>
                <w:webHidden/>
              </w:rPr>
              <w:fldChar w:fldCharType="begin"/>
            </w:r>
            <w:r w:rsidR="00D42808">
              <w:rPr>
                <w:noProof/>
                <w:webHidden/>
              </w:rPr>
              <w:instrText xml:space="preserve"> PAGEREF _Toc112917677 \h </w:instrText>
            </w:r>
            <w:r w:rsidR="00D42808">
              <w:rPr>
                <w:noProof/>
                <w:webHidden/>
              </w:rPr>
            </w:r>
            <w:r w:rsidR="00D42808">
              <w:rPr>
                <w:noProof/>
                <w:webHidden/>
              </w:rPr>
              <w:fldChar w:fldCharType="separate"/>
            </w:r>
            <w:r w:rsidR="005D4773">
              <w:rPr>
                <w:noProof/>
                <w:webHidden/>
              </w:rPr>
              <w:t>60</w:t>
            </w:r>
            <w:r w:rsidR="00D42808">
              <w:rPr>
                <w:noProof/>
                <w:webHidden/>
              </w:rPr>
              <w:fldChar w:fldCharType="end"/>
            </w:r>
          </w:hyperlink>
        </w:p>
        <w:p w14:paraId="6DBC6AF2" w14:textId="5FEE9A74" w:rsidR="00D42808" w:rsidRDefault="00000000">
          <w:pPr>
            <w:pStyle w:val="TOC2"/>
            <w:rPr>
              <w:rFonts w:eastAsiaTheme="minorEastAsia" w:cstheme="minorBidi"/>
              <w:b w:val="0"/>
              <w:bCs w:val="0"/>
              <w:noProof/>
              <w:szCs w:val="28"/>
              <w:lang w:bidi="th-TH"/>
            </w:rPr>
          </w:pPr>
          <w:hyperlink w:anchor="_Toc112917678" w:history="1">
            <w:r w:rsidR="00D42808" w:rsidRPr="005427CC">
              <w:rPr>
                <w:rStyle w:val="Hyperlink"/>
                <w:noProof/>
              </w:rPr>
              <w:t>16.9</w:t>
            </w:r>
            <w:r w:rsidR="00D42808">
              <w:rPr>
                <w:rFonts w:eastAsiaTheme="minorEastAsia" w:cstheme="minorBidi"/>
                <w:b w:val="0"/>
                <w:bCs w:val="0"/>
                <w:noProof/>
                <w:szCs w:val="28"/>
                <w:lang w:bidi="th-TH"/>
              </w:rPr>
              <w:tab/>
            </w:r>
            <w:r w:rsidR="00D42808" w:rsidRPr="005427CC">
              <w:rPr>
                <w:rStyle w:val="Hyperlink"/>
                <w:rFonts w:ascii="Calibri" w:hAnsi="Calibri" w:cs="Calibri"/>
                <w:noProof/>
              </w:rPr>
              <w:t>Favipiravir</w:t>
            </w:r>
            <w:r w:rsidR="00D42808">
              <w:rPr>
                <w:noProof/>
                <w:webHidden/>
              </w:rPr>
              <w:tab/>
            </w:r>
            <w:r w:rsidR="00D42808">
              <w:rPr>
                <w:noProof/>
                <w:webHidden/>
              </w:rPr>
              <w:fldChar w:fldCharType="begin"/>
            </w:r>
            <w:r w:rsidR="00D42808">
              <w:rPr>
                <w:noProof/>
                <w:webHidden/>
              </w:rPr>
              <w:instrText xml:space="preserve"> PAGEREF _Toc112917678 \h </w:instrText>
            </w:r>
            <w:r w:rsidR="00D42808">
              <w:rPr>
                <w:noProof/>
                <w:webHidden/>
              </w:rPr>
            </w:r>
            <w:r w:rsidR="00D42808">
              <w:rPr>
                <w:noProof/>
                <w:webHidden/>
              </w:rPr>
              <w:fldChar w:fldCharType="separate"/>
            </w:r>
            <w:r w:rsidR="005D4773">
              <w:rPr>
                <w:noProof/>
                <w:webHidden/>
              </w:rPr>
              <w:t>62</w:t>
            </w:r>
            <w:r w:rsidR="00D42808">
              <w:rPr>
                <w:noProof/>
                <w:webHidden/>
              </w:rPr>
              <w:fldChar w:fldCharType="end"/>
            </w:r>
          </w:hyperlink>
        </w:p>
        <w:p w14:paraId="705FC55D" w14:textId="5257AF0D" w:rsidR="00D42808" w:rsidRDefault="00000000">
          <w:pPr>
            <w:pStyle w:val="TOC2"/>
            <w:rPr>
              <w:rFonts w:eastAsiaTheme="minorEastAsia" w:cstheme="minorBidi"/>
              <w:b w:val="0"/>
              <w:bCs w:val="0"/>
              <w:noProof/>
              <w:szCs w:val="28"/>
              <w:lang w:bidi="th-TH"/>
            </w:rPr>
          </w:pPr>
          <w:hyperlink w:anchor="_Toc112917679" w:history="1">
            <w:r w:rsidR="00D42808" w:rsidRPr="005427CC">
              <w:rPr>
                <w:rStyle w:val="Hyperlink"/>
                <w:noProof/>
              </w:rPr>
              <w:t>16.10</w:t>
            </w:r>
            <w:r w:rsidR="00D42808">
              <w:rPr>
                <w:rFonts w:eastAsiaTheme="minorEastAsia" w:cstheme="minorBidi"/>
                <w:b w:val="0"/>
                <w:bCs w:val="0"/>
                <w:noProof/>
                <w:szCs w:val="28"/>
                <w:lang w:bidi="th-TH"/>
              </w:rPr>
              <w:tab/>
            </w:r>
            <w:r w:rsidR="00D42808" w:rsidRPr="005427CC">
              <w:rPr>
                <w:rStyle w:val="Hyperlink"/>
                <w:noProof/>
              </w:rPr>
              <w:t>Molnupiravir</w:t>
            </w:r>
            <w:r w:rsidR="00D42808">
              <w:rPr>
                <w:noProof/>
                <w:webHidden/>
              </w:rPr>
              <w:tab/>
            </w:r>
            <w:r w:rsidR="00D42808">
              <w:rPr>
                <w:noProof/>
                <w:webHidden/>
              </w:rPr>
              <w:fldChar w:fldCharType="begin"/>
            </w:r>
            <w:r w:rsidR="00D42808">
              <w:rPr>
                <w:noProof/>
                <w:webHidden/>
              </w:rPr>
              <w:instrText xml:space="preserve"> PAGEREF _Toc112917679 \h </w:instrText>
            </w:r>
            <w:r w:rsidR="00D42808">
              <w:rPr>
                <w:noProof/>
                <w:webHidden/>
              </w:rPr>
            </w:r>
            <w:r w:rsidR="00D42808">
              <w:rPr>
                <w:noProof/>
                <w:webHidden/>
              </w:rPr>
              <w:fldChar w:fldCharType="separate"/>
            </w:r>
            <w:r w:rsidR="005D4773">
              <w:rPr>
                <w:noProof/>
                <w:webHidden/>
              </w:rPr>
              <w:t>64</w:t>
            </w:r>
            <w:r w:rsidR="00D42808">
              <w:rPr>
                <w:noProof/>
                <w:webHidden/>
              </w:rPr>
              <w:fldChar w:fldCharType="end"/>
            </w:r>
          </w:hyperlink>
        </w:p>
        <w:p w14:paraId="25237FF1" w14:textId="172ED978" w:rsidR="00D42808" w:rsidRDefault="00000000">
          <w:pPr>
            <w:pStyle w:val="TOC2"/>
            <w:rPr>
              <w:rFonts w:eastAsiaTheme="minorEastAsia" w:cstheme="minorBidi"/>
              <w:b w:val="0"/>
              <w:bCs w:val="0"/>
              <w:noProof/>
              <w:szCs w:val="28"/>
              <w:lang w:bidi="th-TH"/>
            </w:rPr>
          </w:pPr>
          <w:hyperlink w:anchor="_Toc112917680" w:history="1">
            <w:r w:rsidR="00D42808" w:rsidRPr="005427CC">
              <w:rPr>
                <w:rStyle w:val="Hyperlink"/>
                <w:noProof/>
              </w:rPr>
              <w:t>16.11</w:t>
            </w:r>
            <w:r w:rsidR="00D42808">
              <w:rPr>
                <w:rFonts w:eastAsiaTheme="minorEastAsia" w:cstheme="minorBidi"/>
                <w:b w:val="0"/>
                <w:bCs w:val="0"/>
                <w:noProof/>
                <w:szCs w:val="28"/>
                <w:lang w:bidi="th-TH"/>
              </w:rPr>
              <w:tab/>
            </w:r>
            <w:r w:rsidR="00D42808" w:rsidRPr="005427CC">
              <w:rPr>
                <w:rStyle w:val="Hyperlink"/>
                <w:noProof/>
              </w:rPr>
              <w:t>Nirmatrelvir/ritonavir (e.g. PAXLOVID™)</w:t>
            </w:r>
            <w:r w:rsidR="00D42808">
              <w:rPr>
                <w:noProof/>
                <w:webHidden/>
              </w:rPr>
              <w:tab/>
            </w:r>
            <w:r w:rsidR="00D42808">
              <w:rPr>
                <w:noProof/>
                <w:webHidden/>
              </w:rPr>
              <w:fldChar w:fldCharType="begin"/>
            </w:r>
            <w:r w:rsidR="00D42808">
              <w:rPr>
                <w:noProof/>
                <w:webHidden/>
              </w:rPr>
              <w:instrText xml:space="preserve"> PAGEREF _Toc112917680 \h </w:instrText>
            </w:r>
            <w:r w:rsidR="00D42808">
              <w:rPr>
                <w:noProof/>
                <w:webHidden/>
              </w:rPr>
            </w:r>
            <w:r w:rsidR="00D42808">
              <w:rPr>
                <w:noProof/>
                <w:webHidden/>
              </w:rPr>
              <w:fldChar w:fldCharType="separate"/>
            </w:r>
            <w:r w:rsidR="005D4773">
              <w:rPr>
                <w:noProof/>
                <w:webHidden/>
              </w:rPr>
              <w:t>66</w:t>
            </w:r>
            <w:r w:rsidR="00D42808">
              <w:rPr>
                <w:noProof/>
                <w:webHidden/>
              </w:rPr>
              <w:fldChar w:fldCharType="end"/>
            </w:r>
          </w:hyperlink>
        </w:p>
        <w:p w14:paraId="5DEFFD77" w14:textId="34BC31BF" w:rsidR="00D42808" w:rsidRDefault="00000000">
          <w:pPr>
            <w:pStyle w:val="TOC2"/>
            <w:rPr>
              <w:rFonts w:eastAsiaTheme="minorEastAsia" w:cstheme="minorBidi"/>
              <w:b w:val="0"/>
              <w:bCs w:val="0"/>
              <w:noProof/>
              <w:szCs w:val="28"/>
              <w:lang w:bidi="th-TH"/>
            </w:rPr>
          </w:pPr>
          <w:hyperlink w:anchor="_Toc112917681" w:history="1">
            <w:r w:rsidR="00D42808" w:rsidRPr="005427CC">
              <w:rPr>
                <w:rStyle w:val="Hyperlink"/>
                <w:noProof/>
              </w:rPr>
              <w:t>16.12</w:t>
            </w:r>
            <w:r w:rsidR="00D42808">
              <w:rPr>
                <w:rFonts w:eastAsiaTheme="minorEastAsia" w:cstheme="minorBidi"/>
                <w:b w:val="0"/>
                <w:bCs w:val="0"/>
                <w:noProof/>
                <w:szCs w:val="28"/>
                <w:lang w:bidi="th-TH"/>
              </w:rPr>
              <w:tab/>
            </w:r>
            <w:r w:rsidR="00D42808" w:rsidRPr="005427CC">
              <w:rPr>
                <w:rStyle w:val="Hyperlink"/>
                <w:noProof/>
              </w:rPr>
              <w:t>Sotrovimab</w:t>
            </w:r>
            <w:r w:rsidR="00D42808">
              <w:rPr>
                <w:noProof/>
                <w:webHidden/>
              </w:rPr>
              <w:tab/>
            </w:r>
            <w:r w:rsidR="00D42808">
              <w:rPr>
                <w:noProof/>
                <w:webHidden/>
              </w:rPr>
              <w:fldChar w:fldCharType="begin"/>
            </w:r>
            <w:r w:rsidR="00D42808">
              <w:rPr>
                <w:noProof/>
                <w:webHidden/>
              </w:rPr>
              <w:instrText xml:space="preserve"> PAGEREF _Toc112917681 \h </w:instrText>
            </w:r>
            <w:r w:rsidR="00D42808">
              <w:rPr>
                <w:noProof/>
                <w:webHidden/>
              </w:rPr>
            </w:r>
            <w:r w:rsidR="00D42808">
              <w:rPr>
                <w:noProof/>
                <w:webHidden/>
              </w:rPr>
              <w:fldChar w:fldCharType="separate"/>
            </w:r>
            <w:r w:rsidR="005D4773">
              <w:rPr>
                <w:noProof/>
                <w:webHidden/>
              </w:rPr>
              <w:t>68</w:t>
            </w:r>
            <w:r w:rsidR="00D42808">
              <w:rPr>
                <w:noProof/>
                <w:webHidden/>
              </w:rPr>
              <w:fldChar w:fldCharType="end"/>
            </w:r>
          </w:hyperlink>
        </w:p>
        <w:p w14:paraId="5ADBB1EB" w14:textId="05D88A18" w:rsidR="00D42808" w:rsidRDefault="00000000">
          <w:pPr>
            <w:pStyle w:val="TOC2"/>
            <w:rPr>
              <w:rFonts w:eastAsiaTheme="minorEastAsia" w:cstheme="minorBidi"/>
              <w:b w:val="0"/>
              <w:bCs w:val="0"/>
              <w:noProof/>
              <w:szCs w:val="28"/>
              <w:lang w:bidi="th-TH"/>
            </w:rPr>
          </w:pPr>
          <w:hyperlink w:anchor="_Toc112917682" w:history="1">
            <w:r w:rsidR="00D42808" w:rsidRPr="005427CC">
              <w:rPr>
                <w:rStyle w:val="Hyperlink"/>
                <w:noProof/>
              </w:rPr>
              <w:t>16.13</w:t>
            </w:r>
            <w:r w:rsidR="00D42808">
              <w:rPr>
                <w:rFonts w:eastAsiaTheme="minorEastAsia" w:cstheme="minorBidi"/>
                <w:b w:val="0"/>
                <w:bCs w:val="0"/>
                <w:noProof/>
                <w:szCs w:val="28"/>
                <w:lang w:bidi="th-TH"/>
              </w:rPr>
              <w:tab/>
            </w:r>
            <w:r w:rsidR="00D42808" w:rsidRPr="005427CC">
              <w:rPr>
                <w:rStyle w:val="Hyperlink"/>
                <w:noProof/>
              </w:rPr>
              <w:t>Fluoxetine</w:t>
            </w:r>
            <w:r w:rsidR="00D42808">
              <w:rPr>
                <w:noProof/>
                <w:webHidden/>
              </w:rPr>
              <w:tab/>
            </w:r>
            <w:r w:rsidR="00D42808">
              <w:rPr>
                <w:noProof/>
                <w:webHidden/>
              </w:rPr>
              <w:fldChar w:fldCharType="begin"/>
            </w:r>
            <w:r w:rsidR="00D42808">
              <w:rPr>
                <w:noProof/>
                <w:webHidden/>
              </w:rPr>
              <w:instrText xml:space="preserve"> PAGEREF _Toc112917682 \h </w:instrText>
            </w:r>
            <w:r w:rsidR="00D42808">
              <w:rPr>
                <w:noProof/>
                <w:webHidden/>
              </w:rPr>
            </w:r>
            <w:r w:rsidR="00D42808">
              <w:rPr>
                <w:noProof/>
                <w:webHidden/>
              </w:rPr>
              <w:fldChar w:fldCharType="separate"/>
            </w:r>
            <w:r w:rsidR="005D4773">
              <w:rPr>
                <w:noProof/>
                <w:webHidden/>
              </w:rPr>
              <w:t>70</w:t>
            </w:r>
            <w:r w:rsidR="00D42808">
              <w:rPr>
                <w:noProof/>
                <w:webHidden/>
              </w:rPr>
              <w:fldChar w:fldCharType="end"/>
            </w:r>
          </w:hyperlink>
        </w:p>
        <w:p w14:paraId="39456F98" w14:textId="466D82FE" w:rsidR="00D42808" w:rsidRDefault="00000000">
          <w:pPr>
            <w:pStyle w:val="TOC2"/>
            <w:rPr>
              <w:rFonts w:eastAsiaTheme="minorEastAsia" w:cstheme="minorBidi"/>
              <w:b w:val="0"/>
              <w:bCs w:val="0"/>
              <w:noProof/>
              <w:szCs w:val="28"/>
              <w:lang w:bidi="th-TH"/>
            </w:rPr>
          </w:pPr>
          <w:hyperlink w:anchor="_Toc112917683" w:history="1">
            <w:r w:rsidR="00D42808" w:rsidRPr="005427CC">
              <w:rPr>
                <w:rStyle w:val="Hyperlink"/>
                <w:noProof/>
              </w:rPr>
              <w:t>16.14</w:t>
            </w:r>
            <w:r w:rsidR="00D42808">
              <w:rPr>
                <w:rFonts w:eastAsiaTheme="minorEastAsia" w:cstheme="minorBidi"/>
                <w:b w:val="0"/>
                <w:bCs w:val="0"/>
                <w:noProof/>
                <w:szCs w:val="28"/>
                <w:lang w:bidi="th-TH"/>
              </w:rPr>
              <w:tab/>
            </w:r>
            <w:r w:rsidR="00D42808" w:rsidRPr="005427CC">
              <w:rPr>
                <w:rStyle w:val="Hyperlink"/>
                <w:noProof/>
              </w:rPr>
              <w:t>Fluvoxamine</w:t>
            </w:r>
            <w:r w:rsidR="00D42808">
              <w:rPr>
                <w:noProof/>
                <w:webHidden/>
              </w:rPr>
              <w:tab/>
            </w:r>
            <w:r w:rsidR="00D42808">
              <w:rPr>
                <w:noProof/>
                <w:webHidden/>
              </w:rPr>
              <w:fldChar w:fldCharType="begin"/>
            </w:r>
            <w:r w:rsidR="00D42808">
              <w:rPr>
                <w:noProof/>
                <w:webHidden/>
              </w:rPr>
              <w:instrText xml:space="preserve"> PAGEREF _Toc112917683 \h </w:instrText>
            </w:r>
            <w:r w:rsidR="00D42808">
              <w:rPr>
                <w:noProof/>
                <w:webHidden/>
              </w:rPr>
            </w:r>
            <w:r w:rsidR="00D42808">
              <w:rPr>
                <w:noProof/>
                <w:webHidden/>
              </w:rPr>
              <w:fldChar w:fldCharType="separate"/>
            </w:r>
            <w:r w:rsidR="005D4773">
              <w:rPr>
                <w:noProof/>
                <w:webHidden/>
              </w:rPr>
              <w:t>73</w:t>
            </w:r>
            <w:r w:rsidR="00D42808">
              <w:rPr>
                <w:noProof/>
                <w:webHidden/>
              </w:rPr>
              <w:fldChar w:fldCharType="end"/>
            </w:r>
          </w:hyperlink>
        </w:p>
        <w:p w14:paraId="37D6F149" w14:textId="2C19570A" w:rsidR="00D42808" w:rsidRDefault="00000000">
          <w:pPr>
            <w:pStyle w:val="TOC2"/>
            <w:rPr>
              <w:rFonts w:eastAsiaTheme="minorEastAsia" w:cstheme="minorBidi"/>
              <w:b w:val="0"/>
              <w:bCs w:val="0"/>
              <w:noProof/>
              <w:szCs w:val="28"/>
              <w:lang w:bidi="th-TH"/>
            </w:rPr>
          </w:pPr>
          <w:hyperlink w:anchor="_Toc112917684" w:history="1">
            <w:r w:rsidR="00D42808" w:rsidRPr="005427CC">
              <w:rPr>
                <w:rStyle w:val="Hyperlink"/>
                <w:noProof/>
              </w:rPr>
              <w:t>16.15</w:t>
            </w:r>
            <w:r w:rsidR="00D42808">
              <w:rPr>
                <w:rFonts w:eastAsiaTheme="minorEastAsia" w:cstheme="minorBidi"/>
                <w:b w:val="0"/>
                <w:bCs w:val="0"/>
                <w:noProof/>
                <w:szCs w:val="28"/>
                <w:lang w:bidi="th-TH"/>
              </w:rPr>
              <w:tab/>
            </w:r>
            <w:r w:rsidR="00D42808" w:rsidRPr="005427CC">
              <w:rPr>
                <w:rStyle w:val="Hyperlink"/>
                <w:noProof/>
              </w:rPr>
              <w:t>AZD7442 (Evusheld)</w:t>
            </w:r>
            <w:r w:rsidR="00D42808">
              <w:rPr>
                <w:noProof/>
                <w:webHidden/>
              </w:rPr>
              <w:tab/>
            </w:r>
            <w:r w:rsidR="00D42808">
              <w:rPr>
                <w:noProof/>
                <w:webHidden/>
              </w:rPr>
              <w:fldChar w:fldCharType="begin"/>
            </w:r>
            <w:r w:rsidR="00D42808">
              <w:rPr>
                <w:noProof/>
                <w:webHidden/>
              </w:rPr>
              <w:instrText xml:space="preserve"> PAGEREF _Toc112917684 \h </w:instrText>
            </w:r>
            <w:r w:rsidR="00D42808">
              <w:rPr>
                <w:noProof/>
                <w:webHidden/>
              </w:rPr>
            </w:r>
            <w:r w:rsidR="00D42808">
              <w:rPr>
                <w:noProof/>
                <w:webHidden/>
              </w:rPr>
              <w:fldChar w:fldCharType="separate"/>
            </w:r>
            <w:r w:rsidR="005D4773">
              <w:rPr>
                <w:noProof/>
                <w:webHidden/>
              </w:rPr>
              <w:t>75</w:t>
            </w:r>
            <w:r w:rsidR="00D42808">
              <w:rPr>
                <w:noProof/>
                <w:webHidden/>
              </w:rPr>
              <w:fldChar w:fldCharType="end"/>
            </w:r>
          </w:hyperlink>
        </w:p>
        <w:p w14:paraId="4BF359E8" w14:textId="4C7830FA" w:rsidR="00D42808" w:rsidRDefault="00000000">
          <w:pPr>
            <w:pStyle w:val="TOC2"/>
            <w:rPr>
              <w:rFonts w:eastAsiaTheme="minorEastAsia" w:cstheme="minorBidi"/>
              <w:b w:val="0"/>
              <w:bCs w:val="0"/>
              <w:noProof/>
              <w:szCs w:val="28"/>
              <w:lang w:bidi="th-TH"/>
            </w:rPr>
          </w:pPr>
          <w:hyperlink w:anchor="_Toc112917685" w:history="1">
            <w:r w:rsidR="00D42808" w:rsidRPr="005427CC">
              <w:rPr>
                <w:rStyle w:val="Hyperlink"/>
                <w:noProof/>
              </w:rPr>
              <w:t>16.16</w:t>
            </w:r>
            <w:r w:rsidR="00D42808">
              <w:rPr>
                <w:rFonts w:eastAsiaTheme="minorEastAsia" w:cstheme="minorBidi"/>
                <w:b w:val="0"/>
                <w:bCs w:val="0"/>
                <w:noProof/>
                <w:szCs w:val="28"/>
                <w:lang w:bidi="th-TH"/>
              </w:rPr>
              <w:tab/>
            </w:r>
            <w:r w:rsidR="00D42808" w:rsidRPr="005427CC">
              <w:rPr>
                <w:rStyle w:val="Hyperlink"/>
                <w:noProof/>
              </w:rPr>
              <w:t>Ensitrelvir</w:t>
            </w:r>
            <w:r w:rsidR="00D42808">
              <w:rPr>
                <w:noProof/>
                <w:webHidden/>
              </w:rPr>
              <w:tab/>
            </w:r>
            <w:r w:rsidR="00D42808">
              <w:rPr>
                <w:noProof/>
                <w:webHidden/>
              </w:rPr>
              <w:fldChar w:fldCharType="begin"/>
            </w:r>
            <w:r w:rsidR="00D42808">
              <w:rPr>
                <w:noProof/>
                <w:webHidden/>
              </w:rPr>
              <w:instrText xml:space="preserve"> PAGEREF _Toc112917685 \h </w:instrText>
            </w:r>
            <w:r w:rsidR="00D42808">
              <w:rPr>
                <w:noProof/>
                <w:webHidden/>
              </w:rPr>
            </w:r>
            <w:r w:rsidR="00D42808">
              <w:rPr>
                <w:noProof/>
                <w:webHidden/>
              </w:rPr>
              <w:fldChar w:fldCharType="separate"/>
            </w:r>
            <w:r w:rsidR="005D4773">
              <w:rPr>
                <w:noProof/>
                <w:webHidden/>
              </w:rPr>
              <w:t>77</w:t>
            </w:r>
            <w:r w:rsidR="00D42808">
              <w:rPr>
                <w:noProof/>
                <w:webHidden/>
              </w:rPr>
              <w:fldChar w:fldCharType="end"/>
            </w:r>
          </w:hyperlink>
        </w:p>
        <w:p w14:paraId="51CCF1B2" w14:textId="0A5A223A" w:rsidR="00D42808" w:rsidRDefault="00000000">
          <w:pPr>
            <w:pStyle w:val="TOC1"/>
            <w:rPr>
              <w:rFonts w:eastAsiaTheme="minorEastAsia" w:cstheme="minorBidi"/>
              <w:b w:val="0"/>
              <w:bCs w:val="0"/>
              <w:i w:val="0"/>
              <w:iCs w:val="0"/>
              <w:noProof/>
              <w:sz w:val="22"/>
              <w:szCs w:val="28"/>
              <w:lang w:bidi="th-TH"/>
            </w:rPr>
          </w:pPr>
          <w:hyperlink w:anchor="_Toc112917686" w:history="1">
            <w:r w:rsidR="00D42808" w:rsidRPr="005427CC">
              <w:rPr>
                <w:rStyle w:val="Hyperlink"/>
                <w:rFonts w:ascii="Calibri" w:hAnsi="Calibri" w:cs="Calibri"/>
                <w:noProof/>
                <w:lang w:val="en-GB"/>
              </w:rPr>
              <w:t>17</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Appendix 3 – Sample size simulations</w:t>
            </w:r>
            <w:r w:rsidR="00D42808">
              <w:rPr>
                <w:noProof/>
                <w:webHidden/>
              </w:rPr>
              <w:tab/>
            </w:r>
            <w:r w:rsidR="00D42808">
              <w:rPr>
                <w:noProof/>
                <w:webHidden/>
              </w:rPr>
              <w:fldChar w:fldCharType="begin"/>
            </w:r>
            <w:r w:rsidR="00D42808">
              <w:rPr>
                <w:noProof/>
                <w:webHidden/>
              </w:rPr>
              <w:instrText xml:space="preserve"> PAGEREF _Toc112917686 \h </w:instrText>
            </w:r>
            <w:r w:rsidR="00D42808">
              <w:rPr>
                <w:noProof/>
                <w:webHidden/>
              </w:rPr>
            </w:r>
            <w:r w:rsidR="00D42808">
              <w:rPr>
                <w:noProof/>
                <w:webHidden/>
              </w:rPr>
              <w:fldChar w:fldCharType="separate"/>
            </w:r>
            <w:r w:rsidR="005D4773">
              <w:rPr>
                <w:noProof/>
                <w:webHidden/>
              </w:rPr>
              <w:t>80</w:t>
            </w:r>
            <w:r w:rsidR="00D42808">
              <w:rPr>
                <w:noProof/>
                <w:webHidden/>
              </w:rPr>
              <w:fldChar w:fldCharType="end"/>
            </w:r>
          </w:hyperlink>
        </w:p>
        <w:p w14:paraId="3E612064" w14:textId="2675EB5D" w:rsidR="00D42808" w:rsidRDefault="00000000">
          <w:pPr>
            <w:pStyle w:val="TOC1"/>
            <w:rPr>
              <w:rFonts w:eastAsiaTheme="minorEastAsia" w:cstheme="minorBidi"/>
              <w:b w:val="0"/>
              <w:bCs w:val="0"/>
              <w:i w:val="0"/>
              <w:iCs w:val="0"/>
              <w:noProof/>
              <w:sz w:val="22"/>
              <w:szCs w:val="28"/>
              <w:lang w:bidi="th-TH"/>
            </w:rPr>
          </w:pPr>
          <w:hyperlink w:anchor="_Toc112917687" w:history="1">
            <w:r w:rsidR="00D42808" w:rsidRPr="005427CC">
              <w:rPr>
                <w:rStyle w:val="Hyperlink"/>
                <w:rFonts w:ascii="Calibri" w:hAnsi="Calibri" w:cs="Calibri"/>
                <w:noProof/>
                <w:lang w:val="en-GB"/>
              </w:rPr>
              <w:t>18</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Appendix 4 – Exclusion criteria</w:t>
            </w:r>
            <w:r w:rsidR="00D42808">
              <w:rPr>
                <w:noProof/>
                <w:webHidden/>
              </w:rPr>
              <w:tab/>
            </w:r>
            <w:r w:rsidR="00D42808">
              <w:rPr>
                <w:noProof/>
                <w:webHidden/>
              </w:rPr>
              <w:fldChar w:fldCharType="begin"/>
            </w:r>
            <w:r w:rsidR="00D42808">
              <w:rPr>
                <w:noProof/>
                <w:webHidden/>
              </w:rPr>
              <w:instrText xml:space="preserve"> PAGEREF _Toc112917687 \h </w:instrText>
            </w:r>
            <w:r w:rsidR="00D42808">
              <w:rPr>
                <w:noProof/>
                <w:webHidden/>
              </w:rPr>
            </w:r>
            <w:r w:rsidR="00D42808">
              <w:rPr>
                <w:noProof/>
                <w:webHidden/>
              </w:rPr>
              <w:fldChar w:fldCharType="separate"/>
            </w:r>
            <w:r w:rsidR="005D4773">
              <w:rPr>
                <w:noProof/>
                <w:webHidden/>
              </w:rPr>
              <w:t>82</w:t>
            </w:r>
            <w:r w:rsidR="00D42808">
              <w:rPr>
                <w:noProof/>
                <w:webHidden/>
              </w:rPr>
              <w:fldChar w:fldCharType="end"/>
            </w:r>
          </w:hyperlink>
        </w:p>
        <w:p w14:paraId="2F24774B" w14:textId="01912D68" w:rsidR="00D42808" w:rsidRDefault="00000000">
          <w:pPr>
            <w:pStyle w:val="TOC3"/>
            <w:tabs>
              <w:tab w:val="right" w:leader="dot" w:pos="9736"/>
            </w:tabs>
            <w:rPr>
              <w:rFonts w:eastAsiaTheme="minorEastAsia" w:cstheme="minorBidi"/>
              <w:noProof/>
              <w:sz w:val="22"/>
              <w:szCs w:val="28"/>
              <w:lang w:bidi="th-TH"/>
            </w:rPr>
          </w:pPr>
          <w:hyperlink w:anchor="_Toc112917688" w:history="1">
            <w:r w:rsidR="00D42808" w:rsidRPr="005427CC">
              <w:rPr>
                <w:rStyle w:val="Hyperlink"/>
                <w:rFonts w:ascii="Calibri" w:hAnsi="Calibri" w:cs="Calibri"/>
                <w:noProof/>
              </w:rPr>
              <w:t>Hydroxychloroquine</w:t>
            </w:r>
            <w:r w:rsidR="00D42808">
              <w:rPr>
                <w:noProof/>
                <w:webHidden/>
              </w:rPr>
              <w:tab/>
            </w:r>
            <w:r w:rsidR="00D42808">
              <w:rPr>
                <w:noProof/>
                <w:webHidden/>
              </w:rPr>
              <w:fldChar w:fldCharType="begin"/>
            </w:r>
            <w:r w:rsidR="00D42808">
              <w:rPr>
                <w:noProof/>
                <w:webHidden/>
              </w:rPr>
              <w:instrText xml:space="preserve"> PAGEREF _Toc112917688 \h </w:instrText>
            </w:r>
            <w:r w:rsidR="00D42808">
              <w:rPr>
                <w:noProof/>
                <w:webHidden/>
              </w:rPr>
            </w:r>
            <w:r w:rsidR="00D42808">
              <w:rPr>
                <w:noProof/>
                <w:webHidden/>
              </w:rPr>
              <w:fldChar w:fldCharType="separate"/>
            </w:r>
            <w:r w:rsidR="005D4773">
              <w:rPr>
                <w:noProof/>
                <w:webHidden/>
              </w:rPr>
              <w:t>83</w:t>
            </w:r>
            <w:r w:rsidR="00D42808">
              <w:rPr>
                <w:noProof/>
                <w:webHidden/>
              </w:rPr>
              <w:fldChar w:fldCharType="end"/>
            </w:r>
          </w:hyperlink>
        </w:p>
        <w:p w14:paraId="25013F5B" w14:textId="24E3FE95" w:rsidR="00D42808" w:rsidRDefault="00000000">
          <w:pPr>
            <w:pStyle w:val="TOC3"/>
            <w:tabs>
              <w:tab w:val="right" w:leader="dot" w:pos="9736"/>
            </w:tabs>
            <w:rPr>
              <w:rFonts w:eastAsiaTheme="minorEastAsia" w:cstheme="minorBidi"/>
              <w:noProof/>
              <w:sz w:val="22"/>
              <w:szCs w:val="28"/>
              <w:lang w:bidi="th-TH"/>
            </w:rPr>
          </w:pPr>
          <w:hyperlink w:anchor="_Toc112917689" w:history="1">
            <w:r w:rsidR="00D42808" w:rsidRPr="005427CC">
              <w:rPr>
                <w:rStyle w:val="Hyperlink"/>
                <w:rFonts w:ascii="Calibri" w:hAnsi="Calibri" w:cs="Calibri"/>
                <w:noProof/>
              </w:rPr>
              <w:t>Remdesivir</w:t>
            </w:r>
            <w:r w:rsidR="00D42808">
              <w:rPr>
                <w:noProof/>
                <w:webHidden/>
              </w:rPr>
              <w:tab/>
            </w:r>
            <w:r w:rsidR="00D42808">
              <w:rPr>
                <w:noProof/>
                <w:webHidden/>
              </w:rPr>
              <w:fldChar w:fldCharType="begin"/>
            </w:r>
            <w:r w:rsidR="00D42808">
              <w:rPr>
                <w:noProof/>
                <w:webHidden/>
              </w:rPr>
              <w:instrText xml:space="preserve"> PAGEREF _Toc112917689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3BE847FF" w14:textId="760E1DDD" w:rsidR="00D42808" w:rsidRDefault="00000000">
          <w:pPr>
            <w:pStyle w:val="TOC3"/>
            <w:tabs>
              <w:tab w:val="right" w:leader="dot" w:pos="9736"/>
            </w:tabs>
            <w:rPr>
              <w:rFonts w:eastAsiaTheme="minorEastAsia" w:cstheme="minorBidi"/>
              <w:noProof/>
              <w:sz w:val="22"/>
              <w:szCs w:val="28"/>
              <w:lang w:bidi="th-TH"/>
            </w:rPr>
          </w:pPr>
          <w:hyperlink w:anchor="_Toc112917690" w:history="1">
            <w:r w:rsidR="00D42808" w:rsidRPr="005427CC">
              <w:rPr>
                <w:rStyle w:val="Hyperlink"/>
                <w:rFonts w:ascii="Calibri" w:hAnsi="Calibri" w:cs="Calibri"/>
                <w:noProof/>
              </w:rPr>
              <w:t>Ivermectin</w:t>
            </w:r>
            <w:r w:rsidR="00D42808">
              <w:rPr>
                <w:noProof/>
                <w:webHidden/>
              </w:rPr>
              <w:tab/>
            </w:r>
            <w:r w:rsidR="00D42808">
              <w:rPr>
                <w:noProof/>
                <w:webHidden/>
              </w:rPr>
              <w:fldChar w:fldCharType="begin"/>
            </w:r>
            <w:r w:rsidR="00D42808">
              <w:rPr>
                <w:noProof/>
                <w:webHidden/>
              </w:rPr>
              <w:instrText xml:space="preserve"> PAGEREF _Toc112917690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591ED57B" w14:textId="134812C8" w:rsidR="00D42808" w:rsidRDefault="00000000">
          <w:pPr>
            <w:pStyle w:val="TOC3"/>
            <w:tabs>
              <w:tab w:val="right" w:leader="dot" w:pos="9736"/>
            </w:tabs>
            <w:rPr>
              <w:rFonts w:eastAsiaTheme="minorEastAsia" w:cstheme="minorBidi"/>
              <w:noProof/>
              <w:sz w:val="22"/>
              <w:szCs w:val="28"/>
              <w:lang w:bidi="th-TH"/>
            </w:rPr>
          </w:pPr>
          <w:hyperlink w:anchor="_Toc112917691" w:history="1">
            <w:r w:rsidR="00D42808" w:rsidRPr="005427CC">
              <w:rPr>
                <w:rStyle w:val="Hyperlink"/>
                <w:rFonts w:ascii="Calibri" w:hAnsi="Calibri" w:cs="Calibri"/>
                <w:noProof/>
              </w:rPr>
              <w:t>Nitazoxanide</w:t>
            </w:r>
            <w:r w:rsidR="00D42808">
              <w:rPr>
                <w:noProof/>
                <w:webHidden/>
              </w:rPr>
              <w:tab/>
            </w:r>
            <w:r w:rsidR="00D42808">
              <w:rPr>
                <w:noProof/>
                <w:webHidden/>
              </w:rPr>
              <w:fldChar w:fldCharType="begin"/>
            </w:r>
            <w:r w:rsidR="00D42808">
              <w:rPr>
                <w:noProof/>
                <w:webHidden/>
              </w:rPr>
              <w:instrText xml:space="preserve"> PAGEREF _Toc112917691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0EF0B357" w14:textId="1956015C" w:rsidR="00D42808" w:rsidRDefault="00000000">
          <w:pPr>
            <w:pStyle w:val="TOC3"/>
            <w:tabs>
              <w:tab w:val="right" w:leader="dot" w:pos="9736"/>
            </w:tabs>
            <w:rPr>
              <w:rFonts w:eastAsiaTheme="minorEastAsia" w:cstheme="minorBidi"/>
              <w:noProof/>
              <w:sz w:val="22"/>
              <w:szCs w:val="28"/>
              <w:lang w:bidi="th-TH"/>
            </w:rPr>
          </w:pPr>
          <w:hyperlink w:anchor="_Toc112917692" w:history="1">
            <w:r w:rsidR="00D42808" w:rsidRPr="005427CC">
              <w:rPr>
                <w:rStyle w:val="Hyperlink"/>
                <w:rFonts w:ascii="Calibri" w:hAnsi="Calibri" w:cs="Calibri"/>
                <w:noProof/>
              </w:rPr>
              <w:t>Miglustat</w:t>
            </w:r>
            <w:r w:rsidR="00D42808">
              <w:rPr>
                <w:noProof/>
                <w:webHidden/>
              </w:rPr>
              <w:tab/>
            </w:r>
            <w:r w:rsidR="00D42808">
              <w:rPr>
                <w:noProof/>
                <w:webHidden/>
              </w:rPr>
              <w:fldChar w:fldCharType="begin"/>
            </w:r>
            <w:r w:rsidR="00D42808">
              <w:rPr>
                <w:noProof/>
                <w:webHidden/>
              </w:rPr>
              <w:instrText xml:space="preserve"> PAGEREF _Toc112917692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431CDA69" w14:textId="03B986E5" w:rsidR="00D42808" w:rsidRDefault="00000000">
          <w:pPr>
            <w:pStyle w:val="TOC3"/>
            <w:tabs>
              <w:tab w:val="right" w:leader="dot" w:pos="9736"/>
            </w:tabs>
            <w:rPr>
              <w:rFonts w:eastAsiaTheme="minorEastAsia" w:cstheme="minorBidi"/>
              <w:noProof/>
              <w:sz w:val="22"/>
              <w:szCs w:val="28"/>
              <w:lang w:bidi="th-TH"/>
            </w:rPr>
          </w:pPr>
          <w:hyperlink w:anchor="_Toc112917693" w:history="1">
            <w:r w:rsidR="00D42808" w:rsidRPr="005427CC">
              <w:rPr>
                <w:rStyle w:val="Hyperlink"/>
                <w:rFonts w:ascii="Calibri" w:hAnsi="Calibri" w:cs="Calibri"/>
                <w:noProof/>
              </w:rPr>
              <w:t>Lopinavir/ritonavir</w:t>
            </w:r>
            <w:r w:rsidR="00D42808">
              <w:rPr>
                <w:noProof/>
                <w:webHidden/>
              </w:rPr>
              <w:tab/>
            </w:r>
            <w:r w:rsidR="00D42808">
              <w:rPr>
                <w:noProof/>
                <w:webHidden/>
              </w:rPr>
              <w:fldChar w:fldCharType="begin"/>
            </w:r>
            <w:r w:rsidR="00D42808">
              <w:rPr>
                <w:noProof/>
                <w:webHidden/>
              </w:rPr>
              <w:instrText xml:space="preserve"> PAGEREF _Toc112917693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44F3C4C3" w14:textId="557C2F82" w:rsidR="00D42808" w:rsidRDefault="00000000">
          <w:pPr>
            <w:pStyle w:val="TOC3"/>
            <w:tabs>
              <w:tab w:val="right" w:leader="dot" w:pos="9736"/>
            </w:tabs>
            <w:rPr>
              <w:rFonts w:eastAsiaTheme="minorEastAsia" w:cstheme="minorBidi"/>
              <w:noProof/>
              <w:sz w:val="22"/>
              <w:szCs w:val="28"/>
              <w:lang w:bidi="th-TH"/>
            </w:rPr>
          </w:pPr>
          <w:hyperlink w:anchor="_Toc112917694" w:history="1">
            <w:r w:rsidR="00D42808" w:rsidRPr="005427CC">
              <w:rPr>
                <w:rStyle w:val="Hyperlink"/>
                <w:rFonts w:ascii="Calibri" w:hAnsi="Calibri" w:cs="Calibri"/>
                <w:noProof/>
              </w:rPr>
              <w:t>REGN-COV2</w:t>
            </w:r>
            <w:r w:rsidR="00D42808">
              <w:rPr>
                <w:noProof/>
                <w:webHidden/>
              </w:rPr>
              <w:tab/>
            </w:r>
            <w:r w:rsidR="00D42808">
              <w:rPr>
                <w:noProof/>
                <w:webHidden/>
              </w:rPr>
              <w:fldChar w:fldCharType="begin"/>
            </w:r>
            <w:r w:rsidR="00D42808">
              <w:rPr>
                <w:noProof/>
                <w:webHidden/>
              </w:rPr>
              <w:instrText xml:space="preserve"> PAGEREF _Toc112917694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56D045C7" w14:textId="1F63F413" w:rsidR="00D42808" w:rsidRDefault="00000000">
          <w:pPr>
            <w:pStyle w:val="TOC3"/>
            <w:tabs>
              <w:tab w:val="right" w:leader="dot" w:pos="9736"/>
            </w:tabs>
            <w:rPr>
              <w:rFonts w:eastAsiaTheme="minorEastAsia" w:cstheme="minorBidi"/>
              <w:noProof/>
              <w:sz w:val="22"/>
              <w:szCs w:val="28"/>
              <w:lang w:bidi="th-TH"/>
            </w:rPr>
          </w:pPr>
          <w:hyperlink w:anchor="_Toc112917695" w:history="1">
            <w:r w:rsidR="00D42808" w:rsidRPr="005427CC">
              <w:rPr>
                <w:rStyle w:val="Hyperlink"/>
                <w:rFonts w:ascii="Calibri" w:hAnsi="Calibri" w:cs="Calibri"/>
                <w:noProof/>
              </w:rPr>
              <w:t>Nebulised Unfactionated Heparin (UFH)</w:t>
            </w:r>
            <w:r w:rsidR="00D42808">
              <w:rPr>
                <w:noProof/>
                <w:webHidden/>
              </w:rPr>
              <w:tab/>
            </w:r>
            <w:r w:rsidR="00D42808">
              <w:rPr>
                <w:noProof/>
                <w:webHidden/>
              </w:rPr>
              <w:fldChar w:fldCharType="begin"/>
            </w:r>
            <w:r w:rsidR="00D42808">
              <w:rPr>
                <w:noProof/>
                <w:webHidden/>
              </w:rPr>
              <w:instrText xml:space="preserve"> PAGEREF _Toc112917695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0F11D470" w14:textId="3FC815A1" w:rsidR="00D42808" w:rsidRDefault="00000000">
          <w:pPr>
            <w:pStyle w:val="TOC3"/>
            <w:tabs>
              <w:tab w:val="right" w:leader="dot" w:pos="9736"/>
            </w:tabs>
            <w:rPr>
              <w:rFonts w:eastAsiaTheme="minorEastAsia" w:cstheme="minorBidi"/>
              <w:noProof/>
              <w:sz w:val="22"/>
              <w:szCs w:val="28"/>
              <w:lang w:bidi="th-TH"/>
            </w:rPr>
          </w:pPr>
          <w:hyperlink w:anchor="_Toc112917696" w:history="1">
            <w:r w:rsidR="00D42808" w:rsidRPr="005427CC">
              <w:rPr>
                <w:rStyle w:val="Hyperlink"/>
                <w:rFonts w:ascii="Calibri" w:hAnsi="Calibri" w:cs="Calibri"/>
                <w:noProof/>
              </w:rPr>
              <w:t>Favipiravir</w:t>
            </w:r>
            <w:r w:rsidR="00D42808">
              <w:rPr>
                <w:noProof/>
                <w:webHidden/>
              </w:rPr>
              <w:tab/>
            </w:r>
            <w:r w:rsidR="00D42808">
              <w:rPr>
                <w:noProof/>
                <w:webHidden/>
              </w:rPr>
              <w:fldChar w:fldCharType="begin"/>
            </w:r>
            <w:r w:rsidR="00D42808">
              <w:rPr>
                <w:noProof/>
                <w:webHidden/>
              </w:rPr>
              <w:instrText xml:space="preserve"> PAGEREF _Toc112917696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3A0F8ACE" w14:textId="69B10908" w:rsidR="00D42808" w:rsidRDefault="00000000">
          <w:pPr>
            <w:pStyle w:val="TOC3"/>
            <w:tabs>
              <w:tab w:val="right" w:leader="dot" w:pos="9736"/>
            </w:tabs>
            <w:rPr>
              <w:rFonts w:eastAsiaTheme="minorEastAsia" w:cstheme="minorBidi"/>
              <w:noProof/>
              <w:sz w:val="22"/>
              <w:szCs w:val="28"/>
              <w:lang w:bidi="th-TH"/>
            </w:rPr>
          </w:pPr>
          <w:hyperlink w:anchor="_Toc112917697" w:history="1">
            <w:r w:rsidR="00D42808" w:rsidRPr="005427CC">
              <w:rPr>
                <w:rStyle w:val="Hyperlink"/>
                <w:rFonts w:ascii="Calibri" w:hAnsi="Calibri"/>
                <w:noProof/>
              </w:rPr>
              <w:t>Molnupiravir</w:t>
            </w:r>
            <w:r w:rsidR="00D42808">
              <w:rPr>
                <w:noProof/>
                <w:webHidden/>
              </w:rPr>
              <w:tab/>
            </w:r>
            <w:r w:rsidR="00D42808">
              <w:rPr>
                <w:noProof/>
                <w:webHidden/>
              </w:rPr>
              <w:fldChar w:fldCharType="begin"/>
            </w:r>
            <w:r w:rsidR="00D42808">
              <w:rPr>
                <w:noProof/>
                <w:webHidden/>
              </w:rPr>
              <w:instrText xml:space="preserve"> PAGEREF _Toc112917697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014CCA92" w14:textId="705CA842" w:rsidR="00D42808" w:rsidRDefault="00000000">
          <w:pPr>
            <w:pStyle w:val="TOC3"/>
            <w:tabs>
              <w:tab w:val="right" w:leader="dot" w:pos="9736"/>
            </w:tabs>
            <w:rPr>
              <w:rFonts w:eastAsiaTheme="minorEastAsia" w:cstheme="minorBidi"/>
              <w:noProof/>
              <w:sz w:val="22"/>
              <w:szCs w:val="28"/>
              <w:lang w:bidi="th-TH"/>
            </w:rPr>
          </w:pPr>
          <w:hyperlink w:anchor="_Toc112917698" w:history="1">
            <w:r w:rsidR="00D42808" w:rsidRPr="005427CC">
              <w:rPr>
                <w:rStyle w:val="Hyperlink"/>
                <w:rFonts w:ascii="Calibri" w:hAnsi="Calibri"/>
                <w:noProof/>
              </w:rPr>
              <w:t>Nirmatrelvir/ritonavir</w:t>
            </w:r>
            <w:r w:rsidR="00D42808">
              <w:rPr>
                <w:noProof/>
                <w:webHidden/>
              </w:rPr>
              <w:tab/>
            </w:r>
            <w:r w:rsidR="00D42808">
              <w:rPr>
                <w:noProof/>
                <w:webHidden/>
              </w:rPr>
              <w:fldChar w:fldCharType="begin"/>
            </w:r>
            <w:r w:rsidR="00D42808">
              <w:rPr>
                <w:noProof/>
                <w:webHidden/>
              </w:rPr>
              <w:instrText xml:space="preserve"> PAGEREF _Toc112917698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7A03EC52" w14:textId="4CFF60C2" w:rsidR="00D42808" w:rsidRDefault="00000000">
          <w:pPr>
            <w:pStyle w:val="TOC3"/>
            <w:tabs>
              <w:tab w:val="right" w:leader="dot" w:pos="9736"/>
            </w:tabs>
            <w:rPr>
              <w:rFonts w:eastAsiaTheme="minorEastAsia" w:cstheme="minorBidi"/>
              <w:noProof/>
              <w:sz w:val="22"/>
              <w:szCs w:val="28"/>
              <w:lang w:bidi="th-TH"/>
            </w:rPr>
          </w:pPr>
          <w:hyperlink w:anchor="_Toc112917699" w:history="1">
            <w:r w:rsidR="00D42808" w:rsidRPr="005427CC">
              <w:rPr>
                <w:rStyle w:val="Hyperlink"/>
                <w:rFonts w:ascii="Calibri" w:hAnsi="Calibri"/>
                <w:noProof/>
              </w:rPr>
              <w:t>Sotrovimab</w:t>
            </w:r>
            <w:r w:rsidR="00D42808">
              <w:rPr>
                <w:noProof/>
                <w:webHidden/>
              </w:rPr>
              <w:tab/>
            </w:r>
            <w:r w:rsidR="00D42808">
              <w:rPr>
                <w:noProof/>
                <w:webHidden/>
              </w:rPr>
              <w:fldChar w:fldCharType="begin"/>
            </w:r>
            <w:r w:rsidR="00D42808">
              <w:rPr>
                <w:noProof/>
                <w:webHidden/>
              </w:rPr>
              <w:instrText xml:space="preserve"> PAGEREF _Toc112917699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038E0938" w14:textId="4E9909CC" w:rsidR="00D42808" w:rsidRDefault="00000000">
          <w:pPr>
            <w:pStyle w:val="TOC3"/>
            <w:tabs>
              <w:tab w:val="right" w:leader="dot" w:pos="9736"/>
            </w:tabs>
            <w:rPr>
              <w:rFonts w:eastAsiaTheme="minorEastAsia" w:cstheme="minorBidi"/>
              <w:noProof/>
              <w:sz w:val="22"/>
              <w:szCs w:val="28"/>
              <w:lang w:bidi="th-TH"/>
            </w:rPr>
          </w:pPr>
          <w:hyperlink w:anchor="_Toc112917700" w:history="1">
            <w:r w:rsidR="00D42808" w:rsidRPr="005427CC">
              <w:rPr>
                <w:rStyle w:val="Hyperlink"/>
                <w:rFonts w:ascii="Calibri" w:hAnsi="Calibri"/>
                <w:noProof/>
              </w:rPr>
              <w:t>Fluoxetine</w:t>
            </w:r>
            <w:r w:rsidR="00D42808">
              <w:rPr>
                <w:noProof/>
                <w:webHidden/>
              </w:rPr>
              <w:tab/>
            </w:r>
            <w:r w:rsidR="00D42808">
              <w:rPr>
                <w:noProof/>
                <w:webHidden/>
              </w:rPr>
              <w:fldChar w:fldCharType="begin"/>
            </w:r>
            <w:r w:rsidR="00D42808">
              <w:rPr>
                <w:noProof/>
                <w:webHidden/>
              </w:rPr>
              <w:instrText xml:space="preserve"> PAGEREF _Toc112917700 \h </w:instrText>
            </w:r>
            <w:r w:rsidR="00D42808">
              <w:rPr>
                <w:noProof/>
                <w:webHidden/>
              </w:rPr>
            </w:r>
            <w:r w:rsidR="00D42808">
              <w:rPr>
                <w:noProof/>
                <w:webHidden/>
              </w:rPr>
              <w:fldChar w:fldCharType="separate"/>
            </w:r>
            <w:r w:rsidR="005D4773">
              <w:rPr>
                <w:noProof/>
                <w:webHidden/>
              </w:rPr>
              <w:t>84</w:t>
            </w:r>
            <w:r w:rsidR="00D42808">
              <w:rPr>
                <w:noProof/>
                <w:webHidden/>
              </w:rPr>
              <w:fldChar w:fldCharType="end"/>
            </w:r>
          </w:hyperlink>
        </w:p>
        <w:p w14:paraId="7B0458EC" w14:textId="57918A53" w:rsidR="00D42808" w:rsidRDefault="00000000">
          <w:pPr>
            <w:pStyle w:val="TOC3"/>
            <w:tabs>
              <w:tab w:val="right" w:leader="dot" w:pos="9736"/>
            </w:tabs>
            <w:rPr>
              <w:rFonts w:eastAsiaTheme="minorEastAsia" w:cstheme="minorBidi"/>
              <w:noProof/>
              <w:sz w:val="22"/>
              <w:szCs w:val="28"/>
              <w:lang w:bidi="th-TH"/>
            </w:rPr>
          </w:pPr>
          <w:hyperlink w:anchor="_Toc112917701" w:history="1">
            <w:r w:rsidR="00D42808" w:rsidRPr="005427CC">
              <w:rPr>
                <w:rStyle w:val="Hyperlink"/>
                <w:rFonts w:ascii="Calibri" w:hAnsi="Calibri"/>
                <w:noProof/>
              </w:rPr>
              <w:t>Fluvoxamine</w:t>
            </w:r>
            <w:r w:rsidR="00D42808">
              <w:rPr>
                <w:noProof/>
                <w:webHidden/>
              </w:rPr>
              <w:tab/>
            </w:r>
            <w:r w:rsidR="00D42808">
              <w:rPr>
                <w:noProof/>
                <w:webHidden/>
              </w:rPr>
              <w:fldChar w:fldCharType="begin"/>
            </w:r>
            <w:r w:rsidR="00D42808">
              <w:rPr>
                <w:noProof/>
                <w:webHidden/>
              </w:rPr>
              <w:instrText xml:space="preserve"> PAGEREF _Toc112917701 \h </w:instrText>
            </w:r>
            <w:r w:rsidR="00D42808">
              <w:rPr>
                <w:noProof/>
                <w:webHidden/>
              </w:rPr>
            </w:r>
            <w:r w:rsidR="00D42808">
              <w:rPr>
                <w:noProof/>
                <w:webHidden/>
              </w:rPr>
              <w:fldChar w:fldCharType="separate"/>
            </w:r>
            <w:r w:rsidR="005D4773">
              <w:rPr>
                <w:noProof/>
                <w:webHidden/>
              </w:rPr>
              <w:t>85</w:t>
            </w:r>
            <w:r w:rsidR="00D42808">
              <w:rPr>
                <w:noProof/>
                <w:webHidden/>
              </w:rPr>
              <w:fldChar w:fldCharType="end"/>
            </w:r>
          </w:hyperlink>
        </w:p>
        <w:p w14:paraId="70D43CAF" w14:textId="5EB5FD10" w:rsidR="00D42808" w:rsidRDefault="00000000">
          <w:pPr>
            <w:pStyle w:val="TOC3"/>
            <w:tabs>
              <w:tab w:val="right" w:leader="dot" w:pos="9736"/>
            </w:tabs>
            <w:rPr>
              <w:rFonts w:eastAsiaTheme="minorEastAsia" w:cstheme="minorBidi"/>
              <w:noProof/>
              <w:sz w:val="22"/>
              <w:szCs w:val="28"/>
              <w:lang w:bidi="th-TH"/>
            </w:rPr>
          </w:pPr>
          <w:hyperlink w:anchor="_Toc112917702" w:history="1">
            <w:r w:rsidR="00D42808" w:rsidRPr="005427CC">
              <w:rPr>
                <w:rStyle w:val="Hyperlink"/>
                <w:rFonts w:ascii="Calibri" w:hAnsi="Calibri"/>
                <w:noProof/>
              </w:rPr>
              <w:t>AZD7442(Evusheld)</w:t>
            </w:r>
            <w:r w:rsidR="00D42808">
              <w:rPr>
                <w:noProof/>
                <w:webHidden/>
              </w:rPr>
              <w:tab/>
            </w:r>
            <w:r w:rsidR="00D42808">
              <w:rPr>
                <w:noProof/>
                <w:webHidden/>
              </w:rPr>
              <w:fldChar w:fldCharType="begin"/>
            </w:r>
            <w:r w:rsidR="00D42808">
              <w:rPr>
                <w:noProof/>
                <w:webHidden/>
              </w:rPr>
              <w:instrText xml:space="preserve"> PAGEREF _Toc112917702 \h </w:instrText>
            </w:r>
            <w:r w:rsidR="00D42808">
              <w:rPr>
                <w:noProof/>
                <w:webHidden/>
              </w:rPr>
            </w:r>
            <w:r w:rsidR="00D42808">
              <w:rPr>
                <w:noProof/>
                <w:webHidden/>
              </w:rPr>
              <w:fldChar w:fldCharType="separate"/>
            </w:r>
            <w:r w:rsidR="005D4773">
              <w:rPr>
                <w:noProof/>
                <w:webHidden/>
              </w:rPr>
              <w:t>85</w:t>
            </w:r>
            <w:r w:rsidR="00D42808">
              <w:rPr>
                <w:noProof/>
                <w:webHidden/>
              </w:rPr>
              <w:fldChar w:fldCharType="end"/>
            </w:r>
          </w:hyperlink>
        </w:p>
        <w:p w14:paraId="1928F598" w14:textId="331D2DA5" w:rsidR="00D42808" w:rsidRDefault="00000000">
          <w:pPr>
            <w:pStyle w:val="TOC3"/>
            <w:tabs>
              <w:tab w:val="right" w:leader="dot" w:pos="9736"/>
            </w:tabs>
            <w:rPr>
              <w:rFonts w:eastAsiaTheme="minorEastAsia" w:cstheme="minorBidi"/>
              <w:noProof/>
              <w:sz w:val="22"/>
              <w:szCs w:val="28"/>
              <w:lang w:bidi="th-TH"/>
            </w:rPr>
          </w:pPr>
          <w:hyperlink w:anchor="_Toc112917703" w:history="1">
            <w:r w:rsidR="00D42808" w:rsidRPr="005427CC">
              <w:rPr>
                <w:rStyle w:val="Hyperlink"/>
                <w:rFonts w:ascii="Calibri" w:hAnsi="Calibri"/>
                <w:noProof/>
              </w:rPr>
              <w:t>Ensitrelvir</w:t>
            </w:r>
            <w:r w:rsidR="00D42808">
              <w:rPr>
                <w:noProof/>
                <w:webHidden/>
              </w:rPr>
              <w:tab/>
            </w:r>
            <w:r w:rsidR="00D42808">
              <w:rPr>
                <w:noProof/>
                <w:webHidden/>
              </w:rPr>
              <w:fldChar w:fldCharType="begin"/>
            </w:r>
            <w:r w:rsidR="00D42808">
              <w:rPr>
                <w:noProof/>
                <w:webHidden/>
              </w:rPr>
              <w:instrText xml:space="preserve"> PAGEREF _Toc112917703 \h </w:instrText>
            </w:r>
            <w:r w:rsidR="00D42808">
              <w:rPr>
                <w:noProof/>
                <w:webHidden/>
              </w:rPr>
            </w:r>
            <w:r w:rsidR="00D42808">
              <w:rPr>
                <w:noProof/>
                <w:webHidden/>
              </w:rPr>
              <w:fldChar w:fldCharType="separate"/>
            </w:r>
            <w:r w:rsidR="005D4773">
              <w:rPr>
                <w:noProof/>
                <w:webHidden/>
              </w:rPr>
              <w:t>85</w:t>
            </w:r>
            <w:r w:rsidR="00D42808">
              <w:rPr>
                <w:noProof/>
                <w:webHidden/>
              </w:rPr>
              <w:fldChar w:fldCharType="end"/>
            </w:r>
          </w:hyperlink>
        </w:p>
        <w:p w14:paraId="536290F9" w14:textId="4A124E59" w:rsidR="00D42808" w:rsidRDefault="00000000">
          <w:pPr>
            <w:pStyle w:val="TOC3"/>
            <w:tabs>
              <w:tab w:val="right" w:leader="dot" w:pos="9736"/>
            </w:tabs>
            <w:rPr>
              <w:rFonts w:eastAsiaTheme="minorEastAsia" w:cstheme="minorBidi"/>
              <w:noProof/>
              <w:sz w:val="22"/>
              <w:szCs w:val="28"/>
              <w:lang w:bidi="th-TH"/>
            </w:rPr>
          </w:pPr>
          <w:hyperlink w:anchor="_Toc112917704" w:history="1">
            <w:r w:rsidR="00D42808" w:rsidRPr="005427CC">
              <w:rPr>
                <w:rStyle w:val="Hyperlink"/>
                <w:noProof/>
              </w:rPr>
              <w:t>Molnupiravir and Nirmatrelvir/Ritonavir combination</w:t>
            </w:r>
            <w:r w:rsidR="00D42808">
              <w:rPr>
                <w:noProof/>
                <w:webHidden/>
              </w:rPr>
              <w:tab/>
            </w:r>
            <w:r w:rsidR="00D42808">
              <w:rPr>
                <w:noProof/>
                <w:webHidden/>
              </w:rPr>
              <w:fldChar w:fldCharType="begin"/>
            </w:r>
            <w:r w:rsidR="00D42808">
              <w:rPr>
                <w:noProof/>
                <w:webHidden/>
              </w:rPr>
              <w:instrText xml:space="preserve"> PAGEREF _Toc112917704 \h </w:instrText>
            </w:r>
            <w:r w:rsidR="00D42808">
              <w:rPr>
                <w:noProof/>
                <w:webHidden/>
              </w:rPr>
            </w:r>
            <w:r w:rsidR="00D42808">
              <w:rPr>
                <w:noProof/>
                <w:webHidden/>
              </w:rPr>
              <w:fldChar w:fldCharType="separate"/>
            </w:r>
            <w:r w:rsidR="005D4773">
              <w:rPr>
                <w:noProof/>
                <w:webHidden/>
              </w:rPr>
              <w:t>85</w:t>
            </w:r>
            <w:r w:rsidR="00D42808">
              <w:rPr>
                <w:noProof/>
                <w:webHidden/>
              </w:rPr>
              <w:fldChar w:fldCharType="end"/>
            </w:r>
          </w:hyperlink>
        </w:p>
        <w:p w14:paraId="0760889C" w14:textId="32A6BA66" w:rsidR="00D42808" w:rsidRDefault="00000000">
          <w:pPr>
            <w:pStyle w:val="TOC3"/>
            <w:tabs>
              <w:tab w:val="right" w:leader="dot" w:pos="9736"/>
            </w:tabs>
            <w:rPr>
              <w:rFonts w:eastAsiaTheme="minorEastAsia" w:cstheme="minorBidi"/>
              <w:noProof/>
              <w:sz w:val="22"/>
              <w:szCs w:val="28"/>
              <w:lang w:bidi="th-TH"/>
            </w:rPr>
          </w:pPr>
          <w:hyperlink w:anchor="_Toc112917705" w:history="1">
            <w:r w:rsidR="00D42808" w:rsidRPr="005427CC">
              <w:rPr>
                <w:rStyle w:val="Hyperlink"/>
                <w:rFonts w:ascii="Calibri" w:hAnsi="Calibri" w:cs="Calibri"/>
                <w:noProof/>
              </w:rPr>
              <w:t>References for exclusion criteria</w:t>
            </w:r>
            <w:r w:rsidR="00D42808">
              <w:rPr>
                <w:noProof/>
                <w:webHidden/>
              </w:rPr>
              <w:tab/>
            </w:r>
            <w:r w:rsidR="00D42808">
              <w:rPr>
                <w:noProof/>
                <w:webHidden/>
              </w:rPr>
              <w:fldChar w:fldCharType="begin"/>
            </w:r>
            <w:r w:rsidR="00D42808">
              <w:rPr>
                <w:noProof/>
                <w:webHidden/>
              </w:rPr>
              <w:instrText xml:space="preserve"> PAGEREF _Toc112917705 \h </w:instrText>
            </w:r>
            <w:r w:rsidR="00D42808">
              <w:rPr>
                <w:noProof/>
                <w:webHidden/>
              </w:rPr>
            </w:r>
            <w:r w:rsidR="00D42808">
              <w:rPr>
                <w:noProof/>
                <w:webHidden/>
              </w:rPr>
              <w:fldChar w:fldCharType="separate"/>
            </w:r>
            <w:r w:rsidR="005D4773">
              <w:rPr>
                <w:noProof/>
                <w:webHidden/>
              </w:rPr>
              <w:t>85</w:t>
            </w:r>
            <w:r w:rsidR="00D42808">
              <w:rPr>
                <w:noProof/>
                <w:webHidden/>
              </w:rPr>
              <w:fldChar w:fldCharType="end"/>
            </w:r>
          </w:hyperlink>
        </w:p>
        <w:p w14:paraId="1D658E95" w14:textId="44571F3C" w:rsidR="00D42808" w:rsidRDefault="00000000">
          <w:pPr>
            <w:pStyle w:val="TOC1"/>
            <w:rPr>
              <w:rFonts w:eastAsiaTheme="minorEastAsia" w:cstheme="minorBidi"/>
              <w:b w:val="0"/>
              <w:bCs w:val="0"/>
              <w:i w:val="0"/>
              <w:iCs w:val="0"/>
              <w:noProof/>
              <w:sz w:val="22"/>
              <w:szCs w:val="28"/>
              <w:lang w:bidi="th-TH"/>
            </w:rPr>
          </w:pPr>
          <w:hyperlink w:anchor="_Toc112917706" w:history="1">
            <w:r w:rsidR="00D42808" w:rsidRPr="005427CC">
              <w:rPr>
                <w:rStyle w:val="Hyperlink"/>
                <w:rFonts w:ascii="Calibri" w:hAnsi="Calibri" w:cs="Calibri"/>
                <w:noProof/>
                <w:lang w:val="en-GB"/>
              </w:rPr>
              <w:t>20.</w:t>
            </w:r>
            <w:r w:rsidR="00D42808">
              <w:rPr>
                <w:rFonts w:eastAsiaTheme="minorEastAsia" w:cstheme="minorBidi"/>
                <w:b w:val="0"/>
                <w:bCs w:val="0"/>
                <w:i w:val="0"/>
                <w:iCs w:val="0"/>
                <w:noProof/>
                <w:sz w:val="22"/>
                <w:szCs w:val="28"/>
                <w:lang w:bidi="th-TH"/>
              </w:rPr>
              <w:tab/>
            </w:r>
            <w:r w:rsidR="00D42808" w:rsidRPr="005427CC">
              <w:rPr>
                <w:rStyle w:val="Hyperlink"/>
                <w:rFonts w:ascii="Calibri" w:hAnsi="Calibri" w:cs="Calibri"/>
                <w:noProof/>
                <w:lang w:val="en-GB"/>
              </w:rPr>
              <w:t>Appendix 5 – Amendment History</w:t>
            </w:r>
            <w:r w:rsidR="00D42808">
              <w:rPr>
                <w:noProof/>
                <w:webHidden/>
              </w:rPr>
              <w:tab/>
            </w:r>
            <w:r w:rsidR="00D42808">
              <w:rPr>
                <w:noProof/>
                <w:webHidden/>
              </w:rPr>
              <w:fldChar w:fldCharType="begin"/>
            </w:r>
            <w:r w:rsidR="00D42808">
              <w:rPr>
                <w:noProof/>
                <w:webHidden/>
              </w:rPr>
              <w:instrText xml:space="preserve"> PAGEREF _Toc112917706 \h </w:instrText>
            </w:r>
            <w:r w:rsidR="00D42808">
              <w:rPr>
                <w:noProof/>
                <w:webHidden/>
              </w:rPr>
            </w:r>
            <w:r w:rsidR="00D42808">
              <w:rPr>
                <w:noProof/>
                <w:webHidden/>
              </w:rPr>
              <w:fldChar w:fldCharType="separate"/>
            </w:r>
            <w:r w:rsidR="005D4773">
              <w:rPr>
                <w:noProof/>
                <w:webHidden/>
              </w:rPr>
              <w:t>86</w:t>
            </w:r>
            <w:r w:rsidR="00D42808">
              <w:rPr>
                <w:noProof/>
                <w:webHidden/>
              </w:rPr>
              <w:fldChar w:fldCharType="end"/>
            </w:r>
          </w:hyperlink>
        </w:p>
        <w:p w14:paraId="4D4B95A7" w14:textId="2DF08228" w:rsidR="00A85EF6" w:rsidRPr="001C0C4B" w:rsidRDefault="00A85EF6" w:rsidP="00DB39CE">
          <w:pPr>
            <w:spacing w:line="240" w:lineRule="auto"/>
            <w:ind w:left="720"/>
            <w:rPr>
              <w:rFonts w:ascii="Arial" w:hAnsi="Arial" w:cs="Arial"/>
              <w:sz w:val="20"/>
              <w:szCs w:val="20"/>
            </w:rPr>
          </w:pPr>
          <w:r w:rsidRPr="001C0C4B">
            <w:rPr>
              <w:rFonts w:ascii="Calibri" w:hAnsi="Calibri" w:cs="Calibri"/>
              <w:noProof/>
              <w:sz w:val="20"/>
              <w:szCs w:val="20"/>
            </w:rPr>
            <w:fldChar w:fldCharType="end"/>
          </w:r>
        </w:p>
      </w:sdtContent>
    </w:sdt>
    <w:p w14:paraId="30A67E42" w14:textId="5520F1ED" w:rsidR="00EC124E" w:rsidRPr="001C0C4B" w:rsidRDefault="001B277D" w:rsidP="03EF2058">
      <w:pPr>
        <w:rPr>
          <w:rFonts w:ascii="Calibri" w:hAnsi="Calibri" w:cs="Calibri"/>
        </w:rPr>
      </w:pPr>
      <w:r w:rsidRPr="001C0C4B">
        <w:rPr>
          <w:rFonts w:ascii="Calibri" w:hAnsi="Calibri" w:cs="Calibri"/>
        </w:rPr>
        <w:br w:type="page"/>
      </w:r>
    </w:p>
    <w:p w14:paraId="4E686B61" w14:textId="2B161673" w:rsidR="005858D4" w:rsidRPr="001C0C4B" w:rsidRDefault="005858D4" w:rsidP="00E142CD">
      <w:pPr>
        <w:pStyle w:val="Heading1"/>
        <w:numPr>
          <w:ilvl w:val="0"/>
          <w:numId w:val="23"/>
        </w:numPr>
        <w:rPr>
          <w:rFonts w:ascii="Calibri" w:eastAsia="Times New Roman" w:hAnsi="Calibri" w:cs="Calibri"/>
          <w:b/>
          <w:bCs/>
          <w:color w:val="auto"/>
          <w:sz w:val="22"/>
          <w:szCs w:val="22"/>
          <w:lang w:val="en-GB" w:eastAsia="en-GB"/>
        </w:rPr>
      </w:pPr>
      <w:bookmarkStart w:id="0" w:name="_Toc96007259"/>
      <w:bookmarkStart w:id="1" w:name="_Toc95915224"/>
      <w:bookmarkStart w:id="2" w:name="_Toc74661269"/>
      <w:bookmarkStart w:id="3" w:name="_Toc110523963"/>
      <w:bookmarkStart w:id="4" w:name="_Toc96005562"/>
      <w:bookmarkStart w:id="5" w:name="_Toc112917612"/>
      <w:r w:rsidRPr="001C0C4B">
        <w:rPr>
          <w:rFonts w:ascii="Calibri" w:hAnsi="Calibri" w:cs="Calibri"/>
          <w:b/>
          <w:bCs/>
          <w:color w:val="auto"/>
          <w:sz w:val="22"/>
          <w:szCs w:val="22"/>
          <w:lang w:val="en-GB"/>
        </w:rPr>
        <w:lastRenderedPageBreak/>
        <w:t>SYNOPSIS</w:t>
      </w:r>
      <w:bookmarkEnd w:id="0"/>
      <w:bookmarkEnd w:id="1"/>
      <w:bookmarkEnd w:id="2"/>
      <w:bookmarkEnd w:id="3"/>
      <w:bookmarkEnd w:id="4"/>
      <w:bookmarkEnd w:id="5"/>
    </w:p>
    <w:p w14:paraId="504C04E4" w14:textId="77777777" w:rsidR="005858D4" w:rsidRPr="001C0C4B" w:rsidRDefault="005858D4" w:rsidP="005858D4">
      <w:pPr>
        <w:spacing w:after="0" w:line="240" w:lineRule="auto"/>
        <w:ind w:left="720"/>
        <w:textAlignment w:val="baseline"/>
        <w:rPr>
          <w:rFonts w:ascii="Calibri" w:eastAsia="Times New Roman" w:hAnsi="Calibri" w:cs="Calibri"/>
          <w:b/>
          <w:bCs/>
          <w:sz w:val="24"/>
          <w:szCs w:val="24"/>
          <w:lang w:val="en-GB" w:eastAsia="en-GB"/>
        </w:rPr>
      </w:pPr>
    </w:p>
    <w:tbl>
      <w:tblPr>
        <w:tblW w:w="9634"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2624"/>
        <w:gridCol w:w="3667"/>
        <w:gridCol w:w="3343"/>
      </w:tblGrid>
      <w:tr w:rsidR="00D23D22" w:rsidRPr="001C0C4B" w14:paraId="1E370C29" w14:textId="77777777" w:rsidTr="00EE2E8E">
        <w:tc>
          <w:tcPr>
            <w:tcW w:w="2624" w:type="dxa"/>
            <w:tcBorders>
              <w:top w:val="single" w:sz="6" w:space="0" w:color="auto"/>
              <w:left w:val="single" w:sz="6" w:space="0" w:color="auto"/>
              <w:bottom w:val="single" w:sz="6" w:space="0" w:color="auto"/>
              <w:right w:val="single" w:sz="6" w:space="0" w:color="auto"/>
            </w:tcBorders>
            <w:shd w:val="clear" w:color="auto" w:fill="auto"/>
            <w:hideMark/>
          </w:tcPr>
          <w:p w14:paraId="16EC47DA" w14:textId="77777777" w:rsidR="005858D4" w:rsidRPr="001C0C4B" w:rsidRDefault="005858D4" w:rsidP="005858D4">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b/>
                <w:bCs/>
                <w:lang w:val="en-GB" w:eastAsia="en-GB"/>
              </w:rPr>
              <w:t>Study Title</w:t>
            </w:r>
            <w:r w:rsidRPr="001C0C4B">
              <w:rPr>
                <w:rFonts w:ascii="Calibri" w:eastAsia="Times New Roman" w:hAnsi="Calibri" w:cs="Calibri"/>
                <w:lang w:val="en-GB" w:eastAsia="en-GB"/>
              </w:rPr>
              <w:t> </w:t>
            </w:r>
          </w:p>
        </w:tc>
        <w:tc>
          <w:tcPr>
            <w:tcW w:w="7010" w:type="dxa"/>
            <w:gridSpan w:val="2"/>
            <w:tcBorders>
              <w:top w:val="single" w:sz="6" w:space="0" w:color="auto"/>
              <w:left w:val="outset" w:sz="6" w:space="0" w:color="auto"/>
              <w:bottom w:val="single" w:sz="6" w:space="0" w:color="auto"/>
              <w:right w:val="single" w:sz="6" w:space="0" w:color="auto"/>
            </w:tcBorders>
            <w:shd w:val="clear" w:color="auto" w:fill="auto"/>
            <w:hideMark/>
          </w:tcPr>
          <w:p w14:paraId="018D20FC" w14:textId="53CC60A7" w:rsidR="005858D4" w:rsidRPr="001C0C4B" w:rsidRDefault="0076276C" w:rsidP="002B251D">
            <w:pPr>
              <w:spacing w:after="200" w:line="276" w:lineRule="auto"/>
              <w:jc w:val="thaiDistribute"/>
              <w:rPr>
                <w:rFonts w:ascii="Calibri" w:eastAsia="Times New Roman" w:hAnsi="Calibri" w:cs="Calibri"/>
                <w:lang w:val="en-GB" w:eastAsia="en-GB"/>
              </w:rPr>
            </w:pPr>
            <w:r w:rsidRPr="001C0C4B">
              <w:rPr>
                <w:rFonts w:ascii="Calibri" w:eastAsia="Calibri" w:hAnsi="Calibri" w:cs="Calibri"/>
                <w:lang w:val="en-GB"/>
              </w:rPr>
              <w:t xml:space="preserve">Finding treatments for COVID-19: A phase 2 multi-centre </w:t>
            </w:r>
            <w:r w:rsidR="000A5C24" w:rsidRPr="001C0C4B">
              <w:rPr>
                <w:rFonts w:ascii="Calibri" w:eastAsia="Calibri" w:hAnsi="Calibri" w:cs="Calibri"/>
                <w:lang w:val="en-GB"/>
              </w:rPr>
              <w:t xml:space="preserve">adaptive </w:t>
            </w:r>
            <w:r w:rsidRPr="001C0C4B">
              <w:rPr>
                <w:rFonts w:ascii="Calibri" w:eastAsia="Calibri" w:hAnsi="Calibri" w:cs="Calibri"/>
                <w:lang w:val="en-GB"/>
              </w:rPr>
              <w:t xml:space="preserve">platform trial to assess antiviral pharmacodynamics in </w:t>
            </w:r>
            <w:r w:rsidR="00C10378" w:rsidRPr="001C0C4B">
              <w:rPr>
                <w:rFonts w:ascii="Calibri" w:eastAsia="Calibri" w:hAnsi="Calibri" w:cs="Calibri"/>
                <w:lang w:val="en-GB"/>
              </w:rPr>
              <w:t xml:space="preserve">early </w:t>
            </w:r>
            <w:r w:rsidRPr="001C0C4B">
              <w:rPr>
                <w:rFonts w:ascii="Calibri" w:eastAsia="Calibri" w:hAnsi="Calibri" w:cs="Calibri"/>
                <w:lang w:val="en-GB"/>
              </w:rPr>
              <w:t>symptomatic COVID-19 (PLATCOV)</w:t>
            </w:r>
          </w:p>
        </w:tc>
      </w:tr>
      <w:tr w:rsidR="00D23D22" w:rsidRPr="001C0C4B" w14:paraId="5CAF2D6D" w14:textId="77777777" w:rsidTr="00EE2E8E">
        <w:tc>
          <w:tcPr>
            <w:tcW w:w="2624" w:type="dxa"/>
            <w:tcBorders>
              <w:top w:val="outset" w:sz="6" w:space="0" w:color="auto"/>
              <w:left w:val="single" w:sz="6" w:space="0" w:color="auto"/>
              <w:bottom w:val="single" w:sz="6" w:space="0" w:color="auto"/>
              <w:right w:val="single" w:sz="6" w:space="0" w:color="auto"/>
            </w:tcBorders>
            <w:shd w:val="clear" w:color="auto" w:fill="auto"/>
            <w:hideMark/>
          </w:tcPr>
          <w:p w14:paraId="40DA459B" w14:textId="67F5FE38" w:rsidR="005858D4" w:rsidRPr="001C0C4B" w:rsidRDefault="0059062B" w:rsidP="0059062B">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b/>
                <w:bCs/>
                <w:lang w:val="en-GB" w:eastAsia="en-GB"/>
              </w:rPr>
              <w:t xml:space="preserve">Protocol </w:t>
            </w:r>
            <w:r w:rsidR="005858D4" w:rsidRPr="001C0C4B">
              <w:rPr>
                <w:rFonts w:ascii="Calibri" w:eastAsia="Times New Roman" w:hAnsi="Calibri" w:cs="Calibri"/>
                <w:b/>
                <w:bCs/>
                <w:lang w:val="en-GB" w:eastAsia="en-GB"/>
              </w:rPr>
              <w:t>no.</w:t>
            </w:r>
            <w:r w:rsidR="00265359" w:rsidRPr="001C0C4B">
              <w:rPr>
                <w:rFonts w:ascii="Calibri" w:eastAsia="Times New Roman" w:hAnsi="Calibri" w:cs="Calibri"/>
                <w:b/>
                <w:bCs/>
                <w:lang w:val="en-GB" w:eastAsia="en-GB"/>
              </w:rPr>
              <w:t xml:space="preserve"> </w:t>
            </w:r>
          </w:p>
        </w:tc>
        <w:tc>
          <w:tcPr>
            <w:tcW w:w="7010" w:type="dxa"/>
            <w:gridSpan w:val="2"/>
            <w:tcBorders>
              <w:top w:val="outset" w:sz="6" w:space="0" w:color="auto"/>
              <w:left w:val="outset" w:sz="6" w:space="0" w:color="auto"/>
              <w:bottom w:val="single" w:sz="6" w:space="0" w:color="auto"/>
              <w:right w:val="single" w:sz="6" w:space="0" w:color="auto"/>
            </w:tcBorders>
            <w:shd w:val="clear" w:color="auto" w:fill="auto"/>
            <w:hideMark/>
          </w:tcPr>
          <w:p w14:paraId="10AD1FF1" w14:textId="68BC1978" w:rsidR="005858D4" w:rsidRPr="001C0C4B" w:rsidRDefault="0059062B" w:rsidP="002B251D">
            <w:pPr>
              <w:jc w:val="thaiDistribute"/>
              <w:rPr>
                <w:rFonts w:ascii="Calibri" w:eastAsia="Times New Roman" w:hAnsi="Calibri" w:cs="Calibri"/>
                <w:lang w:bidi="th-TH"/>
              </w:rPr>
            </w:pPr>
            <w:r w:rsidRPr="001C0C4B">
              <w:rPr>
                <w:rFonts w:ascii="Calibri" w:eastAsia="Times New Roman" w:hAnsi="Calibri" w:cs="Calibri"/>
                <w:lang w:bidi="th-TH"/>
              </w:rPr>
              <w:t>VIR21001</w:t>
            </w:r>
          </w:p>
        </w:tc>
      </w:tr>
      <w:tr w:rsidR="00D23D22" w:rsidRPr="001C0C4B" w14:paraId="21114C7A" w14:textId="77777777" w:rsidTr="00EE2E8E">
        <w:tc>
          <w:tcPr>
            <w:tcW w:w="2624" w:type="dxa"/>
            <w:tcBorders>
              <w:top w:val="outset" w:sz="6" w:space="0" w:color="auto"/>
              <w:left w:val="single" w:sz="6" w:space="0" w:color="auto"/>
              <w:bottom w:val="single" w:sz="6" w:space="0" w:color="auto"/>
              <w:right w:val="single" w:sz="6" w:space="0" w:color="auto"/>
            </w:tcBorders>
            <w:shd w:val="clear" w:color="auto" w:fill="auto"/>
          </w:tcPr>
          <w:p w14:paraId="476E9660" w14:textId="11BFFE23" w:rsidR="005858D4" w:rsidRPr="001C0C4B" w:rsidRDefault="000A5C24" w:rsidP="005858D4">
            <w:pPr>
              <w:spacing w:after="0" w:line="240" w:lineRule="auto"/>
              <w:textAlignment w:val="baseline"/>
              <w:rPr>
                <w:rFonts w:ascii="Calibri" w:eastAsia="Times New Roman" w:hAnsi="Calibri" w:cs="Calibri"/>
                <w:b/>
                <w:lang w:val="en-GB" w:eastAsia="en-GB"/>
              </w:rPr>
            </w:pPr>
            <w:r w:rsidRPr="001C0C4B">
              <w:rPr>
                <w:rFonts w:ascii="Calibri" w:eastAsia="Times New Roman" w:hAnsi="Calibri" w:cs="Calibri"/>
                <w:b/>
                <w:lang w:val="en-GB" w:eastAsia="en-GB"/>
              </w:rPr>
              <w:t>Rationale</w:t>
            </w:r>
          </w:p>
        </w:tc>
        <w:tc>
          <w:tcPr>
            <w:tcW w:w="7010" w:type="dxa"/>
            <w:gridSpan w:val="2"/>
            <w:tcBorders>
              <w:top w:val="outset" w:sz="6" w:space="0" w:color="auto"/>
              <w:left w:val="outset" w:sz="6" w:space="0" w:color="auto"/>
              <w:bottom w:val="single" w:sz="6" w:space="0" w:color="auto"/>
              <w:right w:val="single" w:sz="6" w:space="0" w:color="auto"/>
            </w:tcBorders>
            <w:shd w:val="clear" w:color="auto" w:fill="auto"/>
          </w:tcPr>
          <w:p w14:paraId="788BAA4D" w14:textId="2F7D891E" w:rsidR="005858D4" w:rsidRPr="001C0C4B" w:rsidRDefault="00B3765B" w:rsidP="002B251D">
            <w:pPr>
              <w:spacing w:after="0" w:line="240" w:lineRule="auto"/>
              <w:jc w:val="thaiDistribute"/>
              <w:textAlignment w:val="baseline"/>
              <w:rPr>
                <w:rFonts w:ascii="Calibri" w:eastAsia="Times New Roman" w:hAnsi="Calibri" w:cs="Calibri"/>
                <w:lang w:val="en-GB" w:eastAsia="en-GB"/>
              </w:rPr>
            </w:pPr>
            <w:r w:rsidRPr="001C0C4B">
              <w:rPr>
                <w:rFonts w:ascii="Calibri" w:eastAsia="Times New Roman" w:hAnsi="Calibri" w:cs="Calibri"/>
                <w:lang w:val="en-GB" w:eastAsia="en-GB"/>
              </w:rPr>
              <w:t>Q</w:t>
            </w:r>
            <w:r w:rsidR="000A5C24" w:rsidRPr="001C0C4B">
              <w:rPr>
                <w:rFonts w:ascii="Calibri" w:eastAsia="Times New Roman" w:hAnsi="Calibri" w:cs="Calibri"/>
                <w:lang w:val="en-GB" w:eastAsia="en-GB"/>
              </w:rPr>
              <w:t xml:space="preserve">uantitative </w:t>
            </w:r>
            <w:r w:rsidRPr="001C0C4B">
              <w:rPr>
                <w:rFonts w:ascii="Calibri" w:eastAsia="Times New Roman" w:hAnsi="Calibri" w:cs="Calibri"/>
                <w:lang w:val="en-GB" w:eastAsia="en-GB"/>
              </w:rPr>
              <w:t xml:space="preserve">evidence </w:t>
            </w:r>
            <w:r w:rsidR="000A5C24" w:rsidRPr="001C0C4B">
              <w:rPr>
                <w:rFonts w:ascii="Calibri" w:eastAsia="Times New Roman" w:hAnsi="Calibri" w:cs="Calibri"/>
                <w:lang w:val="en-GB" w:eastAsia="en-GB"/>
              </w:rPr>
              <w:t xml:space="preserve">of antiviral activity in patients with COVID-19 is required to justify phase 3 clinical trials of </w:t>
            </w:r>
            <w:r w:rsidR="00534DA9" w:rsidRPr="001C0C4B">
              <w:rPr>
                <w:rFonts w:ascii="Calibri" w:eastAsia="Times New Roman" w:hAnsi="Calibri" w:cs="Calibri"/>
                <w:lang w:val="en-GB" w:eastAsia="en-GB"/>
              </w:rPr>
              <w:t>p</w:t>
            </w:r>
            <w:r w:rsidR="00B04E65" w:rsidRPr="001C0C4B">
              <w:rPr>
                <w:rFonts w:ascii="Calibri" w:eastAsia="Times New Roman" w:hAnsi="Calibri" w:cs="Calibri"/>
                <w:lang w:val="en-GB" w:eastAsia="en-GB"/>
              </w:rPr>
              <w:t>utative</w:t>
            </w:r>
            <w:r w:rsidR="000A5C24" w:rsidRPr="001C0C4B">
              <w:rPr>
                <w:rFonts w:ascii="Calibri" w:eastAsia="Times New Roman" w:hAnsi="Calibri" w:cs="Calibri"/>
                <w:lang w:val="en-GB" w:eastAsia="en-GB"/>
              </w:rPr>
              <w:t xml:space="preserve"> antivirals </w:t>
            </w:r>
          </w:p>
        </w:tc>
      </w:tr>
      <w:tr w:rsidR="00D23D22" w:rsidRPr="001C0C4B" w14:paraId="078E991B" w14:textId="77777777" w:rsidTr="00EE2E8E">
        <w:tc>
          <w:tcPr>
            <w:tcW w:w="2624" w:type="dxa"/>
            <w:tcBorders>
              <w:top w:val="outset" w:sz="6" w:space="0" w:color="auto"/>
              <w:left w:val="single" w:sz="6" w:space="0" w:color="auto"/>
              <w:bottom w:val="single" w:sz="6" w:space="0" w:color="auto"/>
              <w:right w:val="single" w:sz="6" w:space="0" w:color="auto"/>
            </w:tcBorders>
            <w:shd w:val="clear" w:color="auto" w:fill="auto"/>
          </w:tcPr>
          <w:p w14:paraId="2A510513" w14:textId="48EF28EE" w:rsidR="000A5C24" w:rsidRPr="001C0C4B" w:rsidRDefault="000A5C24" w:rsidP="000A5C24">
            <w:pPr>
              <w:spacing w:after="0" w:line="240" w:lineRule="auto"/>
              <w:textAlignment w:val="baseline"/>
              <w:rPr>
                <w:rFonts w:ascii="Calibri" w:eastAsia="Times New Roman" w:hAnsi="Calibri" w:cs="Calibri"/>
                <w:b/>
                <w:bCs/>
                <w:lang w:val="en-GB" w:eastAsia="en-GB"/>
              </w:rPr>
            </w:pPr>
            <w:r w:rsidRPr="001C0C4B">
              <w:rPr>
                <w:rFonts w:ascii="Calibri" w:eastAsia="Times New Roman" w:hAnsi="Calibri" w:cs="Calibri"/>
                <w:b/>
                <w:bCs/>
                <w:lang w:val="en-GB" w:eastAsia="en-GB"/>
              </w:rPr>
              <w:t>Study Design</w:t>
            </w:r>
            <w:r w:rsidRPr="001C0C4B">
              <w:rPr>
                <w:rFonts w:ascii="Calibri" w:eastAsia="Times New Roman" w:hAnsi="Calibri" w:cs="Calibri"/>
                <w:lang w:val="en-GB" w:eastAsia="en-GB"/>
              </w:rPr>
              <w:t> </w:t>
            </w:r>
          </w:p>
        </w:tc>
        <w:tc>
          <w:tcPr>
            <w:tcW w:w="7010" w:type="dxa"/>
            <w:gridSpan w:val="2"/>
            <w:tcBorders>
              <w:top w:val="outset" w:sz="6" w:space="0" w:color="auto"/>
              <w:left w:val="outset" w:sz="6" w:space="0" w:color="auto"/>
              <w:bottom w:val="single" w:sz="6" w:space="0" w:color="auto"/>
              <w:right w:val="single" w:sz="6" w:space="0" w:color="auto"/>
            </w:tcBorders>
            <w:shd w:val="clear" w:color="auto" w:fill="auto"/>
          </w:tcPr>
          <w:p w14:paraId="013C762F" w14:textId="51AE3FEF" w:rsidR="000A5C24" w:rsidRPr="001C0C4B" w:rsidRDefault="000A5C24" w:rsidP="002B251D">
            <w:pPr>
              <w:spacing w:after="0" w:line="240" w:lineRule="auto"/>
              <w:jc w:val="thaiDistribute"/>
              <w:textAlignment w:val="baseline"/>
              <w:rPr>
                <w:rFonts w:ascii="Calibri" w:eastAsia="Times New Roman" w:hAnsi="Calibri" w:cs="Calibri"/>
                <w:lang w:val="en-GB" w:eastAsia="en-GB"/>
              </w:rPr>
            </w:pPr>
            <w:r w:rsidRPr="001C0C4B">
              <w:rPr>
                <w:rFonts w:ascii="Calibri" w:eastAsia="Times New Roman" w:hAnsi="Calibri" w:cs="Calibri"/>
                <w:lang w:val="en-GB" w:eastAsia="en-GB"/>
              </w:rPr>
              <w:t xml:space="preserve">Randomised, open label, </w:t>
            </w:r>
            <w:r w:rsidR="00347C07" w:rsidRPr="001C0C4B">
              <w:rPr>
                <w:rFonts w:ascii="Calibri" w:eastAsia="Times New Roman" w:hAnsi="Calibri" w:cs="Calibri"/>
                <w:lang w:val="en-GB" w:eastAsia="en-GB"/>
              </w:rPr>
              <w:t xml:space="preserve">group sequential </w:t>
            </w:r>
            <w:r w:rsidRPr="001C0C4B">
              <w:rPr>
                <w:rFonts w:ascii="Calibri" w:eastAsia="Times New Roman" w:hAnsi="Calibri" w:cs="Calibri"/>
                <w:lang w:val="en-GB" w:eastAsia="en-GB"/>
              </w:rPr>
              <w:t>adaptive platform trial</w:t>
            </w:r>
          </w:p>
        </w:tc>
      </w:tr>
      <w:tr w:rsidR="00D23D22" w:rsidRPr="001C0C4B" w14:paraId="2D4C9B68" w14:textId="77777777" w:rsidTr="00EE2E8E">
        <w:tc>
          <w:tcPr>
            <w:tcW w:w="2624" w:type="dxa"/>
            <w:tcBorders>
              <w:top w:val="outset" w:sz="6" w:space="0" w:color="auto"/>
              <w:left w:val="single" w:sz="6" w:space="0" w:color="auto"/>
              <w:bottom w:val="single" w:sz="6" w:space="0" w:color="auto"/>
              <w:right w:val="single" w:sz="6" w:space="0" w:color="auto"/>
            </w:tcBorders>
            <w:shd w:val="clear" w:color="auto" w:fill="auto"/>
            <w:hideMark/>
          </w:tcPr>
          <w:p w14:paraId="2FAFAB94" w14:textId="0A24FB62" w:rsidR="000A5C24" w:rsidRPr="001C0C4B" w:rsidRDefault="00F61094" w:rsidP="000A5C24">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b/>
                <w:bCs/>
                <w:lang w:val="en-GB" w:eastAsia="en-GB"/>
              </w:rPr>
              <w:t>Inclusion and Exclusion Criteria</w:t>
            </w:r>
          </w:p>
        </w:tc>
        <w:tc>
          <w:tcPr>
            <w:tcW w:w="7010" w:type="dxa"/>
            <w:gridSpan w:val="2"/>
            <w:tcBorders>
              <w:top w:val="outset" w:sz="6" w:space="0" w:color="auto"/>
              <w:left w:val="outset" w:sz="6" w:space="0" w:color="auto"/>
              <w:bottom w:val="single" w:sz="6" w:space="0" w:color="auto"/>
              <w:right w:val="single" w:sz="6" w:space="0" w:color="auto"/>
            </w:tcBorders>
            <w:shd w:val="clear" w:color="auto" w:fill="auto"/>
            <w:hideMark/>
          </w:tcPr>
          <w:p w14:paraId="01561CA5" w14:textId="530AC78E" w:rsidR="000A5C24" w:rsidRPr="001C0C4B" w:rsidRDefault="000A5C24" w:rsidP="00093265">
            <w:pPr>
              <w:pStyle w:val="ListParagraph"/>
              <w:spacing w:after="0" w:line="240" w:lineRule="auto"/>
              <w:ind w:left="0"/>
              <w:jc w:val="both"/>
              <w:textAlignment w:val="baseline"/>
              <w:rPr>
                <w:rFonts w:ascii="Calibri" w:eastAsia="Times New Roman" w:hAnsi="Calibri" w:cs="Calibri"/>
                <w:lang w:val="en-GB" w:eastAsia="en-GB"/>
              </w:rPr>
            </w:pPr>
            <w:r w:rsidRPr="001C0C4B">
              <w:rPr>
                <w:rFonts w:ascii="Calibri" w:eastAsia="Times New Roman" w:hAnsi="Calibri" w:cs="Calibri"/>
                <w:b/>
                <w:bCs/>
                <w:lang w:val="en-GB" w:eastAsia="en-GB"/>
              </w:rPr>
              <w:t>Inclusion criteria:</w:t>
            </w:r>
          </w:p>
          <w:p w14:paraId="76BDCE8C" w14:textId="21C308A1" w:rsidR="000A5C24" w:rsidRPr="001C0C4B" w:rsidRDefault="000A5C24" w:rsidP="003651D9">
            <w:pPr>
              <w:pStyle w:val="ListParagraph"/>
              <w:numPr>
                <w:ilvl w:val="0"/>
                <w:numId w:val="4"/>
              </w:numPr>
              <w:spacing w:after="0" w:line="240" w:lineRule="auto"/>
              <w:jc w:val="both"/>
              <w:textAlignment w:val="baseline"/>
              <w:rPr>
                <w:rFonts w:ascii="Calibri" w:eastAsiaTheme="minorEastAsia" w:hAnsi="Calibri" w:cs="Calibri"/>
                <w:lang w:val="en-GB" w:eastAsia="en-GB"/>
              </w:rPr>
            </w:pPr>
            <w:r w:rsidRPr="001C0C4B">
              <w:rPr>
                <w:rFonts w:ascii="Calibri" w:eastAsia="Times New Roman" w:hAnsi="Calibri" w:cs="Calibri"/>
                <w:lang w:val="en-GB" w:eastAsia="en-GB"/>
              </w:rPr>
              <w:t>Pa</w:t>
            </w:r>
            <w:r w:rsidR="004F5F01" w:rsidRPr="001C0C4B">
              <w:rPr>
                <w:rFonts w:ascii="Calibri" w:eastAsia="Times New Roman" w:hAnsi="Calibri" w:cs="Calibri"/>
                <w:lang w:val="en-GB" w:eastAsia="en-GB"/>
              </w:rPr>
              <w:t>tient</w:t>
            </w:r>
            <w:r w:rsidRPr="001C0C4B">
              <w:rPr>
                <w:rFonts w:ascii="Calibri" w:eastAsia="Times New Roman" w:hAnsi="Calibri" w:cs="Calibri"/>
                <w:lang w:val="en-GB" w:eastAsia="en-GB"/>
              </w:rPr>
              <w:t xml:space="preserve"> </w:t>
            </w:r>
            <w:r w:rsidR="00BA5FBA" w:rsidRPr="001C0C4B">
              <w:rPr>
                <w:rFonts w:ascii="Calibri" w:eastAsia="Times New Roman" w:hAnsi="Calibri" w:cs="Calibri"/>
                <w:lang w:val="en-GB" w:eastAsia="en-GB"/>
              </w:rPr>
              <w:t xml:space="preserve">understands the procedures and requirements and </w:t>
            </w:r>
            <w:r w:rsidRPr="001C0C4B">
              <w:rPr>
                <w:rFonts w:ascii="Calibri" w:eastAsia="Times New Roman" w:hAnsi="Calibri" w:cs="Calibri"/>
                <w:lang w:val="en-GB" w:eastAsia="en-GB"/>
              </w:rPr>
              <w:t xml:space="preserve">is willing and able to give informed consent for </w:t>
            </w:r>
            <w:r w:rsidR="000C4CBC" w:rsidRPr="001C0C4B">
              <w:rPr>
                <w:rFonts w:ascii="Calibri" w:eastAsia="Times New Roman" w:hAnsi="Calibri" w:cs="Calibri"/>
                <w:lang w:val="en-GB" w:eastAsia="en-GB"/>
              </w:rPr>
              <w:t xml:space="preserve">full </w:t>
            </w:r>
            <w:r w:rsidRPr="001C0C4B">
              <w:rPr>
                <w:rFonts w:ascii="Calibri" w:eastAsia="Times New Roman" w:hAnsi="Calibri" w:cs="Calibri"/>
                <w:lang w:val="en-GB" w:eastAsia="en-GB"/>
              </w:rPr>
              <w:t>participation in the study</w:t>
            </w:r>
          </w:p>
          <w:p w14:paraId="5811F500" w14:textId="671772AF" w:rsidR="000A5C24" w:rsidRPr="001C0C4B" w:rsidRDefault="000A5C24" w:rsidP="003651D9">
            <w:pPr>
              <w:pStyle w:val="ListParagraph"/>
              <w:numPr>
                <w:ilvl w:val="0"/>
                <w:numId w:val="4"/>
              </w:numPr>
              <w:spacing w:after="0" w:line="240" w:lineRule="auto"/>
              <w:jc w:val="both"/>
              <w:textAlignment w:val="baseline"/>
              <w:rPr>
                <w:rFonts w:ascii="Calibri" w:hAnsi="Calibri" w:cs="Calibri"/>
                <w:lang w:val="en-GB" w:eastAsia="en-GB"/>
              </w:rPr>
            </w:pPr>
            <w:r w:rsidRPr="001C0C4B">
              <w:rPr>
                <w:rFonts w:ascii="Calibri" w:eastAsia="Times New Roman" w:hAnsi="Calibri" w:cs="Calibri"/>
                <w:lang w:val="en-GB" w:eastAsia="en-GB"/>
              </w:rPr>
              <w:t>Previously healthy adults, male or female, aged 18 to 50 years</w:t>
            </w:r>
            <w:r w:rsidR="00F61094" w:rsidRPr="001C0C4B">
              <w:rPr>
                <w:rFonts w:ascii="Calibri" w:eastAsia="Times New Roman" w:hAnsi="Calibri" w:cs="Calibri"/>
                <w:lang w:val="en-GB" w:eastAsia="en-GB"/>
              </w:rPr>
              <w:t xml:space="preserve"> at time of consent</w:t>
            </w:r>
            <w:r w:rsidRPr="001C0C4B">
              <w:rPr>
                <w:rFonts w:ascii="Calibri" w:eastAsia="Times New Roman" w:hAnsi="Calibri" w:cs="Calibri"/>
                <w:lang w:val="en-GB" w:eastAsia="en-GB"/>
              </w:rPr>
              <w:t xml:space="preserve"> with </w:t>
            </w:r>
            <w:r w:rsidR="000B2A6B" w:rsidRPr="001C0C4B">
              <w:rPr>
                <w:rFonts w:ascii="Calibri" w:eastAsia="Times New Roman" w:hAnsi="Calibri" w:cs="Calibri"/>
                <w:lang w:val="en-GB" w:eastAsia="en-GB"/>
              </w:rPr>
              <w:t xml:space="preserve">early </w:t>
            </w:r>
            <w:r w:rsidR="00F61094" w:rsidRPr="001C0C4B">
              <w:rPr>
                <w:rFonts w:ascii="Calibri" w:eastAsia="Times New Roman" w:hAnsi="Calibri" w:cs="Calibri"/>
                <w:lang w:val="en-GB" w:eastAsia="en-GB"/>
              </w:rPr>
              <w:t xml:space="preserve">symptomatic </w:t>
            </w:r>
            <w:r w:rsidRPr="001C0C4B">
              <w:rPr>
                <w:rFonts w:ascii="Calibri" w:eastAsia="Times New Roman" w:hAnsi="Calibri" w:cs="Calibri"/>
                <w:lang w:val="en-GB" w:eastAsia="en-GB"/>
              </w:rPr>
              <w:t>COVID-19</w:t>
            </w:r>
          </w:p>
          <w:p w14:paraId="4D6ECE28" w14:textId="1D9ACFD2" w:rsidR="000B2A6B" w:rsidRPr="001C0C4B" w:rsidRDefault="000B2A6B" w:rsidP="003651D9">
            <w:pPr>
              <w:pStyle w:val="ListParagraph"/>
              <w:numPr>
                <w:ilvl w:val="0"/>
                <w:numId w:val="4"/>
              </w:numPr>
              <w:spacing w:after="0" w:line="240" w:lineRule="auto"/>
              <w:jc w:val="both"/>
              <w:rPr>
                <w:rFonts w:ascii="Calibri" w:hAnsi="Calibri" w:cs="Calibri"/>
                <w:lang w:val="en-GB" w:eastAsia="en-GB"/>
              </w:rPr>
            </w:pPr>
            <w:r w:rsidRPr="001C0C4B">
              <w:rPr>
                <w:rFonts w:ascii="Calibri" w:eastAsia="Times New Roman" w:hAnsi="Calibri" w:cs="Calibri"/>
                <w:lang w:val="en-GB" w:eastAsia="en-GB"/>
              </w:rPr>
              <w:t>SARS-CoV-2 positive by lateral flow antigen test</w:t>
            </w:r>
            <w:r w:rsidR="00A4411F" w:rsidRPr="001C0C4B">
              <w:rPr>
                <w:rFonts w:ascii="Calibri" w:eastAsia="Times New Roman" w:hAnsi="Calibri" w:cs="Calibri"/>
                <w:lang w:val="en-GB" w:eastAsia="en-GB"/>
              </w:rPr>
              <w:t xml:space="preserve"> OR a positive PCR test for SARS-CoV-2 within the last 24hrs with a Ct value of less than 25 (all viral targets)</w:t>
            </w:r>
          </w:p>
          <w:p w14:paraId="008A3C0B" w14:textId="3F6A0CA3" w:rsidR="000A5C24" w:rsidRPr="001C0C4B" w:rsidRDefault="00C6398B" w:rsidP="003651D9">
            <w:pPr>
              <w:pStyle w:val="ListParagraph"/>
              <w:numPr>
                <w:ilvl w:val="0"/>
                <w:numId w:val="4"/>
              </w:numPr>
              <w:spacing w:after="0" w:line="240" w:lineRule="auto"/>
              <w:jc w:val="both"/>
              <w:textAlignment w:val="baseline"/>
              <w:rPr>
                <w:rFonts w:ascii="Calibri" w:hAnsi="Calibri" w:cs="Calibri"/>
                <w:lang w:val="en-GB" w:eastAsia="en-GB"/>
              </w:rPr>
            </w:pPr>
            <w:r w:rsidRPr="001C0C4B">
              <w:rPr>
                <w:rFonts w:ascii="Calibri" w:eastAsia="Times New Roman" w:hAnsi="Calibri" w:cs="Calibri"/>
                <w:lang w:val="en-GB" w:eastAsia="en-GB"/>
              </w:rPr>
              <w:t>Reported s</w:t>
            </w:r>
            <w:r w:rsidR="000A5C24" w:rsidRPr="001C0C4B">
              <w:rPr>
                <w:rFonts w:ascii="Calibri" w:eastAsia="Times New Roman" w:hAnsi="Calibri" w:cs="Calibri"/>
                <w:lang w:val="en-GB" w:eastAsia="en-GB"/>
              </w:rPr>
              <w:t xml:space="preserve">ymptoms of COVID-19 (including fever, or history of fever) for less than </w:t>
            </w:r>
            <w:r w:rsidR="00EE31C2" w:rsidRPr="001C0C4B">
              <w:rPr>
                <w:rFonts w:ascii="Calibri" w:eastAsia="Times New Roman" w:hAnsi="Calibri" w:cs="Calibri"/>
                <w:lang w:val="en-GB" w:eastAsia="en-GB"/>
              </w:rPr>
              <w:t>4</w:t>
            </w:r>
            <w:r w:rsidR="000A5C24" w:rsidRPr="001C0C4B">
              <w:rPr>
                <w:rFonts w:ascii="Calibri" w:eastAsia="Times New Roman" w:hAnsi="Calibri" w:cs="Calibri"/>
                <w:lang w:val="en-GB" w:eastAsia="en-GB"/>
              </w:rPr>
              <w:t xml:space="preserve"> days (</w:t>
            </w:r>
            <w:r w:rsidR="00EE31C2" w:rsidRPr="001C0C4B">
              <w:rPr>
                <w:rFonts w:ascii="Calibri" w:eastAsia="Times New Roman" w:hAnsi="Calibri" w:cs="Calibri"/>
                <w:lang w:val="en-GB" w:eastAsia="en-GB"/>
              </w:rPr>
              <w:t>96</w:t>
            </w:r>
            <w:r w:rsidR="000A5C24" w:rsidRPr="001C0C4B">
              <w:rPr>
                <w:rFonts w:ascii="Calibri" w:eastAsia="Times New Roman" w:hAnsi="Calibri" w:cs="Calibri"/>
                <w:lang w:val="en-GB" w:eastAsia="en-GB"/>
              </w:rPr>
              <w:t xml:space="preserve"> hours)</w:t>
            </w:r>
          </w:p>
          <w:p w14:paraId="4821B041" w14:textId="4C98D93B" w:rsidR="000A5C24" w:rsidRPr="001C0C4B" w:rsidRDefault="000A5C24" w:rsidP="003651D9">
            <w:pPr>
              <w:pStyle w:val="ListParagraph"/>
              <w:numPr>
                <w:ilvl w:val="0"/>
                <w:numId w:val="4"/>
              </w:numPr>
              <w:spacing w:after="0" w:line="240" w:lineRule="auto"/>
              <w:jc w:val="both"/>
              <w:textAlignment w:val="baseline"/>
              <w:rPr>
                <w:rFonts w:ascii="Calibri" w:hAnsi="Calibri" w:cs="Calibri"/>
                <w:lang w:val="en-GB" w:eastAsia="en-GB"/>
              </w:rPr>
            </w:pPr>
            <w:r w:rsidRPr="001C0C4B">
              <w:rPr>
                <w:rFonts w:ascii="Calibri" w:eastAsia="Times New Roman" w:hAnsi="Calibri" w:cs="Calibri"/>
                <w:lang w:val="en-GB" w:eastAsia="en-GB"/>
              </w:rPr>
              <w:t xml:space="preserve">Oxygen saturation </w:t>
            </w:r>
            <w:r w:rsidR="00CE2F74" w:rsidRPr="001C0C4B">
              <w:rPr>
                <w:rFonts w:ascii="Calibri" w:eastAsia="Times New Roman" w:hAnsi="Calibri" w:cs="Calibri"/>
                <w:lang w:val="en-GB" w:eastAsia="en-GB"/>
              </w:rPr>
              <w:t>≥96</w:t>
            </w:r>
            <w:r w:rsidRPr="001C0C4B">
              <w:rPr>
                <w:rFonts w:ascii="Calibri" w:eastAsia="Times New Roman" w:hAnsi="Calibri" w:cs="Calibri"/>
                <w:lang w:val="en-GB" w:eastAsia="en-GB"/>
              </w:rPr>
              <w:t>%</w:t>
            </w:r>
            <w:r w:rsidR="00F61094" w:rsidRPr="001C0C4B">
              <w:rPr>
                <w:rFonts w:ascii="Calibri" w:eastAsia="Times New Roman" w:hAnsi="Calibri" w:cs="Calibri"/>
                <w:lang w:val="en-GB" w:eastAsia="en-GB"/>
              </w:rPr>
              <w:t xml:space="preserve"> measured by pulse</w:t>
            </w:r>
            <w:r w:rsidR="00AF3371" w:rsidRPr="001C0C4B">
              <w:rPr>
                <w:rFonts w:ascii="Calibri" w:eastAsia="Times New Roman" w:hAnsi="Calibri" w:cs="Calibri"/>
                <w:lang w:val="en-GB" w:eastAsia="en-GB"/>
              </w:rPr>
              <w:t xml:space="preserve"> </w:t>
            </w:r>
            <w:r w:rsidR="00F61094" w:rsidRPr="001C0C4B">
              <w:rPr>
                <w:rFonts w:ascii="Calibri" w:eastAsia="Times New Roman" w:hAnsi="Calibri" w:cs="Calibri"/>
                <w:lang w:val="en-GB" w:eastAsia="en-GB"/>
              </w:rPr>
              <w:t xml:space="preserve">oximetry at time of screening </w:t>
            </w:r>
          </w:p>
          <w:p w14:paraId="65F5D7DC" w14:textId="0C9A8FAA" w:rsidR="000A5C24" w:rsidRPr="001C0C4B" w:rsidRDefault="000A5C24" w:rsidP="003651D9">
            <w:pPr>
              <w:pStyle w:val="ListParagraph"/>
              <w:numPr>
                <w:ilvl w:val="0"/>
                <w:numId w:val="4"/>
              </w:numPr>
              <w:spacing w:after="0" w:line="240" w:lineRule="auto"/>
              <w:jc w:val="both"/>
              <w:textAlignment w:val="baseline"/>
              <w:rPr>
                <w:rFonts w:ascii="Calibri" w:hAnsi="Calibri" w:cs="Calibri"/>
                <w:lang w:val="en-GB" w:eastAsia="en-GB"/>
              </w:rPr>
            </w:pPr>
            <w:r w:rsidRPr="001C0C4B">
              <w:rPr>
                <w:rFonts w:ascii="Calibri" w:eastAsia="Times New Roman" w:hAnsi="Calibri" w:cs="Calibri"/>
                <w:lang w:val="en-GB" w:eastAsia="en-GB"/>
              </w:rPr>
              <w:t>Able to walk unaided and unimpeded in ADLs</w:t>
            </w:r>
          </w:p>
          <w:p w14:paraId="333604BE" w14:textId="4093A3D5" w:rsidR="000A5C24" w:rsidRPr="001C0C4B" w:rsidRDefault="00AF3371" w:rsidP="003651D9">
            <w:pPr>
              <w:pStyle w:val="paragraph"/>
              <w:numPr>
                <w:ilvl w:val="0"/>
                <w:numId w:val="4"/>
              </w:numPr>
              <w:spacing w:before="0" w:beforeAutospacing="0" w:after="0" w:afterAutospacing="0"/>
              <w:jc w:val="both"/>
              <w:textAlignment w:val="baseline"/>
              <w:rPr>
                <w:rFonts w:ascii="Calibri" w:hAnsi="Calibri" w:cs="Calibri"/>
                <w:sz w:val="22"/>
                <w:szCs w:val="22"/>
              </w:rPr>
            </w:pPr>
            <w:r w:rsidRPr="001C0C4B">
              <w:rPr>
                <w:rStyle w:val="normaltextrun"/>
                <w:rFonts w:ascii="Calibri" w:eastAsiaTheme="majorEastAsia" w:hAnsi="Calibri" w:cs="Calibri"/>
                <w:sz w:val="22"/>
                <w:szCs w:val="22"/>
              </w:rPr>
              <w:t xml:space="preserve">Agrees and is able to adhere to all </w:t>
            </w:r>
            <w:r w:rsidR="0067727E" w:rsidRPr="001C0C4B">
              <w:rPr>
                <w:rStyle w:val="normaltextrun"/>
                <w:rFonts w:ascii="Calibri" w:eastAsiaTheme="majorEastAsia" w:hAnsi="Calibri" w:cs="Calibri"/>
                <w:sz w:val="22"/>
                <w:szCs w:val="22"/>
              </w:rPr>
              <w:t xml:space="preserve">study </w:t>
            </w:r>
            <w:r w:rsidRPr="001C0C4B">
              <w:rPr>
                <w:rStyle w:val="normaltextrun"/>
                <w:rFonts w:ascii="Calibri" w:eastAsiaTheme="majorEastAsia" w:hAnsi="Calibri" w:cs="Calibri"/>
                <w:sz w:val="22"/>
                <w:szCs w:val="22"/>
              </w:rPr>
              <w:t>procedures, including availability and contact information for follow-up visits</w:t>
            </w:r>
          </w:p>
          <w:p w14:paraId="43896D7B" w14:textId="77777777" w:rsidR="000A5C24" w:rsidRPr="001C0C4B" w:rsidRDefault="000A5C24" w:rsidP="000A5C24">
            <w:pPr>
              <w:spacing w:after="0" w:line="240" w:lineRule="auto"/>
              <w:jc w:val="both"/>
              <w:textAlignment w:val="baseline"/>
              <w:rPr>
                <w:rFonts w:ascii="Calibri" w:eastAsia="Times New Roman" w:hAnsi="Calibri" w:cs="Calibri"/>
                <w:lang w:val="en-GB" w:eastAsia="en-GB"/>
              </w:rPr>
            </w:pPr>
            <w:r w:rsidRPr="001C0C4B">
              <w:rPr>
                <w:rFonts w:ascii="Calibri" w:eastAsia="Times New Roman" w:hAnsi="Calibri" w:cs="Calibri"/>
                <w:lang w:val="en-GB" w:eastAsia="en-GB"/>
              </w:rPr>
              <w:t>  </w:t>
            </w:r>
          </w:p>
          <w:p w14:paraId="0A39D2C4" w14:textId="1D3034B5" w:rsidR="000A5C24" w:rsidRPr="001C0C4B" w:rsidRDefault="000A5C24" w:rsidP="000A5C24">
            <w:pPr>
              <w:spacing w:after="0" w:line="240" w:lineRule="auto"/>
              <w:jc w:val="both"/>
              <w:textAlignment w:val="baseline"/>
              <w:rPr>
                <w:rFonts w:ascii="Calibri" w:eastAsia="Times New Roman" w:hAnsi="Calibri" w:cs="Calibri"/>
                <w:lang w:val="en-GB" w:eastAsia="en-GB"/>
              </w:rPr>
            </w:pPr>
            <w:r w:rsidRPr="001C0C4B">
              <w:rPr>
                <w:rFonts w:ascii="Calibri" w:eastAsia="Times New Roman" w:hAnsi="Calibri" w:cs="Calibri"/>
                <w:b/>
                <w:bCs/>
                <w:lang w:val="en-GB" w:eastAsia="en-GB"/>
              </w:rPr>
              <w:t>Exclusion criteria:</w:t>
            </w:r>
          </w:p>
          <w:p w14:paraId="7AB5B5AF" w14:textId="46BA9BDB" w:rsidR="000A5C24" w:rsidRPr="001C0C4B" w:rsidRDefault="007F5A74" w:rsidP="003651D9">
            <w:pPr>
              <w:pStyle w:val="ListParagraph"/>
              <w:numPr>
                <w:ilvl w:val="0"/>
                <w:numId w:val="4"/>
              </w:numPr>
              <w:spacing w:after="0" w:line="240" w:lineRule="auto"/>
              <w:jc w:val="both"/>
              <w:textAlignment w:val="baseline"/>
              <w:rPr>
                <w:rFonts w:ascii="Calibri" w:hAnsi="Calibri" w:cs="Calibri"/>
                <w:lang w:val="en-GB" w:eastAsia="en-GB"/>
              </w:rPr>
            </w:pPr>
            <w:r w:rsidRPr="001C0C4B">
              <w:rPr>
                <w:rFonts w:ascii="Calibri" w:eastAsia="Times New Roman" w:hAnsi="Calibri" w:cs="Calibri"/>
                <w:lang w:val="en-GB" w:eastAsia="en-GB"/>
              </w:rPr>
              <w:t xml:space="preserve">Taking any </w:t>
            </w:r>
            <w:r w:rsidR="000A5C24" w:rsidRPr="001C0C4B">
              <w:rPr>
                <w:rFonts w:ascii="Calibri" w:eastAsia="Times New Roman" w:hAnsi="Calibri" w:cs="Calibri"/>
                <w:lang w:val="en-GB" w:eastAsia="en-GB"/>
              </w:rPr>
              <w:t>concomitant medications or drugs (see appendix</w:t>
            </w:r>
            <w:r w:rsidR="003067DD" w:rsidRPr="001C0C4B">
              <w:rPr>
                <w:rFonts w:ascii="Calibri" w:eastAsia="Times New Roman" w:hAnsi="Calibri" w:cs="Calibri"/>
                <w:lang w:val="en-GB" w:eastAsia="en-GB"/>
              </w:rPr>
              <w:t xml:space="preserve"> 4</w:t>
            </w:r>
            <w:r w:rsidR="000A5C24" w:rsidRPr="001C0C4B">
              <w:rPr>
                <w:rFonts w:ascii="Calibri" w:eastAsia="Times New Roman" w:hAnsi="Calibri" w:cs="Calibri"/>
                <w:lang w:val="en-GB" w:eastAsia="en-GB"/>
              </w:rPr>
              <w:t>)</w:t>
            </w:r>
            <w:r w:rsidR="005F5BD3" w:rsidRPr="001C0C4B">
              <w:rPr>
                <w:rStyle w:val="normaltextrun"/>
                <w:rFonts w:ascii="Calibri" w:hAnsi="Calibri" w:cs="Calibri"/>
                <w:bCs/>
              </w:rPr>
              <w:t>†</w:t>
            </w:r>
          </w:p>
          <w:p w14:paraId="75BA57ED" w14:textId="197C93F3" w:rsidR="000A5C24" w:rsidRPr="001C0C4B" w:rsidRDefault="00D91122" w:rsidP="003651D9">
            <w:pPr>
              <w:pStyle w:val="ListParagraph"/>
              <w:numPr>
                <w:ilvl w:val="0"/>
                <w:numId w:val="4"/>
              </w:numPr>
              <w:spacing w:after="0" w:line="240" w:lineRule="auto"/>
              <w:jc w:val="both"/>
              <w:textAlignment w:val="baseline"/>
            </w:pPr>
            <w:r w:rsidRPr="001C0C4B">
              <w:t>Presence of any</w:t>
            </w:r>
            <w:r w:rsidR="00484AB9" w:rsidRPr="001C0C4B">
              <w:t xml:space="preserve"> chronic illness</w:t>
            </w:r>
            <w:r w:rsidR="00911C53" w:rsidRPr="001C0C4B">
              <w:t>/ condition requiring</w:t>
            </w:r>
            <w:r w:rsidR="00F93A36" w:rsidRPr="001C0C4B">
              <w:t xml:space="preserve"> long term treatment, or</w:t>
            </w:r>
            <w:r w:rsidR="005F0943" w:rsidRPr="001C0C4B">
              <w:t xml:space="preserve"> other significant comorbidity</w:t>
            </w:r>
            <w:r w:rsidR="000A5C24" w:rsidRPr="001C0C4B">
              <w:t xml:space="preserve"> </w:t>
            </w:r>
            <w:r w:rsidR="005F0943" w:rsidRPr="001C0C4B">
              <w:t>(</w:t>
            </w:r>
            <w:r w:rsidR="000A5C24" w:rsidRPr="001C0C4B">
              <w:t>see appendix</w:t>
            </w:r>
            <w:r w:rsidR="003067DD" w:rsidRPr="001C0C4B">
              <w:t xml:space="preserve"> 4</w:t>
            </w:r>
            <w:r w:rsidR="00CE2F74" w:rsidRPr="001C0C4B">
              <w:t xml:space="preserve"> for full list</w:t>
            </w:r>
            <w:r w:rsidR="000A5C24" w:rsidRPr="001C0C4B">
              <w:t>)</w:t>
            </w:r>
          </w:p>
          <w:p w14:paraId="7F64C0EB" w14:textId="68C0D6BA" w:rsidR="00887D04" w:rsidRPr="001C0C4B" w:rsidRDefault="00887D04" w:rsidP="003651D9">
            <w:pPr>
              <w:pStyle w:val="paragraph"/>
              <w:numPr>
                <w:ilvl w:val="0"/>
                <w:numId w:val="4"/>
              </w:numPr>
              <w:spacing w:before="0" w:beforeAutospacing="0" w:after="0" w:afterAutospacing="0"/>
              <w:jc w:val="both"/>
              <w:textAlignment w:val="baseline"/>
              <w:rPr>
                <w:rFonts w:ascii="Calibri" w:eastAsiaTheme="minorEastAsia" w:hAnsi="Calibri" w:cs="Calibri"/>
                <w:sz w:val="22"/>
                <w:szCs w:val="22"/>
              </w:rPr>
            </w:pPr>
            <w:r w:rsidRPr="001C0C4B">
              <w:rPr>
                <w:rFonts w:ascii="Calibri" w:hAnsi="Calibri" w:cs="Calibri"/>
                <w:sz w:val="22"/>
                <w:szCs w:val="22"/>
              </w:rPr>
              <w:t xml:space="preserve">Laboratory abnormalities discovered at screening </w:t>
            </w:r>
            <w:r w:rsidRPr="001C0C4B">
              <w:rPr>
                <w:rStyle w:val="eop"/>
                <w:rFonts w:ascii="Calibri" w:eastAsiaTheme="minorEastAsia" w:hAnsi="Calibri" w:cs="Calibri"/>
                <w:sz w:val="22"/>
                <w:szCs w:val="22"/>
              </w:rPr>
              <w:t>(see appendix 4)</w:t>
            </w:r>
          </w:p>
          <w:p w14:paraId="4D99134B" w14:textId="01886C0C" w:rsidR="000A5C24" w:rsidRPr="001C0C4B" w:rsidRDefault="000A5C24" w:rsidP="003651D9">
            <w:pPr>
              <w:pStyle w:val="ListParagraph"/>
              <w:numPr>
                <w:ilvl w:val="0"/>
                <w:numId w:val="4"/>
              </w:numPr>
              <w:spacing w:after="0" w:line="240" w:lineRule="auto"/>
              <w:jc w:val="both"/>
              <w:textAlignment w:val="baseline"/>
              <w:rPr>
                <w:rFonts w:ascii="Calibri" w:hAnsi="Calibri" w:cs="Calibri"/>
                <w:lang w:val="en-GB" w:eastAsia="en-GB"/>
              </w:rPr>
            </w:pPr>
            <w:r w:rsidRPr="001C0C4B">
              <w:rPr>
                <w:rFonts w:ascii="Calibri" w:eastAsia="Times New Roman" w:hAnsi="Calibri" w:cs="Calibri"/>
                <w:lang w:val="en-GB" w:eastAsia="en-GB"/>
              </w:rPr>
              <w:t>For females: pregnancy</w:t>
            </w:r>
            <w:r w:rsidR="00653D12" w:rsidRPr="001C0C4B">
              <w:rPr>
                <w:rFonts w:ascii="Calibri" w:eastAsia="Times New Roman" w:hAnsi="Calibri" w:cs="Calibri"/>
                <w:lang w:val="en-GB" w:eastAsia="en-GB"/>
              </w:rPr>
              <w:t>, actively trying to beco</w:t>
            </w:r>
            <w:r w:rsidR="007F5152" w:rsidRPr="001C0C4B">
              <w:rPr>
                <w:rFonts w:ascii="Calibri" w:eastAsia="Times New Roman" w:hAnsi="Calibri" w:cs="Calibri"/>
                <w:lang w:val="en-GB" w:eastAsia="en-GB"/>
              </w:rPr>
              <w:t>me pregnant</w:t>
            </w:r>
            <w:r w:rsidR="001D4BA3" w:rsidRPr="001C0C4B">
              <w:rPr>
                <w:rFonts w:ascii="Calibri" w:eastAsia="Times New Roman" w:hAnsi="Calibri" w:cs="Calibri"/>
                <w:lang w:val="en-GB" w:eastAsia="en-GB"/>
              </w:rPr>
              <w:t>,</w:t>
            </w:r>
            <w:r w:rsidRPr="001C0C4B">
              <w:rPr>
                <w:rFonts w:ascii="Calibri" w:eastAsia="Times New Roman" w:hAnsi="Calibri" w:cs="Calibri"/>
                <w:lang w:val="en-GB" w:eastAsia="en-GB"/>
              </w:rPr>
              <w:t xml:space="preserve"> or lactation</w:t>
            </w:r>
          </w:p>
          <w:p w14:paraId="4DBCE12E" w14:textId="48FA8306" w:rsidR="000A5C24" w:rsidRPr="001C0C4B" w:rsidRDefault="000A5C24" w:rsidP="003651D9">
            <w:pPr>
              <w:pStyle w:val="ListParagraph"/>
              <w:numPr>
                <w:ilvl w:val="0"/>
                <w:numId w:val="4"/>
              </w:numPr>
              <w:spacing w:after="0" w:line="240" w:lineRule="auto"/>
              <w:jc w:val="both"/>
              <w:textAlignment w:val="baseline"/>
              <w:rPr>
                <w:rStyle w:val="eop"/>
                <w:rFonts w:ascii="Calibri" w:hAnsi="Calibri" w:cs="Calibri"/>
                <w:lang w:val="en-GB" w:eastAsia="en-GB"/>
              </w:rPr>
            </w:pPr>
            <w:r w:rsidRPr="001C0C4B">
              <w:rPr>
                <w:rStyle w:val="eop"/>
                <w:rFonts w:ascii="Calibri" w:eastAsiaTheme="minorEastAsia" w:hAnsi="Calibri" w:cs="Calibri"/>
              </w:rPr>
              <w:t xml:space="preserve">Contraindication to taking, or known hypersensitivity reaction to any of the proposed therapeutics (see </w:t>
            </w:r>
            <w:r w:rsidR="003067DD" w:rsidRPr="001C0C4B">
              <w:rPr>
                <w:rStyle w:val="eop"/>
                <w:rFonts w:ascii="Calibri" w:eastAsiaTheme="minorEastAsia" w:hAnsi="Calibri" w:cs="Calibri"/>
              </w:rPr>
              <w:t>appendix 4</w:t>
            </w:r>
            <w:r w:rsidRPr="001C0C4B">
              <w:rPr>
                <w:rStyle w:val="eop"/>
                <w:rFonts w:ascii="Calibri" w:eastAsiaTheme="minorEastAsia" w:hAnsi="Calibri" w:cs="Calibri"/>
              </w:rPr>
              <w:t>)</w:t>
            </w:r>
          </w:p>
          <w:p w14:paraId="13CD74A5" w14:textId="3D7E69D4" w:rsidR="002640B9" w:rsidRPr="001C0C4B" w:rsidRDefault="002640B9" w:rsidP="003651D9">
            <w:pPr>
              <w:pStyle w:val="ListParagraph"/>
              <w:numPr>
                <w:ilvl w:val="0"/>
                <w:numId w:val="4"/>
              </w:numPr>
              <w:spacing w:after="0" w:line="240" w:lineRule="auto"/>
              <w:jc w:val="both"/>
              <w:textAlignment w:val="baseline"/>
              <w:rPr>
                <w:rStyle w:val="eop"/>
                <w:rFonts w:ascii="Calibri" w:hAnsi="Calibri" w:cs="Calibri"/>
                <w:lang w:val="en-GB" w:eastAsia="en-GB"/>
              </w:rPr>
            </w:pPr>
            <w:r w:rsidRPr="001C0C4B">
              <w:rPr>
                <w:rStyle w:val="eop"/>
                <w:rFonts w:ascii="Calibri" w:eastAsiaTheme="minorEastAsia" w:hAnsi="Calibri" w:cs="Calibri"/>
              </w:rPr>
              <w:t>Currently participating in another COVID-19 therapeutic or vaccine trial</w:t>
            </w:r>
          </w:p>
          <w:p w14:paraId="35AEC102" w14:textId="299F1FE7" w:rsidR="00CE2F74" w:rsidRPr="001C0C4B" w:rsidRDefault="00CE2F74" w:rsidP="003651D9">
            <w:pPr>
              <w:pStyle w:val="ListParagraph"/>
              <w:numPr>
                <w:ilvl w:val="0"/>
                <w:numId w:val="4"/>
              </w:numPr>
              <w:spacing w:after="0" w:line="240" w:lineRule="auto"/>
              <w:jc w:val="both"/>
              <w:textAlignment w:val="baseline"/>
              <w:rPr>
                <w:rStyle w:val="eop"/>
                <w:rFonts w:ascii="Calibri" w:hAnsi="Calibri" w:cs="Calibri"/>
                <w:lang w:val="en-GB" w:eastAsia="en-GB"/>
              </w:rPr>
            </w:pPr>
            <w:r w:rsidRPr="001C0C4B">
              <w:rPr>
                <w:rStyle w:val="eop"/>
                <w:rFonts w:eastAsiaTheme="minorEastAsia"/>
              </w:rPr>
              <w:t>Evidence of pneumonia (although imaging is NOT required)</w:t>
            </w:r>
          </w:p>
          <w:p w14:paraId="61379B45" w14:textId="066EC270" w:rsidR="000A5C24" w:rsidRPr="001C0C4B" w:rsidRDefault="00EB3900" w:rsidP="009A5CCE">
            <w:pPr>
              <w:pStyle w:val="footnote"/>
            </w:pPr>
            <w:r w:rsidRPr="001C0C4B">
              <w:rPr>
                <w:rFonts w:ascii="Calibri" w:hAnsi="Calibri" w:cs="Calibri"/>
                <w:sz w:val="22"/>
                <w:szCs w:val="22"/>
              </w:rPr>
              <w:t>† healthy women on the oral contraceptive pill are eligible to join the study</w:t>
            </w:r>
          </w:p>
        </w:tc>
      </w:tr>
      <w:tr w:rsidR="00D23D22" w:rsidRPr="001C0C4B" w14:paraId="0337F58D" w14:textId="77777777" w:rsidTr="00EE2E8E">
        <w:tc>
          <w:tcPr>
            <w:tcW w:w="2624" w:type="dxa"/>
            <w:tcBorders>
              <w:top w:val="outset" w:sz="6" w:space="0" w:color="auto"/>
              <w:left w:val="single" w:sz="6" w:space="0" w:color="auto"/>
              <w:bottom w:val="single" w:sz="6" w:space="0" w:color="auto"/>
              <w:right w:val="single" w:sz="6" w:space="0" w:color="auto"/>
            </w:tcBorders>
            <w:shd w:val="clear" w:color="auto" w:fill="auto"/>
            <w:hideMark/>
          </w:tcPr>
          <w:p w14:paraId="6EF2A97D" w14:textId="77777777" w:rsidR="000A5C24" w:rsidRPr="001C0C4B" w:rsidRDefault="000A5C24" w:rsidP="000A5C24">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b/>
                <w:bCs/>
                <w:lang w:val="en-GB" w:eastAsia="en-GB"/>
              </w:rPr>
              <w:t>Planned Sample Size</w:t>
            </w:r>
            <w:r w:rsidRPr="001C0C4B">
              <w:rPr>
                <w:rFonts w:ascii="Calibri" w:eastAsia="Times New Roman" w:hAnsi="Calibri" w:cs="Calibri"/>
                <w:lang w:val="en-GB" w:eastAsia="en-GB"/>
              </w:rPr>
              <w:t> </w:t>
            </w:r>
          </w:p>
        </w:tc>
        <w:tc>
          <w:tcPr>
            <w:tcW w:w="7010" w:type="dxa"/>
            <w:gridSpan w:val="2"/>
            <w:tcBorders>
              <w:top w:val="outset" w:sz="6" w:space="0" w:color="auto"/>
              <w:left w:val="outset" w:sz="6" w:space="0" w:color="auto"/>
              <w:bottom w:val="single" w:sz="6" w:space="0" w:color="auto"/>
              <w:right w:val="single" w:sz="6" w:space="0" w:color="auto"/>
            </w:tcBorders>
            <w:shd w:val="clear" w:color="auto" w:fill="auto"/>
            <w:hideMark/>
          </w:tcPr>
          <w:p w14:paraId="54319109" w14:textId="21636A79" w:rsidR="002823ED" w:rsidRPr="001C0C4B" w:rsidRDefault="000A5C24" w:rsidP="003719EB">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lang w:val="en-GB" w:eastAsia="en-GB"/>
              </w:rPr>
              <w:t xml:space="preserve">Continuously running </w:t>
            </w:r>
            <w:r w:rsidR="3FC4AF7F" w:rsidRPr="001C0C4B">
              <w:rPr>
                <w:rFonts w:ascii="Calibri" w:eastAsia="Times New Roman" w:hAnsi="Calibri" w:cs="Calibri"/>
                <w:lang w:val="en-GB" w:eastAsia="en-GB"/>
              </w:rPr>
              <w:t xml:space="preserve">group sequential </w:t>
            </w:r>
            <w:r w:rsidR="00C070B5" w:rsidRPr="001C0C4B">
              <w:rPr>
                <w:rFonts w:ascii="Calibri" w:eastAsia="Times New Roman" w:hAnsi="Calibri" w:cs="Calibri"/>
                <w:lang w:val="en-GB" w:eastAsia="en-GB"/>
              </w:rPr>
              <w:t xml:space="preserve">adaptive </w:t>
            </w:r>
            <w:r w:rsidRPr="001C0C4B">
              <w:rPr>
                <w:rFonts w:ascii="Calibri" w:eastAsia="Times New Roman" w:hAnsi="Calibri" w:cs="Calibri"/>
                <w:lang w:val="en-GB" w:eastAsia="en-GB"/>
              </w:rPr>
              <w:t>platform trial</w:t>
            </w:r>
            <w:r w:rsidR="002D33C6" w:rsidRPr="001C0C4B">
              <w:rPr>
                <w:rFonts w:ascii="Calibri" w:eastAsia="Times New Roman" w:hAnsi="Calibri" w:cs="Calibri"/>
                <w:lang w:val="en-GB" w:eastAsia="en-GB"/>
              </w:rPr>
              <w:t>. There is no fixed sample size</w:t>
            </w:r>
            <w:r w:rsidRPr="001C0C4B">
              <w:rPr>
                <w:rFonts w:ascii="Calibri" w:eastAsia="Times New Roman" w:hAnsi="Calibri" w:cs="Calibri"/>
                <w:lang w:val="en-GB" w:eastAsia="en-GB"/>
              </w:rPr>
              <w:t xml:space="preserve"> </w:t>
            </w:r>
            <w:r w:rsidR="00C45902" w:rsidRPr="001C0C4B">
              <w:rPr>
                <w:rFonts w:ascii="Calibri" w:eastAsia="Times New Roman" w:hAnsi="Calibri" w:cs="Calibri"/>
                <w:lang w:val="en-GB" w:eastAsia="en-GB"/>
              </w:rPr>
              <w:t>(see section 10.</w:t>
            </w:r>
            <w:r w:rsidR="000028F0" w:rsidRPr="001C0C4B">
              <w:rPr>
                <w:rFonts w:ascii="Calibri" w:eastAsia="Times New Roman" w:hAnsi="Calibri" w:cs="Calibri"/>
                <w:lang w:val="en-GB" w:eastAsia="en-GB"/>
              </w:rPr>
              <w:t>1</w:t>
            </w:r>
            <w:r w:rsidR="00C45902" w:rsidRPr="001C0C4B">
              <w:rPr>
                <w:rFonts w:ascii="Calibri" w:eastAsia="Times New Roman" w:hAnsi="Calibri" w:cs="Calibri"/>
                <w:lang w:val="en-GB" w:eastAsia="en-GB"/>
              </w:rPr>
              <w:t xml:space="preserve"> for further discussion)</w:t>
            </w:r>
            <w:r w:rsidR="00465CDD" w:rsidRPr="001C0C4B">
              <w:rPr>
                <w:rFonts w:ascii="Calibri" w:eastAsia="Times New Roman" w:hAnsi="Calibri" w:cs="Calibri"/>
                <w:lang w:val="en-GB" w:eastAsia="en-GB"/>
              </w:rPr>
              <w:t>.</w:t>
            </w:r>
          </w:p>
          <w:p w14:paraId="46BEE361" w14:textId="77777777" w:rsidR="003719EB" w:rsidRPr="001C0C4B" w:rsidRDefault="003719EB" w:rsidP="003719EB">
            <w:pPr>
              <w:spacing w:after="0" w:line="240" w:lineRule="auto"/>
              <w:textAlignment w:val="baseline"/>
              <w:rPr>
                <w:rFonts w:ascii="Calibri" w:eastAsia="Times New Roman" w:hAnsi="Calibri" w:cs="Calibri"/>
                <w:lang w:val="en-GB" w:eastAsia="en-GB"/>
              </w:rPr>
            </w:pPr>
          </w:p>
          <w:p w14:paraId="6E5D0FE7" w14:textId="7E66D73B" w:rsidR="003719EB" w:rsidRPr="001C0C4B" w:rsidRDefault="003719EB" w:rsidP="00776155">
            <w:pPr>
              <w:spacing w:after="0" w:line="240" w:lineRule="auto"/>
              <w:jc w:val="thaiDistribute"/>
              <w:textAlignment w:val="baseline"/>
              <w:rPr>
                <w:rFonts w:ascii="Calibri" w:eastAsia="Times New Roman" w:hAnsi="Calibri" w:cs="Calibri"/>
                <w:lang w:val="en-GB" w:eastAsia="en-GB"/>
              </w:rPr>
            </w:pPr>
            <w:r w:rsidRPr="001C0C4B">
              <w:rPr>
                <w:rFonts w:ascii="Calibri" w:eastAsia="Times New Roman" w:hAnsi="Calibri" w:cs="Calibri"/>
                <w:lang w:val="en-GB" w:eastAsia="en-GB"/>
              </w:rPr>
              <w:t xml:space="preserve">This study is expected to enroll approximately </w:t>
            </w:r>
            <w:r w:rsidR="00E86BCB" w:rsidRPr="001C0C4B">
              <w:rPr>
                <w:rFonts w:ascii="Calibri" w:eastAsia="Times New Roman" w:hAnsi="Calibri" w:cs="Calibri"/>
                <w:lang w:val="en-GB" w:eastAsia="en-GB"/>
              </w:rPr>
              <w:t xml:space="preserve">1500 </w:t>
            </w:r>
            <w:r w:rsidRPr="001C0C4B">
              <w:rPr>
                <w:rFonts w:ascii="Calibri" w:eastAsia="Times New Roman" w:hAnsi="Calibri" w:cs="Calibri"/>
                <w:lang w:val="en-GB" w:eastAsia="en-GB"/>
              </w:rPr>
              <w:t>total participants from</w:t>
            </w:r>
            <w:r w:rsidR="00B6177C" w:rsidRPr="001C0C4B">
              <w:rPr>
                <w:rFonts w:ascii="Calibri" w:eastAsia="Times New Roman" w:hAnsi="Calibri" w:cs="Calibri"/>
                <w:lang w:val="en-GB" w:eastAsia="en-GB"/>
              </w:rPr>
              <w:t xml:space="preserve"> up to six </w:t>
            </w:r>
            <w:r w:rsidRPr="001C0C4B">
              <w:rPr>
                <w:rFonts w:ascii="Calibri" w:eastAsia="Times New Roman" w:hAnsi="Calibri" w:cs="Calibri"/>
                <w:lang w:val="en-GB" w:eastAsia="en-GB"/>
              </w:rPr>
              <w:t xml:space="preserve">countries (Thailand, Brazil, </w:t>
            </w:r>
            <w:r w:rsidR="007207D5" w:rsidRPr="001C0C4B">
              <w:rPr>
                <w:rFonts w:ascii="Calibri" w:eastAsia="Times New Roman" w:hAnsi="Calibri" w:cs="Calibri"/>
                <w:lang w:val="en-GB" w:eastAsia="en-GB"/>
              </w:rPr>
              <w:t>Pakistan</w:t>
            </w:r>
            <w:r w:rsidR="006B5F41" w:rsidRPr="001C0C4B">
              <w:rPr>
                <w:rFonts w:ascii="Calibri" w:eastAsia="Times New Roman" w:hAnsi="Calibri" w:cs="Calibri"/>
                <w:lang w:val="en-GB" w:eastAsia="en-GB"/>
              </w:rPr>
              <w:t>, Laos</w:t>
            </w:r>
            <w:r w:rsidR="007207D5" w:rsidRPr="001C0C4B">
              <w:rPr>
                <w:rFonts w:ascii="Calibri" w:eastAsia="Times New Roman" w:hAnsi="Calibri" w:cs="Calibri"/>
                <w:lang w:val="en-GB" w:eastAsia="en-GB"/>
              </w:rPr>
              <w:t xml:space="preserve"> </w:t>
            </w:r>
            <w:r w:rsidR="00DB70CA" w:rsidRPr="001C0C4B">
              <w:rPr>
                <w:rFonts w:ascii="Calibri" w:eastAsia="Times New Roman" w:hAnsi="Calibri" w:cs="Calibri"/>
                <w:lang w:val="en-GB" w:eastAsia="en-GB"/>
              </w:rPr>
              <w:t>and</w:t>
            </w:r>
            <w:r w:rsidR="007207D5" w:rsidRPr="001C0C4B">
              <w:rPr>
                <w:rFonts w:ascii="Calibri" w:eastAsia="Times New Roman" w:hAnsi="Calibri" w:cs="Calibri"/>
                <w:lang w:val="en-GB" w:eastAsia="en-GB"/>
              </w:rPr>
              <w:t xml:space="preserve"> yet unconfirmed site</w:t>
            </w:r>
            <w:r w:rsidR="00E86BCB" w:rsidRPr="001C0C4B">
              <w:rPr>
                <w:rFonts w:ascii="Calibri" w:eastAsia="Times New Roman" w:hAnsi="Calibri" w:cs="Calibri"/>
                <w:lang w:val="en-GB" w:eastAsia="en-GB"/>
              </w:rPr>
              <w:t>/ sites</w:t>
            </w:r>
            <w:r w:rsidRPr="001C0C4B">
              <w:rPr>
                <w:rFonts w:ascii="Calibri" w:eastAsia="Times New Roman" w:hAnsi="Calibri" w:cs="Calibri"/>
                <w:lang w:val="en-GB" w:eastAsia="en-GB"/>
              </w:rPr>
              <w:t xml:space="preserve">). </w:t>
            </w:r>
          </w:p>
        </w:tc>
      </w:tr>
      <w:tr w:rsidR="00D23D22" w:rsidRPr="001C0C4B" w14:paraId="74C5FF7A" w14:textId="77777777" w:rsidTr="00EE2E8E">
        <w:tc>
          <w:tcPr>
            <w:tcW w:w="2624" w:type="dxa"/>
            <w:tcBorders>
              <w:top w:val="outset" w:sz="6" w:space="0" w:color="auto"/>
              <w:left w:val="single" w:sz="6" w:space="0" w:color="auto"/>
              <w:bottom w:val="single" w:sz="6" w:space="0" w:color="auto"/>
              <w:right w:val="single" w:sz="6" w:space="0" w:color="auto"/>
            </w:tcBorders>
            <w:shd w:val="clear" w:color="auto" w:fill="auto"/>
            <w:hideMark/>
          </w:tcPr>
          <w:p w14:paraId="14D3D39A" w14:textId="77777777" w:rsidR="000A5C24" w:rsidRPr="001C0C4B" w:rsidRDefault="000A5C24" w:rsidP="000A5C24">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b/>
                <w:bCs/>
                <w:lang w:val="en-GB" w:eastAsia="en-GB"/>
              </w:rPr>
              <w:t>Planned Study Period</w:t>
            </w:r>
            <w:r w:rsidRPr="001C0C4B">
              <w:rPr>
                <w:rFonts w:ascii="Calibri" w:eastAsia="Times New Roman" w:hAnsi="Calibri" w:cs="Calibri"/>
                <w:lang w:val="en-GB" w:eastAsia="en-GB"/>
              </w:rPr>
              <w:t> </w:t>
            </w:r>
          </w:p>
        </w:tc>
        <w:tc>
          <w:tcPr>
            <w:tcW w:w="7010" w:type="dxa"/>
            <w:gridSpan w:val="2"/>
            <w:tcBorders>
              <w:top w:val="outset" w:sz="6" w:space="0" w:color="auto"/>
              <w:left w:val="outset" w:sz="6" w:space="0" w:color="auto"/>
              <w:bottom w:val="single" w:sz="6" w:space="0" w:color="auto"/>
              <w:right w:val="single" w:sz="6" w:space="0" w:color="auto"/>
            </w:tcBorders>
            <w:shd w:val="clear" w:color="auto" w:fill="auto"/>
            <w:hideMark/>
          </w:tcPr>
          <w:p w14:paraId="1D698953" w14:textId="59450C77" w:rsidR="000A5C24" w:rsidRPr="001C0C4B" w:rsidRDefault="00466A95" w:rsidP="002B251D">
            <w:pPr>
              <w:spacing w:after="0" w:line="240" w:lineRule="auto"/>
              <w:jc w:val="thaiDistribute"/>
              <w:textAlignment w:val="baseline"/>
              <w:rPr>
                <w:rFonts w:ascii="Calibri" w:eastAsia="Times New Roman" w:hAnsi="Calibri" w:cs="Calibri"/>
                <w:lang w:val="en-GB" w:eastAsia="en-GB"/>
              </w:rPr>
            </w:pPr>
            <w:r w:rsidRPr="001C0C4B">
              <w:rPr>
                <w:rFonts w:ascii="Calibri" w:eastAsia="Times New Roman" w:hAnsi="Calibri" w:cs="Calibri"/>
                <w:lang w:val="en-GB" w:eastAsia="en-GB"/>
              </w:rPr>
              <w:t>3</w:t>
            </w:r>
            <w:r w:rsidR="00892F52" w:rsidRPr="001C0C4B">
              <w:rPr>
                <w:rFonts w:ascii="Calibri" w:eastAsia="Times New Roman" w:hAnsi="Calibri" w:cs="Calibri"/>
                <w:lang w:val="en-GB" w:eastAsia="en-GB"/>
              </w:rPr>
              <w:t xml:space="preserve"> years</w:t>
            </w:r>
            <w:r w:rsidR="00A24127" w:rsidRPr="001C0C4B">
              <w:rPr>
                <w:rFonts w:ascii="Calibri" w:eastAsia="Times New Roman" w:hAnsi="Calibri" w:cs="Calibri"/>
                <w:lang w:val="en-GB" w:eastAsia="en-GB"/>
              </w:rPr>
              <w:t xml:space="preserve"> for total duration of the trial </w:t>
            </w:r>
            <w:r w:rsidR="00EE0F60" w:rsidRPr="001C0C4B">
              <w:rPr>
                <w:rFonts w:ascii="Calibri" w:eastAsia="Times New Roman" w:hAnsi="Calibri" w:cs="Calibri"/>
                <w:lang w:val="en-GB" w:eastAsia="en-GB"/>
              </w:rPr>
              <w:t>and 28 days for individual patient</w:t>
            </w:r>
            <w:r w:rsidR="00EE0F60" w:rsidRPr="001C0C4B">
              <w:rPr>
                <w:rFonts w:ascii="Calibri" w:hAnsi="Calibri"/>
                <w:lang w:val="en-GB"/>
              </w:rPr>
              <w:t>s</w:t>
            </w:r>
            <w:r w:rsidR="001F7EED" w:rsidRPr="001C0C4B">
              <w:rPr>
                <w:rFonts w:ascii="Calibri" w:hAnsi="Calibri"/>
                <w:lang w:val="en-GB"/>
              </w:rPr>
              <w:t>’</w:t>
            </w:r>
            <w:r w:rsidR="00A24127" w:rsidRPr="001C0C4B">
              <w:rPr>
                <w:rFonts w:ascii="Calibri" w:eastAsia="Times New Roman" w:hAnsi="Calibri" w:cs="Calibri"/>
                <w:lang w:val="en-GB" w:eastAsia="en-GB"/>
              </w:rPr>
              <w:t xml:space="preserve"> involvement</w:t>
            </w:r>
          </w:p>
        </w:tc>
      </w:tr>
      <w:tr w:rsidR="00D23D22" w:rsidRPr="001C0C4B" w14:paraId="344322BD" w14:textId="77777777" w:rsidTr="00EE2E8E">
        <w:tc>
          <w:tcPr>
            <w:tcW w:w="2624" w:type="dxa"/>
            <w:tcBorders>
              <w:top w:val="outset" w:sz="6" w:space="0" w:color="auto"/>
              <w:left w:val="single" w:sz="6" w:space="0" w:color="auto"/>
              <w:bottom w:val="single" w:sz="6" w:space="0" w:color="auto"/>
              <w:right w:val="single" w:sz="6" w:space="0" w:color="auto"/>
            </w:tcBorders>
            <w:shd w:val="clear" w:color="auto" w:fill="auto"/>
            <w:hideMark/>
          </w:tcPr>
          <w:p w14:paraId="08F98545" w14:textId="54C75040" w:rsidR="000A5C24" w:rsidRPr="001C0C4B" w:rsidRDefault="000A5C24" w:rsidP="000A5C24">
            <w:pPr>
              <w:spacing w:line="240" w:lineRule="auto"/>
              <w:rPr>
                <w:rFonts w:ascii="Calibri" w:eastAsia="Times New Roman" w:hAnsi="Calibri" w:cs="Calibri"/>
                <w:b/>
                <w:bCs/>
                <w:lang w:val="en-GB" w:eastAsia="en-GB"/>
              </w:rPr>
            </w:pPr>
            <w:r w:rsidRPr="001C0C4B">
              <w:rPr>
                <w:rFonts w:ascii="Calibri" w:eastAsia="Times New Roman" w:hAnsi="Calibri" w:cs="Calibri"/>
                <w:b/>
                <w:bCs/>
                <w:lang w:val="en-GB" w:eastAsia="en-GB"/>
              </w:rPr>
              <w:lastRenderedPageBreak/>
              <w:t xml:space="preserve">Interventions </w:t>
            </w:r>
          </w:p>
        </w:tc>
        <w:tc>
          <w:tcPr>
            <w:tcW w:w="7010" w:type="dxa"/>
            <w:gridSpan w:val="2"/>
            <w:tcBorders>
              <w:top w:val="outset" w:sz="6" w:space="0" w:color="auto"/>
              <w:left w:val="outset" w:sz="6" w:space="0" w:color="auto"/>
              <w:bottom w:val="single" w:sz="6" w:space="0" w:color="auto"/>
              <w:right w:val="single" w:sz="6" w:space="0" w:color="auto"/>
            </w:tcBorders>
            <w:shd w:val="clear" w:color="auto" w:fill="auto"/>
            <w:hideMark/>
          </w:tcPr>
          <w:p w14:paraId="0698A677" w14:textId="256C68EE" w:rsidR="000A5C24" w:rsidRPr="001C0C4B" w:rsidRDefault="79931DBD" w:rsidP="002B251D">
            <w:pPr>
              <w:jc w:val="thaiDistribute"/>
              <w:rPr>
                <w:rFonts w:ascii="Calibri" w:eastAsia="Calibri" w:hAnsi="Calibri" w:cs="Calibri"/>
                <w:lang w:val="en-GB"/>
              </w:rPr>
            </w:pPr>
            <w:r w:rsidRPr="001C0C4B">
              <w:rPr>
                <w:rFonts w:ascii="Calibri" w:eastAsia="Calibri" w:hAnsi="Calibri" w:cs="Calibri"/>
                <w:lang w:val="en-GB"/>
              </w:rPr>
              <w:t>The</w:t>
            </w:r>
            <w:r w:rsidR="000A5C24" w:rsidRPr="001C0C4B">
              <w:rPr>
                <w:rFonts w:ascii="Calibri" w:eastAsia="Calibri" w:hAnsi="Calibri" w:cs="Calibri"/>
                <w:lang w:val="en-GB"/>
              </w:rPr>
              <w:t xml:space="preserve"> platform trial will assess drugs</w:t>
            </w:r>
            <w:r w:rsidR="00864E5E" w:rsidRPr="001C0C4B">
              <w:rPr>
                <w:rFonts w:ascii="Calibri" w:eastAsia="Calibri" w:hAnsi="Calibri" w:cs="Calibri"/>
                <w:lang w:val="en-GB"/>
              </w:rPr>
              <w:t xml:space="preserve"> with potential SARS-CoV</w:t>
            </w:r>
            <w:r w:rsidR="00C070B5" w:rsidRPr="001C0C4B">
              <w:rPr>
                <w:rFonts w:ascii="Calibri" w:eastAsia="Calibri" w:hAnsi="Calibri" w:cs="Calibri"/>
                <w:lang w:val="en-GB"/>
              </w:rPr>
              <w:t>-</w:t>
            </w:r>
            <w:r w:rsidR="00864E5E" w:rsidRPr="001C0C4B">
              <w:rPr>
                <w:rFonts w:ascii="Calibri" w:eastAsia="Calibri" w:hAnsi="Calibri" w:cs="Calibri"/>
                <w:lang w:val="en-GB"/>
              </w:rPr>
              <w:t>2 antiviral activity</w:t>
            </w:r>
            <w:r w:rsidR="2DE1953C" w:rsidRPr="001C0C4B">
              <w:rPr>
                <w:rFonts w:ascii="Calibri" w:eastAsia="Calibri" w:hAnsi="Calibri" w:cs="Calibri"/>
                <w:lang w:val="en-GB"/>
              </w:rPr>
              <w:t xml:space="preserve"> of three</w:t>
            </w:r>
            <w:r w:rsidR="00D67D11" w:rsidRPr="001C0C4B">
              <w:rPr>
                <w:rFonts w:ascii="Calibri" w:eastAsia="Calibri" w:hAnsi="Calibri" w:cs="Calibri"/>
                <w:lang w:val="en-GB"/>
              </w:rPr>
              <w:t xml:space="preserve"> general </w:t>
            </w:r>
            <w:r w:rsidR="2DE1953C" w:rsidRPr="001C0C4B">
              <w:rPr>
                <w:rFonts w:ascii="Calibri" w:eastAsia="Calibri" w:hAnsi="Calibri" w:cs="Calibri"/>
                <w:lang w:val="en-GB"/>
              </w:rPr>
              <w:t>types:</w:t>
            </w:r>
          </w:p>
          <w:p w14:paraId="6C7E6D8D" w14:textId="2557F185" w:rsidR="0E614CB2" w:rsidRPr="001C0C4B" w:rsidRDefault="00424FDD" w:rsidP="002B251D">
            <w:pPr>
              <w:pStyle w:val="ListParagraph"/>
              <w:numPr>
                <w:ilvl w:val="0"/>
                <w:numId w:val="2"/>
              </w:numPr>
              <w:jc w:val="thaiDistribute"/>
              <w:rPr>
                <w:rFonts w:ascii="Calibri" w:hAnsi="Calibri"/>
                <w:lang w:val="en-GB"/>
              </w:rPr>
            </w:pPr>
            <w:r w:rsidRPr="001C0C4B">
              <w:rPr>
                <w:rFonts w:ascii="Calibri" w:hAnsi="Calibri"/>
                <w:lang w:val="en-GB"/>
              </w:rPr>
              <w:t xml:space="preserve">Newly available and repurposed </w:t>
            </w:r>
            <w:r w:rsidR="00D67D11" w:rsidRPr="001C0C4B">
              <w:rPr>
                <w:rFonts w:ascii="Calibri" w:eastAsia="Calibri" w:hAnsi="Calibri" w:cs="Calibri"/>
                <w:lang w:val="en-GB"/>
              </w:rPr>
              <w:t xml:space="preserve">potential </w:t>
            </w:r>
            <w:r w:rsidR="5D5CA430" w:rsidRPr="001C0C4B">
              <w:rPr>
                <w:rFonts w:ascii="Calibri" w:eastAsia="Calibri" w:hAnsi="Calibri" w:cs="Calibri"/>
                <w:lang w:val="en-GB"/>
              </w:rPr>
              <w:t>antiviral drugs (</w:t>
            </w:r>
            <w:r w:rsidR="000028F0" w:rsidRPr="001C0C4B">
              <w:rPr>
                <w:rFonts w:ascii="Calibri" w:eastAsia="Calibri" w:hAnsi="Calibri" w:cs="Calibri"/>
                <w:lang w:val="en-GB"/>
              </w:rPr>
              <w:t>see appendix 2</w:t>
            </w:r>
            <w:r w:rsidR="001D7E0A" w:rsidRPr="001C0C4B">
              <w:rPr>
                <w:rFonts w:ascii="Calibri" w:eastAsia="Calibri" w:hAnsi="Calibri" w:cs="Calibri"/>
                <w:lang w:val="en-GB"/>
              </w:rPr>
              <w:t xml:space="preserve">) </w:t>
            </w:r>
            <w:r w:rsidR="5D5CA430" w:rsidRPr="001C0C4B">
              <w:rPr>
                <w:rFonts w:ascii="Calibri" w:eastAsia="Calibri" w:hAnsi="Calibri" w:cs="Calibri"/>
                <w:lang w:val="en-GB"/>
              </w:rPr>
              <w:t>initially</w:t>
            </w:r>
            <w:r w:rsidR="00D67D11" w:rsidRPr="001C0C4B">
              <w:rPr>
                <w:rFonts w:ascii="Calibri" w:eastAsia="Calibri" w:hAnsi="Calibri" w:cs="Calibri"/>
                <w:lang w:val="en-GB"/>
              </w:rPr>
              <w:t xml:space="preserve"> from</w:t>
            </w:r>
            <w:r w:rsidR="5D5CA430" w:rsidRPr="001C0C4B">
              <w:rPr>
                <w:rFonts w:ascii="Calibri" w:eastAsia="Calibri" w:hAnsi="Calibri" w:cs="Calibri"/>
                <w:lang w:val="en-GB"/>
              </w:rPr>
              <w:t xml:space="preserve">: hydroxychloroquine, ivermectin, </w:t>
            </w:r>
            <w:r w:rsidR="007207D5" w:rsidRPr="001C0C4B">
              <w:rPr>
                <w:rFonts w:ascii="Calibri" w:eastAsia="Calibri" w:hAnsi="Calibri" w:cs="Calibri"/>
                <w:lang w:val="en-GB"/>
              </w:rPr>
              <w:t>lopinavir/ ritonavir, fluoxetine</w:t>
            </w:r>
            <w:r w:rsidRPr="001C0C4B">
              <w:rPr>
                <w:rFonts w:ascii="Calibri" w:eastAsia="Calibri" w:hAnsi="Calibri" w:cs="Calibri"/>
                <w:lang w:val="en-GB"/>
              </w:rPr>
              <w:t>, fluvoxamine</w:t>
            </w:r>
            <w:r w:rsidR="5D5CA430" w:rsidRPr="001C0C4B">
              <w:rPr>
                <w:rFonts w:ascii="Calibri" w:eastAsia="Calibri" w:hAnsi="Calibri" w:cs="Calibri"/>
                <w:lang w:val="en-GB"/>
              </w:rPr>
              <w:t>, miglustat, remdesivir, nitazox</w:t>
            </w:r>
            <w:r w:rsidR="00C070B5" w:rsidRPr="001C0C4B">
              <w:rPr>
                <w:rFonts w:ascii="Calibri" w:eastAsia="Calibri" w:hAnsi="Calibri" w:cs="Calibri"/>
                <w:lang w:val="en-GB"/>
              </w:rPr>
              <w:t>a</w:t>
            </w:r>
            <w:r w:rsidR="5D5CA430" w:rsidRPr="001C0C4B">
              <w:rPr>
                <w:rFonts w:ascii="Calibri" w:eastAsia="Calibri" w:hAnsi="Calibri" w:cs="Calibri"/>
                <w:lang w:val="en-GB"/>
              </w:rPr>
              <w:t>nide</w:t>
            </w:r>
            <w:r w:rsidR="000678D1" w:rsidRPr="001C0C4B">
              <w:rPr>
                <w:rFonts w:ascii="Calibri" w:eastAsia="Calibri" w:hAnsi="Calibri" w:cs="Calibri"/>
                <w:lang w:val="en-GB"/>
              </w:rPr>
              <w:t xml:space="preserve">, </w:t>
            </w:r>
            <w:r w:rsidR="00553731" w:rsidRPr="001C0C4B">
              <w:rPr>
                <w:rFonts w:ascii="Calibri" w:eastAsia="Calibri" w:hAnsi="Calibri" w:cs="Calibri"/>
                <w:lang w:val="en-GB"/>
              </w:rPr>
              <w:t xml:space="preserve">nebulised unfractionated </w:t>
            </w:r>
            <w:r w:rsidR="000678D1" w:rsidRPr="001C0C4B">
              <w:rPr>
                <w:rFonts w:ascii="Calibri" w:eastAsia="Calibri" w:hAnsi="Calibri" w:cs="Calibri"/>
                <w:lang w:val="en-GB"/>
              </w:rPr>
              <w:t>heparin</w:t>
            </w:r>
            <w:r w:rsidR="006803BE" w:rsidRPr="001C0C4B">
              <w:rPr>
                <w:rFonts w:ascii="Calibri" w:eastAsia="Calibri" w:hAnsi="Calibri" w:cs="Calibri"/>
                <w:lang w:val="en-GB"/>
              </w:rPr>
              <w:t xml:space="preserve"> (UFH)</w:t>
            </w:r>
            <w:r w:rsidR="002F7561" w:rsidRPr="001C0C4B">
              <w:rPr>
                <w:rFonts w:ascii="Calibri" w:eastAsia="Calibri" w:hAnsi="Calibri" w:cs="Calibri"/>
                <w:lang w:val="en-GB"/>
              </w:rPr>
              <w:t xml:space="preserve">, </w:t>
            </w:r>
            <w:r w:rsidR="00590E8F" w:rsidRPr="001C0C4B">
              <w:rPr>
                <w:rFonts w:ascii="Calibri" w:eastAsia="Calibri" w:hAnsi="Calibri" w:cs="Calibri"/>
                <w:lang w:val="en-GB"/>
              </w:rPr>
              <w:t>f</w:t>
            </w:r>
            <w:r w:rsidR="002F7561" w:rsidRPr="001C0C4B">
              <w:rPr>
                <w:rFonts w:ascii="Calibri" w:eastAsia="Calibri" w:hAnsi="Calibri" w:cs="Calibri"/>
                <w:lang w:val="en-GB"/>
              </w:rPr>
              <w:t>avipiravir</w:t>
            </w:r>
            <w:r w:rsidRPr="001C0C4B">
              <w:rPr>
                <w:rFonts w:ascii="Calibri" w:eastAsia="Calibri" w:hAnsi="Calibri" w:cs="Calibri"/>
                <w:lang w:val="en-GB"/>
              </w:rPr>
              <w:t>, molnupiravir, nirmatrelvir/ritonavir</w:t>
            </w:r>
            <w:r w:rsidR="5D5CA430" w:rsidRPr="001C0C4B">
              <w:rPr>
                <w:rFonts w:ascii="Calibri" w:hAnsi="Calibri"/>
                <w:lang w:val="en-GB"/>
              </w:rPr>
              <w:t>)</w:t>
            </w:r>
            <w:r w:rsidR="001D7E0A" w:rsidRPr="001C0C4B">
              <w:rPr>
                <w:rFonts w:ascii="Calibri" w:hAnsi="Calibri"/>
                <w:lang w:val="en-GB"/>
              </w:rPr>
              <w:t>, ensitrelvir</w:t>
            </w:r>
            <w:r w:rsidR="00FA0217" w:rsidRPr="001C0C4B">
              <w:rPr>
                <w:rFonts w:ascii="Calibri" w:hAnsi="Calibri"/>
              </w:rPr>
              <w:t xml:space="preserve"> and a combination of molnupiravir and </w:t>
            </w:r>
            <w:r w:rsidR="00D559D3" w:rsidRPr="001C0C4B">
              <w:rPr>
                <w:rFonts w:ascii="Calibri" w:hAnsi="Calibri"/>
              </w:rPr>
              <w:t>n</w:t>
            </w:r>
            <w:r w:rsidR="00FA0217" w:rsidRPr="001C0C4B">
              <w:rPr>
                <w:rFonts w:ascii="Calibri" w:hAnsi="Calibri"/>
              </w:rPr>
              <w:t>irmatrelvir/</w:t>
            </w:r>
            <w:r w:rsidR="00D559D3" w:rsidRPr="001C0C4B">
              <w:rPr>
                <w:rFonts w:ascii="Calibri" w:hAnsi="Calibri"/>
              </w:rPr>
              <w:t>r</w:t>
            </w:r>
            <w:r w:rsidR="00FA0217" w:rsidRPr="001C0C4B">
              <w:rPr>
                <w:rFonts w:ascii="Calibri" w:hAnsi="Calibri"/>
              </w:rPr>
              <w:t>itonavir</w:t>
            </w:r>
            <w:r w:rsidR="00A92487" w:rsidRPr="001C0C4B">
              <w:rPr>
                <w:rFonts w:ascii="Calibri" w:hAnsi="Calibri"/>
                <w:lang w:val="en-GB"/>
              </w:rPr>
              <w:t>.</w:t>
            </w:r>
          </w:p>
          <w:p w14:paraId="1A45118E" w14:textId="39D94DBD" w:rsidR="0E614CB2" w:rsidRPr="001C0C4B" w:rsidRDefault="00455BE0" w:rsidP="002B251D">
            <w:pPr>
              <w:pStyle w:val="ListParagraph"/>
              <w:numPr>
                <w:ilvl w:val="0"/>
                <w:numId w:val="2"/>
              </w:numPr>
              <w:jc w:val="thaiDistribute"/>
              <w:rPr>
                <w:rFonts w:ascii="Calibri" w:hAnsi="Calibri" w:cs="Calibri"/>
                <w:lang w:val="en-GB"/>
              </w:rPr>
            </w:pPr>
            <w:r w:rsidRPr="001C0C4B">
              <w:rPr>
                <w:rFonts w:ascii="Calibri" w:eastAsia="Calibri" w:hAnsi="Calibri" w:cs="Calibri"/>
                <w:lang w:val="en-GB"/>
              </w:rPr>
              <w:t>P</w:t>
            </w:r>
            <w:r w:rsidR="5D5CA430" w:rsidRPr="001C0C4B">
              <w:rPr>
                <w:rFonts w:ascii="Calibri" w:eastAsia="Calibri" w:hAnsi="Calibri" w:cs="Calibri"/>
                <w:lang w:val="en-GB"/>
              </w:rPr>
              <w:t>ositive control</w:t>
            </w:r>
            <w:r w:rsidRPr="001C0C4B">
              <w:rPr>
                <w:rFonts w:ascii="Calibri" w:eastAsia="Calibri" w:hAnsi="Calibri" w:cs="Calibri"/>
                <w:lang w:val="en-GB"/>
              </w:rPr>
              <w:t>: monoclonal antibod</w:t>
            </w:r>
            <w:r w:rsidR="000C1FEE" w:rsidRPr="001C0C4B">
              <w:rPr>
                <w:rFonts w:ascii="Calibri" w:eastAsia="Calibri" w:hAnsi="Calibri" w:cs="Calibri"/>
                <w:lang w:val="en-GB"/>
              </w:rPr>
              <w:t>ies</w:t>
            </w:r>
            <w:r w:rsidRPr="001C0C4B">
              <w:rPr>
                <w:rFonts w:ascii="Calibri" w:eastAsia="Calibri" w:hAnsi="Calibri" w:cs="Calibri"/>
                <w:lang w:val="en-GB"/>
              </w:rPr>
              <w:t xml:space="preserve"> </w:t>
            </w:r>
            <w:r w:rsidR="0067727E" w:rsidRPr="001C0C4B">
              <w:rPr>
                <w:rFonts w:ascii="Calibri" w:eastAsia="Calibri" w:hAnsi="Calibri" w:cs="Calibri"/>
                <w:lang w:val="en-GB"/>
              </w:rPr>
              <w:t>i</w:t>
            </w:r>
            <w:r w:rsidR="0067727E" w:rsidRPr="001C0C4B">
              <w:rPr>
                <w:rFonts w:eastAsia="Calibri"/>
                <w:lang w:val="en-GB"/>
              </w:rPr>
              <w:t>nitially</w:t>
            </w:r>
            <w:r w:rsidR="00D755CA" w:rsidRPr="001C0C4B">
              <w:rPr>
                <w:rFonts w:eastAsia="Calibri"/>
                <w:lang w:val="en-GB"/>
              </w:rPr>
              <w:t xml:space="preserve"> but subsequently any therapeutic that is shown to accelerate the rate of viral clearance</w:t>
            </w:r>
          </w:p>
          <w:p w14:paraId="77B26C09" w14:textId="461D411E" w:rsidR="003719EB" w:rsidRPr="00392441" w:rsidRDefault="5D5CA430" w:rsidP="008951FF">
            <w:pPr>
              <w:pStyle w:val="ListParagraph"/>
              <w:numPr>
                <w:ilvl w:val="0"/>
                <w:numId w:val="2"/>
              </w:numPr>
              <w:jc w:val="thaiDistribute"/>
              <w:rPr>
                <w:rFonts w:ascii="Calibri" w:hAnsi="Calibri" w:cs="Calibri"/>
                <w:lang w:val="en-GB"/>
              </w:rPr>
            </w:pPr>
            <w:r w:rsidRPr="001C0C4B">
              <w:rPr>
                <w:rFonts w:ascii="Calibri" w:hAnsi="Calibri"/>
                <w:lang w:val="en-GB"/>
              </w:rPr>
              <w:t>N</w:t>
            </w:r>
            <w:r w:rsidR="123520B8" w:rsidRPr="001C0C4B">
              <w:rPr>
                <w:rFonts w:ascii="Calibri" w:hAnsi="Calibri"/>
                <w:lang w:val="en-GB"/>
              </w:rPr>
              <w:t>ovel</w:t>
            </w:r>
            <w:r w:rsidRPr="001C0C4B">
              <w:rPr>
                <w:rFonts w:ascii="Calibri" w:eastAsia="Calibri" w:hAnsi="Calibri" w:cs="Calibri"/>
                <w:lang w:val="en-GB"/>
              </w:rPr>
              <w:t xml:space="preserve"> small molecule drugs that have gone through phase 1 testing</w:t>
            </w:r>
          </w:p>
        </w:tc>
      </w:tr>
      <w:tr w:rsidR="00D23D22" w:rsidRPr="001C0C4B" w14:paraId="5B0E113F" w14:textId="77777777" w:rsidTr="00EE2E8E">
        <w:tc>
          <w:tcPr>
            <w:tcW w:w="2624" w:type="dxa"/>
            <w:tcBorders>
              <w:top w:val="outset" w:sz="6" w:space="0" w:color="auto"/>
              <w:left w:val="single" w:sz="6" w:space="0" w:color="auto"/>
              <w:bottom w:val="single" w:sz="6" w:space="0" w:color="auto"/>
              <w:right w:val="single" w:sz="6" w:space="0" w:color="auto"/>
            </w:tcBorders>
            <w:shd w:val="clear" w:color="auto" w:fill="auto"/>
            <w:hideMark/>
          </w:tcPr>
          <w:p w14:paraId="0E529774" w14:textId="056F7E28" w:rsidR="000A5C24" w:rsidRPr="001C0C4B" w:rsidRDefault="000A5C24" w:rsidP="000A5C24">
            <w:pPr>
              <w:spacing w:line="240" w:lineRule="auto"/>
              <w:rPr>
                <w:rFonts w:ascii="Calibri" w:eastAsia="Times New Roman" w:hAnsi="Calibri" w:cs="Calibri"/>
                <w:b/>
                <w:bCs/>
                <w:lang w:val="en-GB" w:eastAsia="en-GB"/>
              </w:rPr>
            </w:pPr>
            <w:r w:rsidRPr="001C0C4B">
              <w:rPr>
                <w:rFonts w:ascii="Calibri" w:eastAsia="Times New Roman" w:hAnsi="Calibri" w:cs="Calibri"/>
                <w:b/>
                <w:bCs/>
                <w:lang w:val="en-GB" w:eastAsia="en-GB"/>
              </w:rPr>
              <w:t xml:space="preserve">Control </w:t>
            </w:r>
          </w:p>
        </w:tc>
        <w:tc>
          <w:tcPr>
            <w:tcW w:w="7010" w:type="dxa"/>
            <w:gridSpan w:val="2"/>
            <w:tcBorders>
              <w:top w:val="outset" w:sz="6" w:space="0" w:color="auto"/>
              <w:left w:val="outset" w:sz="6" w:space="0" w:color="auto"/>
              <w:bottom w:val="single" w:sz="6" w:space="0" w:color="auto"/>
              <w:right w:val="single" w:sz="6" w:space="0" w:color="auto"/>
            </w:tcBorders>
            <w:shd w:val="clear" w:color="auto" w:fill="auto"/>
            <w:hideMark/>
          </w:tcPr>
          <w:p w14:paraId="6163237C" w14:textId="0AEDF7FB" w:rsidR="000A5C24" w:rsidRPr="001C0C4B" w:rsidRDefault="000A5C24" w:rsidP="002B251D">
            <w:pPr>
              <w:spacing w:line="240" w:lineRule="auto"/>
              <w:jc w:val="thaiDistribute"/>
              <w:rPr>
                <w:rFonts w:ascii="Calibri" w:eastAsia="Times New Roman" w:hAnsi="Calibri" w:cs="Calibri"/>
                <w:lang w:val="en-GB" w:eastAsia="en-GB"/>
              </w:rPr>
            </w:pPr>
            <w:r w:rsidRPr="001C0C4B">
              <w:rPr>
                <w:rFonts w:ascii="Calibri" w:eastAsia="Times New Roman" w:hAnsi="Calibri" w:cs="Calibri"/>
                <w:lang w:val="en-GB" w:eastAsia="en-GB"/>
              </w:rPr>
              <w:t xml:space="preserve">No </w:t>
            </w:r>
            <w:r w:rsidR="00B96F79" w:rsidRPr="001C0C4B">
              <w:rPr>
                <w:rFonts w:ascii="Calibri" w:eastAsia="Times New Roman" w:hAnsi="Calibri" w:cs="Calibri"/>
                <w:lang w:val="en-GB" w:eastAsia="en-GB"/>
              </w:rPr>
              <w:t xml:space="preserve">antiviral </w:t>
            </w:r>
            <w:r w:rsidRPr="001C0C4B">
              <w:rPr>
                <w:rFonts w:ascii="Calibri" w:eastAsia="Times New Roman" w:hAnsi="Calibri" w:cs="Calibri"/>
                <w:lang w:val="en-GB" w:eastAsia="en-GB"/>
              </w:rPr>
              <w:t>treatment (</w:t>
            </w:r>
            <w:r w:rsidR="00B96F79" w:rsidRPr="001C0C4B">
              <w:rPr>
                <w:rFonts w:ascii="Calibri" w:eastAsia="Times New Roman" w:hAnsi="Calibri" w:cs="Calibri"/>
                <w:lang w:val="en-GB" w:eastAsia="en-GB"/>
              </w:rPr>
              <w:t>although local hospital supportive treatment will remain the same</w:t>
            </w:r>
            <w:r w:rsidR="00334D18" w:rsidRPr="001C0C4B">
              <w:rPr>
                <w:rFonts w:ascii="Calibri" w:eastAsia="Times New Roman" w:hAnsi="Calibri" w:cs="Calibri"/>
                <w:lang w:val="en-GB" w:eastAsia="en-GB"/>
              </w:rPr>
              <w:t xml:space="preserve"> e.g. antipyretics, anti-tussives, antihistamines, vitamins etc</w:t>
            </w:r>
            <w:r w:rsidR="00D9296B" w:rsidRPr="001C0C4B">
              <w:rPr>
                <w:rFonts w:ascii="Calibri" w:eastAsia="Times New Roman" w:hAnsi="Calibri" w:cs="Calibri"/>
                <w:lang w:val="en-GB" w:eastAsia="en-GB"/>
              </w:rPr>
              <w:t xml:space="preserve"> as per the treating Physician’s judgement</w:t>
            </w:r>
            <w:r w:rsidRPr="001C0C4B">
              <w:rPr>
                <w:rFonts w:ascii="Calibri" w:eastAsia="Times New Roman" w:hAnsi="Calibri" w:cs="Calibri"/>
                <w:lang w:val="en-GB" w:eastAsia="en-GB"/>
              </w:rPr>
              <w:t>)</w:t>
            </w:r>
          </w:p>
        </w:tc>
      </w:tr>
      <w:tr w:rsidR="00D23D22" w:rsidRPr="001C0C4B" w14:paraId="43AC2B38" w14:textId="77777777" w:rsidTr="00EE2E8E">
        <w:tc>
          <w:tcPr>
            <w:tcW w:w="2624" w:type="dxa"/>
            <w:tcBorders>
              <w:top w:val="outset" w:sz="6" w:space="0" w:color="auto"/>
              <w:left w:val="single" w:sz="6" w:space="0" w:color="auto"/>
              <w:bottom w:val="single" w:sz="6" w:space="0" w:color="auto"/>
              <w:right w:val="single" w:sz="6" w:space="0" w:color="auto"/>
            </w:tcBorders>
            <w:shd w:val="clear" w:color="auto" w:fill="auto"/>
          </w:tcPr>
          <w:p w14:paraId="2CFDF219" w14:textId="6900C75E" w:rsidR="003A7AF9" w:rsidRPr="001C0C4B" w:rsidRDefault="003A7AF9" w:rsidP="000A5C24">
            <w:pPr>
              <w:spacing w:line="240" w:lineRule="auto"/>
              <w:rPr>
                <w:rFonts w:eastAsia="Times New Roman" w:cstheme="minorHAnsi"/>
                <w:b/>
                <w:bCs/>
                <w:lang w:val="en-GB" w:eastAsia="en-GB"/>
              </w:rPr>
            </w:pPr>
            <w:r w:rsidRPr="001C0C4B">
              <w:rPr>
                <w:rFonts w:eastAsia="Times New Roman" w:cstheme="minorHAnsi"/>
                <w:b/>
                <w:lang w:val="en-GB" w:eastAsia="en-GB"/>
              </w:rPr>
              <w:t>Rationale</w:t>
            </w:r>
          </w:p>
        </w:tc>
        <w:tc>
          <w:tcPr>
            <w:tcW w:w="7010" w:type="dxa"/>
            <w:gridSpan w:val="2"/>
            <w:tcBorders>
              <w:top w:val="outset" w:sz="6" w:space="0" w:color="auto"/>
              <w:left w:val="outset" w:sz="6" w:space="0" w:color="auto"/>
              <w:bottom w:val="single" w:sz="6" w:space="0" w:color="auto"/>
              <w:right w:val="single" w:sz="6" w:space="0" w:color="auto"/>
            </w:tcBorders>
            <w:shd w:val="clear" w:color="auto" w:fill="auto"/>
          </w:tcPr>
          <w:p w14:paraId="032B898D" w14:textId="77777777" w:rsidR="003A7AF9" w:rsidRPr="001C0C4B" w:rsidRDefault="003A7AF9" w:rsidP="002B251D">
            <w:pPr>
              <w:spacing w:after="0" w:line="240" w:lineRule="auto"/>
              <w:jc w:val="thaiDistribute"/>
              <w:textAlignment w:val="baseline"/>
              <w:rPr>
                <w:rFonts w:eastAsia="Times New Roman" w:cstheme="minorHAnsi"/>
                <w:lang w:val="en-GB" w:eastAsia="en-GB"/>
              </w:rPr>
            </w:pPr>
            <w:r w:rsidRPr="001C0C4B">
              <w:rPr>
                <w:rFonts w:eastAsia="Times New Roman" w:cstheme="minorHAnsi"/>
                <w:lang w:val="en-GB" w:eastAsia="en-GB"/>
              </w:rPr>
              <w:t>Each intervention type has a different objective:</w:t>
            </w:r>
          </w:p>
          <w:p w14:paraId="38489D25" w14:textId="08877604" w:rsidR="003A7AF9" w:rsidRPr="001C0C4B" w:rsidRDefault="00424FDD" w:rsidP="002B251D">
            <w:pPr>
              <w:pStyle w:val="ListParagraph"/>
              <w:numPr>
                <w:ilvl w:val="0"/>
                <w:numId w:val="1"/>
              </w:numPr>
              <w:spacing w:after="0" w:line="240" w:lineRule="auto"/>
              <w:jc w:val="thaiDistribute"/>
              <w:textAlignment w:val="baseline"/>
              <w:rPr>
                <w:rFonts w:eastAsiaTheme="minorEastAsia" w:cstheme="minorHAnsi"/>
                <w:lang w:val="en-GB" w:eastAsia="en-GB"/>
              </w:rPr>
            </w:pPr>
            <w:r w:rsidRPr="001C0C4B">
              <w:rPr>
                <w:lang w:val="en-GB"/>
              </w:rPr>
              <w:t>Newly available and r</w:t>
            </w:r>
            <w:r w:rsidR="003A7AF9" w:rsidRPr="001C0C4B">
              <w:rPr>
                <w:lang w:val="en-GB"/>
              </w:rPr>
              <w:t>epurposed</w:t>
            </w:r>
            <w:r w:rsidR="003A7AF9" w:rsidRPr="001C0C4B">
              <w:rPr>
                <w:rFonts w:eastAsia="Times New Roman" w:cstheme="minorHAnsi"/>
                <w:lang w:val="en-GB" w:eastAsia="en-GB"/>
              </w:rPr>
              <w:t xml:space="preserve"> drugs are already </w:t>
            </w:r>
            <w:r w:rsidRPr="001C0C4B">
              <w:rPr>
                <w:lang w:val="en-GB"/>
              </w:rPr>
              <w:t>used and</w:t>
            </w:r>
            <w:r w:rsidRPr="001C0C4B">
              <w:rPr>
                <w:rFonts w:eastAsia="Times New Roman" w:cstheme="minorHAnsi"/>
                <w:lang w:val="en-GB" w:eastAsia="en-GB"/>
              </w:rPr>
              <w:t xml:space="preserve"> </w:t>
            </w:r>
            <w:r w:rsidR="003A7AF9" w:rsidRPr="001C0C4B">
              <w:rPr>
                <w:rFonts w:eastAsia="Times New Roman" w:cstheme="minorHAnsi"/>
                <w:lang w:val="en-GB" w:eastAsia="en-GB"/>
              </w:rPr>
              <w:t>recommended in some countries. Showing that they do not have significant antiviral activity is as important as showing that they do.</w:t>
            </w:r>
            <w:r w:rsidR="001F7EED" w:rsidRPr="001C0C4B">
              <w:rPr>
                <w:rFonts w:eastAsia="Times New Roman" w:cstheme="minorHAnsi"/>
                <w:lang w:val="en-GB" w:eastAsia="en-GB"/>
              </w:rPr>
              <w:t xml:space="preserve"> </w:t>
            </w:r>
            <w:r w:rsidR="001F7EED" w:rsidRPr="001C0C4B">
              <w:rPr>
                <w:lang w:val="en-GB"/>
              </w:rPr>
              <w:t>For the newly approved antivirals, comparing antiviral activities in-vivo will inform health authorities’ recommendations</w:t>
            </w:r>
            <w:r w:rsidR="001F7EED" w:rsidRPr="001C0C4B">
              <w:rPr>
                <w:rFonts w:eastAsia="Times New Roman" w:cstheme="minorHAnsi"/>
                <w:lang w:val="en-GB" w:eastAsia="en-GB"/>
              </w:rPr>
              <w:t>.</w:t>
            </w:r>
          </w:p>
          <w:p w14:paraId="54C173C0" w14:textId="3E57A99F" w:rsidR="003A7AF9" w:rsidRPr="001C0C4B" w:rsidRDefault="00B3765B" w:rsidP="002B251D">
            <w:pPr>
              <w:pStyle w:val="ListParagraph"/>
              <w:numPr>
                <w:ilvl w:val="0"/>
                <w:numId w:val="1"/>
              </w:numPr>
              <w:spacing w:after="0" w:line="240" w:lineRule="auto"/>
              <w:jc w:val="thaiDistribute"/>
              <w:rPr>
                <w:rFonts w:cstheme="minorHAnsi"/>
                <w:lang w:val="en-GB" w:eastAsia="en-GB"/>
              </w:rPr>
            </w:pPr>
            <w:r w:rsidRPr="001C0C4B">
              <w:rPr>
                <w:rFonts w:eastAsia="Times New Roman" w:cstheme="minorHAnsi"/>
                <w:lang w:val="en-GB" w:eastAsia="en-GB"/>
              </w:rPr>
              <w:t xml:space="preserve">Positive control: </w:t>
            </w:r>
            <w:r w:rsidR="003A7AF9" w:rsidRPr="001C0C4B">
              <w:rPr>
                <w:rFonts w:eastAsia="Times New Roman" w:cstheme="minorHAnsi"/>
                <w:lang w:val="en-GB" w:eastAsia="en-GB"/>
              </w:rPr>
              <w:t xml:space="preserve">There is good evidence from phase 2 studies that monoclonal antibodies reduce viral load </w:t>
            </w:r>
            <w:r w:rsidR="00D67D11" w:rsidRPr="001C0C4B">
              <w:rPr>
                <w:rFonts w:eastAsia="Times New Roman" w:cstheme="minorHAnsi"/>
                <w:lang w:val="en-GB" w:eastAsia="en-GB"/>
              </w:rPr>
              <w:t xml:space="preserve">in COVID-19 </w:t>
            </w:r>
            <w:r w:rsidR="003A7AF9" w:rsidRPr="001C0C4B">
              <w:rPr>
                <w:rFonts w:eastAsia="Times New Roman" w:cstheme="minorHAnsi"/>
                <w:lang w:val="en-GB" w:eastAsia="en-GB"/>
              </w:rPr>
              <w:t xml:space="preserve">with </w:t>
            </w:r>
            <w:r w:rsidR="00FF4137" w:rsidRPr="001C0C4B">
              <w:rPr>
                <w:rFonts w:eastAsia="Times New Roman" w:cstheme="minorHAnsi"/>
                <w:lang w:val="en-GB" w:eastAsia="en-GB"/>
              </w:rPr>
              <w:t xml:space="preserve">some </w:t>
            </w:r>
            <w:r w:rsidR="003A7AF9" w:rsidRPr="001C0C4B">
              <w:rPr>
                <w:rFonts w:eastAsia="Times New Roman" w:cstheme="minorHAnsi"/>
                <w:lang w:val="en-GB" w:eastAsia="en-GB"/>
              </w:rPr>
              <w:t xml:space="preserve">evidence that they reduce hospitalisation in high-risk individuals. </w:t>
            </w:r>
            <w:r w:rsidR="00D67D11" w:rsidRPr="001C0C4B">
              <w:rPr>
                <w:rFonts w:eastAsia="Times New Roman" w:cstheme="minorHAnsi"/>
                <w:lang w:val="en-GB" w:eastAsia="en-GB"/>
              </w:rPr>
              <w:t>However, m</w:t>
            </w:r>
            <w:r w:rsidR="00FF4137" w:rsidRPr="001C0C4B">
              <w:rPr>
                <w:rFonts w:eastAsia="Times New Roman" w:cstheme="minorHAnsi"/>
                <w:lang w:val="en-GB" w:eastAsia="en-GB"/>
              </w:rPr>
              <w:t xml:space="preserve">onoclonal antibodies are vulnerable to viral escape mutations. </w:t>
            </w:r>
            <w:r w:rsidR="003A7AF9" w:rsidRPr="001C0C4B">
              <w:rPr>
                <w:rFonts w:eastAsia="Times New Roman" w:cstheme="minorHAnsi"/>
                <w:lang w:val="en-GB" w:eastAsia="en-GB"/>
              </w:rPr>
              <w:t xml:space="preserve">Tracking their performance over time is important to </w:t>
            </w:r>
            <w:r w:rsidR="005D275C" w:rsidRPr="001C0C4B">
              <w:rPr>
                <w:rFonts w:eastAsia="Times New Roman" w:cstheme="minorHAnsi"/>
                <w:lang w:val="en-GB" w:eastAsia="en-GB"/>
              </w:rPr>
              <w:t>characterise</w:t>
            </w:r>
            <w:r w:rsidR="003A7AF9" w:rsidRPr="001C0C4B">
              <w:rPr>
                <w:rFonts w:eastAsia="Times New Roman" w:cstheme="minorHAnsi"/>
                <w:lang w:val="en-GB" w:eastAsia="en-GB"/>
              </w:rPr>
              <w:t xml:space="preserve"> the impact </w:t>
            </w:r>
            <w:r w:rsidR="00D67D11" w:rsidRPr="001C0C4B">
              <w:rPr>
                <w:rFonts w:eastAsia="Times New Roman" w:cstheme="minorHAnsi"/>
                <w:lang w:val="en-GB" w:eastAsia="en-GB"/>
              </w:rPr>
              <w:t xml:space="preserve">and inform the therapeutics </w:t>
            </w:r>
            <w:r w:rsidR="003A7AF9" w:rsidRPr="001C0C4B">
              <w:rPr>
                <w:rFonts w:eastAsia="Times New Roman" w:cstheme="minorHAnsi"/>
                <w:lang w:val="en-GB" w:eastAsia="en-GB"/>
              </w:rPr>
              <w:t>of mutant SARS-CoV-2 strains</w:t>
            </w:r>
            <w:r w:rsidR="005D275C" w:rsidRPr="001C0C4B">
              <w:rPr>
                <w:rFonts w:eastAsia="Times New Roman" w:cstheme="minorHAnsi"/>
                <w:lang w:val="en-GB" w:eastAsia="en-GB"/>
              </w:rPr>
              <w:t xml:space="preserve">. </w:t>
            </w:r>
            <w:r w:rsidR="004572B0" w:rsidRPr="001C0C4B">
              <w:rPr>
                <w:rFonts w:eastAsia="Times New Roman" w:cstheme="minorHAnsi"/>
                <w:lang w:val="en-GB" w:eastAsia="en-GB"/>
              </w:rPr>
              <w:t xml:space="preserve">This will also be important for other antivirals. </w:t>
            </w:r>
            <w:r w:rsidR="00FF4137" w:rsidRPr="001C0C4B">
              <w:rPr>
                <w:rFonts w:eastAsia="Times New Roman" w:cstheme="minorHAnsi"/>
                <w:lang w:val="en-GB" w:eastAsia="en-GB"/>
              </w:rPr>
              <w:t xml:space="preserve">Monoclonal antibodies </w:t>
            </w:r>
            <w:r w:rsidR="007E0D10" w:rsidRPr="001C0C4B">
              <w:rPr>
                <w:rFonts w:eastAsia="Times New Roman" w:cstheme="minorHAnsi"/>
                <w:lang w:val="en-GB" w:eastAsia="en-GB"/>
              </w:rPr>
              <w:t xml:space="preserve">are </w:t>
            </w:r>
            <w:r w:rsidR="005D275C" w:rsidRPr="001C0C4B">
              <w:rPr>
                <w:rFonts w:eastAsia="Times New Roman" w:cstheme="minorHAnsi"/>
                <w:lang w:val="en-GB" w:eastAsia="en-GB"/>
              </w:rPr>
              <w:t>expensive and cannot be produced at large scale currently, but this may change in the near future.</w:t>
            </w:r>
            <w:r w:rsidR="00233374" w:rsidRPr="001C0C4B">
              <w:rPr>
                <w:rFonts w:eastAsia="Times New Roman" w:cstheme="minorHAnsi"/>
                <w:lang w:val="en-GB" w:eastAsia="en-GB"/>
              </w:rPr>
              <w:t xml:space="preserve"> </w:t>
            </w:r>
            <w:r w:rsidR="000E7161" w:rsidRPr="001C0C4B">
              <w:rPr>
                <w:rFonts w:eastAsia="Times New Roman" w:cstheme="minorHAnsi"/>
                <w:lang w:val="en-GB" w:eastAsia="en-GB"/>
              </w:rPr>
              <w:t xml:space="preserve">Not all these therapeutics </w:t>
            </w:r>
            <w:r w:rsidR="00B83F15" w:rsidRPr="001C0C4B">
              <w:rPr>
                <w:rFonts w:eastAsia="Times New Roman" w:cstheme="minorHAnsi"/>
                <w:lang w:val="en-GB" w:eastAsia="en-GB"/>
              </w:rPr>
              <w:t>may be available early in the study, and will be included if there is local availability and regulatory approval.</w:t>
            </w:r>
          </w:p>
          <w:p w14:paraId="253D81E0" w14:textId="5F30ED48" w:rsidR="00CE1074" w:rsidRPr="001C0C4B" w:rsidRDefault="005D275C" w:rsidP="00CE1074">
            <w:pPr>
              <w:pStyle w:val="ListParagraph"/>
              <w:numPr>
                <w:ilvl w:val="0"/>
                <w:numId w:val="1"/>
              </w:numPr>
              <w:spacing w:after="0" w:line="240" w:lineRule="auto"/>
              <w:jc w:val="thaiDistribute"/>
              <w:rPr>
                <w:rFonts w:cstheme="minorHAnsi"/>
                <w:lang w:val="en-GB" w:eastAsia="en-GB"/>
              </w:rPr>
            </w:pPr>
            <w:r w:rsidRPr="001C0C4B">
              <w:rPr>
                <w:lang w:val="en-GB"/>
              </w:rPr>
              <w:t>New</w:t>
            </w:r>
            <w:r w:rsidRPr="001C0C4B">
              <w:rPr>
                <w:rFonts w:eastAsia="Times New Roman" w:cstheme="minorHAnsi"/>
                <w:lang w:val="en-GB" w:eastAsia="en-GB"/>
              </w:rPr>
              <w:t xml:space="preserve"> small molecule drugs in development that pass phase 1 testing will have a stronger rationale</w:t>
            </w:r>
            <w:r w:rsidR="00A568CE" w:rsidRPr="001C0C4B">
              <w:rPr>
                <w:rFonts w:eastAsia="Times New Roman" w:cstheme="minorHAnsi"/>
                <w:lang w:val="en-GB" w:eastAsia="en-GB"/>
              </w:rPr>
              <w:t xml:space="preserve"> (i.e. </w:t>
            </w:r>
            <w:r w:rsidR="00A568CE" w:rsidRPr="001C0C4B">
              <w:rPr>
                <w:rFonts w:eastAsia="Times New Roman" w:cstheme="minorHAnsi"/>
                <w:i/>
                <w:iCs/>
                <w:lang w:val="en-GB" w:eastAsia="en-GB"/>
              </w:rPr>
              <w:t>a priori</w:t>
            </w:r>
            <w:r w:rsidR="00A568CE" w:rsidRPr="001C0C4B">
              <w:rPr>
                <w:rFonts w:eastAsia="Times New Roman" w:cstheme="minorHAnsi"/>
                <w:lang w:val="en-GB" w:eastAsia="en-GB"/>
              </w:rPr>
              <w:t xml:space="preserve"> </w:t>
            </w:r>
            <w:r w:rsidR="545DFF61" w:rsidRPr="001C0C4B">
              <w:rPr>
                <w:rFonts w:eastAsia="Times New Roman" w:cstheme="minorHAnsi"/>
                <w:lang w:val="en-GB" w:eastAsia="en-GB"/>
              </w:rPr>
              <w:t xml:space="preserve">are </w:t>
            </w:r>
            <w:r w:rsidR="00A568CE" w:rsidRPr="001C0C4B">
              <w:rPr>
                <w:rFonts w:eastAsia="Times New Roman" w:cstheme="minorHAnsi"/>
                <w:lang w:val="en-GB" w:eastAsia="en-GB"/>
              </w:rPr>
              <w:t>more likely to be effective)</w:t>
            </w:r>
            <w:r w:rsidRPr="001C0C4B">
              <w:rPr>
                <w:rFonts w:eastAsia="Times New Roman" w:cstheme="minorHAnsi"/>
                <w:lang w:val="en-GB" w:eastAsia="en-GB"/>
              </w:rPr>
              <w:t xml:space="preserve"> </w:t>
            </w:r>
            <w:r w:rsidR="00A568CE" w:rsidRPr="001C0C4B">
              <w:rPr>
                <w:rFonts w:eastAsia="Times New Roman" w:cstheme="minorHAnsi"/>
                <w:lang w:val="en-GB" w:eastAsia="en-GB"/>
              </w:rPr>
              <w:t>compared to</w:t>
            </w:r>
            <w:r w:rsidRPr="001C0C4B">
              <w:rPr>
                <w:rFonts w:eastAsia="Times New Roman" w:cstheme="minorHAnsi"/>
                <w:lang w:val="en-GB" w:eastAsia="en-GB"/>
              </w:rPr>
              <w:t xml:space="preserve"> repurposed drugs. Rapidl</w:t>
            </w:r>
            <w:r w:rsidR="00A568CE" w:rsidRPr="001C0C4B">
              <w:rPr>
                <w:rFonts w:eastAsia="Times New Roman" w:cstheme="minorHAnsi"/>
                <w:lang w:val="en-GB" w:eastAsia="en-GB"/>
              </w:rPr>
              <w:t xml:space="preserve">y identifying the most effective candidate and the optimal dosing for phase 3 trials is the </w:t>
            </w:r>
            <w:r w:rsidR="00D67D11" w:rsidRPr="001C0C4B">
              <w:rPr>
                <w:rFonts w:eastAsia="Times New Roman" w:cstheme="minorHAnsi"/>
                <w:lang w:val="en-GB" w:eastAsia="en-GB"/>
              </w:rPr>
              <w:t xml:space="preserve">ultimate </w:t>
            </w:r>
            <w:r w:rsidR="00A568CE" w:rsidRPr="001C0C4B">
              <w:rPr>
                <w:lang w:val="en-GB"/>
              </w:rPr>
              <w:t>goal.</w:t>
            </w:r>
            <w:r w:rsidR="00D67D11" w:rsidRPr="001C0C4B">
              <w:rPr>
                <w:lang w:val="en-GB"/>
              </w:rPr>
              <w:t xml:space="preserve"> </w:t>
            </w:r>
          </w:p>
        </w:tc>
      </w:tr>
      <w:tr w:rsidR="00D23D22" w:rsidRPr="001C0C4B" w14:paraId="7B8821DB" w14:textId="77777777" w:rsidTr="00EE2E8E">
        <w:trPr>
          <w:trHeight w:val="300"/>
        </w:trPr>
        <w:tc>
          <w:tcPr>
            <w:tcW w:w="2624" w:type="dxa"/>
            <w:tcBorders>
              <w:top w:val="outset" w:sz="6" w:space="0" w:color="auto"/>
              <w:left w:val="single" w:sz="6" w:space="0" w:color="auto"/>
              <w:bottom w:val="single" w:sz="6" w:space="0" w:color="auto"/>
              <w:right w:val="single" w:sz="6" w:space="0" w:color="auto"/>
            </w:tcBorders>
            <w:shd w:val="clear" w:color="auto" w:fill="auto"/>
          </w:tcPr>
          <w:p w14:paraId="530AA04F" w14:textId="7DEB5517" w:rsidR="00864E5E" w:rsidRPr="001C0C4B" w:rsidRDefault="00864E5E" w:rsidP="000A5C24">
            <w:pPr>
              <w:spacing w:after="0" w:line="240" w:lineRule="auto"/>
              <w:textAlignment w:val="baseline"/>
              <w:rPr>
                <w:rFonts w:eastAsia="Times New Roman" w:cstheme="minorHAnsi"/>
                <w:b/>
                <w:lang w:val="en-GB" w:eastAsia="en-GB"/>
              </w:rPr>
            </w:pPr>
          </w:p>
        </w:tc>
        <w:tc>
          <w:tcPr>
            <w:tcW w:w="3667" w:type="dxa"/>
            <w:tcBorders>
              <w:top w:val="outset" w:sz="6" w:space="0" w:color="auto"/>
              <w:left w:val="outset" w:sz="6" w:space="0" w:color="auto"/>
              <w:bottom w:val="single" w:sz="6" w:space="0" w:color="auto"/>
              <w:right w:val="single" w:sz="6" w:space="0" w:color="auto"/>
            </w:tcBorders>
            <w:shd w:val="clear" w:color="auto" w:fill="auto"/>
          </w:tcPr>
          <w:p w14:paraId="59B4E1EC" w14:textId="33BD3D74" w:rsidR="00864E5E" w:rsidRPr="001C0C4B" w:rsidRDefault="00864E5E" w:rsidP="000A5C24">
            <w:pPr>
              <w:spacing w:after="0" w:line="240" w:lineRule="auto"/>
              <w:textAlignment w:val="baseline"/>
              <w:rPr>
                <w:rFonts w:eastAsia="Times New Roman" w:cstheme="minorHAnsi"/>
                <w:b/>
                <w:bCs/>
                <w:lang w:val="en-GB" w:eastAsia="en-GB"/>
              </w:rPr>
            </w:pPr>
            <w:r w:rsidRPr="001C0C4B">
              <w:rPr>
                <w:rFonts w:eastAsia="Times New Roman" w:cstheme="minorHAnsi"/>
                <w:b/>
                <w:bCs/>
                <w:lang w:val="en-GB" w:eastAsia="en-GB"/>
              </w:rPr>
              <w:t xml:space="preserve"> </w:t>
            </w:r>
            <w:r w:rsidR="003A7AF9" w:rsidRPr="001C0C4B">
              <w:rPr>
                <w:rFonts w:eastAsia="Times New Roman" w:cstheme="minorHAnsi"/>
                <w:b/>
                <w:bCs/>
                <w:lang w:val="en-GB" w:eastAsia="en-GB"/>
              </w:rPr>
              <w:t>Objectives</w:t>
            </w:r>
          </w:p>
        </w:tc>
        <w:tc>
          <w:tcPr>
            <w:tcW w:w="3343" w:type="dxa"/>
            <w:tcBorders>
              <w:top w:val="outset" w:sz="6" w:space="0" w:color="auto"/>
              <w:left w:val="outset" w:sz="6" w:space="0" w:color="auto"/>
              <w:bottom w:val="single" w:sz="6" w:space="0" w:color="auto"/>
              <w:right w:val="single" w:sz="6" w:space="0" w:color="auto"/>
            </w:tcBorders>
            <w:shd w:val="clear" w:color="auto" w:fill="auto"/>
          </w:tcPr>
          <w:p w14:paraId="0B4BF1CE" w14:textId="332E061E" w:rsidR="00864E5E" w:rsidRPr="001C0C4B" w:rsidRDefault="003A7AF9" w:rsidP="000A5C24">
            <w:pPr>
              <w:spacing w:after="0" w:line="240" w:lineRule="auto"/>
              <w:textAlignment w:val="baseline"/>
              <w:rPr>
                <w:rFonts w:eastAsia="Times New Roman" w:cstheme="minorHAnsi"/>
                <w:b/>
                <w:bCs/>
                <w:lang w:val="en-GB" w:eastAsia="en-GB"/>
              </w:rPr>
            </w:pPr>
            <w:r w:rsidRPr="001C0C4B">
              <w:rPr>
                <w:rFonts w:eastAsia="Times New Roman" w:cstheme="minorHAnsi"/>
                <w:b/>
                <w:bCs/>
                <w:lang w:val="en-GB" w:eastAsia="en-GB"/>
              </w:rPr>
              <w:t>Endpoint</w:t>
            </w:r>
          </w:p>
        </w:tc>
      </w:tr>
      <w:tr w:rsidR="00D23D22" w:rsidRPr="001C0C4B" w14:paraId="13880852" w14:textId="77777777" w:rsidTr="00EE2E8E">
        <w:trPr>
          <w:trHeight w:val="300"/>
        </w:trPr>
        <w:tc>
          <w:tcPr>
            <w:tcW w:w="2624" w:type="dxa"/>
            <w:tcBorders>
              <w:top w:val="outset" w:sz="6" w:space="0" w:color="auto"/>
              <w:left w:val="single" w:sz="6" w:space="0" w:color="auto"/>
              <w:bottom w:val="single" w:sz="6" w:space="0" w:color="auto"/>
              <w:right w:val="single" w:sz="6" w:space="0" w:color="auto"/>
            </w:tcBorders>
            <w:shd w:val="clear" w:color="auto" w:fill="auto"/>
            <w:hideMark/>
          </w:tcPr>
          <w:p w14:paraId="0140FEC4" w14:textId="77777777" w:rsidR="000A5C24" w:rsidRPr="001C0C4B" w:rsidRDefault="000A5C24" w:rsidP="000A5C24">
            <w:pPr>
              <w:spacing w:after="0" w:line="240" w:lineRule="auto"/>
              <w:textAlignment w:val="baseline"/>
              <w:rPr>
                <w:rFonts w:eastAsia="Times New Roman" w:cstheme="minorHAnsi"/>
                <w:lang w:val="en-GB" w:eastAsia="en-GB"/>
              </w:rPr>
            </w:pPr>
            <w:r w:rsidRPr="001C0C4B">
              <w:rPr>
                <w:rFonts w:eastAsia="Times New Roman" w:cstheme="minorHAnsi"/>
                <w:b/>
                <w:bCs/>
                <w:lang w:val="en-GB" w:eastAsia="en-GB"/>
              </w:rPr>
              <w:t>Primary</w:t>
            </w:r>
            <w:r w:rsidRPr="001C0C4B">
              <w:rPr>
                <w:rFonts w:eastAsia="Times New Roman" w:cstheme="minorHAnsi"/>
                <w:lang w:val="en-GB" w:eastAsia="en-GB"/>
              </w:rPr>
              <w:t> </w:t>
            </w:r>
          </w:p>
          <w:p w14:paraId="357A6664" w14:textId="77777777" w:rsidR="000A5C24" w:rsidRPr="001C0C4B" w:rsidRDefault="000A5C24" w:rsidP="000A5C24">
            <w:pPr>
              <w:spacing w:after="0" w:line="240" w:lineRule="auto"/>
              <w:textAlignment w:val="baseline"/>
              <w:rPr>
                <w:rFonts w:eastAsia="Times New Roman" w:cstheme="minorHAnsi"/>
                <w:lang w:val="en-GB" w:eastAsia="en-GB"/>
              </w:rPr>
            </w:pPr>
            <w:r w:rsidRPr="001C0C4B">
              <w:rPr>
                <w:rFonts w:eastAsia="Times New Roman" w:cstheme="minorHAnsi"/>
                <w:lang w:val="en-GB" w:eastAsia="en-GB"/>
              </w:rPr>
              <w:t> </w:t>
            </w:r>
          </w:p>
        </w:tc>
        <w:tc>
          <w:tcPr>
            <w:tcW w:w="3667" w:type="dxa"/>
            <w:tcBorders>
              <w:top w:val="outset" w:sz="6" w:space="0" w:color="auto"/>
              <w:left w:val="outset" w:sz="6" w:space="0" w:color="auto"/>
              <w:bottom w:val="single" w:sz="6" w:space="0" w:color="auto"/>
              <w:right w:val="single" w:sz="6" w:space="0" w:color="auto"/>
            </w:tcBorders>
            <w:shd w:val="clear" w:color="auto" w:fill="auto"/>
            <w:hideMark/>
          </w:tcPr>
          <w:p w14:paraId="1D6EF710" w14:textId="3B5F0B8A" w:rsidR="00BA1B95" w:rsidRPr="001C0C4B" w:rsidRDefault="004B2A04" w:rsidP="009E06F8">
            <w:pPr>
              <w:pStyle w:val="ListParagraph"/>
              <w:numPr>
                <w:ilvl w:val="0"/>
                <w:numId w:val="12"/>
              </w:numPr>
              <w:spacing w:after="0" w:line="240" w:lineRule="auto"/>
              <w:textAlignment w:val="baseline"/>
              <w:rPr>
                <w:color w:val="000000" w:themeColor="text1"/>
                <w:u w:val="single"/>
                <w:lang w:val="en-GB"/>
              </w:rPr>
            </w:pPr>
            <w:r w:rsidRPr="001C0C4B">
              <w:rPr>
                <w:color w:val="000000" w:themeColor="text1"/>
                <w:u w:val="single"/>
                <w:lang w:val="en-GB"/>
              </w:rPr>
              <w:t xml:space="preserve">For </w:t>
            </w:r>
            <w:r w:rsidR="00741612" w:rsidRPr="001C0C4B">
              <w:rPr>
                <w:color w:val="000000" w:themeColor="text1"/>
                <w:u w:val="single"/>
                <w:lang w:val="en-GB"/>
              </w:rPr>
              <w:t xml:space="preserve">newly available and </w:t>
            </w:r>
            <w:r w:rsidRPr="001C0C4B">
              <w:rPr>
                <w:color w:val="000000" w:themeColor="text1"/>
                <w:u w:val="single"/>
                <w:lang w:val="en-GB"/>
              </w:rPr>
              <w:t>repurposed drugs</w:t>
            </w:r>
          </w:p>
          <w:p w14:paraId="62D57748" w14:textId="5C54C359" w:rsidR="000A5C24" w:rsidRPr="001C0C4B" w:rsidRDefault="00BA1B95" w:rsidP="00BA2F5B">
            <w:pPr>
              <w:pStyle w:val="ListParagraph"/>
              <w:spacing w:after="0" w:line="240" w:lineRule="auto"/>
              <w:textAlignment w:val="baseline"/>
              <w:rPr>
                <w:color w:val="000000" w:themeColor="text1"/>
                <w:lang w:val="en-GB"/>
              </w:rPr>
            </w:pPr>
            <w:r w:rsidRPr="001C0C4B">
              <w:rPr>
                <w:color w:val="000000" w:themeColor="text1"/>
                <w:lang w:val="en-GB"/>
              </w:rPr>
              <w:t>To evaluate COVID-19 antiviral</w:t>
            </w:r>
            <w:r w:rsidR="004B2A04" w:rsidRPr="001C0C4B">
              <w:rPr>
                <w:color w:val="000000" w:themeColor="text1"/>
                <w:lang w:val="en-GB"/>
              </w:rPr>
              <w:t xml:space="preserve"> </w:t>
            </w:r>
            <w:r w:rsidR="000A5C24" w:rsidRPr="001C0C4B">
              <w:rPr>
                <w:color w:val="000000" w:themeColor="text1"/>
                <w:lang w:val="en-GB"/>
              </w:rPr>
              <w:t xml:space="preserve">efficacy </w:t>
            </w:r>
            <w:r w:rsidR="00777E80" w:rsidRPr="001C0C4B">
              <w:rPr>
                <w:color w:val="000000" w:themeColor="text1"/>
                <w:u w:val="single"/>
                <w:lang w:val="en-GB"/>
              </w:rPr>
              <w:t xml:space="preserve">in-vivo </w:t>
            </w:r>
          </w:p>
          <w:p w14:paraId="02D57DBE" w14:textId="2658BFC9" w:rsidR="00BA1B95" w:rsidRPr="001C0C4B" w:rsidRDefault="004B2A04" w:rsidP="009E06F8">
            <w:pPr>
              <w:pStyle w:val="ListParagraph"/>
              <w:numPr>
                <w:ilvl w:val="0"/>
                <w:numId w:val="12"/>
              </w:numPr>
              <w:spacing w:after="0" w:line="240" w:lineRule="auto"/>
              <w:textAlignment w:val="baseline"/>
              <w:rPr>
                <w:color w:val="000000" w:themeColor="text1"/>
                <w:u w:val="single"/>
                <w:lang w:val="en-GB"/>
              </w:rPr>
            </w:pPr>
            <w:r w:rsidRPr="001C0C4B">
              <w:rPr>
                <w:color w:val="000000" w:themeColor="text1"/>
                <w:u w:val="single"/>
                <w:lang w:val="en-GB"/>
              </w:rPr>
              <w:t>For positive controls (</w:t>
            </w:r>
            <w:r w:rsidR="00741612" w:rsidRPr="001C0C4B">
              <w:rPr>
                <w:color w:val="000000" w:themeColor="text1"/>
                <w:u w:val="single"/>
                <w:lang w:val="en-GB"/>
              </w:rPr>
              <w:t xml:space="preserve">e.g. </w:t>
            </w:r>
            <w:r w:rsidRPr="001C0C4B">
              <w:rPr>
                <w:color w:val="000000" w:themeColor="text1"/>
                <w:u w:val="single"/>
                <w:lang w:val="en-GB"/>
              </w:rPr>
              <w:t>monoclonal antibodies</w:t>
            </w:r>
            <w:r w:rsidR="0067727E" w:rsidRPr="001C0C4B">
              <w:rPr>
                <w:color w:val="000000" w:themeColor="text1"/>
                <w:u w:val="single"/>
                <w:lang w:val="en-GB"/>
              </w:rPr>
              <w:t>)</w:t>
            </w:r>
          </w:p>
          <w:p w14:paraId="09771F51" w14:textId="002353B8" w:rsidR="004B2A04" w:rsidRPr="001C0C4B" w:rsidRDefault="00BA1B95" w:rsidP="00BA2F5B">
            <w:pPr>
              <w:pStyle w:val="ListParagraph"/>
              <w:spacing w:after="0" w:line="240" w:lineRule="auto"/>
              <w:textAlignment w:val="baseline"/>
              <w:rPr>
                <w:color w:val="000000" w:themeColor="text1"/>
                <w:lang w:val="en-GB"/>
              </w:rPr>
            </w:pPr>
            <w:r w:rsidRPr="001C0C4B">
              <w:rPr>
                <w:color w:val="000000" w:themeColor="text1"/>
                <w:lang w:val="en-GB"/>
              </w:rPr>
              <w:t>T</w:t>
            </w:r>
            <w:r w:rsidR="004B2A04" w:rsidRPr="001C0C4B">
              <w:rPr>
                <w:color w:val="000000" w:themeColor="text1"/>
                <w:lang w:val="en-GB"/>
              </w:rPr>
              <w:t xml:space="preserve">o characterise </w:t>
            </w:r>
            <w:r w:rsidR="00DD3A17" w:rsidRPr="001C0C4B">
              <w:rPr>
                <w:rFonts w:cstheme="minorHAnsi"/>
                <w:color w:val="000000" w:themeColor="text1"/>
                <w:u w:val="single"/>
                <w:lang w:val="en-GB" w:eastAsia="en-GB"/>
              </w:rPr>
              <w:t>in-vivo</w:t>
            </w:r>
            <w:r w:rsidR="00DD3A17" w:rsidRPr="001C0C4B">
              <w:rPr>
                <w:rFonts w:cstheme="minorHAnsi"/>
                <w:color w:val="000000" w:themeColor="text1"/>
                <w:lang w:val="en-GB" w:eastAsia="en-GB"/>
              </w:rPr>
              <w:t xml:space="preserve"> </w:t>
            </w:r>
            <w:r w:rsidR="004B2A04" w:rsidRPr="001C0C4B">
              <w:rPr>
                <w:color w:val="000000" w:themeColor="text1"/>
                <w:lang w:val="en-GB"/>
              </w:rPr>
              <w:t xml:space="preserve">performance over time relative to </w:t>
            </w:r>
            <w:r w:rsidR="00864C72" w:rsidRPr="001C0C4B">
              <w:rPr>
                <w:color w:val="000000" w:themeColor="text1"/>
                <w:lang w:val="en-GB"/>
              </w:rPr>
              <w:t xml:space="preserve">the </w:t>
            </w:r>
            <w:r w:rsidR="00A75112" w:rsidRPr="001C0C4B">
              <w:rPr>
                <w:color w:val="000000" w:themeColor="text1"/>
                <w:lang w:val="en-GB"/>
              </w:rPr>
              <w:t xml:space="preserve">no antiviral treatment </w:t>
            </w:r>
            <w:r w:rsidR="004B2A04" w:rsidRPr="001C0C4B">
              <w:rPr>
                <w:color w:val="000000" w:themeColor="text1"/>
                <w:lang w:val="en-GB"/>
              </w:rPr>
              <w:t>control</w:t>
            </w:r>
          </w:p>
          <w:p w14:paraId="226697D2" w14:textId="77777777" w:rsidR="00BA1B95" w:rsidRPr="001C0C4B" w:rsidRDefault="004B2A04" w:rsidP="009E06F8">
            <w:pPr>
              <w:pStyle w:val="ListParagraph"/>
              <w:numPr>
                <w:ilvl w:val="0"/>
                <w:numId w:val="12"/>
              </w:numPr>
              <w:spacing w:after="0" w:line="240" w:lineRule="auto"/>
              <w:textAlignment w:val="baseline"/>
              <w:rPr>
                <w:color w:val="000000" w:themeColor="text1"/>
                <w:u w:val="single"/>
                <w:lang w:val="en-GB"/>
              </w:rPr>
            </w:pPr>
            <w:r w:rsidRPr="001C0C4B">
              <w:rPr>
                <w:color w:val="000000" w:themeColor="text1"/>
                <w:u w:val="single"/>
                <w:lang w:val="en-GB"/>
              </w:rPr>
              <w:t>For novel small molecule drugs</w:t>
            </w:r>
          </w:p>
          <w:p w14:paraId="33B6E538" w14:textId="351A0BB4" w:rsidR="004B2A04" w:rsidRPr="001C0C4B" w:rsidRDefault="00BA1B95" w:rsidP="00DF0E74">
            <w:pPr>
              <w:pStyle w:val="ListParagraph"/>
              <w:spacing w:after="0" w:line="240" w:lineRule="auto"/>
              <w:textAlignment w:val="baseline"/>
              <w:rPr>
                <w:rFonts w:cstheme="minorHAnsi"/>
                <w:lang w:val="en-GB" w:eastAsia="en-GB"/>
              </w:rPr>
            </w:pPr>
            <w:r w:rsidRPr="001C0C4B">
              <w:rPr>
                <w:color w:val="000000" w:themeColor="text1"/>
                <w:lang w:val="en-GB"/>
              </w:rPr>
              <w:lastRenderedPageBreak/>
              <w:t xml:space="preserve">To evaluate COVID-19 antiviral </w:t>
            </w:r>
            <w:r w:rsidR="004B2A04" w:rsidRPr="001C0C4B">
              <w:rPr>
                <w:color w:val="000000" w:themeColor="text1"/>
                <w:lang w:val="en-GB"/>
              </w:rPr>
              <w:t>efficacy</w:t>
            </w:r>
            <w:r w:rsidR="007E0D10" w:rsidRPr="001C0C4B">
              <w:rPr>
                <w:color w:val="000000" w:themeColor="text1"/>
                <w:lang w:val="en-GB"/>
              </w:rPr>
              <w:t xml:space="preserve"> </w:t>
            </w:r>
            <w:r w:rsidR="00777E80" w:rsidRPr="001C0C4B">
              <w:rPr>
                <w:color w:val="000000" w:themeColor="text1"/>
                <w:u w:val="single"/>
                <w:lang w:val="en-GB"/>
              </w:rPr>
              <w:t>in-vivo</w:t>
            </w:r>
            <w:r w:rsidR="00777E80" w:rsidRPr="001C0C4B">
              <w:rPr>
                <w:color w:val="000000" w:themeColor="text1"/>
                <w:lang w:val="en-GB"/>
              </w:rPr>
              <w:t xml:space="preserve"> </w:t>
            </w:r>
            <w:r w:rsidR="007E0D10" w:rsidRPr="001C0C4B">
              <w:rPr>
                <w:color w:val="000000" w:themeColor="text1"/>
                <w:lang w:val="en-GB"/>
              </w:rPr>
              <w:t>(accelerated viral clearance)</w:t>
            </w:r>
          </w:p>
        </w:tc>
        <w:tc>
          <w:tcPr>
            <w:tcW w:w="3343" w:type="dxa"/>
            <w:tcBorders>
              <w:top w:val="outset" w:sz="6" w:space="0" w:color="auto"/>
              <w:left w:val="outset" w:sz="6" w:space="0" w:color="auto"/>
              <w:bottom w:val="single" w:sz="6" w:space="0" w:color="auto"/>
              <w:right w:val="single" w:sz="6" w:space="0" w:color="auto"/>
            </w:tcBorders>
            <w:shd w:val="clear" w:color="auto" w:fill="auto"/>
            <w:hideMark/>
          </w:tcPr>
          <w:p w14:paraId="0A8460F3" w14:textId="27140BFC" w:rsidR="004B2A04" w:rsidRPr="001C0C4B" w:rsidRDefault="000A5C24" w:rsidP="004B2A04">
            <w:pPr>
              <w:spacing w:after="0" w:line="240" w:lineRule="auto"/>
              <w:textAlignment w:val="baseline"/>
              <w:rPr>
                <w:rFonts w:eastAsia="Times New Roman" w:cstheme="minorHAnsi"/>
                <w:lang w:val="en-GB" w:eastAsia="en-GB"/>
              </w:rPr>
            </w:pPr>
            <w:r w:rsidRPr="001C0C4B">
              <w:rPr>
                <w:rFonts w:eastAsia="Times New Roman" w:cstheme="minorHAnsi"/>
                <w:lang w:val="en-GB" w:eastAsia="en-GB"/>
              </w:rPr>
              <w:lastRenderedPageBreak/>
              <w:t>Rate of viral clearance</w:t>
            </w:r>
            <w:r w:rsidR="00F13E8E" w:rsidRPr="001C0C4B">
              <w:rPr>
                <w:rFonts w:eastAsia="Times New Roman" w:cstheme="minorHAnsi"/>
                <w:lang w:val="en-GB" w:eastAsia="en-GB"/>
              </w:rPr>
              <w:t xml:space="preserve">- </w:t>
            </w:r>
            <w:r w:rsidRPr="001C0C4B">
              <w:rPr>
                <w:rFonts w:eastAsia="Times New Roman" w:cstheme="minorHAnsi"/>
                <w:lang w:val="en-GB" w:eastAsia="en-GB"/>
              </w:rPr>
              <w:t xml:space="preserve">estimated from </w:t>
            </w:r>
            <w:r w:rsidR="00DD3A17" w:rsidRPr="001C0C4B">
              <w:rPr>
                <w:rFonts w:eastAsia="Times New Roman" w:cstheme="minorHAnsi"/>
                <w:lang w:val="en-GB" w:eastAsia="en-GB"/>
              </w:rPr>
              <w:t>the log</w:t>
            </w:r>
            <w:r w:rsidR="00DD3A17" w:rsidRPr="001C0C4B">
              <w:rPr>
                <w:rFonts w:eastAsia="Times New Roman" w:cstheme="minorHAnsi"/>
                <w:vertAlign w:val="subscript"/>
                <w:lang w:val="en-GB" w:eastAsia="en-GB"/>
              </w:rPr>
              <w:t xml:space="preserve">10 </w:t>
            </w:r>
            <w:r w:rsidR="00DD3A17" w:rsidRPr="001C0C4B">
              <w:rPr>
                <w:rFonts w:eastAsia="Times New Roman" w:cstheme="minorHAnsi"/>
                <w:lang w:val="en-GB" w:eastAsia="en-GB"/>
              </w:rPr>
              <w:t xml:space="preserve">viral </w:t>
            </w:r>
            <w:r w:rsidR="00311604" w:rsidRPr="001C0C4B">
              <w:rPr>
                <w:rFonts w:eastAsia="Times New Roman" w:cstheme="minorHAnsi"/>
                <w:lang w:val="en-GB" w:eastAsia="en-GB"/>
              </w:rPr>
              <w:t>density</w:t>
            </w:r>
            <w:r w:rsidRPr="001C0C4B">
              <w:rPr>
                <w:rFonts w:eastAsia="Times New Roman" w:cstheme="minorHAnsi"/>
                <w:lang w:val="en-GB" w:eastAsia="en-GB"/>
              </w:rPr>
              <w:t xml:space="preserve"> derived from qPCR of </w:t>
            </w:r>
            <w:r w:rsidR="00D67D11" w:rsidRPr="001C0C4B">
              <w:rPr>
                <w:rFonts w:eastAsia="Times New Roman" w:cstheme="minorHAnsi"/>
                <w:lang w:val="en-GB" w:eastAsia="en-GB"/>
              </w:rPr>
              <w:t xml:space="preserve">standardised </w:t>
            </w:r>
            <w:r w:rsidR="001F7EED" w:rsidRPr="001C0C4B">
              <w:rPr>
                <w:lang w:val="en-GB"/>
              </w:rPr>
              <w:t>duplicate</w:t>
            </w:r>
            <w:r w:rsidR="001F7EED" w:rsidRPr="001C0C4B">
              <w:rPr>
                <w:rFonts w:eastAsia="Times New Roman" w:cstheme="minorHAnsi"/>
                <w:lang w:val="en-GB" w:eastAsia="en-GB"/>
              </w:rPr>
              <w:t xml:space="preserve"> </w:t>
            </w:r>
            <w:r w:rsidRPr="001C0C4B">
              <w:rPr>
                <w:rFonts w:eastAsia="Times New Roman" w:cstheme="minorHAnsi"/>
                <w:lang w:val="en-GB" w:eastAsia="en-GB"/>
              </w:rPr>
              <w:t>oropharyngeal swabs</w:t>
            </w:r>
            <w:r w:rsidR="00312188" w:rsidRPr="001C0C4B">
              <w:rPr>
                <w:rFonts w:eastAsia="Times New Roman" w:cstheme="minorHAnsi"/>
                <w:lang w:val="en-GB" w:eastAsia="en-GB"/>
              </w:rPr>
              <w:t>/ saliva</w:t>
            </w:r>
            <w:r w:rsidRPr="001C0C4B">
              <w:rPr>
                <w:rFonts w:eastAsia="Times New Roman" w:cstheme="minorHAnsi"/>
                <w:lang w:val="en-GB" w:eastAsia="en-GB"/>
              </w:rPr>
              <w:t xml:space="preserve"> taken daily from baseline (day 0) to day 7</w:t>
            </w:r>
            <w:r w:rsidR="00B9552C" w:rsidRPr="001C0C4B">
              <w:rPr>
                <w:rFonts w:eastAsia="Times New Roman" w:cstheme="minorHAnsi"/>
                <w:lang w:val="en-GB" w:eastAsia="en-GB"/>
              </w:rPr>
              <w:t xml:space="preserve"> for each therapeutic arm compared with the </w:t>
            </w:r>
            <w:r w:rsidR="00A75112" w:rsidRPr="001C0C4B">
              <w:rPr>
                <w:rFonts w:eastAsia="Times New Roman" w:cstheme="minorHAnsi"/>
                <w:lang w:val="en-GB" w:eastAsia="en-GB"/>
              </w:rPr>
              <w:t>no antiviral treatment</w:t>
            </w:r>
            <w:r w:rsidR="009B1CD1" w:rsidRPr="001C0C4B">
              <w:rPr>
                <w:rFonts w:eastAsia="Times New Roman" w:cstheme="minorHAnsi"/>
                <w:lang w:val="en-GB" w:eastAsia="en-GB"/>
              </w:rPr>
              <w:t xml:space="preserve"> </w:t>
            </w:r>
            <w:r w:rsidR="00B9552C" w:rsidRPr="001C0C4B">
              <w:rPr>
                <w:rFonts w:eastAsia="Times New Roman" w:cstheme="minorHAnsi"/>
                <w:lang w:val="en-GB" w:eastAsia="en-GB"/>
              </w:rPr>
              <w:t>control</w:t>
            </w:r>
            <w:r w:rsidR="00294936" w:rsidRPr="001C0C4B">
              <w:rPr>
                <w:rFonts w:eastAsia="Times New Roman" w:cstheme="minorHAnsi"/>
                <w:lang w:val="en-GB" w:eastAsia="en-GB"/>
              </w:rPr>
              <w:t xml:space="preserve"> </w:t>
            </w:r>
            <w:r w:rsidR="009B1CD1" w:rsidRPr="001C0C4B">
              <w:rPr>
                <w:rFonts w:eastAsia="Times New Roman" w:cstheme="minorHAnsi"/>
                <w:lang w:val="en-GB" w:eastAsia="en-GB"/>
              </w:rPr>
              <w:t xml:space="preserve">i.e. </w:t>
            </w:r>
            <w:r w:rsidR="00D67D11" w:rsidRPr="001C0C4B">
              <w:rPr>
                <w:rFonts w:eastAsia="Times New Roman" w:cstheme="minorHAnsi"/>
                <w:lang w:val="en-GB" w:eastAsia="en-GB"/>
              </w:rPr>
              <w:t xml:space="preserve">those </w:t>
            </w:r>
            <w:r w:rsidR="00294936" w:rsidRPr="001C0C4B">
              <w:rPr>
                <w:rFonts w:eastAsia="Times New Roman" w:cstheme="minorHAnsi"/>
                <w:lang w:val="en-GB" w:eastAsia="en-GB"/>
              </w:rPr>
              <w:t>not receiving</w:t>
            </w:r>
            <w:r w:rsidR="005C3458" w:rsidRPr="001C0C4B">
              <w:rPr>
                <w:rFonts w:eastAsia="Times New Roman" w:cstheme="minorHAnsi"/>
                <w:lang w:val="en-GB" w:eastAsia="en-GB"/>
              </w:rPr>
              <w:t xml:space="preserve"> study drug</w:t>
            </w:r>
          </w:p>
        </w:tc>
      </w:tr>
      <w:tr w:rsidR="00D23D22" w:rsidRPr="001C0C4B" w14:paraId="7DFA75DE" w14:textId="77777777" w:rsidTr="00EE2E8E">
        <w:trPr>
          <w:trHeight w:val="420"/>
        </w:trPr>
        <w:tc>
          <w:tcPr>
            <w:tcW w:w="2624" w:type="dxa"/>
            <w:vMerge w:val="restart"/>
            <w:tcBorders>
              <w:top w:val="outset" w:sz="6" w:space="0" w:color="auto"/>
              <w:left w:val="single" w:sz="6" w:space="0" w:color="auto"/>
              <w:right w:val="single" w:sz="6" w:space="0" w:color="auto"/>
            </w:tcBorders>
            <w:shd w:val="clear" w:color="auto" w:fill="auto"/>
            <w:hideMark/>
          </w:tcPr>
          <w:p w14:paraId="64B3F48C" w14:textId="77777777" w:rsidR="00180BC6" w:rsidRPr="001C0C4B" w:rsidRDefault="00180BC6" w:rsidP="000A5C24">
            <w:pPr>
              <w:spacing w:after="0" w:line="240" w:lineRule="auto"/>
              <w:textAlignment w:val="baseline"/>
              <w:rPr>
                <w:rFonts w:eastAsia="Times New Roman" w:cstheme="minorHAnsi"/>
                <w:lang w:val="en-GB" w:eastAsia="en-GB"/>
              </w:rPr>
            </w:pPr>
            <w:r w:rsidRPr="001C0C4B">
              <w:rPr>
                <w:rFonts w:eastAsia="Times New Roman" w:cstheme="minorHAnsi"/>
                <w:b/>
                <w:bCs/>
                <w:lang w:val="en-GB" w:eastAsia="en-GB"/>
              </w:rPr>
              <w:t>Secondary</w:t>
            </w:r>
            <w:r w:rsidRPr="001C0C4B">
              <w:rPr>
                <w:rFonts w:eastAsia="Times New Roman" w:cstheme="minorHAnsi"/>
                <w:lang w:val="en-GB" w:eastAsia="en-GB"/>
              </w:rPr>
              <w:t> </w:t>
            </w:r>
          </w:p>
          <w:p w14:paraId="66B998FE" w14:textId="77777777" w:rsidR="00180BC6" w:rsidRPr="001C0C4B" w:rsidRDefault="00180BC6" w:rsidP="000A5C24">
            <w:pPr>
              <w:spacing w:after="0" w:line="240" w:lineRule="auto"/>
              <w:textAlignment w:val="baseline"/>
              <w:rPr>
                <w:rFonts w:eastAsia="Times New Roman" w:cstheme="minorHAnsi"/>
                <w:lang w:val="en-GB" w:eastAsia="en-GB"/>
              </w:rPr>
            </w:pPr>
            <w:r w:rsidRPr="001C0C4B">
              <w:rPr>
                <w:rFonts w:eastAsia="Times New Roman" w:cstheme="minorHAnsi"/>
                <w:lang w:val="en-GB" w:eastAsia="en-GB"/>
              </w:rPr>
              <w:t> </w:t>
            </w:r>
          </w:p>
        </w:tc>
        <w:tc>
          <w:tcPr>
            <w:tcW w:w="3667" w:type="dxa"/>
            <w:tcBorders>
              <w:top w:val="outset" w:sz="6" w:space="0" w:color="auto"/>
              <w:left w:val="outset" w:sz="6" w:space="0" w:color="auto"/>
              <w:bottom w:val="outset" w:sz="6" w:space="0" w:color="auto"/>
              <w:right w:val="single" w:sz="6" w:space="0" w:color="auto"/>
            </w:tcBorders>
            <w:shd w:val="clear" w:color="auto" w:fill="auto"/>
            <w:hideMark/>
          </w:tcPr>
          <w:p w14:paraId="792F24F5" w14:textId="0486078E" w:rsidR="00180BC6" w:rsidRPr="001C0C4B" w:rsidRDefault="00180BC6" w:rsidP="00BA2F5B">
            <w:pPr>
              <w:rPr>
                <w:rFonts w:eastAsiaTheme="minorEastAsia" w:cstheme="minorHAnsi"/>
                <w:lang w:val="en-GB" w:eastAsia="en-GB"/>
              </w:rPr>
            </w:pPr>
            <w:r w:rsidRPr="001C0C4B">
              <w:rPr>
                <w:rFonts w:cstheme="minorHAnsi"/>
                <w:lang w:val="en-GB"/>
              </w:rPr>
              <w:t xml:space="preserve">To characterise </w:t>
            </w:r>
            <w:r w:rsidRPr="001C0C4B" w:rsidDel="00CA0102">
              <w:rPr>
                <w:rFonts w:cstheme="minorHAnsi"/>
                <w:lang w:val="en-GB"/>
              </w:rPr>
              <w:t xml:space="preserve">the </w:t>
            </w:r>
            <w:r w:rsidRPr="001C0C4B">
              <w:rPr>
                <w:rFonts w:cstheme="minorHAnsi"/>
                <w:lang w:val="en-GB"/>
              </w:rPr>
              <w:t>determinants of viral kinetics in early COVID-19 disease</w:t>
            </w:r>
          </w:p>
        </w:tc>
        <w:tc>
          <w:tcPr>
            <w:tcW w:w="3343" w:type="dxa"/>
            <w:tcBorders>
              <w:top w:val="outset" w:sz="6" w:space="0" w:color="auto"/>
              <w:left w:val="outset" w:sz="6" w:space="0" w:color="auto"/>
              <w:bottom w:val="outset" w:sz="6" w:space="0" w:color="auto"/>
              <w:right w:val="single" w:sz="6" w:space="0" w:color="auto"/>
            </w:tcBorders>
            <w:shd w:val="clear" w:color="auto" w:fill="auto"/>
            <w:hideMark/>
          </w:tcPr>
          <w:p w14:paraId="2B1C767D" w14:textId="5D163518" w:rsidR="00180BC6" w:rsidRPr="001C0C4B" w:rsidRDefault="00180BC6" w:rsidP="004B2A04">
            <w:pPr>
              <w:spacing w:after="0" w:line="240" w:lineRule="auto"/>
              <w:textAlignment w:val="baseline"/>
              <w:rPr>
                <w:rFonts w:eastAsiaTheme="minorEastAsia" w:cstheme="minorHAnsi"/>
                <w:lang w:val="en-GB" w:eastAsia="en-GB"/>
              </w:rPr>
            </w:pPr>
            <w:r w:rsidRPr="001C0C4B">
              <w:rPr>
                <w:rFonts w:eastAsia="Times New Roman" w:cstheme="minorHAnsi"/>
                <w:lang w:val="en-GB" w:eastAsia="en-GB"/>
              </w:rPr>
              <w:t>Rate of viral clearance (as for primary endpoint)</w:t>
            </w:r>
          </w:p>
        </w:tc>
      </w:tr>
      <w:tr w:rsidR="00D23D22" w:rsidRPr="001C0C4B" w14:paraId="28991B31" w14:textId="77777777" w:rsidTr="00EE2E8E">
        <w:trPr>
          <w:trHeight w:val="420"/>
        </w:trPr>
        <w:tc>
          <w:tcPr>
            <w:tcW w:w="2624" w:type="dxa"/>
            <w:vMerge/>
            <w:tcBorders>
              <w:left w:val="single" w:sz="6" w:space="0" w:color="auto"/>
              <w:right w:val="single" w:sz="6" w:space="0" w:color="auto"/>
            </w:tcBorders>
            <w:shd w:val="clear" w:color="auto" w:fill="auto"/>
          </w:tcPr>
          <w:p w14:paraId="799AF8C0" w14:textId="77777777" w:rsidR="00180BC6" w:rsidRPr="001C0C4B" w:rsidRDefault="00180BC6" w:rsidP="000A5C24">
            <w:pPr>
              <w:spacing w:after="0" w:line="240" w:lineRule="auto"/>
              <w:textAlignment w:val="baseline"/>
              <w:rPr>
                <w:rFonts w:eastAsia="Times New Roman" w:cstheme="minorHAnsi"/>
                <w:b/>
                <w:bCs/>
                <w:lang w:val="en-GB" w:eastAsia="en-GB"/>
              </w:rPr>
            </w:pPr>
          </w:p>
        </w:tc>
        <w:tc>
          <w:tcPr>
            <w:tcW w:w="3667" w:type="dxa"/>
            <w:tcBorders>
              <w:top w:val="outset" w:sz="6" w:space="0" w:color="auto"/>
              <w:left w:val="outset" w:sz="6" w:space="0" w:color="auto"/>
              <w:bottom w:val="outset" w:sz="6" w:space="0" w:color="auto"/>
              <w:right w:val="single" w:sz="6" w:space="0" w:color="auto"/>
            </w:tcBorders>
            <w:shd w:val="clear" w:color="auto" w:fill="auto"/>
          </w:tcPr>
          <w:p w14:paraId="4945CEF7" w14:textId="0177C50F" w:rsidR="00180BC6" w:rsidRPr="001C0C4B" w:rsidRDefault="00180BC6" w:rsidP="00BA2F5B">
            <w:pPr>
              <w:rPr>
                <w:rFonts w:cstheme="minorHAnsi"/>
                <w:lang w:val="en-GB"/>
              </w:rPr>
            </w:pPr>
            <w:r w:rsidRPr="001C0C4B">
              <w:rPr>
                <w:rFonts w:cstheme="minorHAnsi"/>
                <w:lang w:val="en-GB"/>
              </w:rPr>
              <w:t xml:space="preserve">To determine optimal dosing regimens through pharmacometric assessment in antiviral drugs that </w:t>
            </w:r>
            <w:r w:rsidR="00657FCD" w:rsidRPr="001C0C4B">
              <w:rPr>
                <w:lang w:val="en-GB"/>
              </w:rPr>
              <w:t xml:space="preserve">are </w:t>
            </w:r>
            <w:r w:rsidRPr="001C0C4B">
              <w:rPr>
                <w:lang w:val="en-GB"/>
              </w:rPr>
              <w:t>show</w:t>
            </w:r>
            <w:r w:rsidR="00657FCD" w:rsidRPr="001C0C4B">
              <w:rPr>
                <w:lang w:val="en-GB"/>
              </w:rPr>
              <w:t>n to be effective i.e.</w:t>
            </w:r>
            <w:r w:rsidRPr="001C0C4B">
              <w:rPr>
                <w:rFonts w:cstheme="minorHAnsi"/>
                <w:lang w:val="en-GB"/>
              </w:rPr>
              <w:t xml:space="preserve"> a positive signal (&gt;90% probability of &gt;</w:t>
            </w:r>
            <w:r w:rsidR="00F40C14" w:rsidRPr="001C0C4B">
              <w:rPr>
                <w:rFonts w:cstheme="minorHAnsi"/>
                <w:lang w:val="en-GB"/>
              </w:rPr>
              <w:t>12.</w:t>
            </w:r>
            <w:r w:rsidRPr="001C0C4B">
              <w:rPr>
                <w:rFonts w:cstheme="minorHAnsi"/>
                <w:lang w:val="en-GB"/>
              </w:rPr>
              <w:t>5% acceleration in viral clearance)</w:t>
            </w:r>
            <w:r w:rsidR="00677E13" w:rsidRPr="001C0C4B">
              <w:rPr>
                <w:rFonts w:cstheme="minorHAnsi"/>
                <w:lang w:val="en-GB"/>
              </w:rPr>
              <w:t xml:space="preserve"> </w:t>
            </w:r>
            <w:r w:rsidR="00677E13" w:rsidRPr="001C0C4B">
              <w:rPr>
                <w:lang w:val="en-GB"/>
              </w:rPr>
              <w:t>or evidence of antiviral effects from other studies</w:t>
            </w:r>
            <w:r w:rsidR="00DD078D" w:rsidRPr="001C0C4B">
              <w:rPr>
                <w:lang w:val="en-GB"/>
              </w:rPr>
              <w:t xml:space="preserve"> (e.g. Molnupiravir, Nirmatrelvir/ritonavir)</w:t>
            </w:r>
          </w:p>
        </w:tc>
        <w:tc>
          <w:tcPr>
            <w:tcW w:w="3343" w:type="dxa"/>
            <w:tcBorders>
              <w:top w:val="outset" w:sz="6" w:space="0" w:color="auto"/>
              <w:left w:val="outset" w:sz="6" w:space="0" w:color="auto"/>
              <w:bottom w:val="outset" w:sz="6" w:space="0" w:color="auto"/>
              <w:right w:val="single" w:sz="6" w:space="0" w:color="auto"/>
            </w:tcBorders>
            <w:shd w:val="clear" w:color="auto" w:fill="auto"/>
          </w:tcPr>
          <w:p w14:paraId="1621C541" w14:textId="59E01C52" w:rsidR="00180BC6" w:rsidRPr="001C0C4B" w:rsidRDefault="00180BC6" w:rsidP="004B2A04">
            <w:pPr>
              <w:spacing w:after="0" w:line="240" w:lineRule="auto"/>
              <w:textAlignment w:val="baseline"/>
              <w:rPr>
                <w:rFonts w:eastAsia="Times New Roman" w:cstheme="minorHAnsi"/>
                <w:lang w:val="en-GB" w:eastAsia="en-GB"/>
              </w:rPr>
            </w:pPr>
            <w:r w:rsidRPr="001C0C4B">
              <w:rPr>
                <w:rFonts w:eastAsia="Times New Roman" w:cstheme="minorHAnsi"/>
                <w:lang w:val="en-GB" w:eastAsia="en-GB"/>
              </w:rPr>
              <w:t>Rate of viral clearance (as for primary endpoint)</w:t>
            </w:r>
          </w:p>
        </w:tc>
      </w:tr>
      <w:tr w:rsidR="00D23D22" w:rsidRPr="001C0C4B" w14:paraId="49F65E7C" w14:textId="77777777" w:rsidTr="00EE2E8E">
        <w:trPr>
          <w:trHeight w:val="420"/>
        </w:trPr>
        <w:tc>
          <w:tcPr>
            <w:tcW w:w="2624" w:type="dxa"/>
            <w:vMerge/>
            <w:tcBorders>
              <w:left w:val="single" w:sz="6" w:space="0" w:color="auto"/>
              <w:bottom w:val="outset" w:sz="6" w:space="0" w:color="auto"/>
              <w:right w:val="single" w:sz="6" w:space="0" w:color="auto"/>
            </w:tcBorders>
            <w:shd w:val="clear" w:color="auto" w:fill="auto"/>
          </w:tcPr>
          <w:p w14:paraId="2D2DC35C" w14:textId="77777777" w:rsidR="00180BC6" w:rsidRPr="001C0C4B" w:rsidRDefault="00180BC6" w:rsidP="000A5C24">
            <w:pPr>
              <w:spacing w:after="0" w:line="240" w:lineRule="auto"/>
              <w:textAlignment w:val="baseline"/>
              <w:rPr>
                <w:rFonts w:eastAsia="Times New Roman" w:cstheme="minorHAnsi"/>
                <w:b/>
                <w:bCs/>
                <w:lang w:val="en-GB" w:eastAsia="en-GB"/>
              </w:rPr>
            </w:pPr>
          </w:p>
        </w:tc>
        <w:tc>
          <w:tcPr>
            <w:tcW w:w="3667" w:type="dxa"/>
            <w:tcBorders>
              <w:top w:val="outset" w:sz="6" w:space="0" w:color="auto"/>
              <w:left w:val="outset" w:sz="6" w:space="0" w:color="auto"/>
              <w:bottom w:val="outset" w:sz="6" w:space="0" w:color="auto"/>
              <w:right w:val="single" w:sz="6" w:space="0" w:color="auto"/>
            </w:tcBorders>
            <w:shd w:val="clear" w:color="auto" w:fill="auto"/>
          </w:tcPr>
          <w:p w14:paraId="4FAC62F5" w14:textId="52B1A0E7" w:rsidR="00180BC6" w:rsidRPr="001C0C4B" w:rsidRDefault="00180BC6" w:rsidP="00DF0E74">
            <w:pPr>
              <w:rPr>
                <w:rFonts w:cstheme="minorHAnsi"/>
                <w:lang w:val="en-GB"/>
              </w:rPr>
            </w:pPr>
            <w:r w:rsidRPr="001C0C4B">
              <w:rPr>
                <w:rFonts w:ascii="Calibri" w:hAnsi="Calibri"/>
                <w:lang w:val="en-GB"/>
              </w:rPr>
              <w:t xml:space="preserve">To compare viral clearance of any discovered active antiviral </w:t>
            </w:r>
            <w:r w:rsidR="00B52408" w:rsidRPr="001C0C4B">
              <w:rPr>
                <w:rFonts w:ascii="Calibri" w:hAnsi="Calibri" w:cs="Calibri"/>
                <w:lang w:val="en-GB"/>
              </w:rPr>
              <w:t>drugs</w:t>
            </w:r>
            <w:r w:rsidRPr="001C0C4B">
              <w:rPr>
                <w:rFonts w:ascii="Calibri" w:hAnsi="Calibri"/>
                <w:lang w:val="en-GB"/>
              </w:rPr>
              <w:t xml:space="preserve"> against </w:t>
            </w:r>
            <w:r w:rsidR="00B52408" w:rsidRPr="001C0C4B">
              <w:rPr>
                <w:rFonts w:ascii="Calibri" w:hAnsi="Calibri" w:cs="Calibri"/>
                <w:lang w:val="en-GB"/>
              </w:rPr>
              <w:t xml:space="preserve">the positive control (e.g. REGN-COV-2 a </w:t>
            </w:r>
            <w:r w:rsidR="008019B4" w:rsidRPr="001C0C4B">
              <w:rPr>
                <w:rFonts w:ascii="Calibri" w:hAnsi="Calibri"/>
                <w:lang w:val="en-GB"/>
              </w:rPr>
              <w:t xml:space="preserve">monoclonal </w:t>
            </w:r>
            <w:r w:rsidRPr="001C0C4B">
              <w:rPr>
                <w:rFonts w:ascii="Calibri" w:hAnsi="Calibri"/>
                <w:lang w:val="en-GB"/>
              </w:rPr>
              <w:t xml:space="preserve">antibody </w:t>
            </w:r>
            <w:r w:rsidR="00B52408" w:rsidRPr="001C0C4B">
              <w:rPr>
                <w:rFonts w:ascii="Calibri" w:hAnsi="Calibri" w:cs="Calibri"/>
                <w:lang w:val="en-GB"/>
              </w:rPr>
              <w:t>cocktail)</w:t>
            </w:r>
            <w:r w:rsidR="004E4040" w:rsidRPr="001C0C4B">
              <w:rPr>
                <w:rFonts w:ascii="Calibri" w:hAnsi="Calibri"/>
                <w:lang w:val="en-GB"/>
              </w:rPr>
              <w:t xml:space="preserve"> or other licensed and available </w:t>
            </w:r>
            <w:r w:rsidR="00B52408" w:rsidRPr="001C0C4B">
              <w:rPr>
                <w:rFonts w:ascii="Calibri" w:hAnsi="Calibri" w:cs="Calibri"/>
                <w:lang w:val="en-GB"/>
              </w:rPr>
              <w:t>therapeutics</w:t>
            </w:r>
            <w:r w:rsidR="004E4040" w:rsidRPr="001C0C4B">
              <w:rPr>
                <w:rFonts w:ascii="Calibri" w:hAnsi="Calibri"/>
                <w:lang w:val="en-GB"/>
              </w:rPr>
              <w:t xml:space="preserve"> with evidence of accelerated viral clearance</w:t>
            </w:r>
          </w:p>
        </w:tc>
        <w:tc>
          <w:tcPr>
            <w:tcW w:w="3343" w:type="dxa"/>
            <w:tcBorders>
              <w:top w:val="outset" w:sz="6" w:space="0" w:color="auto"/>
              <w:left w:val="outset" w:sz="6" w:space="0" w:color="auto"/>
              <w:bottom w:val="outset" w:sz="6" w:space="0" w:color="auto"/>
              <w:right w:val="single" w:sz="6" w:space="0" w:color="auto"/>
            </w:tcBorders>
            <w:shd w:val="clear" w:color="auto" w:fill="auto"/>
          </w:tcPr>
          <w:p w14:paraId="235D363C" w14:textId="1A7C09BF" w:rsidR="00180BC6" w:rsidRPr="001C0C4B" w:rsidRDefault="00180BC6" w:rsidP="004B2A04">
            <w:pPr>
              <w:spacing w:after="0" w:line="240" w:lineRule="auto"/>
              <w:textAlignment w:val="baseline"/>
              <w:rPr>
                <w:rFonts w:eastAsia="Times New Roman" w:cstheme="minorHAnsi"/>
                <w:lang w:val="en-GB" w:eastAsia="en-GB"/>
              </w:rPr>
            </w:pPr>
            <w:r w:rsidRPr="001C0C4B">
              <w:rPr>
                <w:rFonts w:eastAsia="Times New Roman" w:cstheme="minorHAnsi"/>
                <w:lang w:val="en-GB" w:eastAsia="en-GB"/>
              </w:rPr>
              <w:t>Rate of viral clearance (as for primary endpoint)</w:t>
            </w:r>
          </w:p>
        </w:tc>
      </w:tr>
      <w:tr w:rsidR="002C1A3C" w:rsidRPr="001C0C4B" w14:paraId="129265DF" w14:textId="77777777" w:rsidTr="00EE2E8E">
        <w:trPr>
          <w:trHeight w:val="420"/>
        </w:trPr>
        <w:tc>
          <w:tcPr>
            <w:tcW w:w="2624" w:type="dxa"/>
            <w:tcBorders>
              <w:top w:val="outset" w:sz="6" w:space="0" w:color="auto"/>
              <w:left w:val="single" w:sz="6" w:space="0" w:color="auto"/>
              <w:bottom w:val="outset" w:sz="6" w:space="0" w:color="auto"/>
              <w:right w:val="single" w:sz="6" w:space="0" w:color="auto"/>
            </w:tcBorders>
            <w:shd w:val="clear" w:color="auto" w:fill="auto"/>
          </w:tcPr>
          <w:p w14:paraId="0EEFB754" w14:textId="19B641F7" w:rsidR="00D34C98" w:rsidRPr="001C0C4B" w:rsidRDefault="00D34C98" w:rsidP="000A5C24">
            <w:pPr>
              <w:spacing w:after="0" w:line="240" w:lineRule="auto"/>
              <w:textAlignment w:val="baseline"/>
              <w:rPr>
                <w:rFonts w:eastAsia="Times New Roman" w:cstheme="minorHAnsi"/>
                <w:b/>
                <w:bCs/>
                <w:lang w:val="en-GB" w:eastAsia="en-GB"/>
              </w:rPr>
            </w:pPr>
            <w:r w:rsidRPr="001C0C4B">
              <w:rPr>
                <w:rFonts w:eastAsia="Times New Roman" w:cstheme="minorHAnsi"/>
                <w:b/>
                <w:bCs/>
                <w:lang w:val="en-GB" w:eastAsia="en-GB"/>
              </w:rPr>
              <w:t>Tertiary</w:t>
            </w:r>
          </w:p>
        </w:tc>
        <w:tc>
          <w:tcPr>
            <w:tcW w:w="3667" w:type="dxa"/>
            <w:tcBorders>
              <w:top w:val="outset" w:sz="6" w:space="0" w:color="auto"/>
              <w:left w:val="outset" w:sz="6" w:space="0" w:color="auto"/>
              <w:bottom w:val="outset" w:sz="6" w:space="0" w:color="auto"/>
              <w:right w:val="single" w:sz="6" w:space="0" w:color="auto"/>
            </w:tcBorders>
            <w:shd w:val="clear" w:color="auto" w:fill="auto"/>
          </w:tcPr>
          <w:p w14:paraId="1D58C54B" w14:textId="711D6E7C" w:rsidR="00D34C98" w:rsidRPr="001C0C4B" w:rsidRDefault="00D34C98" w:rsidP="00BA2F5B">
            <w:pPr>
              <w:rPr>
                <w:rFonts w:cstheme="minorHAnsi"/>
                <w:lang w:val="en-GB"/>
              </w:rPr>
            </w:pPr>
            <w:r w:rsidRPr="001C0C4B">
              <w:rPr>
                <w:rFonts w:cstheme="minorHAnsi"/>
                <w:lang w:val="en-GB"/>
              </w:rPr>
              <w:t>Characterise the relationship between viral clearance and hospitalisation</w:t>
            </w:r>
            <w:r w:rsidR="00CE2F74" w:rsidRPr="001C0C4B">
              <w:rPr>
                <w:rFonts w:cstheme="minorHAnsi"/>
                <w:lang w:val="en-GB"/>
              </w:rPr>
              <w:t xml:space="preserve"> </w:t>
            </w:r>
            <w:r w:rsidR="00361EE0" w:rsidRPr="001C0C4B">
              <w:rPr>
                <w:rFonts w:cstheme="minorHAnsi"/>
                <w:lang w:val="en-GB"/>
              </w:rPr>
              <w:t xml:space="preserve">(hospitalisation </w:t>
            </w:r>
            <w:r w:rsidR="00CE2F74" w:rsidRPr="001C0C4B">
              <w:rPr>
                <w:rFonts w:cstheme="minorHAnsi"/>
                <w:lang w:val="en-GB"/>
              </w:rPr>
              <w:t>for clinical reasons</w:t>
            </w:r>
            <w:r w:rsidR="00361EE0" w:rsidRPr="001C0C4B">
              <w:rPr>
                <w:rFonts w:cstheme="minorHAnsi"/>
                <w:lang w:val="en-GB"/>
              </w:rPr>
              <w:t>)</w:t>
            </w:r>
          </w:p>
        </w:tc>
        <w:tc>
          <w:tcPr>
            <w:tcW w:w="3343" w:type="dxa"/>
            <w:tcBorders>
              <w:top w:val="outset" w:sz="6" w:space="0" w:color="auto"/>
              <w:left w:val="outset" w:sz="6" w:space="0" w:color="auto"/>
              <w:bottom w:val="outset" w:sz="6" w:space="0" w:color="auto"/>
              <w:right w:val="single" w:sz="6" w:space="0" w:color="auto"/>
            </w:tcBorders>
            <w:shd w:val="clear" w:color="auto" w:fill="auto"/>
          </w:tcPr>
          <w:p w14:paraId="7195956D" w14:textId="6EEB3347" w:rsidR="00D34C98" w:rsidRPr="001C0C4B" w:rsidRDefault="00CE2F74" w:rsidP="004B2A04">
            <w:pPr>
              <w:spacing w:after="0" w:line="240" w:lineRule="auto"/>
              <w:textAlignment w:val="baseline"/>
              <w:rPr>
                <w:rFonts w:eastAsia="Times New Roman" w:cstheme="minorHAnsi"/>
                <w:lang w:val="en-GB" w:eastAsia="en-GB"/>
              </w:rPr>
            </w:pPr>
            <w:r w:rsidRPr="001C0C4B">
              <w:rPr>
                <w:rFonts w:eastAsia="Times New Roman" w:cstheme="minorHAnsi"/>
                <w:lang w:val="en-GB" w:eastAsia="en-GB"/>
              </w:rPr>
              <w:t>H</w:t>
            </w:r>
            <w:r w:rsidR="00D34C98" w:rsidRPr="001C0C4B">
              <w:rPr>
                <w:rFonts w:eastAsia="Times New Roman" w:cstheme="minorHAnsi"/>
                <w:lang w:val="en-GB" w:eastAsia="en-GB"/>
              </w:rPr>
              <w:t xml:space="preserve">ospitalisation </w:t>
            </w:r>
            <w:r w:rsidRPr="001C0C4B">
              <w:rPr>
                <w:rFonts w:eastAsia="Times New Roman" w:cstheme="minorHAnsi"/>
                <w:lang w:val="en-GB" w:eastAsia="en-GB"/>
              </w:rPr>
              <w:t xml:space="preserve">for clinical reasons </w:t>
            </w:r>
            <w:r w:rsidR="00D34C98" w:rsidRPr="001C0C4B">
              <w:rPr>
                <w:rFonts w:eastAsia="Times New Roman" w:cstheme="minorHAnsi"/>
                <w:lang w:val="en-GB" w:eastAsia="en-GB"/>
              </w:rPr>
              <w:t>up to day 28</w:t>
            </w:r>
          </w:p>
        </w:tc>
      </w:tr>
    </w:tbl>
    <w:p w14:paraId="0E569570" w14:textId="5FF8F7C3" w:rsidR="005858D4" w:rsidRPr="001C0C4B" w:rsidRDefault="005858D4" w:rsidP="03EF2058">
      <w:pPr>
        <w:rPr>
          <w:rFonts w:cstheme="minorHAnsi"/>
        </w:rPr>
      </w:pPr>
    </w:p>
    <w:p w14:paraId="3A2B6661" w14:textId="49221301" w:rsidR="00CE1074" w:rsidRPr="001C0C4B" w:rsidRDefault="001B277D" w:rsidP="03EF2058">
      <w:pPr>
        <w:rPr>
          <w:rFonts w:cstheme="minorHAnsi"/>
        </w:rPr>
      </w:pPr>
      <w:r w:rsidRPr="001C0C4B">
        <w:rPr>
          <w:rFonts w:cstheme="minorHAnsi"/>
        </w:rPr>
        <w:br w:type="page"/>
      </w:r>
    </w:p>
    <w:p w14:paraId="5E85D638" w14:textId="473A4BD3" w:rsidR="006616CF" w:rsidRPr="001C0C4B" w:rsidRDefault="006616CF" w:rsidP="00E142CD">
      <w:pPr>
        <w:pStyle w:val="Heading1"/>
        <w:numPr>
          <w:ilvl w:val="0"/>
          <w:numId w:val="23"/>
        </w:numPr>
        <w:rPr>
          <w:rFonts w:asciiTheme="minorHAnsi" w:hAnsiTheme="minorHAnsi" w:cstheme="minorHAnsi"/>
          <w:b/>
          <w:bCs/>
          <w:color w:val="auto"/>
          <w:sz w:val="22"/>
          <w:szCs w:val="22"/>
          <w:lang w:val="en-GB"/>
        </w:rPr>
      </w:pPr>
      <w:bookmarkStart w:id="6" w:name="_Toc96007260"/>
      <w:bookmarkStart w:id="7" w:name="_Toc95915225"/>
      <w:bookmarkStart w:id="8" w:name="_Toc74661270"/>
      <w:bookmarkStart w:id="9" w:name="_Toc110523964"/>
      <w:bookmarkStart w:id="10" w:name="_Toc96005563"/>
      <w:bookmarkStart w:id="11" w:name="_Toc112917613"/>
      <w:r w:rsidRPr="001C0C4B">
        <w:rPr>
          <w:rFonts w:asciiTheme="minorHAnsi" w:hAnsiTheme="minorHAnsi" w:cstheme="minorHAnsi"/>
          <w:b/>
          <w:bCs/>
          <w:color w:val="auto"/>
          <w:sz w:val="22"/>
          <w:szCs w:val="22"/>
          <w:lang w:val="en-GB"/>
        </w:rPr>
        <w:lastRenderedPageBreak/>
        <w:t>ABBR</w:t>
      </w:r>
      <w:r w:rsidR="00D72AEC" w:rsidRPr="001C0C4B">
        <w:rPr>
          <w:rFonts w:asciiTheme="minorHAnsi" w:hAnsiTheme="minorHAnsi" w:cstheme="minorHAnsi"/>
          <w:b/>
          <w:bCs/>
          <w:color w:val="auto"/>
          <w:sz w:val="22"/>
          <w:szCs w:val="22"/>
          <w:lang w:val="en-GB"/>
        </w:rPr>
        <w:t>E</w:t>
      </w:r>
      <w:r w:rsidRPr="001C0C4B">
        <w:rPr>
          <w:rFonts w:asciiTheme="minorHAnsi" w:hAnsiTheme="minorHAnsi" w:cstheme="minorHAnsi"/>
          <w:b/>
          <w:bCs/>
          <w:color w:val="auto"/>
          <w:sz w:val="22"/>
          <w:szCs w:val="22"/>
          <w:lang w:val="en-GB"/>
        </w:rPr>
        <w:t>VIATION</w:t>
      </w:r>
      <w:bookmarkEnd w:id="6"/>
      <w:bookmarkEnd w:id="7"/>
      <w:bookmarkEnd w:id="8"/>
      <w:bookmarkEnd w:id="9"/>
      <w:bookmarkEnd w:id="10"/>
      <w:bookmarkEnd w:id="1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7807"/>
      </w:tblGrid>
      <w:tr w:rsidR="00D23D22" w:rsidRPr="001C0C4B" w14:paraId="7A5DA71B" w14:textId="77777777" w:rsidTr="00A43E10">
        <w:trPr>
          <w:trHeight w:val="397"/>
        </w:trPr>
        <w:tc>
          <w:tcPr>
            <w:tcW w:w="1679" w:type="dxa"/>
            <w:vAlign w:val="center"/>
          </w:tcPr>
          <w:p w14:paraId="02318F8D" w14:textId="6842DFA0" w:rsidR="00C12A56" w:rsidRPr="001C0C4B" w:rsidRDefault="00C12A56" w:rsidP="00571C1C">
            <w:pPr>
              <w:spacing w:after="0" w:line="240" w:lineRule="auto"/>
              <w:rPr>
                <w:rFonts w:cstheme="minorHAnsi"/>
                <w:sz w:val="20"/>
                <w:szCs w:val="20"/>
              </w:rPr>
            </w:pPr>
            <w:r w:rsidRPr="001C0C4B">
              <w:rPr>
                <w:rFonts w:cstheme="minorHAnsi"/>
                <w:sz w:val="20"/>
                <w:szCs w:val="20"/>
              </w:rPr>
              <w:t>ACT</w:t>
            </w:r>
          </w:p>
        </w:tc>
        <w:tc>
          <w:tcPr>
            <w:tcW w:w="7807" w:type="dxa"/>
            <w:vAlign w:val="center"/>
          </w:tcPr>
          <w:p w14:paraId="425CBA23" w14:textId="7F715D45" w:rsidR="00C12A56" w:rsidRPr="001C0C4B" w:rsidRDefault="00C12A56" w:rsidP="00571C1C">
            <w:pPr>
              <w:spacing w:after="0" w:line="240" w:lineRule="auto"/>
              <w:rPr>
                <w:rFonts w:cstheme="minorHAnsi"/>
                <w:sz w:val="20"/>
                <w:szCs w:val="20"/>
                <w:shd w:val="clear" w:color="auto" w:fill="FFFFFF"/>
              </w:rPr>
            </w:pPr>
            <w:r w:rsidRPr="001C0C4B">
              <w:rPr>
                <w:rFonts w:cstheme="minorHAnsi"/>
                <w:sz w:val="20"/>
                <w:szCs w:val="20"/>
                <w:shd w:val="clear" w:color="auto" w:fill="FFFFFF"/>
              </w:rPr>
              <w:t>Access to COVID-19 Tools</w:t>
            </w:r>
          </w:p>
        </w:tc>
      </w:tr>
      <w:tr w:rsidR="00D23D22" w:rsidRPr="001C0C4B" w14:paraId="51E3163C" w14:textId="77777777" w:rsidTr="00A43E10">
        <w:trPr>
          <w:trHeight w:val="397"/>
        </w:trPr>
        <w:tc>
          <w:tcPr>
            <w:tcW w:w="1679" w:type="dxa"/>
            <w:vAlign w:val="center"/>
          </w:tcPr>
          <w:p w14:paraId="359D5830" w14:textId="02692CBA" w:rsidR="003417BB" w:rsidRPr="001C0C4B" w:rsidRDefault="003417BB" w:rsidP="00571C1C">
            <w:pPr>
              <w:spacing w:after="0" w:line="240" w:lineRule="auto"/>
              <w:rPr>
                <w:rFonts w:cstheme="minorHAnsi"/>
                <w:sz w:val="20"/>
                <w:szCs w:val="20"/>
              </w:rPr>
            </w:pPr>
            <w:r w:rsidRPr="001C0C4B">
              <w:rPr>
                <w:rFonts w:cstheme="minorHAnsi"/>
                <w:sz w:val="20"/>
                <w:szCs w:val="20"/>
              </w:rPr>
              <w:t>ADLs</w:t>
            </w:r>
          </w:p>
        </w:tc>
        <w:tc>
          <w:tcPr>
            <w:tcW w:w="7807" w:type="dxa"/>
            <w:vAlign w:val="center"/>
          </w:tcPr>
          <w:p w14:paraId="704CEB12" w14:textId="0576DC88" w:rsidR="003417BB" w:rsidRPr="001C0C4B" w:rsidRDefault="00F57203" w:rsidP="00571C1C">
            <w:pPr>
              <w:spacing w:after="0" w:line="240" w:lineRule="auto"/>
              <w:rPr>
                <w:rFonts w:cstheme="minorHAnsi"/>
                <w:sz w:val="20"/>
                <w:szCs w:val="20"/>
              </w:rPr>
            </w:pPr>
            <w:r w:rsidRPr="001C0C4B">
              <w:rPr>
                <w:rFonts w:cstheme="minorHAnsi"/>
                <w:sz w:val="20"/>
                <w:szCs w:val="20"/>
                <w:shd w:val="clear" w:color="auto" w:fill="FFFFFF"/>
              </w:rPr>
              <w:t>Activities of daily living</w:t>
            </w:r>
          </w:p>
        </w:tc>
      </w:tr>
      <w:tr w:rsidR="00D23D22" w:rsidRPr="001C0C4B" w14:paraId="4C471A26" w14:textId="77777777" w:rsidTr="00A43E10">
        <w:trPr>
          <w:trHeight w:val="397"/>
        </w:trPr>
        <w:tc>
          <w:tcPr>
            <w:tcW w:w="1679" w:type="dxa"/>
            <w:vAlign w:val="center"/>
          </w:tcPr>
          <w:p w14:paraId="7B19D3D5" w14:textId="77777777" w:rsidR="00086CF3" w:rsidRPr="001C0C4B" w:rsidRDefault="00086CF3" w:rsidP="00571C1C">
            <w:pPr>
              <w:spacing w:after="0" w:line="240" w:lineRule="auto"/>
              <w:rPr>
                <w:rFonts w:cs="Arial"/>
                <w:sz w:val="20"/>
                <w:szCs w:val="20"/>
              </w:rPr>
            </w:pPr>
            <w:r w:rsidRPr="001C0C4B">
              <w:rPr>
                <w:rFonts w:cs="Arial"/>
                <w:sz w:val="20"/>
                <w:szCs w:val="20"/>
              </w:rPr>
              <w:t>AE</w:t>
            </w:r>
          </w:p>
        </w:tc>
        <w:tc>
          <w:tcPr>
            <w:tcW w:w="7807" w:type="dxa"/>
            <w:vAlign w:val="center"/>
          </w:tcPr>
          <w:p w14:paraId="28E09F2C" w14:textId="77777777" w:rsidR="00086CF3" w:rsidRPr="001C0C4B" w:rsidRDefault="00086CF3" w:rsidP="00571C1C">
            <w:pPr>
              <w:spacing w:after="0" w:line="240" w:lineRule="auto"/>
              <w:rPr>
                <w:rFonts w:cs="Arial"/>
                <w:sz w:val="20"/>
                <w:szCs w:val="20"/>
              </w:rPr>
            </w:pPr>
            <w:r w:rsidRPr="001C0C4B">
              <w:rPr>
                <w:rFonts w:cs="Arial"/>
                <w:sz w:val="20"/>
                <w:szCs w:val="20"/>
              </w:rPr>
              <w:t>Adverse event</w:t>
            </w:r>
          </w:p>
        </w:tc>
      </w:tr>
      <w:tr w:rsidR="00D23D22" w:rsidRPr="001C0C4B" w14:paraId="4C9F9389" w14:textId="77777777" w:rsidTr="00A43E10">
        <w:trPr>
          <w:trHeight w:val="397"/>
        </w:trPr>
        <w:tc>
          <w:tcPr>
            <w:tcW w:w="1679" w:type="dxa"/>
            <w:vAlign w:val="center"/>
          </w:tcPr>
          <w:p w14:paraId="5EC3025D" w14:textId="77777777" w:rsidR="00086CF3" w:rsidRPr="001C0C4B" w:rsidRDefault="00086CF3" w:rsidP="00571C1C">
            <w:pPr>
              <w:spacing w:after="0" w:line="240" w:lineRule="auto"/>
              <w:rPr>
                <w:rFonts w:cs="Arial"/>
                <w:sz w:val="20"/>
                <w:szCs w:val="20"/>
              </w:rPr>
            </w:pPr>
            <w:r w:rsidRPr="001C0C4B">
              <w:rPr>
                <w:rFonts w:cs="Arial"/>
                <w:sz w:val="20"/>
                <w:szCs w:val="20"/>
              </w:rPr>
              <w:t xml:space="preserve">AR </w:t>
            </w:r>
          </w:p>
        </w:tc>
        <w:tc>
          <w:tcPr>
            <w:tcW w:w="7807" w:type="dxa"/>
            <w:vAlign w:val="center"/>
          </w:tcPr>
          <w:p w14:paraId="7A3E8C76" w14:textId="77777777" w:rsidR="00086CF3" w:rsidRPr="001C0C4B" w:rsidRDefault="00086CF3" w:rsidP="00571C1C">
            <w:pPr>
              <w:spacing w:after="0" w:line="240" w:lineRule="auto"/>
              <w:rPr>
                <w:rFonts w:cs="Arial"/>
                <w:sz w:val="20"/>
                <w:szCs w:val="20"/>
              </w:rPr>
            </w:pPr>
            <w:r w:rsidRPr="001C0C4B">
              <w:rPr>
                <w:rFonts w:cs="Arial"/>
                <w:sz w:val="20"/>
                <w:szCs w:val="20"/>
              </w:rPr>
              <w:t>Adverse reaction</w:t>
            </w:r>
          </w:p>
        </w:tc>
      </w:tr>
      <w:tr w:rsidR="00F877F9" w:rsidRPr="001C0C4B" w14:paraId="6462B08F" w14:textId="77777777" w:rsidTr="00A43E10">
        <w:trPr>
          <w:trHeight w:val="397"/>
        </w:trPr>
        <w:tc>
          <w:tcPr>
            <w:tcW w:w="1679" w:type="dxa"/>
            <w:vAlign w:val="center"/>
          </w:tcPr>
          <w:p w14:paraId="1D1189E2" w14:textId="4E477691" w:rsidR="00F877F9" w:rsidRPr="001C0C4B" w:rsidRDefault="00F877F9" w:rsidP="00571C1C">
            <w:pPr>
              <w:spacing w:after="0" w:line="240" w:lineRule="auto"/>
              <w:rPr>
                <w:rFonts w:cs="Arial"/>
                <w:sz w:val="20"/>
                <w:szCs w:val="20"/>
              </w:rPr>
            </w:pPr>
            <w:r w:rsidRPr="001C0C4B">
              <w:rPr>
                <w:rFonts w:cs="Arial"/>
                <w:sz w:val="20"/>
                <w:szCs w:val="20"/>
              </w:rPr>
              <w:t>ARI</w:t>
            </w:r>
          </w:p>
        </w:tc>
        <w:tc>
          <w:tcPr>
            <w:tcW w:w="7807" w:type="dxa"/>
            <w:vAlign w:val="center"/>
          </w:tcPr>
          <w:p w14:paraId="44E37094" w14:textId="01642D62" w:rsidR="00F877F9" w:rsidRPr="001C0C4B" w:rsidRDefault="00F877F9" w:rsidP="00571C1C">
            <w:pPr>
              <w:spacing w:after="0" w:line="240" w:lineRule="auto"/>
              <w:rPr>
                <w:rFonts w:cs="Arial"/>
                <w:sz w:val="20"/>
                <w:szCs w:val="20"/>
              </w:rPr>
            </w:pPr>
            <w:r w:rsidRPr="001C0C4B">
              <w:rPr>
                <w:rFonts w:cs="Arial"/>
                <w:sz w:val="20"/>
                <w:szCs w:val="20"/>
              </w:rPr>
              <w:t>Acute Respiratory Infection</w:t>
            </w:r>
          </w:p>
        </w:tc>
      </w:tr>
      <w:tr w:rsidR="00D23D22" w:rsidRPr="001C0C4B" w14:paraId="6CB50735" w14:textId="77777777" w:rsidTr="00A43E10">
        <w:trPr>
          <w:trHeight w:val="397"/>
        </w:trPr>
        <w:tc>
          <w:tcPr>
            <w:tcW w:w="1679" w:type="dxa"/>
            <w:vAlign w:val="center"/>
          </w:tcPr>
          <w:p w14:paraId="312BBDFD" w14:textId="6E0DC758" w:rsidR="00B05509" w:rsidRPr="001C0C4B" w:rsidRDefault="00B05509" w:rsidP="00086CF3">
            <w:pPr>
              <w:spacing w:after="0" w:line="240" w:lineRule="auto"/>
              <w:rPr>
                <w:rFonts w:cstheme="minorHAnsi"/>
                <w:sz w:val="20"/>
                <w:szCs w:val="20"/>
              </w:rPr>
            </w:pPr>
            <w:r w:rsidRPr="001C0C4B">
              <w:rPr>
                <w:rFonts w:cstheme="minorHAnsi"/>
                <w:sz w:val="20"/>
                <w:szCs w:val="20"/>
              </w:rPr>
              <w:t>COVAX</w:t>
            </w:r>
          </w:p>
        </w:tc>
        <w:tc>
          <w:tcPr>
            <w:tcW w:w="7807" w:type="dxa"/>
            <w:vAlign w:val="center"/>
          </w:tcPr>
          <w:p w14:paraId="76246148" w14:textId="6DB1016D" w:rsidR="00B05509" w:rsidRPr="001C0C4B" w:rsidRDefault="00B05509" w:rsidP="00086CF3">
            <w:pPr>
              <w:spacing w:after="0" w:line="240" w:lineRule="auto"/>
              <w:rPr>
                <w:rFonts w:cstheme="minorHAnsi"/>
                <w:b/>
                <w:bCs/>
                <w:sz w:val="20"/>
                <w:szCs w:val="20"/>
              </w:rPr>
            </w:pPr>
            <w:r w:rsidRPr="001C0C4B">
              <w:rPr>
                <w:rStyle w:val="Strong"/>
                <w:rFonts w:cstheme="minorHAnsi"/>
                <w:b w:val="0"/>
                <w:bCs w:val="0"/>
                <w:sz w:val="20"/>
                <w:szCs w:val="20"/>
                <w:shd w:val="clear" w:color="auto" w:fill="FFFFFF"/>
              </w:rPr>
              <w:t>COVID-19 Vaccines Global Access</w:t>
            </w:r>
          </w:p>
        </w:tc>
      </w:tr>
      <w:tr w:rsidR="00D23D22" w:rsidRPr="001C0C4B" w14:paraId="7C8F40DB" w14:textId="77777777" w:rsidTr="00A43E10">
        <w:trPr>
          <w:trHeight w:val="397"/>
        </w:trPr>
        <w:tc>
          <w:tcPr>
            <w:tcW w:w="1679" w:type="dxa"/>
            <w:vAlign w:val="center"/>
          </w:tcPr>
          <w:p w14:paraId="44D0B621" w14:textId="34716100" w:rsidR="003417BB" w:rsidRPr="001C0C4B" w:rsidRDefault="003417BB" w:rsidP="00086CF3">
            <w:pPr>
              <w:spacing w:after="0" w:line="240" w:lineRule="auto"/>
              <w:rPr>
                <w:rFonts w:cs="Arial"/>
                <w:sz w:val="20"/>
                <w:szCs w:val="20"/>
              </w:rPr>
            </w:pPr>
            <w:r w:rsidRPr="001C0C4B">
              <w:rPr>
                <w:rFonts w:cs="Arial"/>
                <w:sz w:val="20"/>
                <w:szCs w:val="20"/>
              </w:rPr>
              <w:t>COVID-19</w:t>
            </w:r>
          </w:p>
        </w:tc>
        <w:tc>
          <w:tcPr>
            <w:tcW w:w="7807" w:type="dxa"/>
            <w:vAlign w:val="center"/>
          </w:tcPr>
          <w:p w14:paraId="15E7E6D5" w14:textId="6CA755C3" w:rsidR="003417BB" w:rsidRPr="001C0C4B" w:rsidRDefault="003417BB" w:rsidP="00086CF3">
            <w:pPr>
              <w:spacing w:after="0" w:line="240" w:lineRule="auto"/>
              <w:rPr>
                <w:rFonts w:cs="Arial"/>
                <w:sz w:val="20"/>
                <w:szCs w:val="20"/>
              </w:rPr>
            </w:pPr>
            <w:r w:rsidRPr="001C0C4B">
              <w:rPr>
                <w:rFonts w:cs="Arial"/>
                <w:sz w:val="20"/>
                <w:szCs w:val="20"/>
              </w:rPr>
              <w:t>Coronavirus disease of 2019</w:t>
            </w:r>
          </w:p>
        </w:tc>
      </w:tr>
      <w:tr w:rsidR="00D23D22" w:rsidRPr="001C0C4B" w14:paraId="667669DD" w14:textId="77777777" w:rsidTr="00A43E10">
        <w:trPr>
          <w:trHeight w:val="397"/>
        </w:trPr>
        <w:tc>
          <w:tcPr>
            <w:tcW w:w="1679" w:type="dxa"/>
            <w:vAlign w:val="center"/>
          </w:tcPr>
          <w:p w14:paraId="20EBD499" w14:textId="3C2097E5" w:rsidR="00086CF3" w:rsidRPr="001C0C4B" w:rsidRDefault="00086CF3" w:rsidP="00086CF3">
            <w:pPr>
              <w:spacing w:after="0" w:line="240" w:lineRule="auto"/>
              <w:rPr>
                <w:rFonts w:cs="Arial"/>
                <w:sz w:val="20"/>
                <w:szCs w:val="20"/>
              </w:rPr>
            </w:pPr>
            <w:r w:rsidRPr="001C0C4B">
              <w:rPr>
                <w:rFonts w:cs="Arial"/>
                <w:sz w:val="20"/>
                <w:szCs w:val="20"/>
              </w:rPr>
              <w:t>CRF</w:t>
            </w:r>
          </w:p>
        </w:tc>
        <w:tc>
          <w:tcPr>
            <w:tcW w:w="7807" w:type="dxa"/>
            <w:vAlign w:val="center"/>
          </w:tcPr>
          <w:p w14:paraId="1247C5A8" w14:textId="496FF971" w:rsidR="00086CF3" w:rsidRPr="001C0C4B" w:rsidRDefault="00086CF3" w:rsidP="00086CF3">
            <w:pPr>
              <w:spacing w:after="0" w:line="240" w:lineRule="auto"/>
              <w:rPr>
                <w:rFonts w:cs="Arial"/>
                <w:sz w:val="20"/>
                <w:szCs w:val="20"/>
              </w:rPr>
            </w:pPr>
            <w:r w:rsidRPr="001C0C4B">
              <w:rPr>
                <w:rFonts w:cs="Arial"/>
                <w:sz w:val="20"/>
                <w:szCs w:val="20"/>
              </w:rPr>
              <w:t>Case Report Form</w:t>
            </w:r>
          </w:p>
        </w:tc>
      </w:tr>
      <w:tr w:rsidR="00D23D22" w:rsidRPr="001C0C4B" w14:paraId="34E90E75" w14:textId="77777777" w:rsidTr="00A43E10">
        <w:trPr>
          <w:trHeight w:val="397"/>
        </w:trPr>
        <w:tc>
          <w:tcPr>
            <w:tcW w:w="1679" w:type="dxa"/>
            <w:vAlign w:val="center"/>
          </w:tcPr>
          <w:p w14:paraId="67C82716" w14:textId="49E991A2" w:rsidR="00086CF3" w:rsidRPr="001C0C4B" w:rsidRDefault="00086CF3" w:rsidP="00086CF3">
            <w:pPr>
              <w:spacing w:after="0" w:line="240" w:lineRule="auto"/>
              <w:rPr>
                <w:rFonts w:cs="Arial"/>
                <w:sz w:val="20"/>
                <w:szCs w:val="20"/>
              </w:rPr>
            </w:pPr>
            <w:r w:rsidRPr="001C0C4B">
              <w:rPr>
                <w:rFonts w:cs="Arial"/>
                <w:sz w:val="20"/>
                <w:szCs w:val="20"/>
              </w:rPr>
              <w:t>CTCAE</w:t>
            </w:r>
          </w:p>
        </w:tc>
        <w:tc>
          <w:tcPr>
            <w:tcW w:w="7807" w:type="dxa"/>
            <w:vAlign w:val="center"/>
          </w:tcPr>
          <w:p w14:paraId="0490751A" w14:textId="23EE4DAD" w:rsidR="00086CF3" w:rsidRPr="001C0C4B" w:rsidRDefault="00086CF3" w:rsidP="00086CF3">
            <w:pPr>
              <w:spacing w:after="0" w:line="240" w:lineRule="auto"/>
              <w:rPr>
                <w:rFonts w:cs="Arial"/>
                <w:sz w:val="20"/>
                <w:szCs w:val="20"/>
              </w:rPr>
            </w:pPr>
            <w:r w:rsidRPr="001C0C4B">
              <w:rPr>
                <w:rFonts w:ascii="Calibri" w:hAnsi="Calibri" w:cs="Calibri"/>
                <w:sz w:val="20"/>
                <w:szCs w:val="20"/>
              </w:rPr>
              <w:t>Common Terminology Criteria for Adverse Events</w:t>
            </w:r>
          </w:p>
        </w:tc>
      </w:tr>
      <w:tr w:rsidR="00D23D22" w:rsidRPr="001C0C4B" w14:paraId="6FE32E2F" w14:textId="77777777" w:rsidTr="00A43E10">
        <w:trPr>
          <w:trHeight w:val="397"/>
        </w:trPr>
        <w:tc>
          <w:tcPr>
            <w:tcW w:w="1679" w:type="dxa"/>
            <w:vAlign w:val="center"/>
          </w:tcPr>
          <w:p w14:paraId="6BDC7831" w14:textId="099CE04B" w:rsidR="00086CF3" w:rsidRPr="001C0C4B" w:rsidRDefault="00F57203" w:rsidP="00086CF3">
            <w:pPr>
              <w:spacing w:after="0" w:line="240" w:lineRule="auto"/>
              <w:rPr>
                <w:rFonts w:cstheme="minorHAnsi"/>
                <w:sz w:val="20"/>
                <w:szCs w:val="20"/>
              </w:rPr>
            </w:pPr>
            <w:r w:rsidRPr="001C0C4B">
              <w:rPr>
                <w:rFonts w:cstheme="minorHAnsi"/>
                <w:sz w:val="20"/>
                <w:szCs w:val="20"/>
              </w:rPr>
              <w:t>CTSG</w:t>
            </w:r>
          </w:p>
        </w:tc>
        <w:tc>
          <w:tcPr>
            <w:tcW w:w="7807" w:type="dxa"/>
            <w:vAlign w:val="center"/>
          </w:tcPr>
          <w:p w14:paraId="03FBD9E7" w14:textId="6F780136" w:rsidR="00086CF3" w:rsidRPr="001C0C4B" w:rsidRDefault="00F57203" w:rsidP="00086CF3">
            <w:pPr>
              <w:spacing w:after="0" w:line="240" w:lineRule="auto"/>
              <w:rPr>
                <w:rFonts w:cstheme="minorHAnsi"/>
                <w:spacing w:val="55"/>
                <w:sz w:val="20"/>
                <w:szCs w:val="20"/>
              </w:rPr>
            </w:pPr>
            <w:r w:rsidRPr="001C0C4B">
              <w:rPr>
                <w:rFonts w:ascii="Calibri" w:eastAsia="Calibri" w:hAnsi="Calibri" w:cs="Calibri"/>
                <w:sz w:val="20"/>
                <w:szCs w:val="20"/>
              </w:rPr>
              <w:t>Clinical Trials Support Group</w:t>
            </w:r>
          </w:p>
        </w:tc>
      </w:tr>
      <w:tr w:rsidR="00D23D22" w:rsidRPr="001C0C4B" w14:paraId="4B46E09F" w14:textId="77777777" w:rsidTr="00A43E10">
        <w:trPr>
          <w:trHeight w:val="397"/>
        </w:trPr>
        <w:tc>
          <w:tcPr>
            <w:tcW w:w="1679" w:type="dxa"/>
            <w:vAlign w:val="center"/>
          </w:tcPr>
          <w:p w14:paraId="64A2E9AA" w14:textId="031D9BF8" w:rsidR="003417BB" w:rsidRPr="001C0C4B" w:rsidRDefault="003417BB" w:rsidP="003417BB">
            <w:pPr>
              <w:spacing w:after="0" w:line="240" w:lineRule="auto"/>
              <w:rPr>
                <w:rFonts w:cs="Arial"/>
                <w:sz w:val="20"/>
                <w:szCs w:val="20"/>
              </w:rPr>
            </w:pPr>
            <w:r w:rsidRPr="001C0C4B">
              <w:rPr>
                <w:rFonts w:cs="Arial"/>
                <w:sz w:val="20"/>
                <w:szCs w:val="20"/>
              </w:rPr>
              <w:t>DSMB</w:t>
            </w:r>
          </w:p>
        </w:tc>
        <w:tc>
          <w:tcPr>
            <w:tcW w:w="7807" w:type="dxa"/>
            <w:vAlign w:val="center"/>
          </w:tcPr>
          <w:p w14:paraId="58EB05B5" w14:textId="21F5253B" w:rsidR="003417BB" w:rsidRPr="001C0C4B" w:rsidRDefault="003417BB" w:rsidP="003417BB">
            <w:pPr>
              <w:spacing w:after="0" w:line="240" w:lineRule="auto"/>
              <w:rPr>
                <w:rFonts w:cs="Arial"/>
                <w:sz w:val="20"/>
                <w:szCs w:val="20"/>
              </w:rPr>
            </w:pPr>
            <w:r w:rsidRPr="001C0C4B">
              <w:rPr>
                <w:rFonts w:cs="Arial"/>
                <w:sz w:val="20"/>
                <w:szCs w:val="20"/>
              </w:rPr>
              <w:t>Data Safety Monitoring Board</w:t>
            </w:r>
          </w:p>
        </w:tc>
      </w:tr>
      <w:tr w:rsidR="00D23D22" w:rsidRPr="001C0C4B" w14:paraId="5EE182DE" w14:textId="77777777" w:rsidTr="00A43E10">
        <w:trPr>
          <w:trHeight w:val="397"/>
        </w:trPr>
        <w:tc>
          <w:tcPr>
            <w:tcW w:w="1679" w:type="dxa"/>
            <w:vAlign w:val="center"/>
          </w:tcPr>
          <w:p w14:paraId="190667AA" w14:textId="346B0B5C" w:rsidR="00F57203" w:rsidRPr="001C0C4B" w:rsidRDefault="00F57203" w:rsidP="003417BB">
            <w:pPr>
              <w:spacing w:after="0" w:line="240" w:lineRule="auto"/>
              <w:rPr>
                <w:rFonts w:cs="Arial"/>
                <w:sz w:val="20"/>
                <w:szCs w:val="20"/>
              </w:rPr>
            </w:pPr>
            <w:r w:rsidRPr="001C0C4B">
              <w:rPr>
                <w:rFonts w:cs="Arial"/>
                <w:sz w:val="20"/>
                <w:szCs w:val="20"/>
              </w:rPr>
              <w:t>EC</w:t>
            </w:r>
          </w:p>
        </w:tc>
        <w:tc>
          <w:tcPr>
            <w:tcW w:w="7807" w:type="dxa"/>
            <w:vAlign w:val="center"/>
          </w:tcPr>
          <w:p w14:paraId="25C3AD71" w14:textId="545F1027" w:rsidR="00F57203" w:rsidRPr="001C0C4B" w:rsidRDefault="00F57203" w:rsidP="003417BB">
            <w:pPr>
              <w:spacing w:after="0" w:line="240" w:lineRule="auto"/>
              <w:rPr>
                <w:rFonts w:cs="Arial"/>
                <w:sz w:val="20"/>
                <w:szCs w:val="20"/>
              </w:rPr>
            </w:pPr>
            <w:r w:rsidRPr="001C0C4B">
              <w:rPr>
                <w:rFonts w:cs="Arial"/>
                <w:sz w:val="20"/>
                <w:szCs w:val="20"/>
              </w:rPr>
              <w:t>Ethic Committee</w:t>
            </w:r>
          </w:p>
        </w:tc>
      </w:tr>
      <w:tr w:rsidR="00D23D22" w:rsidRPr="001C0C4B" w14:paraId="4091D11C" w14:textId="77777777" w:rsidTr="00A43E10">
        <w:trPr>
          <w:trHeight w:val="397"/>
        </w:trPr>
        <w:tc>
          <w:tcPr>
            <w:tcW w:w="1679" w:type="dxa"/>
            <w:vAlign w:val="center"/>
          </w:tcPr>
          <w:p w14:paraId="0C666F0B" w14:textId="0449C2CE" w:rsidR="00F57203" w:rsidRPr="001C0C4B" w:rsidRDefault="00F57203" w:rsidP="003417BB">
            <w:pPr>
              <w:spacing w:after="0" w:line="240" w:lineRule="auto"/>
              <w:rPr>
                <w:rFonts w:cs="Arial"/>
                <w:sz w:val="20"/>
                <w:szCs w:val="20"/>
              </w:rPr>
            </w:pPr>
            <w:r w:rsidRPr="001C0C4B">
              <w:rPr>
                <w:rFonts w:cs="Arial"/>
                <w:sz w:val="20"/>
                <w:szCs w:val="20"/>
              </w:rPr>
              <w:t>EDTA</w:t>
            </w:r>
          </w:p>
        </w:tc>
        <w:tc>
          <w:tcPr>
            <w:tcW w:w="7807" w:type="dxa"/>
            <w:vAlign w:val="center"/>
          </w:tcPr>
          <w:p w14:paraId="50BEBE27" w14:textId="52AE4D95" w:rsidR="00F57203" w:rsidRPr="001C0C4B" w:rsidRDefault="00F57203" w:rsidP="003417BB">
            <w:pPr>
              <w:spacing w:after="0" w:line="240" w:lineRule="auto"/>
              <w:rPr>
                <w:rFonts w:cstheme="minorHAnsi"/>
                <w:sz w:val="20"/>
                <w:szCs w:val="20"/>
              </w:rPr>
            </w:pPr>
            <w:r w:rsidRPr="001C0C4B">
              <w:rPr>
                <w:rFonts w:cstheme="minorHAnsi"/>
                <w:sz w:val="20"/>
                <w:szCs w:val="20"/>
                <w:shd w:val="clear" w:color="auto" w:fill="FFFFFF"/>
              </w:rPr>
              <w:t>Ethylenediaminetetraacetic acid</w:t>
            </w:r>
          </w:p>
        </w:tc>
      </w:tr>
      <w:tr w:rsidR="00D23D22" w:rsidRPr="001C0C4B" w14:paraId="15527091" w14:textId="77777777" w:rsidTr="00A43E10">
        <w:trPr>
          <w:trHeight w:val="397"/>
        </w:trPr>
        <w:tc>
          <w:tcPr>
            <w:tcW w:w="1679" w:type="dxa"/>
            <w:vAlign w:val="center"/>
          </w:tcPr>
          <w:p w14:paraId="6FC7736B" w14:textId="17E93176" w:rsidR="007E7155" w:rsidRPr="001C0C4B" w:rsidRDefault="007E7155" w:rsidP="00F57203">
            <w:pPr>
              <w:spacing w:after="0" w:line="240" w:lineRule="auto"/>
              <w:rPr>
                <w:rFonts w:cs="Arial"/>
                <w:sz w:val="20"/>
                <w:szCs w:val="20"/>
              </w:rPr>
            </w:pPr>
            <w:r w:rsidRPr="001C0C4B">
              <w:rPr>
                <w:rFonts w:cs="Arial"/>
                <w:sz w:val="20"/>
                <w:szCs w:val="20"/>
              </w:rPr>
              <w:t>FBC</w:t>
            </w:r>
          </w:p>
        </w:tc>
        <w:tc>
          <w:tcPr>
            <w:tcW w:w="7807" w:type="dxa"/>
            <w:vAlign w:val="center"/>
          </w:tcPr>
          <w:p w14:paraId="51A3D5EB" w14:textId="638A18C4" w:rsidR="007E7155" w:rsidRPr="001C0C4B" w:rsidRDefault="007E7155" w:rsidP="00F57203">
            <w:pPr>
              <w:spacing w:after="0" w:line="240" w:lineRule="auto"/>
              <w:rPr>
                <w:rFonts w:cs="Arial"/>
                <w:sz w:val="20"/>
                <w:szCs w:val="20"/>
              </w:rPr>
            </w:pPr>
            <w:r w:rsidRPr="001C0C4B">
              <w:rPr>
                <w:rFonts w:ascii="Calibri" w:hAnsi="Calibri" w:cs="Calibri"/>
                <w:sz w:val="20"/>
                <w:szCs w:val="20"/>
              </w:rPr>
              <w:t>Full blood count</w:t>
            </w:r>
          </w:p>
        </w:tc>
      </w:tr>
      <w:tr w:rsidR="00D23D22" w:rsidRPr="001C0C4B" w14:paraId="19893A45" w14:textId="77777777" w:rsidTr="00A43E10">
        <w:trPr>
          <w:trHeight w:val="397"/>
        </w:trPr>
        <w:tc>
          <w:tcPr>
            <w:tcW w:w="1679" w:type="dxa"/>
            <w:vAlign w:val="center"/>
          </w:tcPr>
          <w:p w14:paraId="1B01E4E2" w14:textId="1A596134" w:rsidR="002351D6" w:rsidRPr="001C0C4B" w:rsidRDefault="002351D6" w:rsidP="00F57203">
            <w:pPr>
              <w:spacing w:after="0" w:line="240" w:lineRule="auto"/>
              <w:rPr>
                <w:rFonts w:cs="Arial"/>
                <w:sz w:val="20"/>
                <w:szCs w:val="20"/>
              </w:rPr>
            </w:pPr>
            <w:r w:rsidRPr="001C0C4B">
              <w:rPr>
                <w:rFonts w:cs="Arial"/>
                <w:sz w:val="20"/>
                <w:szCs w:val="20"/>
              </w:rPr>
              <w:t>FDA</w:t>
            </w:r>
          </w:p>
        </w:tc>
        <w:tc>
          <w:tcPr>
            <w:tcW w:w="7807" w:type="dxa"/>
            <w:vAlign w:val="center"/>
          </w:tcPr>
          <w:p w14:paraId="32B65FE2" w14:textId="562E97FF" w:rsidR="002351D6" w:rsidRPr="001C0C4B" w:rsidRDefault="002351D6" w:rsidP="00F57203">
            <w:pPr>
              <w:spacing w:after="0" w:line="240" w:lineRule="auto"/>
              <w:rPr>
                <w:rFonts w:cs="Arial"/>
                <w:sz w:val="20"/>
                <w:szCs w:val="20"/>
              </w:rPr>
            </w:pPr>
            <w:r w:rsidRPr="001C0C4B">
              <w:rPr>
                <w:rFonts w:cs="Arial"/>
                <w:sz w:val="20"/>
                <w:szCs w:val="20"/>
              </w:rPr>
              <w:t>Food and Drug Administration</w:t>
            </w:r>
          </w:p>
        </w:tc>
      </w:tr>
      <w:tr w:rsidR="00D23D22" w:rsidRPr="001C0C4B" w14:paraId="126B0259" w14:textId="77777777" w:rsidTr="00A43E10">
        <w:trPr>
          <w:trHeight w:val="397"/>
        </w:trPr>
        <w:tc>
          <w:tcPr>
            <w:tcW w:w="1679" w:type="dxa"/>
            <w:vAlign w:val="center"/>
          </w:tcPr>
          <w:p w14:paraId="02261723" w14:textId="12D5D23C" w:rsidR="00F57203" w:rsidRPr="001C0C4B" w:rsidRDefault="00F57203" w:rsidP="00F57203">
            <w:pPr>
              <w:spacing w:after="0" w:line="240" w:lineRule="auto"/>
              <w:rPr>
                <w:rFonts w:cs="Arial"/>
                <w:sz w:val="20"/>
                <w:szCs w:val="20"/>
              </w:rPr>
            </w:pPr>
            <w:r w:rsidRPr="001C0C4B">
              <w:rPr>
                <w:rFonts w:cs="Arial"/>
                <w:sz w:val="20"/>
                <w:szCs w:val="20"/>
              </w:rPr>
              <w:t>GCP</w:t>
            </w:r>
          </w:p>
        </w:tc>
        <w:tc>
          <w:tcPr>
            <w:tcW w:w="7807" w:type="dxa"/>
            <w:vAlign w:val="center"/>
          </w:tcPr>
          <w:p w14:paraId="0A524D45" w14:textId="2FEF15E0" w:rsidR="00F57203" w:rsidRPr="001C0C4B" w:rsidRDefault="00F57203" w:rsidP="00F57203">
            <w:pPr>
              <w:spacing w:after="0" w:line="240" w:lineRule="auto"/>
              <w:rPr>
                <w:rFonts w:cs="Arial"/>
                <w:sz w:val="20"/>
                <w:szCs w:val="20"/>
              </w:rPr>
            </w:pPr>
            <w:r w:rsidRPr="001C0C4B">
              <w:rPr>
                <w:rFonts w:cs="Arial"/>
                <w:sz w:val="20"/>
                <w:szCs w:val="20"/>
              </w:rPr>
              <w:t>Good Clinical Practice</w:t>
            </w:r>
          </w:p>
        </w:tc>
      </w:tr>
      <w:tr w:rsidR="00D23D22" w:rsidRPr="001C0C4B" w14:paraId="01C20C43" w14:textId="77777777" w:rsidTr="00A43E10">
        <w:trPr>
          <w:trHeight w:val="397"/>
        </w:trPr>
        <w:tc>
          <w:tcPr>
            <w:tcW w:w="1679" w:type="dxa"/>
            <w:vAlign w:val="center"/>
          </w:tcPr>
          <w:p w14:paraId="792414DE" w14:textId="1D24CE03" w:rsidR="00F57203" w:rsidRPr="001C0C4B" w:rsidRDefault="00F57203" w:rsidP="00F57203">
            <w:pPr>
              <w:spacing w:after="0" w:line="240" w:lineRule="auto"/>
              <w:rPr>
                <w:rFonts w:cs="Arial"/>
                <w:sz w:val="20"/>
                <w:szCs w:val="20"/>
              </w:rPr>
            </w:pPr>
            <w:r w:rsidRPr="001C0C4B">
              <w:rPr>
                <w:rFonts w:cs="Arial"/>
                <w:sz w:val="20"/>
                <w:szCs w:val="20"/>
              </w:rPr>
              <w:t>ICF</w:t>
            </w:r>
          </w:p>
        </w:tc>
        <w:tc>
          <w:tcPr>
            <w:tcW w:w="7807" w:type="dxa"/>
            <w:vAlign w:val="center"/>
          </w:tcPr>
          <w:p w14:paraId="78417212" w14:textId="27FFFDC4" w:rsidR="00F57203" w:rsidRPr="001C0C4B" w:rsidRDefault="00F57203" w:rsidP="00F57203">
            <w:pPr>
              <w:spacing w:after="0" w:line="240" w:lineRule="auto"/>
              <w:rPr>
                <w:rFonts w:cs="Arial"/>
                <w:sz w:val="20"/>
                <w:szCs w:val="20"/>
              </w:rPr>
            </w:pPr>
            <w:r w:rsidRPr="001C0C4B">
              <w:rPr>
                <w:rFonts w:cs="Arial"/>
                <w:sz w:val="20"/>
                <w:szCs w:val="20"/>
              </w:rPr>
              <w:t>Informed Consent Form</w:t>
            </w:r>
          </w:p>
        </w:tc>
      </w:tr>
      <w:tr w:rsidR="00D23D22" w:rsidRPr="001C0C4B" w14:paraId="6DE82329" w14:textId="77777777" w:rsidTr="00A43E10">
        <w:trPr>
          <w:trHeight w:val="397"/>
        </w:trPr>
        <w:tc>
          <w:tcPr>
            <w:tcW w:w="1679" w:type="dxa"/>
            <w:vAlign w:val="center"/>
          </w:tcPr>
          <w:p w14:paraId="49A8515C" w14:textId="4DFB4C27" w:rsidR="00F57203" w:rsidRPr="001C0C4B" w:rsidRDefault="00F57203" w:rsidP="00F57203">
            <w:pPr>
              <w:spacing w:after="0" w:line="240" w:lineRule="auto"/>
              <w:rPr>
                <w:rFonts w:cs="Arial"/>
                <w:sz w:val="20"/>
                <w:szCs w:val="20"/>
              </w:rPr>
            </w:pPr>
            <w:r w:rsidRPr="001C0C4B">
              <w:rPr>
                <w:rFonts w:cs="Arial"/>
                <w:sz w:val="20"/>
                <w:szCs w:val="20"/>
              </w:rPr>
              <w:t>ICH</w:t>
            </w:r>
          </w:p>
        </w:tc>
        <w:tc>
          <w:tcPr>
            <w:tcW w:w="7807" w:type="dxa"/>
            <w:vAlign w:val="center"/>
          </w:tcPr>
          <w:p w14:paraId="594602D9" w14:textId="3CA554AD" w:rsidR="00F57203" w:rsidRPr="001C0C4B" w:rsidRDefault="00F57203" w:rsidP="00F57203">
            <w:pPr>
              <w:spacing w:after="0" w:line="240" w:lineRule="auto"/>
              <w:rPr>
                <w:rFonts w:cs="Arial"/>
                <w:sz w:val="20"/>
                <w:szCs w:val="20"/>
              </w:rPr>
            </w:pPr>
            <w:r w:rsidRPr="001C0C4B">
              <w:rPr>
                <w:rFonts w:cs="Arial"/>
                <w:sz w:val="20"/>
                <w:szCs w:val="20"/>
              </w:rPr>
              <w:t>International Conference on Harmonisation</w:t>
            </w:r>
          </w:p>
        </w:tc>
      </w:tr>
      <w:tr w:rsidR="00D23D22" w:rsidRPr="001C0C4B" w14:paraId="77260C87" w14:textId="77777777" w:rsidTr="00A43E10">
        <w:trPr>
          <w:trHeight w:val="397"/>
        </w:trPr>
        <w:tc>
          <w:tcPr>
            <w:tcW w:w="1679" w:type="dxa"/>
            <w:vAlign w:val="center"/>
          </w:tcPr>
          <w:p w14:paraId="1CD1BA55" w14:textId="2240BDBA" w:rsidR="002351D6" w:rsidRPr="001C0C4B" w:rsidRDefault="002351D6" w:rsidP="00F57203">
            <w:pPr>
              <w:spacing w:after="0" w:line="240" w:lineRule="auto"/>
              <w:rPr>
                <w:rFonts w:cs="Arial"/>
                <w:sz w:val="20"/>
                <w:szCs w:val="20"/>
              </w:rPr>
            </w:pPr>
            <w:r w:rsidRPr="001C0C4B">
              <w:rPr>
                <w:rFonts w:cs="Arial"/>
                <w:sz w:val="20"/>
                <w:szCs w:val="20"/>
              </w:rPr>
              <w:t>IL</w:t>
            </w:r>
          </w:p>
        </w:tc>
        <w:tc>
          <w:tcPr>
            <w:tcW w:w="7807" w:type="dxa"/>
            <w:vAlign w:val="center"/>
          </w:tcPr>
          <w:p w14:paraId="34E603A1" w14:textId="367DE4E6" w:rsidR="002351D6" w:rsidRPr="001C0C4B" w:rsidRDefault="002351D6" w:rsidP="00F57203">
            <w:pPr>
              <w:spacing w:after="0" w:line="240" w:lineRule="auto"/>
              <w:rPr>
                <w:rFonts w:cstheme="minorHAnsi"/>
                <w:b/>
                <w:bCs/>
                <w:sz w:val="20"/>
                <w:szCs w:val="20"/>
              </w:rPr>
            </w:pPr>
            <w:r w:rsidRPr="001C0C4B">
              <w:rPr>
                <w:rStyle w:val="Strong"/>
                <w:rFonts w:cstheme="minorHAnsi"/>
                <w:b w:val="0"/>
                <w:bCs w:val="0"/>
                <w:sz w:val="20"/>
                <w:szCs w:val="20"/>
                <w:shd w:val="clear" w:color="auto" w:fill="FFFFFF"/>
              </w:rPr>
              <w:t>Interleukin</w:t>
            </w:r>
          </w:p>
        </w:tc>
      </w:tr>
      <w:tr w:rsidR="00D23D22" w:rsidRPr="001C0C4B" w14:paraId="23210CB2" w14:textId="77777777" w:rsidTr="00A43E10">
        <w:trPr>
          <w:trHeight w:val="397"/>
        </w:trPr>
        <w:tc>
          <w:tcPr>
            <w:tcW w:w="1679" w:type="dxa"/>
            <w:vAlign w:val="center"/>
          </w:tcPr>
          <w:p w14:paraId="29606802" w14:textId="47D8F59C" w:rsidR="002351D6" w:rsidRPr="001C0C4B" w:rsidRDefault="002351D6" w:rsidP="00F57203">
            <w:pPr>
              <w:spacing w:after="0" w:line="240" w:lineRule="auto"/>
              <w:rPr>
                <w:rFonts w:cs="Arial"/>
                <w:sz w:val="20"/>
                <w:szCs w:val="20"/>
              </w:rPr>
            </w:pPr>
            <w:r w:rsidRPr="001C0C4B">
              <w:rPr>
                <w:rFonts w:cs="Arial"/>
                <w:sz w:val="20"/>
                <w:szCs w:val="20"/>
              </w:rPr>
              <w:t>IM</w:t>
            </w:r>
          </w:p>
        </w:tc>
        <w:tc>
          <w:tcPr>
            <w:tcW w:w="7807" w:type="dxa"/>
            <w:vAlign w:val="center"/>
          </w:tcPr>
          <w:p w14:paraId="7282E892" w14:textId="07985A58" w:rsidR="002351D6" w:rsidRPr="001C0C4B" w:rsidRDefault="002351D6" w:rsidP="00F57203">
            <w:pPr>
              <w:spacing w:after="0" w:line="240" w:lineRule="auto"/>
              <w:rPr>
                <w:rFonts w:cs="Arial"/>
                <w:sz w:val="20"/>
                <w:szCs w:val="20"/>
              </w:rPr>
            </w:pPr>
            <w:r w:rsidRPr="001C0C4B">
              <w:rPr>
                <w:rFonts w:cs="Arial"/>
                <w:sz w:val="20"/>
                <w:szCs w:val="20"/>
              </w:rPr>
              <w:t>Intramuscular</w:t>
            </w:r>
          </w:p>
        </w:tc>
      </w:tr>
      <w:tr w:rsidR="00D23D22" w:rsidRPr="001C0C4B" w14:paraId="1CA0A177" w14:textId="77777777" w:rsidTr="00A43E10">
        <w:trPr>
          <w:trHeight w:val="397"/>
        </w:trPr>
        <w:tc>
          <w:tcPr>
            <w:tcW w:w="1679" w:type="dxa"/>
            <w:vAlign w:val="center"/>
          </w:tcPr>
          <w:p w14:paraId="0B637D49" w14:textId="15914261" w:rsidR="00F57203" w:rsidRPr="001C0C4B" w:rsidRDefault="00F57203" w:rsidP="00F57203">
            <w:pPr>
              <w:spacing w:after="0" w:line="240" w:lineRule="auto"/>
              <w:rPr>
                <w:rFonts w:cs="Arial"/>
                <w:sz w:val="20"/>
                <w:szCs w:val="20"/>
              </w:rPr>
            </w:pPr>
            <w:r w:rsidRPr="001C0C4B">
              <w:rPr>
                <w:rFonts w:cs="Arial"/>
                <w:sz w:val="20"/>
                <w:szCs w:val="20"/>
              </w:rPr>
              <w:t>IMP</w:t>
            </w:r>
          </w:p>
        </w:tc>
        <w:tc>
          <w:tcPr>
            <w:tcW w:w="7807" w:type="dxa"/>
            <w:vAlign w:val="center"/>
          </w:tcPr>
          <w:p w14:paraId="02CA0EA6" w14:textId="00AC4F25" w:rsidR="00F57203" w:rsidRPr="001C0C4B" w:rsidRDefault="00F57203" w:rsidP="00F57203">
            <w:pPr>
              <w:spacing w:after="0" w:line="240" w:lineRule="auto"/>
              <w:rPr>
                <w:rFonts w:cs="Arial"/>
                <w:sz w:val="20"/>
                <w:szCs w:val="20"/>
              </w:rPr>
            </w:pPr>
            <w:r w:rsidRPr="001C0C4B">
              <w:rPr>
                <w:rFonts w:cs="Arial"/>
                <w:sz w:val="20"/>
                <w:szCs w:val="20"/>
              </w:rPr>
              <w:t>Investigational Medicinal Product</w:t>
            </w:r>
          </w:p>
        </w:tc>
      </w:tr>
      <w:tr w:rsidR="00D23D22" w:rsidRPr="001C0C4B" w14:paraId="1AC4FD5F" w14:textId="77777777" w:rsidTr="00A43E10">
        <w:trPr>
          <w:trHeight w:val="397"/>
        </w:trPr>
        <w:tc>
          <w:tcPr>
            <w:tcW w:w="1679" w:type="dxa"/>
            <w:vAlign w:val="center"/>
          </w:tcPr>
          <w:p w14:paraId="41A4FA97" w14:textId="0EC093B9" w:rsidR="002351D6" w:rsidRPr="001C0C4B" w:rsidRDefault="002351D6" w:rsidP="00F57203">
            <w:pPr>
              <w:spacing w:after="0" w:line="240" w:lineRule="auto"/>
              <w:rPr>
                <w:rFonts w:cs="Arial"/>
                <w:sz w:val="20"/>
                <w:szCs w:val="20"/>
              </w:rPr>
            </w:pPr>
            <w:r w:rsidRPr="001C0C4B">
              <w:rPr>
                <w:rFonts w:cs="Arial"/>
                <w:sz w:val="20"/>
                <w:szCs w:val="20"/>
              </w:rPr>
              <w:t>IV</w:t>
            </w:r>
          </w:p>
        </w:tc>
        <w:tc>
          <w:tcPr>
            <w:tcW w:w="7807" w:type="dxa"/>
            <w:vAlign w:val="center"/>
          </w:tcPr>
          <w:p w14:paraId="712E5D7A" w14:textId="5B9B1AB0" w:rsidR="002351D6" w:rsidRPr="001C0C4B" w:rsidRDefault="002351D6" w:rsidP="00F57203">
            <w:pPr>
              <w:spacing w:after="0" w:line="240" w:lineRule="auto"/>
              <w:rPr>
                <w:rFonts w:cs="Arial"/>
                <w:sz w:val="20"/>
                <w:szCs w:val="20"/>
              </w:rPr>
            </w:pPr>
            <w:r w:rsidRPr="001C0C4B">
              <w:rPr>
                <w:rFonts w:cs="Arial"/>
                <w:sz w:val="20"/>
                <w:szCs w:val="20"/>
              </w:rPr>
              <w:t>Intravenous</w:t>
            </w:r>
          </w:p>
        </w:tc>
      </w:tr>
      <w:tr w:rsidR="00D23D22" w:rsidRPr="001C0C4B" w14:paraId="4EEE8F0F" w14:textId="77777777" w:rsidTr="00A43E10">
        <w:trPr>
          <w:trHeight w:val="397"/>
        </w:trPr>
        <w:tc>
          <w:tcPr>
            <w:tcW w:w="1679" w:type="dxa"/>
            <w:vAlign w:val="center"/>
          </w:tcPr>
          <w:p w14:paraId="423F049A" w14:textId="1DC23204" w:rsidR="007E7155" w:rsidRPr="001C0C4B" w:rsidRDefault="007E7155" w:rsidP="00F57203">
            <w:pPr>
              <w:spacing w:after="0" w:line="240" w:lineRule="auto"/>
              <w:rPr>
                <w:rFonts w:cstheme="minorHAnsi"/>
                <w:sz w:val="20"/>
                <w:szCs w:val="20"/>
              </w:rPr>
            </w:pPr>
            <w:r w:rsidRPr="001C0C4B">
              <w:rPr>
                <w:rFonts w:cstheme="minorHAnsi"/>
                <w:sz w:val="20"/>
                <w:szCs w:val="20"/>
              </w:rPr>
              <w:t>LDH</w:t>
            </w:r>
          </w:p>
        </w:tc>
        <w:tc>
          <w:tcPr>
            <w:tcW w:w="7807" w:type="dxa"/>
            <w:vAlign w:val="center"/>
          </w:tcPr>
          <w:p w14:paraId="06A04E75" w14:textId="3256646D" w:rsidR="007E7155" w:rsidRPr="001C0C4B" w:rsidRDefault="007E7155" w:rsidP="00F57203">
            <w:pPr>
              <w:spacing w:after="0" w:line="240" w:lineRule="auto"/>
              <w:rPr>
                <w:rFonts w:cstheme="minorHAnsi"/>
                <w:sz w:val="20"/>
                <w:szCs w:val="20"/>
              </w:rPr>
            </w:pPr>
            <w:r w:rsidRPr="001C0C4B">
              <w:rPr>
                <w:rFonts w:cstheme="minorHAnsi"/>
                <w:sz w:val="20"/>
                <w:szCs w:val="20"/>
              </w:rPr>
              <w:t>Lactate dehydrogenase</w:t>
            </w:r>
          </w:p>
        </w:tc>
      </w:tr>
      <w:tr w:rsidR="00D23D22" w:rsidRPr="001C0C4B" w14:paraId="2FCA29AE" w14:textId="77777777" w:rsidTr="00A43E10">
        <w:trPr>
          <w:trHeight w:val="397"/>
        </w:trPr>
        <w:tc>
          <w:tcPr>
            <w:tcW w:w="1679" w:type="dxa"/>
            <w:vAlign w:val="center"/>
          </w:tcPr>
          <w:p w14:paraId="5C6633EB" w14:textId="04BE3B95" w:rsidR="007E7155" w:rsidRPr="001C0C4B" w:rsidRDefault="007E7155" w:rsidP="00F57203">
            <w:pPr>
              <w:spacing w:after="0" w:line="240" w:lineRule="auto"/>
              <w:rPr>
                <w:rFonts w:cstheme="minorHAnsi"/>
                <w:sz w:val="20"/>
                <w:szCs w:val="20"/>
              </w:rPr>
            </w:pPr>
            <w:r w:rsidRPr="001C0C4B">
              <w:rPr>
                <w:rFonts w:cstheme="minorHAnsi"/>
                <w:sz w:val="20"/>
                <w:szCs w:val="20"/>
              </w:rPr>
              <w:t>LFT</w:t>
            </w:r>
          </w:p>
        </w:tc>
        <w:tc>
          <w:tcPr>
            <w:tcW w:w="7807" w:type="dxa"/>
            <w:vAlign w:val="center"/>
          </w:tcPr>
          <w:p w14:paraId="57E2B86E" w14:textId="2EB42E25" w:rsidR="007E7155" w:rsidRPr="001C0C4B" w:rsidRDefault="007E7155" w:rsidP="00F57203">
            <w:pPr>
              <w:spacing w:after="0" w:line="240" w:lineRule="auto"/>
              <w:rPr>
                <w:rFonts w:cstheme="minorHAnsi"/>
                <w:sz w:val="20"/>
                <w:szCs w:val="20"/>
              </w:rPr>
            </w:pPr>
            <w:r w:rsidRPr="001C0C4B">
              <w:rPr>
                <w:rFonts w:cstheme="minorHAnsi"/>
                <w:sz w:val="20"/>
                <w:szCs w:val="20"/>
              </w:rPr>
              <w:t>Liver function test</w:t>
            </w:r>
          </w:p>
        </w:tc>
      </w:tr>
      <w:tr w:rsidR="00D23D22" w:rsidRPr="001C0C4B" w14:paraId="3841695F" w14:textId="77777777" w:rsidTr="00A43E10">
        <w:trPr>
          <w:trHeight w:val="397"/>
        </w:trPr>
        <w:tc>
          <w:tcPr>
            <w:tcW w:w="1679" w:type="dxa"/>
            <w:vAlign w:val="center"/>
          </w:tcPr>
          <w:p w14:paraId="65E6892A" w14:textId="7A07AFD6" w:rsidR="00F57203" w:rsidRPr="001C0C4B" w:rsidRDefault="00F57203" w:rsidP="00F57203">
            <w:pPr>
              <w:spacing w:after="0" w:line="240" w:lineRule="auto"/>
              <w:rPr>
                <w:rFonts w:cs="Arial"/>
                <w:sz w:val="20"/>
                <w:szCs w:val="20"/>
              </w:rPr>
            </w:pPr>
            <w:r w:rsidRPr="001C0C4B">
              <w:rPr>
                <w:rFonts w:cstheme="minorHAnsi"/>
                <w:sz w:val="20"/>
                <w:szCs w:val="20"/>
              </w:rPr>
              <w:t>MORU</w:t>
            </w:r>
          </w:p>
        </w:tc>
        <w:tc>
          <w:tcPr>
            <w:tcW w:w="7807" w:type="dxa"/>
            <w:vAlign w:val="center"/>
          </w:tcPr>
          <w:p w14:paraId="58290213" w14:textId="13F18D58" w:rsidR="00F57203" w:rsidRPr="001C0C4B" w:rsidRDefault="00F57203" w:rsidP="00F57203">
            <w:pPr>
              <w:spacing w:after="0" w:line="240" w:lineRule="auto"/>
              <w:rPr>
                <w:rFonts w:cs="Arial"/>
                <w:sz w:val="20"/>
                <w:szCs w:val="20"/>
              </w:rPr>
            </w:pPr>
            <w:r w:rsidRPr="001C0C4B">
              <w:rPr>
                <w:rFonts w:cstheme="minorHAnsi"/>
                <w:sz w:val="20"/>
                <w:szCs w:val="20"/>
              </w:rPr>
              <w:t>Mahidol Oxford Tropical Medicine Research Unit</w:t>
            </w:r>
          </w:p>
        </w:tc>
      </w:tr>
      <w:tr w:rsidR="00D23D22" w:rsidRPr="001C0C4B" w14:paraId="5CAB7E1B" w14:textId="77777777" w:rsidTr="00A43E10">
        <w:trPr>
          <w:trHeight w:val="397"/>
        </w:trPr>
        <w:tc>
          <w:tcPr>
            <w:tcW w:w="1679" w:type="dxa"/>
            <w:vAlign w:val="center"/>
          </w:tcPr>
          <w:p w14:paraId="733F74CE" w14:textId="04881A35" w:rsidR="00C12A56" w:rsidRPr="001C0C4B" w:rsidRDefault="00C12A56" w:rsidP="00F57203">
            <w:pPr>
              <w:spacing w:after="0" w:line="240" w:lineRule="auto"/>
              <w:rPr>
                <w:rFonts w:cs="Arial"/>
                <w:sz w:val="20"/>
                <w:szCs w:val="20"/>
              </w:rPr>
            </w:pPr>
            <w:r w:rsidRPr="001C0C4B">
              <w:rPr>
                <w:rFonts w:cs="Arial"/>
                <w:sz w:val="20"/>
                <w:szCs w:val="20"/>
              </w:rPr>
              <w:t>NGS</w:t>
            </w:r>
          </w:p>
        </w:tc>
        <w:tc>
          <w:tcPr>
            <w:tcW w:w="7807" w:type="dxa"/>
            <w:vAlign w:val="center"/>
          </w:tcPr>
          <w:p w14:paraId="6470F673" w14:textId="4812BFFE" w:rsidR="00C12A56" w:rsidRPr="001C0C4B" w:rsidRDefault="00C12A56" w:rsidP="00F57203">
            <w:pPr>
              <w:spacing w:after="0" w:line="240" w:lineRule="auto"/>
              <w:rPr>
                <w:rFonts w:cs="Arial"/>
                <w:sz w:val="20"/>
                <w:szCs w:val="20"/>
              </w:rPr>
            </w:pPr>
            <w:r w:rsidRPr="001C0C4B">
              <w:rPr>
                <w:rFonts w:ascii="Calibri" w:hAnsi="Calibri" w:cs="Calibri"/>
                <w:sz w:val="20"/>
                <w:szCs w:val="20"/>
              </w:rPr>
              <w:t>Next Generation Sequencing</w:t>
            </w:r>
          </w:p>
        </w:tc>
      </w:tr>
      <w:tr w:rsidR="00D23D22" w:rsidRPr="001C0C4B" w14:paraId="365C81B5" w14:textId="77777777" w:rsidTr="00A43E10">
        <w:trPr>
          <w:trHeight w:val="397"/>
        </w:trPr>
        <w:tc>
          <w:tcPr>
            <w:tcW w:w="1679" w:type="dxa"/>
            <w:vAlign w:val="center"/>
          </w:tcPr>
          <w:p w14:paraId="740A63A5" w14:textId="15585C22" w:rsidR="00F57203" w:rsidRPr="001C0C4B" w:rsidRDefault="00F57203" w:rsidP="00F57203">
            <w:pPr>
              <w:spacing w:after="0" w:line="240" w:lineRule="auto"/>
              <w:rPr>
                <w:rFonts w:cstheme="minorHAnsi"/>
                <w:sz w:val="20"/>
                <w:szCs w:val="20"/>
              </w:rPr>
            </w:pPr>
            <w:r w:rsidRPr="001C0C4B">
              <w:rPr>
                <w:rFonts w:cs="Arial"/>
                <w:sz w:val="20"/>
                <w:szCs w:val="20"/>
              </w:rPr>
              <w:t>OxTREC</w:t>
            </w:r>
          </w:p>
        </w:tc>
        <w:tc>
          <w:tcPr>
            <w:tcW w:w="7807" w:type="dxa"/>
            <w:vAlign w:val="center"/>
          </w:tcPr>
          <w:p w14:paraId="4D9DB603" w14:textId="79D335BA" w:rsidR="00F57203" w:rsidRPr="001C0C4B" w:rsidRDefault="00F57203" w:rsidP="00F57203">
            <w:pPr>
              <w:spacing w:after="0" w:line="240" w:lineRule="auto"/>
              <w:rPr>
                <w:rFonts w:cstheme="minorHAnsi"/>
                <w:sz w:val="20"/>
                <w:szCs w:val="20"/>
              </w:rPr>
            </w:pPr>
            <w:r w:rsidRPr="001C0C4B">
              <w:rPr>
                <w:rFonts w:cs="Arial"/>
                <w:sz w:val="20"/>
                <w:szCs w:val="20"/>
              </w:rPr>
              <w:t>Oxford Tropical Research Ethics Committee</w:t>
            </w:r>
          </w:p>
        </w:tc>
      </w:tr>
      <w:tr w:rsidR="00D23D22" w:rsidRPr="001C0C4B" w14:paraId="55F5B2DB" w14:textId="77777777" w:rsidTr="00A43E10">
        <w:trPr>
          <w:trHeight w:val="397"/>
        </w:trPr>
        <w:tc>
          <w:tcPr>
            <w:tcW w:w="1679" w:type="dxa"/>
            <w:vAlign w:val="center"/>
          </w:tcPr>
          <w:p w14:paraId="2AD67E00" w14:textId="1B71543C" w:rsidR="00F57203" w:rsidRPr="001C0C4B" w:rsidRDefault="00F57203" w:rsidP="00F57203">
            <w:pPr>
              <w:spacing w:after="0" w:line="240" w:lineRule="auto"/>
              <w:rPr>
                <w:rFonts w:cs="Arial"/>
                <w:sz w:val="20"/>
                <w:szCs w:val="20"/>
              </w:rPr>
            </w:pPr>
            <w:r w:rsidRPr="001C0C4B">
              <w:rPr>
                <w:rFonts w:cs="Arial"/>
                <w:sz w:val="20"/>
                <w:szCs w:val="20"/>
              </w:rPr>
              <w:t>PD</w:t>
            </w:r>
          </w:p>
        </w:tc>
        <w:tc>
          <w:tcPr>
            <w:tcW w:w="7807" w:type="dxa"/>
            <w:vAlign w:val="center"/>
          </w:tcPr>
          <w:p w14:paraId="01AC9C52" w14:textId="5E4D52D8" w:rsidR="00F57203" w:rsidRPr="001C0C4B" w:rsidRDefault="00F57203" w:rsidP="00F57203">
            <w:pPr>
              <w:spacing w:after="0" w:line="240" w:lineRule="auto"/>
              <w:rPr>
                <w:rFonts w:cs="Arial"/>
                <w:sz w:val="20"/>
                <w:szCs w:val="20"/>
              </w:rPr>
            </w:pPr>
            <w:r w:rsidRPr="001C0C4B">
              <w:rPr>
                <w:rFonts w:cs="Arial"/>
                <w:sz w:val="20"/>
                <w:szCs w:val="20"/>
              </w:rPr>
              <w:t>Pharmacodynamic</w:t>
            </w:r>
          </w:p>
        </w:tc>
      </w:tr>
      <w:tr w:rsidR="00D23D22" w:rsidRPr="001C0C4B" w14:paraId="36B7CF96" w14:textId="77777777" w:rsidTr="00A43E10">
        <w:trPr>
          <w:trHeight w:val="397"/>
        </w:trPr>
        <w:tc>
          <w:tcPr>
            <w:tcW w:w="1679" w:type="dxa"/>
            <w:vAlign w:val="center"/>
          </w:tcPr>
          <w:p w14:paraId="0C5D133A" w14:textId="62335248" w:rsidR="00F57203" w:rsidRPr="001C0C4B" w:rsidRDefault="00F57203" w:rsidP="00F57203">
            <w:pPr>
              <w:spacing w:after="0" w:line="240" w:lineRule="auto"/>
              <w:rPr>
                <w:rFonts w:cs="Arial"/>
                <w:sz w:val="20"/>
                <w:szCs w:val="20"/>
              </w:rPr>
            </w:pPr>
            <w:r w:rsidRPr="001C0C4B">
              <w:rPr>
                <w:rFonts w:cs="Arial"/>
                <w:sz w:val="20"/>
                <w:szCs w:val="20"/>
              </w:rPr>
              <w:t>PI</w:t>
            </w:r>
          </w:p>
        </w:tc>
        <w:tc>
          <w:tcPr>
            <w:tcW w:w="7807" w:type="dxa"/>
            <w:vAlign w:val="center"/>
          </w:tcPr>
          <w:p w14:paraId="69B743FA" w14:textId="1C6363C2" w:rsidR="00F57203" w:rsidRPr="001C0C4B" w:rsidRDefault="00F57203" w:rsidP="00F57203">
            <w:pPr>
              <w:spacing w:after="0" w:line="240" w:lineRule="auto"/>
              <w:rPr>
                <w:rFonts w:cs="Arial"/>
                <w:sz w:val="20"/>
                <w:szCs w:val="20"/>
              </w:rPr>
            </w:pPr>
            <w:r w:rsidRPr="001C0C4B">
              <w:rPr>
                <w:rFonts w:cs="Arial"/>
                <w:sz w:val="20"/>
                <w:szCs w:val="20"/>
              </w:rPr>
              <w:t>Prinicipal investigator</w:t>
            </w:r>
          </w:p>
        </w:tc>
      </w:tr>
      <w:tr w:rsidR="00D23D22" w:rsidRPr="001C0C4B" w14:paraId="2BB8370C" w14:textId="77777777" w:rsidTr="00A43E10">
        <w:trPr>
          <w:trHeight w:val="397"/>
        </w:trPr>
        <w:tc>
          <w:tcPr>
            <w:tcW w:w="1679" w:type="dxa"/>
            <w:vAlign w:val="center"/>
          </w:tcPr>
          <w:p w14:paraId="4FC9ECF6" w14:textId="3DB645F8" w:rsidR="00F57203" w:rsidRPr="001C0C4B" w:rsidRDefault="00F57203" w:rsidP="00F57203">
            <w:pPr>
              <w:spacing w:after="0" w:line="240" w:lineRule="auto"/>
              <w:rPr>
                <w:rFonts w:cstheme="minorHAnsi"/>
                <w:sz w:val="20"/>
                <w:szCs w:val="20"/>
              </w:rPr>
            </w:pPr>
            <w:r w:rsidRPr="001C0C4B">
              <w:rPr>
                <w:rFonts w:cstheme="minorHAnsi"/>
                <w:sz w:val="20"/>
                <w:szCs w:val="20"/>
              </w:rPr>
              <w:t>PK</w:t>
            </w:r>
          </w:p>
        </w:tc>
        <w:tc>
          <w:tcPr>
            <w:tcW w:w="7807" w:type="dxa"/>
            <w:vAlign w:val="center"/>
          </w:tcPr>
          <w:p w14:paraId="10947E26" w14:textId="19161E9F" w:rsidR="00F57203" w:rsidRPr="001C0C4B" w:rsidRDefault="00F57203" w:rsidP="00F57203">
            <w:pPr>
              <w:spacing w:after="0" w:line="240" w:lineRule="auto"/>
              <w:rPr>
                <w:rFonts w:cstheme="minorHAnsi"/>
                <w:sz w:val="20"/>
                <w:szCs w:val="20"/>
              </w:rPr>
            </w:pPr>
            <w:r w:rsidRPr="001C0C4B">
              <w:rPr>
                <w:rFonts w:cstheme="minorHAnsi"/>
                <w:sz w:val="20"/>
                <w:szCs w:val="20"/>
              </w:rPr>
              <w:t>Pharmacokinetics</w:t>
            </w:r>
          </w:p>
        </w:tc>
      </w:tr>
      <w:tr w:rsidR="00D23D22" w:rsidRPr="001C0C4B" w14:paraId="0E9C7442" w14:textId="77777777" w:rsidTr="00A43E10">
        <w:trPr>
          <w:trHeight w:val="397"/>
        </w:trPr>
        <w:tc>
          <w:tcPr>
            <w:tcW w:w="1679" w:type="dxa"/>
            <w:vAlign w:val="center"/>
          </w:tcPr>
          <w:p w14:paraId="685C9964" w14:textId="10A6E26D" w:rsidR="00F57203" w:rsidRPr="001C0C4B" w:rsidRDefault="00F57203" w:rsidP="00F57203">
            <w:pPr>
              <w:spacing w:after="0" w:line="240" w:lineRule="auto"/>
              <w:rPr>
                <w:rFonts w:cs="Arial"/>
                <w:sz w:val="20"/>
                <w:szCs w:val="20"/>
              </w:rPr>
            </w:pPr>
            <w:r w:rsidRPr="001C0C4B">
              <w:rPr>
                <w:rFonts w:cs="Arial"/>
                <w:sz w:val="20"/>
                <w:szCs w:val="20"/>
              </w:rPr>
              <w:t>POC</w:t>
            </w:r>
          </w:p>
        </w:tc>
        <w:tc>
          <w:tcPr>
            <w:tcW w:w="7807" w:type="dxa"/>
            <w:vAlign w:val="center"/>
          </w:tcPr>
          <w:p w14:paraId="437585D7" w14:textId="1A07B449" w:rsidR="00F57203" w:rsidRPr="001C0C4B" w:rsidRDefault="00F57203" w:rsidP="00F57203">
            <w:pPr>
              <w:spacing w:after="0" w:line="240" w:lineRule="auto"/>
              <w:rPr>
                <w:rFonts w:cs="Arial"/>
                <w:sz w:val="20"/>
                <w:szCs w:val="20"/>
              </w:rPr>
            </w:pPr>
            <w:r w:rsidRPr="001C0C4B">
              <w:rPr>
                <w:rFonts w:cs="Arial"/>
                <w:sz w:val="20"/>
                <w:szCs w:val="20"/>
              </w:rPr>
              <w:t>Point-of-care</w:t>
            </w:r>
          </w:p>
        </w:tc>
      </w:tr>
      <w:tr w:rsidR="00D23D22" w:rsidRPr="001C0C4B" w14:paraId="2EB7033D" w14:textId="77777777" w:rsidTr="00A43E10">
        <w:trPr>
          <w:trHeight w:val="397"/>
        </w:trPr>
        <w:tc>
          <w:tcPr>
            <w:tcW w:w="1679" w:type="dxa"/>
            <w:vAlign w:val="center"/>
          </w:tcPr>
          <w:p w14:paraId="38E01DCD" w14:textId="24DC64C9" w:rsidR="007E7155" w:rsidRPr="001C0C4B" w:rsidRDefault="007E7155" w:rsidP="00F57203">
            <w:pPr>
              <w:spacing w:after="0" w:line="240" w:lineRule="auto"/>
              <w:rPr>
                <w:rFonts w:cs="Arial"/>
                <w:sz w:val="20"/>
                <w:szCs w:val="20"/>
              </w:rPr>
            </w:pPr>
            <w:r w:rsidRPr="001C0C4B">
              <w:rPr>
                <w:rFonts w:cs="Arial"/>
                <w:sz w:val="20"/>
                <w:szCs w:val="20"/>
              </w:rPr>
              <w:t>PPE</w:t>
            </w:r>
          </w:p>
        </w:tc>
        <w:tc>
          <w:tcPr>
            <w:tcW w:w="7807" w:type="dxa"/>
            <w:vAlign w:val="center"/>
          </w:tcPr>
          <w:p w14:paraId="08E40596" w14:textId="7C35DF8E" w:rsidR="007E7155" w:rsidRPr="001C0C4B" w:rsidRDefault="007E7155" w:rsidP="00F57203">
            <w:pPr>
              <w:spacing w:after="0" w:line="240" w:lineRule="auto"/>
              <w:rPr>
                <w:rFonts w:cs="Arial"/>
                <w:sz w:val="20"/>
                <w:szCs w:val="20"/>
              </w:rPr>
            </w:pPr>
            <w:r w:rsidRPr="001C0C4B">
              <w:rPr>
                <w:rFonts w:ascii="Calibri" w:hAnsi="Calibri" w:cs="Calibri"/>
                <w:sz w:val="20"/>
                <w:szCs w:val="20"/>
              </w:rPr>
              <w:t>Personal protective equipment</w:t>
            </w:r>
          </w:p>
        </w:tc>
      </w:tr>
      <w:tr w:rsidR="00D23D22" w:rsidRPr="001C0C4B" w14:paraId="6329943D" w14:textId="77777777" w:rsidTr="00A43E10">
        <w:trPr>
          <w:trHeight w:val="397"/>
        </w:trPr>
        <w:tc>
          <w:tcPr>
            <w:tcW w:w="1679" w:type="dxa"/>
            <w:vAlign w:val="center"/>
          </w:tcPr>
          <w:p w14:paraId="44A38F20" w14:textId="4FD9F80C" w:rsidR="00F57203" w:rsidRPr="001C0C4B" w:rsidRDefault="00F57203" w:rsidP="00F57203">
            <w:pPr>
              <w:spacing w:after="0" w:line="240" w:lineRule="auto"/>
              <w:rPr>
                <w:rFonts w:cstheme="minorHAnsi"/>
                <w:sz w:val="20"/>
                <w:szCs w:val="20"/>
              </w:rPr>
            </w:pPr>
            <w:r w:rsidRPr="001C0C4B">
              <w:rPr>
                <w:rFonts w:cstheme="minorHAnsi"/>
                <w:sz w:val="20"/>
                <w:szCs w:val="20"/>
              </w:rPr>
              <w:t>RDT</w:t>
            </w:r>
          </w:p>
        </w:tc>
        <w:tc>
          <w:tcPr>
            <w:tcW w:w="7807" w:type="dxa"/>
            <w:vAlign w:val="center"/>
          </w:tcPr>
          <w:p w14:paraId="51B68C1A" w14:textId="66D73E3B" w:rsidR="00F57203" w:rsidRPr="001C0C4B" w:rsidRDefault="00F57203" w:rsidP="00F57203">
            <w:pPr>
              <w:spacing w:after="0" w:line="240" w:lineRule="auto"/>
              <w:rPr>
                <w:rFonts w:cstheme="minorHAnsi"/>
                <w:sz w:val="20"/>
                <w:szCs w:val="20"/>
              </w:rPr>
            </w:pPr>
            <w:r w:rsidRPr="001C0C4B">
              <w:rPr>
                <w:rFonts w:cstheme="minorHAnsi"/>
                <w:sz w:val="20"/>
                <w:szCs w:val="20"/>
                <w:shd w:val="clear" w:color="auto" w:fill="FFFFFF"/>
              </w:rPr>
              <w:t>Rapid diagnostic test</w:t>
            </w:r>
          </w:p>
        </w:tc>
      </w:tr>
      <w:tr w:rsidR="00D23D22" w:rsidRPr="001C0C4B" w14:paraId="687ED36B" w14:textId="77777777" w:rsidTr="00A43E10">
        <w:trPr>
          <w:trHeight w:val="397"/>
        </w:trPr>
        <w:tc>
          <w:tcPr>
            <w:tcW w:w="1679" w:type="dxa"/>
            <w:vAlign w:val="center"/>
          </w:tcPr>
          <w:p w14:paraId="43AE2B7B" w14:textId="3B4E5F00" w:rsidR="003E2BEA" w:rsidRPr="001C0C4B" w:rsidRDefault="003E2BEA" w:rsidP="00F57203">
            <w:pPr>
              <w:spacing w:after="0" w:line="240" w:lineRule="auto"/>
              <w:rPr>
                <w:rFonts w:cstheme="minorHAnsi"/>
                <w:sz w:val="20"/>
                <w:szCs w:val="20"/>
              </w:rPr>
            </w:pPr>
            <w:r w:rsidRPr="001C0C4B">
              <w:rPr>
                <w:rFonts w:cstheme="minorHAnsi"/>
                <w:sz w:val="20"/>
                <w:szCs w:val="20"/>
              </w:rPr>
              <w:lastRenderedPageBreak/>
              <w:t>REGN</w:t>
            </w:r>
          </w:p>
        </w:tc>
        <w:tc>
          <w:tcPr>
            <w:tcW w:w="7807" w:type="dxa"/>
            <w:vAlign w:val="center"/>
          </w:tcPr>
          <w:p w14:paraId="0BC6E654" w14:textId="753E8E2D" w:rsidR="003E2BEA" w:rsidRPr="001C0C4B" w:rsidRDefault="003E2BEA" w:rsidP="00F57203">
            <w:pPr>
              <w:spacing w:after="0" w:line="240" w:lineRule="auto"/>
              <w:rPr>
                <w:rFonts w:cstheme="minorHAnsi"/>
                <w:sz w:val="20"/>
                <w:szCs w:val="20"/>
                <w:shd w:val="clear" w:color="auto" w:fill="FFFFFF"/>
              </w:rPr>
            </w:pPr>
            <w:r w:rsidRPr="001C0C4B">
              <w:rPr>
                <w:rFonts w:cstheme="minorHAnsi"/>
                <w:sz w:val="20"/>
                <w:szCs w:val="20"/>
                <w:shd w:val="clear" w:color="auto" w:fill="FFFFFF"/>
              </w:rPr>
              <w:t>Regeneron</w:t>
            </w:r>
          </w:p>
        </w:tc>
      </w:tr>
      <w:tr w:rsidR="00D23D22" w:rsidRPr="001C0C4B" w14:paraId="7A73D8F6" w14:textId="77777777" w:rsidTr="00A43E10">
        <w:trPr>
          <w:trHeight w:val="397"/>
        </w:trPr>
        <w:tc>
          <w:tcPr>
            <w:tcW w:w="1679" w:type="dxa"/>
            <w:vAlign w:val="center"/>
          </w:tcPr>
          <w:p w14:paraId="4D28DD59" w14:textId="7840C01D" w:rsidR="00F57203" w:rsidRPr="001C0C4B" w:rsidRDefault="007E7155" w:rsidP="00F57203">
            <w:pPr>
              <w:spacing w:after="0" w:line="240" w:lineRule="auto"/>
              <w:rPr>
                <w:rFonts w:cstheme="minorHAnsi"/>
                <w:sz w:val="20"/>
                <w:szCs w:val="20"/>
              </w:rPr>
            </w:pPr>
            <w:r w:rsidRPr="001C0C4B">
              <w:rPr>
                <w:rFonts w:cstheme="minorHAnsi"/>
                <w:sz w:val="20"/>
                <w:szCs w:val="20"/>
              </w:rPr>
              <w:t>RT-qPCR</w:t>
            </w:r>
          </w:p>
        </w:tc>
        <w:tc>
          <w:tcPr>
            <w:tcW w:w="7807" w:type="dxa"/>
            <w:vAlign w:val="center"/>
          </w:tcPr>
          <w:p w14:paraId="33C07C78" w14:textId="2315AB68" w:rsidR="00F57203" w:rsidRPr="001C0C4B" w:rsidRDefault="007E7155" w:rsidP="002351D6">
            <w:pPr>
              <w:spacing w:after="0" w:line="240" w:lineRule="auto"/>
              <w:rPr>
                <w:rFonts w:cstheme="minorHAnsi"/>
                <w:sz w:val="20"/>
                <w:szCs w:val="20"/>
              </w:rPr>
            </w:pPr>
            <w:r w:rsidRPr="001C0C4B">
              <w:rPr>
                <w:rFonts w:cstheme="minorHAnsi"/>
                <w:sz w:val="20"/>
                <w:szCs w:val="20"/>
                <w:shd w:val="clear" w:color="auto" w:fill="FFFFFF"/>
              </w:rPr>
              <w:t>Real-</w:t>
            </w:r>
            <w:r w:rsidR="002351D6" w:rsidRPr="001C0C4B">
              <w:rPr>
                <w:rFonts w:cstheme="minorHAnsi"/>
                <w:sz w:val="20"/>
                <w:szCs w:val="20"/>
                <w:shd w:val="clear" w:color="auto" w:fill="FFFFFF"/>
              </w:rPr>
              <w:t>time q</w:t>
            </w:r>
            <w:r w:rsidRPr="001C0C4B">
              <w:rPr>
                <w:rFonts w:cstheme="minorHAnsi"/>
                <w:sz w:val="20"/>
                <w:szCs w:val="20"/>
                <w:shd w:val="clear" w:color="auto" w:fill="FFFFFF"/>
              </w:rPr>
              <w:t xml:space="preserve">uantitative </w:t>
            </w:r>
            <w:r w:rsidR="002351D6" w:rsidRPr="001C0C4B">
              <w:rPr>
                <w:rFonts w:cstheme="minorHAnsi"/>
                <w:sz w:val="20"/>
                <w:szCs w:val="20"/>
                <w:shd w:val="clear" w:color="auto" w:fill="FFFFFF"/>
              </w:rPr>
              <w:t>polymerase chain reaction</w:t>
            </w:r>
          </w:p>
        </w:tc>
      </w:tr>
      <w:tr w:rsidR="00D23D22" w:rsidRPr="001C0C4B" w14:paraId="4E51775C" w14:textId="77777777" w:rsidTr="00A43E10">
        <w:trPr>
          <w:trHeight w:val="397"/>
        </w:trPr>
        <w:tc>
          <w:tcPr>
            <w:tcW w:w="1679" w:type="dxa"/>
            <w:vAlign w:val="center"/>
          </w:tcPr>
          <w:p w14:paraId="2CF728C2" w14:textId="0690532A" w:rsidR="00F57203" w:rsidRPr="001C0C4B" w:rsidRDefault="00F57203" w:rsidP="00F57203">
            <w:pPr>
              <w:spacing w:after="0" w:line="240" w:lineRule="auto"/>
              <w:rPr>
                <w:rFonts w:cs="Arial"/>
                <w:sz w:val="20"/>
                <w:szCs w:val="20"/>
              </w:rPr>
            </w:pPr>
            <w:r w:rsidRPr="001C0C4B">
              <w:rPr>
                <w:rFonts w:cs="Arial"/>
                <w:sz w:val="20"/>
                <w:szCs w:val="20"/>
              </w:rPr>
              <w:t>SAE</w:t>
            </w:r>
          </w:p>
        </w:tc>
        <w:tc>
          <w:tcPr>
            <w:tcW w:w="7807" w:type="dxa"/>
            <w:vAlign w:val="center"/>
          </w:tcPr>
          <w:p w14:paraId="20E362C9" w14:textId="69D31758" w:rsidR="00F57203" w:rsidRPr="001C0C4B" w:rsidRDefault="00F57203" w:rsidP="00F57203">
            <w:pPr>
              <w:spacing w:after="0" w:line="240" w:lineRule="auto"/>
              <w:rPr>
                <w:rFonts w:cs="Arial"/>
                <w:sz w:val="20"/>
                <w:szCs w:val="20"/>
              </w:rPr>
            </w:pPr>
            <w:r w:rsidRPr="001C0C4B">
              <w:rPr>
                <w:rFonts w:cs="Arial"/>
                <w:sz w:val="20"/>
                <w:szCs w:val="20"/>
              </w:rPr>
              <w:t>Serious Adverse Event</w:t>
            </w:r>
          </w:p>
        </w:tc>
      </w:tr>
      <w:tr w:rsidR="00424FDD" w:rsidRPr="001C0C4B" w14:paraId="5C3AB244" w14:textId="77777777" w:rsidTr="00A43E10">
        <w:trPr>
          <w:trHeight w:val="397"/>
        </w:trPr>
        <w:tc>
          <w:tcPr>
            <w:tcW w:w="1679" w:type="dxa"/>
            <w:vAlign w:val="center"/>
          </w:tcPr>
          <w:p w14:paraId="27BCC664" w14:textId="11CBDD5E" w:rsidR="00424FDD" w:rsidRPr="001C0C4B" w:rsidRDefault="00424FDD" w:rsidP="00F57203">
            <w:pPr>
              <w:spacing w:after="0" w:line="240" w:lineRule="auto"/>
              <w:rPr>
                <w:sz w:val="20"/>
              </w:rPr>
            </w:pPr>
            <w:r w:rsidRPr="001C0C4B">
              <w:rPr>
                <w:sz w:val="20"/>
              </w:rPr>
              <w:t>SAP</w:t>
            </w:r>
          </w:p>
        </w:tc>
        <w:tc>
          <w:tcPr>
            <w:tcW w:w="7807" w:type="dxa"/>
            <w:vAlign w:val="center"/>
          </w:tcPr>
          <w:p w14:paraId="1013A201" w14:textId="504C51AE" w:rsidR="00424FDD" w:rsidRPr="001C0C4B" w:rsidRDefault="00424FDD" w:rsidP="00F57203">
            <w:pPr>
              <w:spacing w:after="0" w:line="240" w:lineRule="auto"/>
              <w:rPr>
                <w:sz w:val="20"/>
              </w:rPr>
            </w:pPr>
            <w:r w:rsidRPr="001C0C4B">
              <w:rPr>
                <w:sz w:val="20"/>
              </w:rPr>
              <w:t>Statistical Analysis Plan</w:t>
            </w:r>
          </w:p>
        </w:tc>
      </w:tr>
      <w:tr w:rsidR="00D23D22" w:rsidRPr="001C0C4B" w14:paraId="396DFF7C" w14:textId="77777777" w:rsidTr="00A43E10">
        <w:trPr>
          <w:trHeight w:val="397"/>
        </w:trPr>
        <w:tc>
          <w:tcPr>
            <w:tcW w:w="1679" w:type="dxa"/>
            <w:vAlign w:val="center"/>
          </w:tcPr>
          <w:p w14:paraId="265CE30F" w14:textId="623387CC" w:rsidR="00F57203" w:rsidRPr="001C0C4B" w:rsidRDefault="00F57203" w:rsidP="00F57203">
            <w:pPr>
              <w:spacing w:after="0" w:line="240" w:lineRule="auto"/>
              <w:rPr>
                <w:rFonts w:cs="Arial"/>
                <w:sz w:val="20"/>
                <w:szCs w:val="20"/>
              </w:rPr>
            </w:pPr>
            <w:r w:rsidRPr="001C0C4B">
              <w:rPr>
                <w:rFonts w:cs="Arial"/>
                <w:sz w:val="20"/>
                <w:szCs w:val="20"/>
              </w:rPr>
              <w:t>SAR</w:t>
            </w:r>
          </w:p>
        </w:tc>
        <w:tc>
          <w:tcPr>
            <w:tcW w:w="7807" w:type="dxa"/>
            <w:vAlign w:val="center"/>
          </w:tcPr>
          <w:p w14:paraId="547F79BC" w14:textId="6DED8E79" w:rsidR="00F57203" w:rsidRPr="001C0C4B" w:rsidRDefault="00F57203" w:rsidP="00F57203">
            <w:pPr>
              <w:spacing w:after="0" w:line="240" w:lineRule="auto"/>
              <w:rPr>
                <w:rFonts w:cs="Arial"/>
                <w:sz w:val="20"/>
                <w:szCs w:val="20"/>
              </w:rPr>
            </w:pPr>
            <w:r w:rsidRPr="001C0C4B">
              <w:rPr>
                <w:rFonts w:cs="Arial"/>
                <w:sz w:val="20"/>
                <w:szCs w:val="20"/>
              </w:rPr>
              <w:t>Serious Adverse Reaction</w:t>
            </w:r>
          </w:p>
        </w:tc>
      </w:tr>
      <w:tr w:rsidR="00D23D22" w:rsidRPr="001C0C4B" w14:paraId="42A9A70B" w14:textId="77777777" w:rsidTr="00A43E10">
        <w:trPr>
          <w:trHeight w:val="397"/>
        </w:trPr>
        <w:tc>
          <w:tcPr>
            <w:tcW w:w="1679" w:type="dxa"/>
            <w:vAlign w:val="center"/>
          </w:tcPr>
          <w:p w14:paraId="4BEEF7E3" w14:textId="3EDCF259" w:rsidR="00F57203" w:rsidRPr="001C0C4B" w:rsidRDefault="00F57203" w:rsidP="00F57203">
            <w:pPr>
              <w:spacing w:after="0" w:line="240" w:lineRule="auto"/>
              <w:rPr>
                <w:rFonts w:cs="Arial"/>
                <w:sz w:val="20"/>
                <w:szCs w:val="20"/>
              </w:rPr>
            </w:pPr>
            <w:r w:rsidRPr="001C0C4B">
              <w:rPr>
                <w:rFonts w:cstheme="minorHAnsi"/>
                <w:sz w:val="20"/>
                <w:szCs w:val="20"/>
                <w:shd w:val="clear" w:color="auto" w:fill="FFFFFF"/>
              </w:rPr>
              <w:t>SARS-CoV2</w:t>
            </w:r>
          </w:p>
        </w:tc>
        <w:tc>
          <w:tcPr>
            <w:tcW w:w="7807" w:type="dxa"/>
            <w:vAlign w:val="center"/>
          </w:tcPr>
          <w:p w14:paraId="29A89004" w14:textId="3D4A1620" w:rsidR="00F57203" w:rsidRPr="001C0C4B" w:rsidRDefault="00F57203" w:rsidP="00F57203">
            <w:pPr>
              <w:spacing w:after="0" w:line="240" w:lineRule="auto"/>
              <w:rPr>
                <w:rFonts w:cs="Arial"/>
                <w:sz w:val="20"/>
                <w:szCs w:val="20"/>
              </w:rPr>
            </w:pPr>
            <w:r w:rsidRPr="001C0C4B">
              <w:rPr>
                <w:rFonts w:cstheme="minorHAnsi"/>
                <w:sz w:val="20"/>
                <w:szCs w:val="20"/>
                <w:shd w:val="clear" w:color="auto" w:fill="FFFFFF"/>
              </w:rPr>
              <w:t>Severe acute respiratory syndrome coronavirus 2</w:t>
            </w:r>
          </w:p>
        </w:tc>
      </w:tr>
      <w:tr w:rsidR="00D23D22" w:rsidRPr="001C0C4B" w14:paraId="6A441BFA" w14:textId="77777777" w:rsidTr="00A43E10">
        <w:trPr>
          <w:trHeight w:val="397"/>
        </w:trPr>
        <w:tc>
          <w:tcPr>
            <w:tcW w:w="1679" w:type="dxa"/>
            <w:vAlign w:val="center"/>
          </w:tcPr>
          <w:p w14:paraId="70F08268" w14:textId="02DFD7EB" w:rsidR="002351D6" w:rsidRPr="001C0C4B" w:rsidRDefault="002351D6" w:rsidP="007E7155">
            <w:pPr>
              <w:spacing w:after="0" w:line="240" w:lineRule="auto"/>
              <w:rPr>
                <w:rFonts w:cs="Arial"/>
                <w:sz w:val="20"/>
                <w:szCs w:val="20"/>
              </w:rPr>
            </w:pPr>
            <w:r w:rsidRPr="001C0C4B">
              <w:rPr>
                <w:rFonts w:cs="Arial"/>
                <w:sz w:val="20"/>
                <w:szCs w:val="20"/>
              </w:rPr>
              <w:t>SC</w:t>
            </w:r>
          </w:p>
        </w:tc>
        <w:tc>
          <w:tcPr>
            <w:tcW w:w="7807" w:type="dxa"/>
            <w:vAlign w:val="center"/>
          </w:tcPr>
          <w:p w14:paraId="55C7BA54" w14:textId="197603DE" w:rsidR="002351D6" w:rsidRPr="001C0C4B" w:rsidRDefault="002351D6" w:rsidP="007E7155">
            <w:pPr>
              <w:spacing w:after="0" w:line="240" w:lineRule="auto"/>
              <w:rPr>
                <w:rFonts w:cs="Arial"/>
                <w:sz w:val="20"/>
                <w:szCs w:val="20"/>
              </w:rPr>
            </w:pPr>
            <w:r w:rsidRPr="001C0C4B">
              <w:rPr>
                <w:rFonts w:cs="Arial"/>
                <w:sz w:val="20"/>
                <w:szCs w:val="20"/>
              </w:rPr>
              <w:t>Subcutaneous</w:t>
            </w:r>
          </w:p>
        </w:tc>
      </w:tr>
      <w:tr w:rsidR="00D23D22" w:rsidRPr="001C0C4B" w14:paraId="744C5DF8" w14:textId="77777777" w:rsidTr="00A43E10">
        <w:trPr>
          <w:trHeight w:val="397"/>
        </w:trPr>
        <w:tc>
          <w:tcPr>
            <w:tcW w:w="1679" w:type="dxa"/>
            <w:vAlign w:val="center"/>
          </w:tcPr>
          <w:p w14:paraId="2635B077" w14:textId="67734665" w:rsidR="007E7155" w:rsidRPr="001C0C4B" w:rsidRDefault="007E7155" w:rsidP="007E7155">
            <w:pPr>
              <w:spacing w:after="0" w:line="240" w:lineRule="auto"/>
              <w:rPr>
                <w:rFonts w:cs="Arial"/>
                <w:sz w:val="20"/>
                <w:szCs w:val="20"/>
              </w:rPr>
            </w:pPr>
            <w:r w:rsidRPr="001C0C4B">
              <w:rPr>
                <w:rFonts w:cs="Arial"/>
                <w:sz w:val="20"/>
                <w:szCs w:val="20"/>
              </w:rPr>
              <w:t>SOP</w:t>
            </w:r>
          </w:p>
        </w:tc>
        <w:tc>
          <w:tcPr>
            <w:tcW w:w="7807" w:type="dxa"/>
            <w:vAlign w:val="center"/>
          </w:tcPr>
          <w:p w14:paraId="74BF91E1" w14:textId="4C606F66" w:rsidR="007E7155" w:rsidRPr="001C0C4B" w:rsidRDefault="007E7155" w:rsidP="007E7155">
            <w:pPr>
              <w:spacing w:after="0" w:line="240" w:lineRule="auto"/>
              <w:rPr>
                <w:rFonts w:cs="Arial"/>
                <w:sz w:val="20"/>
                <w:szCs w:val="20"/>
              </w:rPr>
            </w:pPr>
            <w:r w:rsidRPr="001C0C4B">
              <w:rPr>
                <w:rFonts w:cs="Arial"/>
                <w:sz w:val="20"/>
                <w:szCs w:val="20"/>
              </w:rPr>
              <w:t>Standard Operating Procedure</w:t>
            </w:r>
          </w:p>
        </w:tc>
      </w:tr>
      <w:tr w:rsidR="00D23D22" w:rsidRPr="001C0C4B" w14:paraId="637F879F" w14:textId="77777777" w:rsidTr="00A43E10">
        <w:trPr>
          <w:trHeight w:val="397"/>
        </w:trPr>
        <w:tc>
          <w:tcPr>
            <w:tcW w:w="1679" w:type="dxa"/>
            <w:vAlign w:val="center"/>
          </w:tcPr>
          <w:p w14:paraId="017A36AE" w14:textId="7C0C3A0F" w:rsidR="007E7155" w:rsidRPr="001C0C4B" w:rsidRDefault="007E7155" w:rsidP="007E7155">
            <w:pPr>
              <w:spacing w:after="0" w:line="240" w:lineRule="auto"/>
              <w:rPr>
                <w:rFonts w:cs="Arial"/>
                <w:sz w:val="20"/>
                <w:szCs w:val="20"/>
              </w:rPr>
            </w:pPr>
            <w:r w:rsidRPr="001C0C4B">
              <w:rPr>
                <w:rFonts w:cs="Arial"/>
                <w:sz w:val="20"/>
                <w:szCs w:val="20"/>
              </w:rPr>
              <w:t>SUSAR</w:t>
            </w:r>
          </w:p>
        </w:tc>
        <w:tc>
          <w:tcPr>
            <w:tcW w:w="7807" w:type="dxa"/>
            <w:vAlign w:val="center"/>
          </w:tcPr>
          <w:p w14:paraId="489050FB" w14:textId="7C1C58FE" w:rsidR="007E7155" w:rsidRPr="001C0C4B" w:rsidRDefault="007E7155" w:rsidP="007E7155">
            <w:pPr>
              <w:spacing w:after="0" w:line="240" w:lineRule="auto"/>
              <w:rPr>
                <w:rFonts w:cs="Arial"/>
                <w:sz w:val="20"/>
                <w:szCs w:val="20"/>
              </w:rPr>
            </w:pPr>
            <w:r w:rsidRPr="001C0C4B">
              <w:rPr>
                <w:rFonts w:cs="Arial"/>
                <w:sz w:val="20"/>
                <w:szCs w:val="20"/>
              </w:rPr>
              <w:t>Suspected Unexpected Serious Adverse Reactions</w:t>
            </w:r>
          </w:p>
        </w:tc>
      </w:tr>
      <w:tr w:rsidR="00D23D22" w:rsidRPr="001C0C4B" w14:paraId="41135086" w14:textId="77777777" w:rsidTr="00A43E10">
        <w:trPr>
          <w:trHeight w:val="397"/>
        </w:trPr>
        <w:tc>
          <w:tcPr>
            <w:tcW w:w="1679" w:type="dxa"/>
            <w:vAlign w:val="center"/>
          </w:tcPr>
          <w:p w14:paraId="5846BCCD" w14:textId="142A899E" w:rsidR="002351D6" w:rsidRPr="001C0C4B" w:rsidRDefault="002351D6" w:rsidP="007E7155">
            <w:pPr>
              <w:spacing w:after="0" w:line="240" w:lineRule="auto"/>
              <w:rPr>
                <w:rFonts w:cstheme="minorHAnsi"/>
                <w:sz w:val="20"/>
                <w:szCs w:val="20"/>
              </w:rPr>
            </w:pPr>
            <w:r w:rsidRPr="001C0C4B">
              <w:rPr>
                <w:rFonts w:cstheme="minorHAnsi"/>
                <w:sz w:val="20"/>
                <w:szCs w:val="20"/>
              </w:rPr>
              <w:t>TNF</w:t>
            </w:r>
          </w:p>
        </w:tc>
        <w:tc>
          <w:tcPr>
            <w:tcW w:w="7807" w:type="dxa"/>
            <w:vAlign w:val="center"/>
          </w:tcPr>
          <w:p w14:paraId="2CC5F34B" w14:textId="185A563B" w:rsidR="002351D6" w:rsidRPr="001C0C4B" w:rsidRDefault="002351D6" w:rsidP="007E7155">
            <w:pPr>
              <w:spacing w:after="0" w:line="240" w:lineRule="auto"/>
              <w:rPr>
                <w:rFonts w:cstheme="minorHAnsi"/>
                <w:sz w:val="20"/>
                <w:szCs w:val="20"/>
              </w:rPr>
            </w:pPr>
            <w:r w:rsidRPr="001C0C4B">
              <w:rPr>
                <w:rFonts w:cstheme="minorHAnsi"/>
                <w:sz w:val="20"/>
                <w:szCs w:val="20"/>
                <w:shd w:val="clear" w:color="auto" w:fill="FFFFFF"/>
              </w:rPr>
              <w:t>Tumor necrosis factor</w:t>
            </w:r>
          </w:p>
        </w:tc>
      </w:tr>
      <w:tr w:rsidR="00D23D22" w:rsidRPr="001C0C4B" w14:paraId="505FD3BA" w14:textId="77777777" w:rsidTr="00A43E10">
        <w:trPr>
          <w:trHeight w:val="397"/>
        </w:trPr>
        <w:tc>
          <w:tcPr>
            <w:tcW w:w="1679" w:type="dxa"/>
            <w:vAlign w:val="center"/>
          </w:tcPr>
          <w:p w14:paraId="49575F9C" w14:textId="501599D2" w:rsidR="007E7155" w:rsidRPr="001C0C4B" w:rsidRDefault="007E7155" w:rsidP="007E7155">
            <w:pPr>
              <w:spacing w:after="0" w:line="240" w:lineRule="auto"/>
              <w:rPr>
                <w:rFonts w:cs="Arial"/>
                <w:sz w:val="20"/>
                <w:szCs w:val="20"/>
              </w:rPr>
            </w:pPr>
            <w:r w:rsidRPr="001C0C4B">
              <w:rPr>
                <w:rFonts w:cs="Arial"/>
                <w:sz w:val="20"/>
                <w:szCs w:val="20"/>
              </w:rPr>
              <w:t>TMG</w:t>
            </w:r>
          </w:p>
        </w:tc>
        <w:tc>
          <w:tcPr>
            <w:tcW w:w="7807" w:type="dxa"/>
            <w:vAlign w:val="center"/>
          </w:tcPr>
          <w:p w14:paraId="37FBC275" w14:textId="5B965172" w:rsidR="00B54A28" w:rsidRPr="001C0C4B" w:rsidRDefault="00B54A28" w:rsidP="007E7155">
            <w:pPr>
              <w:spacing w:after="0" w:line="240" w:lineRule="auto"/>
              <w:rPr>
                <w:rFonts w:cs="Arial"/>
                <w:sz w:val="20"/>
                <w:szCs w:val="20"/>
              </w:rPr>
            </w:pPr>
            <w:r w:rsidRPr="001C0C4B">
              <w:rPr>
                <w:rFonts w:cs="Arial"/>
                <w:sz w:val="20"/>
                <w:szCs w:val="20"/>
              </w:rPr>
              <w:t>Trial Management Group</w:t>
            </w:r>
          </w:p>
        </w:tc>
      </w:tr>
      <w:tr w:rsidR="00D23D22" w:rsidRPr="001C0C4B" w14:paraId="539B3170" w14:textId="77777777" w:rsidTr="00A43E10">
        <w:trPr>
          <w:trHeight w:val="397"/>
        </w:trPr>
        <w:tc>
          <w:tcPr>
            <w:tcW w:w="1679" w:type="dxa"/>
            <w:vAlign w:val="center"/>
          </w:tcPr>
          <w:p w14:paraId="66F046E0" w14:textId="3336BFEC" w:rsidR="007E7155" w:rsidRPr="001C0C4B" w:rsidRDefault="007E7155" w:rsidP="007E7155">
            <w:pPr>
              <w:spacing w:after="0" w:line="240" w:lineRule="auto"/>
              <w:rPr>
                <w:rFonts w:cstheme="minorHAnsi"/>
                <w:sz w:val="20"/>
                <w:szCs w:val="20"/>
              </w:rPr>
            </w:pPr>
            <w:r w:rsidRPr="001C0C4B">
              <w:rPr>
                <w:rFonts w:cstheme="minorHAnsi"/>
                <w:sz w:val="20"/>
                <w:szCs w:val="20"/>
              </w:rPr>
              <w:t>U&amp;E</w:t>
            </w:r>
          </w:p>
        </w:tc>
        <w:tc>
          <w:tcPr>
            <w:tcW w:w="7807" w:type="dxa"/>
            <w:vAlign w:val="center"/>
          </w:tcPr>
          <w:p w14:paraId="2ADBF6E3" w14:textId="24217E55" w:rsidR="007E7155" w:rsidRPr="001C0C4B" w:rsidRDefault="007E7155" w:rsidP="007E7155">
            <w:pPr>
              <w:spacing w:after="0" w:line="240" w:lineRule="auto"/>
              <w:rPr>
                <w:rFonts w:cstheme="minorHAnsi"/>
                <w:sz w:val="20"/>
                <w:szCs w:val="20"/>
              </w:rPr>
            </w:pPr>
            <w:r w:rsidRPr="001C0C4B">
              <w:rPr>
                <w:rFonts w:cstheme="minorHAnsi"/>
                <w:sz w:val="20"/>
                <w:szCs w:val="20"/>
                <w:shd w:val="clear" w:color="auto" w:fill="FFFFFF"/>
              </w:rPr>
              <w:t>Urea and Electrolytes</w:t>
            </w:r>
          </w:p>
        </w:tc>
      </w:tr>
      <w:tr w:rsidR="00D23D22" w:rsidRPr="001C0C4B" w14:paraId="79BA3A61" w14:textId="77777777" w:rsidTr="00A43E10">
        <w:trPr>
          <w:trHeight w:val="397"/>
        </w:trPr>
        <w:tc>
          <w:tcPr>
            <w:tcW w:w="1679" w:type="dxa"/>
            <w:vAlign w:val="center"/>
          </w:tcPr>
          <w:p w14:paraId="2EF01F54" w14:textId="178EF1EE" w:rsidR="00C12A56" w:rsidRPr="001C0C4B" w:rsidRDefault="00C12A56" w:rsidP="007E7155">
            <w:pPr>
              <w:spacing w:after="0" w:line="240" w:lineRule="auto"/>
              <w:rPr>
                <w:rFonts w:cstheme="minorHAnsi"/>
                <w:sz w:val="20"/>
                <w:szCs w:val="20"/>
              </w:rPr>
            </w:pPr>
            <w:r w:rsidRPr="001C0C4B">
              <w:rPr>
                <w:rFonts w:cstheme="minorHAnsi"/>
                <w:sz w:val="20"/>
                <w:szCs w:val="20"/>
              </w:rPr>
              <w:t>VTM</w:t>
            </w:r>
          </w:p>
        </w:tc>
        <w:tc>
          <w:tcPr>
            <w:tcW w:w="7807" w:type="dxa"/>
            <w:vAlign w:val="center"/>
          </w:tcPr>
          <w:p w14:paraId="4CEEA199" w14:textId="00948F93" w:rsidR="00C12A56" w:rsidRPr="001C0C4B" w:rsidRDefault="00C12A56" w:rsidP="007E7155">
            <w:pPr>
              <w:spacing w:after="0" w:line="240" w:lineRule="auto"/>
              <w:rPr>
                <w:rFonts w:cstheme="minorHAnsi"/>
                <w:sz w:val="20"/>
                <w:szCs w:val="20"/>
                <w:shd w:val="clear" w:color="auto" w:fill="FFFFFF"/>
              </w:rPr>
            </w:pPr>
            <w:r w:rsidRPr="001C0C4B">
              <w:rPr>
                <w:rFonts w:ascii="Calibri" w:hAnsi="Calibri" w:cs="Calibri"/>
                <w:sz w:val="20"/>
                <w:szCs w:val="20"/>
              </w:rPr>
              <w:t>Viral transport medium</w:t>
            </w:r>
          </w:p>
        </w:tc>
      </w:tr>
      <w:tr w:rsidR="007E7155" w:rsidRPr="001C0C4B" w14:paraId="33E1387A" w14:textId="77777777" w:rsidTr="00A43E10">
        <w:trPr>
          <w:trHeight w:val="397"/>
        </w:trPr>
        <w:tc>
          <w:tcPr>
            <w:tcW w:w="1679" w:type="dxa"/>
            <w:vAlign w:val="center"/>
          </w:tcPr>
          <w:p w14:paraId="796FB4E9" w14:textId="1F8EC7C7" w:rsidR="007E7155" w:rsidRPr="001C0C4B" w:rsidRDefault="007E7155" w:rsidP="007E7155">
            <w:pPr>
              <w:spacing w:after="0" w:line="240" w:lineRule="auto"/>
              <w:rPr>
                <w:rFonts w:cs="Arial"/>
                <w:sz w:val="20"/>
                <w:szCs w:val="20"/>
              </w:rPr>
            </w:pPr>
            <w:r w:rsidRPr="001C0C4B">
              <w:rPr>
                <w:rFonts w:cs="Arial"/>
                <w:sz w:val="20"/>
                <w:szCs w:val="20"/>
              </w:rPr>
              <w:t>WHO</w:t>
            </w:r>
          </w:p>
        </w:tc>
        <w:tc>
          <w:tcPr>
            <w:tcW w:w="7807" w:type="dxa"/>
            <w:vAlign w:val="center"/>
          </w:tcPr>
          <w:p w14:paraId="4D7C47F4" w14:textId="3CB7E0D6" w:rsidR="007E7155" w:rsidRPr="001C0C4B" w:rsidRDefault="007E7155" w:rsidP="007E7155">
            <w:pPr>
              <w:spacing w:after="0" w:line="240" w:lineRule="auto"/>
              <w:rPr>
                <w:rFonts w:cs="Arial"/>
                <w:sz w:val="20"/>
                <w:szCs w:val="20"/>
              </w:rPr>
            </w:pPr>
            <w:r w:rsidRPr="001C0C4B">
              <w:rPr>
                <w:rFonts w:cs="Arial"/>
                <w:sz w:val="20"/>
                <w:szCs w:val="20"/>
              </w:rPr>
              <w:t>World Health Organization</w:t>
            </w:r>
          </w:p>
        </w:tc>
      </w:tr>
    </w:tbl>
    <w:p w14:paraId="1C3828EA" w14:textId="6952F52A" w:rsidR="00180BC6" w:rsidRPr="001C0C4B" w:rsidRDefault="00180BC6" w:rsidP="03EF2058">
      <w:pPr>
        <w:rPr>
          <w:rFonts w:ascii="Calibri" w:hAnsi="Calibri" w:cs="Calibri"/>
        </w:rPr>
      </w:pPr>
    </w:p>
    <w:p w14:paraId="2E944A4A" w14:textId="0DEC5DF4" w:rsidR="00180BC6" w:rsidRPr="001C0C4B" w:rsidRDefault="00180BC6" w:rsidP="03EF2058">
      <w:pPr>
        <w:rPr>
          <w:rFonts w:ascii="Calibri" w:hAnsi="Calibri" w:cs="Calibri"/>
        </w:rPr>
      </w:pPr>
    </w:p>
    <w:p w14:paraId="58D8EA21" w14:textId="5DABEFFF" w:rsidR="005858D4" w:rsidRPr="001C0C4B" w:rsidRDefault="005858D4" w:rsidP="00E142CD">
      <w:pPr>
        <w:pStyle w:val="Heading1"/>
        <w:numPr>
          <w:ilvl w:val="0"/>
          <w:numId w:val="23"/>
        </w:numPr>
        <w:rPr>
          <w:rFonts w:ascii="Calibri" w:hAnsi="Calibri" w:cs="Calibri"/>
          <w:color w:val="auto"/>
          <w:sz w:val="22"/>
          <w:szCs w:val="22"/>
          <w:lang w:val="en-GB"/>
        </w:rPr>
      </w:pPr>
      <w:bookmarkStart w:id="12" w:name="_Toc96005433"/>
      <w:bookmarkStart w:id="13" w:name="_Toc96005564"/>
      <w:bookmarkStart w:id="14" w:name="_Toc96005434"/>
      <w:bookmarkStart w:id="15" w:name="_Toc96005565"/>
      <w:bookmarkStart w:id="16" w:name="_Toc96005435"/>
      <w:bookmarkStart w:id="17" w:name="_Toc96005566"/>
      <w:bookmarkStart w:id="18" w:name="_Toc96005436"/>
      <w:bookmarkStart w:id="19" w:name="_Toc96005567"/>
      <w:bookmarkStart w:id="20" w:name="_Toc96005437"/>
      <w:bookmarkStart w:id="21" w:name="_Toc96005568"/>
      <w:bookmarkStart w:id="22" w:name="_Toc96005438"/>
      <w:bookmarkStart w:id="23" w:name="_Toc96005569"/>
      <w:bookmarkStart w:id="24" w:name="_Toc96005439"/>
      <w:bookmarkStart w:id="25" w:name="_Toc96005570"/>
      <w:bookmarkStart w:id="26" w:name="_Toc96005440"/>
      <w:bookmarkStart w:id="27" w:name="_Toc96005571"/>
      <w:bookmarkStart w:id="28" w:name="_Toc96005441"/>
      <w:bookmarkStart w:id="29" w:name="_Toc96005572"/>
      <w:bookmarkStart w:id="30" w:name="_Toc96005442"/>
      <w:bookmarkStart w:id="31" w:name="_Toc96005573"/>
      <w:bookmarkStart w:id="32" w:name="_Toc96005443"/>
      <w:bookmarkStart w:id="33" w:name="_Toc96005574"/>
      <w:bookmarkStart w:id="34" w:name="_Toc96005444"/>
      <w:bookmarkStart w:id="35" w:name="_Toc96005575"/>
      <w:bookmarkStart w:id="36" w:name="_Toc96007261"/>
      <w:bookmarkStart w:id="37" w:name="_Toc96007262"/>
      <w:bookmarkStart w:id="38" w:name="_Toc96007263"/>
      <w:bookmarkStart w:id="39" w:name="_Toc96007264"/>
      <w:bookmarkStart w:id="40" w:name="_Toc96007265"/>
      <w:bookmarkStart w:id="41" w:name="_Toc96007266"/>
      <w:bookmarkStart w:id="42" w:name="_Toc96007267"/>
      <w:bookmarkStart w:id="43" w:name="_Toc96007268"/>
      <w:bookmarkStart w:id="44" w:name="_Toc96007269"/>
      <w:bookmarkStart w:id="45" w:name="_Toc96007270"/>
      <w:bookmarkStart w:id="46" w:name="_Toc96007271"/>
      <w:bookmarkStart w:id="47" w:name="_Toc96007272"/>
      <w:bookmarkStart w:id="48" w:name="_Toc96007273"/>
      <w:bookmarkStart w:id="49" w:name="_Toc95915226"/>
      <w:bookmarkStart w:id="50" w:name="_Toc74661271"/>
      <w:bookmarkStart w:id="51" w:name="_Toc110523965"/>
      <w:bookmarkStart w:id="52" w:name="_Toc96005576"/>
      <w:bookmarkStart w:id="53" w:name="_Toc11291761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1C0C4B">
        <w:rPr>
          <w:rFonts w:ascii="Calibri" w:hAnsi="Calibri" w:cs="Calibri"/>
          <w:color w:val="auto"/>
          <w:sz w:val="22"/>
          <w:szCs w:val="22"/>
          <w:lang w:val="en-GB"/>
        </w:rPr>
        <w:t>BACKGROUND AND RATIONALE</w:t>
      </w:r>
      <w:bookmarkEnd w:id="48"/>
      <w:bookmarkEnd w:id="49"/>
      <w:bookmarkEnd w:id="50"/>
      <w:bookmarkEnd w:id="51"/>
      <w:bookmarkEnd w:id="52"/>
      <w:bookmarkEnd w:id="53"/>
    </w:p>
    <w:p w14:paraId="5C036C18" w14:textId="665269AC" w:rsidR="00C444C6" w:rsidRPr="001C0C4B" w:rsidRDefault="005858D4" w:rsidP="00F64B15">
      <w:pPr>
        <w:jc w:val="both"/>
      </w:pPr>
      <w:bookmarkStart w:id="54" w:name="_Hlk95482434"/>
      <w:r w:rsidRPr="001C0C4B">
        <w:rPr>
          <w:rFonts w:ascii="Calibri" w:hAnsi="Calibri"/>
        </w:rPr>
        <w:t xml:space="preserve">There are </w:t>
      </w:r>
      <w:r w:rsidR="00A460CF" w:rsidRPr="001C0C4B">
        <w:rPr>
          <w:rFonts w:ascii="Calibri" w:hAnsi="Calibri"/>
        </w:rPr>
        <w:t xml:space="preserve">many </w:t>
      </w:r>
      <w:r w:rsidRPr="001C0C4B">
        <w:rPr>
          <w:rFonts w:ascii="Calibri" w:hAnsi="Calibri"/>
        </w:rPr>
        <w:t>potential therapeutics for COVID-19</w:t>
      </w:r>
      <w:r w:rsidR="005858C0" w:rsidRPr="001C0C4B">
        <w:rPr>
          <w:rFonts w:ascii="Calibri" w:hAnsi="Calibri"/>
        </w:rPr>
        <w:t xml:space="preserve"> </w:t>
      </w:r>
      <w:r w:rsidRPr="001C0C4B">
        <w:rPr>
          <w:rFonts w:ascii="Calibri" w:hAnsi="Calibri"/>
        </w:rPr>
        <w:t>and</w:t>
      </w:r>
      <w:r w:rsidR="00804E11" w:rsidRPr="001C0C4B">
        <w:rPr>
          <w:rFonts w:ascii="Calibri" w:hAnsi="Calibri" w:cs="Calibri"/>
        </w:rPr>
        <w:t xml:space="preserve"> </w:t>
      </w:r>
      <w:r w:rsidR="00200892" w:rsidRPr="001C0C4B">
        <w:rPr>
          <w:rFonts w:ascii="Calibri" w:hAnsi="Calibri" w:cs="Calibri"/>
        </w:rPr>
        <w:t>a much</w:t>
      </w:r>
      <w:r w:rsidRPr="001C0C4B">
        <w:rPr>
          <w:rFonts w:ascii="Calibri" w:hAnsi="Calibri" w:cs="Calibri"/>
        </w:rPr>
        <w:t xml:space="preserve"> larger number of</w:t>
      </w:r>
      <w:r w:rsidR="00804E11" w:rsidRPr="001C0C4B">
        <w:rPr>
          <w:rFonts w:ascii="Calibri" w:hAnsi="Calibri" w:cs="Calibri"/>
        </w:rPr>
        <w:t xml:space="preserve"> </w:t>
      </w:r>
      <w:r w:rsidRPr="001C0C4B">
        <w:rPr>
          <w:rFonts w:ascii="Calibri" w:hAnsi="Calibri" w:cs="Calibri"/>
        </w:rPr>
        <w:t>vaccines</w:t>
      </w:r>
      <w:r w:rsidR="00FF4137" w:rsidRPr="001C0C4B">
        <w:rPr>
          <w:rFonts w:ascii="Calibri" w:hAnsi="Calibri" w:cs="Calibri"/>
        </w:rPr>
        <w:t xml:space="preserve"> are</w:t>
      </w:r>
      <w:r w:rsidRPr="001C0C4B">
        <w:rPr>
          <w:rFonts w:ascii="Calibri" w:hAnsi="Calibri" w:cs="Calibri"/>
        </w:rPr>
        <w:t xml:space="preserve"> in development</w:t>
      </w:r>
      <w:r w:rsidR="00E74AA3" w:rsidRPr="001C0C4B">
        <w:rPr>
          <w:rFonts w:ascii="Calibri" w:hAnsi="Calibri" w:cs="Calibri"/>
        </w:rPr>
        <w:t xml:space="preserve">. </w:t>
      </w:r>
      <w:r w:rsidR="00DD4743" w:rsidRPr="001C0C4B">
        <w:rPr>
          <w:rFonts w:ascii="Calibri" w:hAnsi="Calibri"/>
        </w:rPr>
        <w:t>Vaccines</w:t>
      </w:r>
      <w:r w:rsidR="00DD4743" w:rsidRPr="001C0C4B">
        <w:rPr>
          <w:rFonts w:ascii="Calibri" w:hAnsi="Calibri" w:cs="Calibri"/>
        </w:rPr>
        <w:t xml:space="preserve"> </w:t>
      </w:r>
      <w:r w:rsidR="00E74AA3" w:rsidRPr="001C0C4B">
        <w:rPr>
          <w:rFonts w:ascii="Calibri" w:hAnsi="Calibri" w:cs="Calibri"/>
        </w:rPr>
        <w:t>are being given</w:t>
      </w:r>
      <w:r w:rsidR="006B44E0" w:rsidRPr="001C0C4B">
        <w:rPr>
          <w:rFonts w:ascii="Calibri" w:hAnsi="Calibri" w:cs="Calibri"/>
        </w:rPr>
        <w:t xml:space="preserve"> </w:t>
      </w:r>
      <w:r w:rsidR="00F613AB" w:rsidRPr="001C0C4B">
        <w:rPr>
          <w:rFonts w:ascii="Calibri" w:hAnsi="Calibri" w:cs="Calibri"/>
        </w:rPr>
        <w:t xml:space="preserve">to individuals with the </w:t>
      </w:r>
      <w:r w:rsidR="00136323" w:rsidRPr="001C0C4B">
        <w:rPr>
          <w:rFonts w:ascii="Calibri" w:hAnsi="Calibri" w:cs="Calibri"/>
        </w:rPr>
        <w:t xml:space="preserve">primary aim of reducing morbidity and mortality and the </w:t>
      </w:r>
      <w:r w:rsidR="5766F14D" w:rsidRPr="001C0C4B">
        <w:rPr>
          <w:rFonts w:ascii="Calibri" w:hAnsi="Calibri" w:cs="Calibri"/>
        </w:rPr>
        <w:t>secondary</w:t>
      </w:r>
      <w:r w:rsidR="00136323" w:rsidRPr="001C0C4B">
        <w:rPr>
          <w:rFonts w:ascii="Calibri" w:hAnsi="Calibri" w:cs="Calibri"/>
        </w:rPr>
        <w:t xml:space="preserve"> objective of </w:t>
      </w:r>
      <w:r w:rsidR="00870063" w:rsidRPr="001C0C4B">
        <w:rPr>
          <w:rFonts w:ascii="Calibri" w:hAnsi="Calibri" w:cs="Calibri"/>
        </w:rPr>
        <w:t>generat</w:t>
      </w:r>
      <w:r w:rsidR="00136323" w:rsidRPr="001C0C4B">
        <w:rPr>
          <w:rFonts w:ascii="Calibri" w:hAnsi="Calibri" w:cs="Calibri"/>
        </w:rPr>
        <w:t>ing</w:t>
      </w:r>
      <w:r w:rsidR="00870063" w:rsidRPr="001C0C4B">
        <w:rPr>
          <w:rFonts w:ascii="Calibri" w:hAnsi="Calibri" w:cs="Calibri"/>
        </w:rPr>
        <w:t xml:space="preserve"> herd immunity </w:t>
      </w:r>
      <w:r w:rsidR="00136323" w:rsidRPr="001C0C4B">
        <w:rPr>
          <w:rFonts w:ascii="Calibri" w:hAnsi="Calibri" w:cs="Calibri"/>
        </w:rPr>
        <w:t xml:space="preserve">in the hope of </w:t>
      </w:r>
      <w:r w:rsidR="00870063" w:rsidRPr="001C0C4B">
        <w:rPr>
          <w:rFonts w:ascii="Calibri" w:hAnsi="Calibri" w:cs="Calibri"/>
        </w:rPr>
        <w:t>bring</w:t>
      </w:r>
      <w:r w:rsidR="00136323" w:rsidRPr="001C0C4B">
        <w:rPr>
          <w:rFonts w:ascii="Calibri" w:hAnsi="Calibri" w:cs="Calibri"/>
        </w:rPr>
        <w:t>ing</w:t>
      </w:r>
      <w:r w:rsidR="00870063" w:rsidRPr="001C0C4B">
        <w:rPr>
          <w:rFonts w:ascii="Calibri" w:hAnsi="Calibri" w:cs="Calibri"/>
        </w:rPr>
        <w:t xml:space="preserve"> the pandemic to an end. </w:t>
      </w:r>
      <w:r w:rsidR="00E448A7" w:rsidRPr="001C0C4B">
        <w:rPr>
          <w:rFonts w:ascii="Calibri" w:hAnsi="Calibri" w:cs="Calibri"/>
        </w:rPr>
        <w:t>However,</w:t>
      </w:r>
      <w:r w:rsidR="00040DD5" w:rsidRPr="001C0C4B">
        <w:rPr>
          <w:rFonts w:ascii="Calibri" w:hAnsi="Calibri" w:cs="Calibri"/>
        </w:rPr>
        <w:t xml:space="preserve"> </w:t>
      </w:r>
      <w:r w:rsidR="00DD4743" w:rsidRPr="001C0C4B">
        <w:rPr>
          <w:rFonts w:ascii="Calibri" w:hAnsi="Calibri"/>
        </w:rPr>
        <w:t>there is widespread vaccine inequality. As of 13 January 2022, of the 194 Member States of the WHO, 36 have vaccinated less than 10% of their population, and 88 less than 40%</w:t>
      </w:r>
      <w:r w:rsidR="00402C21" w:rsidRPr="001C0C4B">
        <w:rPr>
          <w:rFonts w:ascii="Calibri" w:hAnsi="Calibri"/>
        </w:rPr>
        <w:t xml:space="preserve"> (1</w:t>
      </w:r>
      <w:r w:rsidR="00402C21" w:rsidRPr="00ED4D9A">
        <w:rPr>
          <w:rFonts w:ascii="Calibri" w:hAnsi="Calibri"/>
        </w:rPr>
        <w:t>)</w:t>
      </w:r>
      <w:r w:rsidR="00DD4743" w:rsidRPr="001C0C4B">
        <w:rPr>
          <w:rFonts w:ascii="Calibri" w:hAnsi="Calibri"/>
        </w:rPr>
        <w:t xml:space="preserve"> This demonstrates how many</w:t>
      </w:r>
      <w:r w:rsidR="00DD4743" w:rsidRPr="001C0C4B">
        <w:rPr>
          <w:rFonts w:ascii="Calibri" w:hAnsi="Calibri" w:cs="Calibri"/>
        </w:rPr>
        <w:t xml:space="preserve"> </w:t>
      </w:r>
      <w:r w:rsidR="004378B7" w:rsidRPr="001C0C4B">
        <w:rPr>
          <w:rFonts w:ascii="Calibri" w:hAnsi="Calibri" w:cs="Calibri"/>
        </w:rPr>
        <w:t>will remain vulnerable to infection</w:t>
      </w:r>
      <w:r w:rsidR="003A10D6" w:rsidRPr="001C0C4B">
        <w:rPr>
          <w:rFonts w:ascii="Calibri" w:hAnsi="Calibri" w:cs="Calibri"/>
        </w:rPr>
        <w:t xml:space="preserve"> for the </w:t>
      </w:r>
      <w:r w:rsidR="000B0EDD" w:rsidRPr="001C0C4B">
        <w:rPr>
          <w:rFonts w:ascii="Calibri" w:hAnsi="Calibri" w:cs="Calibri"/>
        </w:rPr>
        <w:t>foreseeable</w:t>
      </w:r>
      <w:r w:rsidR="003A10D6" w:rsidRPr="001C0C4B">
        <w:rPr>
          <w:rFonts w:ascii="Calibri" w:hAnsi="Calibri" w:cs="Calibri"/>
        </w:rPr>
        <w:t xml:space="preserve"> future</w:t>
      </w:r>
      <w:r w:rsidR="00136323" w:rsidRPr="001C0C4B">
        <w:rPr>
          <w:rFonts w:ascii="Calibri" w:hAnsi="Calibri" w:cs="Calibri"/>
        </w:rPr>
        <w:t xml:space="preserve">. </w:t>
      </w:r>
      <w:r w:rsidR="003A10D6" w:rsidRPr="001C0C4B">
        <w:rPr>
          <w:rFonts w:ascii="Calibri" w:hAnsi="Calibri" w:cs="Calibri"/>
        </w:rPr>
        <w:t>Vaccines are the solution but t</w:t>
      </w:r>
      <w:r w:rsidR="00136323" w:rsidRPr="001C0C4B">
        <w:rPr>
          <w:rFonts w:ascii="Calibri" w:hAnsi="Calibri" w:cs="Calibri"/>
        </w:rPr>
        <w:t>h</w:t>
      </w:r>
      <w:r w:rsidR="007267E4" w:rsidRPr="001C0C4B">
        <w:rPr>
          <w:rFonts w:ascii="Calibri" w:hAnsi="Calibri" w:cs="Calibri"/>
        </w:rPr>
        <w:t>ere a</w:t>
      </w:r>
      <w:r w:rsidR="00D52952" w:rsidRPr="001C0C4B">
        <w:rPr>
          <w:rFonts w:ascii="Calibri" w:hAnsi="Calibri" w:cs="Calibri"/>
        </w:rPr>
        <w:t xml:space="preserve">re </w:t>
      </w:r>
      <w:r w:rsidR="00322538" w:rsidRPr="001C0C4B">
        <w:rPr>
          <w:rFonts w:ascii="Calibri" w:hAnsi="Calibri" w:cs="Calibri"/>
        </w:rPr>
        <w:t xml:space="preserve">also </w:t>
      </w:r>
      <w:r w:rsidR="00D52952" w:rsidRPr="001C0C4B">
        <w:rPr>
          <w:rFonts w:ascii="Calibri" w:hAnsi="Calibri" w:cs="Calibri"/>
        </w:rPr>
        <w:t xml:space="preserve">concerns over </w:t>
      </w:r>
      <w:r w:rsidR="00E4157D" w:rsidRPr="001C0C4B">
        <w:rPr>
          <w:rFonts w:ascii="Calibri" w:hAnsi="Calibri" w:cs="Calibri"/>
        </w:rPr>
        <w:t>incomplete protection,</w:t>
      </w:r>
      <w:r w:rsidR="223A5694" w:rsidRPr="001C0C4B">
        <w:rPr>
          <w:rFonts w:ascii="Calibri" w:hAnsi="Calibri" w:cs="Calibri"/>
        </w:rPr>
        <w:t xml:space="preserve"> vaccine hesitancy,</w:t>
      </w:r>
      <w:r w:rsidR="00E4157D" w:rsidRPr="001C0C4B">
        <w:rPr>
          <w:rFonts w:ascii="Calibri" w:hAnsi="Calibri" w:cs="Calibri"/>
        </w:rPr>
        <w:t xml:space="preserve"> </w:t>
      </w:r>
      <w:r w:rsidR="007D52ED" w:rsidRPr="001C0C4B">
        <w:rPr>
          <w:rFonts w:ascii="Calibri" w:hAnsi="Calibri" w:cs="Calibri"/>
        </w:rPr>
        <w:t>waning protecti</w:t>
      </w:r>
      <w:r w:rsidR="00C244F8" w:rsidRPr="001C0C4B">
        <w:rPr>
          <w:rFonts w:ascii="Calibri" w:hAnsi="Calibri" w:cs="Calibri"/>
        </w:rPr>
        <w:t>ve effect</w:t>
      </w:r>
      <w:r w:rsidR="00D52952" w:rsidRPr="001C0C4B">
        <w:rPr>
          <w:rFonts w:ascii="Calibri" w:hAnsi="Calibri" w:cs="Calibri"/>
        </w:rPr>
        <w:t>s</w:t>
      </w:r>
      <w:r w:rsidR="007D52ED" w:rsidRPr="001C0C4B">
        <w:rPr>
          <w:rFonts w:ascii="Calibri" w:hAnsi="Calibri" w:cs="Calibri"/>
        </w:rPr>
        <w:t xml:space="preserve"> </w:t>
      </w:r>
      <w:r w:rsidR="00A30DDB" w:rsidRPr="001C0C4B">
        <w:rPr>
          <w:rFonts w:ascii="Calibri" w:hAnsi="Calibri" w:cs="Calibri"/>
        </w:rPr>
        <w:t xml:space="preserve">over time, </w:t>
      </w:r>
      <w:r w:rsidR="007D52ED" w:rsidRPr="001C0C4B">
        <w:rPr>
          <w:rFonts w:ascii="Calibri" w:hAnsi="Calibri" w:cs="Calibri"/>
        </w:rPr>
        <w:t>and the</w:t>
      </w:r>
      <w:r w:rsidR="00140152" w:rsidRPr="001C0C4B">
        <w:rPr>
          <w:rFonts w:ascii="Calibri" w:hAnsi="Calibri" w:cs="Calibri"/>
        </w:rPr>
        <w:t xml:space="preserve"> </w:t>
      </w:r>
      <w:r w:rsidR="00136323" w:rsidRPr="001C0C4B">
        <w:rPr>
          <w:rFonts w:ascii="Calibri" w:hAnsi="Calibri" w:cs="Calibri"/>
        </w:rPr>
        <w:t>rapid evolution of more transmissible and potentially vaccine resistant</w:t>
      </w:r>
      <w:r w:rsidR="00A37C2D" w:rsidRPr="001C0C4B">
        <w:rPr>
          <w:rFonts w:ascii="Calibri" w:hAnsi="Calibri" w:cs="Calibri"/>
        </w:rPr>
        <w:t xml:space="preserve"> mutant strains</w:t>
      </w:r>
      <w:r w:rsidR="00064913" w:rsidRPr="001C0C4B">
        <w:rPr>
          <w:rFonts w:ascii="Calibri" w:hAnsi="Calibri" w:cs="Calibri"/>
        </w:rPr>
        <w:t xml:space="preserve"> (highlighted by the </w:t>
      </w:r>
      <w:r w:rsidR="007207D5" w:rsidRPr="001C0C4B">
        <w:rPr>
          <w:rFonts w:ascii="Calibri" w:hAnsi="Calibri"/>
        </w:rPr>
        <w:t xml:space="preserve">Omicron variant (B.1.1.529), and future variants </w:t>
      </w:r>
      <w:r w:rsidR="00424FDD" w:rsidRPr="001C0C4B">
        <w:rPr>
          <w:rFonts w:ascii="Calibri" w:hAnsi="Calibri"/>
        </w:rPr>
        <w:t xml:space="preserve">(which </w:t>
      </w:r>
      <w:r w:rsidR="007207D5" w:rsidRPr="001C0C4B">
        <w:rPr>
          <w:rFonts w:ascii="Calibri" w:hAnsi="Calibri"/>
        </w:rPr>
        <w:t>may not be as comparatively mild</w:t>
      </w:r>
      <w:r w:rsidR="00424FDD" w:rsidRPr="00ED4D9A">
        <w:rPr>
          <w:rFonts w:ascii="Calibri" w:hAnsi="Calibri"/>
        </w:rPr>
        <w:t>)</w:t>
      </w:r>
      <w:r w:rsidR="00136323" w:rsidRPr="00ED4D9A">
        <w:rPr>
          <w:rFonts w:ascii="Calibri" w:hAnsi="Calibri"/>
        </w:rPr>
        <w:t>.</w:t>
      </w:r>
      <w:r w:rsidR="00136323" w:rsidRPr="001C0C4B">
        <w:rPr>
          <w:rFonts w:ascii="Calibri" w:hAnsi="Calibri"/>
        </w:rPr>
        <w:t xml:space="preserve"> </w:t>
      </w:r>
      <w:r w:rsidR="00BB195B" w:rsidRPr="001C0C4B">
        <w:rPr>
          <w:rFonts w:ascii="Calibri" w:hAnsi="Calibri"/>
        </w:rPr>
        <w:t>We know that vaccine and disease</w:t>
      </w:r>
      <w:r w:rsidR="00FB1F8D" w:rsidRPr="001C0C4B">
        <w:rPr>
          <w:rFonts w:ascii="Calibri" w:hAnsi="Calibri"/>
        </w:rPr>
        <w:t>-</w:t>
      </w:r>
      <w:r w:rsidR="00BB195B" w:rsidRPr="001C0C4B">
        <w:rPr>
          <w:rFonts w:ascii="Calibri" w:hAnsi="Calibri"/>
        </w:rPr>
        <w:t>induced immunity is imperfect and short-lived so identifying active antiviral drugs is extremely important.</w:t>
      </w:r>
      <w:r w:rsidR="00BB195B" w:rsidRPr="001C0C4B">
        <w:rPr>
          <w:rFonts w:ascii="Calibri" w:hAnsi="Calibri" w:cs="Calibri"/>
        </w:rPr>
        <w:t xml:space="preserve"> </w:t>
      </w:r>
      <w:r w:rsidR="00064913" w:rsidRPr="001C0C4B">
        <w:rPr>
          <w:rFonts w:ascii="Calibri" w:hAnsi="Calibri" w:cs="Calibri"/>
        </w:rPr>
        <w:t>M</w:t>
      </w:r>
      <w:r w:rsidR="00A37C2D" w:rsidRPr="001C0C4B">
        <w:rPr>
          <w:rFonts w:ascii="Calibri" w:hAnsi="Calibri" w:cs="Calibri"/>
        </w:rPr>
        <w:t>any people</w:t>
      </w:r>
      <w:r w:rsidR="7A58119D" w:rsidRPr="001C0C4B">
        <w:rPr>
          <w:rFonts w:ascii="Calibri" w:hAnsi="Calibri" w:cs="Calibri"/>
        </w:rPr>
        <w:t xml:space="preserve"> over the next 2-3 years</w:t>
      </w:r>
      <w:r w:rsidR="00A37C2D" w:rsidRPr="001C0C4B">
        <w:rPr>
          <w:rFonts w:ascii="Calibri" w:hAnsi="Calibri" w:cs="Calibri"/>
        </w:rPr>
        <w:t xml:space="preserve"> will get </w:t>
      </w:r>
      <w:r w:rsidR="00136323" w:rsidRPr="001C0C4B">
        <w:rPr>
          <w:rFonts w:ascii="Calibri" w:hAnsi="Calibri" w:cs="Calibri"/>
        </w:rPr>
        <w:t>COVID-19 with substantial morbidity and hundreds of thousands of deaths</w:t>
      </w:r>
      <w:r w:rsidR="00064913" w:rsidRPr="001C0C4B">
        <w:rPr>
          <w:rFonts w:ascii="Calibri" w:hAnsi="Calibri" w:cs="Calibri"/>
        </w:rPr>
        <w:t xml:space="preserve">. </w:t>
      </w:r>
      <w:r w:rsidR="002538EE" w:rsidRPr="001C0C4B">
        <w:rPr>
          <w:rFonts w:ascii="Calibri" w:hAnsi="Calibri" w:cs="Calibri"/>
        </w:rPr>
        <w:t>There will always be people</w:t>
      </w:r>
      <w:r w:rsidR="00FB1F8D" w:rsidRPr="001C0C4B">
        <w:rPr>
          <w:rFonts w:ascii="Calibri" w:hAnsi="Calibri" w:cs="Calibri"/>
        </w:rPr>
        <w:t>,</w:t>
      </w:r>
      <w:r w:rsidR="002538EE" w:rsidRPr="001C0C4B">
        <w:rPr>
          <w:rFonts w:ascii="Calibri" w:hAnsi="Calibri" w:cs="Calibri"/>
        </w:rPr>
        <w:t xml:space="preserve"> due to </w:t>
      </w:r>
      <w:r w:rsidR="001D77B6" w:rsidRPr="001C0C4B">
        <w:rPr>
          <w:rFonts w:ascii="Calibri" w:hAnsi="Calibri" w:cs="Calibri"/>
        </w:rPr>
        <w:t xml:space="preserve">their </w:t>
      </w:r>
      <w:r w:rsidR="002538EE" w:rsidRPr="001C0C4B">
        <w:rPr>
          <w:rFonts w:ascii="Calibri" w:hAnsi="Calibri" w:cs="Calibri"/>
        </w:rPr>
        <w:t xml:space="preserve">age, comorbidities </w:t>
      </w:r>
      <w:r w:rsidR="00FB1F8D" w:rsidRPr="001C0C4B">
        <w:rPr>
          <w:rFonts w:ascii="Calibri" w:hAnsi="Calibri" w:cs="Calibri"/>
        </w:rPr>
        <w:t>or</w:t>
      </w:r>
      <w:r w:rsidR="002538EE" w:rsidRPr="001C0C4B">
        <w:rPr>
          <w:rFonts w:ascii="Calibri" w:hAnsi="Calibri" w:cs="Calibri"/>
        </w:rPr>
        <w:t xml:space="preserve"> being immunocompromised that will need early antiviral therapy. </w:t>
      </w:r>
      <w:r w:rsidR="00FF4137" w:rsidRPr="001C0C4B">
        <w:rPr>
          <w:rFonts w:ascii="Calibri" w:hAnsi="Calibri" w:cs="Calibri"/>
        </w:rPr>
        <w:t>For all these reasons e</w:t>
      </w:r>
      <w:r w:rsidR="00064913" w:rsidRPr="001C0C4B">
        <w:rPr>
          <w:rFonts w:ascii="Calibri" w:hAnsi="Calibri" w:cs="Calibri"/>
        </w:rPr>
        <w:t>f</w:t>
      </w:r>
      <w:r w:rsidR="006F0676" w:rsidRPr="001C0C4B">
        <w:rPr>
          <w:rFonts w:ascii="Calibri" w:hAnsi="Calibri" w:cs="Calibri"/>
        </w:rPr>
        <w:t xml:space="preserve">fective </w:t>
      </w:r>
      <w:r w:rsidR="007E0641" w:rsidRPr="001C0C4B">
        <w:rPr>
          <w:rFonts w:ascii="Calibri" w:hAnsi="Calibri" w:cs="Calibri"/>
        </w:rPr>
        <w:t>therapeutics</w:t>
      </w:r>
      <w:r w:rsidR="006F0676" w:rsidRPr="001C0C4B">
        <w:rPr>
          <w:rFonts w:ascii="Calibri" w:hAnsi="Calibri" w:cs="Calibri"/>
        </w:rPr>
        <w:t xml:space="preserve"> are needed</w:t>
      </w:r>
      <w:r w:rsidR="00FF4137" w:rsidRPr="001C0C4B">
        <w:rPr>
          <w:rFonts w:ascii="Calibri" w:hAnsi="Calibri" w:cs="Calibri"/>
        </w:rPr>
        <w:t xml:space="preserve"> urgently</w:t>
      </w:r>
      <w:r w:rsidR="00136323" w:rsidRPr="001C0C4B">
        <w:rPr>
          <w:rFonts w:ascii="Calibri" w:hAnsi="Calibri" w:cs="Calibri"/>
        </w:rPr>
        <w:t>.</w:t>
      </w:r>
    </w:p>
    <w:p w14:paraId="2775742B" w14:textId="77777777" w:rsidR="00C444C6" w:rsidRPr="001C0C4B" w:rsidRDefault="00C444C6" w:rsidP="00F64B15">
      <w:pPr>
        <w:jc w:val="both"/>
      </w:pPr>
    </w:p>
    <w:p w14:paraId="1E588F9E" w14:textId="77777777" w:rsidR="00C444C6" w:rsidRPr="001C0C4B" w:rsidRDefault="00C444C6" w:rsidP="00F64B15">
      <w:pPr>
        <w:jc w:val="both"/>
      </w:pPr>
    </w:p>
    <w:p w14:paraId="73DBEB63" w14:textId="77777777" w:rsidR="00C444C6" w:rsidRPr="001C0C4B" w:rsidRDefault="00C444C6" w:rsidP="00F64B15">
      <w:pPr>
        <w:jc w:val="both"/>
      </w:pPr>
    </w:p>
    <w:p w14:paraId="1A972B77" w14:textId="77777777" w:rsidR="00C444C6" w:rsidRPr="001C0C4B" w:rsidRDefault="00C444C6" w:rsidP="00F64B15">
      <w:pPr>
        <w:jc w:val="both"/>
      </w:pPr>
    </w:p>
    <w:p w14:paraId="5BC20B4D" w14:textId="77777777" w:rsidR="00C444C6" w:rsidRPr="001C0C4B" w:rsidRDefault="00C444C6" w:rsidP="00F64B15">
      <w:pPr>
        <w:jc w:val="both"/>
      </w:pPr>
    </w:p>
    <w:bookmarkEnd w:id="54"/>
    <w:p w14:paraId="60D97A53" w14:textId="719B40CB" w:rsidR="0032185B" w:rsidRPr="001C0C4B" w:rsidRDefault="0032185B" w:rsidP="003058A3">
      <w:pPr>
        <w:spacing w:after="0"/>
        <w:jc w:val="both"/>
        <w:textAlignment w:val="baseline"/>
        <w:rPr>
          <w:rFonts w:ascii="Calibri" w:hAnsi="Calibri" w:cs="Calibri"/>
        </w:rPr>
      </w:pPr>
    </w:p>
    <w:p w14:paraId="05FD2FE5" w14:textId="6C11B2FD" w:rsidR="0032185B" w:rsidRPr="001C0C4B" w:rsidRDefault="000C213E" w:rsidP="00F64B15">
      <w:pPr>
        <w:jc w:val="both"/>
        <w:rPr>
          <w:rFonts w:ascii="Calibri" w:hAnsi="Calibri" w:cs="Calibri"/>
        </w:rPr>
      </w:pPr>
      <w:r w:rsidRPr="001C0C4B">
        <w:rPr>
          <w:rFonts w:ascii="Calibri" w:eastAsia="Times New Roman" w:hAnsi="Calibri" w:cs="Calibri"/>
          <w:noProof/>
          <w:sz w:val="24"/>
          <w:szCs w:val="24"/>
          <w:lang w:bidi="th-TH"/>
        </w:rPr>
        <w:lastRenderedPageBreak/>
        <w:drawing>
          <wp:anchor distT="0" distB="0" distL="114300" distR="114300" simplePos="0" relativeHeight="251658240" behindDoc="0" locked="0" layoutInCell="1" allowOverlap="1" wp14:anchorId="4D4CC9FB" wp14:editId="0D3A754E">
            <wp:simplePos x="0" y="0"/>
            <wp:positionH relativeFrom="margin">
              <wp:align>center</wp:align>
            </wp:positionH>
            <wp:positionV relativeFrom="paragraph">
              <wp:posOffset>10795</wp:posOffset>
            </wp:positionV>
            <wp:extent cx="3958590" cy="3008630"/>
            <wp:effectExtent l="0" t="0" r="381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8590" cy="300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DDBB2" w14:textId="77777777" w:rsidR="0032185B" w:rsidRPr="001C0C4B" w:rsidRDefault="0032185B" w:rsidP="00F64B15">
      <w:pPr>
        <w:jc w:val="both"/>
        <w:rPr>
          <w:rFonts w:ascii="Calibri" w:hAnsi="Calibri" w:cs="Calibri"/>
        </w:rPr>
      </w:pPr>
    </w:p>
    <w:p w14:paraId="338B0C5F" w14:textId="77777777" w:rsidR="0032185B" w:rsidRPr="001C0C4B" w:rsidRDefault="0032185B" w:rsidP="00F64B15">
      <w:pPr>
        <w:jc w:val="both"/>
        <w:rPr>
          <w:rFonts w:ascii="Calibri" w:hAnsi="Calibri" w:cs="Calibri"/>
        </w:rPr>
      </w:pPr>
    </w:p>
    <w:p w14:paraId="296F4259" w14:textId="77777777" w:rsidR="0032185B" w:rsidRPr="001C0C4B" w:rsidRDefault="0032185B" w:rsidP="00F64B15">
      <w:pPr>
        <w:jc w:val="both"/>
        <w:rPr>
          <w:rFonts w:ascii="Calibri" w:hAnsi="Calibri" w:cs="Calibri"/>
        </w:rPr>
      </w:pPr>
    </w:p>
    <w:p w14:paraId="60CA68FC" w14:textId="77777777" w:rsidR="0032185B" w:rsidRPr="001C0C4B" w:rsidRDefault="0032185B" w:rsidP="00F64B15">
      <w:pPr>
        <w:jc w:val="both"/>
        <w:rPr>
          <w:rFonts w:ascii="Calibri" w:hAnsi="Calibri" w:cs="Calibri"/>
        </w:rPr>
      </w:pPr>
    </w:p>
    <w:p w14:paraId="68B42C2A" w14:textId="77777777" w:rsidR="0032185B" w:rsidRPr="001C0C4B" w:rsidRDefault="0032185B" w:rsidP="00F64B15">
      <w:pPr>
        <w:jc w:val="both"/>
        <w:rPr>
          <w:rFonts w:ascii="Calibri" w:hAnsi="Calibri" w:cs="Calibri"/>
        </w:rPr>
      </w:pPr>
    </w:p>
    <w:p w14:paraId="69FF195A" w14:textId="77777777" w:rsidR="0032185B" w:rsidRPr="001C0C4B" w:rsidRDefault="0032185B" w:rsidP="00F64B15">
      <w:pPr>
        <w:jc w:val="both"/>
        <w:rPr>
          <w:rFonts w:ascii="Calibri" w:hAnsi="Calibri" w:cs="Calibri"/>
        </w:rPr>
      </w:pPr>
    </w:p>
    <w:p w14:paraId="63FF9B96" w14:textId="77777777" w:rsidR="0032185B" w:rsidRPr="001C0C4B" w:rsidRDefault="0032185B" w:rsidP="00F64B15">
      <w:pPr>
        <w:jc w:val="both"/>
        <w:rPr>
          <w:rFonts w:ascii="Calibri" w:hAnsi="Calibri" w:cs="Calibri"/>
        </w:rPr>
      </w:pPr>
    </w:p>
    <w:p w14:paraId="0008EBCE" w14:textId="77777777" w:rsidR="0032185B" w:rsidRPr="001C0C4B" w:rsidRDefault="0032185B" w:rsidP="00F64B15">
      <w:pPr>
        <w:jc w:val="both"/>
        <w:rPr>
          <w:rFonts w:ascii="Calibri" w:hAnsi="Calibri" w:cs="Calibri"/>
        </w:rPr>
      </w:pPr>
    </w:p>
    <w:p w14:paraId="31D49D08" w14:textId="413B2752" w:rsidR="0032185B" w:rsidRPr="001C0C4B" w:rsidRDefault="0032185B" w:rsidP="00F64B15">
      <w:pPr>
        <w:jc w:val="both"/>
        <w:rPr>
          <w:rFonts w:ascii="Calibri" w:hAnsi="Calibri" w:cs="Calibri"/>
        </w:rPr>
      </w:pPr>
      <w:r w:rsidRPr="001C0C4B">
        <w:rPr>
          <w:rFonts w:ascii="Calibri" w:hAnsi="Calibri" w:cs="Calibri"/>
          <w:noProof/>
          <w:lang w:bidi="th-TH"/>
        </w:rPr>
        <mc:AlternateContent>
          <mc:Choice Requires="wps">
            <w:drawing>
              <wp:inline distT="0" distB="0" distL="114300" distR="114300" wp14:anchorId="1560403F" wp14:editId="288D60FE">
                <wp:extent cx="6153150" cy="403200"/>
                <wp:effectExtent l="0" t="0" r="6350" b="635"/>
                <wp:docPr id="823361148" name="Text Box 8"/>
                <wp:cNvGraphicFramePr/>
                <a:graphic xmlns:a="http://schemas.openxmlformats.org/drawingml/2006/main">
                  <a:graphicData uri="http://schemas.microsoft.com/office/word/2010/wordprocessingShape">
                    <wps:wsp>
                      <wps:cNvSpPr txBox="1"/>
                      <wps:spPr>
                        <a:xfrm>
                          <a:off x="0" y="0"/>
                          <a:ext cx="6153150" cy="403200"/>
                        </a:xfrm>
                        <a:prstGeom prst="rect">
                          <a:avLst/>
                        </a:prstGeom>
                        <a:solidFill>
                          <a:prstClr val="white"/>
                        </a:solidFill>
                        <a:ln>
                          <a:noFill/>
                        </a:ln>
                      </wps:spPr>
                      <wps:txbx>
                        <w:txbxContent>
                          <w:p w14:paraId="738B474C" w14:textId="37A8047D" w:rsidR="00657E5D" w:rsidRPr="00DA1874" w:rsidRDefault="00657E5D" w:rsidP="00DC66C3">
                            <w:pPr>
                              <w:pStyle w:val="Caption"/>
                              <w:ind w:left="630" w:hanging="630"/>
                              <w:rPr>
                                <w:noProof/>
                              </w:rPr>
                            </w:pPr>
                            <w:r>
                              <w:t xml:space="preserve">Figure </w:t>
                            </w:r>
                            <w:r>
                              <w:fldChar w:fldCharType="begin"/>
                            </w:r>
                            <w:r>
                              <w:instrText>SEQ Figure \* ARABIC</w:instrText>
                            </w:r>
                            <w:r>
                              <w:fldChar w:fldCharType="separate"/>
                            </w:r>
                            <w:r w:rsidR="005D4773">
                              <w:rPr>
                                <w:noProof/>
                              </w:rPr>
                              <w:t>1</w:t>
                            </w:r>
                            <w:r>
                              <w:fldChar w:fldCharType="end"/>
                            </w:r>
                            <w:r>
                              <w:t xml:space="preserve"> </w:t>
                            </w:r>
                            <w:r w:rsidRPr="000C51AB">
                              <w:t xml:space="preserve">Simplified paradigm of COVID-19 </w:t>
                            </w:r>
                            <w:r>
                              <w:t xml:space="preserve">infection and </w:t>
                            </w:r>
                            <w:r w:rsidRPr="000C51AB">
                              <w:t>disease. There are two main stages of disease and antiviral therapies should be most effective early 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1560403F" id="_x0000_t202" coordsize="21600,21600" o:spt="202" path="m,l,21600r21600,l21600,xe">
                <v:stroke joinstyle="miter"/>
                <v:path gradientshapeok="t" o:connecttype="rect"/>
              </v:shapetype>
              <v:shape id="Text Box 8" o:spid="_x0000_s1026" type="#_x0000_t202" style="width:484.5pt;height: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" stroked="f">
                <v:textbox style="mso-fit-shape-to-text:t" inset="0,0,0,0">
                  <w:txbxContent>
                    <w:p w14:paraId="738B474C" w14:textId="37A8047D" w:rsidR="00657E5D" w:rsidRPr="00DA1874" w:rsidRDefault="00657E5D" w:rsidP="00DC66C3">
                      <w:pPr>
                        <w:pStyle w:val="Caption"/>
                        <w:ind w:left="630" w:hanging="630"/>
                        <w:rPr>
                          <w:noProof/>
                        </w:rPr>
                      </w:pPr>
                      <w:r>
                        <w:t xml:space="preserve">Figure </w:t>
                      </w:r>
                      <w:r>
                        <w:fldChar w:fldCharType="begin"/>
                      </w:r>
                      <w:r>
                        <w:instrText>SEQ Figure \* ARABIC</w:instrText>
                      </w:r>
                      <w:r>
                        <w:fldChar w:fldCharType="separate"/>
                      </w:r>
                      <w:r w:rsidR="005D4773">
                        <w:rPr>
                          <w:noProof/>
                        </w:rPr>
                        <w:t>1</w:t>
                      </w:r>
                      <w:r>
                        <w:fldChar w:fldCharType="end"/>
                      </w:r>
                      <w:r>
                        <w:t xml:space="preserve"> </w:t>
                      </w:r>
                      <w:r w:rsidRPr="000C51AB">
                        <w:t xml:space="preserve">Simplified paradigm of COVID-19 </w:t>
                      </w:r>
                      <w:r>
                        <w:t xml:space="preserve">infection and </w:t>
                      </w:r>
                      <w:r w:rsidRPr="000C51AB">
                        <w:t>disease. There are two main stages of disease and antiviral therapies should be most effective early on.</w:t>
                      </w:r>
                    </w:p>
                  </w:txbxContent>
                </v:textbox>
                <w10:anchorlock/>
              </v:shape>
            </w:pict>
          </mc:Fallback>
        </mc:AlternateContent>
      </w:r>
    </w:p>
    <w:p w14:paraId="577A2DED" w14:textId="2C20AFCC" w:rsidR="005858D4" w:rsidRPr="001C0C4B" w:rsidRDefault="4B2855B7" w:rsidP="00F64B15">
      <w:pPr>
        <w:jc w:val="both"/>
        <w:rPr>
          <w:rFonts w:ascii="Calibri" w:hAnsi="Calibri" w:cs="Calibri"/>
        </w:rPr>
      </w:pPr>
      <w:bookmarkStart w:id="55" w:name="_Hlk104451660"/>
      <w:r w:rsidRPr="001C0C4B">
        <w:rPr>
          <w:rFonts w:ascii="Calibri" w:hAnsi="Calibri" w:cs="Calibri"/>
        </w:rPr>
        <w:t xml:space="preserve">Symptomatic COVID-19 infection has two </w:t>
      </w:r>
      <w:r w:rsidR="0046715E" w:rsidRPr="001C0C4B">
        <w:rPr>
          <w:rFonts w:ascii="Calibri" w:hAnsi="Calibri" w:cs="Calibri"/>
        </w:rPr>
        <w:t>overlapping phases</w:t>
      </w:r>
      <w:r w:rsidR="00705ADD" w:rsidRPr="001C0C4B">
        <w:rPr>
          <w:rFonts w:ascii="Calibri" w:hAnsi="Calibri" w:cs="Calibri"/>
        </w:rPr>
        <w:t xml:space="preserve"> (Figure</w:t>
      </w:r>
      <w:r w:rsidR="00642E7C" w:rsidRPr="001C0C4B">
        <w:rPr>
          <w:rFonts w:ascii="Calibri" w:hAnsi="Calibri" w:cs="Calibri"/>
        </w:rPr>
        <w:t xml:space="preserve"> 1</w:t>
      </w:r>
      <w:r w:rsidR="00705ADD" w:rsidRPr="001C0C4B">
        <w:rPr>
          <w:rFonts w:ascii="Calibri" w:hAnsi="Calibri" w:cs="Calibri"/>
        </w:rPr>
        <w:t>)</w:t>
      </w:r>
      <w:r w:rsidRPr="001C0C4B">
        <w:rPr>
          <w:rFonts w:ascii="Calibri" w:hAnsi="Calibri" w:cs="Calibri"/>
        </w:rPr>
        <w:t>. In the first</w:t>
      </w:r>
      <w:r w:rsidR="00922980" w:rsidRPr="001C0C4B">
        <w:rPr>
          <w:rFonts w:ascii="Calibri" w:hAnsi="Calibri" w:cs="Calibri"/>
        </w:rPr>
        <w:t xml:space="preserve"> phase</w:t>
      </w:r>
      <w:r w:rsidRPr="001C0C4B">
        <w:rPr>
          <w:rFonts w:ascii="Calibri" w:hAnsi="Calibri" w:cs="Calibri"/>
        </w:rPr>
        <w:t xml:space="preserve">, there is </w:t>
      </w:r>
      <w:r w:rsidR="00F66095" w:rsidRPr="001C0C4B">
        <w:rPr>
          <w:rFonts w:ascii="Calibri" w:hAnsi="Calibri" w:cs="Calibri"/>
        </w:rPr>
        <w:t xml:space="preserve">rapid </w:t>
      </w:r>
      <w:r w:rsidRPr="001C0C4B">
        <w:rPr>
          <w:rFonts w:ascii="Calibri" w:hAnsi="Calibri" w:cs="Calibri"/>
        </w:rPr>
        <w:t>viral replication with peak viral load</w:t>
      </w:r>
      <w:r w:rsidR="00922980" w:rsidRPr="001C0C4B">
        <w:rPr>
          <w:rFonts w:ascii="Calibri" w:hAnsi="Calibri" w:cs="Calibri"/>
        </w:rPr>
        <w:t>s in the pharynx</w:t>
      </w:r>
      <w:r w:rsidRPr="001C0C4B">
        <w:rPr>
          <w:rFonts w:ascii="Calibri" w:hAnsi="Calibri" w:cs="Calibri"/>
        </w:rPr>
        <w:t xml:space="preserve"> </w:t>
      </w:r>
      <w:r w:rsidR="02560D9E" w:rsidRPr="001C0C4B">
        <w:rPr>
          <w:rFonts w:ascii="Calibri" w:hAnsi="Calibri" w:cs="Calibri"/>
        </w:rPr>
        <w:t>occurring</w:t>
      </w:r>
      <w:r w:rsidRPr="001C0C4B">
        <w:rPr>
          <w:rFonts w:ascii="Calibri" w:hAnsi="Calibri" w:cs="Calibri"/>
        </w:rPr>
        <w:t xml:space="preserve"> approximately at the time of symptom onset. </w:t>
      </w:r>
      <w:r w:rsidR="00922980" w:rsidRPr="001C0C4B">
        <w:rPr>
          <w:rFonts w:ascii="Calibri" w:hAnsi="Calibri" w:cs="Calibri"/>
        </w:rPr>
        <w:t xml:space="preserve">Thereafter viral burdens decline. </w:t>
      </w:r>
      <w:r w:rsidR="0D170B53" w:rsidRPr="001C0C4B">
        <w:rPr>
          <w:rFonts w:ascii="Calibri" w:hAnsi="Calibri" w:cs="Calibri"/>
        </w:rPr>
        <w:t>In th</w:t>
      </w:r>
      <w:r w:rsidR="00922980" w:rsidRPr="001C0C4B">
        <w:rPr>
          <w:rFonts w:ascii="Calibri" w:hAnsi="Calibri" w:cs="Calibri"/>
        </w:rPr>
        <w:t>is s</w:t>
      </w:r>
      <w:r w:rsidR="0D170B53" w:rsidRPr="001C0C4B">
        <w:rPr>
          <w:rFonts w:ascii="Calibri" w:hAnsi="Calibri" w:cs="Calibri"/>
        </w:rPr>
        <w:t>econd</w:t>
      </w:r>
      <w:r w:rsidR="00922980" w:rsidRPr="001C0C4B">
        <w:rPr>
          <w:rFonts w:ascii="Calibri" w:hAnsi="Calibri" w:cs="Calibri"/>
        </w:rPr>
        <w:t xml:space="preserve"> phase</w:t>
      </w:r>
      <w:r w:rsidRPr="001C0C4B">
        <w:rPr>
          <w:rFonts w:ascii="Calibri" w:hAnsi="Calibri" w:cs="Calibri"/>
        </w:rPr>
        <w:t>, the viral load decreases</w:t>
      </w:r>
      <w:r w:rsidR="00922980" w:rsidRPr="001C0C4B">
        <w:rPr>
          <w:rFonts w:ascii="Calibri" w:hAnsi="Calibri" w:cs="Calibri"/>
        </w:rPr>
        <w:t xml:space="preserve"> (the decline is fir</w:t>
      </w:r>
      <w:r w:rsidR="33C54C58" w:rsidRPr="001C0C4B">
        <w:rPr>
          <w:rFonts w:ascii="Calibri" w:hAnsi="Calibri" w:cs="Calibri"/>
        </w:rPr>
        <w:t>s</w:t>
      </w:r>
      <w:r w:rsidR="00922980" w:rsidRPr="001C0C4B">
        <w:rPr>
          <w:rFonts w:ascii="Calibri" w:hAnsi="Calibri" w:cs="Calibri"/>
        </w:rPr>
        <w:t xml:space="preserve">t order, and </w:t>
      </w:r>
      <w:r w:rsidR="1B3A1C6D" w:rsidRPr="001C0C4B">
        <w:rPr>
          <w:rFonts w:ascii="Calibri" w:hAnsi="Calibri" w:cs="Calibri"/>
        </w:rPr>
        <w:t>the rate of decline is</w:t>
      </w:r>
      <w:r w:rsidR="00922980" w:rsidRPr="001C0C4B">
        <w:rPr>
          <w:rFonts w:ascii="Calibri" w:hAnsi="Calibri" w:cs="Calibri"/>
        </w:rPr>
        <w:t xml:space="preserve"> slower in sicker patients)</w:t>
      </w:r>
      <w:r w:rsidR="00B465A5" w:rsidRPr="001C0C4B">
        <w:rPr>
          <w:rFonts w:ascii="Calibri" w:hAnsi="Calibri" w:cs="Calibri"/>
        </w:rPr>
        <w:t xml:space="preserve"> </w:t>
      </w:r>
      <w:r w:rsidR="00B465A5" w:rsidRPr="001C0C4B">
        <w:rPr>
          <w:rFonts w:ascii="Calibri" w:hAnsi="Calibri" w:cs="Calibri"/>
          <w:noProof/>
        </w:rPr>
        <w:t>(</w:t>
      </w:r>
      <w:r w:rsidR="00402C21" w:rsidRPr="001C0C4B">
        <w:rPr>
          <w:rFonts w:ascii="Calibri" w:hAnsi="Calibri" w:cs="Calibri"/>
          <w:noProof/>
        </w:rPr>
        <w:t>2</w:t>
      </w:r>
      <w:r w:rsidR="00EA639D" w:rsidRPr="001C0C4B">
        <w:rPr>
          <w:rFonts w:ascii="Calibri" w:hAnsi="Calibri" w:cs="Calibri"/>
          <w:noProof/>
        </w:rPr>
        <w:t>-</w:t>
      </w:r>
      <w:r w:rsidR="00EC20C7" w:rsidRPr="001C0C4B">
        <w:rPr>
          <w:rFonts w:ascii="Calibri" w:hAnsi="Calibri" w:cs="Calibri"/>
          <w:noProof/>
        </w:rPr>
        <w:t>6</w:t>
      </w:r>
      <w:r w:rsidR="00B465A5" w:rsidRPr="001C0C4B">
        <w:rPr>
          <w:rFonts w:ascii="Calibri" w:hAnsi="Calibri" w:cs="Calibri"/>
          <w:noProof/>
        </w:rPr>
        <w:t>)</w:t>
      </w:r>
      <w:r w:rsidRPr="001C0C4B">
        <w:rPr>
          <w:rFonts w:ascii="Calibri" w:hAnsi="Calibri" w:cs="Calibri"/>
        </w:rPr>
        <w:t xml:space="preserve">. </w:t>
      </w:r>
      <w:r w:rsidR="00D81C35" w:rsidRPr="001C0C4B">
        <w:rPr>
          <w:rFonts w:ascii="Calibri" w:hAnsi="Calibri" w:cs="Calibri"/>
        </w:rPr>
        <w:t>During th</w:t>
      </w:r>
      <w:r w:rsidR="00D52952" w:rsidRPr="001C0C4B">
        <w:rPr>
          <w:rFonts w:ascii="Calibri" w:hAnsi="Calibri" w:cs="Calibri"/>
        </w:rPr>
        <w:t>e</w:t>
      </w:r>
      <w:r w:rsidR="00D81C35" w:rsidRPr="001C0C4B">
        <w:rPr>
          <w:rFonts w:ascii="Calibri" w:hAnsi="Calibri" w:cs="Calibri"/>
        </w:rPr>
        <w:t xml:space="preserve"> second phase,</w:t>
      </w:r>
      <w:r w:rsidRPr="001C0C4B">
        <w:rPr>
          <w:rFonts w:ascii="Calibri" w:hAnsi="Calibri" w:cs="Calibri"/>
        </w:rPr>
        <w:t xml:space="preserve"> </w:t>
      </w:r>
      <w:r w:rsidR="00922980" w:rsidRPr="001C0C4B">
        <w:rPr>
          <w:rFonts w:ascii="Calibri" w:hAnsi="Calibri" w:cs="Calibri"/>
        </w:rPr>
        <w:t xml:space="preserve">a </w:t>
      </w:r>
      <w:r w:rsidRPr="001C0C4B">
        <w:rPr>
          <w:rFonts w:ascii="Calibri" w:hAnsi="Calibri" w:cs="Calibri"/>
        </w:rPr>
        <w:t xml:space="preserve">small minority of individuals </w:t>
      </w:r>
      <w:r w:rsidR="00D52952" w:rsidRPr="001C0C4B">
        <w:rPr>
          <w:rFonts w:ascii="Calibri" w:hAnsi="Calibri" w:cs="Calibri"/>
        </w:rPr>
        <w:t>(particularly the elderly and those with co-m</w:t>
      </w:r>
      <w:r w:rsidR="00450ECA" w:rsidRPr="001C0C4B">
        <w:rPr>
          <w:rFonts w:ascii="Calibri" w:hAnsi="Calibri" w:cs="Calibri"/>
        </w:rPr>
        <w:t>o</w:t>
      </w:r>
      <w:r w:rsidR="00D52952" w:rsidRPr="001C0C4B">
        <w:rPr>
          <w:rFonts w:ascii="Calibri" w:hAnsi="Calibri" w:cs="Calibri"/>
        </w:rPr>
        <w:t xml:space="preserve">rbidities) </w:t>
      </w:r>
      <w:r w:rsidRPr="001C0C4B">
        <w:rPr>
          <w:rFonts w:ascii="Calibri" w:hAnsi="Calibri" w:cs="Calibri"/>
        </w:rPr>
        <w:t>progress t</w:t>
      </w:r>
      <w:r w:rsidR="6CC5598C" w:rsidRPr="001C0C4B">
        <w:rPr>
          <w:rFonts w:ascii="Calibri" w:hAnsi="Calibri" w:cs="Calibri"/>
        </w:rPr>
        <w:t xml:space="preserve">o severe illness </w:t>
      </w:r>
      <w:r w:rsidR="00EF10AA" w:rsidRPr="001C0C4B">
        <w:rPr>
          <w:rFonts w:ascii="Calibri" w:hAnsi="Calibri" w:cs="Calibri"/>
        </w:rPr>
        <w:t xml:space="preserve">(severe pneumonia) </w:t>
      </w:r>
      <w:r w:rsidR="6CC5598C" w:rsidRPr="001C0C4B">
        <w:rPr>
          <w:rFonts w:ascii="Calibri" w:hAnsi="Calibri" w:cs="Calibri"/>
        </w:rPr>
        <w:t xml:space="preserve">and some die. </w:t>
      </w:r>
      <w:r w:rsidR="00DF67F5" w:rsidRPr="001C0C4B">
        <w:rPr>
          <w:rFonts w:ascii="Calibri" w:hAnsi="Calibri" w:cs="Calibri"/>
        </w:rPr>
        <w:t>Hospital admission is usually about one week after the onset of illness</w:t>
      </w:r>
      <w:r w:rsidR="00B465A5" w:rsidRPr="001C0C4B">
        <w:rPr>
          <w:rFonts w:ascii="Calibri" w:hAnsi="Calibri" w:cs="Calibri"/>
        </w:rPr>
        <w:t xml:space="preserve"> </w:t>
      </w:r>
      <w:r w:rsidR="00DD7828" w:rsidRPr="001C0C4B">
        <w:rPr>
          <w:rFonts w:ascii="Calibri" w:hAnsi="Calibri" w:cs="Calibri"/>
          <w:noProof/>
        </w:rPr>
        <w:t>(</w:t>
      </w:r>
      <w:r w:rsidR="00EC20C7" w:rsidRPr="001C0C4B">
        <w:rPr>
          <w:rFonts w:ascii="Calibri" w:hAnsi="Calibri" w:cs="Calibri"/>
          <w:noProof/>
        </w:rPr>
        <w:t>7</w:t>
      </w:r>
      <w:r w:rsidR="00DD7828" w:rsidRPr="001C0C4B">
        <w:rPr>
          <w:rFonts w:ascii="Calibri" w:hAnsi="Calibri" w:cs="Calibri"/>
          <w:noProof/>
        </w:rPr>
        <w:t>)</w:t>
      </w:r>
      <w:r w:rsidR="00DF67F5" w:rsidRPr="001C0C4B">
        <w:rPr>
          <w:rFonts w:ascii="Calibri" w:hAnsi="Calibri" w:cs="Calibri"/>
        </w:rPr>
        <w:t>. In those patients requiring respiratory support</w:t>
      </w:r>
      <w:r w:rsidR="00983EF6" w:rsidRPr="001C0C4B">
        <w:rPr>
          <w:rFonts w:ascii="Calibri" w:hAnsi="Calibri" w:cs="Calibri"/>
        </w:rPr>
        <w:t>,</w:t>
      </w:r>
      <w:r w:rsidR="00DF67F5" w:rsidRPr="001C0C4B">
        <w:rPr>
          <w:rFonts w:ascii="Calibri" w:hAnsi="Calibri" w:cs="Calibri"/>
        </w:rPr>
        <w:t xml:space="preserve"> low dose </w:t>
      </w:r>
      <w:r w:rsidR="2FB87663" w:rsidRPr="001C0C4B">
        <w:rPr>
          <w:rFonts w:ascii="Calibri" w:hAnsi="Calibri" w:cs="Calibri"/>
        </w:rPr>
        <w:t>dexamethasone</w:t>
      </w:r>
      <w:r w:rsidR="00DF67F5" w:rsidRPr="001C0C4B">
        <w:rPr>
          <w:rFonts w:ascii="Calibri" w:hAnsi="Calibri" w:cs="Calibri"/>
        </w:rPr>
        <w:t xml:space="preserve"> reduce</w:t>
      </w:r>
      <w:r w:rsidR="00EF10AA" w:rsidRPr="001C0C4B">
        <w:rPr>
          <w:rFonts w:ascii="Calibri" w:hAnsi="Calibri" w:cs="Calibri"/>
        </w:rPr>
        <w:t>s</w:t>
      </w:r>
      <w:r w:rsidR="00DF67F5" w:rsidRPr="001C0C4B">
        <w:rPr>
          <w:rFonts w:ascii="Calibri" w:hAnsi="Calibri" w:cs="Calibri"/>
        </w:rPr>
        <w:t xml:space="preserve"> mortality substantially</w:t>
      </w:r>
      <w:r w:rsidR="00EA639D" w:rsidRPr="001C0C4B">
        <w:rPr>
          <w:rFonts w:ascii="Calibri" w:hAnsi="Calibri" w:cs="Calibri"/>
        </w:rPr>
        <w:t xml:space="preserve"> (</w:t>
      </w:r>
      <w:r w:rsidR="00EC20C7" w:rsidRPr="001C0C4B">
        <w:rPr>
          <w:rFonts w:ascii="Calibri" w:hAnsi="Calibri" w:cs="Calibri"/>
        </w:rPr>
        <w:t>8</w:t>
      </w:r>
      <w:r w:rsidR="00EA639D" w:rsidRPr="001C0C4B">
        <w:rPr>
          <w:rFonts w:ascii="Calibri" w:hAnsi="Calibri" w:cs="Calibri"/>
        </w:rPr>
        <w:t>)</w:t>
      </w:r>
      <w:r w:rsidR="00DF67F5" w:rsidRPr="001C0C4B">
        <w:rPr>
          <w:rFonts w:ascii="Calibri" w:hAnsi="Calibri" w:cs="Calibri"/>
        </w:rPr>
        <w:t xml:space="preserve">. At this </w:t>
      </w:r>
      <w:r w:rsidR="00D52952" w:rsidRPr="001C0C4B">
        <w:rPr>
          <w:rFonts w:ascii="Calibri" w:hAnsi="Calibri" w:cs="Calibri"/>
        </w:rPr>
        <w:t xml:space="preserve">late </w:t>
      </w:r>
      <w:r w:rsidR="00DF67F5" w:rsidRPr="001C0C4B">
        <w:rPr>
          <w:rFonts w:ascii="Calibri" w:hAnsi="Calibri" w:cs="Calibri"/>
        </w:rPr>
        <w:t xml:space="preserve">stage of the illness inflammatory processes </w:t>
      </w:r>
      <w:r w:rsidR="008019B4" w:rsidRPr="001C0C4B">
        <w:rPr>
          <w:rFonts w:ascii="Calibri" w:hAnsi="Calibri" w:cs="Calibri"/>
        </w:rPr>
        <w:t>pre</w:t>
      </w:r>
      <w:r w:rsidR="00DF67F5" w:rsidRPr="001C0C4B">
        <w:rPr>
          <w:rFonts w:ascii="Calibri" w:hAnsi="Calibri" w:cs="Calibri"/>
        </w:rPr>
        <w:t>dominate, and antivirals are less likely to be of benefit</w:t>
      </w:r>
      <w:r w:rsidR="00D85B24" w:rsidRPr="001C0C4B">
        <w:rPr>
          <w:rFonts w:ascii="Calibri" w:hAnsi="Calibri" w:cs="Calibri"/>
        </w:rPr>
        <w:t xml:space="preserve"> (</w:t>
      </w:r>
      <w:r w:rsidR="00EC20C7" w:rsidRPr="001C0C4B">
        <w:rPr>
          <w:rFonts w:ascii="Calibri" w:hAnsi="Calibri" w:cs="Calibri"/>
        </w:rPr>
        <w:t>9</w:t>
      </w:r>
      <w:r w:rsidR="00D85B24" w:rsidRPr="001C0C4B">
        <w:rPr>
          <w:rFonts w:ascii="Calibri" w:hAnsi="Calibri" w:cs="Calibri"/>
        </w:rPr>
        <w:t>)</w:t>
      </w:r>
      <w:r w:rsidR="00DF67F5" w:rsidRPr="001C0C4B">
        <w:rPr>
          <w:rFonts w:ascii="Calibri" w:hAnsi="Calibri" w:cs="Calibri"/>
        </w:rPr>
        <w:t xml:space="preserve">. </w:t>
      </w:r>
      <w:r w:rsidR="00D52952" w:rsidRPr="001C0C4B">
        <w:rPr>
          <w:rFonts w:ascii="Calibri" w:hAnsi="Calibri" w:cs="Calibri"/>
        </w:rPr>
        <w:t>A</w:t>
      </w:r>
      <w:r w:rsidR="6CC5598C" w:rsidRPr="001C0C4B">
        <w:rPr>
          <w:rFonts w:ascii="Calibri" w:hAnsi="Calibri" w:cs="Calibri"/>
        </w:rPr>
        <w:t xml:space="preserve">ntiviral treatments </w:t>
      </w:r>
      <w:r w:rsidR="00DF67F5" w:rsidRPr="001C0C4B">
        <w:rPr>
          <w:rFonts w:ascii="Calibri" w:hAnsi="Calibri" w:cs="Calibri"/>
        </w:rPr>
        <w:t xml:space="preserve">are </w:t>
      </w:r>
      <w:r w:rsidR="6CC5598C" w:rsidRPr="001C0C4B">
        <w:rPr>
          <w:rFonts w:ascii="Calibri" w:hAnsi="Calibri" w:cs="Calibri"/>
        </w:rPr>
        <w:t xml:space="preserve">most </w:t>
      </w:r>
      <w:r w:rsidR="00DF67F5" w:rsidRPr="001C0C4B">
        <w:rPr>
          <w:rFonts w:ascii="Calibri" w:hAnsi="Calibri" w:cs="Calibri"/>
        </w:rPr>
        <w:t xml:space="preserve">likely to be of benefit </w:t>
      </w:r>
      <w:r w:rsidR="6CC5598C" w:rsidRPr="001C0C4B">
        <w:rPr>
          <w:rFonts w:ascii="Calibri" w:hAnsi="Calibri" w:cs="Calibri"/>
        </w:rPr>
        <w:t xml:space="preserve">when given early </w:t>
      </w:r>
      <w:r w:rsidR="00DF67F5" w:rsidRPr="001C0C4B">
        <w:rPr>
          <w:rFonts w:ascii="Calibri" w:hAnsi="Calibri" w:cs="Calibri"/>
        </w:rPr>
        <w:t>in the illness. A</w:t>
      </w:r>
      <w:r w:rsidR="36EB2C02" w:rsidRPr="001C0C4B">
        <w:rPr>
          <w:rFonts w:ascii="Calibri" w:hAnsi="Calibri" w:cs="Calibri"/>
        </w:rPr>
        <w:t>ccelerating viral clearance</w:t>
      </w:r>
      <w:r w:rsidR="00DF67F5" w:rsidRPr="001C0C4B">
        <w:rPr>
          <w:rFonts w:ascii="Calibri" w:hAnsi="Calibri" w:cs="Calibri"/>
        </w:rPr>
        <w:t xml:space="preserve"> should reduce the subsequent inflammatory pathology, </w:t>
      </w:r>
      <w:r w:rsidR="00140152" w:rsidRPr="001C0C4B">
        <w:rPr>
          <w:rFonts w:ascii="Calibri" w:hAnsi="Calibri" w:cs="Calibri"/>
        </w:rPr>
        <w:t xml:space="preserve">a </w:t>
      </w:r>
      <w:r w:rsidR="6185755E" w:rsidRPr="001C0C4B">
        <w:rPr>
          <w:rFonts w:ascii="Calibri" w:hAnsi="Calibri" w:cs="Calibri"/>
        </w:rPr>
        <w:t>hypoth</w:t>
      </w:r>
      <w:r w:rsidR="002A02E0" w:rsidRPr="001C0C4B">
        <w:rPr>
          <w:rFonts w:ascii="Calibri" w:hAnsi="Calibri" w:cs="Calibri"/>
        </w:rPr>
        <w:t>e</w:t>
      </w:r>
      <w:r w:rsidR="6185755E" w:rsidRPr="001C0C4B">
        <w:rPr>
          <w:rFonts w:ascii="Calibri" w:hAnsi="Calibri" w:cs="Calibri"/>
        </w:rPr>
        <w:t xml:space="preserve">sis which </w:t>
      </w:r>
      <w:r w:rsidR="00DF67F5" w:rsidRPr="001C0C4B">
        <w:rPr>
          <w:rFonts w:ascii="Calibri" w:hAnsi="Calibri" w:cs="Calibri"/>
        </w:rPr>
        <w:t xml:space="preserve">is </w:t>
      </w:r>
      <w:r w:rsidR="6185755E" w:rsidRPr="001C0C4B">
        <w:rPr>
          <w:rFonts w:ascii="Calibri" w:hAnsi="Calibri" w:cs="Calibri"/>
        </w:rPr>
        <w:t xml:space="preserve">supported by </w:t>
      </w:r>
      <w:r w:rsidR="00EF10AA" w:rsidRPr="001C0C4B">
        <w:rPr>
          <w:rFonts w:ascii="Calibri" w:hAnsi="Calibri" w:cs="Calibri"/>
        </w:rPr>
        <w:t xml:space="preserve">studies of </w:t>
      </w:r>
      <w:r w:rsidR="6185755E" w:rsidRPr="001C0C4B">
        <w:rPr>
          <w:rFonts w:ascii="Calibri" w:hAnsi="Calibri" w:cs="Calibri"/>
        </w:rPr>
        <w:t>monoclonal antibody therapies</w:t>
      </w:r>
      <w:r w:rsidR="00AF131A" w:rsidRPr="001C0C4B">
        <w:rPr>
          <w:rFonts w:ascii="Calibri" w:hAnsi="Calibri" w:cs="Calibri"/>
        </w:rPr>
        <w:t xml:space="preserve"> </w:t>
      </w:r>
      <w:r w:rsidR="2241DA04" w:rsidRPr="001C0C4B">
        <w:rPr>
          <w:rFonts w:ascii="Calibri" w:hAnsi="Calibri" w:cs="Calibri"/>
        </w:rPr>
        <w:t xml:space="preserve">and data from hospitalised patients </w:t>
      </w:r>
      <w:r w:rsidR="00AF131A" w:rsidRPr="001C0C4B">
        <w:rPr>
          <w:rFonts w:ascii="Calibri" w:hAnsi="Calibri" w:cs="Calibri"/>
          <w:noProof/>
        </w:rPr>
        <w:t>(</w:t>
      </w:r>
      <w:r w:rsidR="00EC20C7" w:rsidRPr="001C0C4B">
        <w:rPr>
          <w:rFonts w:ascii="Calibri" w:hAnsi="Calibri" w:cs="Calibri"/>
          <w:noProof/>
        </w:rPr>
        <w:t>10</w:t>
      </w:r>
      <w:r w:rsidR="00857C7C" w:rsidRPr="001C0C4B">
        <w:rPr>
          <w:rFonts w:ascii="Calibri" w:hAnsi="Calibri" w:cs="Calibri"/>
          <w:noProof/>
        </w:rPr>
        <w:t xml:space="preserve">, </w:t>
      </w:r>
      <w:r w:rsidR="00D85B24" w:rsidRPr="001C0C4B">
        <w:rPr>
          <w:rFonts w:ascii="Calibri" w:hAnsi="Calibri" w:cs="Calibri"/>
          <w:noProof/>
        </w:rPr>
        <w:t>1</w:t>
      </w:r>
      <w:r w:rsidR="00EC20C7" w:rsidRPr="001C0C4B">
        <w:rPr>
          <w:rFonts w:ascii="Calibri" w:hAnsi="Calibri" w:cs="Calibri"/>
          <w:noProof/>
        </w:rPr>
        <w:t>1</w:t>
      </w:r>
      <w:r w:rsidR="00AF131A" w:rsidRPr="001C0C4B">
        <w:rPr>
          <w:rFonts w:ascii="Calibri" w:hAnsi="Calibri" w:cs="Calibri"/>
          <w:noProof/>
        </w:rPr>
        <w:t>)</w:t>
      </w:r>
      <w:r w:rsidR="623E74F9" w:rsidRPr="001C0C4B">
        <w:rPr>
          <w:rFonts w:ascii="Calibri" w:hAnsi="Calibri" w:cs="Calibri"/>
        </w:rPr>
        <w:t>.</w:t>
      </w:r>
      <w:r w:rsidR="00DF67F5" w:rsidRPr="001C0C4B">
        <w:rPr>
          <w:rFonts w:ascii="Calibri" w:hAnsi="Calibri" w:cs="Calibri"/>
        </w:rPr>
        <w:t xml:space="preserve"> </w:t>
      </w:r>
      <w:r w:rsidR="00A97D54" w:rsidRPr="001C0C4B">
        <w:rPr>
          <w:rFonts w:ascii="Calibri" w:hAnsi="Calibri" w:cs="Calibri"/>
        </w:rPr>
        <w:t xml:space="preserve">At the time of writing the early protocol, </w:t>
      </w:r>
      <w:r w:rsidR="00A97D54" w:rsidRPr="001C0C4B">
        <w:rPr>
          <w:rFonts w:ascii="Calibri" w:hAnsi="Calibri"/>
        </w:rPr>
        <w:t>t</w:t>
      </w:r>
      <w:r w:rsidR="0086229F" w:rsidRPr="001C0C4B">
        <w:rPr>
          <w:rFonts w:ascii="Calibri" w:hAnsi="Calibri"/>
        </w:rPr>
        <w:t xml:space="preserve">here </w:t>
      </w:r>
      <w:r w:rsidR="00A97D54" w:rsidRPr="001C0C4B">
        <w:rPr>
          <w:rFonts w:ascii="Calibri" w:hAnsi="Calibri"/>
        </w:rPr>
        <w:t>we</w:t>
      </w:r>
      <w:r w:rsidR="0086229F" w:rsidRPr="001C0C4B">
        <w:rPr>
          <w:rFonts w:ascii="Calibri" w:hAnsi="Calibri"/>
        </w:rPr>
        <w:t xml:space="preserve">re </w:t>
      </w:r>
      <w:r w:rsidR="003958A4" w:rsidRPr="001C0C4B">
        <w:rPr>
          <w:rFonts w:ascii="Calibri" w:hAnsi="Calibri"/>
        </w:rPr>
        <w:t>promising</w:t>
      </w:r>
      <w:r w:rsidR="00A97D54" w:rsidRPr="001C0C4B">
        <w:rPr>
          <w:rFonts w:ascii="Calibri" w:hAnsi="Calibri"/>
        </w:rPr>
        <w:t xml:space="preserve"> monoclonal antibody</w:t>
      </w:r>
      <w:r w:rsidR="003958A4" w:rsidRPr="001C0C4B">
        <w:rPr>
          <w:rFonts w:ascii="Calibri" w:hAnsi="Calibri"/>
        </w:rPr>
        <w:t xml:space="preserve"> </w:t>
      </w:r>
      <w:r w:rsidR="36EB2C02" w:rsidRPr="001C0C4B">
        <w:rPr>
          <w:rFonts w:ascii="Calibri" w:hAnsi="Calibri"/>
        </w:rPr>
        <w:t xml:space="preserve">therapies with </w:t>
      </w:r>
      <w:r w:rsidR="36EB2C02" w:rsidRPr="001C0C4B">
        <w:rPr>
          <w:rFonts w:ascii="Calibri" w:hAnsi="Calibri" w:cs="Calibri"/>
        </w:rPr>
        <w:t xml:space="preserve">evidence </w:t>
      </w:r>
      <w:r w:rsidR="282D0172" w:rsidRPr="001C0C4B">
        <w:rPr>
          <w:rFonts w:ascii="Calibri" w:hAnsi="Calibri" w:cs="Calibri"/>
        </w:rPr>
        <w:t xml:space="preserve">of </w:t>
      </w:r>
      <w:r w:rsidR="00D52952" w:rsidRPr="001C0C4B">
        <w:rPr>
          <w:rFonts w:ascii="Calibri" w:hAnsi="Calibri" w:cs="Calibri"/>
        </w:rPr>
        <w:t>viral clearance</w:t>
      </w:r>
      <w:r w:rsidR="1092DD80" w:rsidRPr="001C0C4B">
        <w:rPr>
          <w:rFonts w:ascii="Calibri" w:hAnsi="Calibri" w:cs="Calibri"/>
        </w:rPr>
        <w:t xml:space="preserve"> acceleration</w:t>
      </w:r>
      <w:r w:rsidR="00BB195B" w:rsidRPr="001C0C4B">
        <w:rPr>
          <w:rFonts w:ascii="Calibri" w:hAnsi="Calibri"/>
        </w:rPr>
        <w:t>.</w:t>
      </w:r>
      <w:r w:rsidR="00B54A28" w:rsidRPr="001C0C4B">
        <w:rPr>
          <w:rFonts w:ascii="Calibri" w:hAnsi="Calibri"/>
        </w:rPr>
        <w:t xml:space="preserve"> </w:t>
      </w:r>
      <w:r w:rsidR="07299C9A" w:rsidRPr="001C0C4B">
        <w:rPr>
          <w:rFonts w:ascii="Calibri" w:hAnsi="Calibri" w:cs="Calibri"/>
        </w:rPr>
        <w:t>Hospitali</w:t>
      </w:r>
      <w:r w:rsidR="004E527E" w:rsidRPr="001C0C4B">
        <w:rPr>
          <w:rFonts w:ascii="Calibri" w:hAnsi="Calibri" w:cs="Calibri"/>
        </w:rPr>
        <w:t>s</w:t>
      </w:r>
      <w:r w:rsidR="07299C9A" w:rsidRPr="001C0C4B">
        <w:rPr>
          <w:rFonts w:ascii="Calibri" w:hAnsi="Calibri" w:cs="Calibri"/>
        </w:rPr>
        <w:t xml:space="preserve">ation rates </w:t>
      </w:r>
      <w:r w:rsidR="00D52952" w:rsidRPr="001C0C4B">
        <w:rPr>
          <w:rFonts w:ascii="Calibri" w:hAnsi="Calibri" w:cs="Calibri"/>
        </w:rPr>
        <w:t xml:space="preserve">in RCTs </w:t>
      </w:r>
      <w:r w:rsidR="07299C9A" w:rsidRPr="001C0C4B">
        <w:rPr>
          <w:rFonts w:ascii="Calibri" w:hAnsi="Calibri" w:cs="Calibri"/>
        </w:rPr>
        <w:t xml:space="preserve">were lower in the </w:t>
      </w:r>
      <w:r w:rsidR="00D52952" w:rsidRPr="001C0C4B">
        <w:rPr>
          <w:rFonts w:ascii="Calibri" w:hAnsi="Calibri" w:cs="Calibri"/>
        </w:rPr>
        <w:t>patients receiving these antibodies</w:t>
      </w:r>
      <w:r w:rsidR="07299C9A" w:rsidRPr="001C0C4B">
        <w:rPr>
          <w:rFonts w:ascii="Calibri" w:hAnsi="Calibri" w:cs="Calibri"/>
        </w:rPr>
        <w:t>.</w:t>
      </w:r>
      <w:r w:rsidR="28DBCBCC" w:rsidRPr="001C0C4B">
        <w:rPr>
          <w:rFonts w:ascii="Calibri" w:hAnsi="Calibri" w:cs="Calibri"/>
        </w:rPr>
        <w:t xml:space="preserve"> </w:t>
      </w:r>
      <w:r w:rsidR="43ADA40E" w:rsidRPr="001C0C4B">
        <w:rPr>
          <w:rFonts w:ascii="Calibri" w:hAnsi="Calibri" w:cs="Calibri"/>
        </w:rPr>
        <w:t xml:space="preserve">However, </w:t>
      </w:r>
      <w:r w:rsidR="00990387" w:rsidRPr="001C0C4B">
        <w:rPr>
          <w:rFonts w:ascii="Calibri" w:hAnsi="Calibri" w:cs="Calibri"/>
        </w:rPr>
        <w:t>monoclonal</w:t>
      </w:r>
      <w:r w:rsidR="00211AAF" w:rsidRPr="001C0C4B">
        <w:rPr>
          <w:rFonts w:ascii="Calibri" w:hAnsi="Calibri" w:cs="Calibri"/>
        </w:rPr>
        <w:t xml:space="preserve"> antibodies</w:t>
      </w:r>
      <w:r w:rsidR="43ADA40E" w:rsidRPr="001C0C4B">
        <w:rPr>
          <w:rFonts w:ascii="Calibri" w:hAnsi="Calibri" w:cs="Calibri"/>
        </w:rPr>
        <w:t xml:space="preserve"> are </w:t>
      </w:r>
      <w:r w:rsidR="00211AAF" w:rsidRPr="001C0C4B">
        <w:rPr>
          <w:rFonts w:ascii="Calibri" w:hAnsi="Calibri" w:cs="Calibri"/>
        </w:rPr>
        <w:t xml:space="preserve">currently </w:t>
      </w:r>
      <w:r w:rsidR="43ADA40E" w:rsidRPr="001C0C4B">
        <w:rPr>
          <w:rFonts w:ascii="Calibri" w:hAnsi="Calibri" w:cs="Calibri"/>
        </w:rPr>
        <w:t>expensive and</w:t>
      </w:r>
      <w:r w:rsidR="00211AAF" w:rsidRPr="001C0C4B">
        <w:rPr>
          <w:rFonts w:ascii="Calibri" w:hAnsi="Calibri" w:cs="Calibri"/>
        </w:rPr>
        <w:t xml:space="preserve"> difficult to deploy at scale (although this could change rapidly in the near future)</w:t>
      </w:r>
      <w:r w:rsidR="00EF10AA" w:rsidRPr="001C0C4B">
        <w:rPr>
          <w:rFonts w:ascii="Calibri" w:hAnsi="Calibri" w:cs="Calibri"/>
        </w:rPr>
        <w:t xml:space="preserve"> and the</w:t>
      </w:r>
      <w:r w:rsidR="00E16FD5" w:rsidRPr="001C0C4B">
        <w:rPr>
          <w:rFonts w:ascii="Calibri" w:hAnsi="Calibri" w:cs="Calibri"/>
        </w:rPr>
        <w:t xml:space="preserve"> </w:t>
      </w:r>
      <w:r w:rsidR="00EF10AA" w:rsidRPr="001C0C4B">
        <w:rPr>
          <w:rFonts w:ascii="Calibri" w:hAnsi="Calibri" w:cs="Calibri"/>
        </w:rPr>
        <w:t xml:space="preserve">continued efficacy </w:t>
      </w:r>
      <w:r w:rsidR="00E16FD5" w:rsidRPr="001C0C4B">
        <w:rPr>
          <w:rFonts w:ascii="Calibri" w:hAnsi="Calibri" w:cs="Calibri"/>
        </w:rPr>
        <w:t xml:space="preserve">of monoclonal antibodies </w:t>
      </w:r>
      <w:r w:rsidR="00EF10AA" w:rsidRPr="001C0C4B">
        <w:rPr>
          <w:rFonts w:ascii="Calibri" w:hAnsi="Calibri" w:cs="Calibri"/>
        </w:rPr>
        <w:t>is threatened by the evolution and spread of spike protein mutants</w:t>
      </w:r>
      <w:r w:rsidR="00E0505F" w:rsidRPr="001C0C4B">
        <w:rPr>
          <w:rFonts w:ascii="Calibri" w:hAnsi="Calibri" w:cs="Calibri"/>
        </w:rPr>
        <w:t xml:space="preserve"> (</w:t>
      </w:r>
      <w:r w:rsidR="00EC20C7" w:rsidRPr="001C0C4B">
        <w:rPr>
          <w:rFonts w:ascii="Calibri" w:hAnsi="Calibri" w:cs="Calibri"/>
        </w:rPr>
        <w:t>12, 13</w:t>
      </w:r>
      <w:r w:rsidR="00E0505F" w:rsidRPr="001C0C4B">
        <w:rPr>
          <w:rFonts w:ascii="Calibri" w:hAnsi="Calibri" w:cs="Calibri"/>
        </w:rPr>
        <w:t>)</w:t>
      </w:r>
      <w:r w:rsidR="00211AAF" w:rsidRPr="001C0C4B">
        <w:rPr>
          <w:rFonts w:ascii="Calibri" w:hAnsi="Calibri" w:cs="Calibri"/>
        </w:rPr>
        <w:t xml:space="preserve">. </w:t>
      </w:r>
      <w:r w:rsidR="00D77D34" w:rsidRPr="001C0C4B">
        <w:rPr>
          <w:rFonts w:ascii="Calibri" w:hAnsi="Calibri" w:cs="Calibri"/>
        </w:rPr>
        <w:t>This has been seen recently with the spread of the Omicron variant which</w:t>
      </w:r>
      <w:r w:rsidR="005E6470" w:rsidRPr="001C0C4B">
        <w:rPr>
          <w:rFonts w:ascii="Calibri" w:hAnsi="Calibri" w:cs="Calibri"/>
        </w:rPr>
        <w:t xml:space="preserve"> has led, on the basis of in-vitro studies demonstrating decreased </w:t>
      </w:r>
      <w:r w:rsidR="00812326" w:rsidRPr="001C0C4B">
        <w:rPr>
          <w:rFonts w:ascii="Calibri" w:hAnsi="Calibri" w:cs="Calibri"/>
        </w:rPr>
        <w:t xml:space="preserve">neutralization, to curtailment of their use. </w:t>
      </w:r>
      <w:r w:rsidR="00812326" w:rsidRPr="001C0C4B">
        <w:rPr>
          <w:rFonts w:ascii="Calibri" w:hAnsi="Calibri"/>
        </w:rPr>
        <w:t>T</w:t>
      </w:r>
      <w:r w:rsidR="007207D5" w:rsidRPr="001C0C4B">
        <w:rPr>
          <w:rFonts w:ascii="Calibri" w:hAnsi="Calibri"/>
        </w:rPr>
        <w:t xml:space="preserve">wo small molecule antivirals </w:t>
      </w:r>
      <w:r w:rsidR="00BB195B" w:rsidRPr="001C0C4B">
        <w:rPr>
          <w:rFonts w:ascii="Calibri" w:hAnsi="Calibri"/>
        </w:rPr>
        <w:t>(</w:t>
      </w:r>
      <w:r w:rsidR="00BB195B" w:rsidRPr="001C0C4B">
        <w:rPr>
          <w:rFonts w:ascii="Calibri" w:hAnsi="Calibri"/>
          <w:color w:val="000000" w:themeColor="text1"/>
        </w:rPr>
        <w:t xml:space="preserve">molnupiravir, nirmatrelvir boosted by ritonavir) </w:t>
      </w:r>
      <w:r w:rsidR="007207D5" w:rsidRPr="001C0C4B">
        <w:rPr>
          <w:rFonts w:ascii="Calibri" w:hAnsi="Calibri"/>
          <w:color w:val="000000" w:themeColor="text1"/>
        </w:rPr>
        <w:t>have completed phase 3 testing, and shown in-vivo benefits in COVID-19</w:t>
      </w:r>
      <w:r w:rsidR="00BB195B" w:rsidRPr="001C0C4B">
        <w:rPr>
          <w:rFonts w:ascii="Calibri" w:hAnsi="Calibri"/>
          <w:color w:val="000000" w:themeColor="text1"/>
        </w:rPr>
        <w:t xml:space="preserve">. They are already licensed </w:t>
      </w:r>
      <w:r w:rsidR="007207D5" w:rsidRPr="001C0C4B">
        <w:rPr>
          <w:rFonts w:ascii="Calibri" w:hAnsi="Calibri"/>
          <w:color w:val="000000" w:themeColor="text1"/>
        </w:rPr>
        <w:t>for clinical use</w:t>
      </w:r>
      <w:r w:rsidR="00424FDD" w:rsidRPr="001C0C4B">
        <w:rPr>
          <w:rFonts w:ascii="Calibri" w:hAnsi="Calibri"/>
          <w:color w:val="000000" w:themeColor="text1"/>
        </w:rPr>
        <w:t xml:space="preserve"> in some countries</w:t>
      </w:r>
      <w:r w:rsidR="007207D5" w:rsidRPr="001C0C4B">
        <w:rPr>
          <w:rFonts w:ascii="Calibri" w:hAnsi="Calibri"/>
          <w:color w:val="000000" w:themeColor="text1"/>
        </w:rPr>
        <w:t xml:space="preserve">. However, further studies are needed, </w:t>
      </w:r>
      <w:r w:rsidR="004D3D9E" w:rsidRPr="001C0C4B">
        <w:rPr>
          <w:rFonts w:ascii="Calibri" w:hAnsi="Calibri"/>
          <w:color w:val="000000" w:themeColor="text1"/>
        </w:rPr>
        <w:t xml:space="preserve">particularly </w:t>
      </w:r>
      <w:r w:rsidR="007207D5" w:rsidRPr="001C0C4B">
        <w:rPr>
          <w:rFonts w:ascii="Calibri" w:hAnsi="Calibri"/>
          <w:color w:val="000000" w:themeColor="text1"/>
        </w:rPr>
        <w:t>comparative data on viral clearance between these two drugs</w:t>
      </w:r>
      <w:r w:rsidR="003D7898" w:rsidRPr="001C0C4B">
        <w:rPr>
          <w:rFonts w:ascii="Calibri" w:hAnsi="Calibri"/>
          <w:color w:val="000000" w:themeColor="text1"/>
        </w:rPr>
        <w:t>, and better characterization of the phenomenon of ‘viral rebound’, where there is a recrudescence of</w:t>
      </w:r>
      <w:r w:rsidR="007913C5" w:rsidRPr="001C0C4B">
        <w:rPr>
          <w:rFonts w:ascii="Calibri" w:hAnsi="Calibri"/>
          <w:color w:val="000000" w:themeColor="text1"/>
        </w:rPr>
        <w:t xml:space="preserve"> active</w:t>
      </w:r>
      <w:r w:rsidR="003D7898" w:rsidRPr="001C0C4B">
        <w:rPr>
          <w:rFonts w:ascii="Calibri" w:hAnsi="Calibri"/>
          <w:color w:val="000000" w:themeColor="text1"/>
        </w:rPr>
        <w:t xml:space="preserve"> infection</w:t>
      </w:r>
      <w:r w:rsidR="007913C5" w:rsidRPr="001C0C4B">
        <w:rPr>
          <w:rFonts w:ascii="Calibri" w:hAnsi="Calibri"/>
          <w:color w:val="000000" w:themeColor="text1"/>
        </w:rPr>
        <w:t xml:space="preserve"> which has implications for transmission.</w:t>
      </w:r>
      <w:r w:rsidR="003D7898" w:rsidRPr="001C0C4B">
        <w:rPr>
          <w:rFonts w:ascii="Calibri" w:hAnsi="Calibri"/>
          <w:color w:val="000000" w:themeColor="text1"/>
        </w:rPr>
        <w:t xml:space="preserve"> </w:t>
      </w:r>
      <w:r w:rsidR="007913C5" w:rsidRPr="001C0C4B">
        <w:rPr>
          <w:rFonts w:ascii="Calibri" w:hAnsi="Calibri"/>
          <w:color w:val="000000" w:themeColor="text1"/>
        </w:rPr>
        <w:t>I</w:t>
      </w:r>
      <w:r w:rsidR="00072BE7" w:rsidRPr="001C0C4B">
        <w:rPr>
          <w:rFonts w:ascii="Calibri" w:hAnsi="Calibri"/>
          <w:color w:val="000000" w:themeColor="text1"/>
        </w:rPr>
        <w:t>n-vivo synergy testing of combinations of antivirals</w:t>
      </w:r>
      <w:r w:rsidR="007913C5" w:rsidRPr="001C0C4B">
        <w:rPr>
          <w:rFonts w:ascii="Calibri" w:hAnsi="Calibri"/>
          <w:color w:val="000000" w:themeColor="text1"/>
        </w:rPr>
        <w:t xml:space="preserve"> will also be important</w:t>
      </w:r>
      <w:r w:rsidR="00072BE7" w:rsidRPr="001C0C4B">
        <w:rPr>
          <w:rFonts w:ascii="Calibri" w:hAnsi="Calibri"/>
          <w:color w:val="000000" w:themeColor="text1"/>
        </w:rPr>
        <w:t xml:space="preserve"> </w:t>
      </w:r>
      <w:r w:rsidR="007913C5" w:rsidRPr="001C0C4B">
        <w:rPr>
          <w:rFonts w:ascii="Calibri" w:hAnsi="Calibri"/>
          <w:color w:val="000000" w:themeColor="text1"/>
        </w:rPr>
        <w:t>to assess the effects on viral rebound, to prevent development of mutations</w:t>
      </w:r>
      <w:r w:rsidR="008C2A0A" w:rsidRPr="001C0C4B">
        <w:rPr>
          <w:rFonts w:ascii="Calibri" w:hAnsi="Calibri"/>
          <w:color w:val="000000" w:themeColor="text1"/>
        </w:rPr>
        <w:t xml:space="preserve"> during treatment (i.e. combination therapies given in HIV), for the severely immunocompromised and </w:t>
      </w:r>
      <w:r w:rsidR="004E2A81" w:rsidRPr="001C0C4B">
        <w:rPr>
          <w:rFonts w:ascii="Calibri" w:hAnsi="Calibri"/>
          <w:color w:val="000000" w:themeColor="text1"/>
        </w:rPr>
        <w:t>if more severe variants appear</w:t>
      </w:r>
      <w:r w:rsidR="612B7E72" w:rsidRPr="001C0C4B">
        <w:rPr>
          <w:rFonts w:ascii="Calibri" w:hAnsi="Calibri"/>
          <w:color w:val="000000" w:themeColor="text1"/>
        </w:rPr>
        <w:t>.</w:t>
      </w:r>
      <w:r w:rsidR="007207D5" w:rsidRPr="001C0C4B">
        <w:rPr>
          <w:rFonts w:ascii="Calibri" w:hAnsi="Calibri"/>
          <w:color w:val="000000" w:themeColor="text1"/>
        </w:rPr>
        <w:t xml:space="preserve"> More </w:t>
      </w:r>
      <w:r w:rsidR="004D3D9E" w:rsidRPr="001C0C4B">
        <w:rPr>
          <w:rFonts w:ascii="Calibri" w:hAnsi="Calibri"/>
          <w:color w:val="000000" w:themeColor="text1"/>
        </w:rPr>
        <w:t xml:space="preserve">antivirals </w:t>
      </w:r>
      <w:r w:rsidR="007207D5" w:rsidRPr="001C0C4B">
        <w:rPr>
          <w:rFonts w:ascii="Calibri" w:hAnsi="Calibri"/>
          <w:color w:val="000000" w:themeColor="text1"/>
        </w:rPr>
        <w:t xml:space="preserve">will likely follow, and comparisons of their antiviral effects will help healthcare systems </w:t>
      </w:r>
      <w:r w:rsidR="004D3D9E" w:rsidRPr="001C0C4B">
        <w:rPr>
          <w:rFonts w:ascii="Calibri" w:hAnsi="Calibri"/>
          <w:color w:val="000000" w:themeColor="text1"/>
        </w:rPr>
        <w:t xml:space="preserve">decide on their </w:t>
      </w:r>
      <w:r w:rsidR="007207D5" w:rsidRPr="001C0C4B">
        <w:rPr>
          <w:rFonts w:ascii="Calibri" w:hAnsi="Calibri"/>
          <w:color w:val="000000" w:themeColor="text1"/>
        </w:rPr>
        <w:t>purchase and use.</w:t>
      </w:r>
    </w:p>
    <w:p w14:paraId="0D80A96E" w14:textId="147CF167" w:rsidR="007555ED" w:rsidRPr="001C0C4B" w:rsidRDefault="00032D91" w:rsidP="00F64B15">
      <w:pPr>
        <w:jc w:val="both"/>
        <w:rPr>
          <w:rFonts w:ascii="Calibri" w:hAnsi="Calibri" w:cs="Calibri"/>
        </w:rPr>
      </w:pPr>
      <w:r w:rsidRPr="001C0C4B">
        <w:rPr>
          <w:rFonts w:ascii="Calibri" w:hAnsi="Calibri" w:cs="Calibri"/>
        </w:rPr>
        <w:t xml:space="preserve">There </w:t>
      </w:r>
      <w:r w:rsidR="00211AAF" w:rsidRPr="001C0C4B">
        <w:rPr>
          <w:rFonts w:ascii="Calibri" w:hAnsi="Calibri" w:cs="Calibri"/>
        </w:rPr>
        <w:t xml:space="preserve">is </w:t>
      </w:r>
      <w:r w:rsidRPr="001C0C4B">
        <w:rPr>
          <w:rFonts w:ascii="Calibri" w:hAnsi="Calibri" w:cs="Calibri"/>
        </w:rPr>
        <w:t>no</w:t>
      </w:r>
      <w:r w:rsidR="00EC02ED" w:rsidRPr="001C0C4B">
        <w:rPr>
          <w:rFonts w:ascii="Calibri" w:hAnsi="Calibri" w:cs="Calibri"/>
        </w:rPr>
        <w:t xml:space="preserve"> </w:t>
      </w:r>
      <w:r w:rsidR="009A676C" w:rsidRPr="001C0C4B">
        <w:rPr>
          <w:rFonts w:ascii="Calibri" w:hAnsi="Calibri"/>
        </w:rPr>
        <w:t>o</w:t>
      </w:r>
      <w:r w:rsidR="00424FDD" w:rsidRPr="001C0C4B">
        <w:rPr>
          <w:rFonts w:ascii="Calibri" w:hAnsi="Calibri"/>
        </w:rPr>
        <w:t>ptimi</w:t>
      </w:r>
      <w:r w:rsidR="009A676C" w:rsidRPr="001C0C4B">
        <w:rPr>
          <w:rFonts w:ascii="Calibri" w:hAnsi="Calibri"/>
        </w:rPr>
        <w:t>s</w:t>
      </w:r>
      <w:r w:rsidR="00424FDD" w:rsidRPr="001C0C4B">
        <w:rPr>
          <w:rFonts w:ascii="Calibri" w:hAnsi="Calibri"/>
        </w:rPr>
        <w:t>ed</w:t>
      </w:r>
      <w:r w:rsidR="00EC02ED" w:rsidRPr="001C0C4B">
        <w:rPr>
          <w:rFonts w:ascii="Calibri" w:hAnsi="Calibri" w:cs="Calibri"/>
        </w:rPr>
        <w:t xml:space="preserve"> or validated </w:t>
      </w:r>
      <w:r w:rsidR="6B5B7DED" w:rsidRPr="001C0C4B">
        <w:rPr>
          <w:rFonts w:ascii="Calibri" w:hAnsi="Calibri" w:cs="Calibri"/>
        </w:rPr>
        <w:t>approach</w:t>
      </w:r>
      <w:r w:rsidR="00EC02ED" w:rsidRPr="001C0C4B">
        <w:rPr>
          <w:rFonts w:ascii="Calibri" w:hAnsi="Calibri" w:cs="Calibri"/>
        </w:rPr>
        <w:t xml:space="preserve"> to assess </w:t>
      </w:r>
      <w:r w:rsidR="0067727E" w:rsidRPr="001C0C4B">
        <w:rPr>
          <w:rFonts w:ascii="Calibri" w:hAnsi="Calibri" w:cs="Calibri"/>
        </w:rPr>
        <w:t xml:space="preserve">rapidly </w:t>
      </w:r>
      <w:r w:rsidR="003F3494" w:rsidRPr="001C0C4B">
        <w:rPr>
          <w:rFonts w:ascii="Calibri" w:hAnsi="Calibri" w:cs="Calibri"/>
        </w:rPr>
        <w:t xml:space="preserve">potential </w:t>
      </w:r>
      <w:r w:rsidR="004B1578" w:rsidRPr="001C0C4B">
        <w:rPr>
          <w:rFonts w:ascii="Calibri" w:hAnsi="Calibri" w:cs="Calibri"/>
        </w:rPr>
        <w:t xml:space="preserve">antiviral </w:t>
      </w:r>
      <w:r w:rsidR="003F3494" w:rsidRPr="001C0C4B">
        <w:rPr>
          <w:rFonts w:ascii="Calibri" w:hAnsi="Calibri" w:cs="Calibri"/>
        </w:rPr>
        <w:t>therapeutics in COVID-19</w:t>
      </w:r>
      <w:r w:rsidR="00211AAF" w:rsidRPr="001C0C4B">
        <w:rPr>
          <w:rFonts w:ascii="Calibri" w:hAnsi="Calibri" w:cs="Calibri"/>
        </w:rPr>
        <w:t xml:space="preserve">. Drugs are currently being selected for clinical study on the basis of activity in cell culture systems </w:t>
      </w:r>
      <w:r w:rsidR="007127BC" w:rsidRPr="001C0C4B">
        <w:rPr>
          <w:rFonts w:ascii="Calibri" w:hAnsi="Calibri" w:cs="Calibri"/>
        </w:rPr>
        <w:t xml:space="preserve">(in-vitro) </w:t>
      </w:r>
      <w:r w:rsidR="00211AAF" w:rsidRPr="001C0C4B">
        <w:rPr>
          <w:rFonts w:ascii="Calibri" w:hAnsi="Calibri" w:cs="Calibri"/>
        </w:rPr>
        <w:t xml:space="preserve">and </w:t>
      </w:r>
      <w:r w:rsidR="00211AAF" w:rsidRPr="001C0C4B">
        <w:rPr>
          <w:rFonts w:ascii="Calibri" w:hAnsi="Calibri" w:cs="Calibri"/>
        </w:rPr>
        <w:lastRenderedPageBreak/>
        <w:t>animal models</w:t>
      </w:r>
      <w:r w:rsidR="007127BC" w:rsidRPr="001C0C4B">
        <w:rPr>
          <w:rFonts w:ascii="Calibri" w:hAnsi="Calibri" w:cs="Calibri"/>
        </w:rPr>
        <w:t xml:space="preserve"> in-vivo</w:t>
      </w:r>
      <w:r w:rsidR="00211AAF" w:rsidRPr="001C0C4B">
        <w:rPr>
          <w:rFonts w:ascii="Calibri" w:hAnsi="Calibri" w:cs="Calibri"/>
        </w:rPr>
        <w:t xml:space="preserve">. </w:t>
      </w:r>
      <w:r w:rsidR="00EF10AA" w:rsidRPr="001C0C4B">
        <w:rPr>
          <w:rFonts w:ascii="Calibri" w:hAnsi="Calibri" w:cs="Calibri"/>
        </w:rPr>
        <w:t>Unfortunately the animal models are not sufficiently good to be included in the drug development critical path</w:t>
      </w:r>
      <w:r w:rsidR="0067727E" w:rsidRPr="001C0C4B">
        <w:rPr>
          <w:rFonts w:ascii="Calibri" w:hAnsi="Calibri" w:cs="Calibri"/>
        </w:rPr>
        <w:t>way</w:t>
      </w:r>
      <w:r w:rsidR="00EF10AA" w:rsidRPr="001C0C4B">
        <w:rPr>
          <w:rFonts w:ascii="Calibri" w:hAnsi="Calibri" w:cs="Calibri"/>
        </w:rPr>
        <w:t xml:space="preserve">. Some manufacturers (e.g. Pfizer) have decided not to try and assess antiviral activity of candidate drugs in these animal models. Thus drugs currently under consideration are justified only on the basis of antiviral activity in cell cultures. </w:t>
      </w:r>
      <w:r w:rsidR="00211AAF" w:rsidRPr="001C0C4B">
        <w:rPr>
          <w:rFonts w:ascii="Calibri" w:hAnsi="Calibri" w:cs="Calibri"/>
        </w:rPr>
        <w:t xml:space="preserve">In order to identify </w:t>
      </w:r>
      <w:r w:rsidR="007555ED" w:rsidRPr="001C0C4B">
        <w:rPr>
          <w:rFonts w:ascii="Calibri" w:hAnsi="Calibri" w:cs="Calibri"/>
        </w:rPr>
        <w:t xml:space="preserve">effective </w:t>
      </w:r>
      <w:r w:rsidR="00211AAF" w:rsidRPr="001C0C4B">
        <w:rPr>
          <w:rFonts w:ascii="Calibri" w:hAnsi="Calibri" w:cs="Calibri"/>
        </w:rPr>
        <w:t xml:space="preserve">antivirals and </w:t>
      </w:r>
      <w:r w:rsidR="00F52F62" w:rsidRPr="001C0C4B">
        <w:rPr>
          <w:rFonts w:ascii="Calibri" w:hAnsi="Calibri" w:cs="Calibri"/>
        </w:rPr>
        <w:t>op</w:t>
      </w:r>
      <w:r w:rsidR="00424FDD" w:rsidRPr="001C0C4B">
        <w:rPr>
          <w:rFonts w:ascii="Calibri" w:hAnsi="Calibri" w:cs="Calibri"/>
        </w:rPr>
        <w:t>timise</w:t>
      </w:r>
      <w:r w:rsidR="00211AAF" w:rsidRPr="001C0C4B">
        <w:rPr>
          <w:rFonts w:ascii="Calibri" w:hAnsi="Calibri" w:cs="Calibri"/>
        </w:rPr>
        <w:t xml:space="preserve"> their dosing</w:t>
      </w:r>
      <w:r w:rsidR="004B2230" w:rsidRPr="001C0C4B">
        <w:rPr>
          <w:rFonts w:ascii="Calibri" w:hAnsi="Calibri" w:cs="Calibri"/>
        </w:rPr>
        <w:t xml:space="preserve">, </w:t>
      </w:r>
      <w:r w:rsidR="00211AAF" w:rsidRPr="001C0C4B">
        <w:rPr>
          <w:rFonts w:ascii="Calibri" w:hAnsi="Calibri" w:cs="Calibri"/>
        </w:rPr>
        <w:t xml:space="preserve">and </w:t>
      </w:r>
      <w:bookmarkEnd w:id="55"/>
      <w:r w:rsidR="00211AAF" w:rsidRPr="001C0C4B">
        <w:rPr>
          <w:rFonts w:ascii="Calibri" w:hAnsi="Calibri" w:cs="Calibri"/>
        </w:rPr>
        <w:t>therefore ensure that phase 3 studies are designed appropriately</w:t>
      </w:r>
      <w:r w:rsidR="00AC186B" w:rsidRPr="001C0C4B">
        <w:rPr>
          <w:rFonts w:ascii="Calibri" w:hAnsi="Calibri" w:cs="Calibri"/>
        </w:rPr>
        <w:t>,</w:t>
      </w:r>
      <w:r w:rsidR="007555ED" w:rsidRPr="001C0C4B">
        <w:rPr>
          <w:rFonts w:ascii="Calibri" w:hAnsi="Calibri" w:cs="Calibri"/>
        </w:rPr>
        <w:t xml:space="preserve"> and progress is </w:t>
      </w:r>
      <w:r w:rsidR="004D257D" w:rsidRPr="001C0C4B">
        <w:rPr>
          <w:rFonts w:ascii="Calibri" w:hAnsi="Calibri" w:cs="Calibri"/>
        </w:rPr>
        <w:t>a</w:t>
      </w:r>
      <w:r w:rsidR="007555ED" w:rsidRPr="001C0C4B">
        <w:rPr>
          <w:rFonts w:ascii="Calibri" w:hAnsi="Calibri" w:cs="Calibri"/>
        </w:rPr>
        <w:t>s rapid as possible</w:t>
      </w:r>
      <w:r w:rsidR="004B2230" w:rsidRPr="001C0C4B">
        <w:rPr>
          <w:rFonts w:ascii="Calibri" w:hAnsi="Calibri" w:cs="Calibri"/>
        </w:rPr>
        <w:t>,</w:t>
      </w:r>
      <w:r w:rsidR="00211AAF" w:rsidRPr="001C0C4B">
        <w:rPr>
          <w:rFonts w:ascii="Calibri" w:hAnsi="Calibri" w:cs="Calibri"/>
        </w:rPr>
        <w:t xml:space="preserve"> </w:t>
      </w:r>
      <w:r w:rsidR="000627C8" w:rsidRPr="001C0C4B">
        <w:rPr>
          <w:rFonts w:ascii="Calibri" w:hAnsi="Calibri"/>
        </w:rPr>
        <w:t>in</w:t>
      </w:r>
      <w:r w:rsidR="005153EC" w:rsidRPr="001C0C4B">
        <w:rPr>
          <w:rFonts w:ascii="Calibri" w:hAnsi="Calibri" w:cs="Calibri"/>
        </w:rPr>
        <w:t>-</w:t>
      </w:r>
      <w:r w:rsidR="000627C8" w:rsidRPr="001C0C4B">
        <w:rPr>
          <w:rFonts w:ascii="Calibri" w:hAnsi="Calibri"/>
        </w:rPr>
        <w:t>vivo</w:t>
      </w:r>
      <w:r w:rsidR="000627C8" w:rsidRPr="001C0C4B">
        <w:rPr>
          <w:rFonts w:ascii="Calibri" w:hAnsi="Calibri" w:cs="Calibri"/>
        </w:rPr>
        <w:t xml:space="preserve"> antiviral effect</w:t>
      </w:r>
      <w:r w:rsidR="00211AAF" w:rsidRPr="001C0C4B">
        <w:rPr>
          <w:rFonts w:ascii="Calibri" w:hAnsi="Calibri" w:cs="Calibri"/>
        </w:rPr>
        <w:t xml:space="preserve">s </w:t>
      </w:r>
      <w:r w:rsidR="00206040" w:rsidRPr="001C0C4B">
        <w:rPr>
          <w:rFonts w:ascii="Calibri" w:hAnsi="Calibri" w:cs="Calibri"/>
        </w:rPr>
        <w:t xml:space="preserve">must be characterized adequately. This can be achieved </w:t>
      </w:r>
      <w:r w:rsidR="00211AAF" w:rsidRPr="001C0C4B">
        <w:rPr>
          <w:rFonts w:ascii="Calibri" w:hAnsi="Calibri" w:cs="Calibri"/>
        </w:rPr>
        <w:t xml:space="preserve">in </w:t>
      </w:r>
      <w:r w:rsidR="00F52F62" w:rsidRPr="001C0C4B">
        <w:rPr>
          <w:rFonts w:ascii="Calibri" w:hAnsi="Calibri"/>
        </w:rPr>
        <w:t>natural</w:t>
      </w:r>
      <w:r w:rsidR="00F52F62" w:rsidRPr="001C0C4B">
        <w:rPr>
          <w:rFonts w:ascii="Calibri" w:hAnsi="Calibri" w:cs="Calibri"/>
        </w:rPr>
        <w:t xml:space="preserve"> </w:t>
      </w:r>
      <w:r w:rsidR="00211AAF" w:rsidRPr="001C0C4B">
        <w:rPr>
          <w:rFonts w:ascii="Calibri" w:hAnsi="Calibri" w:cs="Calibri"/>
        </w:rPr>
        <w:t>COVID-19 infections</w:t>
      </w:r>
      <w:r w:rsidR="00140152" w:rsidRPr="001C0C4B">
        <w:rPr>
          <w:rFonts w:ascii="Calibri" w:hAnsi="Calibri" w:cs="Calibri"/>
        </w:rPr>
        <w:t xml:space="preserve"> at an early stage of the disease</w:t>
      </w:r>
      <w:r w:rsidR="00206040" w:rsidRPr="001C0C4B">
        <w:rPr>
          <w:rFonts w:ascii="Calibri" w:hAnsi="Calibri" w:cs="Calibri"/>
        </w:rPr>
        <w:t xml:space="preserve"> using the following design</w:t>
      </w:r>
      <w:r w:rsidR="00DF63A8" w:rsidRPr="001C0C4B">
        <w:rPr>
          <w:rFonts w:ascii="Calibri" w:hAnsi="Calibri" w:cs="Calibri"/>
        </w:rPr>
        <w:t>.</w:t>
      </w:r>
      <w:r w:rsidR="785013C1" w:rsidRPr="001C0C4B">
        <w:rPr>
          <w:rFonts w:ascii="Calibri" w:hAnsi="Calibri" w:cs="Calibri"/>
        </w:rPr>
        <w:t xml:space="preserve"> </w:t>
      </w:r>
      <w:r w:rsidR="007555ED" w:rsidRPr="001C0C4B">
        <w:rPr>
          <w:rFonts w:ascii="Calibri" w:hAnsi="Calibri" w:cs="Calibri"/>
        </w:rPr>
        <w:t>Th</w:t>
      </w:r>
      <w:r w:rsidR="009273CA" w:rsidRPr="001C0C4B">
        <w:rPr>
          <w:rFonts w:ascii="Calibri" w:hAnsi="Calibri" w:cs="Calibri"/>
        </w:rPr>
        <w:t>e proposed</w:t>
      </w:r>
      <w:r w:rsidR="007555ED" w:rsidRPr="001C0C4B">
        <w:rPr>
          <w:rFonts w:ascii="Calibri" w:hAnsi="Calibri" w:cs="Calibri"/>
        </w:rPr>
        <w:t xml:space="preserve"> </w:t>
      </w:r>
      <w:r w:rsidR="00450ECA" w:rsidRPr="001C0C4B">
        <w:rPr>
          <w:rFonts w:ascii="Calibri" w:hAnsi="Calibri" w:cs="Calibri"/>
        </w:rPr>
        <w:t>trial will</w:t>
      </w:r>
      <w:r w:rsidR="007555ED" w:rsidRPr="001C0C4B">
        <w:rPr>
          <w:rFonts w:ascii="Calibri" w:hAnsi="Calibri" w:cs="Calibri"/>
        </w:rPr>
        <w:t xml:space="preserve"> develop and validate a platform for quantitative assessment of antiviral effects </w:t>
      </w:r>
      <w:r w:rsidR="003231C4" w:rsidRPr="001C0C4B">
        <w:rPr>
          <w:rFonts w:ascii="Calibri" w:hAnsi="Calibri" w:cs="Calibri"/>
        </w:rPr>
        <w:t>(</w:t>
      </w:r>
      <w:r w:rsidR="00E0505F" w:rsidRPr="001C0C4B">
        <w:rPr>
          <w:rFonts w:ascii="Calibri" w:hAnsi="Calibri" w:cs="Calibri"/>
        </w:rPr>
        <w:t>5</w:t>
      </w:r>
      <w:r w:rsidR="003231C4" w:rsidRPr="001C0C4B">
        <w:rPr>
          <w:rFonts w:ascii="Calibri" w:hAnsi="Calibri" w:cs="Calibri"/>
        </w:rPr>
        <w:t xml:space="preserve">) </w:t>
      </w:r>
      <w:r w:rsidR="007555ED" w:rsidRPr="001C0C4B">
        <w:rPr>
          <w:rFonts w:ascii="Calibri" w:hAnsi="Calibri" w:cs="Calibri"/>
        </w:rPr>
        <w:t xml:space="preserve">in </w:t>
      </w:r>
      <w:r w:rsidR="00AC186B" w:rsidRPr="001C0C4B">
        <w:rPr>
          <w:rFonts w:ascii="Calibri" w:hAnsi="Calibri" w:cs="Calibri"/>
        </w:rPr>
        <w:t xml:space="preserve">low-risk </w:t>
      </w:r>
      <w:r w:rsidR="007555ED" w:rsidRPr="001C0C4B">
        <w:rPr>
          <w:rFonts w:ascii="Calibri" w:hAnsi="Calibri" w:cs="Calibri"/>
        </w:rPr>
        <w:t xml:space="preserve">patients with high viral burdens </w:t>
      </w:r>
      <w:r w:rsidR="00450ECA" w:rsidRPr="001C0C4B">
        <w:rPr>
          <w:rFonts w:ascii="Calibri" w:hAnsi="Calibri" w:cs="Calibri"/>
        </w:rPr>
        <w:t>a</w:t>
      </w:r>
      <w:r w:rsidR="007555ED" w:rsidRPr="001C0C4B">
        <w:rPr>
          <w:rFonts w:ascii="Calibri" w:hAnsi="Calibri" w:cs="Calibri"/>
        </w:rPr>
        <w:t>nd uncomplicated COVID-19.</w:t>
      </w:r>
      <w:r w:rsidR="004E2A81" w:rsidRPr="001C0C4B">
        <w:rPr>
          <w:rFonts w:ascii="Calibri" w:hAnsi="Calibri" w:cs="Calibri"/>
        </w:rPr>
        <w:t xml:space="preserve"> As the </w:t>
      </w:r>
      <w:r w:rsidR="00C450F5" w:rsidRPr="001C0C4B">
        <w:rPr>
          <w:rFonts w:ascii="Calibri" w:hAnsi="Calibri" w:cs="Calibri"/>
        </w:rPr>
        <w:t xml:space="preserve">assessment is of the antiviral effect on the virus, as distinct from the outcome on the clinical course of the infection, the results are applicable to all stages of disease where viral replication occurs (including </w:t>
      </w:r>
      <w:r w:rsidR="006D564C" w:rsidRPr="001C0C4B">
        <w:rPr>
          <w:rFonts w:ascii="Calibri" w:hAnsi="Calibri" w:cs="Calibri"/>
        </w:rPr>
        <w:t>prophylaxis).</w:t>
      </w:r>
    </w:p>
    <w:p w14:paraId="49625AF7" w14:textId="2BDA0898" w:rsidR="00582639" w:rsidRPr="001C0C4B" w:rsidRDefault="00582639" w:rsidP="00E142CD">
      <w:pPr>
        <w:pStyle w:val="Heading2"/>
        <w:numPr>
          <w:ilvl w:val="1"/>
          <w:numId w:val="23"/>
        </w:numPr>
        <w:rPr>
          <w:rFonts w:ascii="Calibri" w:hAnsi="Calibri" w:cs="Calibri"/>
          <w:color w:val="auto"/>
        </w:rPr>
      </w:pPr>
      <w:bookmarkStart w:id="56" w:name="_Toc96007274"/>
      <w:bookmarkStart w:id="57" w:name="_Toc95915227"/>
      <w:bookmarkStart w:id="58" w:name="_Toc74661272"/>
      <w:bookmarkStart w:id="59" w:name="_Toc110523966"/>
      <w:bookmarkStart w:id="60" w:name="_Toc96005577"/>
      <w:bookmarkStart w:id="61" w:name="_Toc112917615"/>
      <w:bookmarkStart w:id="62" w:name="_Hlk104451821"/>
      <w:r w:rsidRPr="001C0C4B">
        <w:rPr>
          <w:rFonts w:ascii="Calibri" w:hAnsi="Calibri" w:cs="Calibri"/>
          <w:color w:val="auto"/>
        </w:rPr>
        <w:t>Proposal</w:t>
      </w:r>
      <w:bookmarkEnd w:id="56"/>
      <w:bookmarkEnd w:id="57"/>
      <w:bookmarkEnd w:id="58"/>
      <w:bookmarkEnd w:id="59"/>
      <w:bookmarkEnd w:id="60"/>
      <w:bookmarkEnd w:id="61"/>
    </w:p>
    <w:p w14:paraId="5382CF30" w14:textId="3C05E657" w:rsidR="00CA4C00" w:rsidRPr="001C0C4B" w:rsidRDefault="0EEAAB4B" w:rsidP="00E66E98">
      <w:pPr>
        <w:jc w:val="both"/>
        <w:rPr>
          <w:rFonts w:ascii="Calibri" w:hAnsi="Calibri" w:cs="Calibri"/>
        </w:rPr>
      </w:pPr>
      <w:r w:rsidRPr="001C0C4B">
        <w:rPr>
          <w:rFonts w:ascii="Calibri" w:hAnsi="Calibri" w:cs="Calibri"/>
        </w:rPr>
        <w:t>In this</w:t>
      </w:r>
      <w:r w:rsidR="00032D91" w:rsidRPr="001C0C4B">
        <w:rPr>
          <w:rFonts w:ascii="Calibri" w:hAnsi="Calibri" w:cs="Calibri"/>
        </w:rPr>
        <w:t xml:space="preserve"> </w:t>
      </w:r>
      <w:r w:rsidRPr="001C0C4B">
        <w:rPr>
          <w:rFonts w:ascii="Calibri" w:eastAsia="Times New Roman" w:hAnsi="Calibri" w:cs="Calibri"/>
          <w:lang w:val="en-GB" w:eastAsia="en-GB"/>
        </w:rPr>
        <w:t>randomised</w:t>
      </w:r>
      <w:r w:rsidR="62B62645" w:rsidRPr="001C0C4B">
        <w:rPr>
          <w:rFonts w:ascii="Calibri" w:eastAsia="Times New Roman" w:hAnsi="Calibri" w:cs="Calibri"/>
          <w:lang w:val="en-GB" w:eastAsia="en-GB"/>
        </w:rPr>
        <w:t xml:space="preserve"> </w:t>
      </w:r>
      <w:r w:rsidR="6C0ED6C5" w:rsidRPr="001C0C4B">
        <w:rPr>
          <w:rFonts w:ascii="Calibri" w:eastAsia="Times New Roman" w:hAnsi="Calibri" w:cs="Calibri"/>
          <w:lang w:val="en-GB" w:eastAsia="en-GB"/>
        </w:rPr>
        <w:t>open label</w:t>
      </w:r>
      <w:r w:rsidR="37F45E5E" w:rsidRPr="001C0C4B">
        <w:rPr>
          <w:rFonts w:ascii="Calibri" w:eastAsia="Times New Roman" w:hAnsi="Calibri" w:cs="Calibri"/>
          <w:lang w:val="en-GB" w:eastAsia="en-GB"/>
        </w:rPr>
        <w:t>,</w:t>
      </w:r>
      <w:r w:rsidR="6C0ED6C5" w:rsidRPr="001C0C4B">
        <w:rPr>
          <w:rFonts w:ascii="Calibri" w:eastAsia="Times New Roman" w:hAnsi="Calibri" w:cs="Calibri"/>
          <w:lang w:val="en-GB" w:eastAsia="en-GB"/>
        </w:rPr>
        <w:t xml:space="preserve"> </w:t>
      </w:r>
      <w:r w:rsidRPr="001C0C4B">
        <w:rPr>
          <w:rFonts w:ascii="Calibri" w:eastAsia="Times New Roman" w:hAnsi="Calibri" w:cs="Calibri"/>
          <w:lang w:val="en-GB" w:eastAsia="en-GB"/>
        </w:rPr>
        <w:t>controlled</w:t>
      </w:r>
      <w:r w:rsidR="1F40FF4A" w:rsidRPr="001C0C4B">
        <w:rPr>
          <w:rFonts w:ascii="Calibri" w:eastAsia="Times New Roman" w:hAnsi="Calibri" w:cs="Calibri"/>
          <w:lang w:val="en-GB" w:eastAsia="en-GB"/>
        </w:rPr>
        <w:t>,</w:t>
      </w:r>
      <w:r w:rsidRPr="001C0C4B">
        <w:rPr>
          <w:rFonts w:ascii="Calibri" w:eastAsia="Times New Roman" w:hAnsi="Calibri" w:cs="Calibri"/>
          <w:lang w:val="en-GB" w:eastAsia="en-GB"/>
        </w:rPr>
        <w:t xml:space="preserve"> </w:t>
      </w:r>
      <w:r w:rsidR="668839C7" w:rsidRPr="001C0C4B">
        <w:rPr>
          <w:rFonts w:ascii="Calibri" w:eastAsia="Times New Roman" w:hAnsi="Calibri" w:cs="Calibri"/>
          <w:lang w:val="en-GB" w:eastAsia="en-GB"/>
        </w:rPr>
        <w:t xml:space="preserve">group sequential </w:t>
      </w:r>
      <w:r w:rsidR="007555ED" w:rsidRPr="001C0C4B">
        <w:rPr>
          <w:rFonts w:ascii="Calibri" w:eastAsia="Times New Roman" w:hAnsi="Calibri" w:cs="Calibri"/>
          <w:lang w:val="en-GB" w:eastAsia="en-GB"/>
        </w:rPr>
        <w:t xml:space="preserve">adaptive </w:t>
      </w:r>
      <w:r w:rsidRPr="001C0C4B">
        <w:rPr>
          <w:rFonts w:ascii="Calibri" w:eastAsia="Times New Roman" w:hAnsi="Calibri" w:cs="Calibri"/>
          <w:lang w:val="en-GB" w:eastAsia="en-GB"/>
        </w:rPr>
        <w:t>platform trial, we will</w:t>
      </w:r>
      <w:r w:rsidR="00140152" w:rsidRPr="001C0C4B">
        <w:rPr>
          <w:rFonts w:ascii="Calibri" w:eastAsia="Times New Roman" w:hAnsi="Calibri" w:cs="Calibri"/>
          <w:lang w:val="en-GB" w:eastAsia="en-GB"/>
        </w:rPr>
        <w:t xml:space="preserve"> </w:t>
      </w:r>
      <w:r w:rsidRPr="001C0C4B">
        <w:rPr>
          <w:rFonts w:ascii="Calibri" w:eastAsia="Times New Roman" w:hAnsi="Calibri" w:cs="Calibri"/>
          <w:lang w:val="en-GB" w:eastAsia="en-GB"/>
        </w:rPr>
        <w:t>assess</w:t>
      </w:r>
      <w:r w:rsidR="00450ECA" w:rsidRPr="001C0C4B">
        <w:rPr>
          <w:rFonts w:ascii="Calibri" w:eastAsia="Times New Roman" w:hAnsi="Calibri" w:cs="Calibri"/>
          <w:lang w:val="en-GB" w:eastAsia="en-GB"/>
        </w:rPr>
        <w:t xml:space="preserve"> </w:t>
      </w:r>
      <w:r w:rsidR="09F53259" w:rsidRPr="001C0C4B">
        <w:rPr>
          <w:rFonts w:ascii="Calibri" w:eastAsia="Times New Roman" w:hAnsi="Calibri" w:cs="Calibri"/>
          <w:lang w:val="en-GB" w:eastAsia="en-GB"/>
        </w:rPr>
        <w:t xml:space="preserve">the performance of </w:t>
      </w:r>
      <w:r w:rsidR="00450ECA" w:rsidRPr="001C0C4B">
        <w:rPr>
          <w:rFonts w:ascii="Calibri" w:eastAsia="Times New Roman" w:hAnsi="Calibri" w:cs="Calibri"/>
          <w:lang w:val="en-GB" w:eastAsia="en-GB"/>
        </w:rPr>
        <w:t>three distinct types of intervention relative to control (no treatment):</w:t>
      </w:r>
      <w:r w:rsidRPr="001C0C4B">
        <w:rPr>
          <w:rFonts w:ascii="Calibri" w:hAnsi="Calibri" w:cs="Calibri"/>
        </w:rPr>
        <w:t xml:space="preserve"> </w:t>
      </w:r>
    </w:p>
    <w:p w14:paraId="71B64623" w14:textId="65D13AF9" w:rsidR="00582639" w:rsidRPr="001C0C4B" w:rsidRDefault="004E175A" w:rsidP="00E66E98">
      <w:pPr>
        <w:jc w:val="both"/>
        <w:rPr>
          <w:rFonts w:ascii="Calibri" w:hAnsi="Calibri" w:cs="Calibri"/>
        </w:rPr>
      </w:pPr>
      <w:r w:rsidRPr="001C0C4B">
        <w:rPr>
          <w:rFonts w:ascii="Calibri" w:hAnsi="Calibri" w:cs="Calibri"/>
        </w:rPr>
        <w:t xml:space="preserve">A: </w:t>
      </w:r>
      <w:r w:rsidR="00741612" w:rsidRPr="001C0C4B">
        <w:rPr>
          <w:rFonts w:ascii="Calibri" w:hAnsi="Calibri"/>
        </w:rPr>
        <w:t xml:space="preserve">Newly available and </w:t>
      </w:r>
      <w:r w:rsidR="170EA281" w:rsidRPr="001C0C4B">
        <w:rPr>
          <w:rFonts w:ascii="Calibri" w:hAnsi="Calibri"/>
          <w:color w:val="000000" w:themeColor="text1"/>
        </w:rPr>
        <w:t xml:space="preserve">repurposed </w:t>
      </w:r>
      <w:r w:rsidR="4E5E336B" w:rsidRPr="001C0C4B">
        <w:rPr>
          <w:rFonts w:ascii="Calibri" w:hAnsi="Calibri"/>
          <w:color w:val="000000" w:themeColor="text1"/>
        </w:rPr>
        <w:t>antiviral drugs</w:t>
      </w:r>
      <w:r w:rsidR="34D5A570" w:rsidRPr="001C0C4B">
        <w:rPr>
          <w:rFonts w:ascii="Calibri" w:hAnsi="Calibri" w:cs="Calibri"/>
        </w:rPr>
        <w:t>;</w:t>
      </w:r>
      <w:r w:rsidR="00B83F15" w:rsidRPr="001C0C4B">
        <w:rPr>
          <w:rFonts w:ascii="Calibri" w:hAnsi="Calibri" w:cs="Calibri"/>
        </w:rPr>
        <w:t xml:space="preserve"> and if available</w:t>
      </w:r>
      <w:r w:rsidR="006D564C" w:rsidRPr="001C0C4B">
        <w:rPr>
          <w:rFonts w:ascii="Calibri" w:hAnsi="Calibri" w:cs="Calibri"/>
        </w:rPr>
        <w:t>;</w:t>
      </w:r>
    </w:p>
    <w:p w14:paraId="0E962929" w14:textId="26D048D0" w:rsidR="00B7049A" w:rsidRPr="001C0C4B" w:rsidRDefault="004E175A" w:rsidP="00E66E98">
      <w:pPr>
        <w:jc w:val="both"/>
        <w:rPr>
          <w:rFonts w:ascii="Calibri" w:hAnsi="Calibri" w:cs="Calibri"/>
        </w:rPr>
      </w:pPr>
      <w:r w:rsidRPr="001C0C4B">
        <w:rPr>
          <w:rFonts w:ascii="Calibri" w:hAnsi="Calibri" w:cs="Calibri"/>
        </w:rPr>
        <w:t xml:space="preserve">B: </w:t>
      </w:r>
      <w:r w:rsidR="00DD078D" w:rsidRPr="001C0C4B">
        <w:rPr>
          <w:rFonts w:ascii="Calibri" w:hAnsi="Calibri"/>
        </w:rPr>
        <w:t>"P</w:t>
      </w:r>
      <w:r w:rsidRPr="001C0C4B">
        <w:rPr>
          <w:rFonts w:ascii="Calibri" w:hAnsi="Calibri"/>
        </w:rPr>
        <w:t>ositive control”</w:t>
      </w:r>
      <w:r w:rsidR="00DD078D" w:rsidRPr="001C0C4B">
        <w:rPr>
          <w:rFonts w:ascii="Calibri" w:hAnsi="Calibri"/>
        </w:rPr>
        <w:t xml:space="preserve"> (e.g. monoclonal antibodies)</w:t>
      </w:r>
      <w:r w:rsidR="3E9E9953" w:rsidRPr="001C0C4B">
        <w:rPr>
          <w:rFonts w:ascii="Calibri" w:hAnsi="Calibri" w:cs="Calibri"/>
        </w:rPr>
        <w:t>;</w:t>
      </w:r>
      <w:r w:rsidR="00E16FD5" w:rsidRPr="001C0C4B">
        <w:rPr>
          <w:rFonts w:ascii="Calibri" w:hAnsi="Calibri" w:cs="Calibri"/>
        </w:rPr>
        <w:t xml:space="preserve"> </w:t>
      </w:r>
      <w:r w:rsidR="00B7049A" w:rsidRPr="001C0C4B">
        <w:rPr>
          <w:rFonts w:ascii="Calibri" w:hAnsi="Calibri" w:cs="Calibri"/>
        </w:rPr>
        <w:t>and later</w:t>
      </w:r>
      <w:r w:rsidR="006D564C" w:rsidRPr="001C0C4B">
        <w:rPr>
          <w:rFonts w:ascii="Calibri" w:hAnsi="Calibri" w:cs="Calibri"/>
        </w:rPr>
        <w:t>;</w:t>
      </w:r>
    </w:p>
    <w:p w14:paraId="50EF5A93" w14:textId="0A8FCE8B" w:rsidR="00582639" w:rsidRPr="001C0C4B" w:rsidRDefault="004E175A" w:rsidP="00E66E98">
      <w:pPr>
        <w:jc w:val="both"/>
        <w:rPr>
          <w:rFonts w:ascii="Calibri" w:hAnsi="Calibri" w:cs="Calibri"/>
        </w:rPr>
      </w:pPr>
      <w:r w:rsidRPr="001C0C4B">
        <w:rPr>
          <w:rFonts w:ascii="Calibri" w:hAnsi="Calibri" w:cs="Calibri"/>
        </w:rPr>
        <w:t>C</w:t>
      </w:r>
      <w:bookmarkStart w:id="63" w:name="_Hlk102467222"/>
      <w:r w:rsidRPr="001C0C4B">
        <w:rPr>
          <w:rFonts w:ascii="Calibri" w:hAnsi="Calibri" w:cs="Calibri"/>
        </w:rPr>
        <w:t xml:space="preserve">: </w:t>
      </w:r>
      <w:r w:rsidR="00817F09" w:rsidRPr="001C0C4B">
        <w:rPr>
          <w:rFonts w:ascii="Calibri" w:hAnsi="Calibri" w:cs="Calibri"/>
        </w:rPr>
        <w:t xml:space="preserve"> </w:t>
      </w:r>
      <w:r w:rsidR="00817F09" w:rsidRPr="001C0C4B">
        <w:rPr>
          <w:rFonts w:ascii="Calibri" w:hAnsi="Calibri"/>
        </w:rPr>
        <w:t>S</w:t>
      </w:r>
      <w:r w:rsidR="00450ECA" w:rsidRPr="001C0C4B">
        <w:rPr>
          <w:rFonts w:ascii="Calibri" w:hAnsi="Calibri"/>
        </w:rPr>
        <w:t>mall molecule drugs that pass</w:t>
      </w:r>
      <w:r w:rsidR="00F52F62" w:rsidRPr="001C0C4B">
        <w:rPr>
          <w:rFonts w:ascii="Calibri" w:hAnsi="Calibri"/>
        </w:rPr>
        <w:t xml:space="preserve"> phase 1</w:t>
      </w:r>
      <w:r w:rsidR="00450ECA" w:rsidRPr="001C0C4B">
        <w:rPr>
          <w:rFonts w:ascii="Calibri" w:hAnsi="Calibri"/>
        </w:rPr>
        <w:t xml:space="preserve"> testing</w:t>
      </w:r>
      <w:bookmarkEnd w:id="63"/>
      <w:r w:rsidR="007555ED" w:rsidRPr="001C0C4B">
        <w:rPr>
          <w:rFonts w:ascii="Calibri" w:hAnsi="Calibri"/>
        </w:rPr>
        <w:t xml:space="preserve">. </w:t>
      </w:r>
    </w:p>
    <w:p w14:paraId="3D2DCE46" w14:textId="05A1A332" w:rsidR="007C67FF" w:rsidRPr="001C0C4B" w:rsidRDefault="005D5EA2" w:rsidP="00E66E98">
      <w:pPr>
        <w:jc w:val="both"/>
        <w:rPr>
          <w:rFonts w:ascii="Calibri" w:hAnsi="Calibri" w:cs="Calibri"/>
        </w:rPr>
      </w:pPr>
      <w:r w:rsidRPr="001C0C4B">
        <w:rPr>
          <w:rFonts w:ascii="Calibri" w:hAnsi="Calibri"/>
          <w:noProof/>
          <w:lang w:bidi="th-TH"/>
        </w:rPr>
        <mc:AlternateContent>
          <mc:Choice Requires="wps">
            <w:drawing>
              <wp:anchor distT="0" distB="0" distL="114300" distR="114300" simplePos="0" relativeHeight="251670540" behindDoc="0" locked="0" layoutInCell="1" allowOverlap="1" wp14:anchorId="098AE70E" wp14:editId="24FE760E">
                <wp:simplePos x="0" y="0"/>
                <wp:positionH relativeFrom="margin">
                  <wp:posOffset>-37465</wp:posOffset>
                </wp:positionH>
                <wp:positionV relativeFrom="paragraph">
                  <wp:posOffset>2814955</wp:posOffset>
                </wp:positionV>
                <wp:extent cx="3230245" cy="635"/>
                <wp:effectExtent l="0" t="0" r="8255" b="5080"/>
                <wp:wrapSquare wrapText="bothSides"/>
                <wp:docPr id="17" name="Text Box 17"/>
                <wp:cNvGraphicFramePr/>
                <a:graphic xmlns:a="http://schemas.openxmlformats.org/drawingml/2006/main">
                  <a:graphicData uri="http://schemas.microsoft.com/office/word/2010/wordprocessingShape">
                    <wps:wsp>
                      <wps:cNvSpPr txBox="1"/>
                      <wps:spPr>
                        <a:xfrm>
                          <a:off x="0" y="0"/>
                          <a:ext cx="3230245" cy="635"/>
                        </a:xfrm>
                        <a:prstGeom prst="rect">
                          <a:avLst/>
                        </a:prstGeom>
                        <a:solidFill>
                          <a:prstClr val="white"/>
                        </a:solidFill>
                        <a:ln>
                          <a:noFill/>
                        </a:ln>
                      </wps:spPr>
                      <wps:txbx>
                        <w:txbxContent>
                          <w:p w14:paraId="32B719F5" w14:textId="04C2C08C" w:rsidR="00657E5D" w:rsidRPr="005D1F76" w:rsidRDefault="00657E5D" w:rsidP="0032185B">
                            <w:pPr>
                              <w:pStyle w:val="Caption"/>
                              <w:rPr>
                                <w:noProof/>
                              </w:rPr>
                            </w:pPr>
                            <w:r w:rsidRPr="005D1F76">
                              <w:t xml:space="preserve">Figure </w:t>
                            </w:r>
                            <w:r>
                              <w:rPr>
                                <w:noProof/>
                              </w:rPr>
                              <w:fldChar w:fldCharType="begin"/>
                            </w:r>
                            <w:r>
                              <w:rPr>
                                <w:noProof/>
                              </w:rPr>
                              <w:instrText xml:space="preserve"> SEQ Figure \* ARABIC </w:instrText>
                            </w:r>
                            <w:r>
                              <w:rPr>
                                <w:noProof/>
                              </w:rPr>
                              <w:fldChar w:fldCharType="separate"/>
                            </w:r>
                            <w:r w:rsidR="005D4773">
                              <w:rPr>
                                <w:noProof/>
                              </w:rPr>
                              <w:t>2</w:t>
                            </w:r>
                            <w:r>
                              <w:rPr>
                                <w:noProof/>
                              </w:rPr>
                              <w:fldChar w:fldCharType="end"/>
                            </w:r>
                            <w:r w:rsidRPr="005D1F76">
                              <w:t xml:space="preserve">. </w:t>
                            </w:r>
                            <w:r w:rsidRPr="009A5CCE">
                              <w:rPr>
                                <w:rFonts w:cstheme="minorHAnsi"/>
                                <w:color w:val="auto"/>
                              </w:rPr>
                              <w:t>Acceleration</w:t>
                            </w:r>
                            <w:r w:rsidRPr="005D1F76">
                              <w:t xml:space="preserve"> of viral clearance rates by different amounts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98AE70E" id="Text Box 17" o:spid="_x0000_s1027" type="#_x0000_t202" style="position:absolute;left:0;text-align:left;margin-left:-2.95pt;margin-top:221.65pt;width:254.35pt;height:.05pt;z-index:2516705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" stroked="f">
                <v:textbox style="mso-fit-shape-to-text:t" inset="0,0,0,0">
                  <w:txbxContent>
                    <w:p w14:paraId="32B719F5" w14:textId="04C2C08C" w:rsidR="00657E5D" w:rsidRPr="005D1F76" w:rsidRDefault="00657E5D" w:rsidP="0032185B">
                      <w:pPr>
                        <w:pStyle w:val="Caption"/>
                        <w:rPr>
                          <w:noProof/>
                        </w:rPr>
                      </w:pPr>
                      <w:r w:rsidRPr="005D1F76">
                        <w:t xml:space="preserve">Figure </w:t>
                      </w:r>
                      <w:r>
                        <w:rPr>
                          <w:noProof/>
                        </w:rPr>
                        <w:fldChar w:fldCharType="begin"/>
                      </w:r>
                      <w:r>
                        <w:rPr>
                          <w:noProof/>
                        </w:rPr>
                        <w:instrText xml:space="preserve"> SEQ Figure \* ARABIC </w:instrText>
                      </w:r>
                      <w:r>
                        <w:rPr>
                          <w:noProof/>
                        </w:rPr>
                        <w:fldChar w:fldCharType="separate"/>
                      </w:r>
                      <w:r w:rsidR="005D4773">
                        <w:rPr>
                          <w:noProof/>
                        </w:rPr>
                        <w:t>2</w:t>
                      </w:r>
                      <w:r>
                        <w:rPr>
                          <w:noProof/>
                        </w:rPr>
                        <w:fldChar w:fldCharType="end"/>
                      </w:r>
                      <w:r w:rsidRPr="005D1F76">
                        <w:t xml:space="preserve">. </w:t>
                      </w:r>
                      <w:r w:rsidRPr="009A5CCE">
                        <w:rPr>
                          <w:rFonts w:cstheme="minorHAnsi"/>
                          <w:color w:val="auto"/>
                        </w:rPr>
                        <w:t>Acceleration</w:t>
                      </w:r>
                      <w:r w:rsidRPr="005D1F76">
                        <w:t xml:space="preserve"> of viral clearance rates by different amounts</w:t>
                      </w:r>
                    </w:p>
                  </w:txbxContent>
                </v:textbox>
                <w10:wrap type="square" anchorx="margin"/>
              </v:shape>
            </w:pict>
          </mc:Fallback>
        </mc:AlternateContent>
      </w:r>
      <w:r w:rsidR="0032185B" w:rsidRPr="001C0C4B">
        <w:rPr>
          <w:rFonts w:ascii="Calibri" w:hAnsi="Calibri"/>
          <w:noProof/>
          <w:lang w:bidi="th-TH"/>
        </w:rPr>
        <w:drawing>
          <wp:anchor distT="0" distB="0" distL="114300" distR="114300" simplePos="0" relativeHeight="251658241" behindDoc="0" locked="0" layoutInCell="1" allowOverlap="1" wp14:anchorId="4C2B5990" wp14:editId="34259597">
            <wp:simplePos x="0" y="0"/>
            <wp:positionH relativeFrom="margin">
              <wp:posOffset>-53789</wp:posOffset>
            </wp:positionH>
            <wp:positionV relativeFrom="paragraph">
              <wp:posOffset>1270</wp:posOffset>
            </wp:positionV>
            <wp:extent cx="3230245" cy="265557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0245"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4" w:name="_Hlk102467300"/>
      <w:r w:rsidR="00817F09" w:rsidRPr="001C0C4B">
        <w:rPr>
          <w:rFonts w:ascii="Calibri" w:hAnsi="Calibri"/>
        </w:rPr>
        <w:t xml:space="preserve">The trial initially used </w:t>
      </w:r>
      <w:r w:rsidR="007555ED" w:rsidRPr="001C0C4B">
        <w:rPr>
          <w:rFonts w:ascii="Calibri" w:hAnsi="Calibri"/>
        </w:rPr>
        <w:t xml:space="preserve">repurposed drugs as </w:t>
      </w:r>
      <w:r w:rsidR="00817F09" w:rsidRPr="001C0C4B">
        <w:rPr>
          <w:rFonts w:ascii="Calibri" w:hAnsi="Calibri"/>
        </w:rPr>
        <w:t>they were</w:t>
      </w:r>
      <w:r w:rsidR="007207D5" w:rsidRPr="001C0C4B">
        <w:rPr>
          <w:rFonts w:ascii="Calibri" w:hAnsi="Calibri"/>
        </w:rPr>
        <w:t xml:space="preserve"> </w:t>
      </w:r>
      <w:r w:rsidR="009273CA" w:rsidRPr="001C0C4B">
        <w:rPr>
          <w:rFonts w:ascii="Calibri" w:hAnsi="Calibri"/>
        </w:rPr>
        <w:t>available</w:t>
      </w:r>
      <w:r w:rsidR="007207D5" w:rsidRPr="001C0C4B">
        <w:rPr>
          <w:rFonts w:ascii="Calibri" w:hAnsi="Calibri"/>
        </w:rPr>
        <w:t xml:space="preserve"> at the time</w:t>
      </w:r>
      <w:r w:rsidR="00224F93" w:rsidRPr="001C0C4B">
        <w:rPr>
          <w:rFonts w:ascii="Calibri" w:hAnsi="Calibri"/>
        </w:rPr>
        <w:t>,</w:t>
      </w:r>
      <w:r w:rsidR="00576800" w:rsidRPr="001C0C4B">
        <w:rPr>
          <w:rFonts w:ascii="Calibri" w:hAnsi="Calibri"/>
        </w:rPr>
        <w:t xml:space="preserve"> and </w:t>
      </w:r>
      <w:r w:rsidR="00224F93" w:rsidRPr="001C0C4B">
        <w:rPr>
          <w:rFonts w:ascii="Calibri" w:hAnsi="Calibri"/>
        </w:rPr>
        <w:t>some</w:t>
      </w:r>
      <w:r w:rsidR="00A121A5" w:rsidRPr="001C0C4B">
        <w:rPr>
          <w:rFonts w:ascii="Calibri" w:hAnsi="Calibri" w:cs="Calibri"/>
        </w:rPr>
        <w:t xml:space="preserve"> </w:t>
      </w:r>
      <w:r w:rsidR="007F3FBF" w:rsidRPr="001C0C4B">
        <w:rPr>
          <w:rFonts w:ascii="Calibri" w:hAnsi="Calibri"/>
        </w:rPr>
        <w:t xml:space="preserve">are </w:t>
      </w:r>
      <w:r w:rsidR="007555ED" w:rsidRPr="001C0C4B">
        <w:rPr>
          <w:rFonts w:ascii="Calibri" w:hAnsi="Calibri"/>
        </w:rPr>
        <w:t>used</w:t>
      </w:r>
      <w:r w:rsidR="007555ED" w:rsidRPr="001C0C4B">
        <w:rPr>
          <w:rFonts w:ascii="Calibri" w:hAnsi="Calibri" w:cs="Calibri"/>
        </w:rPr>
        <w:t xml:space="preserve"> </w:t>
      </w:r>
      <w:r w:rsidR="00B14E77" w:rsidRPr="001C0C4B">
        <w:rPr>
          <w:rFonts w:ascii="Calibri" w:hAnsi="Calibri" w:cs="Calibri"/>
        </w:rPr>
        <w:t xml:space="preserve">widely </w:t>
      </w:r>
      <w:r w:rsidR="007555ED" w:rsidRPr="001C0C4B">
        <w:rPr>
          <w:rFonts w:ascii="Calibri" w:hAnsi="Calibri" w:cs="Calibri"/>
        </w:rPr>
        <w:t>without good evidence of benefit</w:t>
      </w:r>
      <w:bookmarkEnd w:id="64"/>
      <w:r w:rsidR="007555ED" w:rsidRPr="001C0C4B">
        <w:rPr>
          <w:rFonts w:ascii="Calibri" w:hAnsi="Calibri" w:cs="Calibri"/>
        </w:rPr>
        <w:t xml:space="preserve">. </w:t>
      </w:r>
      <w:bookmarkStart w:id="65" w:name="_Hlk102467309"/>
      <w:r w:rsidR="00424FDD" w:rsidRPr="001C0C4B">
        <w:rPr>
          <w:rFonts w:ascii="Calibri" w:hAnsi="Calibri"/>
        </w:rPr>
        <w:t>Subsequently newly developed</w:t>
      </w:r>
      <w:r w:rsidR="007F3FBF" w:rsidRPr="001C0C4B">
        <w:rPr>
          <w:rFonts w:ascii="Calibri" w:hAnsi="Calibri"/>
        </w:rPr>
        <w:t xml:space="preserve"> small molecule antiviral</w:t>
      </w:r>
      <w:r w:rsidR="00424FDD" w:rsidRPr="001C0C4B">
        <w:rPr>
          <w:rFonts w:ascii="Calibri" w:hAnsi="Calibri"/>
        </w:rPr>
        <w:t xml:space="preserve"> drugs have become available</w:t>
      </w:r>
      <w:r w:rsidR="00B53EF2" w:rsidRPr="001C0C4B">
        <w:rPr>
          <w:rFonts w:ascii="Calibri" w:hAnsi="Calibri"/>
        </w:rPr>
        <w:t xml:space="preserve"> (e.g. Molnupiravir and Nirmatrelvir/ritonavir)</w:t>
      </w:r>
      <w:r w:rsidR="00424FDD" w:rsidRPr="001C0C4B">
        <w:rPr>
          <w:rFonts w:ascii="Calibri" w:hAnsi="Calibri"/>
        </w:rPr>
        <w:t xml:space="preserve">. </w:t>
      </w:r>
      <w:r w:rsidR="00450ECA" w:rsidRPr="001C0C4B">
        <w:rPr>
          <w:rFonts w:ascii="Calibri" w:hAnsi="Calibri"/>
        </w:rPr>
        <w:t>For the</w:t>
      </w:r>
      <w:r w:rsidR="00424FDD" w:rsidRPr="001C0C4B">
        <w:rPr>
          <w:rFonts w:ascii="Calibri" w:hAnsi="Calibri"/>
        </w:rPr>
        <w:t>se newly available and</w:t>
      </w:r>
      <w:r w:rsidR="00450ECA" w:rsidRPr="001C0C4B">
        <w:rPr>
          <w:rFonts w:ascii="Calibri" w:hAnsi="Calibri" w:cs="Calibri"/>
        </w:rPr>
        <w:t xml:space="preserve"> repurposed drugs</w:t>
      </w:r>
      <w:r w:rsidR="00B14E77" w:rsidRPr="001C0C4B">
        <w:rPr>
          <w:rFonts w:ascii="Calibri" w:hAnsi="Calibri" w:cs="Calibri"/>
        </w:rPr>
        <w:t xml:space="preserve"> under consider</w:t>
      </w:r>
      <w:r w:rsidR="007A74C3" w:rsidRPr="001C0C4B">
        <w:rPr>
          <w:rFonts w:ascii="Calibri" w:hAnsi="Calibri" w:cs="Calibri"/>
        </w:rPr>
        <w:t>a</w:t>
      </w:r>
      <w:r w:rsidR="00B14E77" w:rsidRPr="001C0C4B">
        <w:rPr>
          <w:rFonts w:ascii="Calibri" w:hAnsi="Calibri" w:cs="Calibri"/>
        </w:rPr>
        <w:t>tion</w:t>
      </w:r>
      <w:r w:rsidR="00450ECA" w:rsidRPr="001C0C4B">
        <w:rPr>
          <w:rFonts w:ascii="Calibri" w:hAnsi="Calibri" w:cs="Calibri"/>
        </w:rPr>
        <w:t xml:space="preserve"> (</w:t>
      </w:r>
      <w:r w:rsidR="003F4AE9" w:rsidRPr="001C0C4B">
        <w:rPr>
          <w:rFonts w:ascii="Calibri" w:hAnsi="Calibri" w:cs="Calibri"/>
        </w:rPr>
        <w:t xml:space="preserve">to be defined as </w:t>
      </w:r>
      <w:r w:rsidR="00450ECA" w:rsidRPr="001C0C4B">
        <w:rPr>
          <w:rFonts w:ascii="Calibri" w:hAnsi="Calibri" w:cs="Calibri"/>
        </w:rPr>
        <w:t>type A interventions), t</w:t>
      </w:r>
      <w:r w:rsidR="0DF7DF39" w:rsidRPr="001C0C4B">
        <w:rPr>
          <w:rFonts w:ascii="Calibri" w:hAnsi="Calibri" w:cs="Calibri"/>
        </w:rPr>
        <w:t xml:space="preserve">he platform </w:t>
      </w:r>
      <w:r w:rsidR="00450ECA" w:rsidRPr="001C0C4B">
        <w:rPr>
          <w:rFonts w:ascii="Calibri" w:hAnsi="Calibri" w:cs="Calibri"/>
        </w:rPr>
        <w:t xml:space="preserve">trial </w:t>
      </w:r>
      <w:r w:rsidR="0DF7DF39" w:rsidRPr="001C0C4B">
        <w:rPr>
          <w:rFonts w:ascii="Calibri" w:hAnsi="Calibri" w:cs="Calibri"/>
        </w:rPr>
        <w:t xml:space="preserve">is designed </w:t>
      </w:r>
      <w:r w:rsidR="003231C4" w:rsidRPr="001C0C4B">
        <w:rPr>
          <w:rFonts w:ascii="Calibri" w:hAnsi="Calibri" w:cs="Calibri"/>
        </w:rPr>
        <w:t xml:space="preserve">based </w:t>
      </w:r>
      <w:r w:rsidR="0DF7DF39" w:rsidRPr="001C0C4B">
        <w:rPr>
          <w:rFonts w:ascii="Calibri" w:hAnsi="Calibri" w:cs="Calibri"/>
        </w:rPr>
        <w:t>on the premise that s</w:t>
      </w:r>
      <w:r w:rsidR="007555ED" w:rsidRPr="001C0C4B">
        <w:rPr>
          <w:rFonts w:ascii="Calibri" w:hAnsi="Calibri" w:cs="Calibri"/>
        </w:rPr>
        <w:t xml:space="preserve">howing clear evidence of an antiviral effect is as important </w:t>
      </w:r>
      <w:r w:rsidR="00B14E77" w:rsidRPr="001C0C4B">
        <w:rPr>
          <w:rFonts w:ascii="Calibri" w:hAnsi="Calibri" w:cs="Calibri"/>
        </w:rPr>
        <w:t xml:space="preserve">for medicine </w:t>
      </w:r>
      <w:r w:rsidR="007A74C3" w:rsidRPr="001C0C4B">
        <w:rPr>
          <w:rFonts w:ascii="Calibri" w:hAnsi="Calibri" w:cs="Calibri"/>
        </w:rPr>
        <w:t>a</w:t>
      </w:r>
      <w:r w:rsidR="00B14E77" w:rsidRPr="001C0C4B">
        <w:rPr>
          <w:rFonts w:ascii="Calibri" w:hAnsi="Calibri" w:cs="Calibri"/>
        </w:rPr>
        <w:t xml:space="preserve">nd public health </w:t>
      </w:r>
      <w:r w:rsidR="007555ED" w:rsidRPr="001C0C4B">
        <w:rPr>
          <w:rFonts w:ascii="Calibri" w:hAnsi="Calibri" w:cs="Calibri"/>
        </w:rPr>
        <w:t>as proving there is no significant effect</w:t>
      </w:r>
      <w:r w:rsidR="00424FDD" w:rsidRPr="001C0C4B">
        <w:rPr>
          <w:rFonts w:ascii="Calibri" w:hAnsi="Calibri" w:cs="Calibri"/>
        </w:rPr>
        <w:t xml:space="preserve"> </w:t>
      </w:r>
      <w:r w:rsidR="00424FDD" w:rsidRPr="001C0C4B">
        <w:rPr>
          <w:rFonts w:ascii="Calibri" w:hAnsi="Calibri"/>
        </w:rPr>
        <w:t>(i.e. Type A adaptive design best suits the trial aims here)</w:t>
      </w:r>
      <w:r w:rsidR="007555ED" w:rsidRPr="001C0C4B">
        <w:rPr>
          <w:rFonts w:ascii="Calibri" w:hAnsi="Calibri"/>
        </w:rPr>
        <w:t>.</w:t>
      </w:r>
      <w:r w:rsidR="00A121A5" w:rsidRPr="001C0C4B">
        <w:rPr>
          <w:rFonts w:ascii="Calibri" w:hAnsi="Calibri"/>
        </w:rPr>
        <w:t xml:space="preserve"> </w:t>
      </w:r>
      <w:r w:rsidR="00B53EF2" w:rsidRPr="001C0C4B">
        <w:rPr>
          <w:rFonts w:ascii="Calibri" w:hAnsi="Calibri"/>
        </w:rPr>
        <w:t>Antivirals shown to be beneficial in the study may subsequently be chosen to be Type B interventions (e.g. “Positive controls”).</w:t>
      </w:r>
      <w:r w:rsidR="00B53EF2" w:rsidRPr="001C0C4B">
        <w:rPr>
          <w:rFonts w:ascii="Calibri" w:hAnsi="Calibri" w:cs="Calibri"/>
        </w:rPr>
        <w:t xml:space="preserve"> </w:t>
      </w:r>
      <w:bookmarkStart w:id="66" w:name="_Hlk102467318"/>
      <w:bookmarkEnd w:id="65"/>
      <w:r w:rsidR="00A121A5" w:rsidRPr="001C0C4B">
        <w:rPr>
          <w:rFonts w:ascii="Calibri" w:hAnsi="Calibri" w:cs="Calibri"/>
        </w:rPr>
        <w:t>Proving that a drug does not accelerate viral clearance</w:t>
      </w:r>
      <w:r w:rsidR="00B14E77" w:rsidRPr="001C0C4B">
        <w:rPr>
          <w:rFonts w:ascii="Calibri" w:hAnsi="Calibri" w:cs="Calibri"/>
        </w:rPr>
        <w:t xml:space="preserve"> </w:t>
      </w:r>
      <w:r w:rsidR="00B14E77" w:rsidRPr="001C0C4B">
        <w:rPr>
          <w:rFonts w:ascii="Calibri" w:hAnsi="Calibri"/>
        </w:rPr>
        <w:t>in</w:t>
      </w:r>
      <w:r w:rsidR="0051517A" w:rsidRPr="001C0C4B">
        <w:rPr>
          <w:rFonts w:ascii="Calibri" w:hAnsi="Calibri" w:cs="Calibri"/>
        </w:rPr>
        <w:t>-</w:t>
      </w:r>
      <w:r w:rsidR="00B14E77" w:rsidRPr="001C0C4B">
        <w:rPr>
          <w:rFonts w:ascii="Calibri" w:hAnsi="Calibri"/>
        </w:rPr>
        <w:t>vivo</w:t>
      </w:r>
      <w:r w:rsidR="00A121A5" w:rsidRPr="001C0C4B">
        <w:rPr>
          <w:rFonts w:ascii="Calibri" w:hAnsi="Calibri" w:cs="Calibri"/>
        </w:rPr>
        <w:t xml:space="preserve"> should </w:t>
      </w:r>
      <w:r w:rsidR="00B52408" w:rsidRPr="001C0C4B">
        <w:rPr>
          <w:rFonts w:ascii="Calibri" w:hAnsi="Calibri" w:cs="Calibri"/>
        </w:rPr>
        <w:t xml:space="preserve">provide evidence to </w:t>
      </w:r>
      <w:r w:rsidR="00A121A5" w:rsidRPr="001C0C4B">
        <w:rPr>
          <w:rFonts w:ascii="Calibri" w:hAnsi="Calibri" w:cs="Calibri"/>
        </w:rPr>
        <w:t xml:space="preserve">stop </w:t>
      </w:r>
      <w:r w:rsidR="00B14E77" w:rsidRPr="001C0C4B">
        <w:rPr>
          <w:rFonts w:ascii="Calibri" w:hAnsi="Calibri" w:cs="Calibri"/>
        </w:rPr>
        <w:t xml:space="preserve">clinical </w:t>
      </w:r>
      <w:r w:rsidR="00A121A5" w:rsidRPr="001C0C4B">
        <w:rPr>
          <w:rFonts w:ascii="Calibri" w:hAnsi="Calibri" w:cs="Calibri"/>
        </w:rPr>
        <w:t xml:space="preserve">recommendations based on </w:t>
      </w:r>
      <w:r w:rsidR="00B14E77" w:rsidRPr="001C0C4B">
        <w:rPr>
          <w:rFonts w:ascii="Calibri" w:hAnsi="Calibri" w:cs="Calibri"/>
        </w:rPr>
        <w:t xml:space="preserve">claims of </w:t>
      </w:r>
      <w:r w:rsidR="00A121A5" w:rsidRPr="001C0C4B">
        <w:rPr>
          <w:rFonts w:ascii="Calibri" w:hAnsi="Calibri" w:cs="Calibri"/>
        </w:rPr>
        <w:t>putative antiviral activity</w:t>
      </w:r>
      <w:r w:rsidR="00B14E77" w:rsidRPr="001C0C4B">
        <w:rPr>
          <w:rFonts w:ascii="Calibri" w:hAnsi="Calibri" w:cs="Calibri"/>
        </w:rPr>
        <w:t xml:space="preserve"> in </w:t>
      </w:r>
      <w:r w:rsidR="00B14E77" w:rsidRPr="001C0C4B">
        <w:rPr>
          <w:rFonts w:ascii="Calibri" w:hAnsi="Calibri"/>
        </w:rPr>
        <w:t>ex</w:t>
      </w:r>
      <w:r w:rsidR="0051517A" w:rsidRPr="001C0C4B">
        <w:rPr>
          <w:rFonts w:ascii="Calibri" w:hAnsi="Calibri" w:cs="Calibri"/>
        </w:rPr>
        <w:t>-</w:t>
      </w:r>
      <w:r w:rsidR="00B14E77" w:rsidRPr="001C0C4B">
        <w:rPr>
          <w:rFonts w:ascii="Calibri" w:hAnsi="Calibri"/>
        </w:rPr>
        <w:t>vivo</w:t>
      </w:r>
      <w:r w:rsidR="00B14E77" w:rsidRPr="001C0C4B">
        <w:rPr>
          <w:rFonts w:ascii="Calibri" w:hAnsi="Calibri" w:cs="Calibri"/>
        </w:rPr>
        <w:t xml:space="preserve"> cell based assays</w:t>
      </w:r>
      <w:r w:rsidR="0048411D" w:rsidRPr="001C0C4B">
        <w:rPr>
          <w:rFonts w:ascii="Calibri" w:hAnsi="Calibri" w:cs="Calibri"/>
        </w:rPr>
        <w:t>.</w:t>
      </w:r>
      <w:r w:rsidR="00424FDD" w:rsidRPr="001C0C4B">
        <w:rPr>
          <w:rFonts w:ascii="Calibri" w:hAnsi="Calibri" w:cs="Calibri"/>
        </w:rPr>
        <w:t xml:space="preserve"> </w:t>
      </w:r>
      <w:r w:rsidR="00450ECA" w:rsidRPr="001C0C4B">
        <w:rPr>
          <w:rFonts w:ascii="Calibri" w:hAnsi="Calibri" w:cs="Calibri"/>
        </w:rPr>
        <w:t>Monoclonal antibodies</w:t>
      </w:r>
      <w:r w:rsidR="003F788F" w:rsidRPr="001C0C4B">
        <w:rPr>
          <w:rFonts w:ascii="Calibri" w:hAnsi="Calibri" w:cs="Calibri"/>
        </w:rPr>
        <w:t xml:space="preserve"> </w:t>
      </w:r>
      <w:r w:rsidR="00450ECA" w:rsidRPr="001C0C4B">
        <w:rPr>
          <w:rFonts w:ascii="Calibri" w:hAnsi="Calibri" w:cs="Calibri"/>
        </w:rPr>
        <w:t>(</w:t>
      </w:r>
      <w:r w:rsidR="003F4AE9" w:rsidRPr="001C0C4B">
        <w:rPr>
          <w:rFonts w:ascii="Calibri" w:hAnsi="Calibri" w:cs="Calibri"/>
        </w:rPr>
        <w:t xml:space="preserve">to be defined as </w:t>
      </w:r>
      <w:r w:rsidR="00450ECA" w:rsidRPr="001C0C4B">
        <w:rPr>
          <w:rFonts w:ascii="Calibri" w:hAnsi="Calibri" w:cs="Calibri"/>
        </w:rPr>
        <w:t xml:space="preserve">type B interventions) </w:t>
      </w:r>
      <w:r w:rsidR="0051517A" w:rsidRPr="001C0C4B">
        <w:rPr>
          <w:rFonts w:ascii="Calibri" w:hAnsi="Calibri" w:cs="Calibri"/>
        </w:rPr>
        <w:t>were initially</w:t>
      </w:r>
      <w:r w:rsidR="00450ECA" w:rsidRPr="001C0C4B">
        <w:rPr>
          <w:rFonts w:ascii="Calibri" w:hAnsi="Calibri" w:cs="Calibri"/>
        </w:rPr>
        <w:t xml:space="preserve"> included as a </w:t>
      </w:r>
      <w:r w:rsidR="0048411D" w:rsidRPr="001C0C4B">
        <w:rPr>
          <w:rFonts w:ascii="Calibri" w:hAnsi="Calibri" w:cs="Calibri"/>
        </w:rPr>
        <w:t>“</w:t>
      </w:r>
      <w:r w:rsidR="00450ECA" w:rsidRPr="001C0C4B">
        <w:rPr>
          <w:rFonts w:ascii="Calibri" w:hAnsi="Calibri" w:cs="Calibri"/>
        </w:rPr>
        <w:t>positive control</w:t>
      </w:r>
      <w:r w:rsidR="0048411D" w:rsidRPr="001C0C4B">
        <w:rPr>
          <w:rFonts w:ascii="Calibri" w:hAnsi="Calibri" w:cs="Calibri"/>
        </w:rPr>
        <w:t>”</w:t>
      </w:r>
      <w:r w:rsidR="00450ECA" w:rsidRPr="001C0C4B">
        <w:rPr>
          <w:rFonts w:ascii="Calibri" w:hAnsi="Calibri" w:cs="Calibri"/>
        </w:rPr>
        <w:t xml:space="preserve">. </w:t>
      </w:r>
      <w:r w:rsidR="00B14E77" w:rsidRPr="001C0C4B">
        <w:rPr>
          <w:rFonts w:ascii="Calibri" w:hAnsi="Calibri" w:cs="Calibri"/>
        </w:rPr>
        <w:t xml:space="preserve">This is </w:t>
      </w:r>
      <w:r w:rsidR="00B83F15" w:rsidRPr="001C0C4B">
        <w:rPr>
          <w:rFonts w:ascii="Calibri" w:hAnsi="Calibri" w:cs="Calibri"/>
        </w:rPr>
        <w:t xml:space="preserve">beneficial </w:t>
      </w:r>
      <w:r w:rsidR="00B14E77" w:rsidRPr="001C0C4B">
        <w:rPr>
          <w:rFonts w:ascii="Calibri" w:hAnsi="Calibri" w:cs="Calibri"/>
        </w:rPr>
        <w:t xml:space="preserve">to demonstrate that the method does identify active compounds. </w:t>
      </w:r>
      <w:r w:rsidR="00450ECA" w:rsidRPr="001C0C4B">
        <w:rPr>
          <w:rFonts w:ascii="Calibri" w:hAnsi="Calibri" w:cs="Calibri"/>
        </w:rPr>
        <w:t xml:space="preserve">It </w:t>
      </w:r>
      <w:r w:rsidR="00B83F15" w:rsidRPr="001C0C4B">
        <w:rPr>
          <w:rFonts w:ascii="Calibri" w:hAnsi="Calibri" w:cs="Calibri"/>
        </w:rPr>
        <w:t xml:space="preserve">will be </w:t>
      </w:r>
      <w:r w:rsidR="00450ECA" w:rsidRPr="001C0C4B">
        <w:rPr>
          <w:rFonts w:ascii="Calibri" w:hAnsi="Calibri" w:cs="Calibri"/>
        </w:rPr>
        <w:t xml:space="preserve">important to calibrate and compare the effects of these </w:t>
      </w:r>
      <w:r w:rsidR="007C67FF" w:rsidRPr="001C0C4B">
        <w:rPr>
          <w:rFonts w:ascii="Calibri" w:hAnsi="Calibri" w:cs="Calibri"/>
        </w:rPr>
        <w:t xml:space="preserve">validated </w:t>
      </w:r>
      <w:r w:rsidR="00450ECA" w:rsidRPr="001C0C4B">
        <w:rPr>
          <w:rFonts w:ascii="Calibri" w:hAnsi="Calibri" w:cs="Calibri"/>
        </w:rPr>
        <w:t xml:space="preserve">effective therapies relative to </w:t>
      </w:r>
      <w:r w:rsidR="00817F09" w:rsidRPr="001C0C4B">
        <w:rPr>
          <w:rFonts w:ascii="Calibri" w:hAnsi="Calibri"/>
        </w:rPr>
        <w:t xml:space="preserve">the newly identified </w:t>
      </w:r>
      <w:r w:rsidR="007C67FF" w:rsidRPr="001C0C4B">
        <w:rPr>
          <w:rFonts w:ascii="Calibri" w:hAnsi="Calibri" w:cs="Calibri"/>
        </w:rPr>
        <w:t xml:space="preserve">small molecule </w:t>
      </w:r>
      <w:r w:rsidR="00450ECA" w:rsidRPr="001C0C4B">
        <w:rPr>
          <w:rFonts w:ascii="Calibri" w:hAnsi="Calibri" w:cs="Calibri"/>
        </w:rPr>
        <w:t>antiviral drugs</w:t>
      </w:r>
      <w:r w:rsidR="007C67FF" w:rsidRPr="001C0C4B">
        <w:rPr>
          <w:rFonts w:ascii="Calibri" w:hAnsi="Calibri" w:cs="Calibri"/>
        </w:rPr>
        <w:t>. In addition</w:t>
      </w:r>
      <w:r w:rsidR="0067727E" w:rsidRPr="001C0C4B">
        <w:rPr>
          <w:rFonts w:ascii="Calibri" w:hAnsi="Calibri" w:cs="Calibri"/>
        </w:rPr>
        <w:t>,</w:t>
      </w:r>
      <w:r w:rsidR="00450ECA" w:rsidRPr="001C0C4B">
        <w:rPr>
          <w:rFonts w:ascii="Calibri" w:hAnsi="Calibri" w:cs="Calibri"/>
        </w:rPr>
        <w:t xml:space="preserve"> </w:t>
      </w:r>
      <w:r w:rsidR="00A553E4" w:rsidRPr="001C0C4B">
        <w:rPr>
          <w:rFonts w:ascii="Calibri" w:hAnsi="Calibri" w:cs="Calibri"/>
        </w:rPr>
        <w:t>for monoclonal antibodies</w:t>
      </w:r>
      <w:r w:rsidR="007C67FF" w:rsidRPr="001C0C4B">
        <w:rPr>
          <w:rFonts w:ascii="Calibri" w:hAnsi="Calibri" w:cs="Calibri"/>
        </w:rPr>
        <w:t xml:space="preserve"> it is also important</w:t>
      </w:r>
      <w:r w:rsidR="00450ECA" w:rsidRPr="001C0C4B">
        <w:rPr>
          <w:rFonts w:ascii="Calibri" w:hAnsi="Calibri" w:cs="Calibri"/>
        </w:rPr>
        <w:t xml:space="preserve"> </w:t>
      </w:r>
      <w:r w:rsidR="00A553E4" w:rsidRPr="001C0C4B">
        <w:rPr>
          <w:rFonts w:ascii="Calibri" w:hAnsi="Calibri" w:cs="Calibri"/>
        </w:rPr>
        <w:t xml:space="preserve">to </w:t>
      </w:r>
      <w:r w:rsidR="00450ECA" w:rsidRPr="001C0C4B">
        <w:rPr>
          <w:rFonts w:ascii="Calibri" w:hAnsi="Calibri" w:cs="Calibri"/>
        </w:rPr>
        <w:t>characteri</w:t>
      </w:r>
      <w:r w:rsidR="00CA6DC8" w:rsidRPr="001C0C4B">
        <w:rPr>
          <w:rFonts w:ascii="Calibri" w:hAnsi="Calibri" w:cs="Calibri"/>
        </w:rPr>
        <w:t>s</w:t>
      </w:r>
      <w:r w:rsidR="00450ECA" w:rsidRPr="001C0C4B">
        <w:rPr>
          <w:rFonts w:ascii="Calibri" w:hAnsi="Calibri" w:cs="Calibri"/>
        </w:rPr>
        <w:t xml:space="preserve">e waning </w:t>
      </w:r>
      <w:r w:rsidR="0048411D" w:rsidRPr="001C0C4B">
        <w:rPr>
          <w:rFonts w:ascii="Calibri" w:hAnsi="Calibri" w:cs="Calibri"/>
        </w:rPr>
        <w:t xml:space="preserve">efficacy </w:t>
      </w:r>
      <w:r w:rsidR="00450ECA" w:rsidRPr="001C0C4B">
        <w:rPr>
          <w:rFonts w:ascii="Calibri" w:hAnsi="Calibri" w:cs="Calibri"/>
        </w:rPr>
        <w:t xml:space="preserve">over time </w:t>
      </w:r>
      <w:r w:rsidR="0048411D" w:rsidRPr="001C0C4B">
        <w:rPr>
          <w:rFonts w:ascii="Calibri" w:hAnsi="Calibri" w:cs="Calibri"/>
        </w:rPr>
        <w:t xml:space="preserve">resulting from </w:t>
      </w:r>
      <w:r w:rsidR="00450ECA" w:rsidRPr="001C0C4B">
        <w:rPr>
          <w:rFonts w:ascii="Calibri" w:hAnsi="Calibri" w:cs="Calibri"/>
        </w:rPr>
        <w:t xml:space="preserve">novel </w:t>
      </w:r>
      <w:r w:rsidR="0048411D" w:rsidRPr="001C0C4B">
        <w:rPr>
          <w:rFonts w:ascii="Calibri" w:hAnsi="Calibri" w:cs="Calibri"/>
        </w:rPr>
        <w:t xml:space="preserve">spike protein </w:t>
      </w:r>
      <w:r w:rsidR="00450ECA" w:rsidRPr="001C0C4B">
        <w:rPr>
          <w:rFonts w:ascii="Calibri" w:hAnsi="Calibri" w:cs="Calibri"/>
        </w:rPr>
        <w:t>mutants</w:t>
      </w:r>
      <w:r w:rsidR="00402C21" w:rsidRPr="001C0C4B">
        <w:rPr>
          <w:rFonts w:ascii="Calibri" w:hAnsi="Calibri" w:cs="Calibri"/>
        </w:rPr>
        <w:t xml:space="preserve"> (</w:t>
      </w:r>
      <w:r w:rsidR="00407461" w:rsidRPr="001C0C4B">
        <w:rPr>
          <w:rFonts w:ascii="Calibri" w:hAnsi="Calibri" w:cs="Calibri"/>
        </w:rPr>
        <w:t>12,13</w:t>
      </w:r>
      <w:r w:rsidR="00402C21" w:rsidRPr="001C0C4B">
        <w:rPr>
          <w:rFonts w:ascii="Calibri" w:hAnsi="Calibri" w:cs="Calibri"/>
        </w:rPr>
        <w:t>)</w:t>
      </w:r>
    </w:p>
    <w:bookmarkEnd w:id="66"/>
    <w:p w14:paraId="390BFB05" w14:textId="058A3BF4" w:rsidR="00AC186B" w:rsidRPr="001C0C4B" w:rsidRDefault="00817F09" w:rsidP="00E66E98">
      <w:pPr>
        <w:jc w:val="both"/>
        <w:rPr>
          <w:rFonts w:ascii="Calibri" w:hAnsi="Calibri" w:cs="Calibri"/>
        </w:rPr>
      </w:pPr>
      <w:r w:rsidRPr="001C0C4B">
        <w:rPr>
          <w:rFonts w:ascii="Calibri" w:hAnsi="Calibri"/>
        </w:rPr>
        <w:t xml:space="preserve">We aim to identify the best candidates </w:t>
      </w:r>
      <w:r w:rsidR="007F3FBF" w:rsidRPr="001C0C4B">
        <w:rPr>
          <w:rFonts w:ascii="Calibri" w:hAnsi="Calibri"/>
        </w:rPr>
        <w:t xml:space="preserve">rapidly </w:t>
      </w:r>
      <w:r w:rsidRPr="001C0C4B">
        <w:rPr>
          <w:rFonts w:ascii="Calibri" w:hAnsi="Calibri"/>
        </w:rPr>
        <w:t>of the novel small molecule drugs</w:t>
      </w:r>
      <w:r w:rsidR="00B81E85" w:rsidRPr="001C0C4B">
        <w:rPr>
          <w:rFonts w:ascii="Calibri" w:hAnsi="Calibri"/>
        </w:rPr>
        <w:t xml:space="preserve">. </w:t>
      </w:r>
      <w:r w:rsidR="00E66E98" w:rsidRPr="001C0C4B">
        <w:rPr>
          <w:rFonts w:ascii="Calibri" w:hAnsi="Calibri" w:cs="Calibri"/>
        </w:rPr>
        <w:t xml:space="preserve">The distinct objectives for each of these intervention types requires </w:t>
      </w:r>
      <w:r w:rsidR="00A553E4" w:rsidRPr="001C0C4B">
        <w:rPr>
          <w:rFonts w:ascii="Calibri" w:hAnsi="Calibri" w:cs="Calibri"/>
        </w:rPr>
        <w:t xml:space="preserve">different </w:t>
      </w:r>
      <w:r w:rsidR="00E66E98" w:rsidRPr="001C0C4B">
        <w:rPr>
          <w:rFonts w:ascii="Calibri" w:hAnsi="Calibri" w:cs="Calibri"/>
        </w:rPr>
        <w:t>stopping rules</w:t>
      </w:r>
      <w:r w:rsidR="18960ABD" w:rsidRPr="001C0C4B">
        <w:rPr>
          <w:rFonts w:ascii="Calibri" w:hAnsi="Calibri" w:cs="Calibri"/>
        </w:rPr>
        <w:t xml:space="preserve"> and design features.</w:t>
      </w:r>
      <w:r w:rsidR="00A553E4" w:rsidRPr="001C0C4B">
        <w:rPr>
          <w:rFonts w:ascii="Calibri" w:hAnsi="Calibri" w:cs="Calibri"/>
        </w:rPr>
        <w:t xml:space="preserve"> </w:t>
      </w:r>
      <w:r w:rsidR="00904D01" w:rsidRPr="001C0C4B">
        <w:rPr>
          <w:rFonts w:ascii="Calibri" w:hAnsi="Calibri" w:cs="Calibri"/>
        </w:rPr>
        <w:t>The</w:t>
      </w:r>
      <w:r w:rsidR="00AB5FFA" w:rsidRPr="001C0C4B">
        <w:rPr>
          <w:rFonts w:ascii="Calibri" w:hAnsi="Calibri" w:cs="Calibri"/>
        </w:rPr>
        <w:t xml:space="preserve"> rapid turn-round in quantitative PCR measurements </w:t>
      </w:r>
      <w:r w:rsidR="007C67FF" w:rsidRPr="001C0C4B">
        <w:rPr>
          <w:rFonts w:ascii="Calibri" w:hAnsi="Calibri" w:cs="Calibri"/>
        </w:rPr>
        <w:t>is key to the success of this project. A</w:t>
      </w:r>
      <w:r w:rsidR="00904D01" w:rsidRPr="001C0C4B">
        <w:rPr>
          <w:rFonts w:ascii="Calibri" w:hAnsi="Calibri" w:cs="Calibri"/>
        </w:rPr>
        <w:t>nalysis</w:t>
      </w:r>
      <w:r w:rsidR="007C67FF" w:rsidRPr="001C0C4B">
        <w:rPr>
          <w:rFonts w:ascii="Calibri" w:hAnsi="Calibri" w:cs="Calibri"/>
        </w:rPr>
        <w:t xml:space="preserve"> of these results</w:t>
      </w:r>
      <w:r w:rsidR="00904D01" w:rsidRPr="001C0C4B">
        <w:rPr>
          <w:rFonts w:ascii="Calibri" w:hAnsi="Calibri" w:cs="Calibri"/>
        </w:rPr>
        <w:t xml:space="preserve"> will allow for </w:t>
      </w:r>
      <w:r w:rsidR="71B6893E" w:rsidRPr="001C0C4B">
        <w:rPr>
          <w:rFonts w:ascii="Calibri" w:hAnsi="Calibri" w:cs="Calibri"/>
        </w:rPr>
        <w:t>frequent interim analyses</w:t>
      </w:r>
      <w:r w:rsidR="37FFFD16" w:rsidRPr="001C0C4B">
        <w:rPr>
          <w:rFonts w:ascii="Calibri" w:hAnsi="Calibri" w:cs="Calibri"/>
        </w:rPr>
        <w:t xml:space="preserve"> with the aim of halt</w:t>
      </w:r>
      <w:r w:rsidR="4B269795" w:rsidRPr="001C0C4B">
        <w:rPr>
          <w:rFonts w:ascii="Calibri" w:hAnsi="Calibri" w:cs="Calibri"/>
        </w:rPr>
        <w:t>ing</w:t>
      </w:r>
      <w:r w:rsidR="37FFFD16" w:rsidRPr="001C0C4B">
        <w:rPr>
          <w:rFonts w:ascii="Calibri" w:hAnsi="Calibri" w:cs="Calibri"/>
        </w:rPr>
        <w:t xml:space="preserve"> </w:t>
      </w:r>
      <w:r w:rsidR="007C67FF" w:rsidRPr="001C0C4B">
        <w:rPr>
          <w:rFonts w:ascii="Calibri" w:hAnsi="Calibri" w:cs="Calibri"/>
        </w:rPr>
        <w:t xml:space="preserve">study </w:t>
      </w:r>
      <w:r w:rsidR="37FFFD16" w:rsidRPr="001C0C4B">
        <w:rPr>
          <w:rFonts w:ascii="Calibri" w:hAnsi="Calibri" w:cs="Calibri"/>
        </w:rPr>
        <w:t>arms</w:t>
      </w:r>
      <w:r w:rsidR="4FE92353" w:rsidRPr="001C0C4B">
        <w:rPr>
          <w:rFonts w:ascii="Calibri" w:hAnsi="Calibri" w:cs="Calibri"/>
        </w:rPr>
        <w:t xml:space="preserve"> early</w:t>
      </w:r>
      <w:r w:rsidR="37FFFD16" w:rsidRPr="001C0C4B">
        <w:rPr>
          <w:rFonts w:ascii="Calibri" w:hAnsi="Calibri" w:cs="Calibri"/>
        </w:rPr>
        <w:t xml:space="preserve"> for futility</w:t>
      </w:r>
      <w:r w:rsidR="00AB5FFA" w:rsidRPr="001C0C4B">
        <w:rPr>
          <w:rFonts w:ascii="Calibri" w:hAnsi="Calibri" w:cs="Calibri"/>
        </w:rPr>
        <w:t>,</w:t>
      </w:r>
      <w:r w:rsidR="37FFFD16" w:rsidRPr="001C0C4B">
        <w:rPr>
          <w:rFonts w:ascii="Calibri" w:hAnsi="Calibri" w:cs="Calibri"/>
        </w:rPr>
        <w:t xml:space="preserve"> or trigger</w:t>
      </w:r>
      <w:r w:rsidR="4535FA39" w:rsidRPr="001C0C4B">
        <w:rPr>
          <w:rFonts w:ascii="Calibri" w:hAnsi="Calibri" w:cs="Calibri"/>
        </w:rPr>
        <w:t>ing</w:t>
      </w:r>
      <w:r w:rsidR="37FFFD16" w:rsidRPr="001C0C4B">
        <w:rPr>
          <w:rFonts w:ascii="Calibri" w:hAnsi="Calibri" w:cs="Calibri"/>
        </w:rPr>
        <w:t xml:space="preserve"> an intensive nested </w:t>
      </w:r>
      <w:r w:rsidR="37FFFD16" w:rsidRPr="001C0C4B">
        <w:rPr>
          <w:rFonts w:ascii="Calibri" w:hAnsi="Calibri" w:cs="Calibri"/>
        </w:rPr>
        <w:lastRenderedPageBreak/>
        <w:t>PK-PD study</w:t>
      </w:r>
      <w:r w:rsidR="74E2B7E3" w:rsidRPr="001C0C4B">
        <w:rPr>
          <w:rFonts w:ascii="Calibri" w:hAnsi="Calibri" w:cs="Calibri"/>
        </w:rPr>
        <w:t xml:space="preserve"> if there is evidence of </w:t>
      </w:r>
      <w:r w:rsidR="639E08CD" w:rsidRPr="001C0C4B">
        <w:rPr>
          <w:rFonts w:ascii="Calibri" w:hAnsi="Calibri" w:cs="Calibri"/>
        </w:rPr>
        <w:t>clinically</w:t>
      </w:r>
      <w:r w:rsidR="74E2B7E3" w:rsidRPr="001C0C4B">
        <w:rPr>
          <w:rFonts w:ascii="Calibri" w:hAnsi="Calibri" w:cs="Calibri"/>
        </w:rPr>
        <w:t xml:space="preserve"> significant antiviral activity</w:t>
      </w:r>
      <w:r w:rsidR="0034368E" w:rsidRPr="001C0C4B">
        <w:rPr>
          <w:rFonts w:ascii="Calibri" w:hAnsi="Calibri"/>
        </w:rPr>
        <w:t xml:space="preserve">, </w:t>
      </w:r>
      <w:bookmarkStart w:id="67" w:name="_Hlk102467374"/>
      <w:r w:rsidR="0034368E" w:rsidRPr="001C0C4B">
        <w:rPr>
          <w:rFonts w:ascii="Calibri" w:hAnsi="Calibri"/>
        </w:rPr>
        <w:t>although early interim analyses are not likely to yield efficacy assessments, and are aimed</w:t>
      </w:r>
      <w:r w:rsidR="007F3FBF" w:rsidRPr="001C0C4B">
        <w:rPr>
          <w:rFonts w:ascii="Calibri" w:hAnsi="Calibri"/>
        </w:rPr>
        <w:t xml:space="preserve"> primarily</w:t>
      </w:r>
      <w:r w:rsidR="007A20F8" w:rsidRPr="001C0C4B">
        <w:rPr>
          <w:rFonts w:ascii="Calibri" w:hAnsi="Calibri"/>
        </w:rPr>
        <w:t xml:space="preserve"> </w:t>
      </w:r>
      <w:r w:rsidR="007F3FBF" w:rsidRPr="001C0C4B">
        <w:rPr>
          <w:rFonts w:ascii="Calibri" w:hAnsi="Calibri"/>
        </w:rPr>
        <w:t>at</w:t>
      </w:r>
      <w:r w:rsidR="0034368E" w:rsidRPr="001C0C4B">
        <w:rPr>
          <w:rFonts w:ascii="Calibri" w:hAnsi="Calibri"/>
        </w:rPr>
        <w:t xml:space="preserve"> validation of the method</w:t>
      </w:r>
      <w:r w:rsidR="009A676C" w:rsidRPr="001C0C4B">
        <w:rPr>
          <w:rFonts w:ascii="Calibri" w:hAnsi="Calibri"/>
        </w:rPr>
        <w:t>ology</w:t>
      </w:r>
      <w:bookmarkEnd w:id="67"/>
      <w:r w:rsidR="74E2B7E3" w:rsidRPr="001C0C4B">
        <w:rPr>
          <w:rFonts w:ascii="Calibri" w:hAnsi="Calibri"/>
        </w:rPr>
        <w:t>.</w:t>
      </w:r>
      <w:r w:rsidR="00032D91" w:rsidRPr="001C0C4B">
        <w:rPr>
          <w:rFonts w:ascii="Calibri" w:hAnsi="Calibri" w:cs="Calibri"/>
        </w:rPr>
        <w:t xml:space="preserve"> </w:t>
      </w:r>
      <w:r w:rsidR="6CA53BAE" w:rsidRPr="001C0C4B">
        <w:rPr>
          <w:rFonts w:ascii="Calibri" w:hAnsi="Calibri" w:cs="Calibri"/>
        </w:rPr>
        <w:t>This will</w:t>
      </w:r>
      <w:r w:rsidR="00A049A3" w:rsidRPr="001C0C4B">
        <w:rPr>
          <w:rFonts w:ascii="Calibri" w:hAnsi="Calibri" w:cs="Calibri"/>
        </w:rPr>
        <w:t xml:space="preserve"> </w:t>
      </w:r>
      <w:r w:rsidR="00132996" w:rsidRPr="001C0C4B">
        <w:rPr>
          <w:rFonts w:ascii="Calibri" w:hAnsi="Calibri" w:cs="Calibri"/>
        </w:rPr>
        <w:t>speed up the identification of antivirals to be assessed in phase III studies.</w:t>
      </w:r>
      <w:r w:rsidR="000E4BBE" w:rsidRPr="001C0C4B">
        <w:rPr>
          <w:rFonts w:ascii="Calibri" w:hAnsi="Calibri" w:cs="Calibri"/>
        </w:rPr>
        <w:t xml:space="preserve"> </w:t>
      </w:r>
      <w:r w:rsidR="00AB5FFA" w:rsidRPr="001C0C4B">
        <w:rPr>
          <w:rFonts w:ascii="Calibri" w:hAnsi="Calibri" w:cs="Calibri"/>
        </w:rPr>
        <w:t>The key metric is the rate of viral clearance</w:t>
      </w:r>
      <w:r w:rsidR="003231C4" w:rsidRPr="001C0C4B">
        <w:rPr>
          <w:rFonts w:ascii="Calibri" w:hAnsi="Calibri" w:cs="Calibri"/>
        </w:rPr>
        <w:t xml:space="preserve"> (</w:t>
      </w:r>
      <w:r w:rsidR="00E0505F" w:rsidRPr="001C0C4B">
        <w:rPr>
          <w:rFonts w:ascii="Calibri" w:hAnsi="Calibri" w:cs="Calibri"/>
        </w:rPr>
        <w:t>5</w:t>
      </w:r>
      <w:r w:rsidR="003231C4" w:rsidRPr="001C0C4B">
        <w:rPr>
          <w:rFonts w:ascii="Calibri" w:hAnsi="Calibri" w:cs="Calibri"/>
        </w:rPr>
        <w:t>)</w:t>
      </w:r>
      <w:r w:rsidR="00FB00BF" w:rsidRPr="001C0C4B">
        <w:rPr>
          <w:rFonts w:ascii="Calibri" w:hAnsi="Calibri" w:cs="Calibri"/>
        </w:rPr>
        <w:t xml:space="preserve"> (Figure </w:t>
      </w:r>
      <w:r w:rsidR="00953ACF" w:rsidRPr="001C0C4B">
        <w:rPr>
          <w:rFonts w:ascii="Calibri" w:hAnsi="Calibri" w:cs="Calibri"/>
        </w:rPr>
        <w:t>2</w:t>
      </w:r>
      <w:r w:rsidR="00FB00BF" w:rsidRPr="001C0C4B">
        <w:rPr>
          <w:rFonts w:ascii="Calibri" w:hAnsi="Calibri" w:cs="Calibri"/>
        </w:rPr>
        <w:t>)</w:t>
      </w:r>
      <w:r w:rsidR="00AB5FFA" w:rsidRPr="001C0C4B">
        <w:rPr>
          <w:rFonts w:ascii="Calibri" w:hAnsi="Calibri" w:cs="Calibri"/>
        </w:rPr>
        <w:t xml:space="preserve">. </w:t>
      </w:r>
    </w:p>
    <w:p w14:paraId="4490C649" w14:textId="7ADF5E13" w:rsidR="00582639" w:rsidRPr="001C0C4B" w:rsidRDefault="00582639" w:rsidP="00E142CD">
      <w:pPr>
        <w:pStyle w:val="Heading2"/>
        <w:numPr>
          <w:ilvl w:val="1"/>
          <w:numId w:val="23"/>
        </w:numPr>
        <w:rPr>
          <w:rFonts w:ascii="Calibri" w:hAnsi="Calibri" w:cs="Calibri"/>
          <w:color w:val="auto"/>
        </w:rPr>
      </w:pPr>
      <w:bookmarkStart w:id="68" w:name="_Toc96007275"/>
      <w:bookmarkStart w:id="69" w:name="_Toc95915228"/>
      <w:bookmarkStart w:id="70" w:name="_Toc74661273"/>
      <w:bookmarkStart w:id="71" w:name="_Toc110523967"/>
      <w:bookmarkStart w:id="72" w:name="_Toc96005578"/>
      <w:bookmarkStart w:id="73" w:name="_Toc112917616"/>
      <w:r w:rsidRPr="001C0C4B">
        <w:rPr>
          <w:rFonts w:ascii="Calibri" w:hAnsi="Calibri" w:cs="Calibri"/>
          <w:color w:val="auto"/>
        </w:rPr>
        <w:t>Pharmacodynamic assessment</w:t>
      </w:r>
      <w:bookmarkEnd w:id="68"/>
      <w:bookmarkEnd w:id="69"/>
      <w:bookmarkEnd w:id="70"/>
      <w:bookmarkEnd w:id="71"/>
      <w:bookmarkEnd w:id="72"/>
      <w:bookmarkEnd w:id="73"/>
    </w:p>
    <w:p w14:paraId="66388B5C" w14:textId="1E3ABE27" w:rsidR="00A553E4" w:rsidRPr="001C0C4B" w:rsidRDefault="00582639" w:rsidP="00E66E98">
      <w:pPr>
        <w:jc w:val="both"/>
        <w:rPr>
          <w:rFonts w:ascii="Calibri" w:hAnsi="Calibri" w:cs="Calibri"/>
        </w:rPr>
      </w:pPr>
      <w:r w:rsidRPr="001C0C4B">
        <w:rPr>
          <w:rFonts w:ascii="Calibri" w:hAnsi="Calibri" w:cs="Calibri"/>
          <w:b/>
          <w:noProof/>
          <w:lang w:bidi="th-TH"/>
        </w:rPr>
        <w:drawing>
          <wp:anchor distT="0" distB="0" distL="114300" distR="114300" simplePos="0" relativeHeight="251658242" behindDoc="0" locked="0" layoutInCell="1" allowOverlap="1" wp14:anchorId="250EB8B6" wp14:editId="05CF8D80">
            <wp:simplePos x="0" y="0"/>
            <wp:positionH relativeFrom="margin">
              <wp:align>left</wp:align>
            </wp:positionH>
            <wp:positionV relativeFrom="paragraph">
              <wp:posOffset>381000</wp:posOffset>
            </wp:positionV>
            <wp:extent cx="3244850" cy="3244850"/>
            <wp:effectExtent l="0" t="0" r="0" b="0"/>
            <wp:wrapSquare wrapText="bothSides"/>
            <wp:docPr id="359123498" name="Picture 35912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234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4850" cy="3244850"/>
                    </a:xfrm>
                    <a:prstGeom prst="rect">
                      <a:avLst/>
                    </a:prstGeom>
                  </pic:spPr>
                </pic:pic>
              </a:graphicData>
            </a:graphic>
            <wp14:sizeRelH relativeFrom="page">
              <wp14:pctWidth>0</wp14:pctWidth>
            </wp14:sizeRelH>
            <wp14:sizeRelV relativeFrom="page">
              <wp14:pctHeight>0</wp14:pctHeight>
            </wp14:sizeRelV>
          </wp:anchor>
        </w:drawing>
      </w:r>
      <w:r w:rsidR="785013C1" w:rsidRPr="001C0C4B">
        <w:rPr>
          <w:rFonts w:ascii="Calibri" w:hAnsi="Calibri" w:cs="Calibri"/>
        </w:rPr>
        <w:t xml:space="preserve">We have used prospectively collected </w:t>
      </w:r>
      <w:r w:rsidR="00022922" w:rsidRPr="001C0C4B">
        <w:rPr>
          <w:rFonts w:ascii="Calibri" w:hAnsi="Calibri" w:cs="Calibri"/>
        </w:rPr>
        <w:t xml:space="preserve">serial </w:t>
      </w:r>
      <w:r w:rsidR="785013C1" w:rsidRPr="001C0C4B">
        <w:rPr>
          <w:rFonts w:ascii="Calibri" w:hAnsi="Calibri" w:cs="Calibri"/>
        </w:rPr>
        <w:t xml:space="preserve">viral load data from 46 individuals infected with SARS-CoV-2 and an accompanying pharmacodynamic model </w:t>
      </w:r>
      <w:r w:rsidR="3B17A6C2" w:rsidRPr="001C0C4B">
        <w:rPr>
          <w:rFonts w:ascii="Calibri" w:hAnsi="Calibri" w:cs="Calibri"/>
        </w:rPr>
        <w:t>to simulate different trial designs for putative antiviral drugs using either time-to-clearance or rate-of-clearance as the primary trial endpoint</w:t>
      </w:r>
      <w:r w:rsidR="00070D39" w:rsidRPr="001C0C4B">
        <w:rPr>
          <w:rFonts w:ascii="Calibri" w:hAnsi="Calibri" w:cs="Calibri"/>
        </w:rPr>
        <w:t xml:space="preserve"> </w:t>
      </w:r>
      <w:r w:rsidR="00070D39" w:rsidRPr="001C0C4B">
        <w:rPr>
          <w:rFonts w:ascii="Calibri" w:hAnsi="Calibri" w:cs="Calibri"/>
          <w:noProof/>
        </w:rPr>
        <w:t>(</w:t>
      </w:r>
      <w:r w:rsidR="00407461" w:rsidRPr="001C0C4B">
        <w:rPr>
          <w:rFonts w:ascii="Calibri" w:hAnsi="Calibri" w:cs="Calibri"/>
          <w:noProof/>
        </w:rPr>
        <w:t>15</w:t>
      </w:r>
      <w:r w:rsidR="00070D39" w:rsidRPr="001C0C4B">
        <w:rPr>
          <w:rFonts w:ascii="Calibri" w:hAnsi="Calibri" w:cs="Calibri"/>
          <w:noProof/>
        </w:rPr>
        <w:t>)</w:t>
      </w:r>
      <w:r w:rsidR="3B17A6C2" w:rsidRPr="001C0C4B">
        <w:rPr>
          <w:rFonts w:ascii="Calibri" w:hAnsi="Calibri" w:cs="Calibri"/>
        </w:rPr>
        <w:t>.</w:t>
      </w:r>
      <w:r w:rsidR="1D85E953" w:rsidRPr="001C0C4B">
        <w:rPr>
          <w:rFonts w:ascii="Calibri" w:hAnsi="Calibri" w:cs="Calibri"/>
        </w:rPr>
        <w:t xml:space="preserve"> This </w:t>
      </w:r>
      <w:r w:rsidR="007C67FF" w:rsidRPr="001C0C4B">
        <w:rPr>
          <w:rFonts w:ascii="Calibri" w:hAnsi="Calibri" w:cs="Calibri"/>
        </w:rPr>
        <w:t xml:space="preserve">model </w:t>
      </w:r>
      <w:r w:rsidR="1D85E953" w:rsidRPr="001C0C4B">
        <w:rPr>
          <w:rFonts w:ascii="Calibri" w:hAnsi="Calibri" w:cs="Calibri"/>
        </w:rPr>
        <w:t>was then tested on data from a small pilot study of 24 patients with early symptomatic COVID-19 who were randomised to either ivermectin or placebo</w:t>
      </w:r>
      <w:r w:rsidR="00C54C6D" w:rsidRPr="001C0C4B">
        <w:rPr>
          <w:rFonts w:ascii="Calibri" w:hAnsi="Calibri" w:cs="Calibri"/>
        </w:rPr>
        <w:t xml:space="preserve"> </w:t>
      </w:r>
      <w:r w:rsidR="008C497C" w:rsidRPr="001C0C4B">
        <w:rPr>
          <w:rFonts w:ascii="Calibri" w:hAnsi="Calibri" w:cs="Calibri"/>
          <w:noProof/>
        </w:rPr>
        <w:t>(</w:t>
      </w:r>
      <w:r w:rsidR="00015CC4" w:rsidRPr="001C0C4B">
        <w:rPr>
          <w:rFonts w:ascii="Calibri" w:hAnsi="Calibri" w:cs="Calibri"/>
          <w:noProof/>
        </w:rPr>
        <w:t>1</w:t>
      </w:r>
      <w:r w:rsidR="00407461" w:rsidRPr="001C0C4B">
        <w:rPr>
          <w:rFonts w:ascii="Calibri" w:hAnsi="Calibri" w:cs="Calibri"/>
          <w:noProof/>
        </w:rPr>
        <w:t>6</w:t>
      </w:r>
      <w:r w:rsidR="008C497C" w:rsidRPr="001C0C4B">
        <w:rPr>
          <w:rFonts w:ascii="Calibri" w:hAnsi="Calibri" w:cs="Calibri"/>
          <w:noProof/>
        </w:rPr>
        <w:t>)</w:t>
      </w:r>
      <w:r w:rsidR="1D85E953" w:rsidRPr="001C0C4B">
        <w:rPr>
          <w:rFonts w:ascii="Calibri" w:hAnsi="Calibri" w:cs="Calibri"/>
        </w:rPr>
        <w:t>.</w:t>
      </w:r>
      <w:r w:rsidR="3B17A6C2" w:rsidRPr="001C0C4B">
        <w:rPr>
          <w:rFonts w:ascii="Calibri" w:hAnsi="Calibri" w:cs="Calibri"/>
        </w:rPr>
        <w:t xml:space="preserve"> </w:t>
      </w:r>
      <w:r w:rsidR="00AB5FFA" w:rsidRPr="001C0C4B">
        <w:rPr>
          <w:rFonts w:ascii="Calibri" w:hAnsi="Calibri" w:cs="Calibri"/>
          <w:b/>
          <w:bCs/>
        </w:rPr>
        <w:t>R</w:t>
      </w:r>
      <w:r w:rsidR="3B17A6C2" w:rsidRPr="001C0C4B">
        <w:rPr>
          <w:rFonts w:ascii="Calibri" w:hAnsi="Calibri" w:cs="Calibri"/>
          <w:b/>
          <w:bCs/>
        </w:rPr>
        <w:t xml:space="preserve">ate-of-clearance </w:t>
      </w:r>
      <w:r w:rsidR="00F44FB9" w:rsidRPr="001C0C4B">
        <w:rPr>
          <w:rFonts w:ascii="Calibri" w:hAnsi="Calibri" w:cs="Calibri"/>
          <w:b/>
          <w:bCs/>
        </w:rPr>
        <w:t>wa</w:t>
      </w:r>
      <w:r w:rsidR="3B17A6C2" w:rsidRPr="001C0C4B">
        <w:rPr>
          <w:rFonts w:ascii="Calibri" w:hAnsi="Calibri" w:cs="Calibri"/>
          <w:b/>
          <w:bCs/>
        </w:rPr>
        <w:t>s</w:t>
      </w:r>
      <w:r w:rsidR="00F44FB9" w:rsidRPr="001C0C4B">
        <w:rPr>
          <w:rFonts w:ascii="Calibri" w:hAnsi="Calibri" w:cs="Calibri"/>
          <w:b/>
          <w:bCs/>
        </w:rPr>
        <w:t xml:space="preserve"> shown to be</w:t>
      </w:r>
      <w:r w:rsidR="3B17A6C2" w:rsidRPr="001C0C4B">
        <w:rPr>
          <w:rFonts w:ascii="Calibri" w:hAnsi="Calibri" w:cs="Calibri"/>
          <w:b/>
          <w:bCs/>
        </w:rPr>
        <w:t xml:space="preserve"> a uniformly better endpoint in ter</w:t>
      </w:r>
      <w:r w:rsidR="706A1DCC" w:rsidRPr="001C0C4B">
        <w:rPr>
          <w:rFonts w:ascii="Calibri" w:hAnsi="Calibri" w:cs="Calibri"/>
          <w:b/>
          <w:bCs/>
        </w:rPr>
        <w:t xml:space="preserve">ms of type 2 error (i.e. </w:t>
      </w:r>
      <w:r w:rsidR="00F44FB9" w:rsidRPr="001C0C4B">
        <w:rPr>
          <w:rFonts w:ascii="Calibri" w:hAnsi="Calibri" w:cs="Calibri"/>
          <w:b/>
          <w:bCs/>
        </w:rPr>
        <w:t xml:space="preserve">results in increased </w:t>
      </w:r>
      <w:r w:rsidR="706A1DCC" w:rsidRPr="001C0C4B">
        <w:rPr>
          <w:rFonts w:ascii="Calibri" w:hAnsi="Calibri" w:cs="Calibri"/>
          <w:b/>
          <w:bCs/>
        </w:rPr>
        <w:t>power)</w:t>
      </w:r>
      <w:r w:rsidR="00AB5FFA" w:rsidRPr="001C0C4B">
        <w:rPr>
          <w:rFonts w:ascii="Calibri" w:hAnsi="Calibri" w:cs="Calibri"/>
          <w:b/>
          <w:bCs/>
        </w:rPr>
        <w:t xml:space="preserve"> than the widely used and reported time-to-clearance</w:t>
      </w:r>
      <w:r w:rsidR="00015CC4" w:rsidRPr="001C0C4B">
        <w:rPr>
          <w:rFonts w:ascii="Calibri" w:hAnsi="Calibri" w:cs="Calibri"/>
          <w:b/>
          <w:bCs/>
        </w:rPr>
        <w:t xml:space="preserve"> (4)</w:t>
      </w:r>
      <w:r w:rsidR="706A1DCC" w:rsidRPr="001C0C4B">
        <w:rPr>
          <w:rFonts w:ascii="Calibri" w:hAnsi="Calibri" w:cs="Calibri"/>
          <w:b/>
          <w:bCs/>
        </w:rPr>
        <w:t>.</w:t>
      </w:r>
      <w:r w:rsidR="706A1DCC" w:rsidRPr="001C0C4B">
        <w:rPr>
          <w:rFonts w:ascii="Calibri" w:hAnsi="Calibri" w:cs="Calibri"/>
        </w:rPr>
        <w:t xml:space="preserve"> </w:t>
      </w:r>
      <w:r w:rsidR="009719CD" w:rsidRPr="001C0C4B">
        <w:rPr>
          <w:rFonts w:ascii="Calibri" w:hAnsi="Calibri" w:cs="Calibri"/>
        </w:rPr>
        <w:t xml:space="preserve">Rate of </w:t>
      </w:r>
      <w:r w:rsidR="00AC186B" w:rsidRPr="001C0C4B">
        <w:rPr>
          <w:rFonts w:ascii="Calibri" w:hAnsi="Calibri" w:cs="Calibri"/>
        </w:rPr>
        <w:t xml:space="preserve">decline in </w:t>
      </w:r>
      <w:r w:rsidR="000B0EDD" w:rsidRPr="001C0C4B">
        <w:rPr>
          <w:rFonts w:ascii="Calibri" w:hAnsi="Calibri" w:cs="Calibri"/>
        </w:rPr>
        <w:t>oropharyngeal</w:t>
      </w:r>
      <w:r w:rsidR="00AC186B" w:rsidRPr="001C0C4B">
        <w:rPr>
          <w:rFonts w:ascii="Calibri" w:hAnsi="Calibri" w:cs="Calibri"/>
        </w:rPr>
        <w:t xml:space="preserve"> qPCR estimates of viral density measured daily </w:t>
      </w:r>
      <w:r w:rsidR="009719CD" w:rsidRPr="001C0C4B">
        <w:rPr>
          <w:rFonts w:ascii="Calibri" w:hAnsi="Calibri" w:cs="Calibri"/>
        </w:rPr>
        <w:t xml:space="preserve">also allows shorter </w:t>
      </w:r>
      <w:r w:rsidR="00D53203" w:rsidRPr="001C0C4B">
        <w:rPr>
          <w:rFonts w:ascii="Calibri" w:hAnsi="Calibri" w:cs="Calibri"/>
        </w:rPr>
        <w:t>and more efficient evaluation</w:t>
      </w:r>
      <w:r w:rsidR="001B10C6" w:rsidRPr="001C0C4B">
        <w:rPr>
          <w:rFonts w:ascii="Calibri" w:hAnsi="Calibri" w:cs="Calibri"/>
        </w:rPr>
        <w:t xml:space="preserve"> of viral clearance </w:t>
      </w:r>
      <w:r w:rsidR="500382C4" w:rsidRPr="001C0C4B">
        <w:rPr>
          <w:rFonts w:ascii="Calibri" w:hAnsi="Calibri" w:cs="Calibri"/>
        </w:rPr>
        <w:t xml:space="preserve">(Figure </w:t>
      </w:r>
      <w:r w:rsidR="00953ACF" w:rsidRPr="001C0C4B">
        <w:rPr>
          <w:rFonts w:ascii="Calibri" w:hAnsi="Calibri" w:cs="Calibri"/>
        </w:rPr>
        <w:t>3</w:t>
      </w:r>
      <w:r w:rsidR="001B10C6" w:rsidRPr="001C0C4B">
        <w:rPr>
          <w:rFonts w:ascii="Calibri" w:hAnsi="Calibri" w:cs="Calibri"/>
        </w:rPr>
        <w:t>)</w:t>
      </w:r>
      <w:r w:rsidR="00D53203" w:rsidRPr="001C0C4B">
        <w:rPr>
          <w:rFonts w:ascii="Calibri" w:hAnsi="Calibri" w:cs="Calibri"/>
        </w:rPr>
        <w:t xml:space="preserve">. </w:t>
      </w:r>
      <w:r w:rsidR="2D96FFB9" w:rsidRPr="001C0C4B">
        <w:rPr>
          <w:rFonts w:ascii="Calibri" w:hAnsi="Calibri" w:cs="Calibri"/>
        </w:rPr>
        <w:t xml:space="preserve">Our </w:t>
      </w:r>
      <w:r w:rsidR="3EB29E11" w:rsidRPr="001C0C4B">
        <w:rPr>
          <w:rFonts w:ascii="Calibri" w:hAnsi="Calibri" w:cs="Calibri"/>
        </w:rPr>
        <w:t>simulations</w:t>
      </w:r>
      <w:r w:rsidR="055FE318" w:rsidRPr="001C0C4B">
        <w:rPr>
          <w:rFonts w:ascii="Calibri" w:hAnsi="Calibri" w:cs="Calibri"/>
        </w:rPr>
        <w:t xml:space="preserve"> (Appendix </w:t>
      </w:r>
      <w:r w:rsidR="00904BBE" w:rsidRPr="001C0C4B">
        <w:rPr>
          <w:rFonts w:ascii="Calibri" w:hAnsi="Calibri" w:cs="Calibri"/>
        </w:rPr>
        <w:t>3</w:t>
      </w:r>
      <w:r w:rsidR="055FE318" w:rsidRPr="001C0C4B">
        <w:rPr>
          <w:rFonts w:ascii="Calibri" w:hAnsi="Calibri" w:cs="Calibri"/>
        </w:rPr>
        <w:t>)</w:t>
      </w:r>
      <w:r w:rsidR="3EB29E11" w:rsidRPr="001C0C4B">
        <w:rPr>
          <w:rFonts w:ascii="Calibri" w:hAnsi="Calibri" w:cs="Calibri"/>
        </w:rPr>
        <w:t xml:space="preserve"> show that </w:t>
      </w:r>
      <w:r w:rsidR="39150CAE" w:rsidRPr="001C0C4B">
        <w:rPr>
          <w:rFonts w:ascii="Calibri" w:hAnsi="Calibri" w:cs="Calibri"/>
        </w:rPr>
        <w:t xml:space="preserve">the </w:t>
      </w:r>
      <w:r w:rsidR="00D06502" w:rsidRPr="001C0C4B">
        <w:rPr>
          <w:rFonts w:ascii="Calibri" w:hAnsi="Calibri" w:cs="Calibri"/>
        </w:rPr>
        <w:t xml:space="preserve">proposed </w:t>
      </w:r>
      <w:r w:rsidR="39150CAE" w:rsidRPr="001C0C4B">
        <w:rPr>
          <w:rFonts w:ascii="Calibri" w:hAnsi="Calibri" w:cs="Calibri"/>
        </w:rPr>
        <w:t>trial design can</w:t>
      </w:r>
      <w:r w:rsidR="00032D91" w:rsidRPr="001C0C4B">
        <w:rPr>
          <w:rFonts w:ascii="Calibri" w:hAnsi="Calibri" w:cs="Calibri"/>
        </w:rPr>
        <w:t xml:space="preserve"> </w:t>
      </w:r>
      <w:r w:rsidR="3EB29E11" w:rsidRPr="001C0C4B">
        <w:rPr>
          <w:rFonts w:ascii="Calibri" w:hAnsi="Calibri" w:cs="Calibri"/>
        </w:rPr>
        <w:t xml:space="preserve">identify an effective therapy </w:t>
      </w:r>
      <w:r w:rsidR="00015CC4" w:rsidRPr="001C0C4B">
        <w:rPr>
          <w:rFonts w:ascii="Calibri" w:hAnsi="Calibri" w:cs="Calibri"/>
        </w:rPr>
        <w:t xml:space="preserve">rapidly </w:t>
      </w:r>
      <w:r w:rsidR="3EB29E11" w:rsidRPr="001C0C4B">
        <w:rPr>
          <w:rFonts w:ascii="Calibri" w:hAnsi="Calibri" w:cs="Calibri"/>
        </w:rPr>
        <w:t>in the setting of a platform trial</w:t>
      </w:r>
      <w:r w:rsidR="5F29B2FB" w:rsidRPr="001C0C4B">
        <w:rPr>
          <w:rFonts w:ascii="Calibri" w:hAnsi="Calibri" w:cs="Calibri"/>
        </w:rPr>
        <w:t xml:space="preserve"> and quickly discard ineffective therapies (both of which are </w:t>
      </w:r>
      <w:r w:rsidR="6464F43F" w:rsidRPr="001C0C4B">
        <w:rPr>
          <w:rFonts w:ascii="Calibri" w:hAnsi="Calibri" w:cs="Calibri"/>
        </w:rPr>
        <w:t xml:space="preserve">the primary </w:t>
      </w:r>
      <w:r w:rsidR="5F29B2FB" w:rsidRPr="001C0C4B">
        <w:rPr>
          <w:rFonts w:ascii="Calibri" w:hAnsi="Calibri" w:cs="Calibri"/>
        </w:rPr>
        <w:t xml:space="preserve">objectives </w:t>
      </w:r>
      <w:r w:rsidR="2AB64887" w:rsidRPr="001C0C4B">
        <w:rPr>
          <w:rFonts w:ascii="Calibri" w:hAnsi="Calibri" w:cs="Calibri"/>
        </w:rPr>
        <w:t>of</w:t>
      </w:r>
      <w:r w:rsidR="5F29B2FB" w:rsidRPr="001C0C4B">
        <w:rPr>
          <w:rFonts w:ascii="Calibri" w:hAnsi="Calibri" w:cs="Calibri"/>
        </w:rPr>
        <w:t xml:space="preserve"> the trial)</w:t>
      </w:r>
      <w:r w:rsidR="3EB29E11" w:rsidRPr="001C0C4B">
        <w:rPr>
          <w:rFonts w:ascii="Calibri" w:hAnsi="Calibri" w:cs="Calibri"/>
        </w:rPr>
        <w:t xml:space="preserve">. </w:t>
      </w:r>
    </w:p>
    <w:p w14:paraId="4BB6E2B9" w14:textId="77777777" w:rsidR="00D06502" w:rsidRPr="001C0C4B" w:rsidRDefault="00D06502" w:rsidP="00A553E4">
      <w:pPr>
        <w:pStyle w:val="Caption"/>
        <w:jc w:val="both"/>
        <w:rPr>
          <w:rFonts w:ascii="Calibri" w:hAnsi="Calibri" w:cs="Calibri"/>
          <w:color w:val="auto"/>
        </w:rPr>
      </w:pPr>
    </w:p>
    <w:p w14:paraId="15335431" w14:textId="3A40317A" w:rsidR="00A553E4" w:rsidRPr="001C0C4B" w:rsidRDefault="00A553E4" w:rsidP="00A553E4">
      <w:pPr>
        <w:pStyle w:val="Caption"/>
        <w:jc w:val="both"/>
        <w:rPr>
          <w:rFonts w:ascii="Calibri" w:hAnsi="Calibri" w:cs="Calibri"/>
          <w:color w:val="auto"/>
        </w:rPr>
      </w:pPr>
      <w:r w:rsidRPr="001C0C4B">
        <w:rPr>
          <w:rFonts w:ascii="Calibri" w:hAnsi="Calibri" w:cs="Calibri"/>
          <w:color w:val="auto"/>
        </w:rPr>
        <w:t xml:space="preserve">Figure </w:t>
      </w:r>
      <w:r w:rsidR="00953ACF" w:rsidRPr="001C0C4B">
        <w:rPr>
          <w:rFonts w:ascii="Calibri" w:hAnsi="Calibri" w:cs="Calibri"/>
          <w:color w:val="auto"/>
        </w:rPr>
        <w:t>3.</w:t>
      </w:r>
      <w:r w:rsidRPr="001C0C4B">
        <w:rPr>
          <w:rFonts w:ascii="Calibri" w:hAnsi="Calibri" w:cs="Calibri"/>
          <w:color w:val="auto"/>
        </w:rPr>
        <w:t xml:space="preserve"> The relationship between the number of qPCR viral load measurements taken over 10 days and the power (1-type 2 error) to detect an effect size of 10% increase in viral clearance rate relative to control. This assumes that patients are recruited at peak viral load (4).</w:t>
      </w:r>
    </w:p>
    <w:p w14:paraId="0567CE57" w14:textId="56CF4F90" w:rsidR="006D5FC9" w:rsidRPr="001C0C4B" w:rsidRDefault="006D5FC9" w:rsidP="00E142CD">
      <w:pPr>
        <w:pStyle w:val="Heading1"/>
        <w:numPr>
          <w:ilvl w:val="0"/>
          <w:numId w:val="23"/>
        </w:numPr>
        <w:rPr>
          <w:rFonts w:ascii="Calibri" w:hAnsi="Calibri" w:cs="Calibri"/>
          <w:color w:val="auto"/>
          <w:sz w:val="22"/>
          <w:szCs w:val="22"/>
          <w:lang w:val="en-GB"/>
        </w:rPr>
      </w:pPr>
      <w:bookmarkStart w:id="74" w:name="_Toc96007276"/>
      <w:bookmarkStart w:id="75" w:name="_Toc95915229"/>
      <w:bookmarkStart w:id="76" w:name="_Toc74661274"/>
      <w:bookmarkStart w:id="77" w:name="_Toc110523968"/>
      <w:bookmarkStart w:id="78" w:name="_Toc96005579"/>
      <w:bookmarkStart w:id="79" w:name="_Toc112917617"/>
      <w:r w:rsidRPr="001C0C4B">
        <w:rPr>
          <w:rFonts w:ascii="Calibri" w:hAnsi="Calibri" w:cs="Calibri"/>
          <w:color w:val="auto"/>
          <w:sz w:val="22"/>
          <w:szCs w:val="22"/>
          <w:lang w:val="en-GB"/>
        </w:rPr>
        <w:t xml:space="preserve">OBJECTIVES AND </w:t>
      </w:r>
      <w:r w:rsidR="00DB70EB" w:rsidRPr="001C0C4B">
        <w:rPr>
          <w:rFonts w:ascii="Calibri" w:hAnsi="Calibri" w:cs="Calibri"/>
          <w:color w:val="auto"/>
          <w:sz w:val="22"/>
          <w:szCs w:val="22"/>
          <w:lang w:val="en-GB"/>
        </w:rPr>
        <w:t>ENDPOINTS</w:t>
      </w:r>
      <w:bookmarkEnd w:id="74"/>
      <w:bookmarkEnd w:id="75"/>
      <w:bookmarkEnd w:id="76"/>
      <w:bookmarkEnd w:id="77"/>
      <w:bookmarkEnd w:id="78"/>
      <w:bookmarkEnd w:id="79"/>
    </w:p>
    <w:tbl>
      <w:tblPr>
        <w:tblW w:w="973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126"/>
        <w:gridCol w:w="3982"/>
        <w:gridCol w:w="2568"/>
        <w:gridCol w:w="2054"/>
      </w:tblGrid>
      <w:tr w:rsidR="00D23D22" w:rsidRPr="001C0C4B" w14:paraId="6D4361FB" w14:textId="2567452E" w:rsidTr="5874530E">
        <w:trPr>
          <w:trHeight w:val="300"/>
        </w:trPr>
        <w:tc>
          <w:tcPr>
            <w:tcW w:w="1126" w:type="dxa"/>
            <w:tcBorders>
              <w:top w:val="outset" w:sz="6" w:space="0" w:color="auto"/>
              <w:left w:val="single" w:sz="6" w:space="0" w:color="auto"/>
              <w:bottom w:val="single" w:sz="6" w:space="0" w:color="auto"/>
              <w:right w:val="single" w:sz="6" w:space="0" w:color="auto"/>
            </w:tcBorders>
            <w:shd w:val="clear" w:color="auto" w:fill="auto"/>
          </w:tcPr>
          <w:p w14:paraId="70395D5C" w14:textId="77777777" w:rsidR="006D5FC9" w:rsidRPr="001C0C4B" w:rsidRDefault="006D5FC9" w:rsidP="0021624D">
            <w:pPr>
              <w:spacing w:after="0" w:line="240" w:lineRule="auto"/>
              <w:textAlignment w:val="baseline"/>
              <w:rPr>
                <w:rFonts w:ascii="Calibri" w:eastAsia="Times New Roman" w:hAnsi="Calibri" w:cs="Calibri"/>
                <w:b/>
                <w:lang w:val="en-GB" w:eastAsia="en-GB"/>
              </w:rPr>
            </w:pPr>
          </w:p>
        </w:tc>
        <w:tc>
          <w:tcPr>
            <w:tcW w:w="3982" w:type="dxa"/>
            <w:tcBorders>
              <w:top w:val="outset" w:sz="6" w:space="0" w:color="auto"/>
              <w:left w:val="outset" w:sz="6" w:space="0" w:color="auto"/>
              <w:bottom w:val="single" w:sz="6" w:space="0" w:color="auto"/>
              <w:right w:val="single" w:sz="6" w:space="0" w:color="auto"/>
            </w:tcBorders>
            <w:shd w:val="clear" w:color="auto" w:fill="auto"/>
          </w:tcPr>
          <w:p w14:paraId="63BF78D9" w14:textId="77777777" w:rsidR="006D5FC9" w:rsidRPr="001C0C4B" w:rsidRDefault="006D5FC9" w:rsidP="0021624D">
            <w:pPr>
              <w:spacing w:after="0" w:line="240" w:lineRule="auto"/>
              <w:textAlignment w:val="baseline"/>
              <w:rPr>
                <w:rFonts w:ascii="Calibri" w:eastAsia="Times New Roman" w:hAnsi="Calibri" w:cs="Calibri"/>
                <w:b/>
                <w:bCs/>
                <w:lang w:val="en-GB" w:eastAsia="en-GB"/>
              </w:rPr>
            </w:pPr>
            <w:r w:rsidRPr="001C0C4B">
              <w:rPr>
                <w:rFonts w:ascii="Calibri" w:eastAsia="Times New Roman" w:hAnsi="Calibri" w:cs="Calibri"/>
                <w:b/>
                <w:bCs/>
                <w:lang w:val="en-GB" w:eastAsia="en-GB"/>
              </w:rPr>
              <w:t xml:space="preserve"> Objectives</w:t>
            </w:r>
          </w:p>
        </w:tc>
        <w:tc>
          <w:tcPr>
            <w:tcW w:w="2568" w:type="dxa"/>
            <w:tcBorders>
              <w:top w:val="outset" w:sz="6" w:space="0" w:color="auto"/>
              <w:left w:val="outset" w:sz="6" w:space="0" w:color="auto"/>
              <w:bottom w:val="single" w:sz="6" w:space="0" w:color="auto"/>
              <w:right w:val="single" w:sz="6" w:space="0" w:color="auto"/>
            </w:tcBorders>
            <w:shd w:val="clear" w:color="auto" w:fill="auto"/>
          </w:tcPr>
          <w:p w14:paraId="438C025C" w14:textId="77777777" w:rsidR="006D5FC9" w:rsidRPr="001C0C4B" w:rsidRDefault="006D5FC9" w:rsidP="0021624D">
            <w:pPr>
              <w:spacing w:after="0" w:line="240" w:lineRule="auto"/>
              <w:textAlignment w:val="baseline"/>
              <w:rPr>
                <w:rFonts w:ascii="Calibri" w:eastAsia="Times New Roman" w:hAnsi="Calibri" w:cs="Calibri"/>
                <w:b/>
                <w:bCs/>
                <w:lang w:val="en-GB" w:eastAsia="en-GB"/>
              </w:rPr>
            </w:pPr>
            <w:r w:rsidRPr="001C0C4B">
              <w:rPr>
                <w:rFonts w:ascii="Calibri" w:eastAsia="Times New Roman" w:hAnsi="Calibri" w:cs="Calibri"/>
                <w:b/>
                <w:bCs/>
                <w:lang w:val="en-GB" w:eastAsia="en-GB"/>
              </w:rPr>
              <w:t>Endpoint</w:t>
            </w:r>
          </w:p>
        </w:tc>
        <w:tc>
          <w:tcPr>
            <w:tcW w:w="2054" w:type="dxa"/>
            <w:tcBorders>
              <w:top w:val="outset" w:sz="6" w:space="0" w:color="auto"/>
              <w:left w:val="outset" w:sz="6" w:space="0" w:color="auto"/>
              <w:bottom w:val="single" w:sz="6" w:space="0" w:color="auto"/>
              <w:right w:val="single" w:sz="6" w:space="0" w:color="auto"/>
            </w:tcBorders>
          </w:tcPr>
          <w:p w14:paraId="05D5C5E3" w14:textId="23A6EDC2" w:rsidR="006D5FC9" w:rsidRPr="001C0C4B" w:rsidRDefault="00DB70EB" w:rsidP="0021624D">
            <w:pPr>
              <w:spacing w:after="0" w:line="240" w:lineRule="auto"/>
              <w:textAlignment w:val="baseline"/>
              <w:rPr>
                <w:rFonts w:ascii="Calibri" w:eastAsia="Times New Roman" w:hAnsi="Calibri" w:cs="Calibri"/>
                <w:b/>
                <w:bCs/>
                <w:lang w:val="en-GB" w:eastAsia="en-GB"/>
              </w:rPr>
            </w:pPr>
            <w:r w:rsidRPr="001C0C4B">
              <w:rPr>
                <w:rFonts w:ascii="Calibri" w:eastAsia="Times New Roman" w:hAnsi="Calibri" w:cs="Calibri"/>
                <w:b/>
                <w:bCs/>
                <w:lang w:val="en-GB" w:eastAsia="en-GB"/>
              </w:rPr>
              <w:t>Time</w:t>
            </w:r>
            <w:r w:rsidR="00827A23" w:rsidRPr="001C0C4B">
              <w:rPr>
                <w:rFonts w:ascii="Calibri" w:eastAsia="Times New Roman" w:hAnsi="Calibri" w:cs="Calibri"/>
                <w:b/>
                <w:bCs/>
                <w:lang w:val="en-GB" w:eastAsia="en-GB"/>
              </w:rPr>
              <w:t>point(s)</w:t>
            </w:r>
            <w:r w:rsidR="000924F8" w:rsidRPr="001C0C4B">
              <w:rPr>
                <w:rFonts w:ascii="Calibri" w:eastAsia="Times New Roman" w:hAnsi="Calibri" w:cs="Calibri"/>
                <w:b/>
                <w:bCs/>
                <w:lang w:val="en-GB" w:eastAsia="en-GB"/>
              </w:rPr>
              <w:t xml:space="preserve"> of evaluation of this endpoint</w:t>
            </w:r>
            <w:r w:rsidR="00834EA5" w:rsidRPr="001C0C4B">
              <w:rPr>
                <w:rFonts w:ascii="Calibri" w:eastAsia="Times New Roman" w:hAnsi="Calibri" w:cs="Calibri"/>
                <w:b/>
                <w:bCs/>
                <w:lang w:val="en-GB" w:eastAsia="en-GB"/>
              </w:rPr>
              <w:t xml:space="preserve"> (if applicable)</w:t>
            </w:r>
          </w:p>
        </w:tc>
      </w:tr>
      <w:tr w:rsidR="00D23D22" w:rsidRPr="001C0C4B" w14:paraId="2646BBDB" w14:textId="01430734" w:rsidTr="5874530E">
        <w:trPr>
          <w:trHeight w:val="300"/>
        </w:trPr>
        <w:tc>
          <w:tcPr>
            <w:tcW w:w="1126" w:type="dxa"/>
            <w:tcBorders>
              <w:top w:val="outset" w:sz="6" w:space="0" w:color="auto"/>
              <w:left w:val="single" w:sz="6" w:space="0" w:color="auto"/>
              <w:bottom w:val="single" w:sz="6" w:space="0" w:color="auto"/>
              <w:right w:val="single" w:sz="6" w:space="0" w:color="auto"/>
            </w:tcBorders>
            <w:shd w:val="clear" w:color="auto" w:fill="auto"/>
            <w:hideMark/>
          </w:tcPr>
          <w:p w14:paraId="4D12BCDD" w14:textId="77777777" w:rsidR="006D5FC9" w:rsidRPr="001C0C4B" w:rsidRDefault="006D5FC9" w:rsidP="0021624D">
            <w:pPr>
              <w:spacing w:after="0" w:line="240" w:lineRule="auto"/>
              <w:textAlignment w:val="baseline"/>
              <w:rPr>
                <w:rFonts w:ascii="Calibri" w:eastAsia="Times New Roman" w:hAnsi="Calibri" w:cs="Calibri"/>
                <w:sz w:val="24"/>
                <w:szCs w:val="24"/>
                <w:lang w:val="en-GB" w:eastAsia="en-GB"/>
              </w:rPr>
            </w:pPr>
            <w:r w:rsidRPr="001C0C4B">
              <w:rPr>
                <w:rFonts w:ascii="Calibri" w:eastAsia="Times New Roman" w:hAnsi="Calibri" w:cs="Calibri"/>
                <w:b/>
                <w:bCs/>
                <w:lang w:val="en-GB" w:eastAsia="en-GB"/>
              </w:rPr>
              <w:t>Primary</w:t>
            </w:r>
            <w:r w:rsidRPr="001C0C4B">
              <w:rPr>
                <w:rFonts w:ascii="Calibri" w:eastAsia="Times New Roman" w:hAnsi="Calibri" w:cs="Calibri"/>
                <w:lang w:val="en-GB" w:eastAsia="en-GB"/>
              </w:rPr>
              <w:t> </w:t>
            </w:r>
          </w:p>
          <w:p w14:paraId="62E44CAA" w14:textId="77777777" w:rsidR="006D5FC9" w:rsidRPr="001C0C4B" w:rsidRDefault="006D5FC9" w:rsidP="0021624D">
            <w:pPr>
              <w:spacing w:after="0" w:line="240" w:lineRule="auto"/>
              <w:textAlignment w:val="baseline"/>
              <w:rPr>
                <w:rFonts w:ascii="Calibri" w:eastAsia="Times New Roman" w:hAnsi="Calibri" w:cs="Calibri"/>
                <w:sz w:val="24"/>
                <w:szCs w:val="24"/>
                <w:lang w:val="en-GB" w:eastAsia="en-GB"/>
              </w:rPr>
            </w:pPr>
            <w:r w:rsidRPr="001C0C4B">
              <w:rPr>
                <w:rFonts w:ascii="Calibri" w:eastAsia="Times New Roman" w:hAnsi="Calibri" w:cs="Calibri"/>
                <w:lang w:val="en-GB" w:eastAsia="en-GB"/>
              </w:rPr>
              <w:t> </w:t>
            </w:r>
          </w:p>
        </w:tc>
        <w:tc>
          <w:tcPr>
            <w:tcW w:w="3982" w:type="dxa"/>
            <w:tcBorders>
              <w:top w:val="outset" w:sz="6" w:space="0" w:color="auto"/>
              <w:left w:val="outset" w:sz="6" w:space="0" w:color="auto"/>
              <w:bottom w:val="single" w:sz="6" w:space="0" w:color="auto"/>
              <w:right w:val="single" w:sz="6" w:space="0" w:color="auto"/>
            </w:tcBorders>
            <w:shd w:val="clear" w:color="auto" w:fill="auto"/>
            <w:hideMark/>
          </w:tcPr>
          <w:p w14:paraId="1DBEF408" w14:textId="5DBB96E2" w:rsidR="00BC380A" w:rsidRPr="001C0C4B" w:rsidRDefault="00BC380A" w:rsidP="00E142CD">
            <w:pPr>
              <w:pStyle w:val="ListParagraph"/>
              <w:numPr>
                <w:ilvl w:val="0"/>
                <w:numId w:val="18"/>
              </w:numPr>
              <w:spacing w:after="0" w:line="240" w:lineRule="auto"/>
              <w:textAlignment w:val="baseline"/>
              <w:rPr>
                <w:rFonts w:ascii="Calibri" w:hAnsi="Calibri" w:cs="Calibri"/>
                <w:b/>
                <w:bCs/>
                <w:u w:val="single"/>
                <w:lang w:val="en-GB" w:eastAsia="en-GB"/>
              </w:rPr>
            </w:pPr>
            <w:r w:rsidRPr="001C0C4B">
              <w:rPr>
                <w:rFonts w:ascii="Calibri" w:eastAsia="Times New Roman" w:hAnsi="Calibri" w:cs="Calibri"/>
                <w:b/>
                <w:bCs/>
                <w:u w:val="single"/>
                <w:lang w:val="en-GB" w:eastAsia="en-GB"/>
              </w:rPr>
              <w:t xml:space="preserve">For </w:t>
            </w:r>
            <w:r w:rsidR="00424FDD" w:rsidRPr="001C0C4B">
              <w:rPr>
                <w:rFonts w:ascii="Calibri" w:hAnsi="Calibri"/>
                <w:b/>
                <w:u w:val="single"/>
                <w:lang w:val="en-GB"/>
              </w:rPr>
              <w:t>newly available and</w:t>
            </w:r>
            <w:r w:rsidR="00424FDD" w:rsidRPr="001C0C4B">
              <w:rPr>
                <w:rFonts w:ascii="Calibri" w:eastAsia="Times New Roman" w:hAnsi="Calibri" w:cs="Calibri"/>
                <w:b/>
                <w:bCs/>
                <w:u w:val="single"/>
                <w:lang w:val="en-GB" w:eastAsia="en-GB"/>
              </w:rPr>
              <w:t xml:space="preserve"> </w:t>
            </w:r>
            <w:r w:rsidRPr="001C0C4B">
              <w:rPr>
                <w:rFonts w:ascii="Calibri" w:eastAsia="Times New Roman" w:hAnsi="Calibri" w:cs="Calibri"/>
                <w:b/>
                <w:bCs/>
                <w:u w:val="single"/>
                <w:lang w:val="en-GB" w:eastAsia="en-GB"/>
              </w:rPr>
              <w:t>repurposed drugs</w:t>
            </w:r>
          </w:p>
          <w:p w14:paraId="41A4A3DC" w14:textId="3D9D36D0" w:rsidR="00BC380A" w:rsidRPr="001C0C4B" w:rsidRDefault="00BC380A" w:rsidP="00BC380A">
            <w:pPr>
              <w:pStyle w:val="ListParagraph"/>
              <w:spacing w:after="0" w:line="240" w:lineRule="auto"/>
              <w:textAlignment w:val="baseline"/>
              <w:rPr>
                <w:rFonts w:ascii="Calibri" w:hAnsi="Calibri" w:cs="Calibri"/>
                <w:b/>
                <w:bCs/>
                <w:lang w:val="en-GB" w:eastAsia="en-GB"/>
              </w:rPr>
            </w:pPr>
            <w:r w:rsidRPr="001C0C4B">
              <w:rPr>
                <w:rFonts w:ascii="Calibri" w:eastAsia="Times New Roman" w:hAnsi="Calibri" w:cs="Calibri"/>
                <w:b/>
                <w:bCs/>
                <w:lang w:val="en-GB" w:eastAsia="en-GB"/>
              </w:rPr>
              <w:t xml:space="preserve">To evaluate COVID-19 antiviral efficacy </w:t>
            </w:r>
            <w:r w:rsidR="004E4040" w:rsidRPr="001C0C4B">
              <w:rPr>
                <w:rFonts w:ascii="Calibri" w:hAnsi="Calibri"/>
                <w:b/>
                <w:lang w:val="en-GB"/>
              </w:rPr>
              <w:t>in-vivo</w:t>
            </w:r>
          </w:p>
          <w:p w14:paraId="642EF74D" w14:textId="332A9B31" w:rsidR="00BC380A" w:rsidRPr="001C0C4B" w:rsidRDefault="00BC380A" w:rsidP="00E142CD">
            <w:pPr>
              <w:pStyle w:val="ListParagraph"/>
              <w:numPr>
                <w:ilvl w:val="0"/>
                <w:numId w:val="18"/>
              </w:numPr>
              <w:spacing w:after="0" w:line="240" w:lineRule="auto"/>
              <w:textAlignment w:val="baseline"/>
              <w:rPr>
                <w:rFonts w:ascii="Calibri" w:hAnsi="Calibri" w:cs="Calibri"/>
                <w:u w:val="single"/>
                <w:lang w:val="en-GB" w:eastAsia="en-GB"/>
              </w:rPr>
            </w:pPr>
            <w:r w:rsidRPr="001C0C4B">
              <w:rPr>
                <w:rFonts w:ascii="Calibri" w:hAnsi="Calibri" w:cs="Calibri"/>
                <w:u w:val="single"/>
                <w:lang w:val="en-GB" w:eastAsia="en-GB"/>
              </w:rPr>
              <w:t>For positive controls (</w:t>
            </w:r>
            <w:r w:rsidR="00DD078D" w:rsidRPr="001C0C4B">
              <w:rPr>
                <w:rFonts w:ascii="Calibri" w:hAnsi="Calibri"/>
                <w:u w:val="single"/>
                <w:lang w:val="en-GB"/>
              </w:rPr>
              <w:t>e.g.</w:t>
            </w:r>
            <w:r w:rsidR="00DD078D" w:rsidRPr="001C0C4B">
              <w:rPr>
                <w:rFonts w:ascii="Calibri" w:hAnsi="Calibri" w:cs="Calibri"/>
                <w:u w:val="single"/>
                <w:lang w:val="en-GB" w:eastAsia="en-GB"/>
              </w:rPr>
              <w:t xml:space="preserve"> </w:t>
            </w:r>
            <w:r w:rsidRPr="001C0C4B">
              <w:rPr>
                <w:rFonts w:ascii="Calibri" w:hAnsi="Calibri" w:cs="Calibri"/>
                <w:u w:val="single"/>
                <w:lang w:val="en-GB" w:eastAsia="en-GB"/>
              </w:rPr>
              <w:t>monoclonal antibodies)</w:t>
            </w:r>
          </w:p>
          <w:p w14:paraId="78D230A4" w14:textId="45EE2ABA" w:rsidR="00BC380A" w:rsidRPr="001C0C4B" w:rsidRDefault="00BC380A" w:rsidP="00BC380A">
            <w:pPr>
              <w:pStyle w:val="ListParagraph"/>
              <w:spacing w:after="0" w:line="240" w:lineRule="auto"/>
              <w:textAlignment w:val="baseline"/>
              <w:rPr>
                <w:rFonts w:ascii="Calibri" w:hAnsi="Calibri" w:cs="Calibri"/>
                <w:lang w:val="en-GB" w:eastAsia="en-GB"/>
              </w:rPr>
            </w:pPr>
            <w:r w:rsidRPr="001C0C4B">
              <w:rPr>
                <w:rFonts w:ascii="Calibri" w:hAnsi="Calibri" w:cs="Calibri"/>
                <w:lang w:val="en-GB" w:eastAsia="en-GB"/>
              </w:rPr>
              <w:t xml:space="preserve">To characterise </w:t>
            </w:r>
            <w:r w:rsidR="001B6AE8" w:rsidRPr="001C0C4B">
              <w:rPr>
                <w:rFonts w:ascii="Calibri" w:hAnsi="Calibri" w:cs="Calibri"/>
                <w:lang w:val="en-GB" w:eastAsia="en-GB"/>
              </w:rPr>
              <w:t xml:space="preserve">in-vivo </w:t>
            </w:r>
            <w:r w:rsidRPr="001C0C4B">
              <w:rPr>
                <w:rFonts w:ascii="Calibri" w:hAnsi="Calibri" w:cs="Calibri"/>
                <w:lang w:val="en-GB" w:eastAsia="en-GB"/>
              </w:rPr>
              <w:t xml:space="preserve">performance </w:t>
            </w:r>
            <w:r w:rsidR="00233374" w:rsidRPr="001C0C4B">
              <w:rPr>
                <w:rFonts w:ascii="Calibri" w:hAnsi="Calibri" w:cs="Calibri"/>
                <w:lang w:val="en-GB" w:eastAsia="en-GB"/>
              </w:rPr>
              <w:t>(</w:t>
            </w:r>
            <w:r w:rsidRPr="001C0C4B">
              <w:rPr>
                <w:rFonts w:ascii="Calibri" w:hAnsi="Calibri" w:cs="Calibri"/>
                <w:lang w:val="en-GB" w:eastAsia="en-GB"/>
              </w:rPr>
              <w:t>over time</w:t>
            </w:r>
            <w:r w:rsidR="00233374" w:rsidRPr="001C0C4B">
              <w:rPr>
                <w:rFonts w:ascii="Calibri" w:hAnsi="Calibri" w:cs="Calibri"/>
                <w:lang w:val="en-GB" w:eastAsia="en-GB"/>
              </w:rPr>
              <w:t>)</w:t>
            </w:r>
            <w:r w:rsidRPr="001C0C4B">
              <w:rPr>
                <w:rFonts w:ascii="Calibri" w:hAnsi="Calibri" w:cs="Calibri"/>
                <w:lang w:val="en-GB" w:eastAsia="en-GB"/>
              </w:rPr>
              <w:t xml:space="preserve"> relative to the </w:t>
            </w:r>
            <w:r w:rsidR="00A75112" w:rsidRPr="001C0C4B">
              <w:rPr>
                <w:rFonts w:ascii="Calibri" w:hAnsi="Calibri" w:cs="Calibri"/>
                <w:lang w:val="en-GB" w:eastAsia="en-GB"/>
              </w:rPr>
              <w:t>no antiviral treatment</w:t>
            </w:r>
            <w:r w:rsidRPr="001C0C4B">
              <w:rPr>
                <w:rFonts w:ascii="Calibri" w:hAnsi="Calibri" w:cs="Calibri"/>
                <w:lang w:val="en-GB" w:eastAsia="en-GB"/>
              </w:rPr>
              <w:t xml:space="preserve"> control</w:t>
            </w:r>
          </w:p>
          <w:p w14:paraId="32A10475" w14:textId="77777777" w:rsidR="00BC380A" w:rsidRPr="001C0C4B" w:rsidRDefault="006D5FC9" w:rsidP="00E142CD">
            <w:pPr>
              <w:pStyle w:val="ListParagraph"/>
              <w:numPr>
                <w:ilvl w:val="0"/>
                <w:numId w:val="18"/>
              </w:numPr>
              <w:spacing w:after="0" w:line="240" w:lineRule="auto"/>
              <w:textAlignment w:val="baseline"/>
              <w:rPr>
                <w:rFonts w:ascii="Calibri" w:hAnsi="Calibri" w:cs="Calibri"/>
                <w:u w:val="single"/>
                <w:lang w:val="en-GB" w:eastAsia="en-GB"/>
              </w:rPr>
            </w:pPr>
            <w:r w:rsidRPr="001C0C4B">
              <w:rPr>
                <w:rFonts w:ascii="Calibri" w:hAnsi="Calibri" w:cs="Calibri"/>
                <w:u w:val="single"/>
                <w:lang w:val="en-GB" w:eastAsia="en-GB"/>
              </w:rPr>
              <w:t>For novel small molecule drugs</w:t>
            </w:r>
          </w:p>
          <w:p w14:paraId="3837476B" w14:textId="72E0F8CA" w:rsidR="006D5FC9" w:rsidRPr="001C0C4B" w:rsidRDefault="00BC380A" w:rsidP="00745257">
            <w:pPr>
              <w:pStyle w:val="ListParagraph"/>
              <w:spacing w:after="0" w:line="240" w:lineRule="auto"/>
              <w:textAlignment w:val="baseline"/>
              <w:rPr>
                <w:rFonts w:ascii="Calibri" w:hAnsi="Calibri" w:cs="Calibri"/>
                <w:lang w:val="en-GB" w:eastAsia="en-GB"/>
              </w:rPr>
            </w:pPr>
            <w:r w:rsidRPr="001C0C4B">
              <w:rPr>
                <w:rFonts w:ascii="Calibri" w:hAnsi="Calibri" w:cs="Calibri"/>
                <w:lang w:val="en-GB" w:eastAsia="en-GB"/>
              </w:rPr>
              <w:t>To evaluate COVID-19 antiviral</w:t>
            </w:r>
            <w:r w:rsidR="006D5FC9" w:rsidRPr="001C0C4B">
              <w:rPr>
                <w:rFonts w:ascii="Calibri" w:hAnsi="Calibri" w:cs="Calibri"/>
                <w:lang w:val="en-GB" w:eastAsia="en-GB"/>
              </w:rPr>
              <w:t xml:space="preserve"> efficacy </w:t>
            </w:r>
            <w:r w:rsidR="004E4040" w:rsidRPr="001C0C4B">
              <w:rPr>
                <w:rFonts w:ascii="Calibri" w:hAnsi="Calibri"/>
                <w:lang w:val="en-GB"/>
              </w:rPr>
              <w:t>in-vivo</w:t>
            </w:r>
            <w:r w:rsidR="004E4040" w:rsidRPr="001C0C4B">
              <w:rPr>
                <w:rFonts w:ascii="Calibri" w:hAnsi="Calibri" w:cs="Calibri"/>
                <w:lang w:val="en-GB" w:eastAsia="en-GB"/>
              </w:rPr>
              <w:t xml:space="preserve"> </w:t>
            </w:r>
            <w:r w:rsidR="006D5FC9" w:rsidRPr="001C0C4B">
              <w:rPr>
                <w:rFonts w:ascii="Calibri" w:hAnsi="Calibri" w:cs="Calibri"/>
                <w:lang w:val="en-GB" w:eastAsia="en-GB"/>
              </w:rPr>
              <w:t>(accelerated viral clearance)</w:t>
            </w:r>
          </w:p>
        </w:tc>
        <w:tc>
          <w:tcPr>
            <w:tcW w:w="2568" w:type="dxa"/>
            <w:tcBorders>
              <w:top w:val="outset" w:sz="6" w:space="0" w:color="auto"/>
              <w:left w:val="outset" w:sz="6" w:space="0" w:color="auto"/>
              <w:bottom w:val="single" w:sz="6" w:space="0" w:color="auto"/>
              <w:right w:val="single" w:sz="6" w:space="0" w:color="auto"/>
            </w:tcBorders>
            <w:shd w:val="clear" w:color="auto" w:fill="auto"/>
            <w:hideMark/>
          </w:tcPr>
          <w:p w14:paraId="3BBB94C2" w14:textId="4E9D9145" w:rsidR="006D5FC9" w:rsidRPr="001C0C4B" w:rsidRDefault="006D5FC9" w:rsidP="0021624D">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lang w:val="en-GB" w:eastAsia="en-GB"/>
              </w:rPr>
              <w:t xml:space="preserve">Rate of viral clearance </w:t>
            </w:r>
            <w:r w:rsidR="00A829BB" w:rsidRPr="001C0C4B">
              <w:rPr>
                <w:rFonts w:ascii="Calibri" w:eastAsia="Times New Roman" w:hAnsi="Calibri" w:cs="Calibri"/>
                <w:lang w:val="en-GB" w:eastAsia="en-GB"/>
              </w:rPr>
              <w:t>(</w:t>
            </w:r>
            <w:r w:rsidRPr="001C0C4B">
              <w:rPr>
                <w:rFonts w:ascii="Calibri" w:eastAsia="Times New Roman" w:hAnsi="Calibri" w:cs="Calibri"/>
                <w:lang w:val="en-GB" w:eastAsia="en-GB"/>
              </w:rPr>
              <w:t xml:space="preserve">estimated from </w:t>
            </w:r>
            <w:r w:rsidR="00311604" w:rsidRPr="001C0C4B">
              <w:rPr>
                <w:rFonts w:eastAsia="Times New Roman" w:cstheme="minorHAnsi"/>
                <w:lang w:val="en-GB" w:eastAsia="en-GB"/>
              </w:rPr>
              <w:t>the log</w:t>
            </w:r>
            <w:r w:rsidR="00311604" w:rsidRPr="001C0C4B">
              <w:rPr>
                <w:rFonts w:eastAsia="Times New Roman" w:cstheme="minorHAnsi"/>
                <w:vertAlign w:val="subscript"/>
                <w:lang w:val="en-GB" w:eastAsia="en-GB"/>
              </w:rPr>
              <w:t xml:space="preserve">10 </w:t>
            </w:r>
            <w:r w:rsidR="00311604" w:rsidRPr="001C0C4B">
              <w:rPr>
                <w:rFonts w:eastAsia="Times New Roman" w:cstheme="minorHAnsi"/>
                <w:lang w:val="en-GB" w:eastAsia="en-GB"/>
              </w:rPr>
              <w:t>viral density</w:t>
            </w:r>
            <w:r w:rsidRPr="001C0C4B">
              <w:rPr>
                <w:lang w:val="en-GB"/>
              </w:rPr>
              <w:t xml:space="preserve"> </w:t>
            </w:r>
            <w:r w:rsidRPr="001C0C4B">
              <w:rPr>
                <w:rFonts w:ascii="Calibri" w:eastAsia="Times New Roman" w:hAnsi="Calibri" w:cs="Calibri"/>
                <w:lang w:val="en-GB" w:eastAsia="en-GB"/>
              </w:rPr>
              <w:t xml:space="preserve">derived from qPCR of </w:t>
            </w:r>
            <w:r w:rsidR="00D06502" w:rsidRPr="001C0C4B">
              <w:rPr>
                <w:rFonts w:ascii="Calibri" w:eastAsia="Times New Roman" w:hAnsi="Calibri" w:cs="Calibri"/>
                <w:lang w:val="en-GB" w:eastAsia="en-GB"/>
              </w:rPr>
              <w:t xml:space="preserve">standardised </w:t>
            </w:r>
            <w:r w:rsidR="004E4040" w:rsidRPr="001C0C4B">
              <w:rPr>
                <w:rFonts w:ascii="Calibri" w:hAnsi="Calibri"/>
                <w:lang w:val="en-GB"/>
              </w:rPr>
              <w:t>duplicate</w:t>
            </w:r>
            <w:r w:rsidR="004E4040" w:rsidRPr="001C0C4B">
              <w:rPr>
                <w:rFonts w:ascii="Calibri" w:eastAsia="Times New Roman" w:hAnsi="Calibri" w:cs="Calibri"/>
                <w:lang w:val="en-GB" w:eastAsia="en-GB"/>
              </w:rPr>
              <w:t xml:space="preserve"> </w:t>
            </w:r>
            <w:r w:rsidRPr="001C0C4B">
              <w:rPr>
                <w:rFonts w:ascii="Calibri" w:eastAsia="Times New Roman" w:hAnsi="Calibri" w:cs="Calibri"/>
                <w:lang w:val="en-GB" w:eastAsia="en-GB"/>
              </w:rPr>
              <w:t>oropharyngeal swabs</w:t>
            </w:r>
            <w:r w:rsidR="00312188" w:rsidRPr="001C0C4B">
              <w:rPr>
                <w:rFonts w:ascii="Calibri" w:eastAsia="Times New Roman" w:hAnsi="Calibri" w:cs="Calibri"/>
                <w:lang w:val="en-GB" w:eastAsia="en-GB"/>
              </w:rPr>
              <w:t>/ saliva</w:t>
            </w:r>
            <w:r w:rsidRPr="001C0C4B">
              <w:rPr>
                <w:rFonts w:ascii="Calibri" w:eastAsia="Times New Roman" w:hAnsi="Calibri" w:cs="Calibri"/>
                <w:lang w:val="en-GB" w:eastAsia="en-GB"/>
              </w:rPr>
              <w:t xml:space="preserve"> taken daily from baseline (day 0) to day 7 for each therapeutic arm compared with the </w:t>
            </w:r>
            <w:r w:rsidR="00A75112" w:rsidRPr="001C0C4B">
              <w:rPr>
                <w:rFonts w:ascii="Calibri" w:eastAsia="Times New Roman" w:hAnsi="Calibri" w:cs="Calibri"/>
                <w:lang w:val="en-GB" w:eastAsia="en-GB"/>
              </w:rPr>
              <w:t>no antiviral treatment</w:t>
            </w:r>
            <w:r w:rsidR="00892F52" w:rsidRPr="001C0C4B">
              <w:rPr>
                <w:rFonts w:ascii="Calibri" w:eastAsia="Times New Roman" w:hAnsi="Calibri" w:cs="Calibri"/>
                <w:lang w:val="en-GB" w:eastAsia="en-GB"/>
              </w:rPr>
              <w:t xml:space="preserve"> </w:t>
            </w:r>
            <w:r w:rsidRPr="001C0C4B">
              <w:rPr>
                <w:rFonts w:ascii="Calibri" w:eastAsia="Times New Roman" w:hAnsi="Calibri" w:cs="Calibri"/>
                <w:lang w:val="en-GB" w:eastAsia="en-GB"/>
              </w:rPr>
              <w:t>control</w:t>
            </w:r>
            <w:r w:rsidR="00892F52" w:rsidRPr="001C0C4B">
              <w:rPr>
                <w:rFonts w:ascii="Calibri" w:eastAsia="Times New Roman" w:hAnsi="Calibri" w:cs="Calibri"/>
                <w:lang w:val="en-GB" w:eastAsia="en-GB"/>
              </w:rPr>
              <w:t xml:space="preserve"> i.e.</w:t>
            </w:r>
            <w:r w:rsidR="005C3458" w:rsidRPr="001C0C4B">
              <w:rPr>
                <w:rFonts w:ascii="Calibri" w:eastAsia="Times New Roman" w:hAnsi="Calibri" w:cs="Calibri"/>
                <w:lang w:val="en-GB" w:eastAsia="en-GB"/>
              </w:rPr>
              <w:t xml:space="preserve"> </w:t>
            </w:r>
            <w:r w:rsidR="00D06502" w:rsidRPr="001C0C4B">
              <w:rPr>
                <w:rFonts w:ascii="Calibri" w:eastAsia="Times New Roman" w:hAnsi="Calibri" w:cs="Calibri"/>
                <w:lang w:val="en-GB" w:eastAsia="en-GB"/>
              </w:rPr>
              <w:t xml:space="preserve">patients </w:t>
            </w:r>
            <w:r w:rsidR="005C3458" w:rsidRPr="001C0C4B">
              <w:rPr>
                <w:rFonts w:ascii="Calibri" w:eastAsia="Times New Roman" w:hAnsi="Calibri" w:cs="Calibri"/>
                <w:lang w:val="en-GB" w:eastAsia="en-GB"/>
              </w:rPr>
              <w:t>not receiving study drug</w:t>
            </w:r>
            <w:r w:rsidR="00A829BB" w:rsidRPr="001C0C4B">
              <w:rPr>
                <w:rFonts w:ascii="Calibri" w:eastAsia="Times New Roman" w:hAnsi="Calibri" w:cs="Calibri"/>
                <w:lang w:val="en-GB" w:eastAsia="en-GB"/>
              </w:rPr>
              <w:t>)</w:t>
            </w:r>
          </w:p>
        </w:tc>
        <w:tc>
          <w:tcPr>
            <w:tcW w:w="2054" w:type="dxa"/>
            <w:tcBorders>
              <w:top w:val="outset" w:sz="6" w:space="0" w:color="auto"/>
              <w:left w:val="outset" w:sz="6" w:space="0" w:color="auto"/>
              <w:bottom w:val="single" w:sz="6" w:space="0" w:color="auto"/>
              <w:right w:val="single" w:sz="6" w:space="0" w:color="auto"/>
            </w:tcBorders>
          </w:tcPr>
          <w:p w14:paraId="0377F537" w14:textId="398C83B3" w:rsidR="006D5FC9" w:rsidRPr="001C0C4B" w:rsidRDefault="00A829BB" w:rsidP="0021624D">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lang w:val="en-GB" w:eastAsia="en-GB"/>
              </w:rPr>
              <w:t xml:space="preserve">Days </w:t>
            </w:r>
            <w:r w:rsidR="002C7AE8" w:rsidRPr="001C0C4B">
              <w:rPr>
                <w:rFonts w:ascii="Calibri" w:eastAsia="Times New Roman" w:hAnsi="Calibri" w:cs="Calibri"/>
                <w:lang w:val="en-GB" w:eastAsia="en-GB"/>
              </w:rPr>
              <w:t>0</w:t>
            </w:r>
            <w:r w:rsidRPr="001C0C4B">
              <w:rPr>
                <w:rFonts w:ascii="Calibri" w:eastAsia="Times New Roman" w:hAnsi="Calibri" w:cs="Calibri"/>
                <w:lang w:val="en-GB" w:eastAsia="en-GB"/>
              </w:rPr>
              <w:t>-7</w:t>
            </w:r>
          </w:p>
        </w:tc>
      </w:tr>
      <w:tr w:rsidR="00F46814" w:rsidRPr="001C0C4B" w14:paraId="3933C330" w14:textId="59D9A208" w:rsidTr="00864486">
        <w:trPr>
          <w:trHeight w:val="420"/>
        </w:trPr>
        <w:tc>
          <w:tcPr>
            <w:tcW w:w="1126" w:type="dxa"/>
            <w:vMerge w:val="restart"/>
            <w:tcBorders>
              <w:top w:val="outset" w:sz="6" w:space="0" w:color="auto"/>
              <w:left w:val="single" w:sz="6" w:space="0" w:color="auto"/>
              <w:right w:val="single" w:sz="6" w:space="0" w:color="auto"/>
            </w:tcBorders>
            <w:shd w:val="clear" w:color="auto" w:fill="auto"/>
            <w:hideMark/>
          </w:tcPr>
          <w:p w14:paraId="02A1912F" w14:textId="77777777" w:rsidR="00F46814" w:rsidRPr="001C0C4B" w:rsidRDefault="00F46814" w:rsidP="0021624D">
            <w:pPr>
              <w:spacing w:after="0" w:line="240" w:lineRule="auto"/>
              <w:textAlignment w:val="baseline"/>
              <w:rPr>
                <w:rFonts w:ascii="Calibri" w:eastAsia="Times New Roman" w:hAnsi="Calibri" w:cs="Calibri"/>
                <w:sz w:val="24"/>
                <w:szCs w:val="24"/>
                <w:lang w:val="en-GB" w:eastAsia="en-GB"/>
              </w:rPr>
            </w:pPr>
            <w:r w:rsidRPr="001C0C4B">
              <w:rPr>
                <w:rFonts w:ascii="Calibri" w:eastAsia="Times New Roman" w:hAnsi="Calibri" w:cs="Calibri"/>
                <w:b/>
                <w:bCs/>
                <w:lang w:val="en-GB" w:eastAsia="en-GB"/>
              </w:rPr>
              <w:lastRenderedPageBreak/>
              <w:t>Secondary</w:t>
            </w:r>
            <w:r w:rsidRPr="001C0C4B">
              <w:rPr>
                <w:rFonts w:ascii="Calibri" w:eastAsia="Times New Roman" w:hAnsi="Calibri" w:cs="Calibri"/>
                <w:lang w:val="en-GB" w:eastAsia="en-GB"/>
              </w:rPr>
              <w:t> </w:t>
            </w:r>
          </w:p>
          <w:p w14:paraId="0B4B7CA3" w14:textId="77777777" w:rsidR="00F46814" w:rsidRPr="001C0C4B" w:rsidRDefault="00F46814" w:rsidP="0021624D">
            <w:pPr>
              <w:spacing w:after="0" w:line="240" w:lineRule="auto"/>
              <w:textAlignment w:val="baseline"/>
              <w:rPr>
                <w:rFonts w:ascii="Calibri" w:eastAsia="Times New Roman" w:hAnsi="Calibri" w:cs="Calibri"/>
                <w:sz w:val="24"/>
                <w:szCs w:val="24"/>
                <w:lang w:val="en-GB" w:eastAsia="en-GB"/>
              </w:rPr>
            </w:pPr>
            <w:r w:rsidRPr="001C0C4B">
              <w:rPr>
                <w:rFonts w:ascii="Calibri" w:eastAsia="Times New Roman" w:hAnsi="Calibri" w:cs="Calibri"/>
                <w:lang w:val="en-GB" w:eastAsia="en-GB"/>
              </w:rPr>
              <w:t> </w:t>
            </w:r>
          </w:p>
        </w:tc>
        <w:tc>
          <w:tcPr>
            <w:tcW w:w="3982" w:type="dxa"/>
            <w:tcBorders>
              <w:top w:val="outset" w:sz="6" w:space="0" w:color="auto"/>
              <w:left w:val="outset" w:sz="6" w:space="0" w:color="auto"/>
              <w:bottom w:val="outset" w:sz="6" w:space="0" w:color="auto"/>
              <w:right w:val="single" w:sz="6" w:space="0" w:color="auto"/>
            </w:tcBorders>
            <w:shd w:val="clear" w:color="auto" w:fill="auto"/>
            <w:hideMark/>
          </w:tcPr>
          <w:p w14:paraId="185C7DA6" w14:textId="5BAD2F52" w:rsidR="00F46814" w:rsidRPr="001C0C4B" w:rsidRDefault="00F46814" w:rsidP="0021624D">
            <w:pPr>
              <w:rPr>
                <w:rFonts w:ascii="Calibri" w:eastAsiaTheme="minorEastAsia" w:hAnsi="Calibri" w:cs="Calibri"/>
                <w:lang w:val="en-GB" w:eastAsia="en-GB"/>
              </w:rPr>
            </w:pPr>
            <w:r w:rsidRPr="001C0C4B">
              <w:rPr>
                <w:rFonts w:ascii="Calibri" w:hAnsi="Calibri" w:cs="Calibri"/>
                <w:lang w:val="en-GB"/>
              </w:rPr>
              <w:t>To characterise the determinants of viral kinetics in early COVID-19 disease.</w:t>
            </w:r>
          </w:p>
        </w:tc>
        <w:tc>
          <w:tcPr>
            <w:tcW w:w="2568" w:type="dxa"/>
            <w:tcBorders>
              <w:top w:val="outset" w:sz="6" w:space="0" w:color="auto"/>
              <w:left w:val="outset" w:sz="6" w:space="0" w:color="auto"/>
              <w:bottom w:val="outset" w:sz="6" w:space="0" w:color="auto"/>
              <w:right w:val="single" w:sz="6" w:space="0" w:color="auto"/>
            </w:tcBorders>
            <w:shd w:val="clear" w:color="auto" w:fill="auto"/>
            <w:hideMark/>
          </w:tcPr>
          <w:p w14:paraId="2F4D07DF" w14:textId="3263B052" w:rsidR="00F46814" w:rsidRPr="001C0C4B" w:rsidRDefault="00F46814" w:rsidP="0021624D">
            <w:pPr>
              <w:spacing w:after="0" w:line="240" w:lineRule="auto"/>
              <w:textAlignment w:val="baseline"/>
              <w:rPr>
                <w:rFonts w:ascii="Calibri" w:eastAsiaTheme="minorEastAsia" w:hAnsi="Calibri" w:cs="Calibri"/>
                <w:lang w:val="en-GB" w:eastAsia="en-GB"/>
              </w:rPr>
            </w:pPr>
            <w:r w:rsidRPr="001C0C4B">
              <w:rPr>
                <w:rFonts w:ascii="Calibri" w:eastAsia="Times New Roman" w:hAnsi="Calibri" w:cs="Calibri"/>
                <w:lang w:val="en-GB" w:eastAsia="en-GB"/>
              </w:rPr>
              <w:t xml:space="preserve">Rate of viral clearance </w:t>
            </w:r>
          </w:p>
        </w:tc>
        <w:tc>
          <w:tcPr>
            <w:tcW w:w="2054" w:type="dxa"/>
            <w:tcBorders>
              <w:top w:val="outset" w:sz="6" w:space="0" w:color="auto"/>
              <w:left w:val="outset" w:sz="6" w:space="0" w:color="auto"/>
              <w:bottom w:val="outset" w:sz="6" w:space="0" w:color="auto"/>
              <w:right w:val="single" w:sz="6" w:space="0" w:color="auto"/>
            </w:tcBorders>
          </w:tcPr>
          <w:p w14:paraId="0D2A05CE" w14:textId="35700039" w:rsidR="00F46814" w:rsidRPr="001C0C4B" w:rsidRDefault="00F46814" w:rsidP="0021624D">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lang w:val="en-GB" w:eastAsia="en-GB"/>
              </w:rPr>
              <w:t>Days 0-7</w:t>
            </w:r>
          </w:p>
        </w:tc>
      </w:tr>
      <w:tr w:rsidR="00F46814" w:rsidRPr="001C0C4B" w14:paraId="24538851" w14:textId="579D9C6E" w:rsidTr="00864486">
        <w:trPr>
          <w:trHeight w:val="420"/>
        </w:trPr>
        <w:tc>
          <w:tcPr>
            <w:tcW w:w="1126" w:type="dxa"/>
            <w:vMerge/>
            <w:tcBorders>
              <w:left w:val="single" w:sz="6" w:space="0" w:color="auto"/>
              <w:right w:val="single" w:sz="6" w:space="0" w:color="auto"/>
            </w:tcBorders>
            <w:shd w:val="clear" w:color="auto" w:fill="auto"/>
          </w:tcPr>
          <w:p w14:paraId="11D3E5BA" w14:textId="77777777" w:rsidR="00F46814" w:rsidRPr="001C0C4B" w:rsidRDefault="00F46814" w:rsidP="0021624D">
            <w:pPr>
              <w:spacing w:after="0" w:line="240" w:lineRule="auto"/>
              <w:textAlignment w:val="baseline"/>
              <w:rPr>
                <w:rFonts w:ascii="Calibri" w:eastAsia="Times New Roman" w:hAnsi="Calibri" w:cs="Calibri"/>
                <w:b/>
                <w:bCs/>
                <w:lang w:val="en-GB" w:eastAsia="en-GB"/>
              </w:rPr>
            </w:pPr>
          </w:p>
        </w:tc>
        <w:tc>
          <w:tcPr>
            <w:tcW w:w="3982" w:type="dxa"/>
            <w:tcBorders>
              <w:top w:val="outset" w:sz="6" w:space="0" w:color="auto"/>
              <w:left w:val="outset" w:sz="6" w:space="0" w:color="auto"/>
              <w:bottom w:val="outset" w:sz="6" w:space="0" w:color="auto"/>
              <w:right w:val="single" w:sz="6" w:space="0" w:color="auto"/>
            </w:tcBorders>
            <w:shd w:val="clear" w:color="auto" w:fill="auto"/>
          </w:tcPr>
          <w:p w14:paraId="0920C985" w14:textId="68E764C9" w:rsidR="00F46814" w:rsidRPr="001C0C4B" w:rsidRDefault="00F46814" w:rsidP="00C0370C">
            <w:pPr>
              <w:rPr>
                <w:rFonts w:ascii="Calibri" w:hAnsi="Calibri" w:cs="Calibri"/>
                <w:lang w:val="en-GB"/>
              </w:rPr>
            </w:pPr>
            <w:r w:rsidRPr="001C0C4B">
              <w:rPr>
                <w:rFonts w:ascii="Calibri" w:hAnsi="Calibri" w:cs="Calibri"/>
                <w:lang w:val="en-GB"/>
              </w:rPr>
              <w:t xml:space="preserve">To determine optimal dosing regimens through pharmacometric assessment in antiviral drugs </w:t>
            </w:r>
            <w:r w:rsidRPr="001C0C4B">
              <w:rPr>
                <w:rFonts w:ascii="Calibri" w:hAnsi="Calibri"/>
                <w:lang w:val="en-GB"/>
              </w:rPr>
              <w:t xml:space="preserve">that </w:t>
            </w:r>
            <w:r w:rsidRPr="001C0C4B">
              <w:rPr>
                <w:lang w:val="en-GB"/>
              </w:rPr>
              <w:t xml:space="preserve">are shown to be effective i.e. </w:t>
            </w:r>
            <w:r w:rsidRPr="001C0C4B">
              <w:rPr>
                <w:rFonts w:ascii="Calibri" w:hAnsi="Calibri" w:cs="Calibri"/>
                <w:lang w:val="en-GB"/>
              </w:rPr>
              <w:t xml:space="preserve">show a positive signal (&gt;90% probability of &gt;12.5% acceleration in viral clearance) </w:t>
            </w:r>
            <w:r w:rsidRPr="001C0C4B">
              <w:rPr>
                <w:lang w:val="en-GB"/>
              </w:rPr>
              <w:t>or evidence of antiviral effects from other studies (e.g. Molnupiravir, Nirmatrelvir/ritonavir)</w:t>
            </w:r>
          </w:p>
        </w:tc>
        <w:tc>
          <w:tcPr>
            <w:tcW w:w="2568" w:type="dxa"/>
            <w:tcBorders>
              <w:top w:val="outset" w:sz="6" w:space="0" w:color="auto"/>
              <w:left w:val="outset" w:sz="6" w:space="0" w:color="auto"/>
              <w:bottom w:val="outset" w:sz="6" w:space="0" w:color="auto"/>
              <w:right w:val="single" w:sz="6" w:space="0" w:color="auto"/>
            </w:tcBorders>
            <w:shd w:val="clear" w:color="auto" w:fill="auto"/>
          </w:tcPr>
          <w:p w14:paraId="49DFA897" w14:textId="1D80AC4A" w:rsidR="00F46814" w:rsidRPr="001C0C4B" w:rsidRDefault="00F46814" w:rsidP="0021624D">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lang w:val="en-GB" w:eastAsia="en-GB"/>
              </w:rPr>
              <w:t>Rate of viral clearance</w:t>
            </w:r>
          </w:p>
        </w:tc>
        <w:tc>
          <w:tcPr>
            <w:tcW w:w="2054" w:type="dxa"/>
            <w:tcBorders>
              <w:top w:val="outset" w:sz="6" w:space="0" w:color="auto"/>
              <w:left w:val="outset" w:sz="6" w:space="0" w:color="auto"/>
              <w:bottom w:val="outset" w:sz="6" w:space="0" w:color="auto"/>
              <w:right w:val="single" w:sz="6" w:space="0" w:color="auto"/>
            </w:tcBorders>
          </w:tcPr>
          <w:p w14:paraId="548717FA" w14:textId="6C5E5AF6" w:rsidR="00F46814" w:rsidRPr="001C0C4B" w:rsidRDefault="00F46814" w:rsidP="0021624D">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lang w:val="en-GB" w:eastAsia="en-GB"/>
              </w:rPr>
              <w:t>Days 0-7</w:t>
            </w:r>
          </w:p>
        </w:tc>
      </w:tr>
      <w:tr w:rsidR="00F46814" w:rsidRPr="001C0C4B" w14:paraId="3276B8B2" w14:textId="5E6C289F" w:rsidTr="00864486">
        <w:trPr>
          <w:trHeight w:val="420"/>
        </w:trPr>
        <w:tc>
          <w:tcPr>
            <w:tcW w:w="1126" w:type="dxa"/>
            <w:vMerge/>
            <w:tcBorders>
              <w:left w:val="single" w:sz="6" w:space="0" w:color="auto"/>
              <w:bottom w:val="outset" w:sz="6" w:space="0" w:color="auto"/>
              <w:right w:val="single" w:sz="6" w:space="0" w:color="auto"/>
            </w:tcBorders>
            <w:shd w:val="clear" w:color="auto" w:fill="auto"/>
          </w:tcPr>
          <w:p w14:paraId="33A14EA3" w14:textId="77777777" w:rsidR="00F46814" w:rsidRPr="001C0C4B" w:rsidRDefault="00F46814" w:rsidP="0021624D">
            <w:pPr>
              <w:spacing w:after="0" w:line="240" w:lineRule="auto"/>
              <w:textAlignment w:val="baseline"/>
              <w:rPr>
                <w:rFonts w:ascii="Calibri" w:eastAsia="Times New Roman" w:hAnsi="Calibri" w:cs="Calibri"/>
                <w:b/>
                <w:bCs/>
                <w:lang w:val="en-GB" w:eastAsia="en-GB"/>
              </w:rPr>
            </w:pPr>
          </w:p>
        </w:tc>
        <w:tc>
          <w:tcPr>
            <w:tcW w:w="3982" w:type="dxa"/>
            <w:tcBorders>
              <w:top w:val="outset" w:sz="6" w:space="0" w:color="auto"/>
              <w:left w:val="outset" w:sz="6" w:space="0" w:color="auto"/>
              <w:bottom w:val="outset" w:sz="6" w:space="0" w:color="auto"/>
              <w:right w:val="single" w:sz="6" w:space="0" w:color="auto"/>
            </w:tcBorders>
            <w:shd w:val="clear" w:color="auto" w:fill="auto"/>
          </w:tcPr>
          <w:p w14:paraId="4E529A6E" w14:textId="0DDAD943" w:rsidR="00F46814" w:rsidRPr="001C0C4B" w:rsidRDefault="00F46814" w:rsidP="00EE31C2">
            <w:pPr>
              <w:rPr>
                <w:rFonts w:ascii="Calibri" w:hAnsi="Calibri" w:cs="Calibri"/>
                <w:lang w:val="en-GB"/>
              </w:rPr>
            </w:pPr>
            <w:r w:rsidRPr="001C0C4B">
              <w:rPr>
                <w:rFonts w:ascii="Calibri" w:hAnsi="Calibri" w:cs="Calibri"/>
                <w:lang w:val="en-GB"/>
              </w:rPr>
              <w:t xml:space="preserve">To compare viral clearance of any discovered active antiviral drugs against the positive control (e.g. REGN-COV2 (monoclonal antibody cocktail) </w:t>
            </w:r>
            <w:r w:rsidRPr="001C0C4B">
              <w:rPr>
                <w:rFonts w:ascii="Calibri" w:hAnsi="Calibri"/>
                <w:lang w:val="en-GB"/>
              </w:rPr>
              <w:t xml:space="preserve">or other licensed and available </w:t>
            </w:r>
            <w:r w:rsidRPr="001C0C4B">
              <w:rPr>
                <w:rFonts w:ascii="Calibri" w:hAnsi="Calibri" w:cs="Calibri"/>
                <w:lang w:val="en-GB"/>
              </w:rPr>
              <w:t>therapeutics</w:t>
            </w:r>
            <w:r w:rsidRPr="001C0C4B">
              <w:rPr>
                <w:rFonts w:ascii="Calibri" w:hAnsi="Calibri"/>
                <w:lang w:val="en-GB"/>
              </w:rPr>
              <w:t xml:space="preserve"> with evidence of accelerated viral clearance</w:t>
            </w:r>
          </w:p>
        </w:tc>
        <w:tc>
          <w:tcPr>
            <w:tcW w:w="2568" w:type="dxa"/>
            <w:tcBorders>
              <w:top w:val="outset" w:sz="6" w:space="0" w:color="auto"/>
              <w:left w:val="outset" w:sz="6" w:space="0" w:color="auto"/>
              <w:bottom w:val="outset" w:sz="6" w:space="0" w:color="auto"/>
              <w:right w:val="single" w:sz="6" w:space="0" w:color="auto"/>
            </w:tcBorders>
            <w:shd w:val="clear" w:color="auto" w:fill="auto"/>
          </w:tcPr>
          <w:p w14:paraId="51FB5849" w14:textId="6EEFAD1F" w:rsidR="00F46814" w:rsidRPr="001C0C4B" w:rsidRDefault="00F46814" w:rsidP="0021624D">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lang w:val="en-GB" w:eastAsia="en-GB"/>
              </w:rPr>
              <w:t xml:space="preserve">Rate of viral clearance </w:t>
            </w:r>
          </w:p>
        </w:tc>
        <w:tc>
          <w:tcPr>
            <w:tcW w:w="2054" w:type="dxa"/>
            <w:tcBorders>
              <w:top w:val="outset" w:sz="6" w:space="0" w:color="auto"/>
              <w:left w:val="outset" w:sz="6" w:space="0" w:color="auto"/>
              <w:bottom w:val="outset" w:sz="6" w:space="0" w:color="auto"/>
              <w:right w:val="single" w:sz="6" w:space="0" w:color="auto"/>
            </w:tcBorders>
          </w:tcPr>
          <w:p w14:paraId="765F4748" w14:textId="7BD170AD" w:rsidR="00F46814" w:rsidRPr="001C0C4B" w:rsidRDefault="00F46814" w:rsidP="0021624D">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lang w:val="en-GB" w:eastAsia="en-GB"/>
              </w:rPr>
              <w:t>Days 0-7</w:t>
            </w:r>
          </w:p>
        </w:tc>
      </w:tr>
      <w:tr w:rsidR="006D5FC9" w:rsidRPr="001C0C4B" w14:paraId="5DEF7935" w14:textId="78374733" w:rsidTr="5874530E">
        <w:trPr>
          <w:trHeight w:val="420"/>
        </w:trPr>
        <w:tc>
          <w:tcPr>
            <w:tcW w:w="1126" w:type="dxa"/>
            <w:tcBorders>
              <w:top w:val="outset" w:sz="6" w:space="0" w:color="auto"/>
              <w:left w:val="single" w:sz="6" w:space="0" w:color="auto"/>
              <w:bottom w:val="outset" w:sz="6" w:space="0" w:color="auto"/>
              <w:right w:val="single" w:sz="6" w:space="0" w:color="auto"/>
            </w:tcBorders>
            <w:shd w:val="clear" w:color="auto" w:fill="auto"/>
          </w:tcPr>
          <w:p w14:paraId="0F9845C8" w14:textId="77777777" w:rsidR="006D5FC9" w:rsidRPr="001C0C4B" w:rsidRDefault="006D5FC9" w:rsidP="0021624D">
            <w:pPr>
              <w:spacing w:after="0" w:line="240" w:lineRule="auto"/>
              <w:textAlignment w:val="baseline"/>
              <w:rPr>
                <w:rFonts w:ascii="Calibri" w:eastAsia="Times New Roman" w:hAnsi="Calibri" w:cs="Calibri"/>
                <w:b/>
                <w:bCs/>
                <w:lang w:val="en-GB" w:eastAsia="en-GB"/>
              </w:rPr>
            </w:pPr>
            <w:r w:rsidRPr="001C0C4B">
              <w:rPr>
                <w:rFonts w:ascii="Calibri" w:eastAsia="Times New Roman" w:hAnsi="Calibri" w:cs="Calibri"/>
                <w:b/>
                <w:bCs/>
                <w:lang w:val="en-GB" w:eastAsia="en-GB"/>
              </w:rPr>
              <w:t>Tertiary</w:t>
            </w:r>
          </w:p>
        </w:tc>
        <w:tc>
          <w:tcPr>
            <w:tcW w:w="3982" w:type="dxa"/>
            <w:tcBorders>
              <w:top w:val="outset" w:sz="6" w:space="0" w:color="auto"/>
              <w:left w:val="outset" w:sz="6" w:space="0" w:color="auto"/>
              <w:bottom w:val="outset" w:sz="6" w:space="0" w:color="auto"/>
              <w:right w:val="single" w:sz="6" w:space="0" w:color="auto"/>
            </w:tcBorders>
            <w:shd w:val="clear" w:color="auto" w:fill="auto"/>
          </w:tcPr>
          <w:p w14:paraId="5FB9B736" w14:textId="55AEC0DD" w:rsidR="006D5FC9" w:rsidRPr="001C0C4B" w:rsidRDefault="006D5FC9" w:rsidP="00A829BB">
            <w:pPr>
              <w:rPr>
                <w:rFonts w:ascii="Calibri" w:hAnsi="Calibri" w:cs="Calibri"/>
                <w:lang w:val="en-GB"/>
              </w:rPr>
            </w:pPr>
            <w:r w:rsidRPr="001C0C4B">
              <w:rPr>
                <w:rFonts w:ascii="Calibri" w:hAnsi="Calibri" w:cs="Calibri"/>
                <w:lang w:val="en-GB"/>
              </w:rPr>
              <w:t xml:space="preserve">Characterise the relationship between viral clearance and </w:t>
            </w:r>
            <w:r w:rsidR="00B87103" w:rsidRPr="001C0C4B">
              <w:rPr>
                <w:rFonts w:ascii="Calibri" w:hAnsi="Calibri" w:cs="Calibri"/>
                <w:lang w:val="en-GB"/>
              </w:rPr>
              <w:t>hospitalisation</w:t>
            </w:r>
            <w:r w:rsidR="00CE2F74" w:rsidRPr="001C0C4B">
              <w:rPr>
                <w:rFonts w:ascii="Calibri" w:hAnsi="Calibri" w:cs="Calibri"/>
                <w:lang w:val="en-GB"/>
              </w:rPr>
              <w:t xml:space="preserve"> </w:t>
            </w:r>
            <w:r w:rsidR="00361EE0" w:rsidRPr="001C0C4B">
              <w:rPr>
                <w:rFonts w:cstheme="minorHAnsi"/>
                <w:lang w:val="en-GB"/>
              </w:rPr>
              <w:t>(hospitalisation for clinical reasons)</w:t>
            </w:r>
          </w:p>
        </w:tc>
        <w:tc>
          <w:tcPr>
            <w:tcW w:w="2568" w:type="dxa"/>
            <w:tcBorders>
              <w:top w:val="outset" w:sz="6" w:space="0" w:color="auto"/>
              <w:left w:val="outset" w:sz="6" w:space="0" w:color="auto"/>
              <w:bottom w:val="outset" w:sz="6" w:space="0" w:color="auto"/>
              <w:right w:val="single" w:sz="6" w:space="0" w:color="auto"/>
            </w:tcBorders>
            <w:shd w:val="clear" w:color="auto" w:fill="auto"/>
          </w:tcPr>
          <w:p w14:paraId="72B67D3D" w14:textId="51BF4128" w:rsidR="006D5FC9" w:rsidRPr="001C0C4B" w:rsidRDefault="00CE2F74" w:rsidP="0021624D">
            <w:pPr>
              <w:spacing w:after="0" w:line="240" w:lineRule="auto"/>
              <w:textAlignment w:val="baseline"/>
              <w:rPr>
                <w:rFonts w:ascii="Calibri" w:eastAsia="Times New Roman" w:hAnsi="Calibri" w:cs="Calibri"/>
                <w:lang w:eastAsia="en-GB"/>
              </w:rPr>
            </w:pPr>
            <w:r w:rsidRPr="001C0C4B">
              <w:rPr>
                <w:rFonts w:ascii="Calibri" w:eastAsia="Times New Roman" w:hAnsi="Calibri" w:cs="Calibri"/>
                <w:lang w:val="en-GB" w:eastAsia="en-GB"/>
              </w:rPr>
              <w:t>H</w:t>
            </w:r>
            <w:r w:rsidR="006D5FC9" w:rsidRPr="001C0C4B">
              <w:rPr>
                <w:rFonts w:ascii="Calibri" w:eastAsia="Times New Roman" w:hAnsi="Calibri" w:cs="Calibri"/>
                <w:lang w:val="en-GB" w:eastAsia="en-GB"/>
              </w:rPr>
              <w:t>ospitalisation</w:t>
            </w:r>
            <w:r w:rsidR="00386BB3" w:rsidRPr="001C0C4B">
              <w:rPr>
                <w:rFonts w:eastAsia="Times New Roman" w:cstheme="minorHAnsi"/>
                <w:lang w:val="en-GB" w:eastAsia="en-GB"/>
              </w:rPr>
              <w:t xml:space="preserve"> </w:t>
            </w:r>
            <w:r w:rsidRPr="001C0C4B">
              <w:rPr>
                <w:rFonts w:eastAsia="Times New Roman" w:cstheme="minorHAnsi"/>
                <w:lang w:val="en-GB" w:eastAsia="en-GB"/>
              </w:rPr>
              <w:t xml:space="preserve">for clinical reasons </w:t>
            </w:r>
            <w:r w:rsidR="00386BB3" w:rsidRPr="001C0C4B">
              <w:rPr>
                <w:rFonts w:eastAsia="Times New Roman" w:cstheme="minorHAnsi"/>
                <w:lang w:val="en-GB" w:eastAsia="en-GB"/>
              </w:rPr>
              <w:t>up to day 28</w:t>
            </w:r>
          </w:p>
        </w:tc>
        <w:tc>
          <w:tcPr>
            <w:tcW w:w="2054" w:type="dxa"/>
            <w:tcBorders>
              <w:top w:val="outset" w:sz="6" w:space="0" w:color="auto"/>
              <w:left w:val="outset" w:sz="6" w:space="0" w:color="auto"/>
              <w:bottom w:val="outset" w:sz="6" w:space="0" w:color="auto"/>
              <w:right w:val="single" w:sz="6" w:space="0" w:color="auto"/>
            </w:tcBorders>
          </w:tcPr>
          <w:p w14:paraId="7BB36649" w14:textId="60965D0C" w:rsidR="006D5FC9" w:rsidRPr="001C0C4B" w:rsidRDefault="00A829BB" w:rsidP="0021624D">
            <w:pPr>
              <w:spacing w:after="0" w:line="240" w:lineRule="auto"/>
              <w:textAlignment w:val="baseline"/>
              <w:rPr>
                <w:rFonts w:ascii="Calibri" w:eastAsia="Times New Roman" w:hAnsi="Calibri" w:cs="Calibri"/>
                <w:lang w:val="en-GB" w:eastAsia="en-GB"/>
              </w:rPr>
            </w:pPr>
            <w:r w:rsidRPr="001C0C4B">
              <w:rPr>
                <w:rFonts w:ascii="Calibri" w:eastAsia="Times New Roman" w:hAnsi="Calibri" w:cs="Calibri"/>
                <w:lang w:val="en-GB" w:eastAsia="en-GB"/>
              </w:rPr>
              <w:t xml:space="preserve">Days </w:t>
            </w:r>
            <w:r w:rsidR="002C7AE8" w:rsidRPr="001C0C4B">
              <w:rPr>
                <w:rFonts w:ascii="Calibri" w:eastAsia="Times New Roman" w:hAnsi="Calibri" w:cs="Calibri"/>
                <w:lang w:val="en-GB" w:eastAsia="en-GB"/>
              </w:rPr>
              <w:t>0</w:t>
            </w:r>
            <w:r w:rsidRPr="001C0C4B">
              <w:rPr>
                <w:rFonts w:ascii="Calibri" w:eastAsia="Times New Roman" w:hAnsi="Calibri" w:cs="Calibri"/>
                <w:lang w:val="en-GB" w:eastAsia="en-GB"/>
              </w:rPr>
              <w:t>-28</w:t>
            </w:r>
          </w:p>
        </w:tc>
      </w:tr>
    </w:tbl>
    <w:p w14:paraId="55C350C6" w14:textId="77777777" w:rsidR="006D5FC9" w:rsidRPr="001C0C4B" w:rsidRDefault="006D5FC9" w:rsidP="00E66E98">
      <w:pPr>
        <w:jc w:val="both"/>
        <w:rPr>
          <w:rFonts w:ascii="Calibri" w:hAnsi="Calibri" w:cs="Calibri"/>
        </w:rPr>
      </w:pPr>
    </w:p>
    <w:p w14:paraId="5E0E1E08" w14:textId="47286C12" w:rsidR="10DABAFD" w:rsidRPr="001C0C4B" w:rsidRDefault="005858D4" w:rsidP="00E142CD">
      <w:pPr>
        <w:pStyle w:val="Heading1"/>
        <w:numPr>
          <w:ilvl w:val="0"/>
          <w:numId w:val="23"/>
        </w:numPr>
        <w:rPr>
          <w:rFonts w:ascii="Calibri" w:hAnsi="Calibri" w:cs="Calibri"/>
          <w:color w:val="auto"/>
          <w:sz w:val="22"/>
          <w:szCs w:val="22"/>
          <w:lang w:val="en-GB"/>
        </w:rPr>
      </w:pPr>
      <w:bookmarkStart w:id="80" w:name="_Toc96007277"/>
      <w:bookmarkStart w:id="81" w:name="_Toc95915230"/>
      <w:bookmarkStart w:id="82" w:name="_Toc74661275"/>
      <w:bookmarkStart w:id="83" w:name="_Toc110523969"/>
      <w:bookmarkStart w:id="84" w:name="_Toc96005580"/>
      <w:bookmarkStart w:id="85" w:name="_Toc112917618"/>
      <w:r w:rsidRPr="001C0C4B">
        <w:rPr>
          <w:rFonts w:ascii="Calibri" w:hAnsi="Calibri" w:cs="Calibri"/>
          <w:color w:val="auto"/>
          <w:sz w:val="22"/>
          <w:szCs w:val="22"/>
          <w:lang w:val="en-GB"/>
        </w:rPr>
        <w:t>STUDY</w:t>
      </w:r>
      <w:r w:rsidR="008B4555" w:rsidRPr="001C0C4B">
        <w:rPr>
          <w:rFonts w:ascii="Calibri" w:hAnsi="Calibri" w:cs="Calibri"/>
          <w:color w:val="auto"/>
          <w:sz w:val="22"/>
          <w:szCs w:val="22"/>
          <w:lang w:val="en-GB"/>
        </w:rPr>
        <w:t xml:space="preserve"> </w:t>
      </w:r>
      <w:r w:rsidRPr="001C0C4B">
        <w:rPr>
          <w:rFonts w:ascii="Calibri" w:hAnsi="Calibri" w:cs="Calibri"/>
          <w:color w:val="auto"/>
          <w:sz w:val="22"/>
          <w:szCs w:val="22"/>
          <w:lang w:val="en-GB"/>
        </w:rPr>
        <w:t>DESIGN</w:t>
      </w:r>
      <w:bookmarkEnd w:id="80"/>
      <w:bookmarkEnd w:id="81"/>
      <w:bookmarkEnd w:id="82"/>
      <w:bookmarkEnd w:id="83"/>
      <w:bookmarkEnd w:id="84"/>
      <w:bookmarkEnd w:id="85"/>
      <w:r w:rsidR="008B4555" w:rsidRPr="001C0C4B">
        <w:rPr>
          <w:rFonts w:ascii="Calibri" w:hAnsi="Calibri" w:cs="Calibri"/>
          <w:color w:val="auto"/>
          <w:sz w:val="22"/>
          <w:szCs w:val="22"/>
          <w:lang w:val="en-GB"/>
        </w:rPr>
        <w:t xml:space="preserve"> </w:t>
      </w:r>
    </w:p>
    <w:p w14:paraId="727848D4" w14:textId="27146BDE" w:rsidR="007F3FBF" w:rsidRPr="001C0C4B" w:rsidRDefault="005858D4" w:rsidP="00CE1074">
      <w:pPr>
        <w:spacing w:after="0" w:line="240" w:lineRule="auto"/>
        <w:jc w:val="both"/>
        <w:rPr>
          <w:rFonts w:ascii="Calibri" w:hAnsi="Calibri" w:cs="Calibri"/>
        </w:rPr>
      </w:pPr>
      <w:r w:rsidRPr="001C0C4B">
        <w:rPr>
          <w:rFonts w:ascii="Calibri" w:hAnsi="Calibri" w:cs="Calibri"/>
        </w:rPr>
        <w:t>The study is a</w:t>
      </w:r>
      <w:r w:rsidR="190800B9" w:rsidRPr="001C0C4B">
        <w:rPr>
          <w:rFonts w:ascii="Calibri" w:hAnsi="Calibri" w:cs="Calibri"/>
        </w:rPr>
        <w:t xml:space="preserve"> </w:t>
      </w:r>
      <w:r w:rsidR="00AF3661" w:rsidRPr="001C0C4B">
        <w:rPr>
          <w:rFonts w:ascii="Calibri" w:hAnsi="Calibri" w:cs="Calibri"/>
        </w:rPr>
        <w:t>randomi</w:t>
      </w:r>
      <w:r w:rsidR="00B17E89" w:rsidRPr="001C0C4B">
        <w:rPr>
          <w:rFonts w:ascii="Calibri" w:hAnsi="Calibri" w:cs="Calibri"/>
        </w:rPr>
        <w:t>s</w:t>
      </w:r>
      <w:r w:rsidR="00AF3661" w:rsidRPr="001C0C4B">
        <w:rPr>
          <w:rFonts w:ascii="Calibri" w:hAnsi="Calibri" w:cs="Calibri"/>
        </w:rPr>
        <w:t xml:space="preserve">ed, open label, </w:t>
      </w:r>
      <w:r w:rsidR="190800B9" w:rsidRPr="001C0C4B">
        <w:rPr>
          <w:rFonts w:ascii="Calibri" w:hAnsi="Calibri" w:cs="Calibri"/>
        </w:rPr>
        <w:t xml:space="preserve">controlled </w:t>
      </w:r>
      <w:r w:rsidR="00932BF7" w:rsidRPr="001C0C4B">
        <w:rPr>
          <w:rFonts w:ascii="Calibri" w:hAnsi="Calibri" w:cs="Calibri"/>
        </w:rPr>
        <w:t xml:space="preserve">adaptive </w:t>
      </w:r>
      <w:r w:rsidR="00AF3661" w:rsidRPr="001C0C4B">
        <w:rPr>
          <w:rFonts w:ascii="Calibri" w:hAnsi="Calibri" w:cs="Calibri"/>
        </w:rPr>
        <w:t xml:space="preserve">platform </w:t>
      </w:r>
      <w:r w:rsidRPr="001C0C4B">
        <w:rPr>
          <w:rFonts w:ascii="Calibri" w:hAnsi="Calibri" w:cs="Calibri"/>
        </w:rPr>
        <w:t>trial that will be conducted in</w:t>
      </w:r>
      <w:r w:rsidR="6D75CDC1" w:rsidRPr="001C0C4B">
        <w:rPr>
          <w:rFonts w:ascii="Calibri" w:hAnsi="Calibri" w:cs="Calibri"/>
        </w:rPr>
        <w:t xml:space="preserve"> </w:t>
      </w:r>
      <w:r w:rsidR="00932BF7" w:rsidRPr="001C0C4B">
        <w:rPr>
          <w:rFonts w:ascii="Calibri" w:hAnsi="Calibri" w:cs="Calibri"/>
        </w:rPr>
        <w:t xml:space="preserve">low-risk </w:t>
      </w:r>
      <w:r w:rsidR="6D75CDC1" w:rsidRPr="001C0C4B">
        <w:rPr>
          <w:rFonts w:ascii="Calibri" w:hAnsi="Calibri" w:cs="Calibri"/>
        </w:rPr>
        <w:t>patients</w:t>
      </w:r>
      <w:r w:rsidR="00373E14" w:rsidRPr="001C0C4B">
        <w:rPr>
          <w:rFonts w:ascii="Calibri" w:hAnsi="Calibri" w:cs="Calibri"/>
        </w:rPr>
        <w:t xml:space="preserve"> </w:t>
      </w:r>
      <w:r w:rsidR="00A75112" w:rsidRPr="001C0C4B">
        <w:rPr>
          <w:rFonts w:ascii="Calibri" w:hAnsi="Calibri" w:cs="Calibri"/>
        </w:rPr>
        <w:t xml:space="preserve">with </w:t>
      </w:r>
      <w:r w:rsidR="00373E14" w:rsidRPr="001C0C4B">
        <w:rPr>
          <w:rFonts w:ascii="Calibri" w:hAnsi="Calibri" w:cs="Calibri"/>
        </w:rPr>
        <w:t>COVID-19</w:t>
      </w:r>
      <w:r w:rsidR="00A75112" w:rsidRPr="001C0C4B">
        <w:rPr>
          <w:rFonts w:ascii="Calibri" w:hAnsi="Calibri" w:cs="Calibri"/>
        </w:rPr>
        <w:t xml:space="preserve">, </w:t>
      </w:r>
      <w:r w:rsidR="00B74C0C" w:rsidRPr="001C0C4B">
        <w:rPr>
          <w:rFonts w:ascii="Calibri" w:hAnsi="Calibri" w:cs="Calibri"/>
        </w:rPr>
        <w:t xml:space="preserve">recruited from outpatient COVID-19/ </w:t>
      </w:r>
      <w:r w:rsidR="00E1698F" w:rsidRPr="001C0C4B">
        <w:rPr>
          <w:rFonts w:cs="Arial"/>
        </w:rPr>
        <w:t>Acute Respiratory Infection (</w:t>
      </w:r>
      <w:r w:rsidR="00B74C0C" w:rsidRPr="001C0C4B">
        <w:rPr>
          <w:rFonts w:ascii="Calibri" w:hAnsi="Calibri" w:cs="Calibri"/>
        </w:rPr>
        <w:t>ARI</w:t>
      </w:r>
      <w:r w:rsidR="00E1698F" w:rsidRPr="001C0C4B">
        <w:rPr>
          <w:rFonts w:ascii="Calibri" w:hAnsi="Calibri" w:cs="Calibri"/>
        </w:rPr>
        <w:t>)</w:t>
      </w:r>
      <w:r w:rsidR="00B74C0C" w:rsidRPr="001C0C4B">
        <w:rPr>
          <w:rFonts w:ascii="Calibri" w:hAnsi="Calibri" w:cs="Calibri"/>
        </w:rPr>
        <w:t xml:space="preserve"> clinics or through other approved facilities, or from inpatient isolation facilities, or by patient self-referral to the study site</w:t>
      </w:r>
      <w:r w:rsidR="005C3458" w:rsidRPr="001C0C4B">
        <w:rPr>
          <w:rFonts w:ascii="Calibri" w:hAnsi="Calibri" w:cs="Calibri"/>
        </w:rPr>
        <w:t>, that is previously healthy patients 18 to 50 years</w:t>
      </w:r>
      <w:r w:rsidR="00373E14" w:rsidRPr="001C0C4B">
        <w:rPr>
          <w:rFonts w:ascii="Calibri" w:hAnsi="Calibri" w:cs="Calibri"/>
        </w:rPr>
        <w:t xml:space="preserve"> </w:t>
      </w:r>
      <w:r w:rsidR="005C3458" w:rsidRPr="001C0C4B">
        <w:rPr>
          <w:rFonts w:ascii="Calibri" w:hAnsi="Calibri" w:cs="Calibri"/>
        </w:rPr>
        <w:t xml:space="preserve">old with early </w:t>
      </w:r>
      <w:r w:rsidR="00373E14" w:rsidRPr="001C0C4B">
        <w:rPr>
          <w:rFonts w:ascii="Calibri" w:hAnsi="Calibri" w:cs="Calibri"/>
        </w:rPr>
        <w:t xml:space="preserve">symptomatic </w:t>
      </w:r>
      <w:r w:rsidR="005C3458" w:rsidRPr="001C0C4B">
        <w:rPr>
          <w:rFonts w:ascii="Calibri" w:hAnsi="Calibri" w:cs="Calibri"/>
        </w:rPr>
        <w:t>COVID-19 and without co-morbidities (see appendix 4)</w:t>
      </w:r>
      <w:r w:rsidR="00A87D25" w:rsidRPr="001C0C4B">
        <w:rPr>
          <w:rFonts w:ascii="Calibri" w:hAnsi="Calibri" w:cs="Calibri"/>
        </w:rPr>
        <w:t xml:space="preserve">. </w:t>
      </w:r>
      <w:r w:rsidR="00B52408" w:rsidRPr="001C0C4B">
        <w:t>The study has started</w:t>
      </w:r>
      <w:r w:rsidR="00B44ACE" w:rsidRPr="001C0C4B">
        <w:t xml:space="preserve"> </w:t>
      </w:r>
      <w:r w:rsidR="00932BF7" w:rsidRPr="001C0C4B">
        <w:t xml:space="preserve">in </w:t>
      </w:r>
      <w:r w:rsidR="00F22E46" w:rsidRPr="001C0C4B">
        <w:t xml:space="preserve">Thailand and </w:t>
      </w:r>
      <w:r w:rsidR="00373E14" w:rsidRPr="001C0C4B">
        <w:t>Brazil</w:t>
      </w:r>
      <w:r w:rsidR="00B44ACE" w:rsidRPr="001C0C4B">
        <w:t>.</w:t>
      </w:r>
    </w:p>
    <w:p w14:paraId="34E36D79" w14:textId="77777777" w:rsidR="007F3FBF" w:rsidRPr="001C0C4B" w:rsidRDefault="007F3FBF" w:rsidP="00CE1074">
      <w:pPr>
        <w:spacing w:after="0" w:line="240" w:lineRule="auto"/>
        <w:jc w:val="both"/>
        <w:rPr>
          <w:rFonts w:ascii="Calibri" w:hAnsi="Calibri" w:cs="Calibri"/>
        </w:rPr>
      </w:pPr>
    </w:p>
    <w:p w14:paraId="2722591D" w14:textId="4BC585B1" w:rsidR="00037DBF" w:rsidRPr="001C0C4B" w:rsidRDefault="005858D4" w:rsidP="00CE1074">
      <w:pPr>
        <w:spacing w:after="0" w:line="240" w:lineRule="auto"/>
        <w:jc w:val="both"/>
        <w:rPr>
          <w:rFonts w:ascii="Calibri" w:hAnsi="Calibri" w:cs="Calibri"/>
        </w:rPr>
      </w:pPr>
      <w:r w:rsidRPr="001C0C4B">
        <w:rPr>
          <w:rFonts w:ascii="Calibri" w:hAnsi="Calibri" w:cs="Calibri"/>
        </w:rPr>
        <w:t xml:space="preserve">After obtaining fully informed consent, we will recruit adult patients with </w:t>
      </w:r>
      <w:r w:rsidR="5F337BB3" w:rsidRPr="001C0C4B">
        <w:rPr>
          <w:rFonts w:ascii="Calibri" w:hAnsi="Calibri" w:cs="Calibri"/>
        </w:rPr>
        <w:t>early</w:t>
      </w:r>
      <w:r w:rsidR="3BCD79DE" w:rsidRPr="001C0C4B">
        <w:rPr>
          <w:rFonts w:ascii="Calibri" w:hAnsi="Calibri" w:cs="Calibri"/>
        </w:rPr>
        <w:t xml:space="preserve"> </w:t>
      </w:r>
      <w:r w:rsidRPr="001C0C4B">
        <w:rPr>
          <w:rFonts w:ascii="Calibri" w:hAnsi="Calibri" w:cs="Calibri"/>
        </w:rPr>
        <w:t>symptomatic</w:t>
      </w:r>
      <w:r w:rsidR="008B4555" w:rsidRPr="001C0C4B">
        <w:rPr>
          <w:rFonts w:ascii="Calibri" w:hAnsi="Calibri" w:cs="Calibri"/>
        </w:rPr>
        <w:t xml:space="preserve"> </w:t>
      </w:r>
      <w:r w:rsidRPr="001C0C4B">
        <w:rPr>
          <w:rFonts w:ascii="Calibri" w:hAnsi="Calibri" w:cs="Calibri"/>
        </w:rPr>
        <w:t>COVID-19</w:t>
      </w:r>
      <w:r w:rsidR="008B4555" w:rsidRPr="001C0C4B">
        <w:rPr>
          <w:rFonts w:ascii="Calibri" w:hAnsi="Calibri" w:cs="Calibri"/>
        </w:rPr>
        <w:t xml:space="preserve"> </w:t>
      </w:r>
      <w:r w:rsidRPr="001C0C4B">
        <w:rPr>
          <w:rFonts w:ascii="Calibri" w:hAnsi="Calibri" w:cs="Calibri"/>
        </w:rPr>
        <w:t>(</w:t>
      </w:r>
      <w:r w:rsidR="4A67AB8B" w:rsidRPr="001C0C4B">
        <w:rPr>
          <w:rFonts w:ascii="Calibri" w:hAnsi="Calibri" w:cs="Calibri"/>
        </w:rPr>
        <w:t xml:space="preserve">less than </w:t>
      </w:r>
      <w:r w:rsidR="00235E52" w:rsidRPr="001C0C4B">
        <w:rPr>
          <w:rFonts w:ascii="Calibri" w:hAnsi="Calibri" w:cs="Calibri"/>
        </w:rPr>
        <w:t>4</w:t>
      </w:r>
      <w:r w:rsidR="4A67AB8B" w:rsidRPr="001C0C4B">
        <w:rPr>
          <w:rFonts w:ascii="Calibri" w:hAnsi="Calibri" w:cs="Calibri"/>
        </w:rPr>
        <w:t xml:space="preserve"> days</w:t>
      </w:r>
      <w:r w:rsidR="005D7630" w:rsidRPr="001C0C4B">
        <w:rPr>
          <w:rFonts w:ascii="Calibri" w:hAnsi="Calibri" w:cs="Calibri"/>
        </w:rPr>
        <w:t xml:space="preserve"> (</w:t>
      </w:r>
      <w:r w:rsidR="00235E52" w:rsidRPr="001C0C4B">
        <w:rPr>
          <w:rFonts w:ascii="Calibri" w:hAnsi="Calibri" w:cs="Calibri"/>
        </w:rPr>
        <w:t>96</w:t>
      </w:r>
      <w:r w:rsidR="005D7630" w:rsidRPr="001C0C4B">
        <w:rPr>
          <w:rFonts w:ascii="Calibri" w:hAnsi="Calibri" w:cs="Calibri"/>
        </w:rPr>
        <w:t xml:space="preserve"> hours)</w:t>
      </w:r>
      <w:r w:rsidR="4A67AB8B" w:rsidRPr="001C0C4B">
        <w:rPr>
          <w:rFonts w:ascii="Calibri" w:hAnsi="Calibri" w:cs="Calibri"/>
        </w:rPr>
        <w:t xml:space="preserve"> since </w:t>
      </w:r>
      <w:r w:rsidR="0067727E" w:rsidRPr="001C0C4B">
        <w:rPr>
          <w:rFonts w:ascii="Calibri" w:hAnsi="Calibri" w:cs="Calibri"/>
        </w:rPr>
        <w:t xml:space="preserve">the </w:t>
      </w:r>
      <w:r w:rsidR="007825B7" w:rsidRPr="001C0C4B">
        <w:rPr>
          <w:rFonts w:ascii="Calibri" w:hAnsi="Calibri" w:cs="Calibri"/>
        </w:rPr>
        <w:t xml:space="preserve">reported </w:t>
      </w:r>
      <w:r w:rsidR="4A67AB8B" w:rsidRPr="001C0C4B">
        <w:rPr>
          <w:rFonts w:ascii="Calibri" w:hAnsi="Calibri" w:cs="Calibri"/>
        </w:rPr>
        <w:t>onset of symptoms</w:t>
      </w:r>
      <w:r w:rsidRPr="001C0C4B">
        <w:rPr>
          <w:rFonts w:ascii="Calibri" w:hAnsi="Calibri" w:cs="Calibri"/>
        </w:rPr>
        <w:t>)</w:t>
      </w:r>
      <w:r w:rsidR="51475EF3" w:rsidRPr="001C0C4B">
        <w:rPr>
          <w:rFonts w:ascii="Calibri" w:hAnsi="Calibri" w:cs="Calibri"/>
        </w:rPr>
        <w:t xml:space="preserve">, </w:t>
      </w:r>
      <w:r w:rsidR="000A5A5A" w:rsidRPr="001C0C4B">
        <w:rPr>
          <w:rFonts w:ascii="Calibri" w:hAnsi="Calibri" w:cs="Calibri"/>
        </w:rPr>
        <w:t xml:space="preserve">who are </w:t>
      </w:r>
      <w:r w:rsidR="51475EF3" w:rsidRPr="001C0C4B">
        <w:rPr>
          <w:rFonts w:ascii="Calibri" w:hAnsi="Calibri" w:cs="Calibri"/>
        </w:rPr>
        <w:t>positive by</w:t>
      </w:r>
      <w:r w:rsidR="005D7630" w:rsidRPr="001C0C4B">
        <w:rPr>
          <w:rFonts w:ascii="Calibri" w:hAnsi="Calibri" w:cs="Calibri"/>
        </w:rPr>
        <w:t xml:space="preserve"> a SARS</w:t>
      </w:r>
      <w:r w:rsidR="00863364" w:rsidRPr="001C0C4B">
        <w:rPr>
          <w:rFonts w:ascii="Calibri" w:hAnsi="Calibri" w:cs="Calibri"/>
        </w:rPr>
        <w:t>-</w:t>
      </w:r>
      <w:r w:rsidR="005D7630" w:rsidRPr="001C0C4B">
        <w:rPr>
          <w:rFonts w:ascii="Calibri" w:hAnsi="Calibri" w:cs="Calibri"/>
        </w:rPr>
        <w:t>CoV-2</w:t>
      </w:r>
      <w:r w:rsidR="51475EF3" w:rsidRPr="001C0C4B">
        <w:rPr>
          <w:rFonts w:ascii="Calibri" w:hAnsi="Calibri" w:cs="Calibri"/>
        </w:rPr>
        <w:t xml:space="preserve"> </w:t>
      </w:r>
      <w:r w:rsidR="72501364" w:rsidRPr="001C0C4B">
        <w:rPr>
          <w:rFonts w:ascii="Calibri" w:hAnsi="Calibri" w:cs="Calibri"/>
        </w:rPr>
        <w:t>lateral</w:t>
      </w:r>
      <w:r w:rsidR="51475EF3" w:rsidRPr="001C0C4B">
        <w:rPr>
          <w:rFonts w:ascii="Calibri" w:hAnsi="Calibri" w:cs="Calibri"/>
        </w:rPr>
        <w:t xml:space="preserve"> </w:t>
      </w:r>
      <w:r w:rsidR="72501364" w:rsidRPr="001C0C4B">
        <w:rPr>
          <w:rFonts w:ascii="Calibri" w:hAnsi="Calibri" w:cs="Calibri"/>
        </w:rPr>
        <w:t>flow</w:t>
      </w:r>
      <w:r w:rsidR="51475EF3" w:rsidRPr="001C0C4B">
        <w:rPr>
          <w:rFonts w:ascii="Calibri" w:hAnsi="Calibri" w:cs="Calibri"/>
        </w:rPr>
        <w:t xml:space="preserve"> antigen test</w:t>
      </w:r>
      <w:r w:rsidR="00A87D25" w:rsidRPr="001C0C4B">
        <w:rPr>
          <w:rFonts w:ascii="Calibri" w:hAnsi="Calibri" w:cs="Calibri"/>
        </w:rPr>
        <w:t xml:space="preserve"> (identifying </w:t>
      </w:r>
      <w:r w:rsidR="00F27057" w:rsidRPr="001C0C4B">
        <w:rPr>
          <w:rFonts w:ascii="Calibri" w:hAnsi="Calibri" w:cs="Calibri"/>
        </w:rPr>
        <w:t xml:space="preserve">those with </w:t>
      </w:r>
      <w:r w:rsidR="00A87D25" w:rsidRPr="001C0C4B">
        <w:rPr>
          <w:rFonts w:ascii="Calibri" w:hAnsi="Calibri" w:cs="Calibri"/>
        </w:rPr>
        <w:t xml:space="preserve">higher </w:t>
      </w:r>
      <w:r w:rsidR="00F27057" w:rsidRPr="001C0C4B">
        <w:rPr>
          <w:rFonts w:ascii="Calibri" w:hAnsi="Calibri" w:cs="Calibri"/>
        </w:rPr>
        <w:t xml:space="preserve">starting </w:t>
      </w:r>
      <w:r w:rsidR="00A87D25" w:rsidRPr="001C0C4B">
        <w:rPr>
          <w:rFonts w:ascii="Calibri" w:hAnsi="Calibri" w:cs="Calibri"/>
        </w:rPr>
        <w:t>viral densities)</w:t>
      </w:r>
      <w:r w:rsidR="00A4411F" w:rsidRPr="001C0C4B">
        <w:rPr>
          <w:rFonts w:ascii="Calibri" w:hAnsi="Calibri" w:cs="Calibri"/>
        </w:rPr>
        <w:t xml:space="preserve"> </w:t>
      </w:r>
      <w:r w:rsidR="00A4411F" w:rsidRPr="001C0C4B">
        <w:rPr>
          <w:rFonts w:ascii="Calibri" w:eastAsia="Times New Roman" w:hAnsi="Calibri" w:cs="Calibri"/>
          <w:lang w:val="en-GB" w:eastAsia="en-GB"/>
        </w:rPr>
        <w:t>OR a positive PCR test for SARS-CoV-2 within the last 24hrs with a Ct value of less than 25 (all viral targets)</w:t>
      </w:r>
      <w:r w:rsidR="00CE2F74" w:rsidRPr="001C0C4B">
        <w:rPr>
          <w:rFonts w:ascii="Calibri" w:hAnsi="Calibri" w:cs="Calibri"/>
        </w:rPr>
        <w:t xml:space="preserve">. </w:t>
      </w:r>
      <w:r w:rsidR="00CE2F74" w:rsidRPr="001C0C4B">
        <w:rPr>
          <w:rFonts w:ascii="Calibri" w:hAnsi="Calibri" w:cs="Calibri"/>
          <w:iCs/>
        </w:rPr>
        <w:t>A</w:t>
      </w:r>
      <w:r w:rsidR="00A87D25" w:rsidRPr="001C0C4B">
        <w:rPr>
          <w:rFonts w:ascii="Calibri" w:hAnsi="Calibri" w:cs="Calibri"/>
          <w:iCs/>
        </w:rPr>
        <w:t xml:space="preserve"> SARS-CoV</w:t>
      </w:r>
      <w:r w:rsidR="00E66E98" w:rsidRPr="001C0C4B">
        <w:rPr>
          <w:rFonts w:ascii="Calibri" w:hAnsi="Calibri" w:cs="Calibri"/>
          <w:iCs/>
        </w:rPr>
        <w:t>-2</w:t>
      </w:r>
      <w:r w:rsidR="00A87D25" w:rsidRPr="001C0C4B">
        <w:rPr>
          <w:rFonts w:ascii="Calibri" w:hAnsi="Calibri" w:cs="Calibri"/>
          <w:iCs/>
        </w:rPr>
        <w:t xml:space="preserve"> antibody RDT</w:t>
      </w:r>
      <w:r w:rsidR="00F27057" w:rsidRPr="001C0C4B">
        <w:rPr>
          <w:rFonts w:ascii="Calibri" w:hAnsi="Calibri" w:cs="Calibri"/>
          <w:iCs/>
        </w:rPr>
        <w:t xml:space="preserve"> </w:t>
      </w:r>
      <w:r w:rsidR="00CE2F74" w:rsidRPr="001C0C4B">
        <w:rPr>
          <w:rFonts w:ascii="Calibri" w:hAnsi="Calibri" w:cs="Calibri"/>
          <w:iCs/>
        </w:rPr>
        <w:t xml:space="preserve">will be done and the result recorded </w:t>
      </w:r>
      <w:r w:rsidR="00F27057" w:rsidRPr="001C0C4B">
        <w:rPr>
          <w:rFonts w:ascii="Calibri" w:hAnsi="Calibri" w:cs="Calibri"/>
          <w:iCs/>
        </w:rPr>
        <w:t>(</w:t>
      </w:r>
      <w:r w:rsidR="00344D1C" w:rsidRPr="001C0C4B">
        <w:rPr>
          <w:rFonts w:ascii="Calibri" w:hAnsi="Calibri" w:cs="Calibri"/>
          <w:iCs/>
        </w:rPr>
        <w:t xml:space="preserve">antibodies </w:t>
      </w:r>
      <w:r w:rsidR="006A5F98" w:rsidRPr="001C0C4B">
        <w:rPr>
          <w:rFonts w:ascii="Calibri" w:hAnsi="Calibri" w:cs="Calibri"/>
          <w:iCs/>
        </w:rPr>
        <w:t>strongly correlate with higher viral loads</w:t>
      </w:r>
      <w:r w:rsidR="00F33017" w:rsidRPr="001C0C4B">
        <w:rPr>
          <w:rFonts w:ascii="Calibri" w:hAnsi="Calibri" w:cs="Calibri"/>
          <w:iCs/>
        </w:rPr>
        <w:t xml:space="preserve"> (11)</w:t>
      </w:r>
      <w:r w:rsidR="00344D1C" w:rsidRPr="001C0C4B">
        <w:rPr>
          <w:rFonts w:ascii="Calibri" w:hAnsi="Calibri" w:cs="Calibri"/>
          <w:iCs/>
        </w:rPr>
        <w:t>)</w:t>
      </w:r>
      <w:r w:rsidR="00CE2F74" w:rsidRPr="001C0C4B">
        <w:rPr>
          <w:rFonts w:ascii="Calibri" w:hAnsi="Calibri" w:cs="Calibri"/>
          <w:iCs/>
        </w:rPr>
        <w:t>. Patients will be included</w:t>
      </w:r>
      <w:r w:rsidR="00A87D25" w:rsidRPr="001C0C4B">
        <w:rPr>
          <w:rFonts w:ascii="Calibri" w:hAnsi="Calibri" w:cs="Calibri"/>
          <w:iCs/>
        </w:rPr>
        <w:t xml:space="preserve"> </w:t>
      </w:r>
      <w:r w:rsidRPr="001C0C4B">
        <w:rPr>
          <w:rFonts w:ascii="Calibri" w:hAnsi="Calibri" w:cs="Calibri"/>
        </w:rPr>
        <w:t xml:space="preserve">who can be followed up reliably for </w:t>
      </w:r>
      <w:r w:rsidR="00AD4BB6" w:rsidRPr="001C0C4B">
        <w:rPr>
          <w:rFonts w:ascii="Calibri" w:hAnsi="Calibri" w:cs="Calibri"/>
        </w:rPr>
        <w:t>28</w:t>
      </w:r>
      <w:r w:rsidR="008B4555" w:rsidRPr="001C0C4B">
        <w:rPr>
          <w:rFonts w:ascii="Calibri" w:hAnsi="Calibri" w:cs="Calibri"/>
        </w:rPr>
        <w:t xml:space="preserve"> </w:t>
      </w:r>
      <w:r w:rsidRPr="001C0C4B">
        <w:rPr>
          <w:rFonts w:ascii="Calibri" w:hAnsi="Calibri" w:cs="Calibri"/>
        </w:rPr>
        <w:t>days</w:t>
      </w:r>
      <w:r w:rsidR="00015CC4" w:rsidRPr="001C0C4B">
        <w:rPr>
          <w:rFonts w:ascii="Calibri" w:hAnsi="Calibri" w:cs="Calibri"/>
        </w:rPr>
        <w:t xml:space="preserve"> (1</w:t>
      </w:r>
      <w:r w:rsidR="00407461" w:rsidRPr="001C0C4B">
        <w:rPr>
          <w:rFonts w:ascii="Calibri" w:hAnsi="Calibri" w:cs="Calibri"/>
        </w:rPr>
        <w:t>7</w:t>
      </w:r>
      <w:r w:rsidR="00015CC4" w:rsidRPr="001C0C4B">
        <w:rPr>
          <w:rFonts w:ascii="Calibri" w:hAnsi="Calibri" w:cs="Calibri"/>
        </w:rPr>
        <w:t>-1</w:t>
      </w:r>
      <w:r w:rsidR="00407461" w:rsidRPr="001C0C4B">
        <w:rPr>
          <w:rFonts w:ascii="Calibri" w:hAnsi="Calibri" w:cs="Calibri"/>
        </w:rPr>
        <w:t>9</w:t>
      </w:r>
      <w:r w:rsidR="00015CC4" w:rsidRPr="001C0C4B">
        <w:rPr>
          <w:rFonts w:ascii="Calibri" w:hAnsi="Calibri" w:cs="Calibri"/>
        </w:rPr>
        <w:t>)</w:t>
      </w:r>
      <w:r w:rsidRPr="001C0C4B">
        <w:rPr>
          <w:rFonts w:ascii="Calibri" w:hAnsi="Calibri" w:cs="Calibri"/>
        </w:rPr>
        <w:t>.</w:t>
      </w:r>
      <w:r w:rsidR="005C3458" w:rsidRPr="001C0C4B">
        <w:rPr>
          <w:rFonts w:ascii="Calibri" w:hAnsi="Calibri" w:cs="Calibri"/>
        </w:rPr>
        <w:t xml:space="preserve"> </w:t>
      </w:r>
      <w:r w:rsidR="000A5A5A" w:rsidRPr="001C0C4B">
        <w:rPr>
          <w:rFonts w:ascii="Calibri" w:hAnsi="Calibri" w:cs="Calibri"/>
        </w:rPr>
        <w:t>I</w:t>
      </w:r>
      <w:r w:rsidR="005C3458" w:rsidRPr="001C0C4B">
        <w:rPr>
          <w:rFonts w:ascii="Calibri" w:hAnsi="Calibri" w:cs="Calibri"/>
        </w:rPr>
        <w:t xml:space="preserve">t is expected that vaccination coverage </w:t>
      </w:r>
      <w:r w:rsidR="000A5A5A" w:rsidRPr="001C0C4B">
        <w:rPr>
          <w:rFonts w:ascii="Calibri" w:hAnsi="Calibri" w:cs="Calibri"/>
        </w:rPr>
        <w:t xml:space="preserve">will </w:t>
      </w:r>
      <w:r w:rsidR="005C3458" w:rsidRPr="001C0C4B">
        <w:rPr>
          <w:rFonts w:ascii="Calibri" w:hAnsi="Calibri" w:cs="Calibri"/>
        </w:rPr>
        <w:t>increase during the study period</w:t>
      </w:r>
      <w:r w:rsidR="00BC1B4D" w:rsidRPr="001C0C4B">
        <w:rPr>
          <w:rFonts w:ascii="Calibri" w:hAnsi="Calibri" w:cs="Calibri"/>
        </w:rPr>
        <w:t xml:space="preserve"> as well as </w:t>
      </w:r>
      <w:r w:rsidR="000A5A5A" w:rsidRPr="001C0C4B">
        <w:rPr>
          <w:rFonts w:ascii="Calibri" w:hAnsi="Calibri" w:cs="Calibri"/>
        </w:rPr>
        <w:t xml:space="preserve">the cumulative number of </w:t>
      </w:r>
      <w:r w:rsidR="00BC1B4D" w:rsidRPr="001C0C4B">
        <w:rPr>
          <w:rFonts w:ascii="Calibri" w:hAnsi="Calibri" w:cs="Calibri"/>
        </w:rPr>
        <w:t>natural infection</w:t>
      </w:r>
      <w:r w:rsidR="000A5A5A" w:rsidRPr="001C0C4B">
        <w:rPr>
          <w:rFonts w:ascii="Calibri" w:hAnsi="Calibri" w:cs="Calibri"/>
        </w:rPr>
        <w:t xml:space="preserve">s. </w:t>
      </w:r>
    </w:p>
    <w:p w14:paraId="72217403" w14:textId="77777777" w:rsidR="007A20F8" w:rsidRPr="001C0C4B" w:rsidRDefault="007A20F8" w:rsidP="00CE1074">
      <w:pPr>
        <w:spacing w:after="0" w:line="240" w:lineRule="auto"/>
        <w:jc w:val="both"/>
        <w:rPr>
          <w:rFonts w:ascii="Calibri" w:hAnsi="Calibri" w:cs="Calibri"/>
          <w:lang w:val="en-GB" w:eastAsia="en-GB"/>
        </w:rPr>
      </w:pPr>
    </w:p>
    <w:p w14:paraId="7FF82687" w14:textId="75685B45" w:rsidR="00E66E98" w:rsidRPr="001C0C4B" w:rsidRDefault="15CEA867" w:rsidP="003B5948">
      <w:pPr>
        <w:jc w:val="both"/>
        <w:rPr>
          <w:rFonts w:ascii="Calibri" w:hAnsi="Calibri" w:cs="Calibri"/>
        </w:rPr>
      </w:pPr>
      <w:r w:rsidRPr="001C0C4B">
        <w:rPr>
          <w:rFonts w:ascii="Calibri" w:hAnsi="Calibri" w:cs="Calibri"/>
        </w:rPr>
        <w:t xml:space="preserve">The </w:t>
      </w:r>
      <w:r w:rsidR="24478BC4" w:rsidRPr="001C0C4B">
        <w:rPr>
          <w:rFonts w:ascii="Calibri" w:hAnsi="Calibri" w:cs="Calibri"/>
        </w:rPr>
        <w:t>primary</w:t>
      </w:r>
      <w:r w:rsidRPr="001C0C4B">
        <w:rPr>
          <w:rFonts w:ascii="Calibri" w:hAnsi="Calibri" w:cs="Calibri"/>
        </w:rPr>
        <w:t xml:space="preserve"> pharmacodynamic </w:t>
      </w:r>
      <w:r w:rsidR="00734B4A" w:rsidRPr="001C0C4B">
        <w:rPr>
          <w:rFonts w:ascii="Calibri" w:hAnsi="Calibri" w:cs="Calibri"/>
        </w:rPr>
        <w:t xml:space="preserve">measure </w:t>
      </w:r>
      <w:r w:rsidR="00037DBF" w:rsidRPr="001C0C4B">
        <w:rPr>
          <w:rFonts w:ascii="Calibri" w:hAnsi="Calibri" w:cs="Calibri"/>
        </w:rPr>
        <w:t xml:space="preserve">in this study </w:t>
      </w:r>
      <w:r w:rsidRPr="001C0C4B">
        <w:rPr>
          <w:rFonts w:ascii="Calibri" w:hAnsi="Calibri" w:cs="Calibri"/>
        </w:rPr>
        <w:t>is the rate of viral clearance</w:t>
      </w:r>
      <w:r w:rsidR="00B83DD2" w:rsidRPr="001C0C4B">
        <w:rPr>
          <w:rFonts w:ascii="Calibri" w:hAnsi="Calibri" w:cs="Calibri"/>
        </w:rPr>
        <w:t xml:space="preserve"> </w:t>
      </w:r>
      <w:r w:rsidR="31476080" w:rsidRPr="001C0C4B">
        <w:rPr>
          <w:rFonts w:ascii="Calibri" w:hAnsi="Calibri" w:cs="Calibri"/>
        </w:rPr>
        <w:t>(</w:t>
      </w:r>
      <w:r w:rsidR="00B83DD2" w:rsidRPr="001C0C4B">
        <w:rPr>
          <w:rFonts w:ascii="Calibri" w:hAnsi="Calibri" w:cs="Calibri"/>
        </w:rPr>
        <w:t xml:space="preserve">expressed as </w:t>
      </w:r>
      <w:r w:rsidR="00417CC2" w:rsidRPr="001C0C4B">
        <w:rPr>
          <w:rFonts w:ascii="Calibri" w:hAnsi="Calibri" w:cs="Calibri"/>
        </w:rPr>
        <w:t xml:space="preserve">the </w:t>
      </w:r>
      <w:r w:rsidR="3A6743F2" w:rsidRPr="001C0C4B">
        <w:rPr>
          <w:rFonts w:ascii="Calibri" w:hAnsi="Calibri" w:cs="Calibri"/>
        </w:rPr>
        <w:t xml:space="preserve">slope of a </w:t>
      </w:r>
      <w:r w:rsidR="00E63B83" w:rsidRPr="001C0C4B">
        <w:rPr>
          <w:rFonts w:ascii="Calibri" w:hAnsi="Calibri" w:cs="Calibri"/>
        </w:rPr>
        <w:t xml:space="preserve">fitted </w:t>
      </w:r>
      <w:r w:rsidR="3A6743F2" w:rsidRPr="001C0C4B">
        <w:rPr>
          <w:rFonts w:ascii="Calibri" w:hAnsi="Calibri" w:cs="Calibri"/>
        </w:rPr>
        <w:t xml:space="preserve">regression </w:t>
      </w:r>
      <w:r w:rsidR="00E63B83" w:rsidRPr="001C0C4B">
        <w:rPr>
          <w:rFonts w:ascii="Calibri" w:hAnsi="Calibri" w:cs="Calibri"/>
        </w:rPr>
        <w:t xml:space="preserve">to the linear segment of the serial </w:t>
      </w:r>
      <w:r w:rsidR="00037DBF" w:rsidRPr="001C0C4B">
        <w:rPr>
          <w:rFonts w:ascii="Calibri" w:hAnsi="Calibri" w:cs="Calibri"/>
        </w:rPr>
        <w:t xml:space="preserve">standardized </w:t>
      </w:r>
      <w:r w:rsidR="00E63B83" w:rsidRPr="001C0C4B">
        <w:rPr>
          <w:rFonts w:ascii="Calibri" w:hAnsi="Calibri" w:cs="Calibri"/>
        </w:rPr>
        <w:t>oropharynge</w:t>
      </w:r>
      <w:r w:rsidR="00734B4A" w:rsidRPr="001C0C4B">
        <w:rPr>
          <w:rFonts w:ascii="Calibri" w:hAnsi="Calibri" w:cs="Calibri"/>
        </w:rPr>
        <w:t>a</w:t>
      </w:r>
      <w:r w:rsidR="00E63B83" w:rsidRPr="001C0C4B">
        <w:rPr>
          <w:rFonts w:ascii="Calibri" w:hAnsi="Calibri" w:cs="Calibri"/>
        </w:rPr>
        <w:t xml:space="preserve">l </w:t>
      </w:r>
      <w:r w:rsidR="00037DBF" w:rsidRPr="001C0C4B">
        <w:rPr>
          <w:rFonts w:ascii="Calibri" w:hAnsi="Calibri" w:cs="Calibri"/>
        </w:rPr>
        <w:t xml:space="preserve">sample </w:t>
      </w:r>
      <w:r w:rsidR="00E63B83" w:rsidRPr="001C0C4B">
        <w:rPr>
          <w:rFonts w:ascii="Calibri" w:hAnsi="Calibri" w:cs="Calibri"/>
        </w:rPr>
        <w:t>qPCR</w:t>
      </w:r>
      <w:r w:rsidR="00734B4A" w:rsidRPr="001C0C4B">
        <w:rPr>
          <w:rFonts w:ascii="Calibri" w:hAnsi="Calibri" w:cs="Calibri"/>
        </w:rPr>
        <w:t xml:space="preserve"> densities </w:t>
      </w:r>
      <w:r w:rsidR="009045FF" w:rsidRPr="001C0C4B">
        <w:rPr>
          <w:rFonts w:ascii="Calibri" w:hAnsi="Calibri" w:cs="Calibri"/>
        </w:rPr>
        <w:t>from day 0 to day 7</w:t>
      </w:r>
      <w:r w:rsidR="3A6743F2" w:rsidRPr="001C0C4B">
        <w:rPr>
          <w:rFonts w:ascii="Calibri" w:hAnsi="Calibri" w:cs="Calibri"/>
        </w:rPr>
        <w:t xml:space="preserve">) </w:t>
      </w:r>
      <w:r w:rsidRPr="001C0C4B">
        <w:rPr>
          <w:rFonts w:ascii="Calibri" w:hAnsi="Calibri" w:cs="Calibri"/>
        </w:rPr>
        <w:t>following treatment</w:t>
      </w:r>
      <w:r w:rsidR="00015CC4" w:rsidRPr="001C0C4B">
        <w:rPr>
          <w:rFonts w:ascii="Calibri" w:hAnsi="Calibri" w:cs="Calibri"/>
        </w:rPr>
        <w:t xml:space="preserve"> (</w:t>
      </w:r>
      <w:r w:rsidR="00407461" w:rsidRPr="001C0C4B">
        <w:rPr>
          <w:rFonts w:ascii="Calibri" w:hAnsi="Calibri" w:cs="Calibri"/>
        </w:rPr>
        <w:t>5</w:t>
      </w:r>
      <w:r w:rsidR="00015CC4" w:rsidRPr="001C0C4B">
        <w:rPr>
          <w:rFonts w:ascii="Calibri" w:hAnsi="Calibri" w:cs="Calibri"/>
        </w:rPr>
        <w:t>)</w:t>
      </w:r>
      <w:r w:rsidRPr="001C0C4B">
        <w:rPr>
          <w:rFonts w:ascii="Calibri" w:hAnsi="Calibri" w:cs="Calibri"/>
        </w:rPr>
        <w:t>.</w:t>
      </w:r>
      <w:r w:rsidR="16DC735B" w:rsidRPr="001C0C4B">
        <w:rPr>
          <w:rFonts w:ascii="Calibri" w:hAnsi="Calibri" w:cs="Calibri"/>
        </w:rPr>
        <w:t xml:space="preserve"> Each site will include a </w:t>
      </w:r>
      <w:r w:rsidR="00A75112" w:rsidRPr="001C0C4B">
        <w:rPr>
          <w:rFonts w:ascii="Calibri" w:hAnsi="Calibri" w:cs="Calibri"/>
        </w:rPr>
        <w:t>no antiviral treatment</w:t>
      </w:r>
      <w:r w:rsidR="00417CC2" w:rsidRPr="001C0C4B">
        <w:rPr>
          <w:rFonts w:ascii="Calibri" w:hAnsi="Calibri" w:cs="Calibri"/>
        </w:rPr>
        <w:t xml:space="preserve"> </w:t>
      </w:r>
      <w:r w:rsidR="16DC735B" w:rsidRPr="001C0C4B">
        <w:rPr>
          <w:rFonts w:ascii="Calibri" w:hAnsi="Calibri" w:cs="Calibri"/>
        </w:rPr>
        <w:t>control arm</w:t>
      </w:r>
      <w:r w:rsidR="00417CC2" w:rsidRPr="001C0C4B">
        <w:rPr>
          <w:rFonts w:ascii="Calibri" w:hAnsi="Calibri" w:cs="Calibri"/>
        </w:rPr>
        <w:t xml:space="preserve"> </w:t>
      </w:r>
      <w:r w:rsidR="00AF3661" w:rsidRPr="001C0C4B">
        <w:rPr>
          <w:rFonts w:ascii="Calibri" w:hAnsi="Calibri" w:cs="Calibri"/>
        </w:rPr>
        <w:t xml:space="preserve">consisting </w:t>
      </w:r>
      <w:r w:rsidR="00417CC2" w:rsidRPr="001C0C4B">
        <w:rPr>
          <w:rFonts w:ascii="Calibri" w:hAnsi="Calibri" w:cs="Calibri"/>
        </w:rPr>
        <w:t>of patient</w:t>
      </w:r>
      <w:r w:rsidR="00AF3661" w:rsidRPr="001C0C4B">
        <w:rPr>
          <w:rFonts w:ascii="Calibri" w:hAnsi="Calibri" w:cs="Calibri"/>
        </w:rPr>
        <w:t>s</w:t>
      </w:r>
      <w:r w:rsidR="00417CC2" w:rsidRPr="001C0C4B">
        <w:rPr>
          <w:rFonts w:ascii="Calibri" w:hAnsi="Calibri" w:cs="Calibri"/>
        </w:rPr>
        <w:t xml:space="preserve"> not receiving any </w:t>
      </w:r>
      <w:r w:rsidR="00B96F79" w:rsidRPr="001C0C4B">
        <w:rPr>
          <w:rFonts w:ascii="Calibri" w:hAnsi="Calibri" w:cs="Calibri"/>
        </w:rPr>
        <w:t xml:space="preserve">antiviral treatment, </w:t>
      </w:r>
      <w:r w:rsidR="00B96F79" w:rsidRPr="001C0C4B">
        <w:rPr>
          <w:rFonts w:ascii="Calibri" w:eastAsia="Times New Roman" w:hAnsi="Calibri" w:cs="Calibri"/>
          <w:lang w:val="en-GB" w:eastAsia="en-GB"/>
        </w:rPr>
        <w:t xml:space="preserve">although local hospital supportive treatment will remain </w:t>
      </w:r>
      <w:r w:rsidR="00334D18" w:rsidRPr="001C0C4B">
        <w:rPr>
          <w:rFonts w:ascii="Calibri" w:eastAsia="Times New Roman" w:hAnsi="Calibri" w:cs="Calibri"/>
          <w:lang w:val="en-GB" w:eastAsia="en-GB"/>
        </w:rPr>
        <w:t>unchanged</w:t>
      </w:r>
      <w:r w:rsidR="00334D18" w:rsidRPr="001C0C4B">
        <w:rPr>
          <w:rFonts w:ascii="Calibri" w:hAnsi="Calibri"/>
          <w:lang w:val="en-GB"/>
        </w:rPr>
        <w:t xml:space="preserve"> for </w:t>
      </w:r>
      <w:r w:rsidR="00334D18" w:rsidRPr="001C0C4B">
        <w:rPr>
          <w:rFonts w:ascii="Calibri" w:eastAsia="Times New Roman" w:hAnsi="Calibri" w:cs="Calibri"/>
          <w:lang w:val="en-GB" w:eastAsia="en-GB"/>
        </w:rPr>
        <w:t xml:space="preserve">the patients including </w:t>
      </w:r>
      <w:r w:rsidR="00334D18" w:rsidRPr="001C0C4B">
        <w:rPr>
          <w:rFonts w:ascii="Calibri" w:hAnsi="Calibri"/>
          <w:lang w:val="en-GB"/>
        </w:rPr>
        <w:t>antipyretics</w:t>
      </w:r>
      <w:r w:rsidR="00334D18" w:rsidRPr="001C0C4B">
        <w:rPr>
          <w:rFonts w:ascii="Calibri" w:eastAsia="Times New Roman" w:hAnsi="Calibri" w:cs="Calibri"/>
          <w:lang w:val="en-GB" w:eastAsia="en-GB"/>
        </w:rPr>
        <w:t>, anti-tussives, antihistamines, vitamins etc and other required medications</w:t>
      </w:r>
      <w:r w:rsidR="00D9296B" w:rsidRPr="001C0C4B">
        <w:rPr>
          <w:rFonts w:ascii="Calibri" w:eastAsia="Times New Roman" w:hAnsi="Calibri" w:cs="Calibri"/>
          <w:lang w:val="en-GB" w:eastAsia="en-GB"/>
        </w:rPr>
        <w:t>, in the clinical judgement of the treating Physician</w:t>
      </w:r>
      <w:r w:rsidR="40BC89CB" w:rsidRPr="001C0C4B">
        <w:rPr>
          <w:rFonts w:ascii="Calibri" w:hAnsi="Calibri" w:cs="Calibri"/>
        </w:rPr>
        <w:t>.</w:t>
      </w:r>
      <w:r w:rsidR="16DC735B" w:rsidRPr="001C0C4B">
        <w:rPr>
          <w:rFonts w:ascii="Calibri" w:hAnsi="Calibri" w:cs="Calibri"/>
        </w:rPr>
        <w:t xml:space="preserve"> </w:t>
      </w:r>
    </w:p>
    <w:p w14:paraId="0D468CC3" w14:textId="4AD77AB6" w:rsidR="00582639" w:rsidRPr="001C0C4B" w:rsidRDefault="00582639" w:rsidP="00E142CD">
      <w:pPr>
        <w:pStyle w:val="Heading2"/>
        <w:numPr>
          <w:ilvl w:val="1"/>
          <w:numId w:val="23"/>
        </w:numPr>
        <w:rPr>
          <w:rFonts w:ascii="Calibri" w:hAnsi="Calibri" w:cs="Calibri"/>
          <w:color w:val="auto"/>
          <w:sz w:val="22"/>
          <w:szCs w:val="22"/>
        </w:rPr>
      </w:pPr>
      <w:bookmarkStart w:id="86" w:name="_Toc96007278"/>
      <w:bookmarkStart w:id="87" w:name="_Toc95915231"/>
      <w:bookmarkStart w:id="88" w:name="_Toc74661276"/>
      <w:bookmarkStart w:id="89" w:name="_Toc110523970"/>
      <w:bookmarkStart w:id="90" w:name="_Toc96005581"/>
      <w:bookmarkStart w:id="91" w:name="_Toc112917619"/>
      <w:r w:rsidRPr="001C0C4B">
        <w:rPr>
          <w:rFonts w:ascii="Calibri" w:hAnsi="Calibri" w:cs="Calibri"/>
          <w:color w:val="auto"/>
          <w:sz w:val="22"/>
          <w:szCs w:val="22"/>
        </w:rPr>
        <w:t>Interventions</w:t>
      </w:r>
      <w:bookmarkEnd w:id="86"/>
      <w:bookmarkEnd w:id="87"/>
      <w:bookmarkEnd w:id="88"/>
      <w:bookmarkEnd w:id="89"/>
      <w:bookmarkEnd w:id="90"/>
      <w:bookmarkEnd w:id="91"/>
    </w:p>
    <w:p w14:paraId="476E55A6" w14:textId="3139B0F6" w:rsidR="00E66E98" w:rsidRPr="001C0C4B" w:rsidRDefault="00E66E98" w:rsidP="009B1CD1">
      <w:pPr>
        <w:jc w:val="both"/>
        <w:rPr>
          <w:rFonts w:ascii="Calibri" w:hAnsi="Calibri" w:cs="Calibri"/>
        </w:rPr>
      </w:pPr>
      <w:r w:rsidRPr="001C0C4B">
        <w:rPr>
          <w:rFonts w:ascii="Calibri" w:hAnsi="Calibri" w:cs="Calibri"/>
        </w:rPr>
        <w:t>Intervention arms will be of three types:</w:t>
      </w:r>
    </w:p>
    <w:p w14:paraId="04B3C3EA" w14:textId="695A7ABB" w:rsidR="00E66E98" w:rsidRPr="001C0C4B" w:rsidRDefault="00424FDD" w:rsidP="009E06F8">
      <w:pPr>
        <w:pStyle w:val="ListParagraph"/>
        <w:numPr>
          <w:ilvl w:val="0"/>
          <w:numId w:val="13"/>
        </w:numPr>
        <w:jc w:val="both"/>
        <w:rPr>
          <w:rFonts w:ascii="Calibri" w:hAnsi="Calibri" w:cs="Calibri"/>
        </w:rPr>
      </w:pPr>
      <w:r w:rsidRPr="001C0C4B">
        <w:rPr>
          <w:rFonts w:ascii="Calibri" w:hAnsi="Calibri"/>
        </w:rPr>
        <w:lastRenderedPageBreak/>
        <w:t>Newly available and r</w:t>
      </w:r>
      <w:r w:rsidR="00E66E98" w:rsidRPr="001C0C4B">
        <w:rPr>
          <w:rFonts w:ascii="Calibri" w:hAnsi="Calibri"/>
        </w:rPr>
        <w:t>epurposed</w:t>
      </w:r>
      <w:r w:rsidR="00E66E98" w:rsidRPr="001C0C4B">
        <w:rPr>
          <w:rFonts w:ascii="Calibri" w:hAnsi="Calibri" w:cs="Calibri"/>
        </w:rPr>
        <w:t xml:space="preserve"> antiviral drugs. The initial list of intervention drugs </w:t>
      </w:r>
      <w:r w:rsidR="00957F8D" w:rsidRPr="001C0C4B">
        <w:rPr>
          <w:rFonts w:ascii="Calibri" w:hAnsi="Calibri" w:cs="Calibri"/>
        </w:rPr>
        <w:t xml:space="preserve">is </w:t>
      </w:r>
      <w:r w:rsidR="00E66E98" w:rsidRPr="001C0C4B">
        <w:rPr>
          <w:rFonts w:ascii="Calibri" w:hAnsi="Calibri" w:cs="Calibri"/>
        </w:rPr>
        <w:t xml:space="preserve">Hydroxychloroquine, Ivermectin, </w:t>
      </w:r>
      <w:r w:rsidR="007207D5" w:rsidRPr="001C0C4B">
        <w:rPr>
          <w:rFonts w:ascii="Calibri" w:hAnsi="Calibri"/>
        </w:rPr>
        <w:t>Lopinavir/Ritonavir, Fluoxetine</w:t>
      </w:r>
      <w:r w:rsidR="00E66E98" w:rsidRPr="001C0C4B">
        <w:rPr>
          <w:rFonts w:ascii="Calibri" w:hAnsi="Calibri"/>
        </w:rPr>
        <w:t>,</w:t>
      </w:r>
      <w:r w:rsidRPr="001C0C4B">
        <w:rPr>
          <w:rFonts w:ascii="Calibri" w:hAnsi="Calibri"/>
        </w:rPr>
        <w:t xml:space="preserve"> </w:t>
      </w:r>
      <w:r w:rsidR="00BB37C1" w:rsidRPr="001C0C4B">
        <w:rPr>
          <w:rFonts w:ascii="Calibri" w:hAnsi="Calibri"/>
        </w:rPr>
        <w:t>F</w:t>
      </w:r>
      <w:r w:rsidRPr="001C0C4B">
        <w:rPr>
          <w:rFonts w:ascii="Calibri" w:hAnsi="Calibri"/>
        </w:rPr>
        <w:t>luvoxamine</w:t>
      </w:r>
      <w:r w:rsidR="00BB37C1" w:rsidRPr="001C0C4B">
        <w:rPr>
          <w:rFonts w:ascii="Calibri" w:hAnsi="Calibri"/>
        </w:rPr>
        <w:t>,</w:t>
      </w:r>
      <w:r w:rsidR="00E66E98" w:rsidRPr="001C0C4B">
        <w:rPr>
          <w:rFonts w:ascii="Calibri" w:hAnsi="Calibri" w:cs="Calibri"/>
        </w:rPr>
        <w:t xml:space="preserve"> Miglustat, Remdesivir</w:t>
      </w:r>
      <w:bookmarkEnd w:id="62"/>
      <w:r w:rsidR="00E66E98" w:rsidRPr="001C0C4B">
        <w:rPr>
          <w:rFonts w:ascii="Calibri" w:hAnsi="Calibri" w:cs="Calibri"/>
        </w:rPr>
        <w:t>, Nitazoxanide</w:t>
      </w:r>
      <w:r w:rsidR="009D40F5" w:rsidRPr="001C0C4B">
        <w:rPr>
          <w:rFonts w:ascii="Calibri" w:hAnsi="Calibri" w:cs="Calibri"/>
        </w:rPr>
        <w:t xml:space="preserve">, </w:t>
      </w:r>
      <w:r w:rsidR="007A74C3" w:rsidRPr="001C0C4B">
        <w:rPr>
          <w:rFonts w:ascii="Calibri" w:hAnsi="Calibri" w:cs="Calibri"/>
        </w:rPr>
        <w:t>N</w:t>
      </w:r>
      <w:r w:rsidR="0077715B" w:rsidRPr="001C0C4B">
        <w:rPr>
          <w:rFonts w:ascii="Calibri" w:hAnsi="Calibri" w:cs="Calibri"/>
        </w:rPr>
        <w:t xml:space="preserve">ebulised </w:t>
      </w:r>
      <w:r w:rsidR="007A74C3" w:rsidRPr="001C0C4B">
        <w:rPr>
          <w:rFonts w:ascii="Calibri" w:hAnsi="Calibri" w:cs="Calibri"/>
        </w:rPr>
        <w:t>U</w:t>
      </w:r>
      <w:r w:rsidR="0077715B" w:rsidRPr="001C0C4B">
        <w:rPr>
          <w:rFonts w:ascii="Calibri" w:hAnsi="Calibri" w:cs="Calibri"/>
        </w:rPr>
        <w:t xml:space="preserve">nfractionated </w:t>
      </w:r>
      <w:r w:rsidR="007A74C3" w:rsidRPr="001C0C4B">
        <w:rPr>
          <w:rFonts w:ascii="Calibri" w:hAnsi="Calibri" w:cs="Calibri"/>
        </w:rPr>
        <w:t>H</w:t>
      </w:r>
      <w:r w:rsidR="009D40F5" w:rsidRPr="001C0C4B">
        <w:rPr>
          <w:rFonts w:ascii="Calibri" w:hAnsi="Calibri" w:cs="Calibri"/>
        </w:rPr>
        <w:t>eparin</w:t>
      </w:r>
      <w:r w:rsidR="0077715B" w:rsidRPr="001C0C4B">
        <w:rPr>
          <w:rFonts w:ascii="Calibri" w:hAnsi="Calibri" w:cs="Calibri"/>
        </w:rPr>
        <w:t xml:space="preserve"> (UFH)</w:t>
      </w:r>
      <w:r w:rsidR="00590E8F" w:rsidRPr="001C0C4B">
        <w:rPr>
          <w:rFonts w:ascii="Calibri" w:hAnsi="Calibri" w:cs="Calibri"/>
        </w:rPr>
        <w:t>, Favipiravir</w:t>
      </w:r>
      <w:r w:rsidRPr="001C0C4B">
        <w:rPr>
          <w:rFonts w:ascii="Calibri" w:hAnsi="Calibri" w:cs="Calibri"/>
        </w:rPr>
        <w:t xml:space="preserve">, </w:t>
      </w:r>
      <w:r w:rsidRPr="001C0C4B">
        <w:rPr>
          <w:rFonts w:ascii="Calibri" w:hAnsi="Calibri"/>
        </w:rPr>
        <w:t>Molnupiravir and Nirmatrelvir/Ritonavir</w:t>
      </w:r>
      <w:r w:rsidR="00A92487" w:rsidRPr="001C0C4B">
        <w:rPr>
          <w:rFonts w:ascii="Calibri" w:hAnsi="Calibri"/>
        </w:rPr>
        <w:t xml:space="preserve">, </w:t>
      </w:r>
      <w:r w:rsidR="004F02B1" w:rsidRPr="001C0C4B">
        <w:rPr>
          <w:rFonts w:ascii="Calibri" w:hAnsi="Calibri"/>
          <w:lang w:val="en-GB"/>
        </w:rPr>
        <w:t>E</w:t>
      </w:r>
      <w:r w:rsidR="00A92487" w:rsidRPr="001C0C4B">
        <w:rPr>
          <w:rFonts w:ascii="Calibri" w:hAnsi="Calibri"/>
          <w:lang w:val="en-GB"/>
        </w:rPr>
        <w:t>nsitrelvi</w:t>
      </w:r>
      <w:r w:rsidR="0096610E" w:rsidRPr="001C0C4B">
        <w:rPr>
          <w:rFonts w:ascii="Calibri" w:hAnsi="Calibri"/>
          <w:lang w:val="en-GB"/>
        </w:rPr>
        <w:t>r</w:t>
      </w:r>
      <w:r w:rsidR="00FA0217" w:rsidRPr="001C0C4B">
        <w:rPr>
          <w:rFonts w:ascii="Calibri" w:hAnsi="Calibri"/>
          <w:lang w:val="en-GB"/>
        </w:rPr>
        <w:t xml:space="preserve"> and a combination of </w:t>
      </w:r>
      <w:r w:rsidR="0036399C" w:rsidRPr="001C0C4B">
        <w:rPr>
          <w:rFonts w:ascii="Calibri" w:hAnsi="Calibri"/>
          <w:lang w:val="en-GB"/>
        </w:rPr>
        <w:t>M</w:t>
      </w:r>
      <w:r w:rsidR="00FA0217" w:rsidRPr="001C0C4B">
        <w:rPr>
          <w:rFonts w:ascii="Calibri" w:hAnsi="Calibri"/>
          <w:lang w:val="en-GB"/>
        </w:rPr>
        <w:t xml:space="preserve">olnupiravir and </w:t>
      </w:r>
      <w:r w:rsidR="0036399C" w:rsidRPr="001C0C4B">
        <w:rPr>
          <w:rFonts w:ascii="Calibri" w:hAnsi="Calibri"/>
        </w:rPr>
        <w:t>N</w:t>
      </w:r>
      <w:r w:rsidR="00FA0217" w:rsidRPr="001C0C4B">
        <w:rPr>
          <w:rFonts w:ascii="Calibri" w:hAnsi="Calibri"/>
        </w:rPr>
        <w:t>irmatrelvir/</w:t>
      </w:r>
      <w:r w:rsidR="0036399C" w:rsidRPr="001C0C4B">
        <w:rPr>
          <w:rFonts w:ascii="Calibri" w:hAnsi="Calibri"/>
        </w:rPr>
        <w:t>R</w:t>
      </w:r>
      <w:r w:rsidR="00FA0217" w:rsidRPr="001C0C4B">
        <w:rPr>
          <w:rFonts w:ascii="Calibri" w:hAnsi="Calibri"/>
        </w:rPr>
        <w:t>itonavir</w:t>
      </w:r>
      <w:r w:rsidR="009D40F5" w:rsidRPr="001C0C4B">
        <w:rPr>
          <w:rFonts w:ascii="Calibri" w:hAnsi="Calibri"/>
        </w:rPr>
        <w:t>.</w:t>
      </w:r>
      <w:r w:rsidR="009D40F5" w:rsidRPr="001C0C4B">
        <w:rPr>
          <w:rFonts w:ascii="Calibri" w:hAnsi="Calibri" w:cs="Calibri"/>
        </w:rPr>
        <w:t xml:space="preserve"> </w:t>
      </w:r>
      <w:r w:rsidR="00642E7C" w:rsidRPr="001C0C4B">
        <w:rPr>
          <w:rFonts w:ascii="Calibri" w:hAnsi="Calibri" w:cs="Calibri"/>
        </w:rPr>
        <w:t xml:space="preserve">Additional repurposed drugs </w:t>
      </w:r>
      <w:r w:rsidR="009D40F5" w:rsidRPr="001C0C4B">
        <w:rPr>
          <w:rFonts w:ascii="Calibri" w:hAnsi="Calibri" w:cs="Calibri"/>
        </w:rPr>
        <w:t>can be added</w:t>
      </w:r>
      <w:r w:rsidR="00642E7C" w:rsidRPr="001C0C4B">
        <w:rPr>
          <w:rFonts w:ascii="Calibri" w:hAnsi="Calibri" w:cs="Calibri"/>
        </w:rPr>
        <w:t xml:space="preserve"> to the list</w:t>
      </w:r>
      <w:r w:rsidR="009D40F5" w:rsidRPr="001C0C4B" w:rsidDel="00642E7C">
        <w:rPr>
          <w:rFonts w:ascii="Calibri" w:hAnsi="Calibri" w:cs="Calibri"/>
        </w:rPr>
        <w:t>.</w:t>
      </w:r>
      <w:r w:rsidR="003E7FA7" w:rsidRPr="001C0C4B">
        <w:rPr>
          <w:rFonts w:ascii="Calibri" w:hAnsi="Calibri" w:cs="Calibri"/>
        </w:rPr>
        <w:t xml:space="preserve"> </w:t>
      </w:r>
      <w:r w:rsidR="008F3BA5" w:rsidRPr="001C0C4B">
        <w:rPr>
          <w:rFonts w:ascii="Calibri" w:hAnsi="Calibri" w:cs="Calibri"/>
        </w:rPr>
        <w:t xml:space="preserve">The </w:t>
      </w:r>
      <w:r w:rsidR="00137921" w:rsidRPr="001C0C4B">
        <w:rPr>
          <w:rFonts w:ascii="Calibri" w:hAnsi="Calibri" w:cs="Calibri"/>
        </w:rPr>
        <w:t xml:space="preserve">interventions will </w:t>
      </w:r>
      <w:r w:rsidR="00B07EC9" w:rsidRPr="001C0C4B">
        <w:rPr>
          <w:rFonts w:ascii="Calibri" w:hAnsi="Calibri" w:cs="Calibri"/>
        </w:rPr>
        <w:t xml:space="preserve">be chosen </w:t>
      </w:r>
      <w:r w:rsidR="00C660AF" w:rsidRPr="001C0C4B">
        <w:rPr>
          <w:rFonts w:ascii="Calibri" w:hAnsi="Calibri" w:cs="Calibri"/>
        </w:rPr>
        <w:t>in order of priority</w:t>
      </w:r>
      <w:r w:rsidR="00093265" w:rsidRPr="001C0C4B">
        <w:rPr>
          <w:rFonts w:ascii="Calibri" w:hAnsi="Calibri" w:cs="Calibri"/>
        </w:rPr>
        <w:t xml:space="preserve">, </w:t>
      </w:r>
      <w:r w:rsidR="00315D86" w:rsidRPr="001C0C4B">
        <w:rPr>
          <w:rFonts w:ascii="Calibri" w:hAnsi="Calibri" w:cs="Calibri"/>
        </w:rPr>
        <w:t>as well as local feasibility at sites</w:t>
      </w:r>
      <w:r w:rsidR="00093265" w:rsidRPr="001C0C4B">
        <w:rPr>
          <w:rFonts w:ascii="Calibri" w:hAnsi="Calibri" w:cs="Calibri"/>
        </w:rPr>
        <w:t xml:space="preserve"> (</w:t>
      </w:r>
      <w:r w:rsidR="00D2473A" w:rsidRPr="001C0C4B">
        <w:rPr>
          <w:rFonts w:ascii="Calibri" w:hAnsi="Calibri" w:cs="Calibri"/>
        </w:rPr>
        <w:t>availability of drugs, local EC and regulatory approvals)</w:t>
      </w:r>
      <w:r w:rsidR="00315D86" w:rsidRPr="001C0C4B">
        <w:rPr>
          <w:rFonts w:ascii="Calibri" w:hAnsi="Calibri" w:cs="Calibri"/>
        </w:rPr>
        <w:t>.</w:t>
      </w:r>
      <w:r w:rsidR="00C660AF" w:rsidRPr="001C0C4B">
        <w:rPr>
          <w:rFonts w:ascii="Calibri" w:hAnsi="Calibri" w:cs="Calibri"/>
        </w:rPr>
        <w:t xml:space="preserve"> </w:t>
      </w:r>
    </w:p>
    <w:p w14:paraId="59E0B8D3" w14:textId="4F234242" w:rsidR="00D73CFA" w:rsidRPr="001C0C4B" w:rsidRDefault="00E66E98" w:rsidP="009E06F8">
      <w:pPr>
        <w:pStyle w:val="ListParagraph"/>
        <w:numPr>
          <w:ilvl w:val="0"/>
          <w:numId w:val="13"/>
        </w:numPr>
        <w:jc w:val="both"/>
        <w:rPr>
          <w:rFonts w:ascii="Calibri" w:hAnsi="Calibri" w:cs="Calibri"/>
        </w:rPr>
      </w:pPr>
      <w:r w:rsidRPr="001C0C4B">
        <w:rPr>
          <w:rFonts w:ascii="Calibri" w:hAnsi="Calibri" w:cs="Calibri"/>
        </w:rPr>
        <w:t xml:space="preserve">Positive control: we will initially include the REGN-COV2 </w:t>
      </w:r>
      <w:r w:rsidR="00E8611F" w:rsidRPr="001C0C4B">
        <w:rPr>
          <w:rFonts w:ascii="Calibri" w:hAnsi="Calibri" w:cs="Calibri"/>
        </w:rPr>
        <w:t xml:space="preserve">(monoclonal </w:t>
      </w:r>
      <w:r w:rsidRPr="001C0C4B">
        <w:rPr>
          <w:rFonts w:ascii="Calibri" w:hAnsi="Calibri" w:cs="Calibri"/>
        </w:rPr>
        <w:t>antibody cocktail</w:t>
      </w:r>
      <w:r w:rsidR="00E8611F" w:rsidRPr="001C0C4B">
        <w:rPr>
          <w:rFonts w:ascii="Calibri" w:hAnsi="Calibri" w:cs="Calibri"/>
        </w:rPr>
        <w:t>)</w:t>
      </w:r>
      <w:r w:rsidR="007A74C3" w:rsidRPr="001C0C4B">
        <w:rPr>
          <w:rFonts w:ascii="Calibri" w:hAnsi="Calibri" w:cs="Calibri"/>
        </w:rPr>
        <w:t xml:space="preserve">; </w:t>
      </w:r>
      <w:r w:rsidR="00037DBF" w:rsidRPr="001C0C4B">
        <w:rPr>
          <w:rFonts w:ascii="Calibri" w:hAnsi="Calibri" w:cs="Calibri"/>
        </w:rPr>
        <w:t>and later</w:t>
      </w:r>
      <w:r w:rsidR="00D73CFA" w:rsidRPr="001C0C4B">
        <w:rPr>
          <w:rFonts w:ascii="Calibri" w:hAnsi="Calibri" w:cs="Calibri"/>
        </w:rPr>
        <w:t xml:space="preserve"> </w:t>
      </w:r>
      <w:r w:rsidR="00BA2255" w:rsidRPr="001C0C4B">
        <w:rPr>
          <w:rFonts w:ascii="Calibri" w:hAnsi="Calibri" w:cs="Calibri"/>
        </w:rPr>
        <w:t>other anti</w:t>
      </w:r>
      <w:r w:rsidR="005B2691" w:rsidRPr="001C0C4B">
        <w:rPr>
          <w:rFonts w:ascii="Calibri" w:hAnsi="Calibri" w:cs="Calibri"/>
        </w:rPr>
        <w:t>b</w:t>
      </w:r>
      <w:r w:rsidR="00BA2255" w:rsidRPr="001C0C4B">
        <w:rPr>
          <w:rFonts w:ascii="Calibri" w:hAnsi="Calibri" w:cs="Calibri"/>
        </w:rPr>
        <w:t>odies</w:t>
      </w:r>
      <w:r w:rsidR="007207D5" w:rsidRPr="001C0C4B">
        <w:rPr>
          <w:rFonts w:ascii="Calibri" w:hAnsi="Calibri"/>
        </w:rPr>
        <w:t xml:space="preserve"> when available</w:t>
      </w:r>
      <w:r w:rsidR="00F92E29" w:rsidRPr="001C0C4B">
        <w:rPr>
          <w:rFonts w:ascii="Calibri" w:hAnsi="Calibri"/>
        </w:rPr>
        <w:t>, including Evusheld</w:t>
      </w:r>
      <w:r w:rsidR="00D73CFA" w:rsidRPr="001C0C4B">
        <w:rPr>
          <w:rFonts w:ascii="Calibri" w:hAnsi="Calibri"/>
        </w:rPr>
        <w:t>.</w:t>
      </w:r>
      <w:r w:rsidR="006504AA" w:rsidRPr="001C0C4B">
        <w:rPr>
          <w:rFonts w:ascii="Calibri" w:hAnsi="Calibri"/>
        </w:rPr>
        <w:t xml:space="preserve"> Antivirals shown to be beneficial in the study may subsequently be chosen to be Type B interventions (e.g. “Positive controls”)</w:t>
      </w:r>
    </w:p>
    <w:p w14:paraId="180BF8E4" w14:textId="04990958" w:rsidR="00E66E98" w:rsidRPr="001C0C4B" w:rsidRDefault="00E66E98">
      <w:pPr>
        <w:pStyle w:val="ListParagraph"/>
        <w:numPr>
          <w:ilvl w:val="0"/>
          <w:numId w:val="13"/>
        </w:numPr>
        <w:jc w:val="both"/>
        <w:rPr>
          <w:rFonts w:ascii="Calibri" w:hAnsi="Calibri" w:cs="Calibri"/>
        </w:rPr>
      </w:pPr>
      <w:r w:rsidRPr="001C0C4B">
        <w:rPr>
          <w:rFonts w:ascii="Calibri" w:hAnsi="Calibri"/>
        </w:rPr>
        <w:t>Novel</w:t>
      </w:r>
      <w:r w:rsidRPr="001C0C4B">
        <w:rPr>
          <w:rFonts w:ascii="Calibri" w:hAnsi="Calibri" w:cs="Calibri"/>
        </w:rPr>
        <w:t xml:space="preserve"> small molecule drugs: </w:t>
      </w:r>
      <w:r w:rsidR="68C1FBD6" w:rsidRPr="001C0C4B">
        <w:rPr>
          <w:rFonts w:ascii="Calibri" w:hAnsi="Calibri" w:cs="Calibri"/>
        </w:rPr>
        <w:t xml:space="preserve">there </w:t>
      </w:r>
      <w:r w:rsidR="00424FDD" w:rsidRPr="001C0C4B">
        <w:rPr>
          <w:rFonts w:ascii="Calibri" w:hAnsi="Calibri"/>
        </w:rPr>
        <w:t>are</w:t>
      </w:r>
      <w:r w:rsidR="00D73CFA" w:rsidRPr="001C0C4B">
        <w:rPr>
          <w:rFonts w:ascii="Calibri" w:hAnsi="Calibri" w:cs="Calibri"/>
        </w:rPr>
        <w:t xml:space="preserve"> </w:t>
      </w:r>
      <w:r w:rsidRPr="001C0C4B">
        <w:rPr>
          <w:rFonts w:ascii="Calibri" w:hAnsi="Calibri" w:cs="Calibri"/>
        </w:rPr>
        <w:t>no candidates initially</w:t>
      </w:r>
      <w:r w:rsidRPr="001C0C4B">
        <w:rPr>
          <w:rFonts w:ascii="Calibri" w:hAnsi="Calibri"/>
        </w:rPr>
        <w:t xml:space="preserve">, </w:t>
      </w:r>
      <w:r w:rsidR="6518CB6D" w:rsidRPr="001C0C4B">
        <w:rPr>
          <w:rFonts w:ascii="Calibri" w:hAnsi="Calibri"/>
        </w:rPr>
        <w:t>but</w:t>
      </w:r>
      <w:r w:rsidR="6518CB6D" w:rsidRPr="001C0C4B">
        <w:rPr>
          <w:rFonts w:ascii="Calibri" w:hAnsi="Calibri" w:cs="Calibri"/>
        </w:rPr>
        <w:t xml:space="preserve"> </w:t>
      </w:r>
      <w:r w:rsidRPr="001C0C4B">
        <w:rPr>
          <w:rFonts w:ascii="Calibri" w:hAnsi="Calibri" w:cs="Calibri"/>
        </w:rPr>
        <w:t xml:space="preserve">these can be added to the platform at any time after </w:t>
      </w:r>
      <w:r w:rsidR="604E0014" w:rsidRPr="001C0C4B">
        <w:rPr>
          <w:rFonts w:ascii="Calibri" w:hAnsi="Calibri" w:cs="Calibri"/>
        </w:rPr>
        <w:t>demonst</w:t>
      </w:r>
      <w:r w:rsidR="6C33AA95" w:rsidRPr="001C0C4B">
        <w:rPr>
          <w:rFonts w:ascii="Calibri" w:hAnsi="Calibri" w:cs="Calibri"/>
        </w:rPr>
        <w:t>r</w:t>
      </w:r>
      <w:r w:rsidR="604E0014" w:rsidRPr="001C0C4B">
        <w:rPr>
          <w:rFonts w:ascii="Calibri" w:hAnsi="Calibri" w:cs="Calibri"/>
        </w:rPr>
        <w:t>ating success in</w:t>
      </w:r>
      <w:r w:rsidRPr="001C0C4B">
        <w:rPr>
          <w:rFonts w:ascii="Calibri" w:hAnsi="Calibri" w:cs="Calibri"/>
        </w:rPr>
        <w:t xml:space="preserve"> phase 1 </w:t>
      </w:r>
      <w:r w:rsidR="461D8164" w:rsidRPr="001C0C4B">
        <w:rPr>
          <w:rFonts w:ascii="Calibri" w:hAnsi="Calibri" w:cs="Calibri"/>
        </w:rPr>
        <w:t>clinical trials</w:t>
      </w:r>
      <w:r w:rsidR="00356713" w:rsidRPr="001C0C4B">
        <w:rPr>
          <w:rFonts w:ascii="Calibri" w:hAnsi="Calibri" w:cs="Calibri"/>
        </w:rPr>
        <w:t>.</w:t>
      </w:r>
    </w:p>
    <w:p w14:paraId="5CF74EE3" w14:textId="0AD94BF7" w:rsidR="00E66E98" w:rsidRPr="001C0C4B" w:rsidRDefault="00E66E98" w:rsidP="003B5948">
      <w:pPr>
        <w:jc w:val="both"/>
        <w:rPr>
          <w:rFonts w:ascii="Calibri" w:hAnsi="Calibri" w:cs="Calibri"/>
        </w:rPr>
      </w:pPr>
      <w:r w:rsidRPr="001C0C4B">
        <w:rPr>
          <w:rFonts w:ascii="Calibri" w:hAnsi="Calibri" w:cs="Calibri"/>
        </w:rPr>
        <w:t>At any given time in the study, it is possible that not all intervention arms are available. R</w:t>
      </w:r>
      <w:r w:rsidR="2248303D" w:rsidRPr="001C0C4B">
        <w:rPr>
          <w:rFonts w:ascii="Calibri" w:hAnsi="Calibri" w:cs="Calibri"/>
        </w:rPr>
        <w:t xml:space="preserve">andomisation </w:t>
      </w:r>
      <w:r w:rsidR="00967A0A" w:rsidRPr="001C0C4B">
        <w:rPr>
          <w:rFonts w:ascii="Calibri" w:hAnsi="Calibri" w:cs="Calibri"/>
        </w:rPr>
        <w:t>ratios</w:t>
      </w:r>
      <w:r w:rsidR="2248303D" w:rsidRPr="001C0C4B">
        <w:rPr>
          <w:rFonts w:ascii="Calibri" w:hAnsi="Calibri" w:cs="Calibri"/>
        </w:rPr>
        <w:t xml:space="preserve"> will be uniform </w:t>
      </w:r>
      <w:r w:rsidR="00967A0A" w:rsidRPr="001C0C4B">
        <w:rPr>
          <w:rFonts w:ascii="Calibri" w:hAnsi="Calibri" w:cs="Calibri"/>
        </w:rPr>
        <w:t>across</w:t>
      </w:r>
      <w:r w:rsidR="2248303D" w:rsidRPr="001C0C4B">
        <w:rPr>
          <w:rFonts w:ascii="Calibri" w:hAnsi="Calibri" w:cs="Calibri"/>
        </w:rPr>
        <w:t xml:space="preserve"> all available treatment arms</w:t>
      </w:r>
      <w:r w:rsidRPr="001C0C4B">
        <w:rPr>
          <w:rFonts w:ascii="Calibri" w:hAnsi="Calibri" w:cs="Calibri"/>
        </w:rPr>
        <w:t xml:space="preserve"> </w:t>
      </w:r>
      <w:r w:rsidR="00424FDD" w:rsidRPr="001C0C4B">
        <w:rPr>
          <w:rFonts w:ascii="Calibri" w:hAnsi="Calibri"/>
        </w:rPr>
        <w:t xml:space="preserve">within </w:t>
      </w:r>
      <w:r w:rsidRPr="001C0C4B">
        <w:rPr>
          <w:rFonts w:ascii="Calibri" w:hAnsi="Calibri"/>
        </w:rPr>
        <w:t>type A</w:t>
      </w:r>
      <w:r w:rsidR="00B83DBC">
        <w:rPr>
          <w:rFonts w:ascii="Calibri" w:hAnsi="Calibri"/>
        </w:rPr>
        <w:t>, and type</w:t>
      </w:r>
      <w:r w:rsidRPr="001C0C4B">
        <w:rPr>
          <w:rFonts w:ascii="Calibri" w:hAnsi="Calibri" w:cs="Calibri"/>
        </w:rPr>
        <w:t xml:space="preserve"> B</w:t>
      </w:r>
      <w:r w:rsidR="00FD5FCF" w:rsidRPr="001C0C4B">
        <w:rPr>
          <w:rFonts w:ascii="Calibri" w:hAnsi="Calibri" w:cs="Calibri"/>
        </w:rPr>
        <w:t xml:space="preserve"> and</w:t>
      </w:r>
      <w:r w:rsidR="00B83DBC">
        <w:rPr>
          <w:rFonts w:ascii="Calibri" w:hAnsi="Calibri" w:cs="Calibri"/>
        </w:rPr>
        <w:t xml:space="preserve"> will be at least 20% in</w:t>
      </w:r>
      <w:r w:rsidR="00FD5FCF" w:rsidRPr="001C0C4B">
        <w:rPr>
          <w:rFonts w:ascii="Calibri" w:hAnsi="Calibri" w:cs="Calibri"/>
        </w:rPr>
        <w:t xml:space="preserve"> the control arm</w:t>
      </w:r>
      <w:r w:rsidR="2248303D" w:rsidRPr="001C0C4B">
        <w:rPr>
          <w:rFonts w:ascii="Calibri" w:hAnsi="Calibri" w:cs="Calibri"/>
        </w:rPr>
        <w:t xml:space="preserve"> in each site</w:t>
      </w:r>
      <w:r w:rsidR="7041CCF5" w:rsidRPr="001C0C4B">
        <w:rPr>
          <w:rFonts w:ascii="Calibri" w:hAnsi="Calibri" w:cs="Calibri"/>
        </w:rPr>
        <w:t xml:space="preserve">. </w:t>
      </w:r>
      <w:r w:rsidR="00424FDD" w:rsidRPr="001C0C4B">
        <w:rPr>
          <w:rFonts w:ascii="Calibri" w:hAnsi="Calibri"/>
        </w:rPr>
        <w:t>If</w:t>
      </w:r>
      <w:r w:rsidR="00424FDD" w:rsidRPr="001C0C4B">
        <w:rPr>
          <w:rFonts w:ascii="Calibri" w:hAnsi="Calibri" w:cs="Calibri"/>
        </w:rPr>
        <w:t xml:space="preserve"> </w:t>
      </w:r>
      <w:r w:rsidRPr="001C0C4B">
        <w:rPr>
          <w:rFonts w:ascii="Calibri" w:hAnsi="Calibri" w:cs="Calibri"/>
        </w:rPr>
        <w:t>interventions of type C (novel drugs) are added to the platform, response adaptive randomi</w:t>
      </w:r>
      <w:r w:rsidR="00356713" w:rsidRPr="001C0C4B">
        <w:rPr>
          <w:rFonts w:ascii="Calibri" w:hAnsi="Calibri" w:cs="Calibri"/>
        </w:rPr>
        <w:t>s</w:t>
      </w:r>
      <w:r w:rsidRPr="001C0C4B">
        <w:rPr>
          <w:rFonts w:ascii="Calibri" w:hAnsi="Calibri" w:cs="Calibri"/>
        </w:rPr>
        <w:t xml:space="preserve">ation will </w:t>
      </w:r>
      <w:r w:rsidRPr="001C0C4B">
        <w:rPr>
          <w:rFonts w:ascii="Calibri" w:hAnsi="Calibri"/>
        </w:rPr>
        <w:t>apply</w:t>
      </w:r>
      <w:r w:rsidR="00B81E85" w:rsidRPr="001C0C4B">
        <w:rPr>
          <w:rFonts w:ascii="Calibri" w:hAnsi="Calibri"/>
        </w:rPr>
        <w:t>.</w:t>
      </w:r>
    </w:p>
    <w:p w14:paraId="6D4F74EC" w14:textId="661A80CB" w:rsidR="008A2BFD" w:rsidRPr="001C0C4B" w:rsidRDefault="00F44FB9" w:rsidP="00B54A28">
      <w:pPr>
        <w:pStyle w:val="paragraph"/>
        <w:spacing w:before="0" w:beforeAutospacing="0" w:after="0" w:afterAutospacing="0" w:line="259" w:lineRule="auto"/>
        <w:jc w:val="both"/>
        <w:textAlignment w:val="baseline"/>
        <w:rPr>
          <w:rFonts w:ascii="Calibri" w:hAnsi="Calibri" w:cs="Calibri"/>
          <w:sz w:val="22"/>
          <w:szCs w:val="22"/>
        </w:rPr>
      </w:pPr>
      <w:r w:rsidRPr="001C0C4B">
        <w:rPr>
          <w:rFonts w:ascii="Calibri" w:hAnsi="Calibri" w:cs="Calibri"/>
          <w:sz w:val="22"/>
          <w:szCs w:val="22"/>
        </w:rPr>
        <w:t xml:space="preserve">Randomisation will be </w:t>
      </w:r>
      <w:r w:rsidR="00753423" w:rsidRPr="001C0C4B">
        <w:rPr>
          <w:rFonts w:ascii="Calibri" w:hAnsi="Calibri" w:cs="Calibri"/>
          <w:sz w:val="22"/>
          <w:szCs w:val="22"/>
        </w:rPr>
        <w:t>continuously monitored by MORU</w:t>
      </w:r>
      <w:r w:rsidRPr="001C0C4B">
        <w:rPr>
          <w:rFonts w:ascii="Calibri" w:hAnsi="Calibri" w:cs="Calibri"/>
          <w:sz w:val="22"/>
          <w:szCs w:val="22"/>
        </w:rPr>
        <w:t>.</w:t>
      </w:r>
      <w:r w:rsidR="007439E2" w:rsidRPr="001C0C4B">
        <w:rPr>
          <w:rStyle w:val="eop"/>
          <w:rFonts w:ascii="Calibri" w:eastAsiaTheme="minorEastAsia" w:hAnsi="Calibri" w:cs="Calibri"/>
          <w:sz w:val="22"/>
          <w:szCs w:val="22"/>
        </w:rPr>
        <w:t xml:space="preserve"> </w:t>
      </w:r>
      <w:r w:rsidR="00A65A82" w:rsidRPr="001C0C4B">
        <w:rPr>
          <w:rFonts w:ascii="Calibri" w:hAnsi="Calibri" w:cs="Calibri"/>
          <w:sz w:val="22"/>
          <w:szCs w:val="22"/>
        </w:rPr>
        <w:t>A positive SARS-CoV-2 l</w:t>
      </w:r>
      <w:r w:rsidR="5339EB99" w:rsidRPr="001C0C4B">
        <w:rPr>
          <w:rFonts w:ascii="Calibri" w:hAnsi="Calibri" w:cs="Calibri"/>
          <w:sz w:val="22"/>
          <w:szCs w:val="22"/>
        </w:rPr>
        <w:t xml:space="preserve">ateral flow </w:t>
      </w:r>
      <w:r w:rsidR="46E47605" w:rsidRPr="001C0C4B">
        <w:rPr>
          <w:rFonts w:ascii="Calibri" w:hAnsi="Calibri" w:cs="Calibri"/>
          <w:sz w:val="22"/>
          <w:szCs w:val="22"/>
        </w:rPr>
        <w:t>antigen test</w:t>
      </w:r>
      <w:r w:rsidR="1E27CB71" w:rsidRPr="001C0C4B">
        <w:rPr>
          <w:rFonts w:ascii="Calibri" w:hAnsi="Calibri" w:cs="Calibri"/>
          <w:sz w:val="22"/>
          <w:szCs w:val="22"/>
        </w:rPr>
        <w:t xml:space="preserve"> will be used as the main inclusion criteri</w:t>
      </w:r>
      <w:r w:rsidR="00FD5FCF" w:rsidRPr="001C0C4B">
        <w:rPr>
          <w:rFonts w:ascii="Calibri" w:hAnsi="Calibri" w:cs="Calibri"/>
          <w:sz w:val="22"/>
          <w:szCs w:val="22"/>
        </w:rPr>
        <w:t>a</w:t>
      </w:r>
      <w:r w:rsidR="00D53203" w:rsidRPr="001C0C4B">
        <w:rPr>
          <w:rFonts w:ascii="Calibri" w:hAnsi="Calibri" w:cs="Calibri"/>
          <w:sz w:val="22"/>
          <w:szCs w:val="22"/>
        </w:rPr>
        <w:t xml:space="preserve">. </w:t>
      </w:r>
      <w:r w:rsidR="00734592" w:rsidRPr="001C0C4B">
        <w:rPr>
          <w:rFonts w:ascii="Calibri" w:hAnsi="Calibri" w:cs="Calibri"/>
          <w:sz w:val="22"/>
          <w:szCs w:val="22"/>
        </w:rPr>
        <w:t xml:space="preserve">A </w:t>
      </w:r>
      <w:r w:rsidR="00A65A82" w:rsidRPr="001C0C4B">
        <w:rPr>
          <w:rFonts w:ascii="Calibri" w:hAnsi="Calibri" w:cs="Calibri"/>
          <w:sz w:val="22"/>
          <w:szCs w:val="22"/>
        </w:rPr>
        <w:t>p</w:t>
      </w:r>
      <w:r w:rsidR="1E27CB71" w:rsidRPr="001C0C4B">
        <w:rPr>
          <w:rFonts w:ascii="Calibri" w:hAnsi="Calibri" w:cs="Calibri"/>
          <w:sz w:val="22"/>
          <w:szCs w:val="22"/>
        </w:rPr>
        <w:t>ositive</w:t>
      </w:r>
      <w:r w:rsidR="00A65A82" w:rsidRPr="001C0C4B">
        <w:rPr>
          <w:rFonts w:ascii="Calibri" w:hAnsi="Calibri" w:cs="Calibri"/>
          <w:sz w:val="22"/>
          <w:szCs w:val="22"/>
        </w:rPr>
        <w:t xml:space="preserve"> lateral flow</w:t>
      </w:r>
      <w:r w:rsidR="1E27CB71" w:rsidRPr="001C0C4B">
        <w:rPr>
          <w:rFonts w:ascii="Calibri" w:hAnsi="Calibri" w:cs="Calibri"/>
          <w:sz w:val="22"/>
          <w:szCs w:val="22"/>
        </w:rPr>
        <w:t xml:space="preserve"> </w:t>
      </w:r>
      <w:r w:rsidR="00A65A82" w:rsidRPr="001C0C4B">
        <w:rPr>
          <w:rFonts w:ascii="Calibri" w:hAnsi="Calibri" w:cs="Calibri"/>
          <w:sz w:val="22"/>
          <w:szCs w:val="22"/>
        </w:rPr>
        <w:t xml:space="preserve">test </w:t>
      </w:r>
      <w:r w:rsidR="1E27CB71" w:rsidRPr="001C0C4B">
        <w:rPr>
          <w:rFonts w:ascii="Calibri" w:hAnsi="Calibri" w:cs="Calibri"/>
          <w:sz w:val="22"/>
          <w:szCs w:val="22"/>
        </w:rPr>
        <w:t>result impl</w:t>
      </w:r>
      <w:r w:rsidR="00A65A82" w:rsidRPr="001C0C4B">
        <w:rPr>
          <w:rFonts w:ascii="Calibri" w:hAnsi="Calibri" w:cs="Calibri"/>
          <w:sz w:val="22"/>
          <w:szCs w:val="22"/>
        </w:rPr>
        <w:t>ies</w:t>
      </w:r>
      <w:r w:rsidR="1E27CB71" w:rsidRPr="001C0C4B">
        <w:rPr>
          <w:rFonts w:ascii="Calibri" w:hAnsi="Calibri" w:cs="Calibri"/>
          <w:sz w:val="22"/>
          <w:szCs w:val="22"/>
        </w:rPr>
        <w:t xml:space="preserve"> a </w:t>
      </w:r>
      <w:r w:rsidR="00CB0DD2" w:rsidRPr="001C0C4B">
        <w:rPr>
          <w:rFonts w:ascii="Calibri" w:hAnsi="Calibri" w:cs="Calibri"/>
          <w:sz w:val="22"/>
          <w:szCs w:val="22"/>
        </w:rPr>
        <w:t xml:space="preserve">relatively </w:t>
      </w:r>
      <w:r w:rsidR="1E27CB71" w:rsidRPr="001C0C4B">
        <w:rPr>
          <w:rFonts w:ascii="Calibri" w:hAnsi="Calibri" w:cs="Calibri"/>
          <w:sz w:val="22"/>
          <w:szCs w:val="22"/>
        </w:rPr>
        <w:t>high viral load</w:t>
      </w:r>
      <w:r w:rsidR="00A65A82" w:rsidRPr="001C0C4B">
        <w:rPr>
          <w:rFonts w:ascii="Calibri" w:hAnsi="Calibri" w:cs="Calibri"/>
          <w:sz w:val="22"/>
          <w:szCs w:val="22"/>
        </w:rPr>
        <w:t xml:space="preserve"> at the start of the study intervention</w:t>
      </w:r>
      <w:r w:rsidR="00957F8D" w:rsidRPr="001C0C4B">
        <w:rPr>
          <w:rFonts w:ascii="Calibri" w:hAnsi="Calibri" w:cs="Calibri"/>
          <w:sz w:val="22"/>
          <w:szCs w:val="22"/>
        </w:rPr>
        <w:t xml:space="preserve"> (1</w:t>
      </w:r>
      <w:r w:rsidR="00407461" w:rsidRPr="001C0C4B">
        <w:rPr>
          <w:rFonts w:ascii="Calibri" w:hAnsi="Calibri" w:cs="Calibri"/>
          <w:sz w:val="22"/>
          <w:szCs w:val="22"/>
        </w:rPr>
        <w:t>7</w:t>
      </w:r>
      <w:r w:rsidR="00957F8D" w:rsidRPr="001C0C4B">
        <w:rPr>
          <w:rFonts w:ascii="Calibri" w:hAnsi="Calibri" w:cs="Calibri"/>
          <w:sz w:val="22"/>
          <w:szCs w:val="22"/>
        </w:rPr>
        <w:t>-1</w:t>
      </w:r>
      <w:r w:rsidR="00407461" w:rsidRPr="001C0C4B">
        <w:rPr>
          <w:rFonts w:ascii="Calibri" w:hAnsi="Calibri" w:cs="Calibri"/>
          <w:sz w:val="22"/>
          <w:szCs w:val="22"/>
        </w:rPr>
        <w:t>9</w:t>
      </w:r>
      <w:r w:rsidR="00957F8D" w:rsidRPr="001C0C4B">
        <w:rPr>
          <w:rFonts w:ascii="Calibri" w:hAnsi="Calibri" w:cs="Calibri"/>
          <w:sz w:val="22"/>
          <w:szCs w:val="22"/>
        </w:rPr>
        <w:t>)</w:t>
      </w:r>
      <w:r w:rsidR="008A2BFD" w:rsidRPr="001C0C4B">
        <w:rPr>
          <w:rFonts w:ascii="Calibri" w:hAnsi="Calibri" w:cs="Calibri"/>
          <w:sz w:val="22"/>
          <w:szCs w:val="22"/>
        </w:rPr>
        <w:t xml:space="preserve">. In order to </w:t>
      </w:r>
      <w:r w:rsidR="00A65A82" w:rsidRPr="001C0C4B">
        <w:rPr>
          <w:rFonts w:ascii="Calibri" w:hAnsi="Calibri" w:cs="Calibri"/>
          <w:sz w:val="22"/>
          <w:szCs w:val="22"/>
        </w:rPr>
        <w:t xml:space="preserve">assess viral clearance </w:t>
      </w:r>
      <w:r w:rsidR="00CB0DD2" w:rsidRPr="001C0C4B">
        <w:rPr>
          <w:rFonts w:ascii="Calibri" w:hAnsi="Calibri" w:cs="Calibri"/>
          <w:sz w:val="22"/>
          <w:szCs w:val="22"/>
        </w:rPr>
        <w:t>dynamics</w:t>
      </w:r>
      <w:r w:rsidR="008A2BFD" w:rsidRPr="001C0C4B">
        <w:rPr>
          <w:rFonts w:ascii="Calibri" w:hAnsi="Calibri" w:cs="Calibri"/>
          <w:sz w:val="22"/>
          <w:szCs w:val="22"/>
        </w:rPr>
        <w:t xml:space="preserve"> accurately</w:t>
      </w:r>
      <w:r w:rsidR="00930DE7" w:rsidRPr="001C0C4B">
        <w:rPr>
          <w:rFonts w:ascii="Calibri" w:hAnsi="Calibri" w:cs="Calibri"/>
          <w:sz w:val="22"/>
          <w:szCs w:val="22"/>
        </w:rPr>
        <w:t xml:space="preserve"> over time</w:t>
      </w:r>
      <w:r w:rsidR="008A2BFD" w:rsidRPr="001C0C4B">
        <w:rPr>
          <w:rFonts w:ascii="Calibri" w:hAnsi="Calibri" w:cs="Calibri"/>
          <w:sz w:val="22"/>
          <w:szCs w:val="22"/>
        </w:rPr>
        <w:t xml:space="preserve"> initial high viral densities are required</w:t>
      </w:r>
      <w:r w:rsidR="00D53203" w:rsidRPr="001C0C4B">
        <w:rPr>
          <w:rFonts w:ascii="Calibri" w:hAnsi="Calibri" w:cs="Calibri"/>
          <w:sz w:val="22"/>
          <w:szCs w:val="22"/>
        </w:rPr>
        <w:t xml:space="preserve">. </w:t>
      </w:r>
      <w:r w:rsidRPr="001C0C4B">
        <w:rPr>
          <w:rFonts w:ascii="Calibri" w:hAnsi="Calibri" w:cs="Calibri"/>
          <w:sz w:val="22"/>
          <w:szCs w:val="22"/>
        </w:rPr>
        <w:t>In non-vaccinated patients, s</w:t>
      </w:r>
      <w:r w:rsidR="00E66E98" w:rsidRPr="001C0C4B">
        <w:rPr>
          <w:rFonts w:ascii="Calibri" w:hAnsi="Calibri" w:cs="Calibri"/>
          <w:sz w:val="22"/>
          <w:szCs w:val="22"/>
        </w:rPr>
        <w:t xml:space="preserve">eronegativity implies </w:t>
      </w:r>
      <w:r w:rsidR="009B1CD1" w:rsidRPr="001C0C4B">
        <w:rPr>
          <w:rFonts w:ascii="Calibri" w:hAnsi="Calibri" w:cs="Calibri"/>
          <w:sz w:val="22"/>
          <w:szCs w:val="22"/>
        </w:rPr>
        <w:t xml:space="preserve">there will be </w:t>
      </w:r>
      <w:r w:rsidR="00E66E98" w:rsidRPr="001C0C4B">
        <w:rPr>
          <w:rFonts w:ascii="Calibri" w:hAnsi="Calibri" w:cs="Calibri"/>
          <w:sz w:val="22"/>
          <w:szCs w:val="22"/>
        </w:rPr>
        <w:t xml:space="preserve">limited host control of the infection </w:t>
      </w:r>
      <w:r w:rsidR="00424FDD" w:rsidRPr="001C0C4B">
        <w:rPr>
          <w:rFonts w:ascii="Calibri" w:hAnsi="Calibri"/>
          <w:sz w:val="22"/>
        </w:rPr>
        <w:t>initially</w:t>
      </w:r>
      <w:r w:rsidR="00424FDD" w:rsidRPr="001C0C4B">
        <w:rPr>
          <w:rFonts w:ascii="Calibri" w:hAnsi="Calibri" w:cs="Calibri"/>
          <w:sz w:val="22"/>
          <w:szCs w:val="22"/>
        </w:rPr>
        <w:t xml:space="preserve"> </w:t>
      </w:r>
      <w:r w:rsidR="00E66E98" w:rsidRPr="001C0C4B">
        <w:rPr>
          <w:rFonts w:ascii="Calibri" w:hAnsi="Calibri" w:cs="Calibri"/>
          <w:sz w:val="22"/>
          <w:szCs w:val="22"/>
        </w:rPr>
        <w:t xml:space="preserve">and </w:t>
      </w:r>
      <w:r w:rsidR="00914264" w:rsidRPr="001C0C4B">
        <w:rPr>
          <w:rFonts w:ascii="Calibri" w:hAnsi="Calibri" w:cs="Calibri"/>
          <w:sz w:val="22"/>
          <w:szCs w:val="22"/>
        </w:rPr>
        <w:t>was previously</w:t>
      </w:r>
      <w:r w:rsidR="00E66E98" w:rsidRPr="001C0C4B">
        <w:rPr>
          <w:rFonts w:ascii="Calibri" w:hAnsi="Calibri" w:cs="Calibri"/>
          <w:sz w:val="22"/>
          <w:szCs w:val="22"/>
        </w:rPr>
        <w:t xml:space="preserve"> strongly correlated with higher viral loads</w:t>
      </w:r>
      <w:r w:rsidR="002D1BEB" w:rsidRPr="001C0C4B">
        <w:rPr>
          <w:rFonts w:ascii="Calibri" w:hAnsi="Calibri" w:cs="Calibri"/>
          <w:sz w:val="22"/>
          <w:szCs w:val="22"/>
        </w:rPr>
        <w:t xml:space="preserve"> </w:t>
      </w:r>
      <w:r w:rsidR="002D1BEB" w:rsidRPr="001C0C4B">
        <w:rPr>
          <w:rFonts w:ascii="Calibri" w:hAnsi="Calibri" w:cs="Calibri"/>
          <w:noProof/>
          <w:sz w:val="22"/>
          <w:szCs w:val="22"/>
        </w:rPr>
        <w:t>(</w:t>
      </w:r>
      <w:r w:rsidR="00953ACF" w:rsidRPr="001C0C4B">
        <w:rPr>
          <w:rFonts w:ascii="Calibri" w:hAnsi="Calibri" w:cs="Calibri"/>
          <w:noProof/>
          <w:sz w:val="22"/>
          <w:szCs w:val="22"/>
        </w:rPr>
        <w:t>1</w:t>
      </w:r>
      <w:r w:rsidR="00407461" w:rsidRPr="001C0C4B">
        <w:rPr>
          <w:rFonts w:ascii="Calibri" w:hAnsi="Calibri" w:cs="Calibri"/>
          <w:noProof/>
          <w:sz w:val="22"/>
          <w:szCs w:val="22"/>
        </w:rPr>
        <w:t>5</w:t>
      </w:r>
      <w:r w:rsidR="002D1BEB" w:rsidRPr="001C0C4B">
        <w:rPr>
          <w:rFonts w:ascii="Calibri" w:hAnsi="Calibri" w:cs="Calibri"/>
          <w:noProof/>
          <w:sz w:val="22"/>
          <w:szCs w:val="22"/>
        </w:rPr>
        <w:t>)</w:t>
      </w:r>
      <w:r w:rsidR="00914264" w:rsidRPr="001C0C4B">
        <w:rPr>
          <w:rFonts w:ascii="Calibri" w:hAnsi="Calibri" w:cs="Calibri"/>
          <w:noProof/>
          <w:sz w:val="22"/>
          <w:szCs w:val="22"/>
        </w:rPr>
        <w:t xml:space="preserve">, </w:t>
      </w:r>
      <w:r w:rsidR="00914264" w:rsidRPr="00374EBC">
        <w:rPr>
          <w:rFonts w:ascii="Calibri" w:hAnsi="Calibri" w:cs="Calibri"/>
          <w:noProof/>
          <w:sz w:val="22"/>
          <w:szCs w:val="22"/>
          <w:u w:val="single"/>
        </w:rPr>
        <w:t>alt</w:t>
      </w:r>
      <w:r w:rsidR="00914264" w:rsidRPr="001C0C4B">
        <w:rPr>
          <w:rFonts w:ascii="Calibri" w:hAnsi="Calibri" w:cs="Calibri"/>
          <w:noProof/>
          <w:sz w:val="22"/>
          <w:szCs w:val="22"/>
          <w:u w:val="single"/>
        </w:rPr>
        <w:t xml:space="preserve">hough </w:t>
      </w:r>
      <w:r w:rsidR="00010D79" w:rsidRPr="001C0C4B">
        <w:rPr>
          <w:rFonts w:ascii="Calibri" w:hAnsi="Calibri" w:cs="Calibri"/>
          <w:noProof/>
          <w:sz w:val="22"/>
          <w:szCs w:val="22"/>
          <w:u w:val="single"/>
        </w:rPr>
        <w:t>this also depends on the variant</w:t>
      </w:r>
      <w:r w:rsidR="00E66E98" w:rsidRPr="001C0C4B">
        <w:rPr>
          <w:rFonts w:ascii="Calibri" w:hAnsi="Calibri" w:cs="Calibri"/>
          <w:sz w:val="22"/>
          <w:szCs w:val="22"/>
        </w:rPr>
        <w:t xml:space="preserve">. </w:t>
      </w:r>
    </w:p>
    <w:p w14:paraId="3DE9AC97" w14:textId="77777777" w:rsidR="00B54A28" w:rsidRPr="001C0C4B" w:rsidRDefault="00B54A28" w:rsidP="00B54A28">
      <w:pPr>
        <w:pStyle w:val="paragraph"/>
        <w:spacing w:before="0" w:beforeAutospacing="0" w:after="0" w:afterAutospacing="0"/>
        <w:jc w:val="both"/>
        <w:textAlignment w:val="baseline"/>
        <w:rPr>
          <w:rFonts w:ascii="Calibri" w:eastAsiaTheme="minorEastAsia" w:hAnsi="Calibri" w:cs="Calibri"/>
          <w:sz w:val="22"/>
          <w:szCs w:val="22"/>
        </w:rPr>
      </w:pPr>
    </w:p>
    <w:p w14:paraId="67602FD6" w14:textId="5A53DA47" w:rsidR="0003176B" w:rsidRPr="001C0C4B" w:rsidRDefault="106F9D8D" w:rsidP="0003176B">
      <w:pPr>
        <w:jc w:val="both"/>
        <w:rPr>
          <w:rFonts w:ascii="Calibri" w:hAnsi="Calibri" w:cs="Calibri"/>
        </w:rPr>
      </w:pPr>
      <w:r w:rsidRPr="001C0C4B">
        <w:rPr>
          <w:rFonts w:ascii="Calibri" w:hAnsi="Calibri" w:cs="Calibri"/>
        </w:rPr>
        <w:t xml:space="preserve">We </w:t>
      </w:r>
      <w:r w:rsidR="00A65A82" w:rsidRPr="001C0C4B">
        <w:rPr>
          <w:rFonts w:ascii="Calibri" w:hAnsi="Calibri" w:cs="Calibri"/>
        </w:rPr>
        <w:t xml:space="preserve">aim </w:t>
      </w:r>
      <w:r w:rsidRPr="001C0C4B">
        <w:rPr>
          <w:rFonts w:ascii="Calibri" w:hAnsi="Calibri" w:cs="Calibri"/>
        </w:rPr>
        <w:t xml:space="preserve">to identify interventions that accelerate viral clearance by a minimum of </w:t>
      </w:r>
      <w:r w:rsidR="0044138D" w:rsidRPr="001C0C4B">
        <w:rPr>
          <w:rFonts w:ascii="Calibri" w:hAnsi="Calibri" w:cs="Calibri"/>
        </w:rPr>
        <w:t>12.</w:t>
      </w:r>
      <w:r w:rsidRPr="001C0C4B">
        <w:rPr>
          <w:rFonts w:ascii="Calibri" w:hAnsi="Calibri" w:cs="Calibri"/>
        </w:rPr>
        <w:t>5%</w:t>
      </w:r>
      <w:r w:rsidR="0018276F" w:rsidRPr="001C0C4B">
        <w:rPr>
          <w:rFonts w:ascii="Calibri" w:hAnsi="Calibri" w:cs="Calibri"/>
        </w:rPr>
        <w:t xml:space="preserve"> (corresponding approximately to a reduction of </w:t>
      </w:r>
      <w:r w:rsidR="0044138D" w:rsidRPr="001C0C4B">
        <w:rPr>
          <w:rFonts w:ascii="Calibri" w:hAnsi="Calibri" w:cs="Calibri"/>
        </w:rPr>
        <w:t xml:space="preserve">2 </w:t>
      </w:r>
      <w:r w:rsidR="0018276F" w:rsidRPr="001C0C4B">
        <w:rPr>
          <w:rFonts w:ascii="Calibri" w:hAnsi="Calibri" w:cs="Calibri"/>
        </w:rPr>
        <w:t>day</w:t>
      </w:r>
      <w:r w:rsidR="0044138D" w:rsidRPr="001C0C4B">
        <w:rPr>
          <w:rFonts w:ascii="Calibri" w:hAnsi="Calibri" w:cs="Calibri"/>
        </w:rPr>
        <w:t>s</w:t>
      </w:r>
      <w:r w:rsidR="0018276F" w:rsidRPr="001C0C4B">
        <w:rPr>
          <w:rFonts w:ascii="Calibri" w:hAnsi="Calibri" w:cs="Calibri"/>
        </w:rPr>
        <w:t xml:space="preserve"> in the mean time to viral clearance)</w:t>
      </w:r>
      <w:r w:rsidRPr="001C0C4B">
        <w:rPr>
          <w:rFonts w:ascii="Calibri" w:hAnsi="Calibri" w:cs="Calibri"/>
        </w:rPr>
        <w:t xml:space="preserve">. Any intervention </w:t>
      </w:r>
      <w:r w:rsidR="003D19ED" w:rsidRPr="001C0C4B">
        <w:rPr>
          <w:rFonts w:ascii="Calibri" w:hAnsi="Calibri" w:cs="Calibri"/>
        </w:rPr>
        <w:t>drug</w:t>
      </w:r>
      <w:r w:rsidR="00E66E98" w:rsidRPr="001C0C4B">
        <w:rPr>
          <w:rFonts w:ascii="Calibri" w:hAnsi="Calibri" w:cs="Calibri"/>
        </w:rPr>
        <w:t xml:space="preserve"> of type A or C</w:t>
      </w:r>
      <w:r w:rsidR="00DC45DF" w:rsidRPr="001C0C4B">
        <w:rPr>
          <w:rFonts w:ascii="Calibri" w:hAnsi="Calibri" w:cs="Calibri"/>
        </w:rPr>
        <w:t xml:space="preserve"> </w:t>
      </w:r>
      <w:r w:rsidR="003D19ED" w:rsidRPr="001C0C4B">
        <w:rPr>
          <w:rFonts w:ascii="Calibri" w:hAnsi="Calibri" w:cs="Calibri"/>
        </w:rPr>
        <w:t xml:space="preserve">that shows an acceleration of viral clearance, defined as a </w:t>
      </w:r>
      <w:r w:rsidR="15E33925" w:rsidRPr="001C0C4B">
        <w:rPr>
          <w:rFonts w:ascii="Calibri" w:hAnsi="Calibri" w:cs="Calibri"/>
        </w:rPr>
        <w:t xml:space="preserve">greater than </w:t>
      </w:r>
      <w:r w:rsidR="00E66E98" w:rsidRPr="001C0C4B">
        <w:rPr>
          <w:rFonts w:ascii="Calibri" w:hAnsi="Calibri" w:cs="Calibri"/>
        </w:rPr>
        <w:t>90</w:t>
      </w:r>
      <w:r w:rsidR="15E33925" w:rsidRPr="001C0C4B">
        <w:rPr>
          <w:rFonts w:ascii="Calibri" w:hAnsi="Calibri" w:cs="Calibri"/>
        </w:rPr>
        <w:t xml:space="preserve">% probability </w:t>
      </w:r>
      <w:r w:rsidR="1912EC28" w:rsidRPr="001C0C4B">
        <w:rPr>
          <w:rFonts w:ascii="Calibri" w:hAnsi="Calibri" w:cs="Calibri"/>
        </w:rPr>
        <w:t xml:space="preserve">of accelerating viral clearance by more than </w:t>
      </w:r>
      <w:r w:rsidR="0044138D" w:rsidRPr="001C0C4B">
        <w:rPr>
          <w:rFonts w:ascii="Calibri" w:hAnsi="Calibri" w:cs="Calibri"/>
        </w:rPr>
        <w:t>12.</w:t>
      </w:r>
      <w:r w:rsidR="1912EC28" w:rsidRPr="001C0C4B">
        <w:rPr>
          <w:rFonts w:ascii="Calibri" w:hAnsi="Calibri" w:cs="Calibri"/>
        </w:rPr>
        <w:t>5%</w:t>
      </w:r>
      <w:r w:rsidR="003D19ED" w:rsidRPr="001C0C4B">
        <w:rPr>
          <w:rFonts w:ascii="Calibri" w:hAnsi="Calibri" w:cs="Calibri"/>
        </w:rPr>
        <w:t xml:space="preserve">, </w:t>
      </w:r>
      <w:r w:rsidR="00B56F5C" w:rsidRPr="001C0C4B">
        <w:rPr>
          <w:rFonts w:ascii="Calibri" w:hAnsi="Calibri"/>
        </w:rPr>
        <w:t>or if there is evidence of accelerated viral clearance from other studies (e.g. Molnupiravir, Nirmatrelvir/ritonavir),</w:t>
      </w:r>
      <w:r w:rsidR="00B56F5C" w:rsidRPr="001C0C4B">
        <w:rPr>
          <w:rFonts w:ascii="Calibri" w:hAnsi="Calibri" w:cs="Calibri"/>
        </w:rPr>
        <w:t xml:space="preserve"> </w:t>
      </w:r>
      <w:r w:rsidR="003D19ED" w:rsidRPr="001C0C4B">
        <w:rPr>
          <w:rFonts w:ascii="Calibri" w:hAnsi="Calibri" w:cs="Calibri"/>
        </w:rPr>
        <w:t xml:space="preserve">will be selected for inclusion </w:t>
      </w:r>
      <w:r w:rsidR="1912EC28" w:rsidRPr="001C0C4B">
        <w:rPr>
          <w:rFonts w:ascii="Calibri" w:hAnsi="Calibri" w:cs="Calibri"/>
        </w:rPr>
        <w:t>in a nested pharmacokinetic-pharmacodynamic study.</w:t>
      </w:r>
      <w:r w:rsidR="003D19ED" w:rsidRPr="001C0C4B">
        <w:rPr>
          <w:rFonts w:ascii="Calibri" w:hAnsi="Calibri" w:cs="Calibri"/>
        </w:rPr>
        <w:t xml:space="preserve"> In this nested study, frequent blood sampling will allow </w:t>
      </w:r>
      <w:r w:rsidR="00930DE7" w:rsidRPr="001C0C4B">
        <w:rPr>
          <w:rFonts w:ascii="Calibri" w:hAnsi="Calibri" w:cs="Calibri"/>
        </w:rPr>
        <w:t>assessment of</w:t>
      </w:r>
      <w:r w:rsidR="003D19ED" w:rsidRPr="001C0C4B">
        <w:rPr>
          <w:rFonts w:ascii="Calibri" w:hAnsi="Calibri" w:cs="Calibri"/>
        </w:rPr>
        <w:t xml:space="preserve"> the relationships between plasma drug concentrations and viral clearance.</w:t>
      </w:r>
      <w:r w:rsidR="1912EC28" w:rsidRPr="001C0C4B">
        <w:rPr>
          <w:rFonts w:ascii="Calibri" w:hAnsi="Calibri" w:cs="Calibri"/>
        </w:rPr>
        <w:t xml:space="preserve"> </w:t>
      </w:r>
      <w:r w:rsidR="008A2BFD" w:rsidRPr="001C0C4B">
        <w:rPr>
          <w:rFonts w:ascii="Calibri" w:hAnsi="Calibri" w:cs="Calibri"/>
        </w:rPr>
        <w:t>The design of the pharm</w:t>
      </w:r>
      <w:r w:rsidR="00775A8C" w:rsidRPr="001C0C4B">
        <w:rPr>
          <w:rFonts w:ascii="Calibri" w:hAnsi="Calibri" w:cs="Calibri"/>
        </w:rPr>
        <w:t>a</w:t>
      </w:r>
      <w:r w:rsidR="008A2BFD" w:rsidRPr="001C0C4B">
        <w:rPr>
          <w:rFonts w:ascii="Calibri" w:hAnsi="Calibri" w:cs="Calibri"/>
        </w:rPr>
        <w:t>cokinetic study depends on the known pharmacokinetic properties of each drug. In each case no more than 1</w:t>
      </w:r>
      <w:r w:rsidR="0067727E" w:rsidRPr="001C0C4B">
        <w:rPr>
          <w:rFonts w:ascii="Calibri" w:hAnsi="Calibri" w:cs="Calibri"/>
        </w:rPr>
        <w:t>0</w:t>
      </w:r>
      <w:r w:rsidR="008A2BFD" w:rsidRPr="001C0C4B">
        <w:rPr>
          <w:rFonts w:ascii="Calibri" w:hAnsi="Calibri" w:cs="Calibri"/>
        </w:rPr>
        <w:t xml:space="preserve"> blood samples (2</w:t>
      </w:r>
      <w:r w:rsidR="0067727E" w:rsidRPr="001C0C4B">
        <w:rPr>
          <w:rFonts w:ascii="Calibri" w:hAnsi="Calibri" w:cs="Calibri"/>
        </w:rPr>
        <w:t>0</w:t>
      </w:r>
      <w:r w:rsidR="008A2BFD" w:rsidRPr="001C0C4B">
        <w:rPr>
          <w:rFonts w:ascii="Calibri" w:hAnsi="Calibri" w:cs="Calibri"/>
        </w:rPr>
        <w:t xml:space="preserve">mL) will be taken. </w:t>
      </w:r>
      <w:r w:rsidR="1912EC28" w:rsidRPr="001C0C4B">
        <w:rPr>
          <w:rFonts w:ascii="Calibri" w:hAnsi="Calibri" w:cs="Calibri"/>
        </w:rPr>
        <w:t xml:space="preserve">Any intervention arm </w:t>
      </w:r>
      <w:r w:rsidR="00E66E98" w:rsidRPr="001C0C4B">
        <w:rPr>
          <w:rFonts w:ascii="Calibri" w:hAnsi="Calibri" w:cs="Calibri"/>
        </w:rPr>
        <w:t>of type</w:t>
      </w:r>
      <w:r w:rsidR="005B0D9A" w:rsidRPr="001C0C4B">
        <w:rPr>
          <w:rFonts w:ascii="Calibri" w:hAnsi="Calibri" w:cs="Calibri"/>
        </w:rPr>
        <w:t xml:space="preserve"> A, B or C</w:t>
      </w:r>
      <w:r w:rsidR="4B2F8E1F" w:rsidRPr="001C0C4B">
        <w:rPr>
          <w:rFonts w:ascii="Calibri" w:hAnsi="Calibri" w:cs="Calibri"/>
        </w:rPr>
        <w:t xml:space="preserve"> that meets the futility endpoint (less than </w:t>
      </w:r>
      <w:r w:rsidR="005B0D9A" w:rsidRPr="001C0C4B">
        <w:rPr>
          <w:rFonts w:ascii="Calibri" w:hAnsi="Calibri" w:cs="Calibri"/>
        </w:rPr>
        <w:t>10</w:t>
      </w:r>
      <w:r w:rsidR="4B2F8E1F" w:rsidRPr="001C0C4B">
        <w:rPr>
          <w:rFonts w:ascii="Calibri" w:hAnsi="Calibri" w:cs="Calibri"/>
        </w:rPr>
        <w:t xml:space="preserve">% probability of accelerating viral clearance by more than </w:t>
      </w:r>
      <w:r w:rsidR="0044138D" w:rsidRPr="001C0C4B">
        <w:rPr>
          <w:rFonts w:ascii="Calibri" w:hAnsi="Calibri" w:cs="Calibri"/>
        </w:rPr>
        <w:t>12.</w:t>
      </w:r>
      <w:r w:rsidR="4B2F8E1F" w:rsidRPr="001C0C4B">
        <w:rPr>
          <w:rFonts w:ascii="Calibri" w:hAnsi="Calibri" w:cs="Calibri"/>
        </w:rPr>
        <w:t>5%) will be dropped from the study. New arms can be added at any time during t</w:t>
      </w:r>
      <w:r w:rsidR="3D4E6E5A" w:rsidRPr="001C0C4B">
        <w:rPr>
          <w:rFonts w:ascii="Calibri" w:hAnsi="Calibri" w:cs="Calibri"/>
        </w:rPr>
        <w:t>he trial.</w:t>
      </w:r>
      <w:r w:rsidR="00577CE7" w:rsidRPr="001C0C4B">
        <w:rPr>
          <w:rFonts w:ascii="Calibri" w:hAnsi="Calibri" w:cs="Calibri"/>
        </w:rPr>
        <w:t xml:space="preserve"> </w:t>
      </w:r>
      <w:r w:rsidR="087001E4" w:rsidRPr="001C0C4B">
        <w:rPr>
          <w:rFonts w:ascii="Calibri" w:hAnsi="Calibri" w:cs="Calibri"/>
        </w:rPr>
        <w:t xml:space="preserve">Decisions concerning success and futility will be made sequentially at </w:t>
      </w:r>
      <w:r w:rsidR="0051387D" w:rsidRPr="001C0C4B">
        <w:rPr>
          <w:rFonts w:ascii="Calibri" w:hAnsi="Calibri" w:cs="Calibri"/>
        </w:rPr>
        <w:t xml:space="preserve">the </w:t>
      </w:r>
      <w:r w:rsidR="087001E4" w:rsidRPr="001C0C4B">
        <w:rPr>
          <w:rFonts w:ascii="Calibri" w:hAnsi="Calibri" w:cs="Calibri"/>
        </w:rPr>
        <w:t xml:space="preserve">pre-specified </w:t>
      </w:r>
      <w:r w:rsidR="00967A0A" w:rsidRPr="001C0C4B">
        <w:rPr>
          <w:rFonts w:ascii="Calibri" w:hAnsi="Calibri" w:cs="Calibri"/>
        </w:rPr>
        <w:t xml:space="preserve">interim </w:t>
      </w:r>
      <w:r w:rsidR="0051387D" w:rsidRPr="001C0C4B">
        <w:rPr>
          <w:rFonts w:ascii="Calibri" w:hAnsi="Calibri" w:cs="Calibri"/>
        </w:rPr>
        <w:t xml:space="preserve">analysis to be conducted after 50 patients are enrolled, and thereafter after every 25 patients </w:t>
      </w:r>
      <w:r w:rsidR="087001E4" w:rsidRPr="001C0C4B">
        <w:rPr>
          <w:rFonts w:ascii="Calibri" w:hAnsi="Calibri" w:cs="Calibri"/>
        </w:rPr>
        <w:t>to ensure control of type 1 and type 2 error</w:t>
      </w:r>
      <w:r w:rsidR="0003176B" w:rsidRPr="001C0C4B">
        <w:rPr>
          <w:rFonts w:ascii="Calibri" w:hAnsi="Calibri" w:cs="Calibri"/>
        </w:rPr>
        <w:t xml:space="preserve"> (Figure </w:t>
      </w:r>
      <w:r w:rsidR="00497709" w:rsidRPr="001C0C4B">
        <w:rPr>
          <w:rFonts w:ascii="Calibri" w:hAnsi="Calibri" w:cs="Calibri"/>
        </w:rPr>
        <w:t>4</w:t>
      </w:r>
      <w:r w:rsidR="0003176B" w:rsidRPr="001C0C4B">
        <w:rPr>
          <w:rFonts w:ascii="Calibri" w:hAnsi="Calibri" w:cs="Calibri"/>
        </w:rPr>
        <w:t>)</w:t>
      </w:r>
      <w:r w:rsidR="087001E4" w:rsidRPr="001C0C4B">
        <w:rPr>
          <w:rFonts w:ascii="Calibri" w:hAnsi="Calibri" w:cs="Calibri"/>
        </w:rPr>
        <w:t>.</w:t>
      </w:r>
      <w:r w:rsidR="0003176B" w:rsidRPr="001C0C4B">
        <w:rPr>
          <w:rFonts w:ascii="Calibri" w:hAnsi="Calibri" w:cs="Calibri"/>
        </w:rPr>
        <w:t xml:space="preserve"> </w:t>
      </w:r>
      <w:r w:rsidR="008A2BFD" w:rsidRPr="001C0C4B">
        <w:rPr>
          <w:rFonts w:ascii="Calibri" w:hAnsi="Calibri" w:cs="Calibri"/>
        </w:rPr>
        <w:t xml:space="preserve">The </w:t>
      </w:r>
      <w:r w:rsidR="00281780" w:rsidRPr="001C0C4B">
        <w:rPr>
          <w:rFonts w:ascii="Calibri" w:hAnsi="Calibri" w:cs="Calibri"/>
        </w:rPr>
        <w:t xml:space="preserve">nested intensive PK-PD substudy will be triggered if the probability that viral clearance </w:t>
      </w:r>
      <w:r w:rsidR="0003176B" w:rsidRPr="001C0C4B">
        <w:rPr>
          <w:rFonts w:ascii="Calibri" w:hAnsi="Calibri" w:cs="Calibri"/>
        </w:rPr>
        <w:t xml:space="preserve">is accelerated by more than </w:t>
      </w:r>
      <w:r w:rsidR="0044138D" w:rsidRPr="001C0C4B">
        <w:rPr>
          <w:rFonts w:ascii="Calibri" w:hAnsi="Calibri" w:cs="Calibri"/>
        </w:rPr>
        <w:t>12.</w:t>
      </w:r>
      <w:r w:rsidR="00281780" w:rsidRPr="001C0C4B">
        <w:rPr>
          <w:rFonts w:ascii="Calibri" w:hAnsi="Calibri" w:cs="Calibri"/>
        </w:rPr>
        <w:t>5% goes above 90%</w:t>
      </w:r>
      <w:r w:rsidR="00B53EF2" w:rsidRPr="001C0C4B">
        <w:rPr>
          <w:rFonts w:ascii="Calibri" w:hAnsi="Calibri"/>
        </w:rPr>
        <w:t>, or if there is evidence of accelerated viral clearance from other studies (e.g. Molnupiravir, Nirmatrelvir/ritonavir)</w:t>
      </w:r>
      <w:r w:rsidR="0003176B" w:rsidRPr="001C0C4B">
        <w:rPr>
          <w:rFonts w:ascii="Calibri" w:hAnsi="Calibri"/>
        </w:rPr>
        <w:t>.</w:t>
      </w:r>
    </w:p>
    <w:p w14:paraId="2A4433ED" w14:textId="484DDF4C" w:rsidR="005B0D9A" w:rsidRPr="001C0C4B" w:rsidRDefault="00716AA4" w:rsidP="005B0D9A">
      <w:pPr>
        <w:keepNext/>
        <w:rPr>
          <w:rFonts w:ascii="Calibri" w:hAnsi="Calibri" w:cs="Calibri"/>
        </w:rPr>
      </w:pPr>
      <w:r w:rsidRPr="001C0C4B">
        <w:rPr>
          <w:rFonts w:ascii="Calibri" w:hAnsi="Calibri" w:cs="Calibri"/>
          <w:noProof/>
          <w:lang w:bidi="th-TH"/>
        </w:rPr>
        <w:lastRenderedPageBreak/>
        <w:drawing>
          <wp:inline distT="0" distB="0" distL="0" distR="0" wp14:anchorId="2004319D" wp14:editId="3EFC622E">
            <wp:extent cx="6188472" cy="347899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472" cy="3478994"/>
                    </a:xfrm>
                    <a:prstGeom prst="rect">
                      <a:avLst/>
                    </a:prstGeom>
                  </pic:spPr>
                </pic:pic>
              </a:graphicData>
            </a:graphic>
          </wp:inline>
        </w:drawing>
      </w:r>
    </w:p>
    <w:p w14:paraId="1588CF36" w14:textId="5BE03353" w:rsidR="005B0D9A" w:rsidRPr="001C0C4B" w:rsidRDefault="005B0D9A" w:rsidP="002014DE">
      <w:pPr>
        <w:pStyle w:val="Caption"/>
        <w:ind w:left="720" w:hanging="720"/>
        <w:jc w:val="both"/>
        <w:rPr>
          <w:rFonts w:ascii="Calibri" w:hAnsi="Calibri" w:cs="Calibri"/>
          <w:color w:val="auto"/>
        </w:rPr>
      </w:pPr>
      <w:r w:rsidRPr="001C0C4B">
        <w:rPr>
          <w:rFonts w:ascii="Calibri" w:hAnsi="Calibri" w:cs="Calibri"/>
          <w:color w:val="auto"/>
        </w:rPr>
        <w:t xml:space="preserve">Figure </w:t>
      </w:r>
      <w:r w:rsidR="00953ACF" w:rsidRPr="001C0C4B">
        <w:rPr>
          <w:rFonts w:ascii="Calibri" w:hAnsi="Calibri" w:cs="Calibri"/>
          <w:color w:val="auto"/>
        </w:rPr>
        <w:t>4.</w:t>
      </w:r>
      <w:r w:rsidRPr="001C0C4B">
        <w:rPr>
          <w:rFonts w:ascii="Calibri" w:hAnsi="Calibri" w:cs="Calibri"/>
          <w:color w:val="auto"/>
        </w:rPr>
        <w:t xml:space="preserve"> Flow diagram showing how each intervention arm can progress through the study. </w:t>
      </w:r>
      <w:r w:rsidR="0051387D" w:rsidRPr="001C0C4B">
        <w:rPr>
          <w:rFonts w:ascii="Calibri" w:hAnsi="Calibri" w:cs="Calibri"/>
          <w:color w:val="auto"/>
        </w:rPr>
        <w:t>An</w:t>
      </w:r>
      <w:r w:rsidRPr="001C0C4B">
        <w:rPr>
          <w:rFonts w:ascii="Calibri" w:hAnsi="Calibri" w:cs="Calibri"/>
          <w:color w:val="auto"/>
        </w:rPr>
        <w:t xml:space="preserve"> </w:t>
      </w:r>
      <w:r w:rsidR="00950424" w:rsidRPr="001C0C4B">
        <w:rPr>
          <w:rFonts w:ascii="Calibri" w:hAnsi="Calibri" w:cs="Calibri"/>
          <w:color w:val="auto"/>
        </w:rPr>
        <w:t xml:space="preserve">interim analysis </w:t>
      </w:r>
      <w:r w:rsidR="009A25DD" w:rsidRPr="001C0C4B">
        <w:rPr>
          <w:rFonts w:ascii="Calibri" w:hAnsi="Calibri" w:cs="Calibri"/>
          <w:color w:val="auto"/>
        </w:rPr>
        <w:t>was</w:t>
      </w:r>
      <w:r w:rsidR="00950424" w:rsidRPr="001C0C4B">
        <w:rPr>
          <w:rFonts w:ascii="Calibri" w:hAnsi="Calibri" w:cs="Calibri"/>
          <w:color w:val="auto"/>
        </w:rPr>
        <w:t xml:space="preserve"> </w:t>
      </w:r>
      <w:r w:rsidR="0051387D" w:rsidRPr="001C0C4B">
        <w:rPr>
          <w:rFonts w:ascii="Calibri" w:hAnsi="Calibri" w:cs="Calibri"/>
          <w:color w:val="auto"/>
        </w:rPr>
        <w:t xml:space="preserve">conducted </w:t>
      </w:r>
      <w:r w:rsidR="00950424" w:rsidRPr="001C0C4B">
        <w:rPr>
          <w:rFonts w:ascii="Calibri" w:hAnsi="Calibri" w:cs="Calibri"/>
          <w:color w:val="auto"/>
        </w:rPr>
        <w:t>after</w:t>
      </w:r>
      <w:r w:rsidRPr="001C0C4B">
        <w:rPr>
          <w:rFonts w:ascii="Calibri" w:hAnsi="Calibri" w:cs="Calibri"/>
          <w:color w:val="auto"/>
        </w:rPr>
        <w:t xml:space="preserve"> </w:t>
      </w:r>
      <w:r w:rsidR="009A25DD" w:rsidRPr="001C0C4B">
        <w:rPr>
          <w:rFonts w:ascii="Calibri" w:hAnsi="Calibri" w:cs="Calibri"/>
          <w:color w:val="auto"/>
        </w:rPr>
        <w:t>qPCR data from the first</w:t>
      </w:r>
      <w:r w:rsidRPr="001C0C4B">
        <w:rPr>
          <w:rFonts w:ascii="Calibri" w:hAnsi="Calibri" w:cs="Calibri"/>
          <w:color w:val="auto"/>
        </w:rPr>
        <w:t xml:space="preserve"> 50 patients recruited</w:t>
      </w:r>
      <w:r w:rsidR="00953ACF" w:rsidRPr="001C0C4B">
        <w:rPr>
          <w:rFonts w:ascii="Calibri" w:hAnsi="Calibri" w:cs="Calibri"/>
          <w:color w:val="auto"/>
        </w:rPr>
        <w:t xml:space="preserve"> </w:t>
      </w:r>
      <w:r w:rsidR="009A25DD" w:rsidRPr="001C0C4B">
        <w:rPr>
          <w:rFonts w:ascii="Calibri" w:hAnsi="Calibri" w:cs="Calibri"/>
          <w:color w:val="auto"/>
        </w:rPr>
        <w:t>in</w:t>
      </w:r>
      <w:r w:rsidR="2FA194AD" w:rsidRPr="001C0C4B">
        <w:rPr>
          <w:rFonts w:ascii="Calibri" w:hAnsi="Calibri" w:cs="Calibri"/>
          <w:color w:val="auto"/>
        </w:rPr>
        <w:t>to</w:t>
      </w:r>
      <w:r w:rsidRPr="001C0C4B">
        <w:rPr>
          <w:rFonts w:ascii="Calibri" w:hAnsi="Calibri" w:cs="Calibri"/>
          <w:color w:val="auto"/>
        </w:rPr>
        <w:t xml:space="preserve"> the study</w:t>
      </w:r>
      <w:r w:rsidR="00457841" w:rsidRPr="001C0C4B">
        <w:rPr>
          <w:rFonts w:ascii="Calibri" w:hAnsi="Calibri" w:cs="Calibri"/>
          <w:color w:val="auto"/>
        </w:rPr>
        <w:t xml:space="preserve"> </w:t>
      </w:r>
      <w:r w:rsidR="009A25DD" w:rsidRPr="001C0C4B">
        <w:rPr>
          <w:rFonts w:ascii="Calibri" w:hAnsi="Calibri" w:cs="Calibri"/>
          <w:color w:val="auto"/>
        </w:rPr>
        <w:t xml:space="preserve">were available </w:t>
      </w:r>
      <w:r w:rsidR="00457841" w:rsidRPr="001C0C4B">
        <w:rPr>
          <w:rFonts w:ascii="Calibri" w:hAnsi="Calibri" w:cs="Calibri"/>
          <w:color w:val="auto"/>
        </w:rPr>
        <w:t>(burn-in)</w:t>
      </w:r>
      <w:r w:rsidRPr="001C0C4B">
        <w:rPr>
          <w:rFonts w:ascii="Calibri" w:hAnsi="Calibri" w:cs="Calibri"/>
          <w:color w:val="auto"/>
        </w:rPr>
        <w:t xml:space="preserve">. </w:t>
      </w:r>
      <w:r w:rsidR="00147772" w:rsidRPr="001C0C4B">
        <w:rPr>
          <w:rFonts w:ascii="Calibri" w:hAnsi="Calibri" w:cs="Calibri"/>
          <w:color w:val="auto"/>
        </w:rPr>
        <w:t xml:space="preserve">Ongoing </w:t>
      </w:r>
      <w:r w:rsidR="0051387D" w:rsidRPr="001C0C4B">
        <w:rPr>
          <w:rFonts w:ascii="Calibri" w:hAnsi="Calibri" w:cs="Calibri"/>
          <w:color w:val="auto"/>
        </w:rPr>
        <w:t xml:space="preserve">internal </w:t>
      </w:r>
      <w:r w:rsidR="00147772" w:rsidRPr="001C0C4B">
        <w:rPr>
          <w:rFonts w:ascii="Calibri" w:hAnsi="Calibri" w:cs="Calibri"/>
          <w:color w:val="auto"/>
        </w:rPr>
        <w:t xml:space="preserve">monitoring </w:t>
      </w:r>
      <w:r w:rsidRPr="001C0C4B">
        <w:rPr>
          <w:rFonts w:ascii="Calibri" w:hAnsi="Calibri" w:cs="Calibri"/>
          <w:color w:val="auto"/>
        </w:rPr>
        <w:t xml:space="preserve">will occur for every additional batch of 25 </w:t>
      </w:r>
      <w:r w:rsidR="00C85DC4" w:rsidRPr="001C0C4B">
        <w:rPr>
          <w:rFonts w:ascii="Calibri" w:hAnsi="Calibri" w:cs="Calibri"/>
          <w:color w:val="auto"/>
        </w:rPr>
        <w:t xml:space="preserve">studied </w:t>
      </w:r>
      <w:r w:rsidRPr="001C0C4B">
        <w:rPr>
          <w:rFonts w:ascii="Calibri" w:hAnsi="Calibri" w:cs="Calibri"/>
          <w:color w:val="auto"/>
        </w:rPr>
        <w:t xml:space="preserve">patients. </w:t>
      </w:r>
      <w:r w:rsidR="009A25DD" w:rsidRPr="001C0C4B">
        <w:rPr>
          <w:rFonts w:ascii="Calibri" w:hAnsi="Calibri" w:cs="Calibri"/>
          <w:color w:val="auto"/>
        </w:rPr>
        <w:t>Following the first interim analysis, the stopping rule threshold effect size was changed from 5% to 12.5 based on the observed effect of Regeneron and on sample predictions using observed uncertainty intervals.</w:t>
      </w:r>
      <w:r w:rsidRPr="001C0C4B">
        <w:rPr>
          <w:rFonts w:ascii="Calibri" w:hAnsi="Calibri" w:cs="Calibri"/>
          <w:color w:val="auto"/>
        </w:rPr>
        <w:t xml:space="preserve"> Futility occurs if the probability of success (increase in viral clearance &gt; </w:t>
      </w:r>
      <w:r w:rsidR="009A25DD" w:rsidRPr="001C0C4B">
        <w:rPr>
          <w:rFonts w:ascii="Calibri" w:hAnsi="Calibri" w:cs="Calibri"/>
          <w:color w:val="auto"/>
        </w:rPr>
        <w:t>12.</w:t>
      </w:r>
      <w:r w:rsidRPr="001C0C4B">
        <w:rPr>
          <w:rFonts w:ascii="Calibri" w:hAnsi="Calibri" w:cs="Calibri"/>
          <w:color w:val="auto"/>
        </w:rPr>
        <w:t>5% relative to control) is less than 10%.</w:t>
      </w:r>
      <w:r w:rsidR="00950424" w:rsidRPr="001C0C4B">
        <w:rPr>
          <w:rFonts w:ascii="Calibri" w:hAnsi="Calibri" w:cs="Calibri"/>
          <w:color w:val="auto"/>
        </w:rPr>
        <w:t xml:space="preserve"> Success occurs if the probability of success is greater than 90%, triggering an</w:t>
      </w:r>
      <w:r w:rsidRPr="001C0C4B">
        <w:rPr>
          <w:rFonts w:ascii="Calibri" w:hAnsi="Calibri" w:cs="Calibri"/>
          <w:color w:val="auto"/>
        </w:rPr>
        <w:t xml:space="preserve"> </w:t>
      </w:r>
      <w:r w:rsidR="00950424" w:rsidRPr="001C0C4B">
        <w:rPr>
          <w:rFonts w:ascii="Calibri" w:hAnsi="Calibri" w:cs="Calibri"/>
          <w:color w:val="auto"/>
        </w:rPr>
        <w:t>i</w:t>
      </w:r>
      <w:r w:rsidRPr="001C0C4B">
        <w:rPr>
          <w:rFonts w:ascii="Calibri" w:hAnsi="Calibri" w:cs="Calibri"/>
          <w:color w:val="auto"/>
        </w:rPr>
        <w:t>ntens</w:t>
      </w:r>
      <w:r w:rsidR="0003176B" w:rsidRPr="001C0C4B">
        <w:rPr>
          <w:rFonts w:ascii="Calibri" w:hAnsi="Calibri" w:cs="Calibri"/>
          <w:color w:val="auto"/>
        </w:rPr>
        <w:t>ive</w:t>
      </w:r>
      <w:r w:rsidRPr="001C0C4B">
        <w:rPr>
          <w:rFonts w:ascii="Calibri" w:hAnsi="Calibri" w:cs="Calibri"/>
          <w:color w:val="auto"/>
        </w:rPr>
        <w:t xml:space="preserve"> pharmacokinetic-pharmacodynamic </w:t>
      </w:r>
      <w:r w:rsidR="00950424" w:rsidRPr="001C0C4B">
        <w:rPr>
          <w:rFonts w:ascii="Calibri" w:hAnsi="Calibri" w:cs="Calibri"/>
          <w:color w:val="auto"/>
        </w:rPr>
        <w:t>substudy for that arm.</w:t>
      </w:r>
    </w:p>
    <w:p w14:paraId="18913754" w14:textId="0B2C7C36" w:rsidR="005858D4" w:rsidRPr="001C0C4B" w:rsidRDefault="004F5F01" w:rsidP="00E142CD">
      <w:pPr>
        <w:pStyle w:val="Heading1"/>
        <w:numPr>
          <w:ilvl w:val="0"/>
          <w:numId w:val="23"/>
        </w:numPr>
        <w:rPr>
          <w:rFonts w:ascii="Calibri" w:hAnsi="Calibri" w:cs="Calibri"/>
          <w:color w:val="auto"/>
          <w:sz w:val="22"/>
          <w:szCs w:val="22"/>
          <w:lang w:val="en-GB"/>
        </w:rPr>
      </w:pPr>
      <w:bookmarkStart w:id="92" w:name="_Toc96007279"/>
      <w:bookmarkStart w:id="93" w:name="_Toc95915232"/>
      <w:bookmarkStart w:id="94" w:name="_Toc74661277"/>
      <w:bookmarkStart w:id="95" w:name="_Toc110523971"/>
      <w:bookmarkStart w:id="96" w:name="_Toc96005582"/>
      <w:bookmarkStart w:id="97" w:name="_Toc112917620"/>
      <w:r w:rsidRPr="001C0C4B">
        <w:rPr>
          <w:rFonts w:ascii="Calibri" w:hAnsi="Calibri" w:cs="Calibri"/>
          <w:color w:val="auto"/>
          <w:sz w:val="22"/>
          <w:szCs w:val="22"/>
          <w:lang w:val="en-GB"/>
        </w:rPr>
        <w:t xml:space="preserve">PATIENT </w:t>
      </w:r>
      <w:r w:rsidR="005858D4" w:rsidRPr="001C0C4B">
        <w:rPr>
          <w:rFonts w:ascii="Calibri" w:hAnsi="Calibri" w:cs="Calibri"/>
          <w:color w:val="auto"/>
          <w:sz w:val="22"/>
          <w:szCs w:val="22"/>
          <w:lang w:val="en-GB"/>
        </w:rPr>
        <w:t>IDENTIFICATION AND RECRUITMENT</w:t>
      </w:r>
      <w:bookmarkEnd w:id="92"/>
      <w:bookmarkEnd w:id="93"/>
      <w:bookmarkEnd w:id="94"/>
      <w:bookmarkEnd w:id="95"/>
      <w:bookmarkEnd w:id="96"/>
      <w:bookmarkEnd w:id="97"/>
      <w:r w:rsidR="005858D4" w:rsidRPr="001C0C4B">
        <w:rPr>
          <w:rFonts w:ascii="Calibri" w:hAnsi="Calibri" w:cs="Calibri"/>
          <w:color w:val="auto"/>
          <w:sz w:val="22"/>
          <w:szCs w:val="22"/>
          <w:lang w:val="en-GB"/>
        </w:rPr>
        <w:t> </w:t>
      </w:r>
    </w:p>
    <w:p w14:paraId="7E06691A" w14:textId="4035D30A" w:rsidR="00793D5D" w:rsidRPr="001C0C4B" w:rsidRDefault="005858D4" w:rsidP="00E142CD">
      <w:pPr>
        <w:pStyle w:val="Heading2"/>
        <w:numPr>
          <w:ilvl w:val="1"/>
          <w:numId w:val="23"/>
        </w:numPr>
        <w:rPr>
          <w:rFonts w:ascii="Calibri" w:hAnsi="Calibri" w:cs="Calibri"/>
          <w:color w:val="auto"/>
          <w:sz w:val="22"/>
          <w:szCs w:val="22"/>
        </w:rPr>
      </w:pPr>
      <w:bookmarkStart w:id="98" w:name="_Toc96007280"/>
      <w:bookmarkStart w:id="99" w:name="_Toc95915233"/>
      <w:bookmarkStart w:id="100" w:name="_Toc74661278"/>
      <w:bookmarkStart w:id="101" w:name="_Toc110523972"/>
      <w:bookmarkStart w:id="102" w:name="_Toc96005583"/>
      <w:bookmarkStart w:id="103" w:name="_Toc112917621"/>
      <w:r w:rsidRPr="001C0C4B">
        <w:rPr>
          <w:rFonts w:ascii="Calibri" w:hAnsi="Calibri" w:cs="Calibri"/>
          <w:color w:val="auto"/>
          <w:sz w:val="22"/>
          <w:szCs w:val="22"/>
        </w:rPr>
        <w:t>Study</w:t>
      </w:r>
      <w:r w:rsidR="006D5080" w:rsidRPr="001C0C4B">
        <w:rPr>
          <w:rFonts w:ascii="Calibri" w:hAnsi="Calibri" w:cs="Calibri"/>
          <w:color w:val="auto"/>
          <w:sz w:val="22"/>
          <w:szCs w:val="22"/>
        </w:rPr>
        <w:t xml:space="preserve"> </w:t>
      </w:r>
      <w:r w:rsidR="004F5F01" w:rsidRPr="001C0C4B">
        <w:rPr>
          <w:rFonts w:ascii="Calibri" w:hAnsi="Calibri" w:cs="Calibri"/>
          <w:color w:val="auto"/>
          <w:sz w:val="22"/>
          <w:szCs w:val="22"/>
        </w:rPr>
        <w:t>Patients</w:t>
      </w:r>
      <w:bookmarkEnd w:id="98"/>
      <w:bookmarkEnd w:id="99"/>
      <w:bookmarkEnd w:id="100"/>
      <w:bookmarkEnd w:id="101"/>
      <w:bookmarkEnd w:id="102"/>
      <w:bookmarkEnd w:id="103"/>
      <w:r w:rsidR="00295EA4" w:rsidRPr="001C0C4B">
        <w:rPr>
          <w:rFonts w:ascii="Calibri" w:hAnsi="Calibri" w:cs="Calibri"/>
          <w:color w:val="auto"/>
          <w:sz w:val="22"/>
          <w:szCs w:val="22"/>
        </w:rPr>
        <w:t xml:space="preserve"> </w:t>
      </w:r>
    </w:p>
    <w:p w14:paraId="4035EDE7" w14:textId="5A756C12" w:rsidR="00D9461A" w:rsidRPr="001C0C4B" w:rsidRDefault="00CD45A9" w:rsidP="52C5D232">
      <w:pPr>
        <w:spacing w:after="0"/>
        <w:jc w:val="both"/>
        <w:textAlignment w:val="baseline"/>
        <w:rPr>
          <w:rStyle w:val="normaltextrun"/>
          <w:rFonts w:ascii="Calibri" w:eastAsiaTheme="minorEastAsia" w:hAnsi="Calibri" w:cs="Calibri"/>
        </w:rPr>
      </w:pPr>
      <w:r w:rsidRPr="001C0C4B">
        <w:rPr>
          <w:rFonts w:ascii="Calibri" w:hAnsi="Calibri" w:cs="Calibri"/>
        </w:rPr>
        <w:t>P</w:t>
      </w:r>
      <w:r w:rsidR="00DB1C13" w:rsidRPr="001C0C4B">
        <w:rPr>
          <w:rFonts w:ascii="Calibri" w:hAnsi="Calibri" w:cs="Calibri"/>
        </w:rPr>
        <w:t>reviously healthy a</w:t>
      </w:r>
      <w:r w:rsidR="005858D4" w:rsidRPr="001C0C4B">
        <w:rPr>
          <w:rFonts w:ascii="Calibri" w:hAnsi="Calibri" w:cs="Calibri"/>
        </w:rPr>
        <w:t xml:space="preserve">dult patients with </w:t>
      </w:r>
      <w:r w:rsidR="72FD48F3" w:rsidRPr="001C0C4B">
        <w:rPr>
          <w:rStyle w:val="normaltextrun"/>
          <w:rFonts w:ascii="Calibri" w:eastAsiaTheme="minorEastAsia" w:hAnsi="Calibri" w:cs="Calibri"/>
        </w:rPr>
        <w:t xml:space="preserve">early </w:t>
      </w:r>
      <w:r w:rsidR="188C0E62" w:rsidRPr="001C0C4B">
        <w:rPr>
          <w:rStyle w:val="normaltextrun"/>
          <w:rFonts w:ascii="Calibri" w:eastAsiaTheme="minorEastAsia" w:hAnsi="Calibri" w:cs="Calibri"/>
        </w:rPr>
        <w:t xml:space="preserve">symptomatic </w:t>
      </w:r>
      <w:r w:rsidR="005858D4" w:rsidRPr="001C0C4B">
        <w:rPr>
          <w:rStyle w:val="normaltextrun"/>
          <w:rFonts w:ascii="Calibri" w:eastAsiaTheme="minorEastAsia" w:hAnsi="Calibri" w:cs="Calibri"/>
        </w:rPr>
        <w:t>COVID-19</w:t>
      </w:r>
      <w:r w:rsidR="00EA68FC" w:rsidRPr="001C0C4B">
        <w:rPr>
          <w:rStyle w:val="normaltextrun"/>
          <w:rFonts w:ascii="Calibri" w:eastAsiaTheme="minorEastAsia" w:hAnsi="Calibri" w:cs="Calibri"/>
        </w:rPr>
        <w:t>.</w:t>
      </w:r>
    </w:p>
    <w:p w14:paraId="65BFD018" w14:textId="77777777" w:rsidR="002B251D" w:rsidRPr="001C0C4B" w:rsidRDefault="002B251D" w:rsidP="52C5D232">
      <w:pPr>
        <w:spacing w:after="0"/>
        <w:jc w:val="both"/>
        <w:textAlignment w:val="baseline"/>
        <w:rPr>
          <w:rFonts w:ascii="Calibri" w:eastAsiaTheme="minorEastAsia" w:hAnsi="Calibri" w:cs="Calibri"/>
        </w:rPr>
      </w:pPr>
    </w:p>
    <w:p w14:paraId="14255C91" w14:textId="34ED4925" w:rsidR="00C213B6" w:rsidRPr="001C0C4B" w:rsidRDefault="00C213B6" w:rsidP="00E142CD">
      <w:pPr>
        <w:pStyle w:val="Heading2"/>
        <w:numPr>
          <w:ilvl w:val="1"/>
          <w:numId w:val="23"/>
        </w:numPr>
        <w:rPr>
          <w:rFonts w:ascii="Calibri" w:hAnsi="Calibri" w:cs="Calibri"/>
          <w:color w:val="auto"/>
          <w:sz w:val="24"/>
          <w:szCs w:val="24"/>
        </w:rPr>
      </w:pPr>
      <w:bookmarkStart w:id="104" w:name="_Toc96007281"/>
      <w:bookmarkStart w:id="105" w:name="_Toc95915234"/>
      <w:bookmarkStart w:id="106" w:name="_Toc74661279"/>
      <w:bookmarkStart w:id="107" w:name="_Toc110523973"/>
      <w:bookmarkStart w:id="108" w:name="_Toc96005584"/>
      <w:bookmarkStart w:id="109" w:name="_Toc112917622"/>
      <w:r w:rsidRPr="001C0C4B">
        <w:rPr>
          <w:rFonts w:ascii="Calibri" w:hAnsi="Calibri" w:cs="Calibri"/>
          <w:color w:val="auto"/>
          <w:sz w:val="24"/>
          <w:szCs w:val="24"/>
        </w:rPr>
        <w:t>Inclusion Criteria</w:t>
      </w:r>
      <w:bookmarkEnd w:id="104"/>
      <w:bookmarkEnd w:id="105"/>
      <w:bookmarkEnd w:id="106"/>
      <w:bookmarkEnd w:id="107"/>
      <w:bookmarkEnd w:id="108"/>
      <w:bookmarkEnd w:id="109"/>
      <w:r w:rsidRPr="001C0C4B">
        <w:rPr>
          <w:rFonts w:ascii="Calibri" w:hAnsi="Calibri" w:cs="Calibri"/>
          <w:color w:val="auto"/>
          <w:sz w:val="24"/>
          <w:szCs w:val="24"/>
        </w:rPr>
        <w:t xml:space="preserve"> </w:t>
      </w:r>
    </w:p>
    <w:p w14:paraId="4CD21BC2" w14:textId="179E99DD" w:rsidR="00C213B6" w:rsidRPr="001C0C4B" w:rsidRDefault="00C213B6" w:rsidP="00E142CD">
      <w:pPr>
        <w:pStyle w:val="paragraph"/>
        <w:numPr>
          <w:ilvl w:val="0"/>
          <w:numId w:val="21"/>
        </w:numPr>
        <w:spacing w:before="0" w:beforeAutospacing="0" w:after="0" w:afterAutospacing="0"/>
        <w:ind w:left="714" w:hanging="357"/>
        <w:jc w:val="both"/>
        <w:textAlignment w:val="baseline"/>
        <w:rPr>
          <w:rFonts w:ascii="Calibri" w:eastAsiaTheme="minorEastAsia" w:hAnsi="Calibri" w:cs="Calibri"/>
          <w:sz w:val="22"/>
          <w:szCs w:val="22"/>
        </w:rPr>
      </w:pPr>
      <w:r w:rsidRPr="001C0C4B">
        <w:rPr>
          <w:rStyle w:val="normaltextrun"/>
          <w:rFonts w:ascii="Calibri" w:eastAsiaTheme="minorEastAsia" w:hAnsi="Calibri" w:cs="Calibri"/>
          <w:sz w:val="22"/>
          <w:szCs w:val="22"/>
        </w:rPr>
        <w:t>Patient</w:t>
      </w:r>
      <w:r w:rsidR="000C4CBC" w:rsidRPr="001C0C4B">
        <w:rPr>
          <w:rStyle w:val="normaltextrun"/>
          <w:rFonts w:ascii="Calibri" w:eastAsiaTheme="minorEastAsia" w:hAnsi="Calibri" w:cs="Calibri"/>
          <w:sz w:val="22"/>
          <w:szCs w:val="22"/>
        </w:rPr>
        <w:t xml:space="preserve"> </w:t>
      </w:r>
      <w:r w:rsidR="000C4CBC" w:rsidRPr="001C0C4B">
        <w:rPr>
          <w:rFonts w:ascii="Calibri" w:hAnsi="Calibri" w:cs="Calibri"/>
          <w:sz w:val="22"/>
          <w:szCs w:val="22"/>
        </w:rPr>
        <w:t>understands the procedures and requirements and</w:t>
      </w:r>
      <w:r w:rsidRPr="001C0C4B">
        <w:rPr>
          <w:rStyle w:val="normaltextrun"/>
          <w:rFonts w:ascii="Calibri" w:eastAsiaTheme="minorEastAsia" w:hAnsi="Calibri" w:cs="Calibri"/>
          <w:sz w:val="22"/>
          <w:szCs w:val="22"/>
        </w:rPr>
        <w:t xml:space="preserve"> is willing and able to give informed consent for </w:t>
      </w:r>
      <w:r w:rsidR="00F36846" w:rsidRPr="001C0C4B">
        <w:rPr>
          <w:rStyle w:val="normaltextrun"/>
          <w:rFonts w:ascii="Calibri" w:eastAsiaTheme="minorEastAsia" w:hAnsi="Calibri" w:cs="Calibri"/>
          <w:sz w:val="22"/>
          <w:szCs w:val="22"/>
        </w:rPr>
        <w:t xml:space="preserve">full </w:t>
      </w:r>
      <w:r w:rsidRPr="001C0C4B">
        <w:rPr>
          <w:rStyle w:val="normaltextrun"/>
          <w:rFonts w:ascii="Calibri" w:eastAsiaTheme="minorEastAsia" w:hAnsi="Calibri" w:cs="Calibri"/>
          <w:sz w:val="22"/>
          <w:szCs w:val="22"/>
        </w:rPr>
        <w:t>participation in the study.</w:t>
      </w:r>
      <w:r w:rsidRPr="001C0C4B">
        <w:rPr>
          <w:rStyle w:val="eop"/>
          <w:rFonts w:ascii="Calibri" w:eastAsiaTheme="minorEastAsia" w:hAnsi="Calibri" w:cs="Calibri"/>
          <w:sz w:val="22"/>
          <w:szCs w:val="22"/>
        </w:rPr>
        <w:t> </w:t>
      </w:r>
    </w:p>
    <w:p w14:paraId="337FBF37" w14:textId="5B5B9D0D" w:rsidR="00C213B6" w:rsidRPr="001C0C4B" w:rsidRDefault="00C213B6" w:rsidP="00E142CD">
      <w:pPr>
        <w:pStyle w:val="paragraph"/>
        <w:numPr>
          <w:ilvl w:val="0"/>
          <w:numId w:val="21"/>
        </w:numPr>
        <w:spacing w:before="0" w:beforeAutospacing="0" w:after="0" w:afterAutospacing="0"/>
        <w:ind w:left="714" w:hanging="357"/>
        <w:jc w:val="both"/>
        <w:rPr>
          <w:rStyle w:val="normaltextrun"/>
          <w:rFonts w:ascii="Calibri" w:eastAsiaTheme="minorEastAsia" w:hAnsi="Calibri" w:cs="Calibri"/>
          <w:sz w:val="22"/>
          <w:szCs w:val="22"/>
        </w:rPr>
      </w:pPr>
      <w:r w:rsidRPr="001C0C4B">
        <w:rPr>
          <w:rStyle w:val="normaltextrun"/>
          <w:rFonts w:ascii="Calibri" w:eastAsiaTheme="minorEastAsia" w:hAnsi="Calibri" w:cs="Calibri"/>
          <w:sz w:val="22"/>
          <w:szCs w:val="22"/>
        </w:rPr>
        <w:t xml:space="preserve">Previously healthy adults, male or female, aged 18 to 50 years </w:t>
      </w:r>
      <w:r w:rsidR="0096178A" w:rsidRPr="001C0C4B">
        <w:rPr>
          <w:rStyle w:val="normaltextrun"/>
          <w:rFonts w:ascii="Calibri" w:eastAsiaTheme="minorEastAsia" w:hAnsi="Calibri" w:cs="Calibri"/>
          <w:sz w:val="22"/>
          <w:szCs w:val="22"/>
        </w:rPr>
        <w:t xml:space="preserve">at time of consent </w:t>
      </w:r>
      <w:r w:rsidRPr="001C0C4B">
        <w:rPr>
          <w:rStyle w:val="normaltextrun"/>
          <w:rFonts w:ascii="Calibri" w:eastAsiaTheme="minorEastAsia" w:hAnsi="Calibri" w:cs="Calibri"/>
          <w:sz w:val="22"/>
          <w:szCs w:val="22"/>
        </w:rPr>
        <w:t xml:space="preserve">with early </w:t>
      </w:r>
      <w:r w:rsidR="00CD45A9" w:rsidRPr="001C0C4B">
        <w:rPr>
          <w:rStyle w:val="normaltextrun"/>
          <w:rFonts w:ascii="Calibri" w:eastAsiaTheme="minorEastAsia" w:hAnsi="Calibri" w:cs="Calibri"/>
          <w:sz w:val="22"/>
          <w:szCs w:val="22"/>
        </w:rPr>
        <w:t xml:space="preserve">symptomatic </w:t>
      </w:r>
      <w:r w:rsidRPr="001C0C4B">
        <w:rPr>
          <w:rStyle w:val="normaltextrun"/>
          <w:rFonts w:ascii="Calibri" w:eastAsiaTheme="minorEastAsia" w:hAnsi="Calibri" w:cs="Calibri"/>
          <w:sz w:val="22"/>
          <w:szCs w:val="22"/>
        </w:rPr>
        <w:t xml:space="preserve">COVID-19 </w:t>
      </w:r>
    </w:p>
    <w:p w14:paraId="46D75D5F" w14:textId="436512CE" w:rsidR="00C213B6" w:rsidRPr="001C0C4B" w:rsidRDefault="00C213B6" w:rsidP="000274C9">
      <w:pPr>
        <w:pStyle w:val="ListParagraph"/>
        <w:numPr>
          <w:ilvl w:val="0"/>
          <w:numId w:val="4"/>
        </w:numPr>
        <w:spacing w:after="0" w:line="240" w:lineRule="auto"/>
        <w:jc w:val="both"/>
        <w:rPr>
          <w:rStyle w:val="normaltextrun"/>
          <w:rFonts w:ascii="Calibri" w:hAnsi="Calibri" w:cs="Calibri"/>
          <w:lang w:val="en-GB" w:eastAsia="en-GB"/>
        </w:rPr>
      </w:pPr>
      <w:r w:rsidRPr="001C0C4B">
        <w:rPr>
          <w:rFonts w:ascii="Calibri" w:eastAsia="Times New Roman" w:hAnsi="Calibri" w:cs="Calibri"/>
          <w:lang w:val="en-GB" w:eastAsia="en-GB"/>
        </w:rPr>
        <w:t>SARS-CoV-2 positive by lateral flow antigen test</w:t>
      </w:r>
      <w:r w:rsidR="00A4411F" w:rsidRPr="001C0C4B">
        <w:rPr>
          <w:rFonts w:ascii="Calibri" w:eastAsia="Times New Roman" w:hAnsi="Calibri" w:cs="Calibri"/>
          <w:lang w:val="en-GB" w:eastAsia="en-GB"/>
        </w:rPr>
        <w:t xml:space="preserve"> OR a positive PCR test for SARS-CoV-2 within the last 24hrs with a Ct value of less than 25 (all viral targets)</w:t>
      </w:r>
    </w:p>
    <w:p w14:paraId="13459204" w14:textId="77777777" w:rsidR="00C213B6" w:rsidRPr="001C0C4B" w:rsidRDefault="00C213B6" w:rsidP="00E142CD">
      <w:pPr>
        <w:pStyle w:val="paragraph"/>
        <w:numPr>
          <w:ilvl w:val="0"/>
          <w:numId w:val="21"/>
        </w:numPr>
        <w:spacing w:before="0" w:beforeAutospacing="0" w:after="0" w:afterAutospacing="0"/>
        <w:ind w:left="714" w:hanging="357"/>
        <w:jc w:val="both"/>
        <w:textAlignment w:val="baseline"/>
        <w:rPr>
          <w:rFonts w:ascii="Calibri" w:eastAsiaTheme="minorEastAsia" w:hAnsi="Calibri" w:cs="Calibri"/>
          <w:sz w:val="22"/>
          <w:szCs w:val="22"/>
        </w:rPr>
      </w:pPr>
      <w:r w:rsidRPr="001C0C4B">
        <w:rPr>
          <w:rFonts w:ascii="Calibri" w:hAnsi="Calibri" w:cs="Calibri"/>
          <w:sz w:val="22"/>
          <w:szCs w:val="22"/>
        </w:rPr>
        <w:t>Symptoms of COVID-19 (including fever, or history of fever) for less than 4 days (96 hours).</w:t>
      </w:r>
      <w:r w:rsidRPr="001C0C4B">
        <w:rPr>
          <w:rStyle w:val="eop"/>
          <w:rFonts w:ascii="Calibri" w:eastAsiaTheme="minorEastAsia" w:hAnsi="Calibri" w:cs="Calibri"/>
          <w:sz w:val="22"/>
          <w:szCs w:val="22"/>
        </w:rPr>
        <w:t> </w:t>
      </w:r>
    </w:p>
    <w:p w14:paraId="6EFF7233" w14:textId="790883A4" w:rsidR="00C213B6" w:rsidRPr="001C0C4B" w:rsidRDefault="00C213B6" w:rsidP="00E142CD">
      <w:pPr>
        <w:pStyle w:val="paragraph"/>
        <w:numPr>
          <w:ilvl w:val="0"/>
          <w:numId w:val="21"/>
        </w:numPr>
        <w:spacing w:before="0" w:beforeAutospacing="0" w:after="0" w:afterAutospacing="0"/>
        <w:ind w:left="714" w:hanging="357"/>
        <w:jc w:val="both"/>
        <w:textAlignment w:val="baseline"/>
        <w:rPr>
          <w:rFonts w:ascii="Calibri" w:eastAsiaTheme="minorEastAsia" w:hAnsi="Calibri" w:cs="Calibri"/>
          <w:sz w:val="22"/>
          <w:szCs w:val="22"/>
        </w:rPr>
      </w:pPr>
      <w:r w:rsidRPr="001C0C4B">
        <w:rPr>
          <w:rStyle w:val="normaltextrun"/>
          <w:rFonts w:ascii="Calibri" w:eastAsiaTheme="minorEastAsia" w:hAnsi="Calibri" w:cs="Calibri"/>
          <w:sz w:val="22"/>
          <w:szCs w:val="22"/>
        </w:rPr>
        <w:t xml:space="preserve">Oxygen saturation </w:t>
      </w:r>
      <w:r w:rsidR="00CE2F74" w:rsidRPr="001C0C4B">
        <w:rPr>
          <w:rStyle w:val="normaltextrun"/>
          <w:rFonts w:ascii="Calibri" w:eastAsiaTheme="minorEastAsia" w:hAnsi="Calibri" w:cs="Calibri"/>
          <w:sz w:val="22"/>
          <w:szCs w:val="22"/>
        </w:rPr>
        <w:t>≥96</w:t>
      </w:r>
      <w:r w:rsidRPr="001C0C4B">
        <w:rPr>
          <w:rStyle w:val="normaltextrun"/>
          <w:rFonts w:ascii="Calibri" w:eastAsiaTheme="minorEastAsia" w:hAnsi="Calibri" w:cs="Calibri"/>
          <w:sz w:val="22"/>
          <w:szCs w:val="22"/>
        </w:rPr>
        <w:t>% measured by pulse-oximetry</w:t>
      </w:r>
      <w:r w:rsidR="0096178A" w:rsidRPr="001C0C4B">
        <w:rPr>
          <w:rStyle w:val="normaltextrun"/>
          <w:rFonts w:ascii="Calibri" w:eastAsiaTheme="minorEastAsia" w:hAnsi="Calibri" w:cs="Calibri"/>
          <w:sz w:val="22"/>
          <w:szCs w:val="22"/>
        </w:rPr>
        <w:t xml:space="preserve"> at time of screening</w:t>
      </w:r>
      <w:r w:rsidRPr="001C0C4B">
        <w:rPr>
          <w:rStyle w:val="normaltextrun"/>
          <w:rFonts w:ascii="Calibri" w:eastAsiaTheme="minorEastAsia" w:hAnsi="Calibri" w:cs="Calibri"/>
          <w:sz w:val="22"/>
          <w:szCs w:val="22"/>
        </w:rPr>
        <w:t>. </w:t>
      </w:r>
      <w:r w:rsidRPr="001C0C4B">
        <w:rPr>
          <w:rStyle w:val="eop"/>
          <w:rFonts w:ascii="Calibri" w:eastAsiaTheme="minorEastAsia" w:hAnsi="Calibri" w:cs="Calibri"/>
          <w:sz w:val="22"/>
          <w:szCs w:val="22"/>
        </w:rPr>
        <w:t> </w:t>
      </w:r>
    </w:p>
    <w:p w14:paraId="778FEC63" w14:textId="6B66E1A8" w:rsidR="008019B4" w:rsidRPr="001C0C4B" w:rsidRDefault="00C213B6" w:rsidP="00E142CD">
      <w:pPr>
        <w:pStyle w:val="paragraph"/>
        <w:numPr>
          <w:ilvl w:val="0"/>
          <w:numId w:val="21"/>
        </w:numPr>
        <w:spacing w:before="0" w:beforeAutospacing="0" w:after="0" w:afterAutospacing="0"/>
        <w:ind w:left="714" w:hanging="357"/>
        <w:jc w:val="both"/>
        <w:textAlignment w:val="baseline"/>
        <w:rPr>
          <w:rStyle w:val="normaltextrun"/>
          <w:rFonts w:ascii="Calibri" w:hAnsi="Calibri" w:cs="Calibri"/>
        </w:rPr>
      </w:pPr>
      <w:r w:rsidRPr="001C0C4B">
        <w:rPr>
          <w:rStyle w:val="normaltextrun"/>
          <w:rFonts w:ascii="Calibri" w:eastAsiaTheme="minorEastAsia" w:hAnsi="Calibri" w:cs="Calibri"/>
          <w:sz w:val="22"/>
          <w:szCs w:val="22"/>
        </w:rPr>
        <w:t>Able to walk unaided and unimpeded in ADL</w:t>
      </w:r>
      <w:r w:rsidRPr="001C0C4B">
        <w:rPr>
          <w:rStyle w:val="normaltextrun"/>
          <w:rFonts w:ascii="Calibri" w:eastAsiaTheme="majorEastAsia" w:hAnsi="Calibri" w:cs="Calibri"/>
        </w:rPr>
        <w:t>s</w:t>
      </w:r>
    </w:p>
    <w:p w14:paraId="561AA729" w14:textId="682DE625" w:rsidR="00CE2F74" w:rsidRPr="001C0C4B" w:rsidRDefault="008019B4" w:rsidP="00E142CD">
      <w:pPr>
        <w:pStyle w:val="paragraph"/>
        <w:numPr>
          <w:ilvl w:val="0"/>
          <w:numId w:val="21"/>
        </w:numPr>
        <w:spacing w:before="0" w:beforeAutospacing="0" w:after="0" w:afterAutospacing="0"/>
        <w:ind w:left="714" w:hanging="357"/>
        <w:jc w:val="both"/>
        <w:textAlignment w:val="baseline"/>
        <w:rPr>
          <w:rStyle w:val="normaltextrun"/>
          <w:rFonts w:ascii="Calibri" w:hAnsi="Calibri" w:cs="Calibri"/>
          <w:sz w:val="22"/>
          <w:szCs w:val="22"/>
        </w:rPr>
      </w:pPr>
      <w:r w:rsidRPr="001C0C4B">
        <w:rPr>
          <w:rStyle w:val="normaltextrun"/>
          <w:rFonts w:ascii="Calibri" w:eastAsiaTheme="majorEastAsia" w:hAnsi="Calibri" w:cs="Calibri"/>
          <w:sz w:val="22"/>
          <w:szCs w:val="22"/>
        </w:rPr>
        <w:t>Agrees and is able to adhere to all study procedures, including availability and contact information for follow-up visits</w:t>
      </w:r>
    </w:p>
    <w:p w14:paraId="52E0662B" w14:textId="77777777" w:rsidR="00CE2F74" w:rsidRPr="001C0C4B" w:rsidRDefault="00CE2F74" w:rsidP="00175B86">
      <w:pPr>
        <w:pStyle w:val="paragraph"/>
        <w:spacing w:before="0" w:beforeAutospacing="0" w:after="0" w:afterAutospacing="0"/>
        <w:ind w:left="714"/>
        <w:jc w:val="both"/>
        <w:textAlignment w:val="baseline"/>
        <w:rPr>
          <w:rFonts w:ascii="Calibri" w:hAnsi="Calibri" w:cs="Calibri"/>
          <w:sz w:val="22"/>
          <w:szCs w:val="22"/>
        </w:rPr>
      </w:pPr>
    </w:p>
    <w:p w14:paraId="5F473E4E" w14:textId="5FF91DC0" w:rsidR="00793D5D" w:rsidRPr="001C0C4B" w:rsidRDefault="00793D5D" w:rsidP="00E142CD">
      <w:pPr>
        <w:pStyle w:val="Heading2"/>
        <w:numPr>
          <w:ilvl w:val="1"/>
          <w:numId w:val="23"/>
        </w:numPr>
        <w:rPr>
          <w:rFonts w:ascii="Calibri" w:hAnsi="Calibri" w:cs="Calibri"/>
          <w:color w:val="auto"/>
          <w:sz w:val="24"/>
          <w:szCs w:val="24"/>
        </w:rPr>
      </w:pPr>
      <w:bookmarkStart w:id="110" w:name="_Toc96007282"/>
      <w:bookmarkStart w:id="111" w:name="_Toc95915235"/>
      <w:bookmarkStart w:id="112" w:name="_Toc74661280"/>
      <w:bookmarkStart w:id="113" w:name="_Toc110523974"/>
      <w:bookmarkStart w:id="114" w:name="_Toc96005585"/>
      <w:bookmarkStart w:id="115" w:name="_Toc112917623"/>
      <w:r w:rsidRPr="001C0C4B">
        <w:rPr>
          <w:rFonts w:ascii="Calibri" w:hAnsi="Calibri" w:cs="Calibri"/>
          <w:color w:val="auto"/>
          <w:sz w:val="24"/>
          <w:szCs w:val="24"/>
        </w:rPr>
        <w:t>Exclusion Criteria</w:t>
      </w:r>
      <w:bookmarkEnd w:id="110"/>
      <w:bookmarkEnd w:id="111"/>
      <w:bookmarkEnd w:id="112"/>
      <w:bookmarkEnd w:id="113"/>
      <w:bookmarkEnd w:id="114"/>
      <w:bookmarkEnd w:id="115"/>
    </w:p>
    <w:p w14:paraId="499D2417" w14:textId="6E3D0118" w:rsidR="005858D4" w:rsidRPr="001C0C4B" w:rsidRDefault="005858D4" w:rsidP="00F64B15">
      <w:pPr>
        <w:pStyle w:val="paragraph"/>
        <w:spacing w:before="0" w:beforeAutospacing="0" w:after="0" w:afterAutospacing="0"/>
        <w:jc w:val="both"/>
        <w:textAlignment w:val="baseline"/>
        <w:rPr>
          <w:rFonts w:ascii="Calibri" w:eastAsiaTheme="minorEastAsia" w:hAnsi="Calibri" w:cs="Calibri"/>
          <w:sz w:val="22"/>
          <w:szCs w:val="22"/>
        </w:rPr>
      </w:pPr>
      <w:r w:rsidRPr="001C0C4B">
        <w:rPr>
          <w:rStyle w:val="normaltextrun"/>
          <w:rFonts w:ascii="Calibri" w:eastAsiaTheme="minorEastAsia" w:hAnsi="Calibri" w:cs="Calibri"/>
          <w:sz w:val="22"/>
          <w:szCs w:val="22"/>
        </w:rPr>
        <w:t xml:space="preserve">The </w:t>
      </w:r>
      <w:r w:rsidR="000B2A6B" w:rsidRPr="001C0C4B">
        <w:rPr>
          <w:rStyle w:val="normaltextrun"/>
          <w:rFonts w:ascii="Calibri" w:eastAsiaTheme="minorEastAsia" w:hAnsi="Calibri" w:cs="Calibri"/>
          <w:sz w:val="22"/>
          <w:szCs w:val="22"/>
        </w:rPr>
        <w:t xml:space="preserve">patient </w:t>
      </w:r>
      <w:r w:rsidRPr="001C0C4B">
        <w:rPr>
          <w:rStyle w:val="normaltextrun"/>
          <w:rFonts w:ascii="Calibri" w:eastAsiaTheme="minorEastAsia" w:hAnsi="Calibri" w:cs="Calibri"/>
          <w:sz w:val="22"/>
          <w:szCs w:val="22"/>
        </w:rPr>
        <w:t>may not enter the study if ANY of the following apply:</w:t>
      </w:r>
      <w:r w:rsidRPr="001C0C4B">
        <w:rPr>
          <w:rStyle w:val="eop"/>
          <w:rFonts w:ascii="Calibri" w:eastAsiaTheme="minorEastAsia" w:hAnsi="Calibri" w:cs="Calibri"/>
          <w:sz w:val="22"/>
          <w:szCs w:val="22"/>
        </w:rPr>
        <w:t>  </w:t>
      </w:r>
    </w:p>
    <w:p w14:paraId="11FB6C45" w14:textId="567D63C4" w:rsidR="00EB3900" w:rsidRPr="001C0C4B" w:rsidRDefault="00EB3900" w:rsidP="003651D9">
      <w:pPr>
        <w:pStyle w:val="ListParagraph"/>
        <w:numPr>
          <w:ilvl w:val="0"/>
          <w:numId w:val="4"/>
        </w:numPr>
        <w:spacing w:after="0" w:line="240" w:lineRule="auto"/>
        <w:jc w:val="both"/>
        <w:textAlignment w:val="baseline"/>
        <w:rPr>
          <w:rFonts w:ascii="Calibri" w:hAnsi="Calibri" w:cs="Calibri"/>
          <w:lang w:val="en-GB" w:eastAsia="en-GB"/>
        </w:rPr>
      </w:pPr>
      <w:r w:rsidRPr="001C0C4B">
        <w:rPr>
          <w:rFonts w:ascii="Calibri" w:eastAsia="Times New Roman" w:hAnsi="Calibri" w:cs="Calibri"/>
          <w:lang w:val="en-GB" w:eastAsia="en-GB"/>
        </w:rPr>
        <w:t>Taking any concomitant medications or drugs (see appendix 4)</w:t>
      </w:r>
      <w:r w:rsidRPr="001C0C4B">
        <w:rPr>
          <w:rStyle w:val="normaltextrun"/>
          <w:rFonts w:ascii="Calibri" w:hAnsi="Calibri" w:cs="Calibri"/>
          <w:bCs/>
        </w:rPr>
        <w:t>†</w:t>
      </w:r>
    </w:p>
    <w:p w14:paraId="75755274" w14:textId="431DE8E5" w:rsidR="00EB3900" w:rsidRPr="001C0C4B" w:rsidRDefault="00EB3900" w:rsidP="003651D9">
      <w:pPr>
        <w:pStyle w:val="ListParagraph"/>
        <w:numPr>
          <w:ilvl w:val="0"/>
          <w:numId w:val="4"/>
        </w:numPr>
        <w:spacing w:after="0" w:line="240" w:lineRule="auto"/>
        <w:jc w:val="both"/>
        <w:textAlignment w:val="baseline"/>
        <w:rPr>
          <w:rFonts w:ascii="Calibri" w:hAnsi="Calibri" w:cs="Calibri"/>
          <w:lang w:val="en-GB" w:eastAsia="en-GB"/>
        </w:rPr>
      </w:pPr>
      <w:r w:rsidRPr="001C0C4B">
        <w:rPr>
          <w:rFonts w:ascii="Calibri" w:eastAsia="Times New Roman" w:hAnsi="Calibri" w:cs="Calibri"/>
          <w:lang w:val="en-GB" w:eastAsia="en-GB"/>
        </w:rPr>
        <w:t>Presence of any chronic illness/ condition requiring long term treatment, or other significant comorbidity</w:t>
      </w:r>
      <w:r w:rsidR="00CE2F74" w:rsidRPr="001C0C4B">
        <w:rPr>
          <w:rFonts w:ascii="Calibri" w:eastAsia="Times New Roman" w:hAnsi="Calibri" w:cs="Calibri"/>
          <w:lang w:val="en-GB" w:eastAsia="en-GB"/>
        </w:rPr>
        <w:t xml:space="preserve"> (see </w:t>
      </w:r>
      <w:r w:rsidRPr="001C0C4B">
        <w:rPr>
          <w:rFonts w:ascii="Calibri" w:eastAsia="Times New Roman" w:hAnsi="Calibri" w:cs="Calibri"/>
          <w:lang w:val="en-GB" w:eastAsia="en-GB"/>
        </w:rPr>
        <w:t>appendix 4</w:t>
      </w:r>
      <w:r w:rsidR="00CE2F74" w:rsidRPr="001C0C4B">
        <w:rPr>
          <w:rFonts w:ascii="Calibri" w:eastAsia="Times New Roman" w:hAnsi="Calibri" w:cs="Calibri"/>
          <w:lang w:val="en-GB" w:eastAsia="en-GB"/>
        </w:rPr>
        <w:t xml:space="preserve"> for the full list</w:t>
      </w:r>
      <w:r w:rsidRPr="001C0C4B">
        <w:rPr>
          <w:rFonts w:ascii="Calibri" w:eastAsia="Times New Roman" w:hAnsi="Calibri" w:cs="Calibri"/>
          <w:lang w:val="en-GB" w:eastAsia="en-GB"/>
        </w:rPr>
        <w:t>)</w:t>
      </w:r>
      <w:r w:rsidR="00FA0AD1" w:rsidRPr="001C0C4B" w:rsidDel="00FA0AD1">
        <w:rPr>
          <w:rFonts w:ascii="Calibri" w:eastAsia="Times New Roman" w:hAnsi="Calibri" w:cs="Calibri"/>
          <w:lang w:val="en-GB" w:eastAsia="en-GB"/>
        </w:rPr>
        <w:t xml:space="preserve"> </w:t>
      </w:r>
    </w:p>
    <w:p w14:paraId="30E91F9B" w14:textId="77777777" w:rsidR="00EB3900" w:rsidRPr="001C0C4B" w:rsidRDefault="00EB3900" w:rsidP="003651D9">
      <w:pPr>
        <w:pStyle w:val="paragraph"/>
        <w:numPr>
          <w:ilvl w:val="0"/>
          <w:numId w:val="4"/>
        </w:numPr>
        <w:spacing w:before="0" w:beforeAutospacing="0" w:after="0" w:afterAutospacing="0"/>
        <w:jc w:val="both"/>
        <w:textAlignment w:val="baseline"/>
        <w:rPr>
          <w:rFonts w:ascii="Calibri" w:eastAsiaTheme="minorEastAsia" w:hAnsi="Calibri" w:cs="Calibri"/>
        </w:rPr>
      </w:pPr>
      <w:r w:rsidRPr="001C0C4B">
        <w:rPr>
          <w:rFonts w:ascii="Calibri" w:hAnsi="Calibri" w:cs="Calibri"/>
          <w:sz w:val="22"/>
          <w:szCs w:val="22"/>
        </w:rPr>
        <w:lastRenderedPageBreak/>
        <w:t xml:space="preserve">Laboratory abnormalities discovered at screening </w:t>
      </w:r>
      <w:r w:rsidRPr="001C0C4B">
        <w:rPr>
          <w:rStyle w:val="eop"/>
          <w:rFonts w:ascii="Calibri" w:eastAsiaTheme="minorEastAsia" w:hAnsi="Calibri" w:cs="Calibri"/>
          <w:sz w:val="22"/>
          <w:szCs w:val="22"/>
        </w:rPr>
        <w:t>(see appendix 4)</w:t>
      </w:r>
    </w:p>
    <w:p w14:paraId="7A6E53B3" w14:textId="77777777" w:rsidR="00EB3900" w:rsidRPr="001C0C4B" w:rsidRDefault="00EB3900" w:rsidP="003651D9">
      <w:pPr>
        <w:pStyle w:val="ListParagraph"/>
        <w:numPr>
          <w:ilvl w:val="0"/>
          <w:numId w:val="4"/>
        </w:numPr>
        <w:spacing w:after="0" w:line="240" w:lineRule="auto"/>
        <w:jc w:val="both"/>
        <w:textAlignment w:val="baseline"/>
        <w:rPr>
          <w:rFonts w:ascii="Calibri" w:hAnsi="Calibri" w:cs="Calibri"/>
          <w:lang w:val="en-GB" w:eastAsia="en-GB"/>
        </w:rPr>
      </w:pPr>
      <w:r w:rsidRPr="001C0C4B">
        <w:rPr>
          <w:rFonts w:ascii="Calibri" w:eastAsia="Times New Roman" w:hAnsi="Calibri" w:cs="Calibri"/>
          <w:lang w:val="en-GB" w:eastAsia="en-GB"/>
        </w:rPr>
        <w:t>For females: pregnancy, actively trying to become pregnant, or lactation</w:t>
      </w:r>
    </w:p>
    <w:p w14:paraId="5F8100BD" w14:textId="77777777" w:rsidR="00EB3900" w:rsidRPr="001C0C4B" w:rsidRDefault="00EB3900" w:rsidP="003651D9">
      <w:pPr>
        <w:pStyle w:val="ListParagraph"/>
        <w:numPr>
          <w:ilvl w:val="0"/>
          <w:numId w:val="4"/>
        </w:numPr>
        <w:spacing w:after="0" w:line="240" w:lineRule="auto"/>
        <w:jc w:val="both"/>
        <w:textAlignment w:val="baseline"/>
        <w:rPr>
          <w:rStyle w:val="eop"/>
          <w:rFonts w:ascii="Calibri" w:hAnsi="Calibri" w:cs="Calibri"/>
          <w:lang w:val="en-GB" w:eastAsia="en-GB"/>
        </w:rPr>
      </w:pPr>
      <w:r w:rsidRPr="001C0C4B">
        <w:rPr>
          <w:rStyle w:val="eop"/>
          <w:rFonts w:ascii="Calibri" w:eastAsiaTheme="minorEastAsia" w:hAnsi="Calibri" w:cs="Calibri"/>
        </w:rPr>
        <w:t>Contraindication to taking, or known hypersensitivity reaction to any of the proposed therapeutics (see appendix 4)</w:t>
      </w:r>
    </w:p>
    <w:p w14:paraId="73063616" w14:textId="72102D7E" w:rsidR="00EB3900" w:rsidRPr="001C0C4B" w:rsidRDefault="00EB3900" w:rsidP="003651D9">
      <w:pPr>
        <w:pStyle w:val="ListParagraph"/>
        <w:numPr>
          <w:ilvl w:val="0"/>
          <w:numId w:val="4"/>
        </w:numPr>
        <w:spacing w:after="0" w:line="240" w:lineRule="auto"/>
        <w:jc w:val="both"/>
        <w:textAlignment w:val="baseline"/>
        <w:rPr>
          <w:rStyle w:val="eop"/>
          <w:rFonts w:ascii="Calibri" w:hAnsi="Calibri" w:cs="Calibri"/>
          <w:lang w:val="en-GB" w:eastAsia="en-GB"/>
        </w:rPr>
      </w:pPr>
      <w:r w:rsidRPr="001C0C4B">
        <w:rPr>
          <w:rStyle w:val="eop"/>
          <w:rFonts w:ascii="Calibri" w:eastAsiaTheme="minorEastAsia" w:hAnsi="Calibri" w:cs="Calibri"/>
        </w:rPr>
        <w:t>Currently participating in another COVID-19 therapeutic or vaccine trial</w:t>
      </w:r>
    </w:p>
    <w:p w14:paraId="5C849B91" w14:textId="77777777" w:rsidR="00CE2F74" w:rsidRPr="001C0C4B" w:rsidRDefault="00CE2F74" w:rsidP="00CE2F74">
      <w:pPr>
        <w:pStyle w:val="ListParagraph"/>
        <w:numPr>
          <w:ilvl w:val="0"/>
          <w:numId w:val="4"/>
        </w:numPr>
        <w:spacing w:after="0" w:line="240" w:lineRule="auto"/>
        <w:jc w:val="both"/>
        <w:textAlignment w:val="baseline"/>
        <w:rPr>
          <w:rStyle w:val="eop"/>
          <w:rFonts w:ascii="Calibri" w:hAnsi="Calibri" w:cs="Calibri"/>
          <w:lang w:val="en-GB" w:eastAsia="en-GB"/>
        </w:rPr>
      </w:pPr>
      <w:r w:rsidRPr="001C0C4B">
        <w:rPr>
          <w:rStyle w:val="eop"/>
          <w:rFonts w:eastAsiaTheme="minorEastAsia"/>
        </w:rPr>
        <w:t>Evidence of pneumonia (although imaging is NOT required)</w:t>
      </w:r>
    </w:p>
    <w:p w14:paraId="45C2319A" w14:textId="679AC105" w:rsidR="00BC1B4D" w:rsidRPr="001C0C4B" w:rsidRDefault="002B251D" w:rsidP="004A09F6">
      <w:pPr>
        <w:pStyle w:val="footnote"/>
        <w:rPr>
          <w:rStyle w:val="eop"/>
          <w:rFonts w:ascii="Calibri" w:hAnsi="Calibri" w:cs="Calibri"/>
          <w:szCs w:val="22"/>
        </w:rPr>
      </w:pPr>
      <w:r w:rsidRPr="001C0C4B">
        <w:rPr>
          <w:rFonts w:ascii="Calibri" w:hAnsi="Calibri" w:cs="Calibri"/>
        </w:rPr>
        <w:t xml:space="preserve">         </w:t>
      </w:r>
      <w:r w:rsidR="00EB3900" w:rsidRPr="001C0C4B">
        <w:rPr>
          <w:rFonts w:ascii="Calibri" w:hAnsi="Calibri" w:cs="Calibri"/>
        </w:rPr>
        <w:t>† healthy women on the oral contraceptive pill are eligible to join the study</w:t>
      </w:r>
    </w:p>
    <w:p w14:paraId="63208DE6" w14:textId="4BAD6C82" w:rsidR="005858D4" w:rsidRPr="001C0C4B" w:rsidRDefault="005858D4" w:rsidP="00E142CD">
      <w:pPr>
        <w:pStyle w:val="Heading1"/>
        <w:numPr>
          <w:ilvl w:val="0"/>
          <w:numId w:val="23"/>
        </w:numPr>
        <w:rPr>
          <w:rFonts w:ascii="Calibri" w:hAnsi="Calibri" w:cs="Calibri"/>
          <w:color w:val="auto"/>
          <w:sz w:val="22"/>
          <w:szCs w:val="22"/>
          <w:lang w:val="en-GB"/>
        </w:rPr>
      </w:pPr>
      <w:bookmarkStart w:id="116" w:name="_Toc96007283"/>
      <w:bookmarkStart w:id="117" w:name="_Toc95915236"/>
      <w:bookmarkStart w:id="118" w:name="_Toc74661281"/>
      <w:bookmarkStart w:id="119" w:name="_Toc110523975"/>
      <w:bookmarkStart w:id="120" w:name="_Toc96005586"/>
      <w:bookmarkStart w:id="121" w:name="_Toc112917624"/>
      <w:r w:rsidRPr="001C0C4B">
        <w:rPr>
          <w:rFonts w:ascii="Calibri" w:hAnsi="Calibri" w:cs="Calibri"/>
          <w:color w:val="auto"/>
          <w:sz w:val="22"/>
          <w:szCs w:val="22"/>
          <w:lang w:val="en-GB"/>
        </w:rPr>
        <w:t>STUDY</w:t>
      </w:r>
      <w:r w:rsidR="00F64A30" w:rsidRPr="001C0C4B">
        <w:rPr>
          <w:rFonts w:ascii="Calibri" w:hAnsi="Calibri" w:cs="Calibri"/>
          <w:color w:val="auto"/>
          <w:sz w:val="22"/>
          <w:szCs w:val="22"/>
          <w:lang w:val="en-GB"/>
        </w:rPr>
        <w:t xml:space="preserve"> </w:t>
      </w:r>
      <w:r w:rsidR="00F777D1" w:rsidRPr="001C0C4B">
        <w:rPr>
          <w:rFonts w:ascii="Calibri" w:hAnsi="Calibri" w:cs="Calibri"/>
          <w:color w:val="auto"/>
          <w:sz w:val="22"/>
          <w:szCs w:val="22"/>
          <w:lang w:val="en-GB"/>
        </w:rPr>
        <w:t>SET-UP AND</w:t>
      </w:r>
      <w:r w:rsidR="00F761D1" w:rsidRPr="001C0C4B">
        <w:rPr>
          <w:rFonts w:ascii="Calibri" w:hAnsi="Calibri" w:cs="Calibri"/>
          <w:color w:val="auto"/>
          <w:sz w:val="22"/>
          <w:szCs w:val="22"/>
          <w:lang w:val="en-GB"/>
        </w:rPr>
        <w:t xml:space="preserve"> </w:t>
      </w:r>
      <w:r w:rsidRPr="001C0C4B">
        <w:rPr>
          <w:rFonts w:ascii="Calibri" w:hAnsi="Calibri" w:cs="Calibri"/>
          <w:color w:val="auto"/>
          <w:sz w:val="22"/>
          <w:szCs w:val="22"/>
          <w:lang w:val="en-GB"/>
        </w:rPr>
        <w:t>PROCEDURES</w:t>
      </w:r>
      <w:bookmarkEnd w:id="116"/>
      <w:bookmarkEnd w:id="117"/>
      <w:bookmarkEnd w:id="118"/>
      <w:bookmarkEnd w:id="119"/>
      <w:bookmarkEnd w:id="120"/>
      <w:bookmarkEnd w:id="121"/>
    </w:p>
    <w:p w14:paraId="4BADC192" w14:textId="3972CF48" w:rsidR="006C65D9" w:rsidRPr="001C0C4B" w:rsidRDefault="00F777D1" w:rsidP="006F1841">
      <w:pPr>
        <w:spacing w:after="0"/>
        <w:jc w:val="both"/>
        <w:rPr>
          <w:rFonts w:ascii="Calibri" w:hAnsi="Calibri" w:cs="Calibri"/>
          <w:lang w:val="en-GB" w:eastAsia="en-GB"/>
        </w:rPr>
      </w:pPr>
      <w:r w:rsidRPr="001C0C4B">
        <w:rPr>
          <w:rFonts w:ascii="Calibri" w:hAnsi="Calibri" w:cs="Calibri"/>
        </w:rPr>
        <w:t>Recruitment of patients will be from outpatient COVID-19</w:t>
      </w:r>
      <w:r w:rsidR="00F877F9" w:rsidRPr="001C0C4B">
        <w:rPr>
          <w:rFonts w:ascii="Calibri" w:hAnsi="Calibri" w:cs="Calibri"/>
        </w:rPr>
        <w:t>/ ARI</w:t>
      </w:r>
      <w:r w:rsidRPr="001C0C4B">
        <w:rPr>
          <w:rFonts w:ascii="Calibri" w:hAnsi="Calibri" w:cs="Calibri"/>
        </w:rPr>
        <w:t xml:space="preserve"> clinics</w:t>
      </w:r>
      <w:r w:rsidR="00DD6756" w:rsidRPr="001C0C4B">
        <w:rPr>
          <w:rFonts w:ascii="Calibri" w:hAnsi="Calibri" w:cs="Calibri"/>
        </w:rPr>
        <w:t xml:space="preserve"> or through other approved</w:t>
      </w:r>
      <w:r w:rsidR="00801A78" w:rsidRPr="001C0C4B">
        <w:rPr>
          <w:rFonts w:ascii="Calibri" w:hAnsi="Calibri" w:cs="Calibri"/>
        </w:rPr>
        <w:t xml:space="preserve"> facilities</w:t>
      </w:r>
      <w:r w:rsidR="001A12DC" w:rsidRPr="001C0C4B">
        <w:rPr>
          <w:rFonts w:ascii="Calibri" w:hAnsi="Calibri" w:cs="Calibri"/>
        </w:rPr>
        <w:t>, or from inpatient isolation facilities</w:t>
      </w:r>
      <w:r w:rsidR="00B54A28" w:rsidRPr="001C0C4B">
        <w:rPr>
          <w:rFonts w:ascii="Calibri" w:hAnsi="Calibri" w:cs="Calibri"/>
        </w:rPr>
        <w:t>, or by patient self-referral to the study site</w:t>
      </w:r>
      <w:r w:rsidRPr="001C0C4B">
        <w:rPr>
          <w:rFonts w:ascii="Calibri" w:hAnsi="Calibri" w:cs="Calibri"/>
        </w:rPr>
        <w:t xml:space="preserve">. </w:t>
      </w:r>
      <w:r w:rsidR="00F761D1" w:rsidRPr="001C0C4B">
        <w:rPr>
          <w:rFonts w:ascii="Calibri" w:hAnsi="Calibri" w:cs="Calibri"/>
        </w:rPr>
        <w:t xml:space="preserve">Patients with a positive SARS-CoV-2 </w:t>
      </w:r>
      <w:r w:rsidR="008D2635" w:rsidRPr="001C0C4B">
        <w:rPr>
          <w:rFonts w:ascii="Calibri" w:hAnsi="Calibri" w:cs="Calibri"/>
        </w:rPr>
        <w:t xml:space="preserve">rapid </w:t>
      </w:r>
      <w:r w:rsidR="00F761D1" w:rsidRPr="001C0C4B">
        <w:rPr>
          <w:rFonts w:ascii="Calibri" w:hAnsi="Calibri" w:cs="Calibri"/>
        </w:rPr>
        <w:t xml:space="preserve">lateral flow antigen </w:t>
      </w:r>
      <w:r w:rsidR="008D2635" w:rsidRPr="001C0C4B">
        <w:rPr>
          <w:rFonts w:ascii="Calibri" w:hAnsi="Calibri" w:cs="Calibri"/>
        </w:rPr>
        <w:t>test</w:t>
      </w:r>
      <w:r w:rsidR="000474CD" w:rsidRPr="001C0C4B">
        <w:rPr>
          <w:rFonts w:ascii="Calibri" w:hAnsi="Calibri" w:cs="Calibri"/>
        </w:rPr>
        <w:t xml:space="preserve"> </w:t>
      </w:r>
      <w:r w:rsidR="001752D1" w:rsidRPr="001C0C4B">
        <w:rPr>
          <w:rFonts w:ascii="Calibri" w:eastAsia="Times New Roman" w:hAnsi="Calibri" w:cs="Calibri"/>
          <w:lang w:val="en-GB" w:eastAsia="en-GB"/>
        </w:rPr>
        <w:t>OR a positive PCR test for SARS-CoV-2 within the last 24hrs with a Ct value of less than 25 (all targets)</w:t>
      </w:r>
      <w:r w:rsidR="001752D1" w:rsidRPr="001C0C4B">
        <w:rPr>
          <w:rFonts w:ascii="Calibri" w:hAnsi="Calibri" w:cs="Calibri"/>
          <w:lang w:val="en-GB" w:eastAsia="en-GB"/>
        </w:rPr>
        <w:t xml:space="preserve"> </w:t>
      </w:r>
      <w:r w:rsidR="00F761D1" w:rsidRPr="001C0C4B">
        <w:rPr>
          <w:rFonts w:ascii="Calibri" w:hAnsi="Calibri" w:cs="Calibri"/>
        </w:rPr>
        <w:t>will be enrolled in the study</w:t>
      </w:r>
      <w:r w:rsidRPr="001C0C4B" w:rsidDel="00F761D1">
        <w:rPr>
          <w:rFonts w:ascii="Calibri" w:hAnsi="Calibri" w:cs="Calibri"/>
        </w:rPr>
        <w:t xml:space="preserve"> </w:t>
      </w:r>
      <w:r w:rsidR="00F761D1" w:rsidRPr="001C0C4B">
        <w:rPr>
          <w:rFonts w:ascii="Calibri" w:hAnsi="Calibri" w:cs="Calibri"/>
        </w:rPr>
        <w:t>after</w:t>
      </w:r>
      <w:r w:rsidR="005858D4" w:rsidRPr="001C0C4B">
        <w:rPr>
          <w:rFonts w:ascii="Calibri" w:hAnsi="Calibri" w:cs="Calibri"/>
        </w:rPr>
        <w:t xml:space="preserve"> providing fully informed written consent.</w:t>
      </w:r>
      <w:r w:rsidR="00071811" w:rsidRPr="001C0C4B">
        <w:rPr>
          <w:rFonts w:ascii="Calibri" w:hAnsi="Calibri" w:cs="Calibri"/>
        </w:rPr>
        <w:t xml:space="preserve"> </w:t>
      </w:r>
      <w:r w:rsidR="00F761D1" w:rsidRPr="001C0C4B">
        <w:rPr>
          <w:rFonts w:ascii="Calibri" w:hAnsi="Calibri" w:cs="Calibri"/>
        </w:rPr>
        <w:t>In each study site</w:t>
      </w:r>
      <w:r w:rsidR="00E63250" w:rsidRPr="001C0C4B">
        <w:rPr>
          <w:rFonts w:ascii="Calibri" w:hAnsi="Calibri" w:cs="Calibri"/>
        </w:rPr>
        <w:t xml:space="preserve"> </w:t>
      </w:r>
      <w:r w:rsidR="00FC0EF6" w:rsidRPr="001C0C4B">
        <w:rPr>
          <w:rFonts w:ascii="Calibri" w:hAnsi="Calibri" w:cs="Calibri"/>
        </w:rPr>
        <w:t xml:space="preserve">there </w:t>
      </w:r>
      <w:r w:rsidR="00E63250" w:rsidRPr="001C0C4B">
        <w:rPr>
          <w:rFonts w:ascii="Calibri" w:hAnsi="Calibri" w:cs="Calibri"/>
        </w:rPr>
        <w:t xml:space="preserve">will be </w:t>
      </w:r>
      <w:r w:rsidR="00F37EC2" w:rsidRPr="001C0C4B">
        <w:rPr>
          <w:rFonts w:ascii="Calibri" w:hAnsi="Calibri" w:cs="Calibri"/>
        </w:rPr>
        <w:t>a</w:t>
      </w:r>
      <w:r w:rsidR="00F761D1" w:rsidRPr="001C0C4B">
        <w:rPr>
          <w:rFonts w:ascii="Calibri" w:hAnsi="Calibri" w:cs="Calibri"/>
        </w:rPr>
        <w:t xml:space="preserve"> </w:t>
      </w:r>
      <w:r w:rsidR="00F37EC2" w:rsidRPr="001C0C4B">
        <w:rPr>
          <w:rFonts w:ascii="Calibri" w:hAnsi="Calibri" w:cs="Calibri"/>
        </w:rPr>
        <w:t>designated</w:t>
      </w:r>
      <w:r w:rsidR="00F761D1" w:rsidRPr="001C0C4B">
        <w:rPr>
          <w:rFonts w:ascii="Calibri" w:hAnsi="Calibri" w:cs="Calibri"/>
        </w:rPr>
        <w:t xml:space="preserve"> research </w:t>
      </w:r>
      <w:r w:rsidR="00DB0856" w:rsidRPr="001C0C4B">
        <w:rPr>
          <w:rFonts w:ascii="Calibri" w:hAnsi="Calibri" w:cs="Calibri"/>
        </w:rPr>
        <w:t>ward</w:t>
      </w:r>
      <w:r w:rsidR="00F761D1" w:rsidRPr="001C0C4B">
        <w:rPr>
          <w:rFonts w:ascii="Calibri" w:hAnsi="Calibri" w:cs="Calibri"/>
        </w:rPr>
        <w:t xml:space="preserve"> </w:t>
      </w:r>
      <w:r w:rsidR="00F37EC2" w:rsidRPr="001C0C4B">
        <w:rPr>
          <w:rFonts w:ascii="Calibri" w:hAnsi="Calibri" w:cs="Calibri"/>
        </w:rPr>
        <w:t>for</w:t>
      </w:r>
      <w:r w:rsidR="00F761D1" w:rsidRPr="001C0C4B">
        <w:rPr>
          <w:rFonts w:ascii="Calibri" w:hAnsi="Calibri" w:cs="Calibri"/>
        </w:rPr>
        <w:t xml:space="preserve"> study procedures</w:t>
      </w:r>
      <w:r w:rsidR="00085B4D" w:rsidRPr="001C0C4B">
        <w:rPr>
          <w:rFonts w:ascii="Calibri" w:hAnsi="Calibri" w:cs="Calibri"/>
        </w:rPr>
        <w:t xml:space="preserve">. </w:t>
      </w:r>
      <w:r w:rsidR="009613A1" w:rsidRPr="001C0C4B">
        <w:rPr>
          <w:rFonts w:ascii="Calibri" w:hAnsi="Calibri" w:cs="Calibri"/>
        </w:rPr>
        <w:t xml:space="preserve">In accordance with local and national </w:t>
      </w:r>
      <w:r w:rsidR="00E27478" w:rsidRPr="001C0C4B">
        <w:rPr>
          <w:rFonts w:ascii="Calibri" w:hAnsi="Calibri" w:cs="Calibri"/>
        </w:rPr>
        <w:t xml:space="preserve">infection control guidelines the initial assessments will be conducted in a </w:t>
      </w:r>
      <w:r w:rsidR="005858D4" w:rsidRPr="001C0C4B">
        <w:rPr>
          <w:rFonts w:ascii="Calibri" w:hAnsi="Calibri" w:cs="Calibri"/>
        </w:rPr>
        <w:t xml:space="preserve">designated </w:t>
      </w:r>
      <w:r w:rsidR="00F761D1" w:rsidRPr="001C0C4B">
        <w:rPr>
          <w:rFonts w:ascii="Calibri" w:hAnsi="Calibri" w:cs="Calibri"/>
        </w:rPr>
        <w:t xml:space="preserve">research </w:t>
      </w:r>
      <w:r w:rsidR="005858D4" w:rsidRPr="001C0C4B">
        <w:rPr>
          <w:rFonts w:ascii="Calibri" w:hAnsi="Calibri" w:cs="Calibri"/>
        </w:rPr>
        <w:t xml:space="preserve">ward </w:t>
      </w:r>
      <w:r w:rsidR="00F761D1" w:rsidRPr="001C0C4B">
        <w:rPr>
          <w:rFonts w:ascii="Calibri" w:hAnsi="Calibri" w:cs="Calibri"/>
        </w:rPr>
        <w:t>set-up</w:t>
      </w:r>
      <w:r w:rsidR="001F67E4" w:rsidRPr="001C0C4B">
        <w:rPr>
          <w:rFonts w:ascii="Calibri" w:hAnsi="Calibri" w:cs="Calibri"/>
        </w:rPr>
        <w:t xml:space="preserve"> to manage </w:t>
      </w:r>
      <w:r w:rsidR="005858D4" w:rsidRPr="001C0C4B">
        <w:rPr>
          <w:rFonts w:ascii="Calibri" w:hAnsi="Calibri" w:cs="Calibri"/>
        </w:rPr>
        <w:t>COVID-19</w:t>
      </w:r>
      <w:r w:rsidR="00F761D1" w:rsidRPr="001C0C4B">
        <w:rPr>
          <w:rFonts w:ascii="Calibri" w:hAnsi="Calibri" w:cs="Calibri"/>
        </w:rPr>
        <w:t xml:space="preserve"> patients</w:t>
      </w:r>
      <w:r w:rsidR="002E3D5A" w:rsidRPr="001C0C4B">
        <w:rPr>
          <w:rFonts w:ascii="Calibri" w:hAnsi="Calibri" w:cs="Calibri"/>
        </w:rPr>
        <w:t xml:space="preserve">. </w:t>
      </w:r>
      <w:r w:rsidR="004F02B1" w:rsidRPr="001C0C4B">
        <w:rPr>
          <w:rFonts w:ascii="Calibri" w:hAnsi="Calibri" w:cs="Calibri"/>
        </w:rPr>
        <w:t>P</w:t>
      </w:r>
      <w:r w:rsidR="00165FF4" w:rsidRPr="001C0C4B">
        <w:rPr>
          <w:rFonts w:ascii="Calibri" w:hAnsi="Calibri" w:cs="Calibri"/>
        </w:rPr>
        <w:t>atients will receive care in either an inpatient or outpatient setting</w:t>
      </w:r>
      <w:r w:rsidR="004F02B1" w:rsidRPr="001C0C4B">
        <w:rPr>
          <w:rFonts w:ascii="Calibri" w:hAnsi="Calibri" w:cs="Calibri"/>
        </w:rPr>
        <w:t>, in accordance with local and national guidelines</w:t>
      </w:r>
      <w:r w:rsidR="00165FF4" w:rsidRPr="001C0C4B">
        <w:rPr>
          <w:rFonts w:ascii="Calibri" w:hAnsi="Calibri" w:cs="Calibri"/>
        </w:rPr>
        <w:t>.</w:t>
      </w:r>
      <w:r w:rsidR="00FB6FB5" w:rsidRPr="001C0C4B">
        <w:rPr>
          <w:rFonts w:ascii="Calibri" w:hAnsi="Calibri" w:cs="Calibri"/>
        </w:rPr>
        <w:t xml:space="preserve"> </w:t>
      </w:r>
      <w:r w:rsidR="00165FF4" w:rsidRPr="001C0C4B">
        <w:rPr>
          <w:rFonts w:ascii="Calibri" w:hAnsi="Calibri" w:cs="Calibri"/>
        </w:rPr>
        <w:t>A</w:t>
      </w:r>
      <w:r w:rsidR="00C046A9" w:rsidRPr="001C0C4B">
        <w:rPr>
          <w:rFonts w:ascii="Calibri" w:hAnsi="Calibri" w:cs="Calibri"/>
        </w:rPr>
        <w:t xml:space="preserve">ll recruited </w:t>
      </w:r>
      <w:r w:rsidR="00E44176" w:rsidRPr="001C0C4B">
        <w:rPr>
          <w:rFonts w:ascii="Calibri" w:hAnsi="Calibri" w:cs="Calibri"/>
        </w:rPr>
        <w:t>patients</w:t>
      </w:r>
      <w:r w:rsidR="00C046A9" w:rsidRPr="001C0C4B">
        <w:rPr>
          <w:rFonts w:ascii="Calibri" w:hAnsi="Calibri" w:cs="Calibri"/>
        </w:rPr>
        <w:t xml:space="preserve"> will be </w:t>
      </w:r>
      <w:r w:rsidR="00E44176" w:rsidRPr="001C0C4B">
        <w:rPr>
          <w:rFonts w:ascii="Calibri" w:hAnsi="Calibri" w:cs="Calibri"/>
        </w:rPr>
        <w:t xml:space="preserve">visited at their home or place of residence, or </w:t>
      </w:r>
      <w:r w:rsidR="00C046A9" w:rsidRPr="001C0C4B">
        <w:rPr>
          <w:rFonts w:ascii="Calibri" w:hAnsi="Calibri" w:cs="Calibri"/>
        </w:rPr>
        <w:t xml:space="preserve">be </w:t>
      </w:r>
      <w:r w:rsidR="00E44176" w:rsidRPr="001C0C4B">
        <w:rPr>
          <w:rFonts w:ascii="Calibri" w:hAnsi="Calibri" w:cs="Calibri"/>
        </w:rPr>
        <w:t>seen</w:t>
      </w:r>
      <w:r w:rsidR="00C046A9" w:rsidRPr="001C0C4B">
        <w:rPr>
          <w:rFonts w:ascii="Calibri" w:hAnsi="Calibri" w:cs="Calibri"/>
        </w:rPr>
        <w:t xml:space="preserve"> in </w:t>
      </w:r>
      <w:r w:rsidR="00E44176" w:rsidRPr="001C0C4B">
        <w:rPr>
          <w:rFonts w:ascii="Calibri" w:hAnsi="Calibri" w:cs="Calibri"/>
        </w:rPr>
        <w:t xml:space="preserve">the designated clinical trials unit or </w:t>
      </w:r>
      <w:r w:rsidR="00C046A9" w:rsidRPr="001C0C4B">
        <w:rPr>
          <w:rFonts w:ascii="Calibri" w:hAnsi="Calibri" w:cs="Calibri"/>
        </w:rPr>
        <w:t xml:space="preserve">hospital </w:t>
      </w:r>
      <w:r w:rsidR="00E44176" w:rsidRPr="001C0C4B">
        <w:rPr>
          <w:rFonts w:ascii="Calibri" w:hAnsi="Calibri" w:cs="Calibri"/>
        </w:rPr>
        <w:t>ward</w:t>
      </w:r>
      <w:r w:rsidR="00FB6FB5" w:rsidRPr="001C0C4B">
        <w:rPr>
          <w:rFonts w:ascii="Calibri" w:hAnsi="Calibri" w:cs="Calibri"/>
        </w:rPr>
        <w:t xml:space="preserve">. </w:t>
      </w:r>
      <w:r w:rsidR="002E3D5A" w:rsidRPr="001C0C4B">
        <w:rPr>
          <w:rFonts w:ascii="Calibri" w:hAnsi="Calibri" w:cs="Calibri"/>
        </w:rPr>
        <w:t>A</w:t>
      </w:r>
      <w:r w:rsidR="005858D4" w:rsidRPr="001C0C4B">
        <w:rPr>
          <w:rFonts w:ascii="Calibri" w:hAnsi="Calibri" w:cs="Calibri"/>
        </w:rPr>
        <w:t xml:space="preserve">ll staff will wear appropriate </w:t>
      </w:r>
      <w:r w:rsidR="002E3D5A" w:rsidRPr="001C0C4B">
        <w:rPr>
          <w:rFonts w:ascii="Calibri" w:hAnsi="Calibri" w:cs="Calibri"/>
        </w:rPr>
        <w:t xml:space="preserve">personal </w:t>
      </w:r>
      <w:r w:rsidR="005858D4" w:rsidRPr="001C0C4B">
        <w:rPr>
          <w:rFonts w:ascii="Calibri" w:hAnsi="Calibri" w:cs="Calibri"/>
        </w:rPr>
        <w:t>protective equipment</w:t>
      </w:r>
      <w:r w:rsidR="00F761D1" w:rsidRPr="001C0C4B">
        <w:rPr>
          <w:rFonts w:ascii="Calibri" w:hAnsi="Calibri" w:cs="Calibri"/>
        </w:rPr>
        <w:t xml:space="preserve"> (PPE)</w:t>
      </w:r>
      <w:r w:rsidR="005858D4" w:rsidRPr="001C0C4B">
        <w:rPr>
          <w:rFonts w:ascii="Calibri" w:hAnsi="Calibri" w:cs="Calibri"/>
        </w:rPr>
        <w:t>.</w:t>
      </w:r>
      <w:r w:rsidR="007556DD" w:rsidRPr="001C0C4B">
        <w:rPr>
          <w:rFonts w:ascii="Calibri" w:hAnsi="Calibri" w:cs="Calibri"/>
        </w:rPr>
        <w:t xml:space="preserve"> </w:t>
      </w:r>
      <w:r w:rsidR="00165FF4" w:rsidRPr="001C0C4B">
        <w:rPr>
          <w:rFonts w:ascii="Calibri" w:hAnsi="Calibri" w:cs="Calibri"/>
        </w:rPr>
        <w:t>For home visits a trained member of staff will perform the swabbing</w:t>
      </w:r>
      <w:r w:rsidR="00312188" w:rsidRPr="001C0C4B">
        <w:rPr>
          <w:rFonts w:ascii="Calibri" w:hAnsi="Calibri" w:cs="Calibri"/>
        </w:rPr>
        <w:t xml:space="preserve"> </w:t>
      </w:r>
      <w:r w:rsidR="003975B7" w:rsidRPr="001C0C4B">
        <w:rPr>
          <w:rFonts w:ascii="Calibri" w:hAnsi="Calibri" w:cs="Calibri"/>
        </w:rPr>
        <w:t>(and may</w:t>
      </w:r>
      <w:r w:rsidR="00312188" w:rsidRPr="001C0C4B">
        <w:rPr>
          <w:rFonts w:ascii="Calibri" w:hAnsi="Calibri" w:cs="Calibri"/>
        </w:rPr>
        <w:t xml:space="preserve"> ask the patient to give a saliva sample</w:t>
      </w:r>
      <w:r w:rsidR="003975B7" w:rsidRPr="001C0C4B">
        <w:rPr>
          <w:rFonts w:ascii="Calibri" w:hAnsi="Calibri" w:cs="Calibri"/>
        </w:rPr>
        <w:t>)</w:t>
      </w:r>
      <w:r w:rsidR="00165FF4" w:rsidRPr="001C0C4B">
        <w:rPr>
          <w:rFonts w:ascii="Calibri" w:hAnsi="Calibri" w:cs="Calibri"/>
        </w:rPr>
        <w:t>.</w:t>
      </w:r>
    </w:p>
    <w:p w14:paraId="742CCF10" w14:textId="76108289" w:rsidR="00CA621D" w:rsidRPr="001C0C4B" w:rsidRDefault="00CA621D" w:rsidP="00967A0A">
      <w:pPr>
        <w:spacing w:after="0"/>
        <w:jc w:val="both"/>
        <w:rPr>
          <w:rFonts w:ascii="Calibri" w:hAnsi="Calibri" w:cs="Calibri"/>
        </w:rPr>
      </w:pPr>
    </w:p>
    <w:p w14:paraId="726CA6FF" w14:textId="11EC7234" w:rsidR="00CA621D" w:rsidRPr="001C0C4B" w:rsidRDefault="00CA621D" w:rsidP="00967A0A">
      <w:pPr>
        <w:spacing w:after="0"/>
        <w:jc w:val="both"/>
        <w:rPr>
          <w:rFonts w:ascii="Calibri" w:hAnsi="Calibri" w:cs="Calibri"/>
        </w:rPr>
      </w:pPr>
      <w:r w:rsidRPr="001C0C4B">
        <w:rPr>
          <w:rFonts w:ascii="Calibri" w:hAnsi="Calibri" w:cs="Calibri"/>
        </w:rPr>
        <w:t xml:space="preserve">The rapid lateral flow antigen test will be performed by trained </w:t>
      </w:r>
      <w:r w:rsidR="00B33CA9" w:rsidRPr="001C0C4B">
        <w:rPr>
          <w:rFonts w:ascii="Calibri" w:hAnsi="Calibri" w:cs="Calibri"/>
        </w:rPr>
        <w:t>study personnel</w:t>
      </w:r>
      <w:r w:rsidRPr="001C0C4B">
        <w:rPr>
          <w:rFonts w:ascii="Calibri" w:hAnsi="Calibri" w:cs="Calibri"/>
        </w:rPr>
        <w:t xml:space="preserve">. Patients will be eligible for the trial </w:t>
      </w:r>
      <w:r w:rsidR="00FE25E6" w:rsidRPr="001C0C4B">
        <w:rPr>
          <w:rFonts w:ascii="Calibri" w:hAnsi="Calibri" w:cs="Calibri"/>
        </w:rPr>
        <w:t xml:space="preserve">if </w:t>
      </w:r>
      <w:r w:rsidRPr="001C0C4B">
        <w:rPr>
          <w:rFonts w:ascii="Calibri" w:hAnsi="Calibri" w:cs="Calibri"/>
        </w:rPr>
        <w:t>the test is positive within</w:t>
      </w:r>
      <w:r w:rsidR="00493BA1" w:rsidRPr="001C0C4B">
        <w:rPr>
          <w:rFonts w:ascii="Calibri" w:hAnsi="Calibri" w:cs="Calibri"/>
        </w:rPr>
        <w:t xml:space="preserve"> a specified period of time</w:t>
      </w:r>
      <w:r w:rsidR="00365FFC" w:rsidRPr="001C0C4B">
        <w:rPr>
          <w:rFonts w:ascii="Calibri" w:hAnsi="Calibri" w:cs="Calibri"/>
        </w:rPr>
        <w:t xml:space="preserve"> (detailed in a separate SOP based upon manufacture</w:t>
      </w:r>
      <w:r w:rsidR="008019B4" w:rsidRPr="001C0C4B">
        <w:rPr>
          <w:rFonts w:ascii="Calibri" w:hAnsi="Calibri" w:cs="Calibri"/>
        </w:rPr>
        <w:t>r’s</w:t>
      </w:r>
      <w:r w:rsidR="00365FFC" w:rsidRPr="001C0C4B">
        <w:rPr>
          <w:rFonts w:ascii="Calibri" w:hAnsi="Calibri" w:cs="Calibri"/>
        </w:rPr>
        <w:t xml:space="preserve"> guidelines)</w:t>
      </w:r>
      <w:r w:rsidRPr="001C0C4B">
        <w:rPr>
          <w:rFonts w:ascii="Calibri" w:hAnsi="Calibri" w:cs="Calibri"/>
        </w:rPr>
        <w:t xml:space="preserve">. </w:t>
      </w:r>
      <w:r w:rsidR="00365FFC" w:rsidRPr="001C0C4B">
        <w:rPr>
          <w:rFonts w:ascii="Calibri" w:hAnsi="Calibri" w:cs="Calibri"/>
        </w:rPr>
        <w:t>A positive band appearing rapidly is correlated with a higher viral load in the swab sample (personal communication, Prof</w:t>
      </w:r>
      <w:r w:rsidR="008019B4" w:rsidRPr="001C0C4B">
        <w:rPr>
          <w:rFonts w:ascii="Calibri" w:hAnsi="Calibri" w:cs="Calibri"/>
        </w:rPr>
        <w:t>.</w:t>
      </w:r>
      <w:r w:rsidR="00365FFC" w:rsidRPr="001C0C4B">
        <w:rPr>
          <w:rFonts w:ascii="Calibri" w:hAnsi="Calibri" w:cs="Calibri"/>
        </w:rPr>
        <w:t xml:space="preserve"> Tim Peto).</w:t>
      </w:r>
      <w:r w:rsidR="009B2730" w:rsidRPr="001C0C4B">
        <w:rPr>
          <w:rFonts w:ascii="Calibri" w:hAnsi="Calibri" w:cs="Calibri"/>
        </w:rPr>
        <w:t xml:space="preserve"> </w:t>
      </w:r>
      <w:r w:rsidRPr="001C0C4B">
        <w:rPr>
          <w:rFonts w:ascii="Calibri" w:hAnsi="Calibri" w:cs="Calibri"/>
        </w:rPr>
        <w:t xml:space="preserve">A </w:t>
      </w:r>
      <w:r w:rsidR="00892C2E" w:rsidRPr="001C0C4B">
        <w:rPr>
          <w:rFonts w:ascii="Calibri" w:hAnsi="Calibri" w:cs="Calibri"/>
        </w:rPr>
        <w:t xml:space="preserve">digital photograph </w:t>
      </w:r>
      <w:r w:rsidRPr="001C0C4B">
        <w:rPr>
          <w:rFonts w:ascii="Calibri" w:hAnsi="Calibri" w:cs="Calibri"/>
        </w:rPr>
        <w:t>of the test</w:t>
      </w:r>
      <w:r w:rsidR="00892C2E" w:rsidRPr="001C0C4B">
        <w:rPr>
          <w:rFonts w:ascii="Calibri" w:hAnsi="Calibri" w:cs="Calibri"/>
        </w:rPr>
        <w:t xml:space="preserve"> result</w:t>
      </w:r>
      <w:r w:rsidRPr="001C0C4B">
        <w:rPr>
          <w:rFonts w:ascii="Calibri" w:hAnsi="Calibri" w:cs="Calibri"/>
        </w:rPr>
        <w:t xml:space="preserve"> </w:t>
      </w:r>
      <w:r w:rsidR="00B45B4F" w:rsidRPr="001C0C4B">
        <w:rPr>
          <w:rFonts w:ascii="Calibri" w:hAnsi="Calibri" w:cs="Calibri"/>
        </w:rPr>
        <w:t>may be taken</w:t>
      </w:r>
      <w:r w:rsidR="00365FFC" w:rsidRPr="001C0C4B">
        <w:rPr>
          <w:rFonts w:ascii="Calibri" w:hAnsi="Calibri" w:cs="Calibri"/>
        </w:rPr>
        <w:t xml:space="preserve"> to allow for future analysis</w:t>
      </w:r>
      <w:r w:rsidRPr="001C0C4B">
        <w:rPr>
          <w:rFonts w:ascii="Calibri" w:hAnsi="Calibri" w:cs="Calibri"/>
        </w:rPr>
        <w:t>.</w:t>
      </w:r>
      <w:r w:rsidR="00DB4966" w:rsidRPr="001C0C4B">
        <w:rPr>
          <w:rFonts w:ascii="Calibri" w:hAnsi="Calibri" w:cs="Calibri"/>
        </w:rPr>
        <w:t xml:space="preserve"> The exact details of this will be detailed in the </w:t>
      </w:r>
      <w:r w:rsidR="00CD0189" w:rsidRPr="001C0C4B">
        <w:rPr>
          <w:rFonts w:ascii="Calibri" w:hAnsi="Calibri" w:cs="Calibri"/>
        </w:rPr>
        <w:t>separate</w:t>
      </w:r>
      <w:r w:rsidR="009E208C" w:rsidRPr="001C0C4B">
        <w:rPr>
          <w:rFonts w:ascii="Calibri" w:hAnsi="Calibri" w:cs="Calibri"/>
        </w:rPr>
        <w:t xml:space="preserve"> work instruction</w:t>
      </w:r>
      <w:r w:rsidR="00CD0189" w:rsidRPr="001C0C4B">
        <w:rPr>
          <w:rFonts w:ascii="Calibri" w:hAnsi="Calibri" w:cs="Calibri"/>
        </w:rPr>
        <w:t>.</w:t>
      </w:r>
      <w:r w:rsidRPr="001C0C4B">
        <w:rPr>
          <w:rFonts w:ascii="Calibri" w:hAnsi="Calibri" w:cs="Calibri"/>
        </w:rPr>
        <w:t xml:space="preserve"> </w:t>
      </w:r>
    </w:p>
    <w:p w14:paraId="7C2A3475" w14:textId="77777777" w:rsidR="000474CD" w:rsidRPr="001C0C4B" w:rsidRDefault="000474CD" w:rsidP="00967A0A">
      <w:pPr>
        <w:spacing w:after="0"/>
        <w:jc w:val="both"/>
        <w:rPr>
          <w:rFonts w:ascii="Calibri" w:hAnsi="Calibri" w:cs="Calibri"/>
        </w:rPr>
      </w:pPr>
    </w:p>
    <w:p w14:paraId="32581420" w14:textId="7CD9AB4F" w:rsidR="005858D4" w:rsidRPr="001C0C4B" w:rsidRDefault="004873C2" w:rsidP="00123485">
      <w:pPr>
        <w:spacing w:after="0"/>
        <w:jc w:val="both"/>
        <w:rPr>
          <w:rFonts w:ascii="Calibri" w:hAnsi="Calibri" w:cs="Calibri"/>
        </w:rPr>
      </w:pPr>
      <w:r w:rsidRPr="001C0C4B">
        <w:rPr>
          <w:rFonts w:ascii="Calibri" w:hAnsi="Calibri" w:cs="Calibri"/>
          <w:color w:val="000000" w:themeColor="text1"/>
        </w:rPr>
        <w:t xml:space="preserve">Participants will be asked if they have been in the study before and </w:t>
      </w:r>
      <w:r w:rsidRPr="001C0C4B">
        <w:rPr>
          <w:color w:val="000000" w:themeColor="text1"/>
        </w:rPr>
        <w:t>whe</w:t>
      </w:r>
      <w:r w:rsidR="007A42D1" w:rsidRPr="001C0C4B">
        <w:rPr>
          <w:color w:val="000000" w:themeColor="text1"/>
        </w:rPr>
        <w:t xml:space="preserve">ther any relatives have been in the study. </w:t>
      </w:r>
      <w:r w:rsidR="4C4464D8" w:rsidRPr="001C0C4B">
        <w:t>After</w:t>
      </w:r>
      <w:r w:rsidR="4C4464D8" w:rsidRPr="001C0C4B">
        <w:rPr>
          <w:rFonts w:ascii="Calibri" w:hAnsi="Calibri" w:cs="Calibri"/>
        </w:rPr>
        <w:t xml:space="preserve"> </w:t>
      </w:r>
      <w:r w:rsidR="0708451D" w:rsidRPr="001C0C4B">
        <w:rPr>
          <w:rFonts w:ascii="Calibri" w:hAnsi="Calibri" w:cs="Calibri"/>
        </w:rPr>
        <w:t xml:space="preserve">enrolment into the study, </w:t>
      </w:r>
      <w:r w:rsidR="745FDB12" w:rsidRPr="001C0C4B">
        <w:rPr>
          <w:rFonts w:ascii="Calibri" w:hAnsi="Calibri" w:cs="Calibri"/>
        </w:rPr>
        <w:t xml:space="preserve">the </w:t>
      </w:r>
      <w:r w:rsidR="000B2A6B" w:rsidRPr="001C0C4B">
        <w:rPr>
          <w:rFonts w:ascii="Calibri" w:hAnsi="Calibri" w:cs="Calibri"/>
        </w:rPr>
        <w:t xml:space="preserve">patient </w:t>
      </w:r>
      <w:r w:rsidR="745FDB12" w:rsidRPr="001C0C4B">
        <w:rPr>
          <w:rFonts w:ascii="Calibri" w:hAnsi="Calibri" w:cs="Calibri"/>
        </w:rPr>
        <w:t xml:space="preserve">will be </w:t>
      </w:r>
      <w:r w:rsidR="0708451D" w:rsidRPr="001C0C4B">
        <w:rPr>
          <w:rFonts w:ascii="Calibri" w:hAnsi="Calibri" w:cs="Calibri"/>
        </w:rPr>
        <w:t xml:space="preserve">randomised to one of the </w:t>
      </w:r>
      <w:r w:rsidR="00FB6FB5" w:rsidRPr="001C0C4B">
        <w:rPr>
          <w:rFonts w:ascii="Calibri" w:hAnsi="Calibri" w:cs="Calibri"/>
        </w:rPr>
        <w:t xml:space="preserve">study </w:t>
      </w:r>
      <w:r w:rsidR="0708451D" w:rsidRPr="001C0C4B">
        <w:rPr>
          <w:rFonts w:ascii="Calibri" w:hAnsi="Calibri" w:cs="Calibri"/>
        </w:rPr>
        <w:t>arms</w:t>
      </w:r>
      <w:r w:rsidR="00FB6FB5" w:rsidRPr="001C0C4B">
        <w:rPr>
          <w:rFonts w:ascii="Calibri" w:hAnsi="Calibri" w:cs="Calibri"/>
        </w:rPr>
        <w:t>.</w:t>
      </w:r>
      <w:r w:rsidR="0708451D" w:rsidRPr="001C0C4B">
        <w:rPr>
          <w:rFonts w:ascii="Calibri" w:hAnsi="Calibri" w:cs="Calibri"/>
        </w:rPr>
        <w:t xml:space="preserve"> </w:t>
      </w:r>
      <w:r w:rsidR="00CA621D" w:rsidRPr="001C0C4B">
        <w:rPr>
          <w:rFonts w:ascii="Calibri" w:hAnsi="Calibri" w:cs="Calibri"/>
        </w:rPr>
        <w:t>Further d</w:t>
      </w:r>
      <w:r w:rsidR="0708451D" w:rsidRPr="001C0C4B">
        <w:rPr>
          <w:rFonts w:ascii="Calibri" w:hAnsi="Calibri" w:cs="Calibri"/>
        </w:rPr>
        <w:t>etails of the randomi</w:t>
      </w:r>
      <w:r w:rsidR="735E33DA" w:rsidRPr="001C0C4B">
        <w:rPr>
          <w:rFonts w:ascii="Calibri" w:hAnsi="Calibri" w:cs="Calibri"/>
        </w:rPr>
        <w:t>s</w:t>
      </w:r>
      <w:r w:rsidR="0708451D" w:rsidRPr="001C0C4B">
        <w:rPr>
          <w:rFonts w:ascii="Calibri" w:hAnsi="Calibri" w:cs="Calibri"/>
        </w:rPr>
        <w:t xml:space="preserve">ation </w:t>
      </w:r>
      <w:r w:rsidR="40CFC7E0" w:rsidRPr="001C0C4B">
        <w:rPr>
          <w:rFonts w:ascii="Calibri" w:hAnsi="Calibri" w:cs="Calibri"/>
        </w:rPr>
        <w:t>procedures</w:t>
      </w:r>
      <w:r w:rsidR="0708451D" w:rsidRPr="001C0C4B">
        <w:rPr>
          <w:rFonts w:ascii="Calibri" w:hAnsi="Calibri" w:cs="Calibri"/>
        </w:rPr>
        <w:t xml:space="preserve"> are given below. </w:t>
      </w:r>
      <w:r w:rsidR="745FDB12" w:rsidRPr="001C0C4B">
        <w:rPr>
          <w:rFonts w:ascii="Calibri" w:hAnsi="Calibri" w:cs="Calibri"/>
        </w:rPr>
        <w:t>An oropharyngeal swab will be obtained</w:t>
      </w:r>
      <w:r w:rsidR="0737087A" w:rsidRPr="001C0C4B">
        <w:rPr>
          <w:rFonts w:ascii="Calibri" w:hAnsi="Calibri" w:cs="Calibri"/>
        </w:rPr>
        <w:t xml:space="preserve"> </w:t>
      </w:r>
      <w:r w:rsidR="00922024" w:rsidRPr="001C0C4B">
        <w:rPr>
          <w:rFonts w:ascii="Calibri" w:hAnsi="Calibri" w:cs="Calibri"/>
        </w:rPr>
        <w:t xml:space="preserve">in duplicate </w:t>
      </w:r>
      <w:r w:rsidR="0039301F" w:rsidRPr="001C0C4B">
        <w:rPr>
          <w:rFonts w:ascii="Calibri" w:hAnsi="Calibri" w:cs="Calibri"/>
        </w:rPr>
        <w:t xml:space="preserve">by the study team </w:t>
      </w:r>
      <w:r w:rsidR="00D21D95" w:rsidRPr="001C0C4B">
        <w:rPr>
          <w:rFonts w:ascii="Calibri" w:hAnsi="Calibri" w:cs="Calibri"/>
        </w:rPr>
        <w:t>using a standard</w:t>
      </w:r>
      <w:r w:rsidR="000C4CBC" w:rsidRPr="001C0C4B">
        <w:rPr>
          <w:rFonts w:ascii="Calibri" w:hAnsi="Calibri" w:cs="Calibri"/>
        </w:rPr>
        <w:t xml:space="preserve"> operating</w:t>
      </w:r>
      <w:r w:rsidR="00D21D95" w:rsidRPr="001C0C4B">
        <w:rPr>
          <w:rFonts w:ascii="Calibri" w:hAnsi="Calibri" w:cs="Calibri"/>
        </w:rPr>
        <w:t xml:space="preserve"> procedure (SOP)</w:t>
      </w:r>
      <w:r w:rsidR="0039301F" w:rsidRPr="001C0C4B">
        <w:rPr>
          <w:rFonts w:ascii="Calibri" w:hAnsi="Calibri" w:cs="Calibri"/>
        </w:rPr>
        <w:t xml:space="preserve"> </w:t>
      </w:r>
      <w:r w:rsidR="0737087A" w:rsidRPr="001C0C4B">
        <w:rPr>
          <w:rFonts w:ascii="Calibri" w:hAnsi="Calibri" w:cs="Calibri"/>
        </w:rPr>
        <w:t>after a full explanation is provided to the</w:t>
      </w:r>
      <w:r w:rsidR="00BA7563" w:rsidRPr="001C0C4B">
        <w:rPr>
          <w:rFonts w:ascii="Calibri" w:hAnsi="Calibri" w:cs="Calibri"/>
        </w:rPr>
        <w:t xml:space="preserve"> patient</w:t>
      </w:r>
      <w:r w:rsidR="00B2176B" w:rsidRPr="001C0C4B">
        <w:rPr>
          <w:rFonts w:ascii="Calibri" w:hAnsi="Calibri" w:cs="Calibri"/>
        </w:rPr>
        <w:t xml:space="preserve">. Swabs will be </w:t>
      </w:r>
      <w:r w:rsidR="004F02B1" w:rsidRPr="001C0C4B">
        <w:rPr>
          <w:rFonts w:ascii="Calibri" w:hAnsi="Calibri" w:cs="Calibri"/>
        </w:rPr>
        <w:t xml:space="preserve">taken </w:t>
      </w:r>
      <w:r w:rsidR="0034401B" w:rsidRPr="001C0C4B">
        <w:rPr>
          <w:rFonts w:ascii="Calibri" w:hAnsi="Calibri" w:cs="Calibri"/>
        </w:rPr>
        <w:t>in duplicate</w:t>
      </w:r>
      <w:r w:rsidR="00B2176B" w:rsidRPr="001C0C4B">
        <w:rPr>
          <w:rFonts w:ascii="Calibri" w:hAnsi="Calibri" w:cs="Calibri"/>
        </w:rPr>
        <w:t xml:space="preserve"> </w:t>
      </w:r>
      <w:r w:rsidR="002810D1" w:rsidRPr="001C0C4B">
        <w:rPr>
          <w:rFonts w:ascii="Calibri" w:hAnsi="Calibri" w:cs="Calibri"/>
        </w:rPr>
        <w:t>again</w:t>
      </w:r>
      <w:r w:rsidR="00B2176B" w:rsidRPr="001C0C4B">
        <w:rPr>
          <w:rFonts w:ascii="Calibri" w:hAnsi="Calibri" w:cs="Calibri"/>
        </w:rPr>
        <w:t xml:space="preserve"> prior to receiving the study drug. </w:t>
      </w:r>
      <w:r w:rsidR="0708451D" w:rsidRPr="001C0C4B">
        <w:rPr>
          <w:rFonts w:ascii="Calibri" w:hAnsi="Calibri" w:cs="Calibri"/>
        </w:rPr>
        <w:t>To minimise patient discomfort, all</w:t>
      </w:r>
      <w:r w:rsidR="33717B80" w:rsidRPr="001C0C4B">
        <w:rPr>
          <w:rFonts w:ascii="Calibri" w:hAnsi="Calibri" w:cs="Calibri"/>
        </w:rPr>
        <w:t xml:space="preserve"> SARS-CoV-2</w:t>
      </w:r>
      <w:r w:rsidR="0708451D" w:rsidRPr="001C0C4B">
        <w:rPr>
          <w:rFonts w:ascii="Calibri" w:hAnsi="Calibri" w:cs="Calibri"/>
        </w:rPr>
        <w:t xml:space="preserve"> qPCRs will be performed on eluates from standard oropharyngeal swab</w:t>
      </w:r>
      <w:r w:rsidR="00D21D95" w:rsidRPr="001C0C4B">
        <w:rPr>
          <w:rFonts w:ascii="Calibri" w:hAnsi="Calibri" w:cs="Calibri"/>
        </w:rPr>
        <w:t>s</w:t>
      </w:r>
      <w:r w:rsidR="735E33DA" w:rsidRPr="001C0C4B">
        <w:rPr>
          <w:rFonts w:ascii="Calibri" w:hAnsi="Calibri" w:cs="Calibri"/>
        </w:rPr>
        <w:t>, taken in duplicate</w:t>
      </w:r>
      <w:r w:rsidR="0D3BD93F" w:rsidRPr="001C0C4B">
        <w:rPr>
          <w:rFonts w:ascii="Calibri" w:hAnsi="Calibri" w:cs="Calibri"/>
        </w:rPr>
        <w:t xml:space="preserve"> </w:t>
      </w:r>
      <w:r w:rsidR="00173C43" w:rsidRPr="001C0C4B">
        <w:rPr>
          <w:rFonts w:ascii="Calibri" w:hAnsi="Calibri" w:cs="Calibri"/>
          <w:noProof/>
        </w:rPr>
        <w:t>(</w:t>
      </w:r>
      <w:r w:rsidR="00407461" w:rsidRPr="001C0C4B">
        <w:rPr>
          <w:rFonts w:ascii="Calibri" w:hAnsi="Calibri" w:cs="Calibri"/>
          <w:noProof/>
        </w:rPr>
        <w:t>20-23</w:t>
      </w:r>
      <w:r w:rsidR="00173C43" w:rsidRPr="001C0C4B">
        <w:rPr>
          <w:rFonts w:ascii="Calibri" w:hAnsi="Calibri" w:cs="Calibri"/>
          <w:noProof/>
        </w:rPr>
        <w:t>)</w:t>
      </w:r>
      <w:r w:rsidR="00173C43" w:rsidRPr="001C0C4B">
        <w:rPr>
          <w:rFonts w:ascii="Calibri" w:hAnsi="Calibri" w:cs="Calibri"/>
        </w:rPr>
        <w:t>.</w:t>
      </w:r>
      <w:r w:rsidR="0708451D" w:rsidRPr="001C0C4B">
        <w:rPr>
          <w:rFonts w:ascii="Calibri" w:hAnsi="Calibri" w:cs="Calibri"/>
        </w:rPr>
        <w:t xml:space="preserve"> </w:t>
      </w:r>
      <w:r w:rsidR="00312188" w:rsidRPr="001C0C4B">
        <w:rPr>
          <w:rFonts w:ascii="Calibri" w:hAnsi="Calibri" w:cs="Calibri"/>
        </w:rPr>
        <w:t>In addition, some patient</w:t>
      </w:r>
      <w:r w:rsidR="0031261A" w:rsidRPr="001C0C4B">
        <w:rPr>
          <w:rFonts w:ascii="Calibri" w:hAnsi="Calibri" w:cs="Calibri"/>
        </w:rPr>
        <w:t>s</w:t>
      </w:r>
      <w:r w:rsidR="00312188" w:rsidRPr="001C0C4B">
        <w:rPr>
          <w:rFonts w:ascii="Calibri" w:hAnsi="Calibri" w:cs="Calibri"/>
        </w:rPr>
        <w:t xml:space="preserve"> may be asked to give a sample of saliva</w:t>
      </w:r>
      <w:r w:rsidR="0031261A" w:rsidRPr="001C0C4B">
        <w:rPr>
          <w:rFonts w:ascii="Calibri" w:hAnsi="Calibri" w:cs="Calibri"/>
        </w:rPr>
        <w:t xml:space="preserve"> (see section 7.1).</w:t>
      </w:r>
      <w:r w:rsidR="0708451D" w:rsidRPr="001C0C4B">
        <w:rPr>
          <w:rFonts w:ascii="Calibri" w:hAnsi="Calibri" w:cs="Calibri"/>
        </w:rPr>
        <w:t xml:space="preserve"> The </w:t>
      </w:r>
      <w:r w:rsidR="000B2A6B" w:rsidRPr="001C0C4B">
        <w:rPr>
          <w:rFonts w:ascii="Calibri" w:hAnsi="Calibri" w:cs="Calibri"/>
        </w:rPr>
        <w:t xml:space="preserve">patient </w:t>
      </w:r>
      <w:r w:rsidR="0708451D" w:rsidRPr="001C0C4B">
        <w:rPr>
          <w:rFonts w:ascii="Calibri" w:hAnsi="Calibri" w:cs="Calibri"/>
        </w:rPr>
        <w:t xml:space="preserve">will undergo </w:t>
      </w:r>
      <w:r w:rsidR="579BF309" w:rsidRPr="001C0C4B">
        <w:rPr>
          <w:rFonts w:ascii="Calibri" w:hAnsi="Calibri" w:cs="Calibri"/>
        </w:rPr>
        <w:t xml:space="preserve">a </w:t>
      </w:r>
      <w:r w:rsidR="0708451D" w:rsidRPr="001C0C4B">
        <w:rPr>
          <w:rFonts w:ascii="Calibri" w:hAnsi="Calibri" w:cs="Calibri"/>
        </w:rPr>
        <w:t xml:space="preserve">physical </w:t>
      </w:r>
      <w:r w:rsidR="579BF309" w:rsidRPr="001C0C4B">
        <w:rPr>
          <w:rFonts w:ascii="Calibri" w:hAnsi="Calibri" w:cs="Calibri"/>
        </w:rPr>
        <w:t>examination</w:t>
      </w:r>
      <w:r w:rsidR="1DDDF5AD" w:rsidRPr="001C0C4B">
        <w:rPr>
          <w:rFonts w:ascii="Calibri" w:hAnsi="Calibri" w:cs="Calibri"/>
        </w:rPr>
        <w:t xml:space="preserve"> </w:t>
      </w:r>
      <w:r w:rsidR="03399037" w:rsidRPr="001C0C4B">
        <w:rPr>
          <w:rFonts w:ascii="Calibri" w:hAnsi="Calibri" w:cs="Calibri"/>
        </w:rPr>
        <w:t>and</w:t>
      </w:r>
      <w:r w:rsidR="1DDDF5AD" w:rsidRPr="001C0C4B">
        <w:rPr>
          <w:rFonts w:ascii="Calibri" w:hAnsi="Calibri" w:cs="Calibri"/>
        </w:rPr>
        <w:t xml:space="preserve"> blood</w:t>
      </w:r>
      <w:r w:rsidR="03399037" w:rsidRPr="001C0C4B">
        <w:rPr>
          <w:rFonts w:ascii="Calibri" w:hAnsi="Calibri" w:cs="Calibri"/>
        </w:rPr>
        <w:t xml:space="preserve"> sampling for routine haematology and biochemistry</w:t>
      </w:r>
      <w:r w:rsidR="09412259" w:rsidRPr="001C0C4B">
        <w:rPr>
          <w:rFonts w:ascii="Calibri" w:hAnsi="Calibri" w:cs="Calibri"/>
        </w:rPr>
        <w:t xml:space="preserve"> and </w:t>
      </w:r>
      <w:r w:rsidR="0708451D" w:rsidRPr="001C0C4B">
        <w:rPr>
          <w:rFonts w:ascii="Calibri" w:hAnsi="Calibri" w:cs="Calibri"/>
        </w:rPr>
        <w:t xml:space="preserve">other </w:t>
      </w:r>
      <w:r w:rsidR="09412259" w:rsidRPr="001C0C4B">
        <w:rPr>
          <w:rFonts w:ascii="Calibri" w:hAnsi="Calibri" w:cs="Calibri"/>
        </w:rPr>
        <w:t>baseline investigations (</w:t>
      </w:r>
      <w:r w:rsidR="00966588" w:rsidRPr="001C0C4B">
        <w:rPr>
          <w:rFonts w:ascii="Calibri" w:hAnsi="Calibri" w:cs="Calibri"/>
        </w:rPr>
        <w:t xml:space="preserve">see Section </w:t>
      </w:r>
      <w:r w:rsidR="005E4E21" w:rsidRPr="001C0C4B">
        <w:rPr>
          <w:rFonts w:ascii="Calibri" w:hAnsi="Calibri" w:cs="Calibri"/>
        </w:rPr>
        <w:t>7</w:t>
      </w:r>
      <w:r w:rsidR="00966588" w:rsidRPr="001C0C4B">
        <w:rPr>
          <w:rFonts w:ascii="Calibri" w:hAnsi="Calibri" w:cs="Calibri"/>
        </w:rPr>
        <w:t>.5</w:t>
      </w:r>
      <w:r w:rsidR="09412259" w:rsidRPr="001C0C4B">
        <w:rPr>
          <w:rFonts w:ascii="Calibri" w:hAnsi="Calibri" w:cs="Calibri"/>
        </w:rPr>
        <w:t xml:space="preserve">). </w:t>
      </w:r>
      <w:r w:rsidR="358F0B66" w:rsidRPr="001C0C4B">
        <w:rPr>
          <w:rFonts w:ascii="Calibri" w:hAnsi="Calibri" w:cs="Calibri"/>
        </w:rPr>
        <w:t xml:space="preserve">For </w:t>
      </w:r>
      <w:r w:rsidR="0D3BD93F" w:rsidRPr="001C0C4B">
        <w:rPr>
          <w:rFonts w:ascii="Calibri" w:hAnsi="Calibri" w:cs="Calibri"/>
        </w:rPr>
        <w:t xml:space="preserve">oral study drugs, </w:t>
      </w:r>
      <w:r w:rsidR="358F0B66" w:rsidRPr="001C0C4B">
        <w:rPr>
          <w:rFonts w:ascii="Calibri" w:hAnsi="Calibri" w:cs="Calibri"/>
        </w:rPr>
        <w:t xml:space="preserve">the first dose will </w:t>
      </w:r>
      <w:r w:rsidR="551DF28E" w:rsidRPr="001C0C4B">
        <w:rPr>
          <w:rFonts w:ascii="Calibri" w:hAnsi="Calibri" w:cs="Calibri"/>
        </w:rPr>
        <w:t>be administered</w:t>
      </w:r>
      <w:r w:rsidR="0D3BD93F" w:rsidRPr="001C0C4B">
        <w:rPr>
          <w:rFonts w:ascii="Calibri" w:hAnsi="Calibri" w:cs="Calibri"/>
        </w:rPr>
        <w:t xml:space="preserve"> </w:t>
      </w:r>
      <w:r w:rsidR="01679FD8" w:rsidRPr="001C0C4B">
        <w:rPr>
          <w:rFonts w:ascii="Calibri" w:hAnsi="Calibri" w:cs="Calibri"/>
        </w:rPr>
        <w:t xml:space="preserve">and </w:t>
      </w:r>
      <w:r w:rsidR="358F0B66" w:rsidRPr="001C0C4B">
        <w:rPr>
          <w:rFonts w:ascii="Calibri" w:hAnsi="Calibri" w:cs="Calibri"/>
        </w:rPr>
        <w:t xml:space="preserve">observed </w:t>
      </w:r>
      <w:r w:rsidR="0D3BD93F" w:rsidRPr="001C0C4B">
        <w:rPr>
          <w:rFonts w:ascii="Calibri" w:hAnsi="Calibri" w:cs="Calibri"/>
        </w:rPr>
        <w:t>at</w:t>
      </w:r>
      <w:r w:rsidR="358F0B66" w:rsidRPr="001C0C4B">
        <w:rPr>
          <w:rFonts w:ascii="Calibri" w:hAnsi="Calibri" w:cs="Calibri"/>
        </w:rPr>
        <w:t xml:space="preserve"> the </w:t>
      </w:r>
      <w:r w:rsidR="0D3BD93F" w:rsidRPr="001C0C4B">
        <w:rPr>
          <w:rFonts w:ascii="Calibri" w:hAnsi="Calibri" w:cs="Calibri"/>
        </w:rPr>
        <w:t xml:space="preserve">research </w:t>
      </w:r>
      <w:r w:rsidR="411F827C" w:rsidRPr="001C0C4B">
        <w:rPr>
          <w:rFonts w:ascii="Calibri" w:hAnsi="Calibri" w:cs="Calibri"/>
        </w:rPr>
        <w:t>ward</w:t>
      </w:r>
      <w:r w:rsidR="005D2337" w:rsidRPr="001C0C4B">
        <w:rPr>
          <w:rFonts w:ascii="Calibri" w:hAnsi="Calibri" w:cs="Calibri"/>
        </w:rPr>
        <w:t>/ hospital</w:t>
      </w:r>
      <w:r w:rsidR="0D3BD93F" w:rsidRPr="001C0C4B">
        <w:rPr>
          <w:rFonts w:ascii="Calibri" w:hAnsi="Calibri" w:cs="Calibri"/>
        </w:rPr>
        <w:t xml:space="preserve">. Subsequent doses </w:t>
      </w:r>
      <w:r w:rsidR="411F827C" w:rsidRPr="001C0C4B">
        <w:rPr>
          <w:rFonts w:ascii="Calibri" w:hAnsi="Calibri" w:cs="Calibri"/>
        </w:rPr>
        <w:t xml:space="preserve">will be </w:t>
      </w:r>
      <w:r w:rsidR="0D3BD93F" w:rsidRPr="001C0C4B">
        <w:rPr>
          <w:rFonts w:ascii="Calibri" w:hAnsi="Calibri" w:cs="Calibri"/>
        </w:rPr>
        <w:t>administered</w:t>
      </w:r>
      <w:r w:rsidR="000C662A">
        <w:rPr>
          <w:rFonts w:ascii="Calibri" w:hAnsi="Calibri" w:cs="Calibri"/>
        </w:rPr>
        <w:t xml:space="preserve"> by the ward staff in hospital if the patient is an inpatient,</w:t>
      </w:r>
      <w:r w:rsidR="0D3BD93F" w:rsidRPr="001C0C4B">
        <w:rPr>
          <w:rFonts w:ascii="Calibri" w:hAnsi="Calibri" w:cs="Calibri"/>
        </w:rPr>
        <w:t xml:space="preserve"> </w:t>
      </w:r>
      <w:r w:rsidR="003243BC" w:rsidRPr="001C0C4B">
        <w:rPr>
          <w:rFonts w:ascii="Calibri" w:hAnsi="Calibri" w:cs="Calibri"/>
        </w:rPr>
        <w:t>at</w:t>
      </w:r>
      <w:r w:rsidR="00AE794D" w:rsidRPr="001C0C4B">
        <w:rPr>
          <w:rFonts w:ascii="Calibri" w:hAnsi="Calibri" w:cs="Calibri"/>
        </w:rPr>
        <w:t xml:space="preserve"> the </w:t>
      </w:r>
      <w:r w:rsidR="003243BC" w:rsidRPr="001C0C4B">
        <w:rPr>
          <w:rFonts w:ascii="Calibri" w:hAnsi="Calibri" w:cs="Calibri"/>
        </w:rPr>
        <w:t>patient’s home,</w:t>
      </w:r>
      <w:r w:rsidR="00596F25" w:rsidRPr="001C0C4B">
        <w:rPr>
          <w:rFonts w:ascii="Calibri" w:hAnsi="Calibri" w:cs="Calibri"/>
        </w:rPr>
        <w:t xml:space="preserve"> or </w:t>
      </w:r>
      <w:r w:rsidR="003243BC" w:rsidRPr="001C0C4B">
        <w:rPr>
          <w:rFonts w:ascii="Calibri" w:hAnsi="Calibri" w:cs="Calibri"/>
        </w:rPr>
        <w:t>current residence, supervised by study personnel</w:t>
      </w:r>
      <w:r w:rsidR="00AE794D" w:rsidRPr="001C0C4B">
        <w:rPr>
          <w:rFonts w:ascii="Calibri" w:hAnsi="Calibri" w:cs="Calibri"/>
        </w:rPr>
        <w:t xml:space="preserve"> </w:t>
      </w:r>
      <w:r w:rsidR="0080447C" w:rsidRPr="001C0C4B">
        <w:rPr>
          <w:rFonts w:ascii="Calibri" w:hAnsi="Calibri" w:cs="Calibri"/>
        </w:rPr>
        <w:t xml:space="preserve">(if multiple </w:t>
      </w:r>
      <w:r w:rsidR="000B0EDD" w:rsidRPr="001C0C4B">
        <w:rPr>
          <w:rFonts w:ascii="Calibri" w:hAnsi="Calibri" w:cs="Calibri"/>
        </w:rPr>
        <w:t>doses,</w:t>
      </w:r>
      <w:r w:rsidR="0080447C" w:rsidRPr="001C0C4B">
        <w:rPr>
          <w:rFonts w:ascii="Calibri" w:hAnsi="Calibri" w:cs="Calibri"/>
        </w:rPr>
        <w:t xml:space="preserve"> then one of the doses per day will be observed)</w:t>
      </w:r>
      <w:r w:rsidR="29BC97D4" w:rsidRPr="001C0C4B">
        <w:rPr>
          <w:rFonts w:ascii="Calibri" w:hAnsi="Calibri" w:cs="Calibri"/>
        </w:rPr>
        <w:t xml:space="preserve">. </w:t>
      </w:r>
      <w:r w:rsidR="0D3BD93F" w:rsidRPr="001C0C4B">
        <w:rPr>
          <w:rFonts w:ascii="Calibri" w:hAnsi="Calibri" w:cs="Calibri"/>
        </w:rPr>
        <w:t xml:space="preserve">In case a study drug requires parenteral administration, this will be provided </w:t>
      </w:r>
      <w:r w:rsidR="1CFFE7C3" w:rsidRPr="001C0C4B">
        <w:rPr>
          <w:rFonts w:ascii="Calibri" w:hAnsi="Calibri" w:cs="Calibri"/>
        </w:rPr>
        <w:t xml:space="preserve">under supervision </w:t>
      </w:r>
      <w:r w:rsidR="0D3BD93F" w:rsidRPr="001C0C4B">
        <w:rPr>
          <w:rFonts w:ascii="Calibri" w:hAnsi="Calibri" w:cs="Calibri"/>
        </w:rPr>
        <w:t xml:space="preserve">by the </w:t>
      </w:r>
      <w:r w:rsidR="00B33CA9" w:rsidRPr="001C0C4B">
        <w:rPr>
          <w:rFonts w:ascii="Calibri" w:hAnsi="Calibri" w:cs="Calibri"/>
        </w:rPr>
        <w:t>study personnel</w:t>
      </w:r>
      <w:r w:rsidR="0D3BD93F" w:rsidRPr="001C0C4B">
        <w:rPr>
          <w:rFonts w:ascii="Calibri" w:hAnsi="Calibri" w:cs="Calibri"/>
        </w:rPr>
        <w:t xml:space="preserve"> in the research ward</w:t>
      </w:r>
      <w:r w:rsidR="00AE794D" w:rsidRPr="001C0C4B">
        <w:rPr>
          <w:rFonts w:ascii="Calibri" w:hAnsi="Calibri" w:cs="Calibri"/>
        </w:rPr>
        <w:t>,</w:t>
      </w:r>
      <w:r w:rsidR="009B2515" w:rsidRPr="001C0C4B">
        <w:rPr>
          <w:rFonts w:ascii="Calibri" w:hAnsi="Calibri" w:cs="Calibri"/>
        </w:rPr>
        <w:t xml:space="preserve"> or </w:t>
      </w:r>
      <w:r w:rsidR="00AE794D" w:rsidRPr="001C0C4B">
        <w:rPr>
          <w:rFonts w:ascii="Calibri" w:hAnsi="Calibri" w:cs="Calibri"/>
        </w:rPr>
        <w:t xml:space="preserve">hospital, </w:t>
      </w:r>
      <w:r w:rsidR="00596F25" w:rsidRPr="001C0C4B">
        <w:rPr>
          <w:rFonts w:ascii="Calibri" w:hAnsi="Calibri" w:cs="Calibri"/>
        </w:rPr>
        <w:t xml:space="preserve">or </w:t>
      </w:r>
      <w:r w:rsidR="003243BC" w:rsidRPr="001C0C4B">
        <w:rPr>
          <w:rFonts w:ascii="Calibri" w:hAnsi="Calibri" w:cs="Calibri"/>
        </w:rPr>
        <w:t>the patient’s home</w:t>
      </w:r>
      <w:r w:rsidR="0D3BD93F" w:rsidRPr="001C0C4B">
        <w:rPr>
          <w:rFonts w:ascii="Calibri" w:hAnsi="Calibri" w:cs="Calibri"/>
        </w:rPr>
        <w:t>.</w:t>
      </w:r>
      <w:r w:rsidR="005D2337" w:rsidRPr="001C0C4B">
        <w:rPr>
          <w:rFonts w:ascii="Calibri" w:hAnsi="Calibri" w:cs="Calibri"/>
        </w:rPr>
        <w:t xml:space="preserve"> </w:t>
      </w:r>
    </w:p>
    <w:p w14:paraId="5ECB8C1B" w14:textId="77777777" w:rsidR="00B83F15" w:rsidRPr="001C0C4B" w:rsidRDefault="00B83F15" w:rsidP="00123485">
      <w:pPr>
        <w:spacing w:after="0"/>
        <w:jc w:val="both"/>
        <w:rPr>
          <w:rFonts w:ascii="Calibri" w:hAnsi="Calibri" w:cs="Calibri"/>
        </w:rPr>
      </w:pPr>
    </w:p>
    <w:p w14:paraId="0858F2C3" w14:textId="467C8F45" w:rsidR="005858D4" w:rsidRPr="001C0C4B" w:rsidRDefault="00DB1C13" w:rsidP="00E142CD">
      <w:pPr>
        <w:pStyle w:val="Heading2"/>
        <w:numPr>
          <w:ilvl w:val="1"/>
          <w:numId w:val="23"/>
        </w:numPr>
        <w:rPr>
          <w:rFonts w:ascii="Calibri" w:hAnsi="Calibri" w:cs="Calibri"/>
          <w:color w:val="auto"/>
          <w:sz w:val="22"/>
          <w:szCs w:val="22"/>
        </w:rPr>
      </w:pPr>
      <w:r w:rsidRPr="001C0C4B">
        <w:rPr>
          <w:rFonts w:ascii="Calibri" w:hAnsi="Calibri" w:cs="Calibri"/>
          <w:color w:val="auto"/>
          <w:sz w:val="22"/>
          <w:szCs w:val="22"/>
        </w:rPr>
        <w:t xml:space="preserve"> </w:t>
      </w:r>
      <w:bookmarkStart w:id="122" w:name="_Toc96007284"/>
      <w:bookmarkStart w:id="123" w:name="_Toc95915237"/>
      <w:bookmarkStart w:id="124" w:name="_Toc74661282"/>
      <w:bookmarkStart w:id="125" w:name="_Toc110523976"/>
      <w:bookmarkStart w:id="126" w:name="_Toc96005587"/>
      <w:bookmarkStart w:id="127" w:name="_Toc112917625"/>
      <w:r w:rsidR="005858D4" w:rsidRPr="001C0C4B">
        <w:rPr>
          <w:rFonts w:ascii="Calibri" w:hAnsi="Calibri" w:cs="Calibri"/>
          <w:color w:val="auto"/>
          <w:sz w:val="22"/>
          <w:szCs w:val="22"/>
        </w:rPr>
        <w:t>Virolog</w:t>
      </w:r>
      <w:r w:rsidR="000F62F9" w:rsidRPr="001C0C4B">
        <w:rPr>
          <w:rFonts w:ascii="Calibri" w:hAnsi="Calibri" w:cs="Calibri"/>
          <w:color w:val="auto"/>
          <w:sz w:val="22"/>
          <w:szCs w:val="22"/>
        </w:rPr>
        <w:t>ical</w:t>
      </w:r>
      <w:r w:rsidR="005858D4" w:rsidRPr="001C0C4B">
        <w:rPr>
          <w:rFonts w:ascii="Calibri" w:hAnsi="Calibri" w:cs="Calibri"/>
          <w:color w:val="auto"/>
          <w:sz w:val="22"/>
          <w:szCs w:val="22"/>
        </w:rPr>
        <w:t xml:space="preserve"> sampling</w:t>
      </w:r>
      <w:bookmarkEnd w:id="122"/>
      <w:bookmarkEnd w:id="123"/>
      <w:bookmarkEnd w:id="124"/>
      <w:bookmarkEnd w:id="125"/>
      <w:bookmarkEnd w:id="126"/>
      <w:bookmarkEnd w:id="127"/>
    </w:p>
    <w:p w14:paraId="3011E32B" w14:textId="00D1E811" w:rsidR="00AD4BB6" w:rsidRPr="001C0C4B" w:rsidRDefault="7DCDC857" w:rsidP="00967A0A">
      <w:pPr>
        <w:jc w:val="both"/>
        <w:rPr>
          <w:rFonts w:ascii="Calibri" w:hAnsi="Calibri" w:cs="Calibri"/>
          <w:sz w:val="18"/>
          <w:szCs w:val="18"/>
        </w:rPr>
      </w:pPr>
      <w:r w:rsidRPr="001C0C4B">
        <w:rPr>
          <w:rFonts w:ascii="Calibri" w:hAnsi="Calibri" w:cs="Calibri"/>
        </w:rPr>
        <w:t>Serial</w:t>
      </w:r>
      <w:r w:rsidR="64837F93" w:rsidRPr="001C0C4B">
        <w:rPr>
          <w:rFonts w:ascii="Calibri" w:hAnsi="Calibri" w:cs="Calibri"/>
        </w:rPr>
        <w:t xml:space="preserve"> </w:t>
      </w:r>
      <w:r w:rsidRPr="001C0C4B">
        <w:rPr>
          <w:rFonts w:ascii="Calibri" w:hAnsi="Calibri" w:cs="Calibri"/>
        </w:rPr>
        <w:t>oropharyngeal swabs</w:t>
      </w:r>
      <w:r w:rsidR="64837F93" w:rsidRPr="001C0C4B">
        <w:rPr>
          <w:rFonts w:ascii="Calibri" w:hAnsi="Calibri" w:cs="Calibri"/>
        </w:rPr>
        <w:t xml:space="preserve"> </w:t>
      </w:r>
      <w:r w:rsidRPr="001C0C4B">
        <w:rPr>
          <w:rFonts w:ascii="Calibri" w:hAnsi="Calibri" w:cs="Calibri"/>
        </w:rPr>
        <w:t>will be taken in duplicate</w:t>
      </w:r>
      <w:r w:rsidR="00424FDD" w:rsidRPr="001C0C4B">
        <w:rPr>
          <w:rFonts w:ascii="Calibri" w:hAnsi="Calibri" w:cs="Calibri"/>
        </w:rPr>
        <w:t xml:space="preserve"> </w:t>
      </w:r>
      <w:r w:rsidR="00424FDD" w:rsidRPr="001C0C4B">
        <w:rPr>
          <w:rFonts w:ascii="Calibri" w:hAnsi="Calibri"/>
        </w:rPr>
        <w:t>(one swab each tonsil)</w:t>
      </w:r>
      <w:r w:rsidR="64837F93" w:rsidRPr="001C0C4B">
        <w:rPr>
          <w:rFonts w:ascii="Calibri" w:hAnsi="Calibri" w:cs="Calibri"/>
        </w:rPr>
        <w:t xml:space="preserve"> </w:t>
      </w:r>
      <w:r w:rsidR="00D6467B" w:rsidRPr="001C0C4B">
        <w:rPr>
          <w:rFonts w:ascii="Calibri" w:hAnsi="Calibri" w:cs="Calibri"/>
          <w:noProof/>
        </w:rPr>
        <w:t>(</w:t>
      </w:r>
      <w:r w:rsidR="00801A78" w:rsidRPr="001C0C4B">
        <w:rPr>
          <w:rFonts w:ascii="Calibri" w:hAnsi="Calibri" w:cs="Calibri"/>
          <w:noProof/>
        </w:rPr>
        <w:t>2</w:t>
      </w:r>
      <w:r w:rsidR="00407461" w:rsidRPr="001C0C4B">
        <w:rPr>
          <w:rFonts w:ascii="Calibri" w:hAnsi="Calibri" w:cs="Calibri"/>
          <w:noProof/>
        </w:rPr>
        <w:t>4</w:t>
      </w:r>
      <w:r w:rsidR="00D6467B" w:rsidRPr="001C0C4B">
        <w:rPr>
          <w:rFonts w:ascii="Calibri" w:hAnsi="Calibri" w:cs="Calibri"/>
          <w:noProof/>
        </w:rPr>
        <w:t>)</w:t>
      </w:r>
      <w:r w:rsidR="00926D08" w:rsidRPr="001C0C4B">
        <w:rPr>
          <w:rFonts w:ascii="Calibri" w:hAnsi="Calibri" w:cs="Calibri"/>
          <w:noProof/>
        </w:rPr>
        <w:t xml:space="preserve"> according to the sample schedule</w:t>
      </w:r>
      <w:r w:rsidR="00E9236F" w:rsidRPr="001C0C4B">
        <w:rPr>
          <w:rFonts w:ascii="Calibri" w:hAnsi="Calibri" w:cs="Calibri"/>
        </w:rPr>
        <w:t>.</w:t>
      </w:r>
      <w:r w:rsidRPr="001C0C4B">
        <w:rPr>
          <w:rFonts w:ascii="Calibri" w:hAnsi="Calibri" w:cs="Calibri"/>
        </w:rPr>
        <w:t xml:space="preserve"> The swabs will be taken from the back of the throat (oropharynx</w:t>
      </w:r>
      <w:r w:rsidR="00CD2783" w:rsidRPr="001C0C4B">
        <w:rPr>
          <w:rFonts w:ascii="Calibri" w:hAnsi="Calibri" w:cs="Calibri"/>
        </w:rPr>
        <w:t xml:space="preserve">; tonsillar fossa </w:t>
      </w:r>
      <w:r w:rsidRPr="001C0C4B">
        <w:rPr>
          <w:rFonts w:ascii="Calibri" w:hAnsi="Calibri" w:cs="Calibri"/>
        </w:rPr>
        <w:t>)</w:t>
      </w:r>
      <w:r w:rsidR="00F35C4D" w:rsidRPr="001C0C4B">
        <w:rPr>
          <w:rFonts w:ascii="Calibri" w:hAnsi="Calibri" w:cs="Calibri"/>
        </w:rPr>
        <w:t xml:space="preserve"> by trained </w:t>
      </w:r>
      <w:r w:rsidR="00B33CA9" w:rsidRPr="001C0C4B">
        <w:rPr>
          <w:rFonts w:ascii="Calibri" w:hAnsi="Calibri" w:cs="Calibri"/>
        </w:rPr>
        <w:t>study personnel</w:t>
      </w:r>
      <w:r w:rsidR="00F35C4D" w:rsidRPr="001C0C4B">
        <w:rPr>
          <w:rFonts w:ascii="Calibri" w:hAnsi="Calibri" w:cs="Calibri"/>
        </w:rPr>
        <w:t xml:space="preserve"> according to the SOP abiding by strict PPE measures</w:t>
      </w:r>
      <w:r w:rsidRPr="001C0C4B">
        <w:rPr>
          <w:rFonts w:ascii="Calibri" w:hAnsi="Calibri" w:cs="Calibri"/>
        </w:rPr>
        <w:t>. Each swab will be</w:t>
      </w:r>
      <w:r w:rsidR="64837F93" w:rsidRPr="001C0C4B">
        <w:rPr>
          <w:rFonts w:ascii="Calibri" w:hAnsi="Calibri" w:cs="Calibri"/>
        </w:rPr>
        <w:t xml:space="preserve"> </w:t>
      </w:r>
      <w:r w:rsidRPr="001C0C4B">
        <w:rPr>
          <w:rFonts w:ascii="Calibri" w:hAnsi="Calibri" w:cs="Calibri"/>
        </w:rPr>
        <w:t xml:space="preserve">placed in </w:t>
      </w:r>
      <w:r w:rsidR="001752D1" w:rsidRPr="001C0C4B">
        <w:rPr>
          <w:rFonts w:ascii="Calibri" w:hAnsi="Calibri" w:cs="Calibri"/>
        </w:rPr>
        <w:t>3</w:t>
      </w:r>
      <w:r w:rsidRPr="001C0C4B">
        <w:rPr>
          <w:rFonts w:ascii="Calibri" w:hAnsi="Calibri" w:cs="Calibri"/>
        </w:rPr>
        <w:t>mL of viral transport medium (VTM) (</w:t>
      </w:r>
      <w:r w:rsidR="001752D1" w:rsidRPr="001C0C4B">
        <w:rPr>
          <w:rFonts w:ascii="Calibri" w:hAnsi="Calibri" w:cs="Calibri"/>
        </w:rPr>
        <w:t>Thermofisher M4RT</w:t>
      </w:r>
      <w:r w:rsidRPr="001C0C4B">
        <w:rPr>
          <w:rFonts w:ascii="Calibri" w:hAnsi="Calibri" w:cs="Calibri"/>
        </w:rPr>
        <w:t xml:space="preserve">®), snapped off and sealed. </w:t>
      </w:r>
      <w:r w:rsidR="0031261A" w:rsidRPr="001C0C4B">
        <w:rPr>
          <w:rFonts w:ascii="Calibri" w:hAnsi="Calibri" w:cs="Calibri"/>
        </w:rPr>
        <w:t xml:space="preserve">In addition, some patients may be asked to give a sample of saliva, either by spitting in a tube, or by sucking on a swab tip until it is saturated. </w:t>
      </w:r>
      <w:r w:rsidR="003717C0" w:rsidRPr="001C0C4B">
        <w:rPr>
          <w:rFonts w:ascii="Calibri" w:hAnsi="Calibri" w:cs="Calibri"/>
        </w:rPr>
        <w:lastRenderedPageBreak/>
        <w:t>The volume of saliva will be standardize</w:t>
      </w:r>
      <w:r w:rsidR="004C70F1" w:rsidRPr="001C0C4B">
        <w:rPr>
          <w:rFonts w:ascii="Calibri" w:hAnsi="Calibri" w:cs="Calibri"/>
        </w:rPr>
        <w:t xml:space="preserve">d. </w:t>
      </w:r>
      <w:r w:rsidR="0031261A" w:rsidRPr="001C0C4B">
        <w:rPr>
          <w:rFonts w:ascii="Calibri" w:hAnsi="Calibri" w:cs="Calibri"/>
        </w:rPr>
        <w:t>The initial purpose of this is to assess and validate a method of determining the viral density in the oropharynx in a less invasive manner</w:t>
      </w:r>
      <w:r w:rsidR="003717C0" w:rsidRPr="001C0C4B">
        <w:rPr>
          <w:rFonts w:ascii="Calibri" w:hAnsi="Calibri" w:cs="Calibri"/>
        </w:rPr>
        <w:t xml:space="preserve"> or supplement the results from the oropharyngeal swabs to improve the characterization of the viral clearance</w:t>
      </w:r>
      <w:r w:rsidR="0031261A" w:rsidRPr="001C0C4B">
        <w:rPr>
          <w:rFonts w:ascii="Calibri" w:hAnsi="Calibri" w:cs="Calibri"/>
        </w:rPr>
        <w:t xml:space="preserve">. If these results are informative, they may subsequently be included in the SAP for endpoint analysis. </w:t>
      </w:r>
      <w:r w:rsidR="00697249" w:rsidRPr="001C0C4B">
        <w:rPr>
          <w:rFonts w:ascii="Calibri" w:hAnsi="Calibri" w:cs="Calibri"/>
        </w:rPr>
        <w:t>D</w:t>
      </w:r>
      <w:r w:rsidR="00E635A4" w:rsidRPr="001C0C4B">
        <w:rPr>
          <w:rFonts w:ascii="Calibri" w:hAnsi="Calibri" w:cs="Calibri"/>
        </w:rPr>
        <w:t xml:space="preserve">aily sampling will be </w:t>
      </w:r>
      <w:r w:rsidR="00697249" w:rsidRPr="001C0C4B">
        <w:rPr>
          <w:rFonts w:ascii="Calibri" w:hAnsi="Calibri" w:cs="Calibri"/>
        </w:rPr>
        <w:t>performed</w:t>
      </w:r>
      <w:r w:rsidR="00E635A4" w:rsidRPr="001C0C4B">
        <w:rPr>
          <w:rFonts w:ascii="Calibri" w:hAnsi="Calibri" w:cs="Calibri"/>
        </w:rPr>
        <w:t xml:space="preserve"> by the </w:t>
      </w:r>
      <w:r w:rsidR="00B33CA9" w:rsidRPr="001C0C4B">
        <w:rPr>
          <w:rFonts w:ascii="Calibri" w:hAnsi="Calibri" w:cs="Calibri"/>
        </w:rPr>
        <w:t>study personnel</w:t>
      </w:r>
      <w:r w:rsidR="00E635A4" w:rsidRPr="001C0C4B">
        <w:rPr>
          <w:rFonts w:ascii="Calibri" w:hAnsi="Calibri" w:cs="Calibri"/>
        </w:rPr>
        <w:t xml:space="preserve"> who will place the swabs in the transport medium, and document the time. The samples will be </w:t>
      </w:r>
      <w:r w:rsidR="001752D1" w:rsidRPr="001C0C4B">
        <w:rPr>
          <w:rFonts w:ascii="Calibri" w:hAnsi="Calibri" w:cs="Calibri"/>
        </w:rPr>
        <w:t>kept cool</w:t>
      </w:r>
      <w:r w:rsidR="00015E71" w:rsidRPr="001C0C4B">
        <w:rPr>
          <w:rFonts w:ascii="Calibri" w:hAnsi="Calibri" w:cs="Calibri"/>
        </w:rPr>
        <w:t xml:space="preserve">, </w:t>
      </w:r>
      <w:r w:rsidR="00E635A4" w:rsidRPr="001C0C4B">
        <w:rPr>
          <w:rFonts w:ascii="Calibri" w:hAnsi="Calibri" w:cs="Calibri"/>
        </w:rPr>
        <w:t xml:space="preserve">and </w:t>
      </w:r>
      <w:r w:rsidR="00697249" w:rsidRPr="001C0C4B">
        <w:rPr>
          <w:rFonts w:ascii="Calibri" w:hAnsi="Calibri" w:cs="Calibri"/>
        </w:rPr>
        <w:t xml:space="preserve">subsequently </w:t>
      </w:r>
      <w:r w:rsidRPr="001C0C4B">
        <w:rPr>
          <w:rFonts w:ascii="Calibri" w:hAnsi="Calibri" w:cs="Calibri"/>
        </w:rPr>
        <w:t xml:space="preserve">stored at -80°C </w:t>
      </w:r>
      <w:r w:rsidR="00424FDD" w:rsidRPr="001C0C4B">
        <w:rPr>
          <w:rFonts w:ascii="Calibri" w:hAnsi="Calibri"/>
        </w:rPr>
        <w:t>as detailed in the SOP</w:t>
      </w:r>
      <w:r w:rsidR="00697249" w:rsidRPr="001C0C4B">
        <w:rPr>
          <w:rFonts w:ascii="Calibri" w:hAnsi="Calibri"/>
        </w:rPr>
        <w:t>.</w:t>
      </w:r>
      <w:r w:rsidR="00697249" w:rsidRPr="001C0C4B">
        <w:rPr>
          <w:rFonts w:ascii="Calibri" w:hAnsi="Calibri" w:cs="Calibri"/>
        </w:rPr>
        <w:t xml:space="preserve"> Transport </w:t>
      </w:r>
      <w:r w:rsidR="00E635A4" w:rsidRPr="001C0C4B">
        <w:rPr>
          <w:rFonts w:ascii="Calibri" w:hAnsi="Calibri" w:cs="Calibri"/>
        </w:rPr>
        <w:t>times will be recorded</w:t>
      </w:r>
      <w:r w:rsidR="00F24D8F" w:rsidRPr="001C0C4B">
        <w:rPr>
          <w:rFonts w:ascii="Calibri" w:hAnsi="Calibri" w:cs="Calibri"/>
        </w:rPr>
        <w:t>, as well as the time at which the swab is frozen at -80°C</w:t>
      </w:r>
      <w:r w:rsidRPr="001C0C4B">
        <w:rPr>
          <w:rFonts w:ascii="Calibri" w:hAnsi="Calibri" w:cs="Calibri"/>
        </w:rPr>
        <w:t>. Viral genomes</w:t>
      </w:r>
      <w:r w:rsidR="00697249" w:rsidRPr="001C0C4B">
        <w:rPr>
          <w:rFonts w:ascii="Calibri" w:hAnsi="Calibri" w:cs="Calibri"/>
        </w:rPr>
        <w:t xml:space="preserve"> from the throat swabs</w:t>
      </w:r>
      <w:r w:rsidRPr="001C0C4B">
        <w:rPr>
          <w:rFonts w:ascii="Calibri" w:hAnsi="Calibri" w:cs="Calibri"/>
        </w:rPr>
        <w:t xml:space="preserve"> will be quantitated by RT-qPCR</w:t>
      </w:r>
      <w:r w:rsidR="00697249" w:rsidRPr="001C0C4B">
        <w:rPr>
          <w:rFonts w:ascii="Calibri" w:hAnsi="Calibri" w:cs="Calibri"/>
        </w:rPr>
        <w:t>, according to published methods</w:t>
      </w:r>
      <w:r w:rsidR="2F283253" w:rsidRPr="001C0C4B">
        <w:rPr>
          <w:rFonts w:ascii="Calibri" w:hAnsi="Calibri" w:cs="Calibri"/>
        </w:rPr>
        <w:t xml:space="preserve"> </w:t>
      </w:r>
      <w:r w:rsidR="00E9236F" w:rsidRPr="001C0C4B">
        <w:rPr>
          <w:rFonts w:ascii="Calibri" w:hAnsi="Calibri" w:cs="Calibri"/>
          <w:noProof/>
        </w:rPr>
        <w:t>(</w:t>
      </w:r>
      <w:r w:rsidR="00801A78" w:rsidRPr="001C0C4B">
        <w:rPr>
          <w:rFonts w:ascii="Calibri" w:hAnsi="Calibri" w:cs="Calibri"/>
          <w:noProof/>
        </w:rPr>
        <w:t>2</w:t>
      </w:r>
      <w:r w:rsidR="00407461" w:rsidRPr="001C0C4B">
        <w:rPr>
          <w:rFonts w:ascii="Calibri" w:hAnsi="Calibri" w:cs="Calibri"/>
          <w:noProof/>
        </w:rPr>
        <w:t>5</w:t>
      </w:r>
      <w:r w:rsidR="00E9236F" w:rsidRPr="001C0C4B">
        <w:rPr>
          <w:rFonts w:ascii="Calibri" w:hAnsi="Calibri" w:cs="Calibri"/>
          <w:noProof/>
        </w:rPr>
        <w:t>)</w:t>
      </w:r>
      <w:r w:rsidR="00E9236F" w:rsidRPr="001C0C4B">
        <w:rPr>
          <w:rFonts w:ascii="Calibri" w:hAnsi="Calibri" w:cs="Calibri"/>
        </w:rPr>
        <w:t>.</w:t>
      </w:r>
      <w:r w:rsidRPr="001C0C4B">
        <w:rPr>
          <w:rFonts w:ascii="Calibri" w:hAnsi="Calibri" w:cs="Calibri"/>
        </w:rPr>
        <w:t xml:space="preserve"> </w:t>
      </w:r>
      <w:r w:rsidR="00C51738" w:rsidRPr="001C0C4B">
        <w:rPr>
          <w:rFonts w:ascii="Calibri" w:hAnsi="Calibri" w:cs="Calibri"/>
        </w:rPr>
        <w:t>Each observed value</w:t>
      </w:r>
      <w:r w:rsidRPr="001C0C4B">
        <w:rPr>
          <w:rFonts w:ascii="Calibri" w:hAnsi="Calibri"/>
        </w:rPr>
        <w:t xml:space="preserve"> will</w:t>
      </w:r>
      <w:r w:rsidRPr="001C0C4B">
        <w:rPr>
          <w:rFonts w:ascii="Calibri" w:hAnsi="Calibri" w:cs="Calibri"/>
        </w:rPr>
        <w:t xml:space="preserve"> be recorded </w:t>
      </w:r>
      <w:r w:rsidR="00C51738" w:rsidRPr="001C0C4B">
        <w:rPr>
          <w:rFonts w:ascii="Calibri" w:hAnsi="Calibri" w:cs="Calibri"/>
        </w:rPr>
        <w:t>along with the</w:t>
      </w:r>
      <w:r w:rsidR="2F283253" w:rsidRPr="001C0C4B">
        <w:rPr>
          <w:rFonts w:ascii="Calibri" w:hAnsi="Calibri" w:cs="Calibri"/>
        </w:rPr>
        <w:t xml:space="preserve"> </w:t>
      </w:r>
      <w:r w:rsidRPr="001C0C4B">
        <w:rPr>
          <w:rFonts w:ascii="Calibri" w:hAnsi="Calibri" w:cs="Calibri"/>
        </w:rPr>
        <w:t>RNAseP</w:t>
      </w:r>
      <w:r w:rsidR="2F283253" w:rsidRPr="001C0C4B">
        <w:rPr>
          <w:rFonts w:ascii="Calibri" w:hAnsi="Calibri" w:cs="Calibri"/>
        </w:rPr>
        <w:t xml:space="preserve"> </w:t>
      </w:r>
      <w:r w:rsidR="004C70F1" w:rsidRPr="001C0C4B">
        <w:rPr>
          <w:rFonts w:ascii="Calibri" w:hAnsi="Calibri" w:cs="Calibri"/>
        </w:rPr>
        <w:t>log</w:t>
      </w:r>
      <w:r w:rsidR="004C70F1" w:rsidRPr="001C0C4B">
        <w:rPr>
          <w:rFonts w:ascii="Calibri" w:hAnsi="Calibri" w:cs="Calibri"/>
          <w:vertAlign w:val="subscript"/>
        </w:rPr>
        <w:t>10</w:t>
      </w:r>
      <w:r w:rsidR="004C70F1" w:rsidRPr="001C0C4B">
        <w:rPr>
          <w:rFonts w:ascii="Calibri" w:hAnsi="Calibri" w:cs="Calibri"/>
        </w:rPr>
        <w:t xml:space="preserve"> density</w:t>
      </w:r>
      <w:r w:rsidRPr="001C0C4B">
        <w:rPr>
          <w:rFonts w:ascii="Calibri" w:hAnsi="Calibri" w:cs="Calibri"/>
        </w:rPr>
        <w:t xml:space="preserve"> (representing human cell numbers)</w:t>
      </w:r>
      <w:r w:rsidR="009A676C" w:rsidRPr="001C0C4B">
        <w:rPr>
          <w:rFonts w:ascii="Calibri" w:hAnsi="Calibri" w:cs="Calibri"/>
        </w:rPr>
        <w:t xml:space="preserve">. </w:t>
      </w:r>
      <w:r w:rsidR="009A676C" w:rsidRPr="001C0C4B">
        <w:rPr>
          <w:rFonts w:ascii="Calibri" w:hAnsi="Calibri"/>
        </w:rPr>
        <w:t xml:space="preserve">The exact details of the analysis </w:t>
      </w:r>
      <w:r w:rsidR="00C51738" w:rsidRPr="001C0C4B">
        <w:rPr>
          <w:rFonts w:ascii="Calibri" w:hAnsi="Calibri"/>
        </w:rPr>
        <w:t>are given</w:t>
      </w:r>
      <w:r w:rsidR="00424FDD" w:rsidRPr="001C0C4B">
        <w:rPr>
          <w:rFonts w:ascii="Calibri" w:hAnsi="Calibri"/>
        </w:rPr>
        <w:t xml:space="preserve"> in the SAP</w:t>
      </w:r>
      <w:r w:rsidR="00177BD4" w:rsidRPr="001C0C4B">
        <w:rPr>
          <w:rFonts w:ascii="Calibri" w:hAnsi="Calibri" w:cs="Calibri"/>
        </w:rPr>
        <w:t xml:space="preserve"> </w:t>
      </w:r>
      <w:r w:rsidR="00E109D1" w:rsidRPr="001C0C4B">
        <w:rPr>
          <w:rFonts w:ascii="Calibri" w:hAnsi="Calibri" w:cs="Calibri"/>
          <w:noProof/>
        </w:rPr>
        <w:t>(</w:t>
      </w:r>
      <w:r w:rsidR="0080447C" w:rsidRPr="001C0C4B">
        <w:rPr>
          <w:rFonts w:ascii="Calibri" w:hAnsi="Calibri" w:cs="Calibri"/>
          <w:noProof/>
        </w:rPr>
        <w:t>2</w:t>
      </w:r>
      <w:r w:rsidR="00407461" w:rsidRPr="001C0C4B">
        <w:rPr>
          <w:rFonts w:ascii="Calibri" w:hAnsi="Calibri" w:cs="Calibri"/>
          <w:noProof/>
        </w:rPr>
        <w:t>6,27</w:t>
      </w:r>
      <w:r w:rsidR="00E109D1" w:rsidRPr="001C0C4B">
        <w:rPr>
          <w:rFonts w:ascii="Calibri" w:hAnsi="Calibri" w:cs="Calibri"/>
          <w:noProof/>
        </w:rPr>
        <w:t>)</w:t>
      </w:r>
      <w:r w:rsidR="00E109D1" w:rsidRPr="001C0C4B">
        <w:rPr>
          <w:rFonts w:ascii="Calibri" w:hAnsi="Calibri" w:cs="Calibri"/>
        </w:rPr>
        <w:t xml:space="preserve">. </w:t>
      </w:r>
      <w:r w:rsidR="00AE794D" w:rsidRPr="001C0C4B">
        <w:rPr>
          <w:rFonts w:ascii="Calibri" w:hAnsi="Calibri" w:cs="Calibri"/>
        </w:rPr>
        <w:t xml:space="preserve">The measurements for the patient over time will </w:t>
      </w:r>
      <w:r w:rsidR="00614FFE" w:rsidRPr="001C0C4B">
        <w:rPr>
          <w:rFonts w:ascii="Calibri" w:hAnsi="Calibri" w:cs="Calibri"/>
        </w:rPr>
        <w:t>be used to estimate</w:t>
      </w:r>
      <w:r w:rsidR="00AE794D" w:rsidRPr="001C0C4B">
        <w:rPr>
          <w:rFonts w:ascii="Calibri" w:hAnsi="Calibri" w:cs="Calibri"/>
        </w:rPr>
        <w:t xml:space="preserve"> the rate of viral clearance</w:t>
      </w:r>
      <w:r w:rsidR="00614FFE" w:rsidRPr="001C0C4B">
        <w:rPr>
          <w:rFonts w:ascii="Calibri" w:hAnsi="Calibri" w:cs="Calibri"/>
        </w:rPr>
        <w:t xml:space="preserve"> under a </w:t>
      </w:r>
      <w:r w:rsidR="00EB6681" w:rsidRPr="001C0C4B">
        <w:rPr>
          <w:rFonts w:ascii="Calibri" w:hAnsi="Calibri" w:cs="Calibri"/>
        </w:rPr>
        <w:t xml:space="preserve">Bayesian </w:t>
      </w:r>
      <w:r w:rsidR="00614FFE" w:rsidRPr="001C0C4B">
        <w:rPr>
          <w:rFonts w:ascii="Calibri" w:hAnsi="Calibri" w:cs="Calibri"/>
        </w:rPr>
        <w:t>hierarchical linear mixed effects model</w:t>
      </w:r>
      <w:r w:rsidR="00AE794D" w:rsidRPr="001C0C4B">
        <w:rPr>
          <w:rFonts w:ascii="Calibri" w:hAnsi="Calibri" w:cs="Calibri"/>
        </w:rPr>
        <w:t xml:space="preserve">. </w:t>
      </w:r>
      <w:r w:rsidRPr="001C0C4B">
        <w:rPr>
          <w:rFonts w:ascii="Calibri" w:hAnsi="Calibri" w:cs="Calibri"/>
        </w:rPr>
        <w:t>The concentration of urea</w:t>
      </w:r>
      <w:r w:rsidR="0080447C" w:rsidRPr="001C0C4B">
        <w:rPr>
          <w:rFonts w:ascii="Calibri" w:hAnsi="Calibri" w:cs="Calibri"/>
        </w:rPr>
        <w:t xml:space="preserve"> </w:t>
      </w:r>
      <w:r w:rsidRPr="001C0C4B">
        <w:rPr>
          <w:rFonts w:ascii="Calibri" w:hAnsi="Calibri" w:cs="Calibri"/>
        </w:rPr>
        <w:t>in the VTM will also be measured and compared with the</w:t>
      </w:r>
      <w:r w:rsidR="00346C6E" w:rsidRPr="001C0C4B">
        <w:rPr>
          <w:rFonts w:ascii="Calibri" w:hAnsi="Calibri" w:cs="Calibri"/>
        </w:rPr>
        <w:t xml:space="preserve"> </w:t>
      </w:r>
      <w:r w:rsidR="00AB1ACF" w:rsidRPr="001C0C4B">
        <w:rPr>
          <w:rFonts w:ascii="Calibri" w:hAnsi="Calibri" w:cs="Calibri"/>
        </w:rPr>
        <w:t xml:space="preserve">serum </w:t>
      </w:r>
      <w:r w:rsidRPr="001C0C4B">
        <w:rPr>
          <w:rFonts w:ascii="Calibri" w:hAnsi="Calibri" w:cs="Calibri"/>
        </w:rPr>
        <w:t>urea</w:t>
      </w:r>
      <w:r w:rsidR="00346C6E" w:rsidRPr="001C0C4B">
        <w:rPr>
          <w:rFonts w:ascii="Calibri" w:hAnsi="Calibri" w:cs="Calibri"/>
        </w:rPr>
        <w:t xml:space="preserve"> concentration</w:t>
      </w:r>
      <w:r w:rsidR="00E635A4" w:rsidRPr="001C0C4B">
        <w:rPr>
          <w:rFonts w:ascii="Calibri" w:hAnsi="Calibri" w:cs="Calibri"/>
        </w:rPr>
        <w:t xml:space="preserve"> in the baseline biochemistry sample</w:t>
      </w:r>
      <w:r w:rsidR="00346C6E" w:rsidRPr="001C0C4B">
        <w:rPr>
          <w:rFonts w:ascii="Calibri" w:hAnsi="Calibri" w:cs="Calibri"/>
        </w:rPr>
        <w:t xml:space="preserve">. This comparison enables </w:t>
      </w:r>
      <w:r w:rsidRPr="001C0C4B">
        <w:rPr>
          <w:rFonts w:ascii="Calibri" w:hAnsi="Calibri" w:cs="Calibri"/>
        </w:rPr>
        <w:t>determin</w:t>
      </w:r>
      <w:r w:rsidR="0080447C" w:rsidRPr="001C0C4B">
        <w:rPr>
          <w:rFonts w:ascii="Calibri" w:hAnsi="Calibri" w:cs="Calibri"/>
        </w:rPr>
        <w:t>ation of the extracellular fluid content in the eluate</w:t>
      </w:r>
      <w:r w:rsidR="00346C6E" w:rsidRPr="001C0C4B">
        <w:rPr>
          <w:rFonts w:ascii="Calibri" w:hAnsi="Calibri" w:cs="Calibri"/>
        </w:rPr>
        <w:t xml:space="preserve"> </w:t>
      </w:r>
      <w:r w:rsidRPr="001C0C4B">
        <w:rPr>
          <w:rFonts w:ascii="Calibri" w:hAnsi="Calibri" w:cs="Calibri"/>
        </w:rPr>
        <w:t>volume</w:t>
      </w:r>
      <w:r w:rsidR="00346C6E" w:rsidRPr="001C0C4B">
        <w:rPr>
          <w:rFonts w:ascii="Calibri" w:hAnsi="Calibri" w:cs="Calibri"/>
        </w:rPr>
        <w:t xml:space="preserve"> of the </w:t>
      </w:r>
      <w:r w:rsidR="0080447C" w:rsidRPr="001C0C4B">
        <w:rPr>
          <w:rFonts w:ascii="Calibri" w:hAnsi="Calibri" w:cs="Calibri"/>
        </w:rPr>
        <w:t xml:space="preserve">oropharyngeal </w:t>
      </w:r>
      <w:r w:rsidR="00346C6E" w:rsidRPr="001C0C4B">
        <w:rPr>
          <w:rFonts w:ascii="Calibri" w:hAnsi="Calibri" w:cs="Calibri"/>
        </w:rPr>
        <w:t xml:space="preserve">samples. The </w:t>
      </w:r>
      <w:r w:rsidR="0080447C" w:rsidRPr="001C0C4B">
        <w:rPr>
          <w:rFonts w:ascii="Calibri" w:hAnsi="Calibri" w:cs="Calibri"/>
        </w:rPr>
        <w:t>ure</w:t>
      </w:r>
      <w:r w:rsidR="003118DF" w:rsidRPr="001C0C4B">
        <w:rPr>
          <w:rFonts w:ascii="Calibri" w:hAnsi="Calibri" w:cs="Calibri"/>
        </w:rPr>
        <w:t>a</w:t>
      </w:r>
      <w:r w:rsidR="0080447C" w:rsidRPr="001C0C4B">
        <w:rPr>
          <w:rFonts w:ascii="Calibri" w:hAnsi="Calibri" w:cs="Calibri"/>
        </w:rPr>
        <w:t xml:space="preserve"> </w:t>
      </w:r>
      <w:r w:rsidR="00346C6E" w:rsidRPr="001C0C4B">
        <w:rPr>
          <w:rFonts w:ascii="Calibri" w:hAnsi="Calibri" w:cs="Calibri"/>
        </w:rPr>
        <w:t xml:space="preserve">concentration in throat fluid is the same as in </w:t>
      </w:r>
      <w:r w:rsidR="00EC6225" w:rsidRPr="001C0C4B">
        <w:rPr>
          <w:rFonts w:ascii="Calibri" w:hAnsi="Calibri" w:cs="Calibri"/>
        </w:rPr>
        <w:t>serum</w:t>
      </w:r>
      <w:r w:rsidR="00346C6E" w:rsidRPr="001C0C4B">
        <w:rPr>
          <w:rFonts w:ascii="Calibri" w:hAnsi="Calibri" w:cs="Calibri"/>
        </w:rPr>
        <w:t>, so that the dilution factor of the throat sample in the VTM fluid can be easily calculated</w:t>
      </w:r>
      <w:r w:rsidR="00E109D1" w:rsidRPr="001C0C4B">
        <w:rPr>
          <w:rFonts w:ascii="Calibri" w:hAnsi="Calibri" w:cs="Calibri"/>
        </w:rPr>
        <w:t xml:space="preserve"> </w:t>
      </w:r>
      <w:r w:rsidR="00F24207" w:rsidRPr="001C0C4B">
        <w:rPr>
          <w:rFonts w:ascii="Calibri" w:hAnsi="Calibri" w:cs="Calibri"/>
          <w:noProof/>
        </w:rPr>
        <w:t>(</w:t>
      </w:r>
      <w:r w:rsidR="0080447C" w:rsidRPr="001C0C4B">
        <w:rPr>
          <w:rFonts w:ascii="Calibri" w:hAnsi="Calibri" w:cs="Calibri"/>
          <w:noProof/>
        </w:rPr>
        <w:t>2</w:t>
      </w:r>
      <w:r w:rsidR="00407461" w:rsidRPr="001C0C4B">
        <w:rPr>
          <w:rFonts w:ascii="Calibri" w:hAnsi="Calibri" w:cs="Calibri"/>
          <w:noProof/>
        </w:rPr>
        <w:t>8</w:t>
      </w:r>
      <w:r w:rsidR="00F24207" w:rsidRPr="001C0C4B">
        <w:rPr>
          <w:rFonts w:ascii="Calibri" w:hAnsi="Calibri" w:cs="Calibri"/>
          <w:noProof/>
        </w:rPr>
        <w:t>)</w:t>
      </w:r>
      <w:r w:rsidR="00F24207" w:rsidRPr="001C0C4B">
        <w:rPr>
          <w:rFonts w:ascii="Calibri" w:hAnsi="Calibri" w:cs="Calibri"/>
        </w:rPr>
        <w:t xml:space="preserve">. </w:t>
      </w:r>
      <w:r w:rsidRPr="001C0C4B">
        <w:rPr>
          <w:rFonts w:ascii="Calibri" w:hAnsi="Calibri" w:cs="Calibri"/>
        </w:rPr>
        <w:t>Blood will also be taken for quantitative virology</w:t>
      </w:r>
      <w:r w:rsidR="00AA524D" w:rsidRPr="001C0C4B">
        <w:rPr>
          <w:rFonts w:ascii="Calibri" w:hAnsi="Calibri" w:cs="Calibri"/>
        </w:rPr>
        <w:t xml:space="preserve"> and other baseline </w:t>
      </w:r>
      <w:r w:rsidR="00A31BC8" w:rsidRPr="001C0C4B">
        <w:rPr>
          <w:rFonts w:ascii="Calibri" w:hAnsi="Calibri" w:cs="Calibri"/>
        </w:rPr>
        <w:t xml:space="preserve">assessments (see </w:t>
      </w:r>
      <w:r w:rsidR="00966588" w:rsidRPr="001C0C4B">
        <w:rPr>
          <w:rFonts w:ascii="Calibri" w:hAnsi="Calibri" w:cs="Calibri"/>
        </w:rPr>
        <w:t xml:space="preserve">Section </w:t>
      </w:r>
      <w:r w:rsidR="005E4E21" w:rsidRPr="001C0C4B">
        <w:rPr>
          <w:rFonts w:ascii="Calibri" w:hAnsi="Calibri" w:cs="Calibri"/>
        </w:rPr>
        <w:t>7</w:t>
      </w:r>
      <w:r w:rsidR="00966588" w:rsidRPr="001C0C4B">
        <w:rPr>
          <w:rFonts w:ascii="Calibri" w:hAnsi="Calibri" w:cs="Calibri"/>
        </w:rPr>
        <w:t>.5</w:t>
      </w:r>
      <w:r w:rsidR="00A31BC8" w:rsidRPr="001C0C4B">
        <w:rPr>
          <w:rFonts w:ascii="Calibri" w:hAnsi="Calibri" w:cs="Calibri"/>
        </w:rPr>
        <w:t>)</w:t>
      </w:r>
      <w:r w:rsidRPr="001C0C4B">
        <w:rPr>
          <w:rFonts w:ascii="Calibri" w:hAnsi="Calibri" w:cs="Calibri"/>
        </w:rPr>
        <w:t>.</w:t>
      </w:r>
      <w:r w:rsidR="00AA524D" w:rsidRPr="001C0C4B">
        <w:rPr>
          <w:rFonts w:ascii="Calibri" w:hAnsi="Calibri" w:cs="Calibri"/>
        </w:rPr>
        <w:t xml:space="preserve"> </w:t>
      </w:r>
      <w:r w:rsidR="00110F34" w:rsidRPr="001C0C4B">
        <w:rPr>
          <w:rFonts w:ascii="Calibri" w:hAnsi="Calibri" w:cs="Calibri"/>
        </w:rPr>
        <w:t xml:space="preserve">All samples </w:t>
      </w:r>
      <w:r w:rsidR="00CB217F" w:rsidRPr="001C0C4B">
        <w:rPr>
          <w:rFonts w:ascii="Calibri" w:hAnsi="Calibri" w:cs="Calibri"/>
        </w:rPr>
        <w:t xml:space="preserve">positive for SARS-CoV-2 on qPCR </w:t>
      </w:r>
      <w:r w:rsidR="00110F34" w:rsidRPr="001C0C4B">
        <w:rPr>
          <w:rFonts w:ascii="Calibri" w:hAnsi="Calibri" w:cs="Calibri"/>
        </w:rPr>
        <w:t xml:space="preserve">will </w:t>
      </w:r>
      <w:r w:rsidR="00346C6E" w:rsidRPr="001C0C4B">
        <w:rPr>
          <w:rFonts w:ascii="Calibri" w:hAnsi="Calibri" w:cs="Calibri"/>
        </w:rPr>
        <w:t xml:space="preserve">be sequenced </w:t>
      </w:r>
      <w:r w:rsidR="00AC6BB3" w:rsidRPr="001C0C4B">
        <w:rPr>
          <w:rFonts w:ascii="Calibri" w:hAnsi="Calibri" w:cs="Calibri"/>
        </w:rPr>
        <w:t>using Next Generation Sequencing (NGS)</w:t>
      </w:r>
      <w:r w:rsidR="00BC63F1" w:rsidRPr="001C0C4B">
        <w:rPr>
          <w:rFonts w:ascii="Calibri" w:hAnsi="Calibri" w:cs="Calibri"/>
        </w:rPr>
        <w:t>, or canonical variant mutation analysis will be used</w:t>
      </w:r>
      <w:r w:rsidR="00AC6BB3" w:rsidRPr="001C0C4B">
        <w:rPr>
          <w:rFonts w:ascii="Calibri" w:hAnsi="Calibri" w:cs="Calibri"/>
        </w:rPr>
        <w:t xml:space="preserve"> </w:t>
      </w:r>
      <w:r w:rsidR="00EB6681" w:rsidRPr="001C0C4B">
        <w:rPr>
          <w:rFonts w:ascii="Calibri" w:hAnsi="Calibri" w:cs="Calibri"/>
        </w:rPr>
        <w:t>to determine</w:t>
      </w:r>
      <w:r w:rsidR="00AA0C88" w:rsidRPr="001C0C4B">
        <w:rPr>
          <w:rFonts w:ascii="Calibri" w:hAnsi="Calibri" w:cs="Calibri"/>
        </w:rPr>
        <w:t xml:space="preserve"> the virus genotype, in </w:t>
      </w:r>
      <w:r w:rsidR="002541AB" w:rsidRPr="001C0C4B">
        <w:rPr>
          <w:rFonts w:ascii="Calibri" w:hAnsi="Calibri" w:cs="Calibri"/>
        </w:rPr>
        <w:t>order to determine the effect of viral genetic</w:t>
      </w:r>
      <w:r w:rsidR="00A106C0" w:rsidRPr="001C0C4B">
        <w:rPr>
          <w:rFonts w:ascii="Calibri" w:hAnsi="Calibri" w:cs="Calibri"/>
        </w:rPr>
        <w:t xml:space="preserve">s </w:t>
      </w:r>
      <w:r w:rsidR="002541AB" w:rsidRPr="001C0C4B">
        <w:rPr>
          <w:rFonts w:ascii="Calibri" w:hAnsi="Calibri" w:cs="Calibri"/>
        </w:rPr>
        <w:t xml:space="preserve">on </w:t>
      </w:r>
      <w:r w:rsidR="00077833" w:rsidRPr="001C0C4B">
        <w:rPr>
          <w:rFonts w:ascii="Calibri" w:hAnsi="Calibri" w:cs="Calibri"/>
        </w:rPr>
        <w:t>viral load and response to treatment.</w:t>
      </w:r>
      <w:r w:rsidR="00AA0C88" w:rsidRPr="001C0C4B">
        <w:rPr>
          <w:rFonts w:ascii="Calibri" w:hAnsi="Calibri" w:cs="Calibri"/>
        </w:rPr>
        <w:t xml:space="preserve"> </w:t>
      </w:r>
    </w:p>
    <w:p w14:paraId="7511F268" w14:textId="0BBEE2C9" w:rsidR="005858D4" w:rsidRPr="001C0C4B" w:rsidRDefault="005858D4" w:rsidP="00E142CD">
      <w:pPr>
        <w:pStyle w:val="Heading2"/>
        <w:numPr>
          <w:ilvl w:val="1"/>
          <w:numId w:val="23"/>
        </w:numPr>
        <w:rPr>
          <w:rFonts w:ascii="Calibri" w:hAnsi="Calibri" w:cs="Calibri"/>
          <w:color w:val="auto"/>
          <w:sz w:val="22"/>
          <w:szCs w:val="22"/>
        </w:rPr>
      </w:pPr>
      <w:bookmarkStart w:id="128" w:name="_Toc96007285"/>
      <w:bookmarkStart w:id="129" w:name="_Toc95915238"/>
      <w:bookmarkStart w:id="130" w:name="_Toc74661283"/>
      <w:bookmarkStart w:id="131" w:name="_Toc110523977"/>
      <w:bookmarkStart w:id="132" w:name="_Toc96005588"/>
      <w:bookmarkStart w:id="133" w:name="_Toc112917626"/>
      <w:r w:rsidRPr="001C0C4B">
        <w:rPr>
          <w:rFonts w:ascii="Calibri" w:hAnsi="Calibri" w:cs="Calibri"/>
          <w:color w:val="auto"/>
          <w:sz w:val="22"/>
          <w:szCs w:val="22"/>
        </w:rPr>
        <w:t>Recruitment</w:t>
      </w:r>
      <w:bookmarkEnd w:id="128"/>
      <w:bookmarkEnd w:id="129"/>
      <w:bookmarkEnd w:id="130"/>
      <w:bookmarkEnd w:id="131"/>
      <w:bookmarkEnd w:id="132"/>
      <w:bookmarkEnd w:id="133"/>
      <w:r w:rsidR="006A7853" w:rsidRPr="001C0C4B">
        <w:rPr>
          <w:rFonts w:ascii="Calibri" w:hAnsi="Calibri" w:cs="Calibri"/>
          <w:color w:val="auto"/>
          <w:sz w:val="22"/>
          <w:szCs w:val="22"/>
        </w:rPr>
        <w:t xml:space="preserve"> </w:t>
      </w:r>
    </w:p>
    <w:p w14:paraId="7FBC0481" w14:textId="43D467D3" w:rsidR="00AD4BB6" w:rsidRPr="001C0C4B" w:rsidRDefault="005858D4" w:rsidP="4A702A91">
      <w:pPr>
        <w:jc w:val="both"/>
        <w:rPr>
          <w:rFonts w:ascii="Calibri" w:eastAsiaTheme="minorEastAsia" w:hAnsi="Calibri" w:cs="Calibri"/>
        </w:rPr>
      </w:pPr>
      <w:r w:rsidRPr="001C0C4B">
        <w:rPr>
          <w:rFonts w:ascii="Calibri" w:hAnsi="Calibri" w:cs="Calibri"/>
        </w:rPr>
        <w:t>P</w:t>
      </w:r>
      <w:r w:rsidR="00071C44" w:rsidRPr="001C0C4B">
        <w:rPr>
          <w:rFonts w:ascii="Calibri" w:hAnsi="Calibri" w:cs="Calibri"/>
        </w:rPr>
        <w:t xml:space="preserve">otential </w:t>
      </w:r>
      <w:r w:rsidR="00356DAE" w:rsidRPr="001C0C4B">
        <w:rPr>
          <w:rFonts w:ascii="Calibri" w:hAnsi="Calibri" w:cs="Calibri"/>
        </w:rPr>
        <w:t xml:space="preserve">patients </w:t>
      </w:r>
      <w:r w:rsidR="00071C44" w:rsidRPr="001C0C4B">
        <w:rPr>
          <w:rFonts w:ascii="Calibri" w:hAnsi="Calibri" w:cs="Calibri"/>
        </w:rPr>
        <w:t>with a positive SARS-CoV-2 test obtained during routine screening</w:t>
      </w:r>
      <w:r w:rsidR="00D263AA" w:rsidRPr="001C0C4B">
        <w:rPr>
          <w:rFonts w:ascii="Calibri" w:hAnsi="Calibri" w:cs="Calibri"/>
        </w:rPr>
        <w:t>,</w:t>
      </w:r>
      <w:r w:rsidR="00071C44" w:rsidRPr="001C0C4B">
        <w:rPr>
          <w:rFonts w:ascii="Calibri" w:hAnsi="Calibri" w:cs="Calibri"/>
        </w:rPr>
        <w:t xml:space="preserve"> </w:t>
      </w:r>
      <w:r w:rsidR="00356DAE" w:rsidRPr="001C0C4B">
        <w:rPr>
          <w:rFonts w:ascii="Calibri" w:hAnsi="Calibri" w:cs="Calibri"/>
        </w:rPr>
        <w:t xml:space="preserve">or those with symptoms </w:t>
      </w:r>
      <w:r w:rsidR="009B5B23" w:rsidRPr="001C0C4B">
        <w:rPr>
          <w:rFonts w:ascii="Calibri" w:hAnsi="Calibri" w:cs="Calibri"/>
        </w:rPr>
        <w:t>in keeping with COVID-19</w:t>
      </w:r>
      <w:r w:rsidR="009402B3" w:rsidRPr="001C0C4B">
        <w:rPr>
          <w:rFonts w:ascii="Calibri" w:hAnsi="Calibri" w:cs="Calibri"/>
        </w:rPr>
        <w:t>,</w:t>
      </w:r>
      <w:r w:rsidR="009B5B23" w:rsidRPr="001C0C4B">
        <w:rPr>
          <w:rFonts w:ascii="Calibri" w:hAnsi="Calibri" w:cs="Calibri"/>
        </w:rPr>
        <w:t xml:space="preserve"> even if they do no</w:t>
      </w:r>
      <w:r w:rsidR="00C605F2" w:rsidRPr="001C0C4B">
        <w:rPr>
          <w:rFonts w:ascii="Calibri" w:hAnsi="Calibri" w:cs="Calibri"/>
        </w:rPr>
        <w:t>t have the results of their SARS-CoV-2 test, or have not been tested yet</w:t>
      </w:r>
      <w:r w:rsidR="009B5B23" w:rsidRPr="001C0C4B">
        <w:rPr>
          <w:rFonts w:ascii="Calibri" w:hAnsi="Calibri" w:cs="Calibri"/>
        </w:rPr>
        <w:t xml:space="preserve">, </w:t>
      </w:r>
      <w:r w:rsidR="00C605F2" w:rsidRPr="001C0C4B">
        <w:rPr>
          <w:rFonts w:ascii="Calibri" w:hAnsi="Calibri" w:cs="Calibri"/>
        </w:rPr>
        <w:t>may</w:t>
      </w:r>
      <w:r w:rsidRPr="001C0C4B">
        <w:rPr>
          <w:rFonts w:ascii="Calibri" w:hAnsi="Calibri" w:cs="Calibri"/>
        </w:rPr>
        <w:t xml:space="preserve"> be</w:t>
      </w:r>
      <w:r w:rsidR="006A7853" w:rsidRPr="001C0C4B">
        <w:rPr>
          <w:rFonts w:ascii="Calibri" w:hAnsi="Calibri" w:cs="Calibri"/>
        </w:rPr>
        <w:t xml:space="preserve"> </w:t>
      </w:r>
      <w:r w:rsidRPr="001C0C4B">
        <w:rPr>
          <w:rFonts w:ascii="Calibri" w:hAnsi="Calibri" w:cs="Calibri"/>
        </w:rPr>
        <w:t>contacted by the research group</w:t>
      </w:r>
      <w:r w:rsidR="00CD2783" w:rsidRPr="001C0C4B">
        <w:rPr>
          <w:rFonts w:ascii="Calibri" w:hAnsi="Calibri" w:cs="Calibri"/>
        </w:rPr>
        <w:t>. Alternatively they may</w:t>
      </w:r>
      <w:r w:rsidR="00393DA8" w:rsidRPr="001C0C4B">
        <w:rPr>
          <w:rFonts w:ascii="Calibri" w:hAnsi="Calibri" w:cs="Calibri"/>
        </w:rPr>
        <w:t xml:space="preserve"> contact the research group</w:t>
      </w:r>
      <w:r w:rsidRPr="001C0C4B">
        <w:rPr>
          <w:rFonts w:ascii="Calibri" w:hAnsi="Calibri" w:cs="Calibri"/>
        </w:rPr>
        <w:t xml:space="preserve"> </w:t>
      </w:r>
      <w:r w:rsidR="00E96D0C" w:rsidRPr="001C0C4B">
        <w:rPr>
          <w:rFonts w:ascii="Calibri" w:hAnsi="Calibri" w:cs="Calibri"/>
        </w:rPr>
        <w:t>for participation in the study</w:t>
      </w:r>
      <w:r w:rsidR="00CD2783" w:rsidRPr="001C0C4B">
        <w:rPr>
          <w:rFonts w:ascii="Calibri" w:hAnsi="Calibri" w:cs="Calibri"/>
        </w:rPr>
        <w:t xml:space="preserve">. Each will </w:t>
      </w:r>
      <w:r w:rsidR="00E96D0C" w:rsidRPr="001C0C4B">
        <w:rPr>
          <w:rFonts w:ascii="Calibri" w:hAnsi="Calibri" w:cs="Calibri"/>
        </w:rPr>
        <w:t xml:space="preserve">be provided with a written </w:t>
      </w:r>
      <w:r w:rsidR="000B2A6B" w:rsidRPr="001C0C4B">
        <w:rPr>
          <w:rFonts w:ascii="Calibri" w:hAnsi="Calibri" w:cs="Calibri"/>
        </w:rPr>
        <w:t xml:space="preserve">patient </w:t>
      </w:r>
      <w:r w:rsidR="00E96D0C" w:rsidRPr="001C0C4B">
        <w:rPr>
          <w:rFonts w:ascii="Calibri" w:hAnsi="Calibri" w:cs="Calibri"/>
        </w:rPr>
        <w:t xml:space="preserve">information sheet. </w:t>
      </w:r>
      <w:r w:rsidRPr="001C0C4B">
        <w:rPr>
          <w:rFonts w:ascii="Calibri" w:hAnsi="Calibri" w:cs="Calibri"/>
        </w:rPr>
        <w:t>  </w:t>
      </w:r>
    </w:p>
    <w:p w14:paraId="69A4ED30" w14:textId="006BA172" w:rsidR="005858D4" w:rsidRPr="001C0C4B" w:rsidRDefault="005858D4" w:rsidP="00E142CD">
      <w:pPr>
        <w:pStyle w:val="Heading2"/>
        <w:numPr>
          <w:ilvl w:val="1"/>
          <w:numId w:val="23"/>
        </w:numPr>
        <w:rPr>
          <w:rFonts w:ascii="Calibri" w:hAnsi="Calibri" w:cs="Calibri"/>
          <w:color w:val="auto"/>
          <w:sz w:val="22"/>
          <w:szCs w:val="22"/>
        </w:rPr>
      </w:pPr>
      <w:bookmarkStart w:id="134" w:name="_Toc96007286"/>
      <w:bookmarkStart w:id="135" w:name="_Toc95915239"/>
      <w:bookmarkStart w:id="136" w:name="_Toc74661284"/>
      <w:bookmarkStart w:id="137" w:name="_Toc110523978"/>
      <w:bookmarkStart w:id="138" w:name="_Toc96005589"/>
      <w:bookmarkStart w:id="139" w:name="_Toc112917627"/>
      <w:r w:rsidRPr="001C0C4B">
        <w:rPr>
          <w:rFonts w:ascii="Calibri" w:hAnsi="Calibri" w:cs="Calibri"/>
          <w:color w:val="auto"/>
          <w:sz w:val="22"/>
          <w:szCs w:val="22"/>
        </w:rPr>
        <w:t>Screening and Eligibility Assessment</w:t>
      </w:r>
      <w:bookmarkEnd w:id="134"/>
      <w:bookmarkEnd w:id="135"/>
      <w:bookmarkEnd w:id="136"/>
      <w:bookmarkEnd w:id="137"/>
      <w:bookmarkEnd w:id="138"/>
      <w:bookmarkEnd w:id="139"/>
    </w:p>
    <w:p w14:paraId="06BB1BB5" w14:textId="1676A455" w:rsidR="00C92BCE" w:rsidRPr="001C0C4B" w:rsidRDefault="005858D4" w:rsidP="000B5065">
      <w:pPr>
        <w:jc w:val="both"/>
        <w:rPr>
          <w:rFonts w:ascii="Calibri" w:eastAsiaTheme="minorEastAsia" w:hAnsi="Calibri" w:cs="Calibri"/>
        </w:rPr>
      </w:pPr>
      <w:r w:rsidRPr="001C0C4B">
        <w:rPr>
          <w:rFonts w:ascii="Calibri" w:hAnsi="Calibri" w:cs="Calibri"/>
        </w:rPr>
        <w:t xml:space="preserve">Eligibility assessment will occur at the point of screening. If, based on the inclusion and exclusion criteria, the </w:t>
      </w:r>
      <w:r w:rsidR="000B2A6B" w:rsidRPr="001C0C4B">
        <w:rPr>
          <w:rFonts w:ascii="Calibri" w:hAnsi="Calibri" w:cs="Calibri"/>
        </w:rPr>
        <w:t xml:space="preserve">patient </w:t>
      </w:r>
      <w:r w:rsidRPr="001C0C4B">
        <w:rPr>
          <w:rFonts w:ascii="Calibri" w:hAnsi="Calibri" w:cs="Calibri"/>
        </w:rPr>
        <w:t>is eligible</w:t>
      </w:r>
      <w:r w:rsidR="00F50A1C" w:rsidRPr="001C0C4B">
        <w:rPr>
          <w:rFonts w:ascii="Calibri" w:hAnsi="Calibri" w:cs="Calibri"/>
        </w:rPr>
        <w:t xml:space="preserve"> and willing to complete the full study</w:t>
      </w:r>
      <w:r w:rsidRPr="001C0C4B">
        <w:rPr>
          <w:rFonts w:ascii="Calibri" w:hAnsi="Calibri" w:cs="Calibri"/>
        </w:rPr>
        <w:t>, they will be</w:t>
      </w:r>
      <w:r w:rsidR="006A7853" w:rsidRPr="001C0C4B">
        <w:rPr>
          <w:rFonts w:ascii="Calibri" w:hAnsi="Calibri" w:cs="Calibri"/>
        </w:rPr>
        <w:t xml:space="preserve"> </w:t>
      </w:r>
      <w:r w:rsidR="61E71023" w:rsidRPr="001C0C4B">
        <w:rPr>
          <w:rFonts w:ascii="Calibri" w:hAnsi="Calibri" w:cs="Calibri"/>
        </w:rPr>
        <w:t>included</w:t>
      </w:r>
      <w:r w:rsidR="00E96D0C" w:rsidRPr="001C0C4B">
        <w:rPr>
          <w:rFonts w:ascii="Calibri" w:hAnsi="Calibri" w:cs="Calibri"/>
        </w:rPr>
        <w:t xml:space="preserve"> provided informed consent is obtained</w:t>
      </w:r>
      <w:r w:rsidRPr="001C0C4B">
        <w:rPr>
          <w:rFonts w:ascii="Calibri" w:hAnsi="Calibri" w:cs="Calibri"/>
        </w:rPr>
        <w:t>.</w:t>
      </w:r>
    </w:p>
    <w:p w14:paraId="772FFEA8" w14:textId="2CC4B1D4" w:rsidR="005858D4" w:rsidRPr="001C0C4B" w:rsidRDefault="005858D4" w:rsidP="00E142CD">
      <w:pPr>
        <w:pStyle w:val="Heading2"/>
        <w:numPr>
          <w:ilvl w:val="1"/>
          <w:numId w:val="23"/>
        </w:numPr>
        <w:rPr>
          <w:rFonts w:ascii="Calibri" w:hAnsi="Calibri" w:cs="Calibri"/>
          <w:color w:val="auto"/>
          <w:sz w:val="22"/>
          <w:szCs w:val="22"/>
        </w:rPr>
      </w:pPr>
      <w:bookmarkStart w:id="140" w:name="_Toc96007287"/>
      <w:bookmarkStart w:id="141" w:name="_Toc95915240"/>
      <w:bookmarkStart w:id="142" w:name="_Toc74661285"/>
      <w:bookmarkStart w:id="143" w:name="_Toc110523979"/>
      <w:bookmarkStart w:id="144" w:name="_Toc96005590"/>
      <w:bookmarkStart w:id="145" w:name="_Toc112917628"/>
      <w:r w:rsidRPr="001C0C4B">
        <w:rPr>
          <w:rFonts w:ascii="Calibri" w:hAnsi="Calibri" w:cs="Calibri"/>
          <w:color w:val="auto"/>
          <w:sz w:val="22"/>
          <w:szCs w:val="22"/>
        </w:rPr>
        <w:t>Informed Consent</w:t>
      </w:r>
      <w:bookmarkEnd w:id="140"/>
      <w:bookmarkEnd w:id="141"/>
      <w:bookmarkEnd w:id="142"/>
      <w:bookmarkEnd w:id="143"/>
      <w:bookmarkEnd w:id="144"/>
      <w:bookmarkEnd w:id="145"/>
    </w:p>
    <w:p w14:paraId="67E2800C" w14:textId="656BF710" w:rsidR="00E31259" w:rsidRPr="001C0C4B" w:rsidRDefault="005858D4" w:rsidP="000B5065">
      <w:pPr>
        <w:jc w:val="both"/>
        <w:rPr>
          <w:rStyle w:val="eop"/>
          <w:rFonts w:ascii="Calibri" w:eastAsiaTheme="minorEastAsia" w:hAnsi="Calibri" w:cs="Calibri"/>
        </w:rPr>
      </w:pPr>
      <w:r w:rsidRPr="001C0C4B">
        <w:rPr>
          <w:rFonts w:ascii="Calibri" w:hAnsi="Calibri" w:cs="Calibri"/>
        </w:rPr>
        <w:t xml:space="preserve">Written and verbal versions of the </w:t>
      </w:r>
      <w:r w:rsidR="000B2A6B" w:rsidRPr="001C0C4B">
        <w:rPr>
          <w:rFonts w:ascii="Calibri" w:hAnsi="Calibri" w:cs="Calibri"/>
        </w:rPr>
        <w:t xml:space="preserve">Patient </w:t>
      </w:r>
      <w:r w:rsidRPr="001C0C4B">
        <w:rPr>
          <w:rFonts w:ascii="Calibri" w:hAnsi="Calibri" w:cs="Calibri"/>
        </w:rPr>
        <w:t xml:space="preserve">Information and Informed Consent will be presented to the </w:t>
      </w:r>
      <w:r w:rsidR="000B2A6B" w:rsidRPr="001C0C4B">
        <w:rPr>
          <w:rFonts w:ascii="Calibri" w:hAnsi="Calibri" w:cs="Calibri"/>
        </w:rPr>
        <w:t xml:space="preserve">patients </w:t>
      </w:r>
      <w:r w:rsidRPr="001C0C4B">
        <w:rPr>
          <w:rFonts w:ascii="Calibri" w:hAnsi="Calibri" w:cs="Calibri"/>
        </w:rPr>
        <w:t xml:space="preserve">detailing the exact nature of the study; what it will involve for the </w:t>
      </w:r>
      <w:r w:rsidR="000B2A6B" w:rsidRPr="001C0C4B">
        <w:rPr>
          <w:rFonts w:ascii="Calibri" w:hAnsi="Calibri" w:cs="Calibri"/>
        </w:rPr>
        <w:t>patient</w:t>
      </w:r>
      <w:r w:rsidRPr="001C0C4B">
        <w:rPr>
          <w:rFonts w:ascii="Calibri" w:hAnsi="Calibri" w:cs="Calibri"/>
        </w:rPr>
        <w:t xml:space="preserve">; the implications and constraints of the protocol; </w:t>
      </w:r>
      <w:r w:rsidR="008E4071" w:rsidRPr="001C0C4B">
        <w:rPr>
          <w:rFonts w:ascii="Calibri" w:hAnsi="Calibri" w:cs="Calibri"/>
        </w:rPr>
        <w:t xml:space="preserve">and </w:t>
      </w:r>
      <w:r w:rsidRPr="001C0C4B">
        <w:rPr>
          <w:rFonts w:ascii="Calibri" w:hAnsi="Calibri" w:cs="Calibri"/>
        </w:rPr>
        <w:t xml:space="preserve">the known side effects </w:t>
      </w:r>
      <w:r w:rsidR="00A53C79" w:rsidRPr="001C0C4B">
        <w:rPr>
          <w:rFonts w:ascii="Calibri" w:hAnsi="Calibri" w:cs="Calibri"/>
        </w:rPr>
        <w:t xml:space="preserve">of the medicines under evaluation </w:t>
      </w:r>
      <w:r w:rsidRPr="001C0C4B">
        <w:rPr>
          <w:rFonts w:ascii="Calibri" w:hAnsi="Calibri" w:cs="Calibri"/>
        </w:rPr>
        <w:t xml:space="preserve">and any risks involved in taking part. It will be stated </w:t>
      </w:r>
      <w:r w:rsidR="00D9214F" w:rsidRPr="001C0C4B">
        <w:rPr>
          <w:rFonts w:ascii="Calibri" w:hAnsi="Calibri" w:cs="Calibri"/>
        </w:rPr>
        <w:t xml:space="preserve">clearly </w:t>
      </w:r>
      <w:r w:rsidRPr="001C0C4B">
        <w:rPr>
          <w:rFonts w:ascii="Calibri" w:hAnsi="Calibri" w:cs="Calibri"/>
        </w:rPr>
        <w:t xml:space="preserve">that the </w:t>
      </w:r>
      <w:r w:rsidR="000C621F" w:rsidRPr="001C0C4B">
        <w:rPr>
          <w:rFonts w:ascii="Calibri" w:hAnsi="Calibri" w:cs="Calibri"/>
        </w:rPr>
        <w:t>patient</w:t>
      </w:r>
      <w:r w:rsidRPr="001C0C4B">
        <w:rPr>
          <w:rFonts w:ascii="Calibri" w:hAnsi="Calibri" w:cs="Calibri"/>
        </w:rPr>
        <w:t xml:space="preserve"> is</w:t>
      </w:r>
      <w:r w:rsidR="006F4141" w:rsidRPr="001C0C4B">
        <w:rPr>
          <w:rFonts w:ascii="Calibri" w:hAnsi="Calibri" w:cs="Calibri"/>
        </w:rPr>
        <w:t xml:space="preserve"> </w:t>
      </w:r>
      <w:r w:rsidRPr="001C0C4B">
        <w:rPr>
          <w:rFonts w:ascii="Calibri" w:hAnsi="Calibri" w:cs="Calibri"/>
        </w:rPr>
        <w:t>free to withdraw from the study</w:t>
      </w:r>
      <w:r w:rsidR="006F4141" w:rsidRPr="001C0C4B">
        <w:rPr>
          <w:rFonts w:ascii="Calibri" w:hAnsi="Calibri" w:cs="Calibri"/>
        </w:rPr>
        <w:t xml:space="preserve"> </w:t>
      </w:r>
      <w:r w:rsidRPr="001C0C4B">
        <w:rPr>
          <w:rFonts w:ascii="Calibri" w:hAnsi="Calibri" w:cs="Calibri"/>
        </w:rPr>
        <w:t>at any time for any reason without prejudice to future care, and with no obligation to give the reason for withdrawal.</w:t>
      </w:r>
    </w:p>
    <w:p w14:paraId="71696E2A" w14:textId="24163F27" w:rsidR="00123485" w:rsidRPr="001C0C4B" w:rsidRDefault="005858D4" w:rsidP="00DB1C13">
      <w:pPr>
        <w:jc w:val="both"/>
        <w:rPr>
          <w:rStyle w:val="normaltextrun"/>
          <w:rFonts w:ascii="Calibri" w:hAnsi="Calibri" w:cs="Calibri"/>
        </w:rPr>
      </w:pPr>
      <w:r w:rsidRPr="001C0C4B">
        <w:rPr>
          <w:rFonts w:ascii="Calibri" w:hAnsi="Calibri" w:cs="Calibri"/>
        </w:rPr>
        <w:t xml:space="preserve">The </w:t>
      </w:r>
      <w:r w:rsidR="006176E2" w:rsidRPr="001C0C4B">
        <w:rPr>
          <w:rFonts w:ascii="Calibri" w:hAnsi="Calibri" w:cs="Calibri"/>
        </w:rPr>
        <w:t>patient</w:t>
      </w:r>
      <w:r w:rsidRPr="001C0C4B">
        <w:rPr>
          <w:rFonts w:ascii="Calibri" w:hAnsi="Calibri" w:cs="Calibri"/>
        </w:rPr>
        <w:t xml:space="preserve"> will be allowed as much time as </w:t>
      </w:r>
      <w:r w:rsidR="00B418AF" w:rsidRPr="001C0C4B">
        <w:rPr>
          <w:rFonts w:ascii="Calibri" w:hAnsi="Calibri" w:cs="Calibri"/>
        </w:rPr>
        <w:t xml:space="preserve">required </w:t>
      </w:r>
      <w:r w:rsidRPr="001C0C4B">
        <w:rPr>
          <w:rFonts w:ascii="Calibri" w:hAnsi="Calibri" w:cs="Calibri"/>
        </w:rPr>
        <w:t>to consider the information</w:t>
      </w:r>
      <w:r w:rsidR="00B418AF" w:rsidRPr="001C0C4B">
        <w:rPr>
          <w:rFonts w:ascii="Calibri" w:hAnsi="Calibri" w:cs="Calibri"/>
        </w:rPr>
        <w:t xml:space="preserve"> as long as they remain</w:t>
      </w:r>
      <w:r w:rsidR="00F716A2" w:rsidRPr="001C0C4B">
        <w:rPr>
          <w:rFonts w:ascii="Calibri" w:hAnsi="Calibri" w:cs="Calibri"/>
        </w:rPr>
        <w:t xml:space="preserve"> </w:t>
      </w:r>
      <w:r w:rsidR="003A2112" w:rsidRPr="001C0C4B">
        <w:rPr>
          <w:rFonts w:ascii="Calibri" w:hAnsi="Calibri" w:cs="Calibri"/>
        </w:rPr>
        <w:t xml:space="preserve">eligible and </w:t>
      </w:r>
      <w:r w:rsidR="00F716A2" w:rsidRPr="001C0C4B">
        <w:rPr>
          <w:rFonts w:ascii="Calibri" w:hAnsi="Calibri" w:cs="Calibri"/>
        </w:rPr>
        <w:t>within the time</w:t>
      </w:r>
      <w:r w:rsidR="00801A78" w:rsidRPr="001C0C4B">
        <w:rPr>
          <w:rFonts w:ascii="Calibri" w:hAnsi="Calibri" w:cs="Calibri"/>
        </w:rPr>
        <w:t>-</w:t>
      </w:r>
      <w:r w:rsidR="00F716A2" w:rsidRPr="001C0C4B">
        <w:rPr>
          <w:rFonts w:ascii="Calibri" w:hAnsi="Calibri" w:cs="Calibri"/>
        </w:rPr>
        <w:t>frame for recruitment into the study</w:t>
      </w:r>
      <w:r w:rsidRPr="001C0C4B">
        <w:rPr>
          <w:rFonts w:ascii="Calibri" w:hAnsi="Calibri" w:cs="Calibri"/>
        </w:rPr>
        <w:t>, and the opportunity to question the Investigator</w:t>
      </w:r>
      <w:r w:rsidR="00712CC2" w:rsidRPr="001C0C4B">
        <w:rPr>
          <w:rFonts w:ascii="Calibri" w:hAnsi="Calibri" w:cs="Calibri"/>
        </w:rPr>
        <w:t xml:space="preserve"> </w:t>
      </w:r>
      <w:r w:rsidRPr="001C0C4B">
        <w:rPr>
          <w:rFonts w:ascii="Calibri" w:hAnsi="Calibri" w:cs="Calibri"/>
        </w:rPr>
        <w:t xml:space="preserve">or other independent parties to decide whether they will participate. Written Informed Consent will then be </w:t>
      </w:r>
      <w:r w:rsidR="00D9214F" w:rsidRPr="001C0C4B">
        <w:rPr>
          <w:rFonts w:ascii="Calibri" w:hAnsi="Calibri" w:cs="Calibri"/>
        </w:rPr>
        <w:t xml:space="preserve">documented by </w:t>
      </w:r>
      <w:r w:rsidR="00BD78BF" w:rsidRPr="001C0C4B">
        <w:rPr>
          <w:rFonts w:ascii="Calibri" w:hAnsi="Calibri" w:cs="Calibri"/>
        </w:rPr>
        <w:t xml:space="preserve">a </w:t>
      </w:r>
      <w:r w:rsidR="006176E2" w:rsidRPr="001C0C4B">
        <w:rPr>
          <w:rFonts w:ascii="Calibri" w:hAnsi="Calibri" w:cs="Calibri"/>
        </w:rPr>
        <w:t>patient</w:t>
      </w:r>
      <w:r w:rsidRPr="001C0C4B">
        <w:rPr>
          <w:rFonts w:ascii="Calibri" w:hAnsi="Calibri" w:cs="Calibri"/>
        </w:rPr>
        <w:t xml:space="preserve"> dated signature and dated signature of the person who presented and obtained the Informed Consent. The person who obtained the consent must be suitably qualified and</w:t>
      </w:r>
      <w:r w:rsidR="00E31259" w:rsidRPr="001C0C4B">
        <w:rPr>
          <w:rFonts w:ascii="Calibri" w:hAnsi="Calibri" w:cs="Calibri"/>
        </w:rPr>
        <w:t xml:space="preserve"> </w:t>
      </w:r>
      <w:r w:rsidRPr="001C0C4B">
        <w:rPr>
          <w:rFonts w:ascii="Calibri" w:hAnsi="Calibri" w:cs="Calibri"/>
        </w:rPr>
        <w:t>experienced and</w:t>
      </w:r>
      <w:r w:rsidR="00E31259" w:rsidRPr="001C0C4B">
        <w:rPr>
          <w:rFonts w:ascii="Calibri" w:hAnsi="Calibri" w:cs="Calibri"/>
        </w:rPr>
        <w:t xml:space="preserve"> </w:t>
      </w:r>
      <w:r w:rsidRPr="001C0C4B">
        <w:rPr>
          <w:rFonts w:ascii="Calibri" w:hAnsi="Calibri" w:cs="Calibri"/>
        </w:rPr>
        <w:t>have been authorised to do so by the</w:t>
      </w:r>
      <w:r w:rsidR="0067727E" w:rsidRPr="001C0C4B">
        <w:rPr>
          <w:rFonts w:ascii="Calibri" w:hAnsi="Calibri" w:cs="Calibri"/>
        </w:rPr>
        <w:t xml:space="preserve"> </w:t>
      </w:r>
      <w:r w:rsidR="00B848A4" w:rsidRPr="001C0C4B">
        <w:rPr>
          <w:rFonts w:ascii="Calibri" w:hAnsi="Calibri" w:cs="Calibri"/>
        </w:rPr>
        <w:t xml:space="preserve">site </w:t>
      </w:r>
      <w:r w:rsidR="00D91E23" w:rsidRPr="001C0C4B">
        <w:rPr>
          <w:rFonts w:ascii="Calibri" w:hAnsi="Calibri" w:cs="Calibri"/>
        </w:rPr>
        <w:t>PI</w:t>
      </w:r>
      <w:r w:rsidRPr="001C0C4B">
        <w:rPr>
          <w:rFonts w:ascii="Calibri" w:hAnsi="Calibri" w:cs="Calibri"/>
        </w:rPr>
        <w:t xml:space="preserve">. A copy of the signed Informed Consent will be given to the </w:t>
      </w:r>
      <w:r w:rsidR="002A7FC4" w:rsidRPr="001C0C4B">
        <w:rPr>
          <w:rFonts w:ascii="Calibri" w:hAnsi="Calibri" w:cs="Calibri"/>
        </w:rPr>
        <w:t>patient</w:t>
      </w:r>
      <w:r w:rsidRPr="001C0C4B">
        <w:rPr>
          <w:rFonts w:ascii="Calibri" w:hAnsi="Calibri" w:cs="Calibri"/>
        </w:rPr>
        <w:t>. The original signed form will be retained at the</w:t>
      </w:r>
      <w:r w:rsidR="00E31259" w:rsidRPr="001C0C4B">
        <w:rPr>
          <w:rFonts w:ascii="Calibri" w:hAnsi="Calibri" w:cs="Calibri"/>
        </w:rPr>
        <w:t xml:space="preserve"> </w:t>
      </w:r>
      <w:r w:rsidRPr="001C0C4B">
        <w:rPr>
          <w:rFonts w:ascii="Calibri" w:hAnsi="Calibri" w:cs="Calibri"/>
        </w:rPr>
        <w:t>study</w:t>
      </w:r>
      <w:r w:rsidR="00E31259" w:rsidRPr="001C0C4B">
        <w:rPr>
          <w:rFonts w:ascii="Calibri" w:hAnsi="Calibri" w:cs="Calibri"/>
        </w:rPr>
        <w:t xml:space="preserve"> </w:t>
      </w:r>
      <w:r w:rsidRPr="001C0C4B">
        <w:rPr>
          <w:rFonts w:ascii="Calibri" w:hAnsi="Calibri" w:cs="Calibri"/>
        </w:rPr>
        <w:t>site.</w:t>
      </w:r>
    </w:p>
    <w:p w14:paraId="527EA30F" w14:textId="6E02403E" w:rsidR="005858D4" w:rsidRPr="001C0C4B" w:rsidRDefault="005858D4" w:rsidP="00E142CD">
      <w:pPr>
        <w:pStyle w:val="Heading2"/>
        <w:numPr>
          <w:ilvl w:val="1"/>
          <w:numId w:val="23"/>
        </w:numPr>
        <w:rPr>
          <w:rFonts w:ascii="Calibri" w:hAnsi="Calibri" w:cs="Calibri"/>
          <w:color w:val="auto"/>
          <w:sz w:val="22"/>
          <w:szCs w:val="22"/>
        </w:rPr>
      </w:pPr>
      <w:bookmarkStart w:id="146" w:name="_Toc96007288"/>
      <w:bookmarkStart w:id="147" w:name="_Toc95915241"/>
      <w:bookmarkStart w:id="148" w:name="_Toc74661286"/>
      <w:bookmarkStart w:id="149" w:name="_Toc110523980"/>
      <w:bookmarkStart w:id="150" w:name="_Toc96005591"/>
      <w:bookmarkStart w:id="151" w:name="_Toc112917629"/>
      <w:r w:rsidRPr="001C0C4B">
        <w:rPr>
          <w:rFonts w:ascii="Calibri" w:hAnsi="Calibri" w:cs="Calibri"/>
          <w:color w:val="auto"/>
          <w:sz w:val="22"/>
          <w:szCs w:val="22"/>
        </w:rPr>
        <w:t>Baseline Assessments</w:t>
      </w:r>
      <w:bookmarkEnd w:id="146"/>
      <w:bookmarkEnd w:id="147"/>
      <w:bookmarkEnd w:id="148"/>
      <w:bookmarkEnd w:id="149"/>
      <w:bookmarkEnd w:id="150"/>
      <w:bookmarkEnd w:id="151"/>
    </w:p>
    <w:p w14:paraId="3E57DDA0" w14:textId="4647069E" w:rsidR="00A53C79" w:rsidRPr="001C0C4B" w:rsidRDefault="00A53C79" w:rsidP="000B5065">
      <w:pPr>
        <w:jc w:val="both"/>
        <w:rPr>
          <w:rFonts w:ascii="Calibri" w:hAnsi="Calibri" w:cs="Calibri"/>
        </w:rPr>
      </w:pPr>
      <w:r w:rsidRPr="001C0C4B">
        <w:rPr>
          <w:rFonts w:ascii="Calibri" w:hAnsi="Calibri" w:cs="Calibri"/>
        </w:rPr>
        <w:t xml:space="preserve">A </w:t>
      </w:r>
      <w:r w:rsidR="3291867B" w:rsidRPr="001C0C4B">
        <w:rPr>
          <w:rFonts w:ascii="Calibri" w:hAnsi="Calibri" w:cs="Calibri"/>
        </w:rPr>
        <w:t xml:space="preserve">physical </w:t>
      </w:r>
      <w:r w:rsidR="4BF3BBCC" w:rsidRPr="001C0C4B">
        <w:rPr>
          <w:rFonts w:ascii="Calibri" w:hAnsi="Calibri" w:cs="Calibri"/>
        </w:rPr>
        <w:t>exam</w:t>
      </w:r>
      <w:r w:rsidR="00B2176B" w:rsidRPr="001C0C4B">
        <w:rPr>
          <w:rFonts w:ascii="Calibri" w:hAnsi="Calibri" w:cs="Calibri"/>
        </w:rPr>
        <w:t xml:space="preserve">, vital signs, symptom review and basic demographics </w:t>
      </w:r>
      <w:r w:rsidRPr="001C0C4B">
        <w:rPr>
          <w:rFonts w:ascii="Calibri" w:hAnsi="Calibri" w:cs="Calibri"/>
        </w:rPr>
        <w:t>will be recorded</w:t>
      </w:r>
      <w:r w:rsidR="00B2176B" w:rsidRPr="001C0C4B">
        <w:rPr>
          <w:rFonts w:ascii="Calibri" w:hAnsi="Calibri" w:cs="Calibri"/>
        </w:rPr>
        <w:t>. O</w:t>
      </w:r>
      <w:r w:rsidR="053A6EDE" w:rsidRPr="001C0C4B">
        <w:rPr>
          <w:rFonts w:ascii="Calibri" w:hAnsi="Calibri" w:cs="Calibri"/>
        </w:rPr>
        <w:t>ropharyngeal viral swab</w:t>
      </w:r>
      <w:r w:rsidR="00D9214F" w:rsidRPr="001C0C4B">
        <w:rPr>
          <w:rFonts w:ascii="Calibri" w:hAnsi="Calibri" w:cs="Calibri"/>
        </w:rPr>
        <w:t>s</w:t>
      </w:r>
      <w:r w:rsidR="053A6EDE" w:rsidRPr="001C0C4B">
        <w:rPr>
          <w:rFonts w:ascii="Calibri" w:hAnsi="Calibri" w:cs="Calibri"/>
        </w:rPr>
        <w:t xml:space="preserve"> </w:t>
      </w:r>
      <w:r w:rsidR="00077833" w:rsidRPr="001C0C4B">
        <w:rPr>
          <w:rFonts w:ascii="Calibri" w:hAnsi="Calibri" w:cs="Calibri"/>
        </w:rPr>
        <w:t xml:space="preserve">taken by the </w:t>
      </w:r>
      <w:r w:rsidR="00B33CA9" w:rsidRPr="001C0C4B">
        <w:rPr>
          <w:rFonts w:ascii="Calibri" w:hAnsi="Calibri" w:cs="Calibri"/>
        </w:rPr>
        <w:t>study personnel</w:t>
      </w:r>
      <w:r w:rsidR="00F35C4D" w:rsidRPr="001C0C4B">
        <w:rPr>
          <w:rFonts w:ascii="Calibri" w:hAnsi="Calibri" w:cs="Calibri"/>
        </w:rPr>
        <w:t xml:space="preserve"> in duplicate</w:t>
      </w:r>
      <w:r w:rsidR="00B2176B" w:rsidRPr="001C0C4B">
        <w:rPr>
          <w:rFonts w:ascii="Calibri" w:hAnsi="Calibri" w:cs="Calibri"/>
        </w:rPr>
        <w:t xml:space="preserve"> (swabs will be taken at two timepoints prior to study drug being administered)</w:t>
      </w:r>
      <w:r w:rsidR="00BE7BFB" w:rsidRPr="001C0C4B">
        <w:rPr>
          <w:rFonts w:ascii="Calibri" w:hAnsi="Calibri" w:cs="Calibri"/>
        </w:rPr>
        <w:t xml:space="preserve"> (and possibly a saliva sample see section 7.1)</w:t>
      </w:r>
      <w:r w:rsidR="3B7E3CDC" w:rsidRPr="001C0C4B">
        <w:rPr>
          <w:rFonts w:ascii="Calibri" w:hAnsi="Calibri" w:cs="Calibri"/>
        </w:rPr>
        <w:t xml:space="preserve">. </w:t>
      </w:r>
      <w:r w:rsidR="00080AE3" w:rsidRPr="001C0C4B">
        <w:rPr>
          <w:rFonts w:ascii="Calibri" w:hAnsi="Calibri" w:cs="Calibri"/>
        </w:rPr>
        <w:t>A to</w:t>
      </w:r>
      <w:r w:rsidR="00E75307" w:rsidRPr="001C0C4B">
        <w:rPr>
          <w:rFonts w:ascii="Calibri" w:hAnsi="Calibri" w:cs="Calibri"/>
        </w:rPr>
        <w:t>t</w:t>
      </w:r>
      <w:r w:rsidR="00080AE3" w:rsidRPr="001C0C4B">
        <w:rPr>
          <w:rFonts w:ascii="Calibri" w:hAnsi="Calibri" w:cs="Calibri"/>
        </w:rPr>
        <w:t xml:space="preserve">al of </w:t>
      </w:r>
      <w:r w:rsidR="00801A78" w:rsidRPr="001C0C4B">
        <w:rPr>
          <w:rFonts w:ascii="Calibri" w:hAnsi="Calibri" w:cs="Calibri"/>
        </w:rPr>
        <w:t>2</w:t>
      </w:r>
      <w:r w:rsidR="3291867B" w:rsidRPr="001C0C4B">
        <w:rPr>
          <w:rFonts w:ascii="Calibri" w:hAnsi="Calibri" w:cs="Calibri"/>
        </w:rPr>
        <w:t xml:space="preserve">0 ml of </w:t>
      </w:r>
      <w:r w:rsidR="00080AE3" w:rsidRPr="001C0C4B">
        <w:rPr>
          <w:rFonts w:ascii="Calibri" w:hAnsi="Calibri" w:cs="Calibri"/>
        </w:rPr>
        <w:t xml:space="preserve">venous </w:t>
      </w:r>
      <w:r w:rsidR="3291867B" w:rsidRPr="001C0C4B">
        <w:rPr>
          <w:rFonts w:ascii="Calibri" w:hAnsi="Calibri" w:cs="Calibri"/>
        </w:rPr>
        <w:t>blood</w:t>
      </w:r>
      <w:r w:rsidR="42B737C2" w:rsidRPr="001C0C4B">
        <w:rPr>
          <w:rFonts w:ascii="Calibri" w:hAnsi="Calibri" w:cs="Calibri"/>
        </w:rPr>
        <w:t xml:space="preserve"> </w:t>
      </w:r>
      <w:r w:rsidR="00866206" w:rsidRPr="001C0C4B">
        <w:rPr>
          <w:rFonts w:ascii="Calibri" w:hAnsi="Calibri" w:cs="Calibri"/>
        </w:rPr>
        <w:t xml:space="preserve">for study testing </w:t>
      </w:r>
      <w:r w:rsidR="42B737C2" w:rsidRPr="001C0C4B">
        <w:rPr>
          <w:rFonts w:ascii="Calibri" w:hAnsi="Calibri" w:cs="Calibri"/>
        </w:rPr>
        <w:t>will be taken</w:t>
      </w:r>
      <w:r w:rsidR="002237C0" w:rsidRPr="001C0C4B">
        <w:rPr>
          <w:rFonts w:ascii="Calibri" w:hAnsi="Calibri" w:cs="Calibri"/>
        </w:rPr>
        <w:t xml:space="preserve"> at this point</w:t>
      </w:r>
      <w:r w:rsidR="3291867B" w:rsidRPr="001C0C4B">
        <w:rPr>
          <w:rFonts w:ascii="Calibri" w:hAnsi="Calibri" w:cs="Calibri"/>
        </w:rPr>
        <w:t xml:space="preserve">. </w:t>
      </w:r>
      <w:r w:rsidR="00C71594" w:rsidRPr="001C0C4B">
        <w:rPr>
          <w:rFonts w:ascii="Calibri" w:hAnsi="Calibri" w:cs="Calibri"/>
        </w:rPr>
        <w:t xml:space="preserve">Administration of the therapeutic </w:t>
      </w:r>
      <w:r w:rsidR="002463B4" w:rsidRPr="001C0C4B">
        <w:rPr>
          <w:rFonts w:ascii="Calibri" w:hAnsi="Calibri" w:cs="Calibri"/>
        </w:rPr>
        <w:t xml:space="preserve">may </w:t>
      </w:r>
      <w:r w:rsidR="004150E6" w:rsidRPr="001C0C4B">
        <w:rPr>
          <w:rFonts w:ascii="Calibri" w:hAnsi="Calibri" w:cs="Calibri"/>
        </w:rPr>
        <w:t xml:space="preserve">be delayed until the results of the </w:t>
      </w:r>
      <w:r w:rsidR="004150E6" w:rsidRPr="001C0C4B">
        <w:rPr>
          <w:rFonts w:ascii="Calibri" w:hAnsi="Calibri" w:cs="Calibri"/>
        </w:rPr>
        <w:lastRenderedPageBreak/>
        <w:t>FBC and Biochemistry will be available (</w:t>
      </w:r>
      <w:r w:rsidR="002463B4" w:rsidRPr="001C0C4B">
        <w:rPr>
          <w:rFonts w:ascii="Calibri" w:hAnsi="Calibri" w:cs="Calibri"/>
        </w:rPr>
        <w:t xml:space="preserve">although these will </w:t>
      </w:r>
      <w:r w:rsidR="004150E6" w:rsidRPr="001C0C4B">
        <w:rPr>
          <w:rFonts w:ascii="Calibri" w:hAnsi="Calibri" w:cs="Calibri"/>
        </w:rPr>
        <w:t xml:space="preserve">ideally </w:t>
      </w:r>
      <w:r w:rsidR="002463B4" w:rsidRPr="001C0C4B">
        <w:rPr>
          <w:rFonts w:ascii="Calibri" w:hAnsi="Calibri" w:cs="Calibri"/>
        </w:rPr>
        <w:t xml:space="preserve">be available </w:t>
      </w:r>
      <w:r w:rsidR="004150E6" w:rsidRPr="001C0C4B">
        <w:rPr>
          <w:rFonts w:ascii="Calibri" w:hAnsi="Calibri" w:cs="Calibri"/>
        </w:rPr>
        <w:t>within 1 hour</w:t>
      </w:r>
      <w:r w:rsidR="00866206" w:rsidRPr="001C0C4B">
        <w:rPr>
          <w:rFonts w:ascii="Calibri" w:hAnsi="Calibri" w:cs="Calibri"/>
        </w:rPr>
        <w:t xml:space="preserve"> of sample collection</w:t>
      </w:r>
      <w:r w:rsidR="002463B4" w:rsidRPr="001C0C4B">
        <w:rPr>
          <w:rFonts w:ascii="Calibri" w:hAnsi="Calibri" w:cs="Calibri"/>
        </w:rPr>
        <w:t xml:space="preserve"> i.e. before </w:t>
      </w:r>
      <w:r w:rsidR="00EB6681" w:rsidRPr="001C0C4B">
        <w:rPr>
          <w:rFonts w:ascii="Calibri" w:hAnsi="Calibri" w:cs="Calibri"/>
        </w:rPr>
        <w:t>randomization</w:t>
      </w:r>
      <w:r w:rsidR="004150E6" w:rsidRPr="001C0C4B">
        <w:rPr>
          <w:rFonts w:ascii="Calibri" w:hAnsi="Calibri" w:cs="Calibri"/>
        </w:rPr>
        <w:t>)</w:t>
      </w:r>
      <w:r w:rsidR="00462E76" w:rsidRPr="001C0C4B">
        <w:rPr>
          <w:rFonts w:ascii="Calibri" w:hAnsi="Calibri" w:cs="Calibri"/>
        </w:rPr>
        <w:t xml:space="preserve">, to determine if </w:t>
      </w:r>
      <w:r w:rsidR="00AE794D" w:rsidRPr="001C0C4B">
        <w:rPr>
          <w:rFonts w:ascii="Calibri" w:hAnsi="Calibri" w:cs="Calibri"/>
        </w:rPr>
        <w:t>there</w:t>
      </w:r>
      <w:r w:rsidR="00CA7016" w:rsidRPr="001C0C4B">
        <w:rPr>
          <w:rFonts w:ascii="Calibri" w:hAnsi="Calibri" w:cs="Calibri"/>
        </w:rPr>
        <w:t xml:space="preserve"> is </w:t>
      </w:r>
      <w:r w:rsidR="00BD3214" w:rsidRPr="001C0C4B">
        <w:rPr>
          <w:rFonts w:ascii="Calibri" w:hAnsi="Calibri" w:cs="Calibri"/>
        </w:rPr>
        <w:t xml:space="preserve">any </w:t>
      </w:r>
      <w:r w:rsidR="00CA7016" w:rsidRPr="001C0C4B">
        <w:rPr>
          <w:rFonts w:ascii="Calibri" w:hAnsi="Calibri" w:cs="Calibri"/>
        </w:rPr>
        <w:t>contraindicat</w:t>
      </w:r>
      <w:r w:rsidR="00AE794D" w:rsidRPr="001C0C4B">
        <w:rPr>
          <w:rFonts w:ascii="Calibri" w:hAnsi="Calibri" w:cs="Calibri"/>
        </w:rPr>
        <w:t>ion</w:t>
      </w:r>
      <w:r w:rsidR="00CA7016" w:rsidRPr="001C0C4B">
        <w:rPr>
          <w:rFonts w:ascii="Calibri" w:hAnsi="Calibri" w:cs="Calibri"/>
        </w:rPr>
        <w:t>.</w:t>
      </w:r>
      <w:r w:rsidR="00BD3214" w:rsidRPr="001C0C4B">
        <w:rPr>
          <w:rFonts w:ascii="Calibri" w:hAnsi="Calibri" w:cs="Calibri"/>
        </w:rPr>
        <w:t xml:space="preserve"> </w:t>
      </w:r>
      <w:r w:rsidR="002463B4" w:rsidRPr="001C0C4B">
        <w:rPr>
          <w:rFonts w:ascii="Calibri" w:hAnsi="Calibri" w:cs="Calibri"/>
        </w:rPr>
        <w:t xml:space="preserve">If these bloods are not available in this timeframe, then the patient can be safely enrolled, </w:t>
      </w:r>
      <w:r w:rsidR="00EB6681" w:rsidRPr="001C0C4B">
        <w:rPr>
          <w:rFonts w:ascii="Calibri" w:hAnsi="Calibri" w:cs="Calibri"/>
        </w:rPr>
        <w:t>randomized,</w:t>
      </w:r>
      <w:r w:rsidR="002463B4" w:rsidRPr="001C0C4B">
        <w:rPr>
          <w:rFonts w:ascii="Calibri" w:hAnsi="Calibri" w:cs="Calibri"/>
        </w:rPr>
        <w:t xml:space="preserve"> and given their first dose, and can be excluded prior to their next dose if laboratory abnormalities</w:t>
      </w:r>
      <w:r w:rsidR="005B1188" w:rsidRPr="001C0C4B">
        <w:rPr>
          <w:rFonts w:ascii="Calibri" w:hAnsi="Calibri" w:cs="Calibri"/>
        </w:rPr>
        <w:t xml:space="preserve"> resulting in a contraindication</w:t>
      </w:r>
      <w:r w:rsidR="002463B4" w:rsidRPr="001C0C4B">
        <w:rPr>
          <w:rFonts w:ascii="Calibri" w:hAnsi="Calibri" w:cs="Calibri"/>
        </w:rPr>
        <w:t xml:space="preserve"> are present. </w:t>
      </w:r>
      <w:r w:rsidR="00BD3214" w:rsidRPr="001C0C4B">
        <w:rPr>
          <w:rFonts w:ascii="Calibri" w:hAnsi="Calibri" w:cs="Calibri"/>
        </w:rPr>
        <w:t>If an FBC and Biochemistry has been taken in the previous 24hrs, the results of these can be used to determine whether there is a contraindication.</w:t>
      </w:r>
    </w:p>
    <w:tbl>
      <w:tblPr>
        <w:tblW w:w="0" w:type="auto"/>
        <w:jc w:val="center"/>
        <w:tblLayout w:type="fixed"/>
        <w:tblLook w:val="06A0" w:firstRow="1" w:lastRow="0" w:firstColumn="1" w:lastColumn="0" w:noHBand="1" w:noVBand="1"/>
      </w:tblPr>
      <w:tblGrid>
        <w:gridCol w:w="5665"/>
      </w:tblGrid>
      <w:tr w:rsidR="00D23D22" w:rsidRPr="001C0C4B" w14:paraId="39C47FD9" w14:textId="77777777" w:rsidTr="00E1698F">
        <w:trPr>
          <w:jc w:val="center"/>
        </w:trPr>
        <w:tc>
          <w:tcPr>
            <w:tcW w:w="5665" w:type="dxa"/>
          </w:tcPr>
          <w:p w14:paraId="071222BC" w14:textId="4138B463" w:rsidR="34D61803" w:rsidRPr="001C0C4B" w:rsidRDefault="7CEDC212" w:rsidP="000B5065">
            <w:pPr>
              <w:jc w:val="both"/>
              <w:rPr>
                <w:rFonts w:ascii="Calibri" w:hAnsi="Calibri" w:cs="Calibri"/>
              </w:rPr>
            </w:pPr>
            <w:r w:rsidRPr="001C0C4B">
              <w:rPr>
                <w:rFonts w:ascii="Calibri" w:hAnsi="Calibri" w:cs="Calibri"/>
              </w:rPr>
              <w:t xml:space="preserve">Laboratory </w:t>
            </w:r>
            <w:r w:rsidR="00F23C6B" w:rsidRPr="001C0C4B">
              <w:rPr>
                <w:rFonts w:ascii="Calibri" w:hAnsi="Calibri" w:cs="Calibri"/>
              </w:rPr>
              <w:t xml:space="preserve">tests </w:t>
            </w:r>
            <w:r w:rsidRPr="001C0C4B">
              <w:rPr>
                <w:rFonts w:ascii="Calibri" w:hAnsi="Calibri" w:cs="Calibri"/>
              </w:rPr>
              <w:t>at baseline</w:t>
            </w:r>
          </w:p>
        </w:tc>
      </w:tr>
      <w:tr w:rsidR="00D23D22" w:rsidRPr="001C0C4B" w14:paraId="6310D962" w14:textId="77777777" w:rsidTr="00E1698F">
        <w:trPr>
          <w:jc w:val="center"/>
        </w:trPr>
        <w:tc>
          <w:tcPr>
            <w:tcW w:w="5665" w:type="dxa"/>
          </w:tcPr>
          <w:p w14:paraId="7B10667F" w14:textId="7DBC025D" w:rsidR="7A5337AD" w:rsidRPr="001C0C4B" w:rsidRDefault="47E717BD" w:rsidP="00F56D45">
            <w:pPr>
              <w:pStyle w:val="ListParagraph"/>
              <w:numPr>
                <w:ilvl w:val="0"/>
                <w:numId w:val="3"/>
              </w:numPr>
              <w:jc w:val="both"/>
              <w:rPr>
                <w:rFonts w:ascii="Calibri" w:hAnsi="Calibri" w:cs="Calibri"/>
              </w:rPr>
            </w:pPr>
            <w:r w:rsidRPr="001C0C4B">
              <w:rPr>
                <w:rFonts w:ascii="Calibri" w:hAnsi="Calibri" w:cs="Calibri"/>
              </w:rPr>
              <w:t xml:space="preserve">Blood </w:t>
            </w:r>
            <w:r w:rsidR="00080AE3" w:rsidRPr="001C0C4B">
              <w:rPr>
                <w:rFonts w:ascii="Calibri" w:hAnsi="Calibri" w:cs="Calibri"/>
              </w:rPr>
              <w:t xml:space="preserve">sample </w:t>
            </w:r>
            <w:r w:rsidRPr="001C0C4B">
              <w:rPr>
                <w:rFonts w:ascii="Calibri" w:hAnsi="Calibri" w:cs="Calibri"/>
              </w:rPr>
              <w:t xml:space="preserve">for </w:t>
            </w:r>
          </w:p>
          <w:p w14:paraId="641AEA6A" w14:textId="23E6C076" w:rsidR="7A5337AD" w:rsidRPr="001C0C4B" w:rsidRDefault="1ABFEAB0" w:rsidP="00F56D45">
            <w:pPr>
              <w:pStyle w:val="ListParagraph"/>
              <w:numPr>
                <w:ilvl w:val="1"/>
                <w:numId w:val="3"/>
              </w:numPr>
              <w:rPr>
                <w:rFonts w:ascii="Calibri" w:eastAsiaTheme="minorEastAsia" w:hAnsi="Calibri" w:cs="Calibri"/>
              </w:rPr>
            </w:pPr>
            <w:r w:rsidRPr="001C0C4B">
              <w:rPr>
                <w:rFonts w:ascii="Calibri" w:hAnsi="Calibri" w:cs="Calibri"/>
              </w:rPr>
              <w:t>Full blood count (F</w:t>
            </w:r>
            <w:r w:rsidR="25D85E9E" w:rsidRPr="001C0C4B">
              <w:rPr>
                <w:rFonts w:ascii="Calibri" w:hAnsi="Calibri" w:cs="Calibri"/>
              </w:rPr>
              <w:t>BC</w:t>
            </w:r>
            <w:r w:rsidRPr="001C0C4B">
              <w:rPr>
                <w:rFonts w:ascii="Calibri" w:hAnsi="Calibri" w:cs="Calibri"/>
              </w:rPr>
              <w:t>)</w:t>
            </w:r>
            <w:r w:rsidR="25D85E9E" w:rsidRPr="001C0C4B">
              <w:rPr>
                <w:rFonts w:ascii="Calibri" w:hAnsi="Calibri" w:cs="Calibri"/>
              </w:rPr>
              <w:t xml:space="preserve"> and differential count</w:t>
            </w:r>
          </w:p>
          <w:p w14:paraId="33FAD442" w14:textId="2BBE5108" w:rsidR="4C628476" w:rsidRPr="001C0C4B" w:rsidRDefault="75459F78" w:rsidP="006A2800">
            <w:pPr>
              <w:pStyle w:val="ListParagraph"/>
              <w:numPr>
                <w:ilvl w:val="1"/>
                <w:numId w:val="3"/>
              </w:numPr>
              <w:rPr>
                <w:rFonts w:ascii="Calibri" w:hAnsi="Calibri" w:cs="Calibri"/>
              </w:rPr>
            </w:pPr>
            <w:r w:rsidRPr="001C0C4B">
              <w:rPr>
                <w:rFonts w:ascii="Calibri" w:hAnsi="Calibri" w:cs="Calibri"/>
              </w:rPr>
              <w:t xml:space="preserve">Biochemistry (including </w:t>
            </w:r>
            <w:r w:rsidR="17E7EC2A" w:rsidRPr="001C0C4B">
              <w:rPr>
                <w:rFonts w:ascii="Calibri" w:hAnsi="Calibri" w:cs="Calibri"/>
              </w:rPr>
              <w:t>U&amp;Es</w:t>
            </w:r>
            <w:r w:rsidR="46A80122" w:rsidRPr="001C0C4B">
              <w:rPr>
                <w:rFonts w:ascii="Calibri" w:hAnsi="Calibri" w:cs="Calibri"/>
              </w:rPr>
              <w:t>, creatinine, LFTs</w:t>
            </w:r>
            <w:r w:rsidRPr="001C0C4B">
              <w:rPr>
                <w:rFonts w:ascii="Calibri" w:hAnsi="Calibri" w:cs="Calibri"/>
              </w:rPr>
              <w:t xml:space="preserve"> and LDH)</w:t>
            </w:r>
          </w:p>
          <w:p w14:paraId="7EBE23BD" w14:textId="770073B6" w:rsidR="7A5337AD" w:rsidRPr="001C0C4B" w:rsidRDefault="75459F78" w:rsidP="00F56D45">
            <w:pPr>
              <w:pStyle w:val="ListParagraph"/>
              <w:numPr>
                <w:ilvl w:val="1"/>
                <w:numId w:val="3"/>
              </w:numPr>
              <w:rPr>
                <w:rFonts w:ascii="Calibri" w:hAnsi="Calibri" w:cs="Calibri"/>
                <w:lang w:val="fr-BE"/>
              </w:rPr>
            </w:pPr>
            <w:r w:rsidRPr="001C0C4B">
              <w:rPr>
                <w:rFonts w:ascii="Calibri" w:hAnsi="Calibri" w:cs="Calibri"/>
                <w:lang w:val="fr-BE"/>
              </w:rPr>
              <w:t>F</w:t>
            </w:r>
            <w:r w:rsidR="00A53C79" w:rsidRPr="001C0C4B">
              <w:rPr>
                <w:rFonts w:ascii="Calibri" w:hAnsi="Calibri" w:cs="Calibri"/>
                <w:lang w:val="fr-BE"/>
              </w:rPr>
              <w:t>i</w:t>
            </w:r>
            <w:r w:rsidRPr="001C0C4B">
              <w:rPr>
                <w:rFonts w:ascii="Calibri" w:hAnsi="Calibri" w:cs="Calibri"/>
                <w:lang w:val="fr-BE"/>
              </w:rPr>
              <w:t>b</w:t>
            </w:r>
            <w:r w:rsidR="00A53C79" w:rsidRPr="001C0C4B">
              <w:rPr>
                <w:rFonts w:ascii="Calibri" w:hAnsi="Calibri" w:cs="Calibri"/>
                <w:lang w:val="fr-BE"/>
              </w:rPr>
              <w:t>rino</w:t>
            </w:r>
            <w:r w:rsidRPr="001C0C4B">
              <w:rPr>
                <w:rFonts w:ascii="Calibri" w:hAnsi="Calibri" w:cs="Calibri"/>
                <w:lang w:val="fr-BE"/>
              </w:rPr>
              <w:t>g</w:t>
            </w:r>
            <w:r w:rsidR="00A53C79" w:rsidRPr="001C0C4B">
              <w:rPr>
                <w:rFonts w:ascii="Calibri" w:hAnsi="Calibri" w:cs="Calibri"/>
                <w:lang w:val="fr-BE"/>
              </w:rPr>
              <w:t>en</w:t>
            </w:r>
            <w:r w:rsidRPr="001C0C4B">
              <w:rPr>
                <w:rFonts w:ascii="Calibri" w:hAnsi="Calibri" w:cs="Calibri"/>
                <w:lang w:val="fr-BE"/>
              </w:rPr>
              <w:t>, Ferritin, TNF/IL-6/IL-1</w:t>
            </w:r>
          </w:p>
          <w:p w14:paraId="6075791B" w14:textId="397747CE" w:rsidR="00C21795" w:rsidRPr="001C0C4B" w:rsidRDefault="00C21795" w:rsidP="00F56D45">
            <w:pPr>
              <w:pStyle w:val="ListParagraph"/>
              <w:numPr>
                <w:ilvl w:val="1"/>
                <w:numId w:val="3"/>
              </w:numPr>
              <w:rPr>
                <w:rFonts w:ascii="Calibri" w:hAnsi="Calibri" w:cs="Calibri"/>
                <w:lang w:val="fr-BE"/>
              </w:rPr>
            </w:pPr>
            <w:r w:rsidRPr="001C0C4B">
              <w:rPr>
                <w:rFonts w:ascii="Calibri" w:hAnsi="Calibri" w:cs="Calibri"/>
                <w:lang w:val="fr-BE"/>
              </w:rPr>
              <w:t>Serology</w:t>
            </w:r>
            <w:r w:rsidR="00EA7BAD" w:rsidRPr="001C0C4B">
              <w:rPr>
                <w:rFonts w:ascii="Calibri" w:hAnsi="Calibri" w:cs="Calibri"/>
                <w:lang w:val="fr-BE"/>
              </w:rPr>
              <w:t xml:space="preserve"> (antibody responses)</w:t>
            </w:r>
          </w:p>
          <w:p w14:paraId="5E8AB335" w14:textId="1C3A3D43" w:rsidR="00DA2D9D" w:rsidRPr="001C0C4B" w:rsidRDefault="0010490B" w:rsidP="00F56D45">
            <w:pPr>
              <w:pStyle w:val="ListParagraph"/>
              <w:numPr>
                <w:ilvl w:val="1"/>
                <w:numId w:val="3"/>
              </w:numPr>
              <w:rPr>
                <w:rFonts w:ascii="Calibri" w:hAnsi="Calibri" w:cs="Calibri"/>
                <w:lang w:val="fr-BE"/>
              </w:rPr>
            </w:pPr>
            <w:r w:rsidRPr="001C0C4B">
              <w:rPr>
                <w:rFonts w:ascii="Calibri" w:hAnsi="Calibri" w:cs="Calibri"/>
                <w:lang w:val="fr-BE"/>
              </w:rPr>
              <w:t>Stored sample</w:t>
            </w:r>
          </w:p>
          <w:p w14:paraId="7E6C3B7B" w14:textId="34E866CF" w:rsidR="00D108D2" w:rsidRPr="001C0C4B" w:rsidRDefault="00D108D2" w:rsidP="00F56D45">
            <w:pPr>
              <w:pStyle w:val="ListParagraph"/>
              <w:numPr>
                <w:ilvl w:val="1"/>
                <w:numId w:val="3"/>
              </w:numPr>
              <w:rPr>
                <w:rFonts w:ascii="Calibri" w:hAnsi="Calibri" w:cs="Calibri"/>
                <w:lang w:val="fr-BE"/>
              </w:rPr>
            </w:pPr>
            <w:r w:rsidRPr="001C0C4B">
              <w:rPr>
                <w:rFonts w:ascii="Calibri" w:hAnsi="Calibri" w:cs="Calibri"/>
                <w:lang w:val="fr-BE"/>
              </w:rPr>
              <w:t>Drug level</w:t>
            </w:r>
          </w:p>
          <w:p w14:paraId="3516057B" w14:textId="3AD8D4FE" w:rsidR="004D2B7A" w:rsidRPr="001C0C4B" w:rsidRDefault="44B12C8B" w:rsidP="00F56D45">
            <w:pPr>
              <w:pStyle w:val="ListParagraph"/>
              <w:numPr>
                <w:ilvl w:val="1"/>
                <w:numId w:val="3"/>
              </w:numPr>
              <w:rPr>
                <w:rFonts w:ascii="Calibri" w:hAnsi="Calibri" w:cs="Calibri"/>
              </w:rPr>
            </w:pPr>
            <w:r w:rsidRPr="001C0C4B">
              <w:rPr>
                <w:rFonts w:ascii="Calibri" w:hAnsi="Calibri" w:cs="Calibri"/>
              </w:rPr>
              <w:t>Host</w:t>
            </w:r>
            <w:r w:rsidR="2CD14209" w:rsidRPr="001C0C4B">
              <w:rPr>
                <w:rFonts w:ascii="Calibri" w:hAnsi="Calibri" w:cs="Calibri"/>
              </w:rPr>
              <w:t xml:space="preserve"> genotyping to assess determinants of </w:t>
            </w:r>
            <w:r w:rsidR="413A2856" w:rsidRPr="001C0C4B">
              <w:rPr>
                <w:rFonts w:ascii="Calibri" w:hAnsi="Calibri" w:cs="Calibri"/>
              </w:rPr>
              <w:t xml:space="preserve">the therapeutic </w:t>
            </w:r>
            <w:r w:rsidR="2CD14209" w:rsidRPr="001C0C4B">
              <w:rPr>
                <w:rFonts w:ascii="Calibri" w:hAnsi="Calibri" w:cs="Calibri"/>
              </w:rPr>
              <w:t>response</w:t>
            </w:r>
          </w:p>
          <w:p w14:paraId="77666188" w14:textId="167414ED" w:rsidR="7A5337AD" w:rsidRPr="001C0C4B" w:rsidRDefault="00BC1B4D" w:rsidP="00F56D45">
            <w:pPr>
              <w:pStyle w:val="ListParagraph"/>
              <w:numPr>
                <w:ilvl w:val="0"/>
                <w:numId w:val="3"/>
              </w:numPr>
              <w:jc w:val="both"/>
              <w:rPr>
                <w:rFonts w:ascii="Calibri" w:hAnsi="Calibri" w:cs="Calibri"/>
              </w:rPr>
            </w:pPr>
            <w:r w:rsidRPr="001C0C4B">
              <w:rPr>
                <w:rFonts w:ascii="Calibri" w:hAnsi="Calibri" w:cs="Calibri"/>
              </w:rPr>
              <w:t>O</w:t>
            </w:r>
            <w:r w:rsidR="002237C0" w:rsidRPr="001C0C4B">
              <w:rPr>
                <w:rFonts w:ascii="Calibri" w:hAnsi="Calibri" w:cs="Calibri"/>
              </w:rPr>
              <w:t xml:space="preserve">ropharyngeal swab in </w:t>
            </w:r>
            <w:r w:rsidR="00361387" w:rsidRPr="001C0C4B">
              <w:rPr>
                <w:rFonts w:ascii="Calibri" w:hAnsi="Calibri" w:cs="Calibri"/>
              </w:rPr>
              <w:t>duplicate</w:t>
            </w:r>
            <w:r w:rsidR="47E717BD" w:rsidRPr="001C0C4B">
              <w:rPr>
                <w:rFonts w:ascii="Calibri" w:hAnsi="Calibri" w:cs="Calibri"/>
              </w:rPr>
              <w:t xml:space="preserve"> </w:t>
            </w:r>
            <w:r w:rsidR="00BE7BFB" w:rsidRPr="001C0C4B">
              <w:rPr>
                <w:rFonts w:ascii="Calibri" w:hAnsi="Calibri" w:cs="Calibri"/>
              </w:rPr>
              <w:t>(and possibly a saliva sample see section 7.1)</w:t>
            </w:r>
          </w:p>
          <w:p w14:paraId="02825102" w14:textId="7BF9DE68" w:rsidR="7A5337AD" w:rsidRPr="001C0C4B" w:rsidRDefault="47E717BD" w:rsidP="00F56D45">
            <w:pPr>
              <w:pStyle w:val="ListParagraph"/>
              <w:numPr>
                <w:ilvl w:val="0"/>
                <w:numId w:val="3"/>
              </w:numPr>
              <w:jc w:val="both"/>
              <w:rPr>
                <w:rFonts w:ascii="Calibri" w:hAnsi="Calibri" w:cs="Calibri"/>
              </w:rPr>
            </w:pPr>
            <w:r w:rsidRPr="001C0C4B">
              <w:rPr>
                <w:rFonts w:ascii="Calibri" w:hAnsi="Calibri" w:cs="Calibri"/>
              </w:rPr>
              <w:t>ECG</w:t>
            </w:r>
          </w:p>
        </w:tc>
      </w:tr>
    </w:tbl>
    <w:p w14:paraId="5F8D9A5D" w14:textId="77C766A8" w:rsidR="00EE2E8E" w:rsidRPr="001C0C4B" w:rsidRDefault="00DB1C13" w:rsidP="00BB5D6D">
      <w:r w:rsidRPr="001C0C4B">
        <w:t xml:space="preserve"> </w:t>
      </w:r>
    </w:p>
    <w:p w14:paraId="055E907D" w14:textId="6D8D4499" w:rsidR="00DB1C13" w:rsidRPr="001C0C4B" w:rsidRDefault="00DB1C13" w:rsidP="00E142CD">
      <w:pPr>
        <w:pStyle w:val="Heading2"/>
        <w:numPr>
          <w:ilvl w:val="1"/>
          <w:numId w:val="23"/>
        </w:numPr>
        <w:rPr>
          <w:rFonts w:ascii="Calibri" w:hAnsi="Calibri" w:cs="Calibri"/>
          <w:color w:val="auto"/>
          <w:sz w:val="22"/>
          <w:szCs w:val="22"/>
        </w:rPr>
      </w:pPr>
      <w:bookmarkStart w:id="152" w:name="_Toc96007289"/>
      <w:bookmarkStart w:id="153" w:name="_Toc95915242"/>
      <w:bookmarkStart w:id="154" w:name="_Toc74661287"/>
      <w:bookmarkStart w:id="155" w:name="_Toc110523981"/>
      <w:bookmarkStart w:id="156" w:name="_Toc96005592"/>
      <w:bookmarkStart w:id="157" w:name="_Toc112917630"/>
      <w:r w:rsidRPr="001C0C4B">
        <w:rPr>
          <w:rFonts w:ascii="Calibri" w:hAnsi="Calibri" w:cs="Calibri"/>
          <w:color w:val="auto"/>
          <w:sz w:val="22"/>
          <w:szCs w:val="22"/>
        </w:rPr>
        <w:t>Days of study</w:t>
      </w:r>
      <w:bookmarkEnd w:id="152"/>
      <w:bookmarkEnd w:id="153"/>
      <w:bookmarkEnd w:id="154"/>
      <w:bookmarkEnd w:id="155"/>
      <w:bookmarkEnd w:id="156"/>
      <w:bookmarkEnd w:id="157"/>
    </w:p>
    <w:p w14:paraId="7B6020BD" w14:textId="02FE9A38" w:rsidR="00E92601" w:rsidRPr="001C0C4B" w:rsidRDefault="00E92601" w:rsidP="00E92601">
      <w:pPr>
        <w:pStyle w:val="NoSpacing"/>
        <w:ind w:left="360" w:firstLine="360"/>
      </w:pPr>
      <w:r w:rsidRPr="001C0C4B">
        <w:t xml:space="preserve">7.6.1 </w:t>
      </w:r>
      <w:r w:rsidR="384D65E0" w:rsidRPr="001C0C4B">
        <w:t>Randomi</w:t>
      </w:r>
      <w:r w:rsidR="00A447A2" w:rsidRPr="001C0C4B">
        <w:t>s</w:t>
      </w:r>
      <w:r w:rsidR="384D65E0" w:rsidRPr="001C0C4B">
        <w:t>ation</w:t>
      </w:r>
      <w:r w:rsidR="001D08DE" w:rsidRPr="001C0C4B">
        <w:t xml:space="preserve"> D0</w:t>
      </w:r>
    </w:p>
    <w:p w14:paraId="1C8F5C26" w14:textId="70AFB5AC" w:rsidR="000E6B17" w:rsidRPr="001C0C4B" w:rsidRDefault="00085A0F" w:rsidP="00DA3F5E">
      <w:pPr>
        <w:jc w:val="both"/>
        <w:rPr>
          <w:rFonts w:ascii="Calibri" w:hAnsi="Calibri" w:cs="Calibri"/>
        </w:rPr>
      </w:pPr>
      <w:r w:rsidRPr="001C0C4B">
        <w:rPr>
          <w:rFonts w:ascii="Calibri" w:hAnsi="Calibri" w:cs="Calibri"/>
        </w:rPr>
        <w:t xml:space="preserve">After enrolment, the </w:t>
      </w:r>
      <w:r w:rsidR="002A7FC4" w:rsidRPr="001C0C4B">
        <w:rPr>
          <w:rFonts w:ascii="Calibri" w:hAnsi="Calibri" w:cs="Calibri"/>
        </w:rPr>
        <w:t>patient</w:t>
      </w:r>
      <w:r w:rsidR="005D7AE9" w:rsidRPr="001C0C4B">
        <w:rPr>
          <w:rFonts w:ascii="Calibri" w:hAnsi="Calibri" w:cs="Calibri"/>
        </w:rPr>
        <w:t xml:space="preserve"> will be </w:t>
      </w:r>
      <w:r w:rsidR="00EB6681" w:rsidRPr="001C0C4B">
        <w:rPr>
          <w:rFonts w:ascii="Calibri" w:hAnsi="Calibri" w:cs="Calibri"/>
        </w:rPr>
        <w:t>randomized</w:t>
      </w:r>
      <w:r w:rsidR="005D7AE9" w:rsidRPr="001C0C4B">
        <w:rPr>
          <w:rFonts w:ascii="Calibri" w:hAnsi="Calibri" w:cs="Calibri"/>
        </w:rPr>
        <w:t xml:space="preserve"> to one of the </w:t>
      </w:r>
      <w:r w:rsidR="0F876F23" w:rsidRPr="001C0C4B">
        <w:rPr>
          <w:rFonts w:ascii="Calibri" w:hAnsi="Calibri" w:cs="Calibri"/>
        </w:rPr>
        <w:t>study arms</w:t>
      </w:r>
      <w:r w:rsidRPr="001C0C4B">
        <w:rPr>
          <w:rFonts w:ascii="Calibri" w:hAnsi="Calibri" w:cs="Calibri"/>
        </w:rPr>
        <w:t xml:space="preserve"> using </w:t>
      </w:r>
      <w:r w:rsidR="236F55B9" w:rsidRPr="001C0C4B">
        <w:rPr>
          <w:rFonts w:ascii="Calibri" w:hAnsi="Calibri" w:cs="Calibri"/>
        </w:rPr>
        <w:t xml:space="preserve">an online </w:t>
      </w:r>
      <w:r w:rsidR="00EB6681" w:rsidRPr="001C0C4B">
        <w:rPr>
          <w:rFonts w:ascii="Calibri" w:hAnsi="Calibri" w:cs="Calibri"/>
        </w:rPr>
        <w:t>randomization</w:t>
      </w:r>
      <w:r w:rsidR="236F55B9" w:rsidRPr="001C0C4B">
        <w:rPr>
          <w:rFonts w:ascii="Calibri" w:hAnsi="Calibri" w:cs="Calibri"/>
        </w:rPr>
        <w:t xml:space="preserve"> app</w:t>
      </w:r>
      <w:r w:rsidR="002C348E" w:rsidRPr="001C0C4B">
        <w:rPr>
          <w:rFonts w:ascii="Calibri" w:hAnsi="Calibri" w:cs="Calibri"/>
        </w:rPr>
        <w:t>lication</w:t>
      </w:r>
      <w:r w:rsidR="4374416F" w:rsidRPr="001C0C4B">
        <w:rPr>
          <w:rFonts w:ascii="Calibri" w:hAnsi="Calibri" w:cs="Calibri"/>
        </w:rPr>
        <w:t>.</w:t>
      </w:r>
      <w:r w:rsidRPr="001C0C4B">
        <w:rPr>
          <w:rFonts w:ascii="Calibri" w:hAnsi="Calibri" w:cs="Calibri"/>
        </w:rPr>
        <w:t xml:space="preserve"> </w:t>
      </w:r>
      <w:r w:rsidR="00AE7538" w:rsidRPr="001C0C4B">
        <w:rPr>
          <w:rFonts w:ascii="Calibri" w:hAnsi="Calibri" w:cs="Calibri"/>
        </w:rPr>
        <w:t xml:space="preserve">The number of  arms at a site can be limited by the </w:t>
      </w:r>
      <w:r w:rsidR="007F08DF" w:rsidRPr="001C0C4B">
        <w:rPr>
          <w:rFonts w:ascii="Calibri" w:hAnsi="Calibri" w:cs="Calibri"/>
        </w:rPr>
        <w:t xml:space="preserve">approval and </w:t>
      </w:r>
      <w:r w:rsidR="00AE7538" w:rsidRPr="001C0C4B">
        <w:rPr>
          <w:rFonts w:ascii="Calibri" w:hAnsi="Calibri" w:cs="Calibri"/>
        </w:rPr>
        <w:t>a</w:t>
      </w:r>
      <w:r w:rsidRPr="001C0C4B">
        <w:rPr>
          <w:rFonts w:ascii="Calibri" w:hAnsi="Calibri" w:cs="Calibri"/>
        </w:rPr>
        <w:t>vailability of the study drug at th</w:t>
      </w:r>
      <w:r w:rsidR="00AE7538" w:rsidRPr="001C0C4B">
        <w:rPr>
          <w:rFonts w:ascii="Calibri" w:hAnsi="Calibri" w:cs="Calibri"/>
        </w:rPr>
        <w:t>at</w:t>
      </w:r>
      <w:r w:rsidRPr="001C0C4B">
        <w:rPr>
          <w:rFonts w:ascii="Calibri" w:hAnsi="Calibri" w:cs="Calibri"/>
        </w:rPr>
        <w:t xml:space="preserve"> site</w:t>
      </w:r>
      <w:r w:rsidR="007429D8" w:rsidRPr="001C0C4B">
        <w:rPr>
          <w:rFonts w:ascii="Calibri" w:hAnsi="Calibri" w:cs="Calibri"/>
        </w:rPr>
        <w:t>.</w:t>
      </w:r>
      <w:r w:rsidR="4C215CFB" w:rsidRPr="001C0C4B">
        <w:rPr>
          <w:rFonts w:ascii="Calibri" w:hAnsi="Calibri" w:cs="Calibri"/>
        </w:rPr>
        <w:t xml:space="preserve"> </w:t>
      </w:r>
      <w:r w:rsidR="006055AD" w:rsidRPr="001C0C4B">
        <w:rPr>
          <w:rFonts w:ascii="Calibri" w:hAnsi="Calibri" w:cs="Calibri"/>
        </w:rPr>
        <w:t>R</w:t>
      </w:r>
      <w:r w:rsidR="00950424" w:rsidRPr="001C0C4B">
        <w:rPr>
          <w:rFonts w:ascii="Calibri" w:hAnsi="Calibri" w:cs="Calibri"/>
        </w:rPr>
        <w:t>andomi</w:t>
      </w:r>
      <w:r w:rsidR="00EB6681" w:rsidRPr="001C0C4B">
        <w:rPr>
          <w:rFonts w:ascii="Calibri" w:hAnsi="Calibri" w:cs="Calibri"/>
        </w:rPr>
        <w:t>z</w:t>
      </w:r>
      <w:r w:rsidR="00950424" w:rsidRPr="001C0C4B">
        <w:rPr>
          <w:rFonts w:ascii="Calibri" w:hAnsi="Calibri" w:cs="Calibri"/>
        </w:rPr>
        <w:t xml:space="preserve">ation to </w:t>
      </w:r>
      <w:r w:rsidR="0018773A" w:rsidRPr="001C0C4B">
        <w:rPr>
          <w:rFonts w:ascii="Calibri" w:hAnsi="Calibri" w:cs="Calibri"/>
        </w:rPr>
        <w:t xml:space="preserve">the </w:t>
      </w:r>
      <w:r w:rsidR="00BB37C1" w:rsidRPr="001C0C4B">
        <w:rPr>
          <w:rFonts w:ascii="Calibri" w:hAnsi="Calibri"/>
        </w:rPr>
        <w:t>no antiviral treatment</w:t>
      </w:r>
      <w:r w:rsidR="00BB37C1" w:rsidRPr="001C0C4B">
        <w:rPr>
          <w:rFonts w:ascii="Calibri" w:hAnsi="Calibri" w:cs="Calibri"/>
        </w:rPr>
        <w:t xml:space="preserve"> </w:t>
      </w:r>
      <w:r w:rsidR="00950424" w:rsidRPr="001C0C4B">
        <w:rPr>
          <w:rFonts w:ascii="Calibri" w:hAnsi="Calibri" w:cs="Calibri"/>
        </w:rPr>
        <w:t xml:space="preserve">control </w:t>
      </w:r>
      <w:r w:rsidR="0018773A" w:rsidRPr="001C0C4B">
        <w:rPr>
          <w:rFonts w:ascii="Calibri" w:hAnsi="Calibri" w:cs="Calibri"/>
        </w:rPr>
        <w:t xml:space="preserve">arm (no intervention) </w:t>
      </w:r>
      <w:r w:rsidR="00950424" w:rsidRPr="001C0C4B">
        <w:rPr>
          <w:rFonts w:ascii="Calibri" w:hAnsi="Calibri" w:cs="Calibri"/>
        </w:rPr>
        <w:t xml:space="preserve">will be fixed </w:t>
      </w:r>
      <w:r w:rsidR="00950424" w:rsidRPr="001C0C4B">
        <w:rPr>
          <w:rFonts w:ascii="Calibri" w:hAnsi="Calibri"/>
        </w:rPr>
        <w:t xml:space="preserve">at </w:t>
      </w:r>
      <w:r w:rsidR="009A676C" w:rsidRPr="001C0C4B">
        <w:rPr>
          <w:rFonts w:ascii="Calibri" w:hAnsi="Calibri"/>
        </w:rPr>
        <w:t xml:space="preserve">a minimum of </w:t>
      </w:r>
      <w:r w:rsidR="00950424" w:rsidRPr="001C0C4B">
        <w:rPr>
          <w:rFonts w:ascii="Calibri" w:hAnsi="Calibri"/>
        </w:rPr>
        <w:t>20%</w:t>
      </w:r>
      <w:r w:rsidR="009A676C" w:rsidRPr="001C0C4B">
        <w:rPr>
          <w:rFonts w:ascii="Calibri" w:hAnsi="Calibri"/>
        </w:rPr>
        <w:t xml:space="preserve"> </w:t>
      </w:r>
      <w:r w:rsidR="00950424" w:rsidRPr="001C0C4B">
        <w:rPr>
          <w:rFonts w:ascii="Calibri" w:hAnsi="Calibri"/>
        </w:rPr>
        <w:t>throughout the study</w:t>
      </w:r>
      <w:r w:rsidR="2A17BA75" w:rsidRPr="001C0C4B">
        <w:rPr>
          <w:rFonts w:ascii="Calibri" w:hAnsi="Calibri"/>
        </w:rPr>
        <w:t>.</w:t>
      </w:r>
      <w:r w:rsidR="00E15E17" w:rsidRPr="001C0C4B">
        <w:rPr>
          <w:rFonts w:ascii="Calibri" w:hAnsi="Calibri" w:cs="Calibri"/>
        </w:rPr>
        <w:t xml:space="preserve"> </w:t>
      </w:r>
      <w:r w:rsidR="0018773A" w:rsidRPr="001C0C4B">
        <w:rPr>
          <w:rFonts w:ascii="Calibri" w:hAnsi="Calibri" w:cs="Calibri"/>
        </w:rPr>
        <w:t xml:space="preserve">The </w:t>
      </w:r>
      <w:r w:rsidR="00EB6681" w:rsidRPr="001C0C4B">
        <w:rPr>
          <w:rFonts w:ascii="Calibri" w:hAnsi="Calibri" w:cs="Calibri"/>
        </w:rPr>
        <w:t>randomization</w:t>
      </w:r>
      <w:r w:rsidR="0018773A" w:rsidRPr="001C0C4B">
        <w:rPr>
          <w:rFonts w:ascii="Calibri" w:hAnsi="Calibri" w:cs="Calibri"/>
        </w:rPr>
        <w:t xml:space="preserve"> ratios </w:t>
      </w:r>
      <w:r w:rsidR="00EB6681" w:rsidRPr="001C0C4B">
        <w:rPr>
          <w:rFonts w:ascii="Calibri" w:hAnsi="Calibri" w:cs="Calibri"/>
        </w:rPr>
        <w:t xml:space="preserve">will be uniform </w:t>
      </w:r>
      <w:r w:rsidR="0018773A" w:rsidRPr="001C0C4B">
        <w:rPr>
          <w:rFonts w:ascii="Calibri" w:hAnsi="Calibri" w:cs="Calibri"/>
        </w:rPr>
        <w:t xml:space="preserve">for all available </w:t>
      </w:r>
      <w:r w:rsidR="00DA3F5E" w:rsidRPr="001C0C4B">
        <w:rPr>
          <w:rFonts w:ascii="Calibri" w:hAnsi="Calibri" w:cs="Calibri"/>
        </w:rPr>
        <w:t xml:space="preserve">interventions. </w:t>
      </w:r>
      <w:r w:rsidR="00776F05" w:rsidRPr="001C0C4B">
        <w:rPr>
          <w:rFonts w:ascii="Calibri" w:hAnsi="Calibri" w:cs="Calibri"/>
        </w:rPr>
        <w:t xml:space="preserve">The drug allocations are </w:t>
      </w:r>
      <w:r w:rsidR="00CE634F" w:rsidRPr="001C0C4B">
        <w:rPr>
          <w:rFonts w:ascii="Calibri" w:hAnsi="Calibri" w:cs="Calibri"/>
        </w:rPr>
        <w:t xml:space="preserve">not </w:t>
      </w:r>
      <w:r w:rsidR="2E604C34" w:rsidRPr="001C0C4B">
        <w:rPr>
          <w:rFonts w:ascii="Calibri" w:hAnsi="Calibri" w:cs="Calibri"/>
        </w:rPr>
        <w:t>blinded for</w:t>
      </w:r>
      <w:r w:rsidR="00CE634F" w:rsidRPr="001C0C4B">
        <w:rPr>
          <w:rFonts w:ascii="Calibri" w:hAnsi="Calibri" w:cs="Calibri"/>
        </w:rPr>
        <w:t xml:space="preserve"> the </w:t>
      </w:r>
      <w:r w:rsidR="002A7FC4" w:rsidRPr="001C0C4B">
        <w:rPr>
          <w:rFonts w:ascii="Calibri" w:hAnsi="Calibri" w:cs="Calibri"/>
        </w:rPr>
        <w:t>patient</w:t>
      </w:r>
      <w:r w:rsidR="00CE634F" w:rsidRPr="001C0C4B">
        <w:rPr>
          <w:rFonts w:ascii="Calibri" w:hAnsi="Calibri" w:cs="Calibri"/>
        </w:rPr>
        <w:t xml:space="preserve"> for</w:t>
      </w:r>
      <w:r w:rsidR="2E604C34" w:rsidRPr="001C0C4B">
        <w:rPr>
          <w:rFonts w:ascii="Calibri" w:hAnsi="Calibri" w:cs="Calibri"/>
        </w:rPr>
        <w:t xml:space="preserve"> practical reasons.</w:t>
      </w:r>
      <w:r w:rsidR="4C215CFB" w:rsidRPr="001C0C4B">
        <w:rPr>
          <w:rFonts w:ascii="Calibri" w:hAnsi="Calibri" w:cs="Calibri"/>
        </w:rPr>
        <w:t xml:space="preserve"> </w:t>
      </w:r>
      <w:r w:rsidR="34BC2DDC" w:rsidRPr="001C0C4B">
        <w:rPr>
          <w:rFonts w:ascii="Calibri" w:hAnsi="Calibri" w:cs="Calibri"/>
        </w:rPr>
        <w:t xml:space="preserve">For patients </w:t>
      </w:r>
      <w:r w:rsidR="00EB6681" w:rsidRPr="001C0C4B">
        <w:rPr>
          <w:rFonts w:ascii="Calibri" w:hAnsi="Calibri" w:cs="Calibri"/>
        </w:rPr>
        <w:t>randomized</w:t>
      </w:r>
      <w:r w:rsidR="34BC2DDC" w:rsidRPr="001C0C4B">
        <w:rPr>
          <w:rFonts w:ascii="Calibri" w:hAnsi="Calibri" w:cs="Calibri"/>
        </w:rPr>
        <w:t xml:space="preserve"> to an active drug, t</w:t>
      </w:r>
      <w:r w:rsidR="4C215CFB" w:rsidRPr="001C0C4B">
        <w:rPr>
          <w:rFonts w:ascii="Calibri" w:hAnsi="Calibri" w:cs="Calibri"/>
        </w:rPr>
        <w:t>he first treatment dose (hour 0) will be supervised</w:t>
      </w:r>
      <w:r w:rsidR="00B50949" w:rsidRPr="001C0C4B">
        <w:rPr>
          <w:rFonts w:ascii="Calibri" w:hAnsi="Calibri" w:cs="Calibri"/>
        </w:rPr>
        <w:t xml:space="preserve"> by study team</w:t>
      </w:r>
      <w:r w:rsidR="4C215CFB" w:rsidRPr="001C0C4B">
        <w:rPr>
          <w:rFonts w:ascii="Calibri" w:hAnsi="Calibri" w:cs="Calibri"/>
        </w:rPr>
        <w:t xml:space="preserve"> </w:t>
      </w:r>
      <w:r w:rsidR="007F08DF" w:rsidRPr="001C0C4B">
        <w:rPr>
          <w:rFonts w:ascii="Calibri" w:hAnsi="Calibri" w:cs="Calibri"/>
        </w:rPr>
        <w:t xml:space="preserve">after </w:t>
      </w:r>
      <w:r w:rsidR="4C215CFB" w:rsidRPr="001C0C4B">
        <w:rPr>
          <w:rFonts w:ascii="Calibri" w:hAnsi="Calibri" w:cs="Calibri"/>
        </w:rPr>
        <w:t xml:space="preserve">a viral swab </w:t>
      </w:r>
      <w:r w:rsidR="008E6A06" w:rsidRPr="001C0C4B">
        <w:rPr>
          <w:rFonts w:ascii="Calibri" w:hAnsi="Calibri" w:cs="Calibri"/>
        </w:rPr>
        <w:t xml:space="preserve">(and possibly a saliva sample see section 7.1) </w:t>
      </w:r>
      <w:r w:rsidR="007F08DF" w:rsidRPr="001C0C4B">
        <w:rPr>
          <w:rFonts w:ascii="Calibri" w:hAnsi="Calibri" w:cs="Calibri"/>
        </w:rPr>
        <w:t xml:space="preserve">is </w:t>
      </w:r>
      <w:r w:rsidR="4C215CFB" w:rsidRPr="001C0C4B">
        <w:rPr>
          <w:rFonts w:ascii="Calibri" w:hAnsi="Calibri" w:cs="Calibri"/>
        </w:rPr>
        <w:t xml:space="preserve">taken </w:t>
      </w:r>
      <w:r w:rsidR="00AE794D" w:rsidRPr="001C0C4B">
        <w:rPr>
          <w:rFonts w:ascii="Calibri" w:hAnsi="Calibri" w:cs="Calibri"/>
        </w:rPr>
        <w:t xml:space="preserve">again </w:t>
      </w:r>
      <w:r w:rsidR="4C215CFB" w:rsidRPr="001C0C4B">
        <w:rPr>
          <w:rFonts w:ascii="Calibri" w:hAnsi="Calibri" w:cs="Calibri"/>
        </w:rPr>
        <w:t>for qPCR</w:t>
      </w:r>
      <w:r w:rsidR="0069069F" w:rsidRPr="001C0C4B">
        <w:rPr>
          <w:rFonts w:ascii="Calibri" w:hAnsi="Calibri" w:cs="Calibri"/>
        </w:rPr>
        <w:t xml:space="preserve"> (taken in duplicate)</w:t>
      </w:r>
      <w:r w:rsidR="00AE794D" w:rsidRPr="001C0C4B">
        <w:rPr>
          <w:rFonts w:ascii="Calibri" w:hAnsi="Calibri" w:cs="Calibri"/>
        </w:rPr>
        <w:t xml:space="preserve"> (see appendix </w:t>
      </w:r>
      <w:r w:rsidR="006C224D" w:rsidRPr="001C0C4B">
        <w:rPr>
          <w:rFonts w:ascii="Calibri" w:hAnsi="Calibri" w:cs="Calibri"/>
        </w:rPr>
        <w:t>1</w:t>
      </w:r>
      <w:r w:rsidR="00AE794D" w:rsidRPr="001C0C4B">
        <w:rPr>
          <w:rFonts w:ascii="Calibri" w:hAnsi="Calibri" w:cs="Calibri"/>
        </w:rPr>
        <w:t xml:space="preserve"> for schedule of activities)</w:t>
      </w:r>
      <w:r w:rsidR="4C215CFB" w:rsidRPr="001C0C4B">
        <w:rPr>
          <w:rFonts w:ascii="Calibri" w:hAnsi="Calibri" w:cs="Calibri"/>
        </w:rPr>
        <w:t>.</w:t>
      </w:r>
      <w:r w:rsidR="00526215" w:rsidRPr="001C0C4B">
        <w:rPr>
          <w:rFonts w:ascii="Calibri" w:hAnsi="Calibri" w:cs="Calibri"/>
        </w:rPr>
        <w:t xml:space="preserve"> </w:t>
      </w:r>
      <w:r w:rsidR="00145533" w:rsidRPr="001C0C4B">
        <w:rPr>
          <w:rFonts w:ascii="Calibri" w:hAnsi="Calibri" w:cs="Calibri"/>
        </w:rPr>
        <w:t>The patient will then be observed for a minimum of 1 hour in the ward.</w:t>
      </w:r>
    </w:p>
    <w:p w14:paraId="363833CF" w14:textId="03CAC747" w:rsidR="00D07AA7" w:rsidRPr="001C0C4B" w:rsidRDefault="00950424" w:rsidP="00DA3F5E">
      <w:pPr>
        <w:jc w:val="both"/>
        <w:rPr>
          <w:rFonts w:ascii="Calibri" w:hAnsi="Calibri" w:cs="Calibri"/>
        </w:rPr>
      </w:pPr>
      <w:r w:rsidRPr="001C0C4B">
        <w:rPr>
          <w:rFonts w:ascii="Calibri" w:hAnsi="Calibri" w:cs="Calibri"/>
        </w:rPr>
        <w:t>For the t</w:t>
      </w:r>
      <w:r w:rsidR="00990957" w:rsidRPr="001C0C4B">
        <w:rPr>
          <w:rFonts w:ascii="Calibri" w:hAnsi="Calibri" w:cs="Calibri"/>
        </w:rPr>
        <w:t xml:space="preserve">herapeutic </w:t>
      </w:r>
      <w:r w:rsidR="00D07AA7" w:rsidRPr="001C0C4B">
        <w:rPr>
          <w:rFonts w:ascii="Calibri" w:hAnsi="Calibri" w:cs="Calibri"/>
        </w:rPr>
        <w:t xml:space="preserve">arms </w:t>
      </w:r>
      <w:r w:rsidR="00990957" w:rsidRPr="001C0C4B">
        <w:rPr>
          <w:rFonts w:ascii="Calibri" w:hAnsi="Calibri" w:cs="Calibri"/>
        </w:rPr>
        <w:t xml:space="preserve">for </w:t>
      </w:r>
      <w:r w:rsidR="00D07AA7" w:rsidRPr="001C0C4B">
        <w:rPr>
          <w:rFonts w:ascii="Calibri" w:hAnsi="Calibri" w:cs="Calibri"/>
        </w:rPr>
        <w:t xml:space="preserve">which </w:t>
      </w:r>
      <w:r w:rsidR="00990957" w:rsidRPr="001C0C4B">
        <w:rPr>
          <w:rFonts w:ascii="Calibri" w:hAnsi="Calibri" w:cs="Calibri"/>
        </w:rPr>
        <w:t>intensive PK has been triggered</w:t>
      </w:r>
      <w:r w:rsidR="00E55537" w:rsidRPr="001C0C4B">
        <w:rPr>
          <w:rFonts w:ascii="Calibri" w:hAnsi="Calibri" w:cs="Calibri"/>
        </w:rPr>
        <w:t xml:space="preserve">, </w:t>
      </w:r>
      <w:r w:rsidRPr="001C0C4B">
        <w:rPr>
          <w:rFonts w:ascii="Calibri" w:hAnsi="Calibri" w:cs="Calibri"/>
        </w:rPr>
        <w:t xml:space="preserve">allocated </w:t>
      </w:r>
      <w:r w:rsidR="00E55537" w:rsidRPr="001C0C4B">
        <w:rPr>
          <w:rFonts w:ascii="Calibri" w:hAnsi="Calibri" w:cs="Calibri"/>
        </w:rPr>
        <w:t>patient</w:t>
      </w:r>
      <w:r w:rsidRPr="001C0C4B">
        <w:rPr>
          <w:rFonts w:ascii="Calibri" w:hAnsi="Calibri" w:cs="Calibri"/>
        </w:rPr>
        <w:t>s</w:t>
      </w:r>
      <w:r w:rsidR="00E55537" w:rsidRPr="001C0C4B">
        <w:rPr>
          <w:rFonts w:ascii="Calibri" w:hAnsi="Calibri" w:cs="Calibri"/>
        </w:rPr>
        <w:t xml:space="preserve"> will stay for </w:t>
      </w:r>
      <w:r w:rsidR="00B06CA4" w:rsidRPr="001C0C4B">
        <w:rPr>
          <w:rFonts w:ascii="Calibri" w:hAnsi="Calibri" w:cs="Calibri"/>
        </w:rPr>
        <w:t xml:space="preserve">extra blood tests for </w:t>
      </w:r>
      <w:r w:rsidR="00411D19" w:rsidRPr="001C0C4B">
        <w:rPr>
          <w:rFonts w:ascii="Calibri" w:hAnsi="Calibri" w:cs="Calibri"/>
        </w:rPr>
        <w:t xml:space="preserve">drug monitoring levels, according to the schedule </w:t>
      </w:r>
      <w:r w:rsidR="00CC10D3" w:rsidRPr="001C0C4B">
        <w:rPr>
          <w:rFonts w:ascii="Calibri" w:hAnsi="Calibri" w:cs="Calibri"/>
        </w:rPr>
        <w:t>in the drug-specific appendix. For further details</w:t>
      </w:r>
      <w:r w:rsidR="00D07AA7" w:rsidRPr="001C0C4B">
        <w:rPr>
          <w:rFonts w:ascii="Calibri" w:hAnsi="Calibri" w:cs="Calibri"/>
        </w:rPr>
        <w:t xml:space="preserve"> </w:t>
      </w:r>
      <w:r w:rsidR="00B06801" w:rsidRPr="001C0C4B">
        <w:rPr>
          <w:rFonts w:ascii="Calibri" w:hAnsi="Calibri" w:cs="Calibri"/>
        </w:rPr>
        <w:t>of the intensive PK sch</w:t>
      </w:r>
      <w:r w:rsidR="0069069F" w:rsidRPr="001C0C4B">
        <w:rPr>
          <w:rFonts w:ascii="Calibri" w:hAnsi="Calibri" w:cs="Calibri"/>
        </w:rPr>
        <w:t>e</w:t>
      </w:r>
      <w:r w:rsidR="00B06801" w:rsidRPr="001C0C4B">
        <w:rPr>
          <w:rFonts w:ascii="Calibri" w:hAnsi="Calibri" w:cs="Calibri"/>
        </w:rPr>
        <w:t>dules for the indi</w:t>
      </w:r>
      <w:r w:rsidR="00B12D5B" w:rsidRPr="001C0C4B">
        <w:rPr>
          <w:rFonts w:ascii="Calibri" w:hAnsi="Calibri" w:cs="Calibri"/>
        </w:rPr>
        <w:t xml:space="preserve">vidual therapeutics </w:t>
      </w:r>
      <w:r w:rsidR="00B06CA4" w:rsidRPr="001C0C4B">
        <w:rPr>
          <w:rFonts w:ascii="Calibri" w:hAnsi="Calibri" w:cs="Calibri"/>
        </w:rPr>
        <w:t>please see the appendix</w:t>
      </w:r>
      <w:r w:rsidRPr="001C0C4B">
        <w:rPr>
          <w:rFonts w:ascii="Calibri" w:hAnsi="Calibri" w:cs="Calibri"/>
        </w:rPr>
        <w:t xml:space="preserve"> </w:t>
      </w:r>
      <w:r w:rsidR="001D5C73" w:rsidRPr="001C0C4B">
        <w:rPr>
          <w:rFonts w:ascii="Calibri" w:hAnsi="Calibri" w:cs="Calibri"/>
        </w:rPr>
        <w:t>2</w:t>
      </w:r>
      <w:r w:rsidR="00B06CA4" w:rsidRPr="001C0C4B">
        <w:rPr>
          <w:rFonts w:ascii="Calibri" w:hAnsi="Calibri" w:cs="Calibri"/>
        </w:rPr>
        <w:t>.</w:t>
      </w:r>
    </w:p>
    <w:p w14:paraId="06C1C5ED" w14:textId="60B957B5" w:rsidR="005858D4" w:rsidRPr="001C0C4B" w:rsidRDefault="00E92601" w:rsidP="00E92601">
      <w:pPr>
        <w:pStyle w:val="NoSpacing"/>
        <w:ind w:left="360" w:firstLine="360"/>
      </w:pPr>
      <w:r w:rsidRPr="001C0C4B">
        <w:t xml:space="preserve">7.6.2 </w:t>
      </w:r>
      <w:r w:rsidR="00EE2E8E" w:rsidRPr="001C0C4B">
        <w:t>D</w:t>
      </w:r>
      <w:r w:rsidR="005858D4" w:rsidRPr="001C0C4B">
        <w:t xml:space="preserve">ay </w:t>
      </w:r>
      <w:r w:rsidR="001D08DE" w:rsidRPr="001C0C4B">
        <w:t>1</w:t>
      </w:r>
      <w:r w:rsidR="530170C5" w:rsidRPr="001C0C4B">
        <w:t xml:space="preserve">- day </w:t>
      </w:r>
      <w:r w:rsidR="00FB148F" w:rsidRPr="001C0C4B">
        <w:t>7</w:t>
      </w:r>
    </w:p>
    <w:p w14:paraId="5E22E38F" w14:textId="3A15A6A3" w:rsidR="005858D4" w:rsidRPr="001C0C4B" w:rsidRDefault="7DCDC857" w:rsidP="000B5065">
      <w:pPr>
        <w:jc w:val="both"/>
        <w:rPr>
          <w:rFonts w:ascii="Calibri" w:hAnsi="Calibri" w:cs="Calibri"/>
        </w:rPr>
      </w:pPr>
      <w:r w:rsidRPr="001C0C4B">
        <w:rPr>
          <w:rFonts w:ascii="Calibri" w:hAnsi="Calibri" w:cs="Calibri"/>
        </w:rPr>
        <w:t>The following variables will be assessed daily:</w:t>
      </w:r>
    </w:p>
    <w:p w14:paraId="4F589DF1" w14:textId="2CDEA141" w:rsidR="005858D4" w:rsidRPr="001C0C4B" w:rsidRDefault="005858D4" w:rsidP="009E06F8">
      <w:pPr>
        <w:pStyle w:val="ListParagraph"/>
        <w:numPr>
          <w:ilvl w:val="0"/>
          <w:numId w:val="7"/>
        </w:numPr>
        <w:jc w:val="both"/>
        <w:rPr>
          <w:rStyle w:val="eop"/>
          <w:rFonts w:ascii="Calibri" w:eastAsiaTheme="minorEastAsia" w:hAnsi="Calibri" w:cs="Calibri"/>
        </w:rPr>
      </w:pPr>
      <w:r w:rsidRPr="001C0C4B">
        <w:rPr>
          <w:rFonts w:ascii="Calibri" w:hAnsi="Calibri" w:cs="Calibri"/>
        </w:rPr>
        <w:t>Eligibility check</w:t>
      </w:r>
      <w:r w:rsidR="00274524" w:rsidRPr="001C0C4B">
        <w:rPr>
          <w:rFonts w:ascii="Calibri" w:hAnsi="Calibri" w:cs="Calibri"/>
        </w:rPr>
        <w:t>,</w:t>
      </w:r>
      <w:r w:rsidR="002F53B7" w:rsidRPr="001C0C4B">
        <w:rPr>
          <w:rFonts w:ascii="Calibri" w:hAnsi="Calibri" w:cs="Calibri"/>
        </w:rPr>
        <w:t xml:space="preserve"> </w:t>
      </w:r>
      <w:r w:rsidRPr="001C0C4B">
        <w:rPr>
          <w:rFonts w:ascii="Calibri" w:hAnsi="Calibri" w:cs="Calibri"/>
        </w:rPr>
        <w:t xml:space="preserve">and assessment of </w:t>
      </w:r>
      <w:r w:rsidR="201DCFBA" w:rsidRPr="001C0C4B">
        <w:rPr>
          <w:rFonts w:ascii="Calibri" w:hAnsi="Calibri" w:cs="Calibri"/>
        </w:rPr>
        <w:t xml:space="preserve">treatment </w:t>
      </w:r>
      <w:r w:rsidR="00D670E8" w:rsidRPr="001C0C4B">
        <w:rPr>
          <w:rFonts w:ascii="Calibri" w:hAnsi="Calibri" w:cs="Calibri"/>
        </w:rPr>
        <w:t xml:space="preserve">(taking of medications taken will be observed by the </w:t>
      </w:r>
      <w:r w:rsidR="00B33CA9" w:rsidRPr="001C0C4B">
        <w:rPr>
          <w:rFonts w:ascii="Calibri" w:hAnsi="Calibri" w:cs="Calibri"/>
        </w:rPr>
        <w:t>study personnel</w:t>
      </w:r>
      <w:r w:rsidR="00D670E8" w:rsidRPr="001C0C4B">
        <w:rPr>
          <w:rFonts w:ascii="Calibri" w:hAnsi="Calibri" w:cs="Calibri"/>
        </w:rPr>
        <w:t xml:space="preserve"> and the time recorded</w:t>
      </w:r>
      <w:r w:rsidR="006715A2" w:rsidRPr="001C0C4B">
        <w:rPr>
          <w:rFonts w:ascii="Calibri" w:hAnsi="Calibri" w:cs="Calibri"/>
        </w:rPr>
        <w:t xml:space="preserve">. </w:t>
      </w:r>
      <w:r w:rsidR="0034401B" w:rsidRPr="001C0C4B">
        <w:rPr>
          <w:rFonts w:ascii="Calibri" w:hAnsi="Calibri" w:cs="Calibri"/>
        </w:rPr>
        <w:t>In</w:t>
      </w:r>
      <w:r w:rsidR="008E6A06" w:rsidRPr="001C0C4B">
        <w:rPr>
          <w:rFonts w:ascii="Calibri" w:hAnsi="Calibri" w:cs="Calibri"/>
        </w:rPr>
        <w:t xml:space="preserve"> </w:t>
      </w:r>
      <w:r w:rsidR="001B0181" w:rsidRPr="001C0C4B">
        <w:rPr>
          <w:rFonts w:ascii="Calibri" w:hAnsi="Calibri" w:cs="Calibri"/>
        </w:rPr>
        <w:t xml:space="preserve">participants </w:t>
      </w:r>
      <w:r w:rsidR="008E6A06" w:rsidRPr="001C0C4B">
        <w:rPr>
          <w:rFonts w:ascii="Calibri" w:hAnsi="Calibri" w:cs="Calibri"/>
        </w:rPr>
        <w:t>who are</w:t>
      </w:r>
      <w:r w:rsidR="001B0181" w:rsidRPr="001C0C4B">
        <w:rPr>
          <w:rFonts w:ascii="Calibri" w:hAnsi="Calibri" w:cs="Calibri"/>
        </w:rPr>
        <w:t xml:space="preserve"> </w:t>
      </w:r>
      <w:r w:rsidR="0060189F" w:rsidRPr="001C0C4B">
        <w:rPr>
          <w:rFonts w:ascii="Calibri" w:hAnsi="Calibri" w:cs="Calibri"/>
        </w:rPr>
        <w:t>outpatients</w:t>
      </w:r>
      <w:r w:rsidR="004D6536" w:rsidRPr="001C0C4B">
        <w:rPr>
          <w:rFonts w:ascii="Calibri" w:hAnsi="Calibri" w:cs="Calibri"/>
        </w:rPr>
        <w:t>,</w:t>
      </w:r>
      <w:r w:rsidR="0060189F" w:rsidRPr="001C0C4B">
        <w:rPr>
          <w:rFonts w:ascii="Calibri" w:hAnsi="Calibri" w:cs="Calibri"/>
        </w:rPr>
        <w:t xml:space="preserve"> for</w:t>
      </w:r>
      <w:r w:rsidR="006715A2" w:rsidRPr="001C0C4B">
        <w:rPr>
          <w:rFonts w:ascii="Calibri" w:hAnsi="Calibri" w:cs="Calibri"/>
        </w:rPr>
        <w:t xml:space="preserve"> medications taken more than once daily, the </w:t>
      </w:r>
      <w:r w:rsidR="002A7FC4" w:rsidRPr="001C0C4B">
        <w:rPr>
          <w:rFonts w:ascii="Calibri" w:hAnsi="Calibri" w:cs="Calibri"/>
        </w:rPr>
        <w:t>patient</w:t>
      </w:r>
      <w:r w:rsidR="006715A2" w:rsidRPr="001C0C4B">
        <w:rPr>
          <w:rFonts w:ascii="Calibri" w:hAnsi="Calibri" w:cs="Calibri"/>
        </w:rPr>
        <w:t xml:space="preserve"> will record the time non-observed doses are taken</w:t>
      </w:r>
      <w:r w:rsidR="00D670E8" w:rsidRPr="001C0C4B">
        <w:rPr>
          <w:rFonts w:ascii="Calibri" w:hAnsi="Calibri" w:cs="Calibri"/>
        </w:rPr>
        <w:t xml:space="preserve">). </w:t>
      </w:r>
    </w:p>
    <w:p w14:paraId="221DED04" w14:textId="061ED66B" w:rsidR="005858D4" w:rsidRPr="001C0C4B" w:rsidRDefault="004A09F6" w:rsidP="009E06F8">
      <w:pPr>
        <w:pStyle w:val="ListParagraph"/>
        <w:numPr>
          <w:ilvl w:val="0"/>
          <w:numId w:val="7"/>
        </w:numPr>
        <w:jc w:val="both"/>
        <w:rPr>
          <w:rStyle w:val="eop"/>
          <w:rFonts w:ascii="Calibri" w:hAnsi="Calibri" w:cs="Calibri"/>
        </w:rPr>
      </w:pPr>
      <w:r w:rsidRPr="001C0C4B">
        <w:rPr>
          <w:rFonts w:ascii="Calibri" w:hAnsi="Calibri" w:cs="Calibri"/>
        </w:rPr>
        <w:t>Oropharyngeal</w:t>
      </w:r>
      <w:r w:rsidR="005858D4" w:rsidRPr="001C0C4B">
        <w:rPr>
          <w:rFonts w:ascii="Calibri" w:hAnsi="Calibri" w:cs="Calibri"/>
        </w:rPr>
        <w:t xml:space="preserve"> swab</w:t>
      </w:r>
      <w:r w:rsidR="35B93887" w:rsidRPr="001C0C4B">
        <w:rPr>
          <w:rFonts w:ascii="Calibri" w:hAnsi="Calibri" w:cs="Calibri"/>
        </w:rPr>
        <w:t xml:space="preserve"> for qPCR</w:t>
      </w:r>
      <w:r w:rsidR="00993818" w:rsidRPr="001C0C4B">
        <w:rPr>
          <w:rStyle w:val="eop"/>
          <w:rFonts w:ascii="Calibri" w:hAnsi="Calibri" w:cs="Calibri"/>
        </w:rPr>
        <w:t xml:space="preserve"> </w:t>
      </w:r>
      <w:r w:rsidR="00BE7696" w:rsidRPr="001C0C4B">
        <w:rPr>
          <w:rStyle w:val="eop"/>
          <w:rFonts w:ascii="Calibri" w:hAnsi="Calibri" w:cs="Calibri"/>
        </w:rPr>
        <w:t>taken in duplicate</w:t>
      </w:r>
      <w:r w:rsidR="0079335D" w:rsidRPr="001C0C4B">
        <w:rPr>
          <w:rStyle w:val="eop"/>
          <w:rFonts w:ascii="Calibri" w:hAnsi="Calibri" w:cs="Calibri"/>
        </w:rPr>
        <w:t xml:space="preserve"> </w:t>
      </w:r>
      <w:r w:rsidR="008E6A06" w:rsidRPr="001C0C4B">
        <w:rPr>
          <w:rFonts w:ascii="Calibri" w:hAnsi="Calibri" w:cs="Calibri"/>
        </w:rPr>
        <w:t xml:space="preserve">(and possibly a saliva sample see section 7.1) </w:t>
      </w:r>
      <w:r w:rsidRPr="001C0C4B">
        <w:rPr>
          <w:rStyle w:val="eop"/>
          <w:rFonts w:ascii="Calibri" w:hAnsi="Calibri" w:cs="Calibri"/>
        </w:rPr>
        <w:t xml:space="preserve">by the </w:t>
      </w:r>
      <w:r w:rsidR="00B33CA9" w:rsidRPr="001C0C4B">
        <w:rPr>
          <w:rStyle w:val="eop"/>
          <w:rFonts w:ascii="Calibri" w:hAnsi="Calibri" w:cs="Calibri"/>
        </w:rPr>
        <w:t>study personnel</w:t>
      </w:r>
      <w:r w:rsidRPr="001C0C4B">
        <w:rPr>
          <w:rStyle w:val="eop"/>
          <w:rFonts w:ascii="Calibri" w:hAnsi="Calibri" w:cs="Calibri"/>
        </w:rPr>
        <w:t xml:space="preserve"> </w:t>
      </w:r>
      <w:r w:rsidR="0079335D" w:rsidRPr="001C0C4B">
        <w:rPr>
          <w:rStyle w:val="eop"/>
          <w:rFonts w:ascii="Calibri" w:hAnsi="Calibri" w:cs="Calibri"/>
        </w:rPr>
        <w:t xml:space="preserve">(time taken recorded by the </w:t>
      </w:r>
      <w:r w:rsidR="00B33CA9" w:rsidRPr="001C0C4B">
        <w:rPr>
          <w:rStyle w:val="eop"/>
          <w:rFonts w:ascii="Calibri" w:hAnsi="Calibri" w:cs="Calibri"/>
        </w:rPr>
        <w:t>study personnel</w:t>
      </w:r>
      <w:r w:rsidR="0079335D" w:rsidRPr="001C0C4B">
        <w:rPr>
          <w:rStyle w:val="eop"/>
          <w:rFonts w:ascii="Calibri" w:hAnsi="Calibri" w:cs="Calibri"/>
        </w:rPr>
        <w:t>)</w:t>
      </w:r>
    </w:p>
    <w:p w14:paraId="36D0E407" w14:textId="48072744" w:rsidR="00180421" w:rsidRPr="001C0C4B" w:rsidRDefault="00A86377" w:rsidP="009E06F8">
      <w:pPr>
        <w:pStyle w:val="ListParagraph"/>
        <w:numPr>
          <w:ilvl w:val="0"/>
          <w:numId w:val="7"/>
        </w:numPr>
        <w:jc w:val="both"/>
        <w:rPr>
          <w:rStyle w:val="eop"/>
          <w:rFonts w:ascii="Calibri" w:hAnsi="Calibri" w:cs="Calibri"/>
        </w:rPr>
      </w:pPr>
      <w:r w:rsidRPr="001C0C4B">
        <w:rPr>
          <w:rStyle w:val="eop"/>
          <w:rFonts w:ascii="Calibri" w:hAnsi="Calibri" w:cs="Calibri"/>
        </w:rPr>
        <w:t>T</w:t>
      </w:r>
      <w:r w:rsidR="00C85BF0" w:rsidRPr="001C0C4B">
        <w:rPr>
          <w:rStyle w:val="eop"/>
          <w:rFonts w:ascii="Calibri" w:hAnsi="Calibri" w:cs="Calibri"/>
        </w:rPr>
        <w:t>emperature</w:t>
      </w:r>
      <w:r w:rsidRPr="001C0C4B">
        <w:rPr>
          <w:rStyle w:val="eop"/>
          <w:rFonts w:ascii="Calibri" w:hAnsi="Calibri" w:cs="Calibri"/>
        </w:rPr>
        <w:t xml:space="preserve"> recorded</w:t>
      </w:r>
      <w:r w:rsidR="004B04C5" w:rsidRPr="001C0C4B">
        <w:rPr>
          <w:rStyle w:val="eop"/>
          <w:rFonts w:ascii="Calibri" w:hAnsi="Calibri" w:cs="Calibri"/>
        </w:rPr>
        <w:t xml:space="preserve"> </w:t>
      </w:r>
      <w:r w:rsidR="004A09F6" w:rsidRPr="001C0C4B">
        <w:rPr>
          <w:rStyle w:val="eop"/>
          <w:rFonts w:ascii="Calibri" w:hAnsi="Calibri" w:cs="Calibri"/>
        </w:rPr>
        <w:t>twice</w:t>
      </w:r>
      <w:r w:rsidR="004B04C5" w:rsidRPr="001C0C4B">
        <w:rPr>
          <w:rStyle w:val="eop"/>
          <w:rFonts w:ascii="Calibri" w:hAnsi="Calibri" w:cs="Calibri"/>
        </w:rPr>
        <w:t xml:space="preserve"> </w:t>
      </w:r>
      <w:r w:rsidR="00C85BF0" w:rsidRPr="001C0C4B">
        <w:rPr>
          <w:rStyle w:val="eop"/>
          <w:rFonts w:ascii="Calibri" w:hAnsi="Calibri" w:cs="Calibri"/>
        </w:rPr>
        <w:t>daily</w:t>
      </w:r>
      <w:r w:rsidR="0079335D" w:rsidRPr="001C0C4B">
        <w:rPr>
          <w:rStyle w:val="eop"/>
          <w:rFonts w:ascii="Calibri" w:hAnsi="Calibri" w:cs="Calibri"/>
        </w:rPr>
        <w:t xml:space="preserve"> </w:t>
      </w:r>
      <w:r w:rsidR="00C239E3" w:rsidRPr="001C0C4B">
        <w:rPr>
          <w:rStyle w:val="eop"/>
          <w:rFonts w:ascii="Calibri" w:hAnsi="Calibri" w:cs="Calibri"/>
        </w:rPr>
        <w:t>by study staff or participant</w:t>
      </w:r>
      <w:r w:rsidR="0079335D" w:rsidRPr="001C0C4B">
        <w:rPr>
          <w:rStyle w:val="eop"/>
          <w:rFonts w:ascii="Calibri" w:hAnsi="Calibri" w:cs="Calibri"/>
        </w:rPr>
        <w:t xml:space="preserve"> (information collected in a diary and reviewed by </w:t>
      </w:r>
      <w:r w:rsidR="00AE794D" w:rsidRPr="001C0C4B">
        <w:rPr>
          <w:rStyle w:val="eop"/>
          <w:rFonts w:ascii="Calibri" w:hAnsi="Calibri" w:cs="Calibri"/>
        </w:rPr>
        <w:t xml:space="preserve">the </w:t>
      </w:r>
      <w:r w:rsidR="00B33CA9" w:rsidRPr="001C0C4B">
        <w:rPr>
          <w:rStyle w:val="eop"/>
          <w:rFonts w:ascii="Calibri" w:hAnsi="Calibri" w:cs="Calibri"/>
        </w:rPr>
        <w:t>study personnel</w:t>
      </w:r>
      <w:r w:rsidR="0079335D" w:rsidRPr="001C0C4B">
        <w:rPr>
          <w:rStyle w:val="eop"/>
          <w:rFonts w:ascii="Calibri" w:hAnsi="Calibri" w:cs="Calibri"/>
        </w:rPr>
        <w:t xml:space="preserve"> daily)</w:t>
      </w:r>
    </w:p>
    <w:p w14:paraId="1F3458E4" w14:textId="6859A0D2" w:rsidR="006A0A18" w:rsidRPr="001C0C4B" w:rsidRDefault="00B33CA9" w:rsidP="009E06F8">
      <w:pPr>
        <w:pStyle w:val="ListParagraph"/>
        <w:numPr>
          <w:ilvl w:val="0"/>
          <w:numId w:val="7"/>
        </w:numPr>
        <w:jc w:val="both"/>
        <w:rPr>
          <w:rStyle w:val="eop"/>
          <w:rFonts w:ascii="Calibri" w:hAnsi="Calibri" w:cs="Calibri"/>
        </w:rPr>
      </w:pPr>
      <w:r w:rsidRPr="001C0C4B">
        <w:rPr>
          <w:rStyle w:val="eop"/>
          <w:rFonts w:ascii="Calibri" w:hAnsi="Calibri" w:cs="Calibri"/>
        </w:rPr>
        <w:t>Study personnel</w:t>
      </w:r>
      <w:r w:rsidR="0079335D" w:rsidRPr="001C0C4B">
        <w:rPr>
          <w:rStyle w:val="eop"/>
          <w:rFonts w:ascii="Calibri" w:hAnsi="Calibri" w:cs="Calibri"/>
        </w:rPr>
        <w:t xml:space="preserve"> </w:t>
      </w:r>
      <w:r w:rsidR="00C85BF0" w:rsidRPr="001C0C4B">
        <w:rPr>
          <w:rStyle w:val="eop"/>
          <w:rFonts w:ascii="Calibri" w:hAnsi="Calibri" w:cs="Calibri"/>
        </w:rPr>
        <w:t>completes a brief symptom questionnaire each day</w:t>
      </w:r>
    </w:p>
    <w:p w14:paraId="7D4B5FC3" w14:textId="16211D59" w:rsidR="00C85BF0" w:rsidRPr="001C0C4B" w:rsidRDefault="00481848" w:rsidP="009E06F8">
      <w:pPr>
        <w:pStyle w:val="ListParagraph"/>
        <w:numPr>
          <w:ilvl w:val="0"/>
          <w:numId w:val="7"/>
        </w:numPr>
        <w:jc w:val="both"/>
        <w:rPr>
          <w:rStyle w:val="eop"/>
          <w:rFonts w:ascii="Calibri" w:hAnsi="Calibri" w:cs="Calibri"/>
        </w:rPr>
      </w:pPr>
      <w:r w:rsidRPr="001C0C4B">
        <w:rPr>
          <w:rStyle w:val="eop"/>
          <w:rFonts w:ascii="Calibri" w:hAnsi="Calibri" w:cs="Calibri"/>
        </w:rPr>
        <w:lastRenderedPageBreak/>
        <w:t>Two</w:t>
      </w:r>
      <w:r w:rsidR="00BD3263" w:rsidRPr="001C0C4B">
        <w:rPr>
          <w:rStyle w:val="eop"/>
          <w:rFonts w:ascii="Calibri" w:hAnsi="Calibri" w:cs="Calibri"/>
        </w:rPr>
        <w:t xml:space="preserve"> </w:t>
      </w:r>
      <w:r w:rsidR="00AE3FD9" w:rsidRPr="001C0C4B">
        <w:rPr>
          <w:rStyle w:val="eop"/>
          <w:rFonts w:ascii="Calibri" w:hAnsi="Calibri" w:cs="Calibri"/>
        </w:rPr>
        <w:t>blood sample</w:t>
      </w:r>
      <w:r w:rsidR="00BD3263" w:rsidRPr="001C0C4B">
        <w:rPr>
          <w:rStyle w:val="eop"/>
          <w:rFonts w:ascii="Calibri" w:hAnsi="Calibri" w:cs="Calibri"/>
        </w:rPr>
        <w:t>s</w:t>
      </w:r>
      <w:r w:rsidR="00AE3FD9" w:rsidRPr="001C0C4B">
        <w:rPr>
          <w:rStyle w:val="eop"/>
          <w:rFonts w:ascii="Calibri" w:hAnsi="Calibri" w:cs="Calibri"/>
        </w:rPr>
        <w:t xml:space="preserve"> </w:t>
      </w:r>
      <w:r w:rsidR="00A53C79" w:rsidRPr="001C0C4B">
        <w:rPr>
          <w:rStyle w:val="eop"/>
          <w:rFonts w:ascii="Calibri" w:hAnsi="Calibri" w:cs="Calibri"/>
        </w:rPr>
        <w:t xml:space="preserve">will be </w:t>
      </w:r>
      <w:r w:rsidR="00AE3FD9" w:rsidRPr="001C0C4B">
        <w:rPr>
          <w:rStyle w:val="eop"/>
          <w:rFonts w:ascii="Calibri" w:hAnsi="Calibri" w:cs="Calibri"/>
        </w:rPr>
        <w:t xml:space="preserve">taken (ideally day </w:t>
      </w:r>
      <w:r w:rsidR="00BD3263" w:rsidRPr="001C0C4B">
        <w:rPr>
          <w:rStyle w:val="eop"/>
          <w:rFonts w:ascii="Calibri" w:hAnsi="Calibri" w:cs="Calibri"/>
        </w:rPr>
        <w:t>3</w:t>
      </w:r>
      <w:r w:rsidRPr="001C0C4B">
        <w:rPr>
          <w:rStyle w:val="eop"/>
          <w:rFonts w:ascii="Calibri" w:hAnsi="Calibri" w:cs="Calibri"/>
        </w:rPr>
        <w:t xml:space="preserve"> and </w:t>
      </w:r>
      <w:r w:rsidR="004B04C5" w:rsidRPr="001C0C4B">
        <w:rPr>
          <w:rStyle w:val="eop"/>
          <w:rFonts w:ascii="Calibri" w:hAnsi="Calibri" w:cs="Calibri"/>
        </w:rPr>
        <w:t>7</w:t>
      </w:r>
      <w:r w:rsidRPr="001C0C4B">
        <w:rPr>
          <w:rStyle w:val="eop"/>
          <w:rFonts w:ascii="Calibri" w:hAnsi="Calibri" w:cs="Calibri"/>
        </w:rPr>
        <w:t xml:space="preserve">) </w:t>
      </w:r>
      <w:r w:rsidR="004B04C5" w:rsidRPr="001C0C4B">
        <w:rPr>
          <w:rStyle w:val="eop"/>
          <w:rFonts w:ascii="Calibri" w:hAnsi="Calibri" w:cs="Calibri"/>
        </w:rPr>
        <w:t>for antibody levels</w:t>
      </w:r>
      <w:r w:rsidRPr="001C0C4B">
        <w:rPr>
          <w:rStyle w:val="eop"/>
          <w:rFonts w:ascii="Calibri" w:hAnsi="Calibri" w:cs="Calibri"/>
        </w:rPr>
        <w:t xml:space="preserve"> and </w:t>
      </w:r>
      <w:r w:rsidR="0021396B" w:rsidRPr="001C0C4B">
        <w:rPr>
          <w:rStyle w:val="eop"/>
          <w:rFonts w:ascii="Calibri" w:hAnsi="Calibri" w:cs="Calibri"/>
        </w:rPr>
        <w:t xml:space="preserve">for </w:t>
      </w:r>
      <w:r w:rsidRPr="001C0C4B">
        <w:rPr>
          <w:rStyle w:val="eop"/>
          <w:rFonts w:ascii="Calibri" w:hAnsi="Calibri" w:cs="Calibri"/>
        </w:rPr>
        <w:t xml:space="preserve">later pharmacokinetic </w:t>
      </w:r>
      <w:r w:rsidR="0021396B" w:rsidRPr="001C0C4B">
        <w:rPr>
          <w:rStyle w:val="eop"/>
          <w:rFonts w:ascii="Calibri" w:hAnsi="Calibri" w:cs="Calibri"/>
        </w:rPr>
        <w:t>analys</w:t>
      </w:r>
      <w:r w:rsidRPr="001C0C4B">
        <w:rPr>
          <w:rStyle w:val="eop"/>
          <w:rFonts w:ascii="Calibri" w:hAnsi="Calibri" w:cs="Calibri"/>
        </w:rPr>
        <w:t>e</w:t>
      </w:r>
      <w:r w:rsidR="0021396B" w:rsidRPr="001C0C4B">
        <w:rPr>
          <w:rStyle w:val="eop"/>
          <w:rFonts w:ascii="Calibri" w:hAnsi="Calibri" w:cs="Calibri"/>
        </w:rPr>
        <w:t xml:space="preserve">s </w:t>
      </w:r>
      <w:r w:rsidR="00460D82" w:rsidRPr="001C0C4B">
        <w:rPr>
          <w:rStyle w:val="eop"/>
          <w:rFonts w:ascii="Calibri" w:hAnsi="Calibri" w:cs="Calibri"/>
        </w:rPr>
        <w:t>(pre- or post-dose depending on the therapeutic in question)</w:t>
      </w:r>
      <w:r w:rsidR="006F3F47" w:rsidRPr="001C0C4B">
        <w:rPr>
          <w:rStyle w:val="eop"/>
          <w:rFonts w:ascii="Calibri" w:hAnsi="Calibri" w:cs="Calibri"/>
        </w:rPr>
        <w:t xml:space="preserve"> and </w:t>
      </w:r>
      <w:r w:rsidR="00655993" w:rsidRPr="001C0C4B">
        <w:rPr>
          <w:rStyle w:val="eop"/>
          <w:rFonts w:ascii="Calibri" w:hAnsi="Calibri" w:cs="Calibri"/>
        </w:rPr>
        <w:t>FBC</w:t>
      </w:r>
      <w:r w:rsidR="00552594" w:rsidRPr="001C0C4B">
        <w:rPr>
          <w:rStyle w:val="eop"/>
          <w:rFonts w:ascii="Calibri" w:hAnsi="Calibri" w:cs="Calibri"/>
        </w:rPr>
        <w:t xml:space="preserve"> and biochemistry, to </w:t>
      </w:r>
      <w:r w:rsidR="00A53C79" w:rsidRPr="001C0C4B">
        <w:rPr>
          <w:rStyle w:val="eop"/>
          <w:rFonts w:ascii="Calibri" w:hAnsi="Calibri" w:cs="Calibri"/>
        </w:rPr>
        <w:t xml:space="preserve">assess potential </w:t>
      </w:r>
      <w:r w:rsidR="00552594" w:rsidRPr="001C0C4B">
        <w:rPr>
          <w:rStyle w:val="eop"/>
          <w:rFonts w:ascii="Calibri" w:hAnsi="Calibri" w:cs="Calibri"/>
        </w:rPr>
        <w:t xml:space="preserve">drug </w:t>
      </w:r>
      <w:r w:rsidR="00F925BA" w:rsidRPr="001C0C4B">
        <w:rPr>
          <w:rStyle w:val="eop"/>
          <w:rFonts w:ascii="Calibri" w:hAnsi="Calibri" w:cs="Calibri"/>
        </w:rPr>
        <w:t xml:space="preserve">adverse </w:t>
      </w:r>
      <w:r w:rsidR="00552594" w:rsidRPr="001C0C4B">
        <w:rPr>
          <w:rStyle w:val="eop"/>
          <w:rFonts w:ascii="Calibri" w:hAnsi="Calibri" w:cs="Calibri"/>
        </w:rPr>
        <w:t>effects</w:t>
      </w:r>
      <w:r w:rsidR="00F874A9" w:rsidRPr="001C0C4B">
        <w:rPr>
          <w:rStyle w:val="eop"/>
          <w:rFonts w:ascii="Calibri" w:hAnsi="Calibri" w:cs="Calibri"/>
        </w:rPr>
        <w:t>.</w:t>
      </w:r>
      <w:r w:rsidR="00C85BF0" w:rsidRPr="001C0C4B">
        <w:rPr>
          <w:rStyle w:val="eop"/>
          <w:rFonts w:ascii="Calibri" w:hAnsi="Calibri" w:cs="Calibri"/>
        </w:rPr>
        <w:t xml:space="preserve"> </w:t>
      </w:r>
    </w:p>
    <w:p w14:paraId="197CEFD5" w14:textId="2EAB3827" w:rsidR="002261AF" w:rsidRPr="001C0C4B" w:rsidRDefault="002261AF" w:rsidP="002261AF">
      <w:pPr>
        <w:pStyle w:val="NoSpacing"/>
        <w:ind w:left="360" w:firstLine="360"/>
      </w:pPr>
      <w:r w:rsidRPr="001C0C4B">
        <w:t>7.6.3 Day 10</w:t>
      </w:r>
    </w:p>
    <w:p w14:paraId="6D5D8D49" w14:textId="0486D114" w:rsidR="002261AF" w:rsidRPr="001C0C4B" w:rsidRDefault="002261AF" w:rsidP="00F362F3">
      <w:pPr>
        <w:jc w:val="both"/>
        <w:rPr>
          <w:rStyle w:val="eop"/>
          <w:rFonts w:ascii="Calibri" w:hAnsi="Calibri" w:cs="Calibri"/>
        </w:rPr>
      </w:pPr>
      <w:r w:rsidRPr="001C0C4B">
        <w:rPr>
          <w:rFonts w:ascii="Calibri" w:hAnsi="Calibri" w:cs="Calibri"/>
        </w:rPr>
        <w:t>All patients will have oropharyngeal swabs taken in duplicate (and possibly a saliva sample see section 7.1) either at home (if feasible) or at the research ward</w:t>
      </w:r>
      <w:r w:rsidRPr="001C0C4B">
        <w:rPr>
          <w:rStyle w:val="eop"/>
          <w:rFonts w:ascii="Calibri" w:hAnsi="Calibri" w:cs="Calibri"/>
        </w:rPr>
        <w:t>.</w:t>
      </w:r>
      <w:r w:rsidR="0082035A" w:rsidRPr="001C0C4B">
        <w:rPr>
          <w:rStyle w:val="eop"/>
          <w:rFonts w:ascii="Calibri" w:hAnsi="Calibri" w:cs="Calibri"/>
        </w:rPr>
        <w:t xml:space="preserve"> These extra swabs are to better capture viral rebound should this occur, as has been described with certain antivirals.</w:t>
      </w:r>
    </w:p>
    <w:p w14:paraId="5DDBFB10" w14:textId="73DCFA13" w:rsidR="6B0A5CEA" w:rsidRPr="001C0C4B" w:rsidRDefault="00E92601" w:rsidP="00E92601">
      <w:pPr>
        <w:pStyle w:val="NoSpacing"/>
        <w:ind w:left="360" w:firstLine="360"/>
      </w:pPr>
      <w:r w:rsidRPr="001C0C4B">
        <w:t>7.6.</w:t>
      </w:r>
      <w:r w:rsidR="002261AF" w:rsidRPr="001C0C4B">
        <w:t>4</w:t>
      </w:r>
      <w:r w:rsidRPr="001C0C4B">
        <w:t xml:space="preserve"> </w:t>
      </w:r>
      <w:r w:rsidR="6B0A5CEA" w:rsidRPr="001C0C4B">
        <w:t>Day 14</w:t>
      </w:r>
    </w:p>
    <w:p w14:paraId="50C9AA72" w14:textId="0F6FA551" w:rsidR="6B0A5CEA" w:rsidRPr="001C0C4B" w:rsidRDefault="00CB6CF3" w:rsidP="3F44033F">
      <w:pPr>
        <w:jc w:val="both"/>
        <w:rPr>
          <w:rFonts w:ascii="Calibri" w:hAnsi="Calibri" w:cs="Calibri"/>
        </w:rPr>
      </w:pPr>
      <w:r w:rsidRPr="001C0C4B">
        <w:rPr>
          <w:rFonts w:ascii="Calibri" w:hAnsi="Calibri" w:cs="Calibri"/>
        </w:rPr>
        <w:t xml:space="preserve">All patients will have </w:t>
      </w:r>
      <w:r w:rsidR="003243BC" w:rsidRPr="001C0C4B">
        <w:rPr>
          <w:rFonts w:ascii="Calibri" w:hAnsi="Calibri" w:cs="Calibri"/>
        </w:rPr>
        <w:t xml:space="preserve">oropharyngeal swabs taken in duplicate and </w:t>
      </w:r>
      <w:r w:rsidRPr="001C0C4B">
        <w:rPr>
          <w:rFonts w:ascii="Calibri" w:hAnsi="Calibri" w:cs="Calibri"/>
        </w:rPr>
        <w:t>a blood test taken on day 14</w:t>
      </w:r>
      <w:r w:rsidR="001A7A71" w:rsidRPr="001C0C4B">
        <w:rPr>
          <w:rFonts w:ascii="Calibri" w:hAnsi="Calibri" w:cs="Calibri"/>
        </w:rPr>
        <w:t xml:space="preserve"> </w:t>
      </w:r>
      <w:r w:rsidR="00250810" w:rsidRPr="001C0C4B">
        <w:rPr>
          <w:rFonts w:ascii="Calibri" w:hAnsi="Calibri" w:cs="Calibri"/>
        </w:rPr>
        <w:t xml:space="preserve">(and possibly a saliva sample see section 7.1) </w:t>
      </w:r>
      <w:r w:rsidR="001A7A71" w:rsidRPr="001C0C4B">
        <w:rPr>
          <w:rFonts w:ascii="Calibri" w:hAnsi="Calibri" w:cs="Calibri"/>
        </w:rPr>
        <w:t>either at home (if feasible) or a</w:t>
      </w:r>
      <w:r w:rsidR="00FA3452" w:rsidRPr="001C0C4B">
        <w:rPr>
          <w:rFonts w:ascii="Calibri" w:hAnsi="Calibri" w:cs="Calibri"/>
        </w:rPr>
        <w:t>t</w:t>
      </w:r>
      <w:r w:rsidR="001A7A71" w:rsidRPr="001C0C4B">
        <w:rPr>
          <w:rFonts w:ascii="Calibri" w:hAnsi="Calibri" w:cs="Calibri"/>
        </w:rPr>
        <w:t xml:space="preserve"> the </w:t>
      </w:r>
      <w:r w:rsidR="00FA3452" w:rsidRPr="001C0C4B">
        <w:rPr>
          <w:rFonts w:ascii="Calibri" w:hAnsi="Calibri" w:cs="Calibri"/>
        </w:rPr>
        <w:t xml:space="preserve">research </w:t>
      </w:r>
      <w:r w:rsidR="001A7A71" w:rsidRPr="001C0C4B">
        <w:rPr>
          <w:rFonts w:ascii="Calibri" w:hAnsi="Calibri" w:cs="Calibri"/>
        </w:rPr>
        <w:t>ward</w:t>
      </w:r>
      <w:r w:rsidR="2A6C9AC2" w:rsidRPr="001C0C4B">
        <w:rPr>
          <w:rFonts w:ascii="Calibri" w:hAnsi="Calibri" w:cs="Calibri"/>
        </w:rPr>
        <w:t xml:space="preserve"> </w:t>
      </w:r>
      <w:r w:rsidR="00481848" w:rsidRPr="001C0C4B">
        <w:rPr>
          <w:rStyle w:val="eop"/>
          <w:rFonts w:ascii="Calibri" w:hAnsi="Calibri" w:cs="Calibri"/>
        </w:rPr>
        <w:t>to follow-up blood abnormalities</w:t>
      </w:r>
      <w:r w:rsidR="00925236" w:rsidRPr="001C0C4B">
        <w:rPr>
          <w:rStyle w:val="eop"/>
          <w:rFonts w:ascii="Calibri" w:hAnsi="Calibri" w:cs="Calibri"/>
        </w:rPr>
        <w:t>, if</w:t>
      </w:r>
      <w:r w:rsidR="00481848" w:rsidRPr="001C0C4B">
        <w:rPr>
          <w:rStyle w:val="eop"/>
          <w:rFonts w:ascii="Calibri" w:hAnsi="Calibri" w:cs="Calibri"/>
        </w:rPr>
        <w:t xml:space="preserve"> identified in the earlier tests</w:t>
      </w:r>
      <w:r w:rsidR="00B83CB6" w:rsidRPr="001C0C4B">
        <w:rPr>
          <w:rStyle w:val="eop"/>
          <w:rFonts w:ascii="Calibri" w:hAnsi="Calibri" w:cs="Calibri"/>
        </w:rPr>
        <w:t>, and to determine antibody responses (serology</w:t>
      </w:r>
      <w:r w:rsidR="00822215" w:rsidRPr="001C0C4B">
        <w:rPr>
          <w:rStyle w:val="eop"/>
          <w:rFonts w:ascii="Calibri" w:hAnsi="Calibri" w:cs="Calibri"/>
        </w:rPr>
        <w:t>)</w:t>
      </w:r>
      <w:r w:rsidR="00481848" w:rsidRPr="001C0C4B">
        <w:rPr>
          <w:rStyle w:val="eop"/>
          <w:rFonts w:ascii="Calibri" w:hAnsi="Calibri" w:cs="Calibri"/>
        </w:rPr>
        <w:t>.</w:t>
      </w:r>
    </w:p>
    <w:p w14:paraId="1B26A8A3" w14:textId="430FB087" w:rsidR="005858D4" w:rsidRPr="001C0C4B" w:rsidRDefault="00E92601" w:rsidP="00E92601">
      <w:pPr>
        <w:pStyle w:val="NoSpacing"/>
        <w:ind w:left="360" w:firstLine="360"/>
      </w:pPr>
      <w:r w:rsidRPr="001C0C4B">
        <w:t>7.6.</w:t>
      </w:r>
      <w:r w:rsidR="002261AF" w:rsidRPr="001C0C4B">
        <w:t>5</w:t>
      </w:r>
      <w:r w:rsidRPr="001C0C4B">
        <w:t xml:space="preserve"> </w:t>
      </w:r>
      <w:r w:rsidR="005858D4" w:rsidRPr="001C0C4B">
        <w:t>Day</w:t>
      </w:r>
      <w:r w:rsidR="002F53B7" w:rsidRPr="001C0C4B">
        <w:t xml:space="preserve"> </w:t>
      </w:r>
      <w:r w:rsidR="005D7AE9" w:rsidRPr="001C0C4B">
        <w:t>28</w:t>
      </w:r>
      <w:r w:rsidR="002F53B7" w:rsidRPr="001C0C4B">
        <w:t xml:space="preserve"> </w:t>
      </w:r>
      <w:r w:rsidR="00A95940" w:rsidRPr="001C0C4B">
        <w:t xml:space="preserve">assessment </w:t>
      </w:r>
      <w:r w:rsidR="002F53B7" w:rsidRPr="001C0C4B">
        <w:t xml:space="preserve"> </w:t>
      </w:r>
    </w:p>
    <w:p w14:paraId="1AB7BCDC" w14:textId="3F2AFF7F" w:rsidR="005858D4" w:rsidRPr="001C0C4B" w:rsidRDefault="009F175A" w:rsidP="00524FE5">
      <w:pPr>
        <w:jc w:val="both"/>
        <w:rPr>
          <w:rFonts w:ascii="Calibri" w:hAnsi="Calibri" w:cs="Calibri"/>
        </w:rPr>
      </w:pPr>
      <w:r w:rsidRPr="001C0C4B">
        <w:rPr>
          <w:rFonts w:ascii="Calibri" w:hAnsi="Calibri" w:cs="Calibri"/>
        </w:rPr>
        <w:t>The day 28 follow-up assessment will be through a t</w:t>
      </w:r>
      <w:r w:rsidR="276CAC2E" w:rsidRPr="001C0C4B">
        <w:rPr>
          <w:rFonts w:ascii="Calibri" w:hAnsi="Calibri" w:cs="Calibri"/>
        </w:rPr>
        <w:t xml:space="preserve">elephone call </w:t>
      </w:r>
      <w:r w:rsidR="003243BC" w:rsidRPr="001C0C4B">
        <w:rPr>
          <w:rFonts w:ascii="Calibri" w:hAnsi="Calibri" w:cs="Calibri"/>
        </w:rPr>
        <w:t>or a visit</w:t>
      </w:r>
      <w:r w:rsidR="276CAC2E" w:rsidRPr="001C0C4B">
        <w:rPr>
          <w:rFonts w:ascii="Calibri" w:hAnsi="Calibri" w:cs="Calibri"/>
        </w:rPr>
        <w:t xml:space="preserve"> to check </w:t>
      </w:r>
      <w:r w:rsidR="45715547" w:rsidRPr="001C0C4B">
        <w:rPr>
          <w:rFonts w:ascii="Calibri" w:hAnsi="Calibri" w:cs="Calibri"/>
        </w:rPr>
        <w:t xml:space="preserve">whether the patient recovered uneventfully for whether there was progression </w:t>
      </w:r>
      <w:r w:rsidR="276CAC2E" w:rsidRPr="001C0C4B">
        <w:rPr>
          <w:rFonts w:ascii="Calibri" w:hAnsi="Calibri" w:cs="Calibri"/>
        </w:rPr>
        <w:t xml:space="preserve">to </w:t>
      </w:r>
      <w:r w:rsidR="00822215" w:rsidRPr="001C0C4B">
        <w:rPr>
          <w:rFonts w:ascii="Calibri" w:hAnsi="Calibri" w:cs="Calibri"/>
        </w:rPr>
        <w:t xml:space="preserve">more </w:t>
      </w:r>
      <w:r w:rsidR="276CAC2E" w:rsidRPr="001C0C4B">
        <w:rPr>
          <w:rFonts w:ascii="Calibri" w:hAnsi="Calibri" w:cs="Calibri"/>
        </w:rPr>
        <w:t xml:space="preserve">severe illness </w:t>
      </w:r>
      <w:r w:rsidR="00211776" w:rsidRPr="001C0C4B">
        <w:rPr>
          <w:rFonts w:ascii="Calibri" w:hAnsi="Calibri" w:cs="Calibri"/>
        </w:rPr>
        <w:t>or</w:t>
      </w:r>
      <w:r w:rsidR="5758D8EF" w:rsidRPr="001C0C4B">
        <w:rPr>
          <w:rFonts w:ascii="Calibri" w:hAnsi="Calibri" w:cs="Calibri"/>
        </w:rPr>
        <w:t xml:space="preserve"> need for</w:t>
      </w:r>
      <w:r w:rsidR="276CAC2E" w:rsidRPr="001C0C4B">
        <w:rPr>
          <w:rFonts w:ascii="Calibri" w:hAnsi="Calibri" w:cs="Calibri"/>
        </w:rPr>
        <w:t xml:space="preserve"> </w:t>
      </w:r>
      <w:r w:rsidR="0060189F" w:rsidRPr="001C0C4B">
        <w:rPr>
          <w:rFonts w:ascii="Calibri" w:hAnsi="Calibri" w:cs="Calibri"/>
        </w:rPr>
        <w:t>hospitalization</w:t>
      </w:r>
      <w:r w:rsidR="00250810" w:rsidRPr="001C0C4B">
        <w:rPr>
          <w:rFonts w:ascii="Calibri" w:hAnsi="Calibri" w:cs="Calibri"/>
        </w:rPr>
        <w:t xml:space="preserve"> for clinical reasons</w:t>
      </w:r>
      <w:r w:rsidR="276CAC2E" w:rsidRPr="001C0C4B">
        <w:rPr>
          <w:rFonts w:ascii="Calibri" w:hAnsi="Calibri" w:cs="Calibri"/>
        </w:rPr>
        <w:t>.</w:t>
      </w:r>
      <w:r w:rsidR="00D514A0" w:rsidRPr="001C0C4B">
        <w:rPr>
          <w:rFonts w:ascii="Calibri" w:hAnsi="Calibri" w:cs="Calibri"/>
        </w:rPr>
        <w:t xml:space="preserve"> This final assessment will have an allowed window </w:t>
      </w:r>
      <w:r w:rsidR="00B54A28" w:rsidRPr="001C0C4B">
        <w:rPr>
          <w:rFonts w:ascii="Calibri" w:hAnsi="Calibri" w:cs="Calibri"/>
        </w:rPr>
        <w:t>-2</w:t>
      </w:r>
      <w:r w:rsidR="00D514A0" w:rsidRPr="001C0C4B">
        <w:rPr>
          <w:rFonts w:ascii="Calibri" w:hAnsi="Calibri" w:cs="Calibri"/>
        </w:rPr>
        <w:t>/</w:t>
      </w:r>
      <w:r w:rsidR="00B54A28" w:rsidRPr="001C0C4B">
        <w:rPr>
          <w:rFonts w:ascii="Calibri" w:hAnsi="Calibri" w:cs="Calibri"/>
        </w:rPr>
        <w:t xml:space="preserve"> +7</w:t>
      </w:r>
      <w:r w:rsidR="00D514A0" w:rsidRPr="001C0C4B">
        <w:rPr>
          <w:rFonts w:ascii="Calibri" w:hAnsi="Calibri" w:cs="Calibri"/>
        </w:rPr>
        <w:t xml:space="preserve"> days based upon calculation from Day 0.</w:t>
      </w:r>
    </w:p>
    <w:p w14:paraId="66FA0D8C" w14:textId="09407016" w:rsidR="00524FE5" w:rsidRPr="001C0C4B" w:rsidRDefault="00524FE5" w:rsidP="00E142CD">
      <w:pPr>
        <w:pStyle w:val="Heading2"/>
        <w:numPr>
          <w:ilvl w:val="1"/>
          <w:numId w:val="23"/>
        </w:numPr>
        <w:rPr>
          <w:rFonts w:ascii="Calibri" w:hAnsi="Calibri" w:cs="Calibri"/>
          <w:color w:val="auto"/>
          <w:sz w:val="22"/>
          <w:szCs w:val="22"/>
        </w:rPr>
      </w:pPr>
      <w:bookmarkStart w:id="158" w:name="_Toc96007290"/>
      <w:bookmarkStart w:id="159" w:name="_Toc95915243"/>
      <w:bookmarkStart w:id="160" w:name="_Toc74661288"/>
      <w:bookmarkStart w:id="161" w:name="_Toc110523982"/>
      <w:bookmarkStart w:id="162" w:name="_Toc96005593"/>
      <w:bookmarkStart w:id="163" w:name="_Toc112917631"/>
      <w:r w:rsidRPr="001C0C4B">
        <w:rPr>
          <w:rFonts w:ascii="Calibri" w:hAnsi="Calibri" w:cs="Calibri"/>
          <w:color w:val="auto"/>
          <w:sz w:val="22"/>
          <w:szCs w:val="22"/>
        </w:rPr>
        <w:t xml:space="preserve">Intensive </w:t>
      </w:r>
      <w:r w:rsidR="0060189F">
        <w:rPr>
          <w:rFonts w:ascii="Calibri" w:hAnsi="Calibri" w:cs="Calibri"/>
          <w:color w:val="auto"/>
          <w:sz w:val="22"/>
          <w:szCs w:val="22"/>
        </w:rPr>
        <w:t>p</w:t>
      </w:r>
      <w:r w:rsidR="00DB1C13" w:rsidRPr="001B277D">
        <w:rPr>
          <w:rFonts w:ascii="Calibri" w:hAnsi="Calibri" w:cs="Calibri"/>
          <w:color w:val="auto"/>
          <w:sz w:val="22"/>
          <w:szCs w:val="22"/>
        </w:rPr>
        <w:t>harmacokinetic</w:t>
      </w:r>
      <w:r w:rsidRPr="001C0C4B">
        <w:rPr>
          <w:rFonts w:ascii="Calibri" w:hAnsi="Calibri" w:cs="Calibri"/>
          <w:color w:val="auto"/>
          <w:sz w:val="22"/>
          <w:szCs w:val="22"/>
        </w:rPr>
        <w:t xml:space="preserve"> sampling</w:t>
      </w:r>
      <w:bookmarkEnd w:id="158"/>
      <w:bookmarkEnd w:id="159"/>
      <w:bookmarkEnd w:id="160"/>
      <w:bookmarkEnd w:id="161"/>
      <w:bookmarkEnd w:id="162"/>
      <w:bookmarkEnd w:id="163"/>
    </w:p>
    <w:p w14:paraId="0AC29C7D" w14:textId="2EAE96C9" w:rsidR="00524FE5" w:rsidRPr="001C0C4B" w:rsidRDefault="008009EB" w:rsidP="00524FE5">
      <w:pPr>
        <w:jc w:val="both"/>
        <w:rPr>
          <w:rFonts w:ascii="Calibri" w:hAnsi="Calibri" w:cs="Calibri"/>
        </w:rPr>
      </w:pPr>
      <w:r w:rsidRPr="001C0C4B">
        <w:rPr>
          <w:rFonts w:ascii="Calibri" w:hAnsi="Calibri" w:cs="Calibri"/>
        </w:rPr>
        <w:t xml:space="preserve">For those </w:t>
      </w:r>
      <w:r w:rsidR="00A95940" w:rsidRPr="001C0C4B">
        <w:rPr>
          <w:rFonts w:ascii="Calibri" w:hAnsi="Calibri" w:cs="Calibri"/>
        </w:rPr>
        <w:t xml:space="preserve">study drugs </w:t>
      </w:r>
      <w:r w:rsidRPr="001C0C4B">
        <w:rPr>
          <w:rFonts w:ascii="Calibri" w:hAnsi="Calibri" w:cs="Calibri"/>
        </w:rPr>
        <w:t xml:space="preserve">that </w:t>
      </w:r>
      <w:r w:rsidR="00657FCD" w:rsidRPr="001C0C4B">
        <w:rPr>
          <w:lang w:val="en-GB"/>
        </w:rPr>
        <w:t xml:space="preserve">are shown to be effective </w:t>
      </w:r>
      <w:r w:rsidR="00677E13" w:rsidRPr="001C0C4B">
        <w:rPr>
          <w:lang w:val="en-GB"/>
        </w:rPr>
        <w:t xml:space="preserve">antivirals </w:t>
      </w:r>
      <w:r w:rsidR="00657FCD" w:rsidRPr="001C0C4B">
        <w:rPr>
          <w:lang w:val="en-GB"/>
        </w:rPr>
        <w:t xml:space="preserve">in </w:t>
      </w:r>
      <w:r w:rsidR="00677E13" w:rsidRPr="001C0C4B">
        <w:rPr>
          <w:lang w:val="en-GB"/>
        </w:rPr>
        <w:t xml:space="preserve">other studies </w:t>
      </w:r>
      <w:r w:rsidR="00DD078D" w:rsidRPr="001C0C4B">
        <w:rPr>
          <w:lang w:val="en-GB"/>
        </w:rPr>
        <w:t xml:space="preserve">(e.g. Molnupiravir, Nirmatrelvir/ritonavir) </w:t>
      </w:r>
      <w:r w:rsidR="00677E13" w:rsidRPr="001C0C4B">
        <w:rPr>
          <w:lang w:val="en-GB"/>
        </w:rPr>
        <w:t>or</w:t>
      </w:r>
      <w:r w:rsidR="00657FCD" w:rsidRPr="001C0C4B">
        <w:rPr>
          <w:rFonts w:cstheme="minorHAnsi"/>
          <w:lang w:val="en-GB"/>
        </w:rPr>
        <w:t xml:space="preserve"> </w:t>
      </w:r>
      <w:r w:rsidR="006F4231" w:rsidRPr="001C0C4B">
        <w:rPr>
          <w:rFonts w:ascii="Calibri" w:hAnsi="Calibri" w:cs="Calibri"/>
        </w:rPr>
        <w:t>meet the success criteria of the study (</w:t>
      </w:r>
      <w:r w:rsidR="0094488F" w:rsidRPr="001C0C4B">
        <w:rPr>
          <w:rFonts w:ascii="Calibri" w:hAnsi="Calibri" w:cs="Calibri"/>
        </w:rPr>
        <w:t xml:space="preserve">defined as a greater than </w:t>
      </w:r>
      <w:r w:rsidR="00701816" w:rsidRPr="001C0C4B">
        <w:rPr>
          <w:rFonts w:ascii="Calibri" w:hAnsi="Calibri" w:cs="Calibri"/>
        </w:rPr>
        <w:t>9</w:t>
      </w:r>
      <w:r w:rsidR="009D40F5" w:rsidRPr="001C0C4B">
        <w:rPr>
          <w:rFonts w:ascii="Calibri" w:hAnsi="Calibri" w:cs="Calibri"/>
        </w:rPr>
        <w:t>0</w:t>
      </w:r>
      <w:r w:rsidR="0094488F" w:rsidRPr="001C0C4B">
        <w:rPr>
          <w:rFonts w:ascii="Calibri" w:hAnsi="Calibri" w:cs="Calibri"/>
        </w:rPr>
        <w:t xml:space="preserve">% probability of accelerating viral clearance by more than </w:t>
      </w:r>
      <w:r w:rsidR="0060189F" w:rsidRPr="001C0C4B">
        <w:rPr>
          <w:rFonts w:ascii="Calibri" w:hAnsi="Calibri" w:cs="Calibri"/>
        </w:rPr>
        <w:t>12.</w:t>
      </w:r>
      <w:r w:rsidR="0094488F" w:rsidRPr="001C0C4B">
        <w:rPr>
          <w:rFonts w:ascii="Calibri" w:hAnsi="Calibri" w:cs="Calibri"/>
        </w:rPr>
        <w:t>5%</w:t>
      </w:r>
      <w:r w:rsidR="002D3A81" w:rsidRPr="001C0C4B">
        <w:rPr>
          <w:rFonts w:ascii="Calibri" w:hAnsi="Calibri" w:cs="Calibri"/>
        </w:rPr>
        <w:t xml:space="preserve">), </w:t>
      </w:r>
      <w:r w:rsidR="003F6763" w:rsidRPr="001C0C4B">
        <w:rPr>
          <w:rFonts w:ascii="Calibri" w:hAnsi="Calibri" w:cs="Calibri"/>
        </w:rPr>
        <w:t xml:space="preserve">we will </w:t>
      </w:r>
      <w:r w:rsidR="00E91CD9" w:rsidRPr="001C0C4B">
        <w:rPr>
          <w:rFonts w:ascii="Calibri" w:hAnsi="Calibri" w:cs="Calibri"/>
        </w:rPr>
        <w:t xml:space="preserve">then </w:t>
      </w:r>
      <w:r w:rsidR="0034297F" w:rsidRPr="001C0C4B">
        <w:rPr>
          <w:rFonts w:ascii="Calibri" w:hAnsi="Calibri" w:cs="Calibri"/>
        </w:rPr>
        <w:t xml:space="preserve">conduct intensive pharmacokinetic </w:t>
      </w:r>
      <w:r w:rsidR="009A723C" w:rsidRPr="001C0C4B">
        <w:rPr>
          <w:rFonts w:ascii="Calibri" w:hAnsi="Calibri" w:cs="Calibri"/>
        </w:rPr>
        <w:t xml:space="preserve">(PK) </w:t>
      </w:r>
      <w:r w:rsidR="00A03260" w:rsidRPr="001C0C4B">
        <w:rPr>
          <w:rFonts w:ascii="Calibri" w:hAnsi="Calibri" w:cs="Calibri"/>
        </w:rPr>
        <w:t>sampling</w:t>
      </w:r>
      <w:r w:rsidR="00C83DEC" w:rsidRPr="001C0C4B">
        <w:rPr>
          <w:rFonts w:ascii="Calibri" w:hAnsi="Calibri" w:cs="Calibri"/>
        </w:rPr>
        <w:t xml:space="preserve"> for further </w:t>
      </w:r>
      <w:r w:rsidR="002A7FC4" w:rsidRPr="001C0C4B">
        <w:rPr>
          <w:rFonts w:ascii="Calibri" w:hAnsi="Calibri" w:cs="Calibri"/>
        </w:rPr>
        <w:t>patient</w:t>
      </w:r>
      <w:r w:rsidR="00C83DEC" w:rsidRPr="001C0C4B">
        <w:rPr>
          <w:rFonts w:ascii="Calibri" w:hAnsi="Calibri" w:cs="Calibri"/>
        </w:rPr>
        <w:t xml:space="preserve">s who are enrolled into that arm. </w:t>
      </w:r>
      <w:r w:rsidR="009E6A2E" w:rsidRPr="001C0C4B">
        <w:rPr>
          <w:rFonts w:ascii="Calibri" w:hAnsi="Calibri" w:cs="Calibri"/>
        </w:rPr>
        <w:t xml:space="preserve">The </w:t>
      </w:r>
      <w:r w:rsidR="001159A2" w:rsidRPr="001C0C4B">
        <w:rPr>
          <w:rFonts w:ascii="Calibri" w:hAnsi="Calibri" w:cs="Calibri"/>
        </w:rPr>
        <w:t xml:space="preserve">exact </w:t>
      </w:r>
      <w:r w:rsidR="00F2393C" w:rsidRPr="001C0C4B">
        <w:rPr>
          <w:rFonts w:ascii="Calibri" w:hAnsi="Calibri" w:cs="Calibri"/>
        </w:rPr>
        <w:t xml:space="preserve">sampling </w:t>
      </w:r>
      <w:r w:rsidR="009A723C" w:rsidRPr="001C0C4B">
        <w:rPr>
          <w:rFonts w:ascii="Calibri" w:hAnsi="Calibri" w:cs="Calibri"/>
        </w:rPr>
        <w:t xml:space="preserve">schedule will depend on the </w:t>
      </w:r>
      <w:r w:rsidR="0072733B" w:rsidRPr="001C0C4B">
        <w:rPr>
          <w:rFonts w:ascii="Calibri" w:hAnsi="Calibri" w:cs="Calibri"/>
        </w:rPr>
        <w:t>study drug characteristics</w:t>
      </w:r>
      <w:r w:rsidR="00BF5FBC" w:rsidRPr="001C0C4B">
        <w:rPr>
          <w:rFonts w:ascii="Calibri" w:hAnsi="Calibri" w:cs="Calibri"/>
        </w:rPr>
        <w:t xml:space="preserve"> (see appendix</w:t>
      </w:r>
      <w:r w:rsidR="002C1A3C" w:rsidRPr="001C0C4B">
        <w:rPr>
          <w:rFonts w:ascii="Calibri" w:hAnsi="Calibri" w:cs="Calibri"/>
        </w:rPr>
        <w:t xml:space="preserve"> 2</w:t>
      </w:r>
      <w:r w:rsidR="0067727E" w:rsidRPr="001C0C4B">
        <w:rPr>
          <w:rFonts w:ascii="Calibri" w:hAnsi="Calibri" w:cs="Calibri"/>
        </w:rPr>
        <w:t>), but in general the patient will</w:t>
      </w:r>
      <w:r w:rsidR="0072733B" w:rsidRPr="001C0C4B">
        <w:rPr>
          <w:rFonts w:ascii="Calibri" w:hAnsi="Calibri" w:cs="Calibri"/>
        </w:rPr>
        <w:t xml:space="preserve"> </w:t>
      </w:r>
      <w:r w:rsidR="00B65003" w:rsidRPr="001C0C4B">
        <w:rPr>
          <w:rFonts w:ascii="Calibri" w:hAnsi="Calibri" w:cs="Calibri"/>
        </w:rPr>
        <w:t>stay at the</w:t>
      </w:r>
      <w:r w:rsidR="0067727E" w:rsidRPr="001C0C4B">
        <w:rPr>
          <w:rFonts w:ascii="Calibri" w:hAnsi="Calibri" w:cs="Calibri"/>
        </w:rPr>
        <w:t xml:space="preserve"> ward for the remainder of the day to have further blood tests performed. A cannula will be inserted so that blood can be drawn without the need for repeated venepuncture. A further blood test will be performed the next day, either at the ward or at their home if feasible. The volume of blood from this will not exceed </w:t>
      </w:r>
      <w:r w:rsidR="00F50CB8" w:rsidRPr="001C0C4B">
        <w:rPr>
          <w:rFonts w:ascii="Calibri" w:hAnsi="Calibri" w:cs="Calibri"/>
        </w:rPr>
        <w:t>20 mls</w:t>
      </w:r>
      <w:r w:rsidR="0067727E" w:rsidRPr="001C0C4B">
        <w:rPr>
          <w:rFonts w:ascii="Calibri" w:hAnsi="Calibri" w:cs="Calibri"/>
        </w:rPr>
        <w:t xml:space="preserve">. </w:t>
      </w:r>
    </w:p>
    <w:p w14:paraId="69F52F37" w14:textId="26EED23D" w:rsidR="72FD1006" w:rsidRPr="001C0C4B" w:rsidRDefault="72FD1006" w:rsidP="00E142CD">
      <w:pPr>
        <w:pStyle w:val="Heading2"/>
        <w:numPr>
          <w:ilvl w:val="1"/>
          <w:numId w:val="23"/>
        </w:numPr>
        <w:rPr>
          <w:rFonts w:ascii="Calibri" w:hAnsi="Calibri" w:cs="Calibri"/>
          <w:color w:val="auto"/>
          <w:sz w:val="22"/>
          <w:szCs w:val="22"/>
        </w:rPr>
      </w:pPr>
      <w:bookmarkStart w:id="164" w:name="_Toc96007291"/>
      <w:bookmarkStart w:id="165" w:name="_Toc95915244"/>
      <w:bookmarkStart w:id="166" w:name="_Toc110523983"/>
      <w:bookmarkStart w:id="167" w:name="_Toc96005594"/>
      <w:bookmarkStart w:id="168" w:name="_Toc112917632"/>
      <w:r w:rsidRPr="001C0C4B">
        <w:rPr>
          <w:rFonts w:ascii="Calibri" w:hAnsi="Calibri" w:cs="Calibri"/>
          <w:color w:val="auto"/>
          <w:sz w:val="22"/>
          <w:szCs w:val="22"/>
        </w:rPr>
        <w:t>Management of patients who become ill</w:t>
      </w:r>
      <w:bookmarkEnd w:id="164"/>
      <w:bookmarkEnd w:id="165"/>
      <w:bookmarkEnd w:id="166"/>
      <w:bookmarkEnd w:id="167"/>
      <w:bookmarkEnd w:id="168"/>
      <w:r w:rsidRPr="001C0C4B">
        <w:rPr>
          <w:rFonts w:ascii="Calibri" w:hAnsi="Calibri" w:cs="Calibri"/>
          <w:color w:val="auto"/>
          <w:sz w:val="22"/>
          <w:szCs w:val="22"/>
        </w:rPr>
        <w:t xml:space="preserve"> </w:t>
      </w:r>
    </w:p>
    <w:p w14:paraId="2003CD38" w14:textId="14755A63" w:rsidR="63DE25FB" w:rsidRPr="001C0C4B" w:rsidRDefault="410C3662" w:rsidP="0E111A0E">
      <w:pPr>
        <w:spacing w:line="257" w:lineRule="auto"/>
        <w:jc w:val="both"/>
        <w:rPr>
          <w:rFonts w:ascii="Calibri" w:hAnsi="Calibri" w:cs="Calibri"/>
        </w:rPr>
      </w:pPr>
      <w:r w:rsidRPr="001C0C4B">
        <w:rPr>
          <w:rFonts w:ascii="Calibri" w:eastAsia="Calibri" w:hAnsi="Calibri" w:cs="Calibri"/>
        </w:rPr>
        <w:t xml:space="preserve">During the study, </w:t>
      </w:r>
      <w:r w:rsidR="004B04C5" w:rsidRPr="001C0C4B">
        <w:rPr>
          <w:rFonts w:ascii="Calibri" w:eastAsia="Calibri" w:hAnsi="Calibri" w:cs="Calibri"/>
        </w:rPr>
        <w:t xml:space="preserve">although </w:t>
      </w:r>
      <w:r w:rsidR="0093185F" w:rsidRPr="001C0C4B">
        <w:rPr>
          <w:rFonts w:ascii="Calibri" w:eastAsia="Calibri" w:hAnsi="Calibri" w:cs="Calibri"/>
        </w:rPr>
        <w:t xml:space="preserve">this </w:t>
      </w:r>
      <w:r w:rsidR="004B04C5" w:rsidRPr="001C0C4B">
        <w:rPr>
          <w:rFonts w:ascii="Calibri" w:eastAsia="Calibri" w:hAnsi="Calibri" w:cs="Calibri"/>
        </w:rPr>
        <w:t>is unlikely</w:t>
      </w:r>
      <w:r w:rsidR="0093185F" w:rsidRPr="001C0C4B">
        <w:rPr>
          <w:rFonts w:ascii="Calibri" w:eastAsia="Calibri" w:hAnsi="Calibri" w:cs="Calibri"/>
        </w:rPr>
        <w:t>,</w:t>
      </w:r>
      <w:r w:rsidR="004B04C5" w:rsidRPr="001C0C4B">
        <w:rPr>
          <w:rFonts w:ascii="Calibri" w:eastAsia="Calibri" w:hAnsi="Calibri" w:cs="Calibri"/>
        </w:rPr>
        <w:t xml:space="preserve"> the </w:t>
      </w:r>
      <w:r w:rsidRPr="001C0C4B">
        <w:rPr>
          <w:rFonts w:ascii="Calibri" w:eastAsia="Calibri" w:hAnsi="Calibri" w:cs="Calibri"/>
        </w:rPr>
        <w:t>p</w:t>
      </w:r>
      <w:r w:rsidR="63DE25FB" w:rsidRPr="001C0C4B">
        <w:rPr>
          <w:rFonts w:ascii="Calibri" w:eastAsia="Calibri" w:hAnsi="Calibri" w:cs="Calibri"/>
        </w:rPr>
        <w:t xml:space="preserve">atient may deteriorate clinically </w:t>
      </w:r>
      <w:r w:rsidR="00D31EAA" w:rsidRPr="001C0C4B">
        <w:rPr>
          <w:rFonts w:ascii="Calibri" w:eastAsia="Calibri" w:hAnsi="Calibri" w:cs="Calibri"/>
        </w:rPr>
        <w:t xml:space="preserve">from </w:t>
      </w:r>
      <w:r w:rsidR="447FEE78" w:rsidRPr="001C0C4B">
        <w:rPr>
          <w:rFonts w:ascii="Calibri" w:eastAsia="Calibri" w:hAnsi="Calibri" w:cs="Calibri"/>
        </w:rPr>
        <w:t>their CO</w:t>
      </w:r>
      <w:r w:rsidR="2431B761" w:rsidRPr="001C0C4B">
        <w:rPr>
          <w:rFonts w:ascii="Calibri" w:eastAsia="Calibri" w:hAnsi="Calibri" w:cs="Calibri"/>
        </w:rPr>
        <w:t>V</w:t>
      </w:r>
      <w:r w:rsidR="447FEE78" w:rsidRPr="001C0C4B">
        <w:rPr>
          <w:rFonts w:ascii="Calibri" w:eastAsia="Calibri" w:hAnsi="Calibri" w:cs="Calibri"/>
        </w:rPr>
        <w:t xml:space="preserve">ID-19 or may develop a new </w:t>
      </w:r>
      <w:r w:rsidR="1B0AFAA2" w:rsidRPr="001C0C4B">
        <w:rPr>
          <w:rFonts w:ascii="Calibri" w:eastAsia="Calibri" w:hAnsi="Calibri" w:cs="Calibri"/>
        </w:rPr>
        <w:t>intercurrent illness</w:t>
      </w:r>
      <w:r w:rsidR="00B06CA4" w:rsidRPr="001C0C4B">
        <w:rPr>
          <w:rFonts w:ascii="Calibri" w:eastAsia="Calibri" w:hAnsi="Calibri" w:cs="Calibri"/>
        </w:rPr>
        <w:t xml:space="preserve"> or potentially a side-effect related to the study medication</w:t>
      </w:r>
      <w:r w:rsidR="1B0AFAA2" w:rsidRPr="001C0C4B">
        <w:rPr>
          <w:rFonts w:ascii="Calibri" w:eastAsia="Calibri" w:hAnsi="Calibri" w:cs="Calibri"/>
        </w:rPr>
        <w:t xml:space="preserve">. </w:t>
      </w:r>
      <w:r w:rsidR="63DE25FB" w:rsidRPr="001C0C4B">
        <w:rPr>
          <w:rFonts w:ascii="Calibri" w:eastAsia="Calibri" w:hAnsi="Calibri" w:cs="Calibri"/>
        </w:rPr>
        <w:t xml:space="preserve"> </w:t>
      </w:r>
    </w:p>
    <w:p w14:paraId="20C63B4F" w14:textId="3021A4A7" w:rsidR="00935834" w:rsidRPr="001C0C4B" w:rsidRDefault="63DE25FB" w:rsidP="0E111A0E">
      <w:pPr>
        <w:spacing w:line="257" w:lineRule="auto"/>
        <w:jc w:val="both"/>
        <w:rPr>
          <w:rFonts w:ascii="Calibri" w:eastAsia="Calibri" w:hAnsi="Calibri" w:cs="Calibri"/>
        </w:rPr>
      </w:pPr>
      <w:r w:rsidRPr="001C0C4B">
        <w:rPr>
          <w:rFonts w:ascii="Calibri" w:eastAsia="Calibri" w:hAnsi="Calibri" w:cs="Calibri"/>
        </w:rPr>
        <w:t xml:space="preserve">All patients who </w:t>
      </w:r>
      <w:r w:rsidR="0080453C" w:rsidRPr="001C0C4B">
        <w:rPr>
          <w:rFonts w:ascii="Calibri" w:eastAsia="Calibri" w:hAnsi="Calibri" w:cs="Calibri"/>
        </w:rPr>
        <w:t xml:space="preserve">develop </w:t>
      </w:r>
      <w:r w:rsidRPr="001C0C4B">
        <w:rPr>
          <w:rFonts w:ascii="Calibri" w:eastAsia="Calibri" w:hAnsi="Calibri" w:cs="Calibri"/>
        </w:rPr>
        <w:t xml:space="preserve">difficulty with activities of daily living or complain of shortness of breath will be assessed </w:t>
      </w:r>
      <w:r w:rsidR="011075DC" w:rsidRPr="001C0C4B">
        <w:rPr>
          <w:rFonts w:ascii="Calibri" w:eastAsia="Calibri" w:hAnsi="Calibri" w:cs="Calibri"/>
        </w:rPr>
        <w:t xml:space="preserve">initially </w:t>
      </w:r>
      <w:r w:rsidRPr="001C0C4B">
        <w:rPr>
          <w:rFonts w:ascii="Calibri" w:eastAsia="Calibri" w:hAnsi="Calibri" w:cs="Calibri"/>
        </w:rPr>
        <w:t xml:space="preserve">by the </w:t>
      </w:r>
      <w:r w:rsidR="00B33CA9" w:rsidRPr="001C0C4B">
        <w:rPr>
          <w:rFonts w:ascii="Calibri" w:eastAsia="Calibri" w:hAnsi="Calibri" w:cs="Calibri"/>
        </w:rPr>
        <w:t>study personnel</w:t>
      </w:r>
      <w:r w:rsidR="007D5C38" w:rsidRPr="001C0C4B">
        <w:rPr>
          <w:rFonts w:ascii="Calibri" w:eastAsia="Calibri" w:hAnsi="Calibri" w:cs="Calibri"/>
        </w:rPr>
        <w:t xml:space="preserve"> and their oxygen saturation measured and, if necessary, brought to the clinic </w:t>
      </w:r>
      <w:r w:rsidR="4280FA22" w:rsidRPr="001C0C4B">
        <w:rPr>
          <w:rFonts w:ascii="Calibri" w:eastAsia="Calibri" w:hAnsi="Calibri" w:cs="Calibri"/>
        </w:rPr>
        <w:t xml:space="preserve">research </w:t>
      </w:r>
      <w:r w:rsidR="009322FB" w:rsidRPr="001C0C4B">
        <w:rPr>
          <w:rFonts w:ascii="Calibri" w:eastAsia="Calibri" w:hAnsi="Calibri" w:cs="Calibri"/>
        </w:rPr>
        <w:t>physician</w:t>
      </w:r>
      <w:r w:rsidR="007D5C38" w:rsidRPr="001C0C4B">
        <w:rPr>
          <w:rFonts w:ascii="Calibri" w:eastAsia="Calibri" w:hAnsi="Calibri" w:cs="Calibri"/>
        </w:rPr>
        <w:t xml:space="preserve"> for further assessment</w:t>
      </w:r>
      <w:r w:rsidR="73EB4F65" w:rsidRPr="001C0C4B">
        <w:rPr>
          <w:rFonts w:ascii="Calibri" w:eastAsia="Calibri" w:hAnsi="Calibri" w:cs="Calibri"/>
        </w:rPr>
        <w:t>. Based on this assessment, they may be referred to hospital</w:t>
      </w:r>
      <w:r w:rsidR="00D31EAA" w:rsidRPr="001C0C4B">
        <w:rPr>
          <w:rFonts w:ascii="Calibri" w:eastAsia="Calibri" w:hAnsi="Calibri" w:cs="Calibri"/>
        </w:rPr>
        <w:t>, re</w:t>
      </w:r>
      <w:r w:rsidR="00BD032F" w:rsidRPr="001C0C4B">
        <w:rPr>
          <w:rFonts w:ascii="Calibri" w:eastAsia="Calibri" w:hAnsi="Calibri" w:cs="Calibri"/>
        </w:rPr>
        <w:t>-</w:t>
      </w:r>
      <w:r w:rsidR="00D31EAA" w:rsidRPr="001C0C4B">
        <w:rPr>
          <w:rFonts w:ascii="Calibri" w:eastAsia="Calibri" w:hAnsi="Calibri" w:cs="Calibri"/>
        </w:rPr>
        <w:t>examined the next day,</w:t>
      </w:r>
      <w:r w:rsidR="73EB4F65" w:rsidRPr="001C0C4B">
        <w:rPr>
          <w:rFonts w:ascii="Calibri" w:eastAsia="Calibri" w:hAnsi="Calibri" w:cs="Calibri"/>
        </w:rPr>
        <w:t xml:space="preserve"> or </w:t>
      </w:r>
      <w:r w:rsidR="3F1AC74E" w:rsidRPr="001C0C4B">
        <w:rPr>
          <w:rFonts w:ascii="Calibri" w:eastAsia="Calibri" w:hAnsi="Calibri" w:cs="Calibri"/>
        </w:rPr>
        <w:t xml:space="preserve">asked to </w:t>
      </w:r>
      <w:r w:rsidR="009322FB" w:rsidRPr="001C0C4B">
        <w:rPr>
          <w:rFonts w:ascii="Calibri" w:eastAsia="Calibri" w:hAnsi="Calibri" w:cs="Calibri"/>
        </w:rPr>
        <w:t xml:space="preserve">update </w:t>
      </w:r>
      <w:r w:rsidR="3F1AC74E" w:rsidRPr="001C0C4B">
        <w:rPr>
          <w:rFonts w:ascii="Calibri" w:eastAsia="Calibri" w:hAnsi="Calibri" w:cs="Calibri"/>
        </w:rPr>
        <w:t>the research team</w:t>
      </w:r>
      <w:r w:rsidR="009322FB" w:rsidRPr="001C0C4B">
        <w:rPr>
          <w:rFonts w:ascii="Calibri" w:eastAsia="Calibri" w:hAnsi="Calibri" w:cs="Calibri"/>
        </w:rPr>
        <w:t xml:space="preserve"> </w:t>
      </w:r>
      <w:r w:rsidR="00D31EAA" w:rsidRPr="001C0C4B">
        <w:rPr>
          <w:rFonts w:ascii="Calibri" w:eastAsia="Calibri" w:hAnsi="Calibri" w:cs="Calibri"/>
        </w:rPr>
        <w:t xml:space="preserve">by mobile phone </w:t>
      </w:r>
      <w:r w:rsidR="00F2393C" w:rsidRPr="001C0C4B">
        <w:rPr>
          <w:rFonts w:ascii="Calibri" w:eastAsia="Calibri" w:hAnsi="Calibri" w:cs="Calibri"/>
        </w:rPr>
        <w:t xml:space="preserve">frequently </w:t>
      </w:r>
      <w:r w:rsidR="009322FB" w:rsidRPr="001C0C4B">
        <w:rPr>
          <w:rFonts w:ascii="Calibri" w:eastAsia="Calibri" w:hAnsi="Calibri" w:cs="Calibri"/>
        </w:rPr>
        <w:t>on their well</w:t>
      </w:r>
      <w:r w:rsidR="006A1857" w:rsidRPr="001C0C4B">
        <w:rPr>
          <w:rFonts w:ascii="Calibri" w:eastAsia="Calibri" w:hAnsi="Calibri" w:cs="Calibri"/>
        </w:rPr>
        <w:t>-</w:t>
      </w:r>
      <w:r w:rsidR="009322FB" w:rsidRPr="001C0C4B">
        <w:rPr>
          <w:rFonts w:ascii="Calibri" w:eastAsia="Calibri" w:hAnsi="Calibri" w:cs="Calibri"/>
        </w:rPr>
        <w:t>being</w:t>
      </w:r>
      <w:r w:rsidR="3F1AC74E" w:rsidRPr="001C0C4B">
        <w:rPr>
          <w:rFonts w:ascii="Calibri" w:eastAsia="Calibri" w:hAnsi="Calibri" w:cs="Calibri"/>
        </w:rPr>
        <w:t>.</w:t>
      </w:r>
      <w:r w:rsidR="006A1857" w:rsidRPr="001C0C4B">
        <w:rPr>
          <w:rFonts w:ascii="Calibri" w:eastAsia="Calibri" w:hAnsi="Calibri" w:cs="Calibri"/>
        </w:rPr>
        <w:t xml:space="preserve"> </w:t>
      </w:r>
      <w:r w:rsidR="009810EE" w:rsidRPr="001C0C4B">
        <w:rPr>
          <w:rFonts w:ascii="Calibri" w:eastAsia="Calibri" w:hAnsi="Calibri" w:cs="Calibri"/>
        </w:rPr>
        <w:t xml:space="preserve">The Physician may decide to repeat study oropharyngeal swabs in duplicate if symptoms of COVID-19 recur, </w:t>
      </w:r>
      <w:r w:rsidR="00935834" w:rsidRPr="001C0C4B">
        <w:rPr>
          <w:rFonts w:ascii="Calibri" w:eastAsia="Calibri" w:hAnsi="Calibri" w:cs="Calibri"/>
        </w:rPr>
        <w:t>for the duration of the illness, to characterize symptomatic viral rebound.</w:t>
      </w:r>
    </w:p>
    <w:p w14:paraId="072811F4" w14:textId="6DC6C129" w:rsidR="3F1AC74E" w:rsidRPr="001C0C4B" w:rsidRDefault="3F1AC74E" w:rsidP="444A70B5">
      <w:pPr>
        <w:spacing w:line="257" w:lineRule="auto"/>
        <w:jc w:val="both"/>
        <w:rPr>
          <w:rFonts w:ascii="Calibri" w:eastAsia="Calibri" w:hAnsi="Calibri" w:cs="Calibri"/>
        </w:rPr>
      </w:pPr>
      <w:r w:rsidRPr="001C0C4B">
        <w:rPr>
          <w:rFonts w:ascii="Calibri" w:eastAsia="Calibri" w:hAnsi="Calibri" w:cs="Calibri"/>
        </w:rPr>
        <w:t xml:space="preserve">If </w:t>
      </w:r>
      <w:r w:rsidR="23936D82" w:rsidRPr="001C0C4B">
        <w:rPr>
          <w:rFonts w:ascii="Calibri" w:eastAsia="Calibri" w:hAnsi="Calibri" w:cs="Calibri"/>
        </w:rPr>
        <w:t xml:space="preserve">a patient is </w:t>
      </w:r>
      <w:r w:rsidRPr="001C0C4B">
        <w:rPr>
          <w:rFonts w:ascii="Calibri" w:eastAsia="Calibri" w:hAnsi="Calibri" w:cs="Calibri"/>
        </w:rPr>
        <w:t>referred to hos</w:t>
      </w:r>
      <w:r w:rsidR="7D4A66D0" w:rsidRPr="001C0C4B">
        <w:rPr>
          <w:rFonts w:ascii="Calibri" w:eastAsia="Calibri" w:hAnsi="Calibri" w:cs="Calibri"/>
        </w:rPr>
        <w:t>pi</w:t>
      </w:r>
      <w:r w:rsidRPr="001C0C4B">
        <w:rPr>
          <w:rFonts w:ascii="Calibri" w:eastAsia="Calibri" w:hAnsi="Calibri" w:cs="Calibri"/>
        </w:rPr>
        <w:t xml:space="preserve">tal, </w:t>
      </w:r>
      <w:r w:rsidR="170B5289" w:rsidRPr="001C0C4B">
        <w:rPr>
          <w:rFonts w:ascii="Calibri" w:eastAsia="Calibri" w:hAnsi="Calibri" w:cs="Calibri"/>
        </w:rPr>
        <w:t xml:space="preserve">a clinical assessment will be made </w:t>
      </w:r>
      <w:r w:rsidR="00D31EAA" w:rsidRPr="001C0C4B">
        <w:rPr>
          <w:rFonts w:ascii="Calibri" w:eastAsia="Calibri" w:hAnsi="Calibri" w:cs="Calibri"/>
        </w:rPr>
        <w:t xml:space="preserve">by </w:t>
      </w:r>
      <w:r w:rsidR="170B5289" w:rsidRPr="001C0C4B">
        <w:rPr>
          <w:rFonts w:ascii="Calibri" w:eastAsia="Calibri" w:hAnsi="Calibri" w:cs="Calibri"/>
        </w:rPr>
        <w:t xml:space="preserve">the hospital physician and a diagnosis made. The decision to stop study drug will </w:t>
      </w:r>
      <w:r w:rsidR="20AA1573" w:rsidRPr="001C0C4B">
        <w:rPr>
          <w:rFonts w:ascii="Calibri" w:eastAsia="Calibri" w:hAnsi="Calibri" w:cs="Calibri"/>
        </w:rPr>
        <w:t xml:space="preserve">depend on that diagnosis and </w:t>
      </w:r>
      <w:r w:rsidR="170B5289" w:rsidRPr="001C0C4B">
        <w:rPr>
          <w:rFonts w:ascii="Calibri" w:eastAsia="Calibri" w:hAnsi="Calibri" w:cs="Calibri"/>
        </w:rPr>
        <w:t>be made between the h</w:t>
      </w:r>
      <w:r w:rsidR="67475115" w:rsidRPr="001C0C4B">
        <w:rPr>
          <w:rFonts w:ascii="Calibri" w:eastAsia="Calibri" w:hAnsi="Calibri" w:cs="Calibri"/>
        </w:rPr>
        <w:t xml:space="preserve">ospital </w:t>
      </w:r>
      <w:r w:rsidR="170B5289" w:rsidRPr="001C0C4B">
        <w:rPr>
          <w:rFonts w:ascii="Calibri" w:eastAsia="Calibri" w:hAnsi="Calibri" w:cs="Calibri"/>
        </w:rPr>
        <w:t xml:space="preserve">team </w:t>
      </w:r>
      <w:r w:rsidR="2253AB7D" w:rsidRPr="001C0C4B">
        <w:rPr>
          <w:rFonts w:ascii="Calibri" w:eastAsia="Calibri" w:hAnsi="Calibri" w:cs="Calibri"/>
        </w:rPr>
        <w:t xml:space="preserve">and </w:t>
      </w:r>
      <w:r w:rsidR="286120A1" w:rsidRPr="001C0C4B">
        <w:rPr>
          <w:rFonts w:ascii="Calibri" w:eastAsia="Calibri" w:hAnsi="Calibri" w:cs="Calibri"/>
        </w:rPr>
        <w:t xml:space="preserve">the study PI. </w:t>
      </w:r>
    </w:p>
    <w:p w14:paraId="7391B7DC" w14:textId="6F987A09" w:rsidR="286120A1" w:rsidRPr="001C0C4B" w:rsidRDefault="286120A1" w:rsidP="444A70B5">
      <w:pPr>
        <w:spacing w:line="257" w:lineRule="auto"/>
        <w:jc w:val="both"/>
        <w:rPr>
          <w:rFonts w:ascii="Calibri" w:eastAsia="Calibri" w:hAnsi="Calibri" w:cs="Calibri"/>
        </w:rPr>
      </w:pPr>
      <w:r w:rsidRPr="001C0C4B">
        <w:rPr>
          <w:rFonts w:ascii="Calibri" w:eastAsia="Calibri" w:hAnsi="Calibri" w:cs="Calibri"/>
        </w:rPr>
        <w:t xml:space="preserve">The hospital physicians will </w:t>
      </w:r>
      <w:r w:rsidR="67C33B00" w:rsidRPr="001C0C4B">
        <w:rPr>
          <w:rFonts w:ascii="Calibri" w:eastAsia="Calibri" w:hAnsi="Calibri" w:cs="Calibri"/>
        </w:rPr>
        <w:t xml:space="preserve">have the responsibility for patient care but the research team </w:t>
      </w:r>
      <w:r w:rsidR="00F2393C" w:rsidRPr="001C0C4B">
        <w:rPr>
          <w:rFonts w:ascii="Calibri" w:eastAsia="Calibri" w:hAnsi="Calibri" w:cs="Calibri"/>
        </w:rPr>
        <w:t xml:space="preserve">will </w:t>
      </w:r>
      <w:r w:rsidR="67C33B00" w:rsidRPr="001C0C4B">
        <w:rPr>
          <w:rFonts w:ascii="Calibri" w:eastAsia="Calibri" w:hAnsi="Calibri" w:cs="Calibri"/>
        </w:rPr>
        <w:t>continue to follow the</w:t>
      </w:r>
      <w:r w:rsidR="683CB866" w:rsidRPr="001C0C4B">
        <w:rPr>
          <w:rFonts w:ascii="Calibri" w:eastAsia="Calibri" w:hAnsi="Calibri" w:cs="Calibri"/>
        </w:rPr>
        <w:t xml:space="preserve"> </w:t>
      </w:r>
      <w:r w:rsidR="67C33B00" w:rsidRPr="001C0C4B">
        <w:rPr>
          <w:rFonts w:ascii="Calibri" w:eastAsia="Calibri" w:hAnsi="Calibri" w:cs="Calibri"/>
        </w:rPr>
        <w:t>pr</w:t>
      </w:r>
      <w:r w:rsidR="4A7B02C2" w:rsidRPr="001C0C4B">
        <w:rPr>
          <w:rFonts w:ascii="Calibri" w:eastAsia="Calibri" w:hAnsi="Calibri" w:cs="Calibri"/>
        </w:rPr>
        <w:t>o</w:t>
      </w:r>
      <w:r w:rsidR="67C33B00" w:rsidRPr="001C0C4B">
        <w:rPr>
          <w:rFonts w:ascii="Calibri" w:eastAsia="Calibri" w:hAnsi="Calibri" w:cs="Calibri"/>
        </w:rPr>
        <w:t xml:space="preserve">gress of the </w:t>
      </w:r>
      <w:r w:rsidR="7CC39C71" w:rsidRPr="001C0C4B">
        <w:rPr>
          <w:rFonts w:ascii="Calibri" w:eastAsia="Calibri" w:hAnsi="Calibri" w:cs="Calibri"/>
        </w:rPr>
        <w:t>patients</w:t>
      </w:r>
      <w:r w:rsidR="00F2393C" w:rsidRPr="001C0C4B">
        <w:rPr>
          <w:rFonts w:ascii="Calibri" w:eastAsia="Calibri" w:hAnsi="Calibri" w:cs="Calibri"/>
        </w:rPr>
        <w:t xml:space="preserve"> in hospital</w:t>
      </w:r>
      <w:r w:rsidR="5EC5D40B" w:rsidRPr="001C0C4B">
        <w:rPr>
          <w:rFonts w:ascii="Calibri" w:eastAsia="Calibri" w:hAnsi="Calibri" w:cs="Calibri"/>
        </w:rPr>
        <w:t xml:space="preserve">. Treatment for </w:t>
      </w:r>
      <w:r w:rsidR="45CF748C" w:rsidRPr="001C0C4B">
        <w:rPr>
          <w:rFonts w:ascii="Calibri" w:eastAsia="Calibri" w:hAnsi="Calibri" w:cs="Calibri"/>
        </w:rPr>
        <w:t xml:space="preserve">COVID-19 severe enough to warrant </w:t>
      </w:r>
      <w:r w:rsidR="0060189F" w:rsidRPr="001C0C4B">
        <w:rPr>
          <w:rFonts w:ascii="Calibri" w:eastAsia="Calibri" w:hAnsi="Calibri" w:cs="Calibri"/>
        </w:rPr>
        <w:t>hospitalization</w:t>
      </w:r>
      <w:r w:rsidR="45CF748C" w:rsidRPr="001C0C4B">
        <w:rPr>
          <w:rFonts w:ascii="Calibri" w:eastAsia="Calibri" w:hAnsi="Calibri" w:cs="Calibri"/>
        </w:rPr>
        <w:t xml:space="preserve"> will follow national guidelines.</w:t>
      </w:r>
      <w:r w:rsidR="00EC2A3E" w:rsidRPr="001C0C4B">
        <w:rPr>
          <w:rFonts w:ascii="Calibri" w:eastAsia="Calibri" w:hAnsi="Calibri" w:cs="Calibri"/>
        </w:rPr>
        <w:t xml:space="preserve"> For those patients where treatment is changed (i.e. a new treatment is started for clinical reasons) an extra set of swabs in duplicate </w:t>
      </w:r>
      <w:r w:rsidR="00C14C35" w:rsidRPr="001C0C4B">
        <w:rPr>
          <w:rFonts w:ascii="Calibri" w:hAnsi="Calibri" w:cs="Calibri"/>
        </w:rPr>
        <w:t>(and possibly a saliva sample see section 7.1)</w:t>
      </w:r>
      <w:r w:rsidR="00EC2A3E" w:rsidRPr="001C0C4B">
        <w:rPr>
          <w:rFonts w:ascii="Calibri" w:eastAsia="Calibri" w:hAnsi="Calibri" w:cs="Calibri"/>
        </w:rPr>
        <w:t xml:space="preserve"> should be collected prior to the initiation of the new treatment (i.e. 2 sets of swabs will be taken in duplicate)</w:t>
      </w:r>
      <w:r w:rsidR="007678BC" w:rsidRPr="001C0C4B">
        <w:rPr>
          <w:rFonts w:ascii="Calibri" w:eastAsia="Calibri" w:hAnsi="Calibri" w:cs="Calibri"/>
        </w:rPr>
        <w:t>. This will only occur if the patient is within the first 7 days of the study</w:t>
      </w:r>
      <w:r w:rsidR="00EC2A3E" w:rsidRPr="001C0C4B">
        <w:rPr>
          <w:rFonts w:ascii="Calibri" w:eastAsia="Calibri" w:hAnsi="Calibri" w:cs="Calibri"/>
        </w:rPr>
        <w:t>.</w:t>
      </w:r>
    </w:p>
    <w:p w14:paraId="37C29D1F" w14:textId="478E8F60" w:rsidR="00BA4E2C" w:rsidRPr="001C0C4B" w:rsidRDefault="00675C16" w:rsidP="00BA4E2C">
      <w:pPr>
        <w:jc w:val="both"/>
        <w:rPr>
          <w:rStyle w:val="eop"/>
          <w:rFonts w:ascii="Calibri" w:hAnsi="Calibri" w:cs="Calibri"/>
        </w:rPr>
      </w:pPr>
      <w:r w:rsidRPr="001C0C4B">
        <w:rPr>
          <w:rFonts w:ascii="Calibri" w:eastAsia="Calibri" w:hAnsi="Calibri" w:cs="Calibri"/>
        </w:rPr>
        <w:lastRenderedPageBreak/>
        <w:t>The D0</w:t>
      </w:r>
      <w:r w:rsidR="00863F87" w:rsidRPr="001C0C4B">
        <w:rPr>
          <w:rFonts w:ascii="Calibri" w:eastAsia="Calibri" w:hAnsi="Calibri" w:cs="Calibri"/>
        </w:rPr>
        <w:t>, D3</w:t>
      </w:r>
      <w:r w:rsidR="00403C3C" w:rsidRPr="001C0C4B">
        <w:rPr>
          <w:rFonts w:ascii="Calibri" w:eastAsia="Calibri" w:hAnsi="Calibri" w:cs="Calibri"/>
        </w:rPr>
        <w:t xml:space="preserve">, </w:t>
      </w:r>
      <w:r w:rsidR="00863F87" w:rsidRPr="001C0C4B">
        <w:rPr>
          <w:rFonts w:ascii="Calibri" w:eastAsia="Calibri" w:hAnsi="Calibri" w:cs="Calibri"/>
        </w:rPr>
        <w:t>D7</w:t>
      </w:r>
      <w:r w:rsidR="00403C3C" w:rsidRPr="001C0C4B">
        <w:rPr>
          <w:rFonts w:ascii="Calibri" w:eastAsia="Calibri" w:hAnsi="Calibri" w:cs="Calibri"/>
        </w:rPr>
        <w:t xml:space="preserve"> and D14 </w:t>
      </w:r>
      <w:r w:rsidR="00863F87" w:rsidRPr="001C0C4B">
        <w:rPr>
          <w:rFonts w:ascii="Calibri" w:eastAsia="Calibri" w:hAnsi="Calibri" w:cs="Calibri"/>
        </w:rPr>
        <w:t>blood</w:t>
      </w:r>
      <w:r w:rsidR="005405D2" w:rsidRPr="001C0C4B">
        <w:rPr>
          <w:rFonts w:ascii="Calibri" w:eastAsia="Calibri" w:hAnsi="Calibri" w:cs="Calibri"/>
        </w:rPr>
        <w:t xml:space="preserve"> </w:t>
      </w:r>
      <w:r w:rsidR="00863F87" w:rsidRPr="001C0C4B">
        <w:rPr>
          <w:rFonts w:ascii="Calibri" w:eastAsia="Calibri" w:hAnsi="Calibri" w:cs="Calibri"/>
        </w:rPr>
        <w:t>s</w:t>
      </w:r>
      <w:r w:rsidR="005405D2" w:rsidRPr="001C0C4B">
        <w:rPr>
          <w:rFonts w:ascii="Calibri" w:eastAsia="Calibri" w:hAnsi="Calibri" w:cs="Calibri"/>
        </w:rPr>
        <w:t>amples</w:t>
      </w:r>
      <w:r w:rsidR="00863F87" w:rsidRPr="001C0C4B">
        <w:rPr>
          <w:rFonts w:ascii="Calibri" w:eastAsia="Calibri" w:hAnsi="Calibri" w:cs="Calibri"/>
        </w:rPr>
        <w:t xml:space="preserve"> will be </w:t>
      </w:r>
      <w:r w:rsidR="00F925BA" w:rsidRPr="001C0C4B">
        <w:rPr>
          <w:rFonts w:ascii="Calibri" w:eastAsia="Calibri" w:hAnsi="Calibri" w:cs="Calibri"/>
        </w:rPr>
        <w:t>tested for FBC</w:t>
      </w:r>
      <w:r w:rsidR="00403C3C" w:rsidRPr="001C0C4B">
        <w:rPr>
          <w:rFonts w:ascii="Calibri" w:eastAsia="Calibri" w:hAnsi="Calibri" w:cs="Calibri"/>
        </w:rPr>
        <w:t xml:space="preserve"> and</w:t>
      </w:r>
      <w:r w:rsidR="00F925BA" w:rsidRPr="001C0C4B">
        <w:rPr>
          <w:rFonts w:ascii="Calibri" w:eastAsia="Calibri" w:hAnsi="Calibri" w:cs="Calibri"/>
        </w:rPr>
        <w:t xml:space="preserve"> biochemistry (</w:t>
      </w:r>
      <w:r w:rsidR="00AB17CA" w:rsidRPr="001C0C4B">
        <w:rPr>
          <w:rFonts w:ascii="Calibri" w:eastAsia="Calibri" w:hAnsi="Calibri" w:cs="Calibri"/>
        </w:rPr>
        <w:t xml:space="preserve">e.g. </w:t>
      </w:r>
      <w:r w:rsidR="00F925BA" w:rsidRPr="001C0C4B">
        <w:rPr>
          <w:rFonts w:ascii="Calibri" w:eastAsia="Calibri" w:hAnsi="Calibri" w:cs="Calibri"/>
        </w:rPr>
        <w:t>U&amp;Es, LFTs) to assess for drug-related adverse effects</w:t>
      </w:r>
      <w:r w:rsidR="0008185B" w:rsidRPr="001C0C4B">
        <w:rPr>
          <w:rFonts w:ascii="Calibri" w:eastAsia="Calibri" w:hAnsi="Calibri" w:cs="Calibri"/>
        </w:rPr>
        <w:t xml:space="preserve"> or abnormalities which require a potential dose adjustment or </w:t>
      </w:r>
      <w:r w:rsidR="007D56DD" w:rsidRPr="001C0C4B">
        <w:rPr>
          <w:rFonts w:ascii="Calibri" w:eastAsia="Calibri" w:hAnsi="Calibri" w:cs="Calibri"/>
        </w:rPr>
        <w:t>stopping the therapeutic</w:t>
      </w:r>
      <w:r w:rsidR="00FF7245" w:rsidRPr="001C0C4B">
        <w:rPr>
          <w:rFonts w:ascii="Calibri" w:eastAsia="Calibri" w:hAnsi="Calibri" w:cs="Calibri"/>
        </w:rPr>
        <w:t xml:space="preserve"> or clinical intervention</w:t>
      </w:r>
      <w:r w:rsidR="007D56DD" w:rsidRPr="001C0C4B">
        <w:rPr>
          <w:rFonts w:ascii="Calibri" w:eastAsia="Calibri" w:hAnsi="Calibri" w:cs="Calibri"/>
        </w:rPr>
        <w:t xml:space="preserve">. </w:t>
      </w:r>
      <w:r w:rsidR="005B1B76" w:rsidRPr="001C0C4B">
        <w:rPr>
          <w:rFonts w:ascii="Calibri" w:eastAsia="Calibri" w:hAnsi="Calibri" w:cs="Calibri"/>
        </w:rPr>
        <w:t xml:space="preserve">The responsibility for </w:t>
      </w:r>
      <w:r w:rsidR="0037224D" w:rsidRPr="001C0C4B">
        <w:rPr>
          <w:rFonts w:ascii="Calibri" w:eastAsia="Calibri" w:hAnsi="Calibri" w:cs="Calibri"/>
        </w:rPr>
        <w:t xml:space="preserve">evaluating </w:t>
      </w:r>
      <w:r w:rsidR="005B1B76" w:rsidRPr="001C0C4B">
        <w:rPr>
          <w:rFonts w:ascii="Calibri" w:eastAsia="Calibri" w:hAnsi="Calibri" w:cs="Calibri"/>
        </w:rPr>
        <w:t>and acting upon the results of blood tests will be</w:t>
      </w:r>
      <w:r w:rsidR="00262781" w:rsidRPr="001C0C4B">
        <w:rPr>
          <w:rFonts w:ascii="Calibri" w:eastAsia="Calibri" w:hAnsi="Calibri" w:cs="Calibri"/>
        </w:rPr>
        <w:t>long to the study tea</w:t>
      </w:r>
      <w:r w:rsidR="002D62BE" w:rsidRPr="001C0C4B">
        <w:rPr>
          <w:rFonts w:ascii="Calibri" w:eastAsia="Calibri" w:hAnsi="Calibri" w:cs="Calibri"/>
        </w:rPr>
        <w:t>m</w:t>
      </w:r>
      <w:r w:rsidR="007231E5" w:rsidRPr="001C0C4B">
        <w:rPr>
          <w:rFonts w:ascii="Calibri" w:eastAsia="Calibri" w:hAnsi="Calibri" w:cs="Calibri"/>
        </w:rPr>
        <w:t xml:space="preserve"> at the local site</w:t>
      </w:r>
      <w:r w:rsidR="0037224D" w:rsidRPr="001C0C4B">
        <w:rPr>
          <w:rFonts w:ascii="Calibri" w:eastAsia="Calibri" w:hAnsi="Calibri" w:cs="Calibri"/>
        </w:rPr>
        <w:t>. T</w:t>
      </w:r>
      <w:r w:rsidR="00EA2B55" w:rsidRPr="001C0C4B">
        <w:rPr>
          <w:rFonts w:ascii="Calibri" w:eastAsia="Calibri" w:hAnsi="Calibri" w:cs="Calibri"/>
        </w:rPr>
        <w:t>hey will use their clinical judgement in the assessment of the patient, further tests and onwards referral.</w:t>
      </w:r>
      <w:r w:rsidR="00A67343" w:rsidRPr="001C0C4B">
        <w:rPr>
          <w:rFonts w:ascii="Calibri" w:eastAsia="Calibri" w:hAnsi="Calibri" w:cs="Calibri"/>
        </w:rPr>
        <w:t xml:space="preserve"> </w:t>
      </w:r>
      <w:r w:rsidR="00BA4E2C" w:rsidRPr="001C0C4B">
        <w:rPr>
          <w:rStyle w:val="eop"/>
          <w:rFonts w:ascii="Calibri" w:hAnsi="Calibri" w:cs="Calibri"/>
        </w:rPr>
        <w:t xml:space="preserve">At any point of the study, extra laboratory tests may be conducted on the </w:t>
      </w:r>
      <w:r w:rsidR="002A7FC4" w:rsidRPr="001C0C4B">
        <w:rPr>
          <w:rStyle w:val="eop"/>
          <w:rFonts w:ascii="Calibri" w:hAnsi="Calibri" w:cs="Calibri"/>
        </w:rPr>
        <w:t>patient</w:t>
      </w:r>
      <w:r w:rsidR="00BA4E2C" w:rsidRPr="001C0C4B">
        <w:rPr>
          <w:rStyle w:val="eop"/>
          <w:rFonts w:ascii="Calibri" w:hAnsi="Calibri" w:cs="Calibri"/>
        </w:rPr>
        <w:t xml:space="preserve"> if felt to be </w:t>
      </w:r>
      <w:r w:rsidR="00322DFE" w:rsidRPr="001C0C4B">
        <w:rPr>
          <w:rStyle w:val="eop"/>
          <w:rFonts w:ascii="Calibri" w:hAnsi="Calibri" w:cs="Calibri"/>
        </w:rPr>
        <w:t>clinically indicated by the research team, based on symptoms or previous laboratory abnormalities</w:t>
      </w:r>
      <w:r w:rsidR="00BA4E2C" w:rsidRPr="001C0C4B">
        <w:rPr>
          <w:rStyle w:val="eop"/>
          <w:rFonts w:ascii="Calibri" w:hAnsi="Calibri" w:cs="Calibri"/>
        </w:rPr>
        <w:t>.</w:t>
      </w:r>
    </w:p>
    <w:p w14:paraId="54B6146C" w14:textId="38B02737" w:rsidR="00EA1F4B" w:rsidRPr="001C0C4B" w:rsidRDefault="1E0C63F7" w:rsidP="00E142CD">
      <w:pPr>
        <w:pStyle w:val="Heading2"/>
        <w:numPr>
          <w:ilvl w:val="1"/>
          <w:numId w:val="23"/>
        </w:numPr>
        <w:rPr>
          <w:rFonts w:ascii="Calibri" w:hAnsi="Calibri" w:cs="Calibri"/>
          <w:color w:val="auto"/>
          <w:sz w:val="22"/>
          <w:szCs w:val="22"/>
        </w:rPr>
      </w:pPr>
      <w:bookmarkStart w:id="169" w:name="_Toc96007292"/>
      <w:bookmarkStart w:id="170" w:name="_Toc95915245"/>
      <w:bookmarkStart w:id="171" w:name="_Toc74661290"/>
      <w:bookmarkStart w:id="172" w:name="_Toc110523984"/>
      <w:bookmarkStart w:id="173" w:name="_Toc96005595"/>
      <w:bookmarkStart w:id="174" w:name="_Toc112917633"/>
      <w:r w:rsidRPr="001C0C4B">
        <w:rPr>
          <w:rFonts w:ascii="Calibri" w:hAnsi="Calibri" w:cs="Calibri"/>
          <w:color w:val="auto"/>
          <w:sz w:val="22"/>
          <w:szCs w:val="22"/>
        </w:rPr>
        <w:t>Sample Handling</w:t>
      </w:r>
      <w:r w:rsidR="00924E88" w:rsidRPr="001C0C4B">
        <w:rPr>
          <w:rFonts w:ascii="Calibri" w:hAnsi="Calibri" w:cs="Calibri"/>
          <w:color w:val="auto"/>
          <w:sz w:val="22"/>
          <w:szCs w:val="22"/>
        </w:rPr>
        <w:t xml:space="preserve"> and Retention</w:t>
      </w:r>
      <w:bookmarkEnd w:id="169"/>
      <w:bookmarkEnd w:id="170"/>
      <w:bookmarkEnd w:id="171"/>
      <w:bookmarkEnd w:id="172"/>
      <w:bookmarkEnd w:id="173"/>
      <w:bookmarkEnd w:id="174"/>
    </w:p>
    <w:p w14:paraId="15568D8B" w14:textId="1BD6388C" w:rsidR="00EA1F4B" w:rsidRPr="001C0C4B" w:rsidRDefault="1E0C63F7" w:rsidP="00420E02">
      <w:pPr>
        <w:spacing w:after="200" w:line="276" w:lineRule="auto"/>
        <w:jc w:val="both"/>
        <w:rPr>
          <w:rFonts w:ascii="Calibri" w:eastAsia="Calibri" w:hAnsi="Calibri" w:cs="Calibri"/>
        </w:rPr>
      </w:pPr>
      <w:r w:rsidRPr="001C0C4B">
        <w:rPr>
          <w:rFonts w:ascii="Calibri" w:eastAsia="Calibri" w:hAnsi="Calibri" w:cs="Calibri"/>
          <w:lang w:val="en-GB"/>
        </w:rPr>
        <w:t xml:space="preserve">Samples will be transferred to designated testing facilities, where they will undergo testing in accordance with best practice laboratory measures and safety procedures. </w:t>
      </w:r>
    </w:p>
    <w:p w14:paraId="0F9A2924" w14:textId="2F4D326D" w:rsidR="00C97F88" w:rsidRPr="001C0C4B" w:rsidRDefault="1E0C63F7" w:rsidP="000B5065">
      <w:pPr>
        <w:spacing w:after="200" w:line="276" w:lineRule="auto"/>
        <w:jc w:val="both"/>
        <w:rPr>
          <w:rFonts w:ascii="Calibri" w:eastAsia="Calibri" w:hAnsi="Calibri" w:cs="Calibri"/>
          <w:lang w:val="en-GB"/>
        </w:rPr>
      </w:pPr>
      <w:r w:rsidRPr="001C0C4B">
        <w:rPr>
          <w:rFonts w:ascii="Calibri" w:eastAsia="Calibri" w:hAnsi="Calibri" w:cs="Calibri"/>
          <w:lang w:val="en-GB"/>
        </w:rPr>
        <w:t xml:space="preserve">Oropharyngeal swabs </w:t>
      </w:r>
      <w:r w:rsidR="00C14C35" w:rsidRPr="001C0C4B">
        <w:rPr>
          <w:rFonts w:ascii="Calibri" w:hAnsi="Calibri" w:cs="Calibri"/>
        </w:rPr>
        <w:t>(and possibly a saliva sample see section 7.1)</w:t>
      </w:r>
      <w:r w:rsidRPr="001C0C4B">
        <w:rPr>
          <w:rFonts w:ascii="Calibri" w:hAnsi="Calibri"/>
        </w:rPr>
        <w:t xml:space="preserve"> </w:t>
      </w:r>
      <w:r w:rsidRPr="001C0C4B">
        <w:rPr>
          <w:rFonts w:ascii="Calibri" w:eastAsia="Calibri" w:hAnsi="Calibri" w:cs="Calibri"/>
          <w:lang w:val="en-GB"/>
        </w:rPr>
        <w:t xml:space="preserve">will be processed using validated quantitative Real-Time </w:t>
      </w:r>
      <w:r w:rsidR="00D64E4E" w:rsidRPr="001C0C4B">
        <w:rPr>
          <w:rFonts w:ascii="Calibri" w:eastAsia="Calibri" w:hAnsi="Calibri" w:cs="Calibri"/>
          <w:lang w:val="en-GB"/>
        </w:rPr>
        <w:t xml:space="preserve">quantitative </w:t>
      </w:r>
      <w:r w:rsidRPr="001C0C4B">
        <w:rPr>
          <w:rFonts w:ascii="Calibri" w:eastAsia="Calibri" w:hAnsi="Calibri" w:cs="Calibri"/>
          <w:lang w:val="en-GB"/>
        </w:rPr>
        <w:t>Polymerase Chain Reaction</w:t>
      </w:r>
      <w:r w:rsidR="00D64E4E" w:rsidRPr="001C0C4B">
        <w:rPr>
          <w:rFonts w:ascii="Calibri" w:eastAsia="Calibri" w:hAnsi="Calibri" w:cs="Calibri"/>
          <w:lang w:val="en-GB"/>
        </w:rPr>
        <w:t xml:space="preserve"> (qPCR)</w:t>
      </w:r>
      <w:r w:rsidRPr="001C0C4B">
        <w:rPr>
          <w:rFonts w:ascii="Calibri" w:eastAsia="Calibri" w:hAnsi="Calibri" w:cs="Calibri"/>
          <w:lang w:val="en-GB"/>
        </w:rPr>
        <w:t xml:space="preserve"> to detect SARS-CoV-2</w:t>
      </w:r>
      <w:r w:rsidR="000775DB" w:rsidRPr="001C0C4B">
        <w:rPr>
          <w:rFonts w:ascii="Calibri" w:eastAsia="Calibri" w:hAnsi="Calibri" w:cs="Calibri"/>
          <w:lang w:val="en-GB"/>
        </w:rPr>
        <w:t>, according to the study SOP</w:t>
      </w:r>
      <w:r w:rsidRPr="001C0C4B">
        <w:rPr>
          <w:rFonts w:ascii="Calibri" w:eastAsia="Calibri" w:hAnsi="Calibri" w:cs="Calibri"/>
          <w:lang w:val="en-GB"/>
        </w:rPr>
        <w:t xml:space="preserve">. </w:t>
      </w:r>
      <w:r w:rsidR="00EB00D1" w:rsidRPr="001C0C4B">
        <w:rPr>
          <w:rFonts w:ascii="Calibri" w:eastAsia="Calibri" w:hAnsi="Calibri" w:cs="Calibri"/>
          <w:lang w:val="en-GB"/>
        </w:rPr>
        <w:t xml:space="preserve">A urea measurement will be measured on each and compared to the baseline blood concentration. </w:t>
      </w:r>
      <w:r w:rsidRPr="001C0C4B">
        <w:rPr>
          <w:rFonts w:ascii="Calibri" w:eastAsia="Calibri" w:hAnsi="Calibri" w:cs="Calibri"/>
          <w:lang w:val="en-GB"/>
        </w:rPr>
        <w:t>Swabs will be tested in duplicate.</w:t>
      </w:r>
      <w:r w:rsidR="001D51E2" w:rsidRPr="001C0C4B">
        <w:rPr>
          <w:rFonts w:ascii="Calibri" w:eastAsia="Calibri" w:hAnsi="Calibri" w:cs="Calibri"/>
          <w:lang w:val="en-GB"/>
        </w:rPr>
        <w:t xml:space="preserve"> </w:t>
      </w:r>
    </w:p>
    <w:p w14:paraId="51A8CF6E" w14:textId="1A6E69A7" w:rsidR="008A6B65" w:rsidRPr="001C0C4B" w:rsidRDefault="1E0C63F7" w:rsidP="000B5065">
      <w:pPr>
        <w:spacing w:after="200" w:line="276" w:lineRule="auto"/>
        <w:jc w:val="both"/>
        <w:rPr>
          <w:rFonts w:ascii="Calibri" w:eastAsia="Calibri" w:hAnsi="Calibri" w:cs="Calibri"/>
          <w:lang w:val="en-GB"/>
        </w:rPr>
      </w:pPr>
      <w:r w:rsidRPr="001C0C4B">
        <w:rPr>
          <w:rFonts w:ascii="Calibri" w:eastAsia="Calibri" w:hAnsi="Calibri" w:cs="Calibri"/>
          <w:lang w:val="en-GB"/>
        </w:rPr>
        <w:t xml:space="preserve">The samples will be retained </w:t>
      </w:r>
      <w:r w:rsidR="00EB00D1" w:rsidRPr="001C0C4B">
        <w:rPr>
          <w:rFonts w:ascii="Calibri" w:eastAsia="Calibri" w:hAnsi="Calibri" w:cs="Calibri"/>
          <w:lang w:val="en-GB"/>
        </w:rPr>
        <w:t xml:space="preserve">as </w:t>
      </w:r>
      <w:r w:rsidRPr="001C0C4B">
        <w:rPr>
          <w:rFonts w:ascii="Calibri" w:eastAsia="Calibri" w:hAnsi="Calibri" w:cs="Calibri"/>
          <w:lang w:val="en-GB"/>
        </w:rPr>
        <w:t xml:space="preserve">per </w:t>
      </w:r>
      <w:r w:rsidR="008D7A60" w:rsidRPr="001C0C4B">
        <w:rPr>
          <w:rFonts w:ascii="Calibri" w:eastAsia="Calibri" w:hAnsi="Calibri" w:cs="Calibri"/>
          <w:lang w:val="en-GB"/>
        </w:rPr>
        <w:t xml:space="preserve">University of </w:t>
      </w:r>
      <w:r w:rsidRPr="001C0C4B">
        <w:rPr>
          <w:rFonts w:ascii="Calibri" w:eastAsia="Calibri" w:hAnsi="Calibri" w:cs="Calibri"/>
          <w:lang w:val="en-GB"/>
        </w:rPr>
        <w:t xml:space="preserve">Oxford and local site regulations. Consenting </w:t>
      </w:r>
      <w:r w:rsidR="002A7FC4" w:rsidRPr="001C0C4B">
        <w:rPr>
          <w:rFonts w:ascii="Calibri" w:eastAsia="Calibri" w:hAnsi="Calibri" w:cs="Calibri"/>
          <w:lang w:val="en-GB"/>
        </w:rPr>
        <w:t>patient</w:t>
      </w:r>
      <w:r w:rsidRPr="001C0C4B">
        <w:rPr>
          <w:rFonts w:ascii="Calibri" w:eastAsia="Calibri" w:hAnsi="Calibri" w:cs="Calibri"/>
          <w:lang w:val="en-GB"/>
        </w:rPr>
        <w:t>s may rescind their consent up until the completion of the study.</w:t>
      </w:r>
      <w:r w:rsidR="008A6B65" w:rsidRPr="001C0C4B">
        <w:rPr>
          <w:rFonts w:ascii="Calibri" w:eastAsia="Calibri" w:hAnsi="Calibri" w:cs="Calibri"/>
          <w:lang w:val="en-GB"/>
        </w:rPr>
        <w:t xml:space="preserve"> Unless requested the samples collected prior to date of withdrawal will be retained for study analysis.</w:t>
      </w:r>
    </w:p>
    <w:p w14:paraId="66CEAF9F" w14:textId="547C9B01" w:rsidR="00EA1F4B" w:rsidRPr="001C0C4B" w:rsidRDefault="008A6B65" w:rsidP="000B5065">
      <w:pPr>
        <w:spacing w:after="200" w:line="276" w:lineRule="auto"/>
        <w:jc w:val="both"/>
        <w:rPr>
          <w:rFonts w:ascii="Calibri" w:eastAsia="Calibri" w:hAnsi="Calibri" w:cs="Calibri"/>
        </w:rPr>
      </w:pPr>
      <w:r w:rsidRPr="001C0C4B">
        <w:rPr>
          <w:rFonts w:ascii="Calibri" w:eastAsia="Calibri" w:hAnsi="Calibri" w:cs="Calibri"/>
          <w:lang w:val="en-GB"/>
        </w:rPr>
        <w:t>Samples</w:t>
      </w:r>
      <w:r w:rsidR="000775DB" w:rsidRPr="001C0C4B">
        <w:rPr>
          <w:rFonts w:ascii="Calibri" w:eastAsia="Calibri" w:hAnsi="Calibri" w:cs="Calibri"/>
          <w:lang w:val="en-GB"/>
        </w:rPr>
        <w:t>, including those for PK,</w:t>
      </w:r>
      <w:r w:rsidRPr="001C0C4B">
        <w:rPr>
          <w:rFonts w:ascii="Calibri" w:eastAsia="Calibri" w:hAnsi="Calibri" w:cs="Calibri"/>
          <w:lang w:val="en-GB"/>
        </w:rPr>
        <w:t xml:space="preserve"> may be transferred to MORU or other designated testing facilities outside the site country, with appropriate material transfer agreements (MTA) and associated approvals prior to shipment.</w:t>
      </w:r>
    </w:p>
    <w:p w14:paraId="0484E3BE" w14:textId="77777777" w:rsidR="00EA1F4B" w:rsidRPr="001B277D" w:rsidRDefault="00EE2E8E" w:rsidP="00E142CD">
      <w:pPr>
        <w:pStyle w:val="Heading1"/>
        <w:numPr>
          <w:ilvl w:val="0"/>
          <w:numId w:val="23"/>
        </w:numPr>
        <w:rPr>
          <w:rFonts w:ascii="Calibri" w:hAnsi="Calibri" w:cs="Calibri"/>
          <w:color w:val="auto"/>
          <w:sz w:val="22"/>
          <w:szCs w:val="22"/>
          <w:lang w:val="en-GB"/>
        </w:rPr>
      </w:pPr>
      <w:r w:rsidRPr="001B277D">
        <w:rPr>
          <w:rFonts w:ascii="Calibri" w:hAnsi="Calibri" w:cs="Calibri"/>
          <w:color w:val="auto"/>
          <w:sz w:val="22"/>
          <w:szCs w:val="22"/>
          <w:lang w:val="en-GB"/>
        </w:rPr>
        <w:t xml:space="preserve"> </w:t>
      </w:r>
      <w:bookmarkStart w:id="175" w:name="_Toc96007293"/>
      <w:bookmarkStart w:id="176" w:name="_Toc95915246"/>
      <w:bookmarkStart w:id="177" w:name="_Toc112917634"/>
      <w:r w:rsidR="1E0C63F7" w:rsidRPr="001B277D">
        <w:rPr>
          <w:rFonts w:ascii="Calibri" w:hAnsi="Calibri" w:cs="Calibri"/>
          <w:color w:val="auto"/>
          <w:sz w:val="22"/>
          <w:szCs w:val="22"/>
          <w:lang w:val="en-GB"/>
        </w:rPr>
        <w:t>D</w:t>
      </w:r>
      <w:r w:rsidR="00405C34">
        <w:rPr>
          <w:rFonts w:ascii="Calibri" w:hAnsi="Calibri" w:cs="Calibri"/>
          <w:color w:val="auto"/>
          <w:sz w:val="22"/>
          <w:szCs w:val="22"/>
          <w:lang w:val="en-GB"/>
        </w:rPr>
        <w:t>ISCONTINUATION/WITHDRAWAL OF PATIENTS FROM STUDY</w:t>
      </w:r>
      <w:bookmarkEnd w:id="175"/>
      <w:bookmarkEnd w:id="176"/>
      <w:bookmarkEnd w:id="177"/>
    </w:p>
    <w:p w14:paraId="264EF43B" w14:textId="5F50932B" w:rsidR="00301275" w:rsidRPr="001C0C4B" w:rsidRDefault="00301275" w:rsidP="004C1BAE">
      <w:pPr>
        <w:autoSpaceDE w:val="0"/>
        <w:autoSpaceDN w:val="0"/>
        <w:adjustRightInd w:val="0"/>
        <w:spacing w:after="0" w:line="276" w:lineRule="auto"/>
        <w:jc w:val="both"/>
        <w:rPr>
          <w:rFonts w:cs="Century Gothic"/>
        </w:rPr>
      </w:pPr>
      <w:r w:rsidRPr="001C0C4B">
        <w:rPr>
          <w:rFonts w:ascii="Calibri" w:hAnsi="Calibri" w:cs="Calibri"/>
          <w:lang w:val="en-GB"/>
        </w:rPr>
        <w:t>Pa</w:t>
      </w:r>
      <w:r w:rsidR="00677396" w:rsidRPr="001C0C4B">
        <w:rPr>
          <w:rFonts w:ascii="Calibri" w:hAnsi="Calibri" w:cs="Calibri"/>
          <w:lang w:val="en-GB"/>
        </w:rPr>
        <w:t>tient</w:t>
      </w:r>
      <w:r w:rsidRPr="001C0C4B">
        <w:rPr>
          <w:rFonts w:ascii="Calibri" w:hAnsi="Calibri" w:cs="Calibri"/>
          <w:lang w:val="en-GB"/>
        </w:rPr>
        <w:t>s may choose to stop treatment and/or study assessments but may remain on study follow-up. Pa</w:t>
      </w:r>
      <w:r w:rsidR="00677396" w:rsidRPr="001C0C4B">
        <w:rPr>
          <w:rFonts w:ascii="Calibri" w:hAnsi="Calibri" w:cs="Calibri"/>
          <w:lang w:val="en-GB"/>
        </w:rPr>
        <w:t>tient</w:t>
      </w:r>
      <w:r w:rsidRPr="001C0C4B">
        <w:rPr>
          <w:rFonts w:ascii="Calibri" w:hAnsi="Calibri" w:cs="Calibri"/>
          <w:lang w:val="en-GB"/>
        </w:rPr>
        <w:t xml:space="preserve">s may also withdraw their consent, meaning that they wish to withdraw from the study completely. </w:t>
      </w:r>
      <w:r w:rsidRPr="001C0C4B">
        <w:rPr>
          <w:rFonts w:cs="Calibri"/>
        </w:rPr>
        <w:t xml:space="preserve">In the case of withdrawal from both treatment and active follow up the following options for a tiered withdrawal from the study would apply a) </w:t>
      </w:r>
      <w:r w:rsidRPr="001C0C4B">
        <w:rPr>
          <w:rFonts w:cs="Century Gothic"/>
        </w:rPr>
        <w:t>Pa</w:t>
      </w:r>
      <w:r w:rsidR="00677396" w:rsidRPr="001C0C4B">
        <w:rPr>
          <w:rFonts w:cs="Century Gothic"/>
        </w:rPr>
        <w:t>tient</w:t>
      </w:r>
      <w:r w:rsidRPr="001C0C4B">
        <w:rPr>
          <w:rFonts w:cs="Century Gothic"/>
        </w:rPr>
        <w:t>s withdraw from the study but permit data and samples obtained up until the point of withdrawal to be retained for use in the study analysis. No further data or samples would be collected after withdrawal, b) Pa</w:t>
      </w:r>
      <w:r w:rsidR="00677396" w:rsidRPr="001C0C4B">
        <w:rPr>
          <w:rFonts w:cs="Century Gothic"/>
        </w:rPr>
        <w:t>tient</w:t>
      </w:r>
      <w:r w:rsidRPr="001C0C4B">
        <w:rPr>
          <w:rFonts w:cs="Century Gothic"/>
        </w:rPr>
        <w:t xml:space="preserve">s withdraw from active follow-up and further communication but allow the trial team to continue to access their medical records and any relevant hospital data that is recorded as part of routine standard of care; i.e., CT-Scans, blood results and disease progression data etc. </w:t>
      </w:r>
    </w:p>
    <w:p w14:paraId="639EAAD1" w14:textId="77777777" w:rsidR="00E866EB" w:rsidRPr="001C0C4B" w:rsidRDefault="00E866EB" w:rsidP="00A25255">
      <w:pPr>
        <w:autoSpaceDE w:val="0"/>
        <w:autoSpaceDN w:val="0"/>
        <w:adjustRightInd w:val="0"/>
        <w:spacing w:after="0" w:line="276" w:lineRule="auto"/>
        <w:rPr>
          <w:rFonts w:cs="Century Gothic"/>
        </w:rPr>
      </w:pPr>
    </w:p>
    <w:p w14:paraId="394CA888" w14:textId="44796F88" w:rsidR="00301275" w:rsidRPr="001C0C4B" w:rsidRDefault="00301275" w:rsidP="00301275">
      <w:pPr>
        <w:rPr>
          <w:rFonts w:eastAsiaTheme="minorEastAsia"/>
          <w:b/>
          <w:bCs/>
          <w:iCs/>
        </w:rPr>
      </w:pPr>
      <w:r w:rsidRPr="001C0C4B">
        <w:t>In addition, the Investigator may discontinue a pa</w:t>
      </w:r>
      <w:r w:rsidR="00677396" w:rsidRPr="001C0C4B">
        <w:t>tient</w:t>
      </w:r>
      <w:r w:rsidRPr="001C0C4B">
        <w:t xml:space="preserve"> from the trial treatment at any time if the Investigator considers it necessary for any reason including, but not limited to:</w:t>
      </w:r>
    </w:p>
    <w:p w14:paraId="5A0A4B05" w14:textId="56D648EA" w:rsidR="00EA1F4B" w:rsidRPr="001C0C4B" w:rsidRDefault="1E0C63F7" w:rsidP="009E06F8">
      <w:pPr>
        <w:pStyle w:val="ListParagraph"/>
        <w:numPr>
          <w:ilvl w:val="0"/>
          <w:numId w:val="6"/>
        </w:numPr>
        <w:jc w:val="both"/>
        <w:rPr>
          <w:rFonts w:ascii="Calibri" w:eastAsiaTheme="minorEastAsia" w:hAnsi="Calibri" w:cs="Calibri"/>
        </w:rPr>
      </w:pPr>
      <w:r w:rsidRPr="001C0C4B">
        <w:rPr>
          <w:rFonts w:ascii="Calibri" w:hAnsi="Calibri" w:cs="Calibri"/>
          <w:lang w:val="en-GB"/>
        </w:rPr>
        <w:t>Pregnancy</w:t>
      </w:r>
    </w:p>
    <w:p w14:paraId="57BF87C2" w14:textId="693F0E13" w:rsidR="00EA1F4B" w:rsidRPr="001C0C4B" w:rsidRDefault="1E0C63F7" w:rsidP="009E06F8">
      <w:pPr>
        <w:pStyle w:val="ListParagraph"/>
        <w:numPr>
          <w:ilvl w:val="0"/>
          <w:numId w:val="6"/>
        </w:numPr>
        <w:jc w:val="both"/>
        <w:rPr>
          <w:rFonts w:ascii="Calibri" w:eastAsiaTheme="minorEastAsia" w:hAnsi="Calibri" w:cs="Calibri"/>
        </w:rPr>
      </w:pPr>
      <w:r w:rsidRPr="001C0C4B">
        <w:rPr>
          <w:rFonts w:ascii="Calibri" w:hAnsi="Calibri" w:cs="Calibri"/>
          <w:lang w:val="en-GB"/>
        </w:rPr>
        <w:t>Ineligibility (either arising during the study or retrospectively having been overlooked at screening)</w:t>
      </w:r>
    </w:p>
    <w:p w14:paraId="79A34DF1" w14:textId="30D93704" w:rsidR="00EA1F4B" w:rsidRPr="001C0C4B" w:rsidRDefault="1E0C63F7" w:rsidP="009E06F8">
      <w:pPr>
        <w:pStyle w:val="ListParagraph"/>
        <w:numPr>
          <w:ilvl w:val="0"/>
          <w:numId w:val="6"/>
        </w:numPr>
        <w:jc w:val="both"/>
        <w:rPr>
          <w:rFonts w:ascii="Calibri" w:eastAsiaTheme="minorEastAsia" w:hAnsi="Calibri" w:cs="Calibri"/>
        </w:rPr>
      </w:pPr>
      <w:r w:rsidRPr="001C0C4B">
        <w:rPr>
          <w:rFonts w:ascii="Calibri" w:hAnsi="Calibri" w:cs="Calibri"/>
          <w:lang w:val="en-GB"/>
        </w:rPr>
        <w:t>Significant protocol deviation</w:t>
      </w:r>
    </w:p>
    <w:p w14:paraId="4D7131B9" w14:textId="3C49C07E" w:rsidR="00EA1F4B" w:rsidRPr="001C0C4B" w:rsidRDefault="1E0C63F7" w:rsidP="009E06F8">
      <w:pPr>
        <w:pStyle w:val="ListParagraph"/>
        <w:numPr>
          <w:ilvl w:val="0"/>
          <w:numId w:val="6"/>
        </w:numPr>
        <w:jc w:val="both"/>
        <w:rPr>
          <w:rFonts w:ascii="Calibri" w:eastAsiaTheme="minorEastAsia" w:hAnsi="Calibri" w:cs="Calibri"/>
        </w:rPr>
      </w:pPr>
      <w:r w:rsidRPr="001C0C4B">
        <w:rPr>
          <w:rFonts w:ascii="Calibri" w:hAnsi="Calibri" w:cs="Calibri"/>
          <w:lang w:val="en-GB"/>
        </w:rPr>
        <w:t xml:space="preserve">Significant non-compliance with </w:t>
      </w:r>
      <w:r w:rsidR="00301275" w:rsidRPr="001C0C4B">
        <w:rPr>
          <w:rFonts w:ascii="Calibri" w:hAnsi="Calibri" w:cs="Calibri"/>
          <w:lang w:val="en-GB"/>
        </w:rPr>
        <w:t xml:space="preserve">treatment regimen or trial </w:t>
      </w:r>
      <w:r w:rsidRPr="001C0C4B">
        <w:rPr>
          <w:rFonts w:ascii="Calibri" w:hAnsi="Calibri" w:cs="Calibri"/>
          <w:lang w:val="en-GB"/>
        </w:rPr>
        <w:t>requirements</w:t>
      </w:r>
    </w:p>
    <w:p w14:paraId="3D479B10" w14:textId="77777777" w:rsidR="00301275" w:rsidRPr="001C0C4B" w:rsidRDefault="00301275" w:rsidP="00301275">
      <w:pPr>
        <w:pStyle w:val="ListParagraph"/>
        <w:numPr>
          <w:ilvl w:val="0"/>
          <w:numId w:val="6"/>
        </w:numPr>
        <w:spacing w:after="200" w:line="276" w:lineRule="auto"/>
        <w:jc w:val="both"/>
      </w:pPr>
      <w:r w:rsidRPr="001C0C4B">
        <w:t>An adverse event which requires discontinuation of the trial medication or results in inability to continue to comply with trial procedures</w:t>
      </w:r>
    </w:p>
    <w:p w14:paraId="7F147971" w14:textId="77777777" w:rsidR="00301275" w:rsidRPr="001C0C4B" w:rsidRDefault="00301275" w:rsidP="00A25255">
      <w:pPr>
        <w:pStyle w:val="ListParagraph"/>
        <w:numPr>
          <w:ilvl w:val="0"/>
          <w:numId w:val="6"/>
        </w:numPr>
        <w:spacing w:after="200" w:line="276" w:lineRule="auto"/>
        <w:jc w:val="both"/>
      </w:pPr>
      <w:r w:rsidRPr="001C0C4B">
        <w:t xml:space="preserve">Disease progression which requires discontinuation of the trial medication or results in inability to continue to comply with trial procedures               </w:t>
      </w:r>
    </w:p>
    <w:p w14:paraId="1B71B105" w14:textId="3D607E83" w:rsidR="00EA1F4B" w:rsidRPr="001C0C4B" w:rsidRDefault="1E0C63F7" w:rsidP="000B5065">
      <w:pPr>
        <w:spacing w:after="200" w:line="276" w:lineRule="auto"/>
        <w:jc w:val="both"/>
        <w:rPr>
          <w:rFonts w:ascii="Calibri" w:eastAsia="Calibri" w:hAnsi="Calibri" w:cs="Calibri"/>
          <w:lang w:val="en-GB"/>
        </w:rPr>
      </w:pPr>
      <w:r w:rsidRPr="001C0C4B">
        <w:rPr>
          <w:rFonts w:ascii="Calibri" w:eastAsia="Calibri" w:hAnsi="Calibri" w:cs="Calibri"/>
          <w:lang w:val="en-GB"/>
        </w:rPr>
        <w:lastRenderedPageBreak/>
        <w:t xml:space="preserve">The reason for </w:t>
      </w:r>
      <w:r w:rsidR="00842F20" w:rsidRPr="001C0C4B">
        <w:rPr>
          <w:rFonts w:ascii="Calibri" w:eastAsia="Calibri" w:hAnsi="Calibri" w:cs="Calibri"/>
          <w:lang w:val="en-GB"/>
        </w:rPr>
        <w:t xml:space="preserve">discontinuation and/or </w:t>
      </w:r>
      <w:r w:rsidRPr="001C0C4B">
        <w:rPr>
          <w:rFonts w:ascii="Calibri" w:eastAsia="Calibri" w:hAnsi="Calibri" w:cs="Calibri"/>
          <w:lang w:val="en-GB"/>
        </w:rPr>
        <w:t xml:space="preserve">withdrawal will be recorded in the Case Report Form. </w:t>
      </w:r>
      <w:r w:rsidR="077B8FA2" w:rsidRPr="001C0C4B">
        <w:rPr>
          <w:rFonts w:ascii="Calibri" w:eastAsia="Calibri" w:hAnsi="Calibri" w:cs="Calibri"/>
          <w:lang w:val="en-GB"/>
        </w:rPr>
        <w:t>qPCR d</w:t>
      </w:r>
      <w:r w:rsidRPr="001C0C4B">
        <w:rPr>
          <w:rFonts w:ascii="Calibri" w:eastAsia="Calibri" w:hAnsi="Calibri" w:cs="Calibri"/>
          <w:lang w:val="en-GB"/>
        </w:rPr>
        <w:t>ata from patients withdrawn from the study will still be analysed</w:t>
      </w:r>
      <w:r w:rsidR="3BFA1AA7" w:rsidRPr="001C0C4B">
        <w:rPr>
          <w:rFonts w:ascii="Calibri" w:eastAsia="Calibri" w:hAnsi="Calibri" w:cs="Calibri"/>
          <w:lang w:val="en-GB"/>
        </w:rPr>
        <w:t xml:space="preserve"> if at least three distinct timepoints are available for the estimation of a clearance slope. The sample size is adaptive so there is no need to replace withdrawn </w:t>
      </w:r>
      <w:r w:rsidR="00CE0FB2" w:rsidRPr="001C0C4B">
        <w:rPr>
          <w:rFonts w:ascii="Calibri" w:eastAsia="Calibri" w:hAnsi="Calibri" w:cs="Calibri"/>
          <w:lang w:val="en-GB"/>
        </w:rPr>
        <w:t>patient</w:t>
      </w:r>
      <w:r w:rsidR="3BFA1AA7" w:rsidRPr="001C0C4B">
        <w:rPr>
          <w:rFonts w:ascii="Calibri" w:eastAsia="Calibri" w:hAnsi="Calibri" w:cs="Calibri"/>
          <w:lang w:val="en-GB"/>
        </w:rPr>
        <w:t>s.</w:t>
      </w:r>
    </w:p>
    <w:p w14:paraId="39E239A3" w14:textId="7641E47C" w:rsidR="008A6B65" w:rsidRPr="001C0C4B" w:rsidRDefault="008A6B65" w:rsidP="000B5065">
      <w:pPr>
        <w:spacing w:after="200" w:line="276" w:lineRule="auto"/>
        <w:jc w:val="both"/>
        <w:rPr>
          <w:rFonts w:ascii="Calibri" w:eastAsia="Calibri" w:hAnsi="Calibri" w:cs="Calibri"/>
          <w:lang w:val="en-GB"/>
        </w:rPr>
      </w:pPr>
      <w:r w:rsidRPr="001C0C4B">
        <w:rPr>
          <w:rFonts w:ascii="Calibri" w:eastAsia="Calibri" w:hAnsi="Calibri" w:cs="Calibri"/>
          <w:lang w:val="en-GB"/>
        </w:rPr>
        <w:t>Consenting patients may rescind their consent up until the completion of the study. Unless requested, data and samples collected prior to the date of withdrawal will be retained in the study database and analysis.</w:t>
      </w:r>
    </w:p>
    <w:p w14:paraId="71892BCE" w14:textId="0CE4B363" w:rsidR="007E78CA" w:rsidRPr="001C0C4B" w:rsidRDefault="1E0C63F7" w:rsidP="00E142CD">
      <w:pPr>
        <w:pStyle w:val="Heading2"/>
        <w:numPr>
          <w:ilvl w:val="1"/>
          <w:numId w:val="23"/>
        </w:numPr>
        <w:spacing w:before="0"/>
        <w:rPr>
          <w:rFonts w:ascii="Calibri" w:hAnsi="Calibri" w:cs="Calibri"/>
          <w:color w:val="auto"/>
          <w:sz w:val="22"/>
          <w:szCs w:val="22"/>
        </w:rPr>
      </w:pPr>
      <w:bookmarkStart w:id="178" w:name="_Toc96007294"/>
      <w:bookmarkStart w:id="179" w:name="_Toc95915247"/>
      <w:bookmarkStart w:id="180" w:name="_Toc74661292"/>
      <w:bookmarkStart w:id="181" w:name="_Toc110523986"/>
      <w:bookmarkStart w:id="182" w:name="_Toc96005597"/>
      <w:bookmarkStart w:id="183" w:name="_Toc112917635"/>
      <w:r w:rsidRPr="001C0C4B">
        <w:rPr>
          <w:rFonts w:ascii="Calibri" w:hAnsi="Calibri" w:cs="Calibri"/>
          <w:color w:val="auto"/>
          <w:sz w:val="22"/>
          <w:szCs w:val="22"/>
        </w:rPr>
        <w:t>Definition of End of Study</w:t>
      </w:r>
      <w:bookmarkEnd w:id="178"/>
      <w:bookmarkEnd w:id="179"/>
      <w:bookmarkEnd w:id="180"/>
      <w:bookmarkEnd w:id="181"/>
      <w:bookmarkEnd w:id="182"/>
      <w:bookmarkEnd w:id="183"/>
    </w:p>
    <w:p w14:paraId="334E98C9" w14:textId="7F8B86E9" w:rsidR="00EA1F4B" w:rsidRPr="001C0C4B" w:rsidRDefault="1E0C63F7" w:rsidP="00D23D22">
      <w:pPr>
        <w:spacing w:after="0" w:line="276" w:lineRule="auto"/>
        <w:jc w:val="both"/>
        <w:rPr>
          <w:rFonts w:ascii="Calibri" w:eastAsia="Calibri" w:hAnsi="Calibri" w:cs="Calibri"/>
          <w:lang w:val="en-GB"/>
        </w:rPr>
      </w:pPr>
      <w:r w:rsidRPr="001C0C4B">
        <w:rPr>
          <w:rFonts w:ascii="Calibri" w:eastAsia="Calibri" w:hAnsi="Calibri" w:cs="Calibri"/>
          <w:lang w:val="en-GB"/>
        </w:rPr>
        <w:t xml:space="preserve">The end of study is the date of the </w:t>
      </w:r>
      <w:r w:rsidR="3A13A0E4" w:rsidRPr="001C0C4B">
        <w:rPr>
          <w:rFonts w:ascii="Calibri" w:eastAsia="Calibri" w:hAnsi="Calibri" w:cs="Calibri"/>
          <w:lang w:val="en-GB"/>
        </w:rPr>
        <w:t>28</w:t>
      </w:r>
      <w:r w:rsidR="00531882" w:rsidRPr="001C0C4B">
        <w:rPr>
          <w:rFonts w:ascii="Calibri" w:eastAsia="Calibri" w:hAnsi="Calibri" w:cs="Calibri"/>
          <w:lang w:val="en-GB"/>
        </w:rPr>
        <w:t xml:space="preserve"> day</w:t>
      </w:r>
      <w:r w:rsidR="3A13A0E4" w:rsidRPr="001C0C4B">
        <w:rPr>
          <w:rFonts w:ascii="Calibri" w:eastAsia="Calibri" w:hAnsi="Calibri" w:cs="Calibri"/>
          <w:lang w:val="en-GB"/>
        </w:rPr>
        <w:t xml:space="preserve"> </w:t>
      </w:r>
      <w:r w:rsidR="006E25DB" w:rsidRPr="001C0C4B">
        <w:rPr>
          <w:rFonts w:ascii="Calibri" w:eastAsia="Calibri" w:hAnsi="Calibri" w:cs="Calibri"/>
          <w:lang w:val="en-GB"/>
        </w:rPr>
        <w:t xml:space="preserve">follow up visit </w:t>
      </w:r>
      <w:r w:rsidRPr="001C0C4B">
        <w:rPr>
          <w:rFonts w:ascii="Calibri" w:eastAsia="Calibri" w:hAnsi="Calibri" w:cs="Calibri"/>
          <w:lang w:val="en-GB"/>
        </w:rPr>
        <w:t xml:space="preserve">of the last </w:t>
      </w:r>
      <w:r w:rsidR="001310B3" w:rsidRPr="001C0C4B">
        <w:rPr>
          <w:rFonts w:ascii="Calibri" w:eastAsia="Calibri" w:hAnsi="Calibri" w:cs="Calibri"/>
          <w:lang w:val="en-GB"/>
        </w:rPr>
        <w:t xml:space="preserve">enrolled </w:t>
      </w:r>
      <w:r w:rsidR="00CE0FB2" w:rsidRPr="001C0C4B">
        <w:rPr>
          <w:rFonts w:ascii="Calibri" w:eastAsia="Calibri" w:hAnsi="Calibri" w:cs="Calibri"/>
          <w:lang w:val="en-GB"/>
        </w:rPr>
        <w:t>patient</w:t>
      </w:r>
      <w:r w:rsidRPr="001C0C4B">
        <w:rPr>
          <w:rFonts w:ascii="Calibri" w:eastAsia="Calibri" w:hAnsi="Calibri" w:cs="Calibri"/>
          <w:lang w:val="en-GB"/>
        </w:rPr>
        <w:t>.</w:t>
      </w:r>
    </w:p>
    <w:p w14:paraId="5AB349D0" w14:textId="2B180EB2" w:rsidR="00EA1F4B" w:rsidRPr="001C0C4B" w:rsidRDefault="1E0C63F7" w:rsidP="00E142CD">
      <w:pPr>
        <w:pStyle w:val="Heading1"/>
        <w:numPr>
          <w:ilvl w:val="0"/>
          <w:numId w:val="23"/>
        </w:numPr>
        <w:rPr>
          <w:rFonts w:ascii="Calibri" w:hAnsi="Calibri" w:cs="Calibri"/>
          <w:color w:val="auto"/>
          <w:sz w:val="22"/>
          <w:szCs w:val="22"/>
          <w:lang w:val="en-GB"/>
        </w:rPr>
      </w:pPr>
      <w:bookmarkStart w:id="184" w:name="_Toc96007295"/>
      <w:bookmarkStart w:id="185" w:name="_Toc95915248"/>
      <w:bookmarkStart w:id="186" w:name="_Toc74661293"/>
      <w:bookmarkStart w:id="187" w:name="_Toc110523987"/>
      <w:bookmarkStart w:id="188" w:name="_Toc96005598"/>
      <w:bookmarkStart w:id="189" w:name="_Toc112917636"/>
      <w:r w:rsidRPr="001C0C4B">
        <w:rPr>
          <w:rFonts w:ascii="Calibri" w:hAnsi="Calibri" w:cs="Calibri"/>
          <w:color w:val="auto"/>
          <w:sz w:val="22"/>
          <w:szCs w:val="22"/>
          <w:lang w:val="en-GB"/>
        </w:rPr>
        <w:t>SAFETY REPORTING</w:t>
      </w:r>
      <w:bookmarkEnd w:id="184"/>
      <w:bookmarkEnd w:id="185"/>
      <w:bookmarkEnd w:id="186"/>
      <w:bookmarkEnd w:id="187"/>
      <w:bookmarkEnd w:id="188"/>
      <w:bookmarkEnd w:id="189"/>
      <w:r w:rsidRPr="001C0C4B">
        <w:rPr>
          <w:rFonts w:ascii="Calibri" w:hAnsi="Calibri" w:cs="Calibri"/>
          <w:color w:val="auto"/>
          <w:sz w:val="22"/>
          <w:szCs w:val="22"/>
          <w:lang w:val="en-GB"/>
        </w:rPr>
        <w:t xml:space="preserve"> </w:t>
      </w:r>
    </w:p>
    <w:p w14:paraId="01B5EFE7" w14:textId="5BE011CC" w:rsidR="00C0218E" w:rsidRPr="001C0C4B" w:rsidRDefault="00C0218E" w:rsidP="00E142CD">
      <w:pPr>
        <w:pStyle w:val="Heading2"/>
        <w:numPr>
          <w:ilvl w:val="1"/>
          <w:numId w:val="23"/>
        </w:numPr>
        <w:rPr>
          <w:rFonts w:ascii="Calibri" w:hAnsi="Calibri" w:cs="Calibri"/>
          <w:color w:val="auto"/>
          <w:sz w:val="22"/>
          <w:szCs w:val="22"/>
        </w:rPr>
      </w:pPr>
      <w:bookmarkStart w:id="190" w:name="_Toc96007296"/>
      <w:bookmarkStart w:id="191" w:name="_Toc95915249"/>
      <w:bookmarkStart w:id="192" w:name="_Toc74661294"/>
      <w:bookmarkStart w:id="193" w:name="_Toc110523988"/>
      <w:bookmarkStart w:id="194" w:name="_Toc96005599"/>
      <w:bookmarkStart w:id="195" w:name="_Toc112917637"/>
      <w:r w:rsidRPr="001C0C4B">
        <w:rPr>
          <w:rFonts w:ascii="Calibri" w:hAnsi="Calibri" w:cs="Calibri"/>
          <w:color w:val="auto"/>
          <w:sz w:val="22"/>
          <w:szCs w:val="22"/>
        </w:rPr>
        <w:t>Definitions</w:t>
      </w:r>
      <w:bookmarkEnd w:id="190"/>
      <w:bookmarkEnd w:id="191"/>
      <w:bookmarkEnd w:id="192"/>
      <w:bookmarkEnd w:id="193"/>
      <w:bookmarkEnd w:id="194"/>
      <w:bookmarkEnd w:id="195"/>
    </w:p>
    <w:tbl>
      <w:tblPr>
        <w:tblW w:w="0" w:type="auto"/>
        <w:tblLayout w:type="fixed"/>
        <w:tblLook w:val="04A0" w:firstRow="1" w:lastRow="0" w:firstColumn="1" w:lastColumn="0" w:noHBand="0" w:noVBand="1"/>
      </w:tblPr>
      <w:tblGrid>
        <w:gridCol w:w="2610"/>
        <w:gridCol w:w="7102"/>
      </w:tblGrid>
      <w:tr w:rsidR="00D23D22" w:rsidRPr="001C0C4B" w14:paraId="5314514A" w14:textId="77777777" w:rsidTr="00BF2FEE">
        <w:tc>
          <w:tcPr>
            <w:tcW w:w="2610" w:type="dxa"/>
            <w:tcBorders>
              <w:top w:val="single" w:sz="6" w:space="0" w:color="auto"/>
              <w:left w:val="single" w:sz="6" w:space="0" w:color="auto"/>
              <w:bottom w:val="single" w:sz="6" w:space="0" w:color="auto"/>
              <w:right w:val="single" w:sz="6" w:space="0" w:color="auto"/>
            </w:tcBorders>
          </w:tcPr>
          <w:p w14:paraId="79F6E919" w14:textId="71CA2DC3" w:rsidR="3268FAB0" w:rsidRPr="001C0C4B" w:rsidRDefault="3268FAB0" w:rsidP="3268FAB0">
            <w:pPr>
              <w:spacing w:before="120" w:after="120" w:line="276" w:lineRule="auto"/>
              <w:rPr>
                <w:rFonts w:ascii="Calibri" w:eastAsia="Calibri" w:hAnsi="Calibri" w:cs="Calibri"/>
              </w:rPr>
            </w:pPr>
            <w:r w:rsidRPr="001C0C4B">
              <w:rPr>
                <w:rFonts w:ascii="Calibri" w:eastAsia="Calibri" w:hAnsi="Calibri" w:cs="Calibri"/>
                <w:lang w:val="en-GB"/>
              </w:rPr>
              <w:t>Adverse Event (AE)</w:t>
            </w:r>
          </w:p>
        </w:tc>
        <w:tc>
          <w:tcPr>
            <w:tcW w:w="7102" w:type="dxa"/>
            <w:tcBorders>
              <w:top w:val="single" w:sz="6" w:space="0" w:color="auto"/>
              <w:bottom w:val="single" w:sz="6" w:space="0" w:color="auto"/>
              <w:right w:val="single" w:sz="6" w:space="0" w:color="auto"/>
            </w:tcBorders>
          </w:tcPr>
          <w:p w14:paraId="0405517D" w14:textId="1D461A0B" w:rsidR="3268FAB0" w:rsidRPr="001C0C4B" w:rsidRDefault="3268FAB0" w:rsidP="00C81097">
            <w:pPr>
              <w:spacing w:before="120" w:after="120" w:line="276" w:lineRule="auto"/>
              <w:jc w:val="thaiDistribute"/>
              <w:rPr>
                <w:rFonts w:ascii="Calibri" w:eastAsia="Calibri" w:hAnsi="Calibri" w:cs="Calibri"/>
              </w:rPr>
            </w:pPr>
            <w:r w:rsidRPr="001C0C4B">
              <w:rPr>
                <w:rFonts w:ascii="Calibri" w:eastAsia="Calibri" w:hAnsi="Calibri" w:cs="Calibri"/>
                <w:lang w:val="en-GB"/>
              </w:rPr>
              <w:t xml:space="preserve">Any untoward medical occurrence in a </w:t>
            </w:r>
            <w:r w:rsidR="00CE0FB2" w:rsidRPr="001C0C4B">
              <w:rPr>
                <w:rFonts w:ascii="Calibri" w:eastAsia="Calibri" w:hAnsi="Calibri" w:cs="Calibri"/>
                <w:lang w:val="en-GB"/>
              </w:rPr>
              <w:t>patient</w:t>
            </w:r>
            <w:r w:rsidRPr="001C0C4B">
              <w:rPr>
                <w:rFonts w:ascii="Calibri" w:eastAsia="Calibri" w:hAnsi="Calibri" w:cs="Calibri"/>
                <w:lang w:val="en-GB"/>
              </w:rPr>
              <w:t xml:space="preserve"> to whom a medicinal product has been administered, including occurrences which are not necessarily caused by or related to that product.</w:t>
            </w:r>
          </w:p>
        </w:tc>
      </w:tr>
      <w:tr w:rsidR="00D23D22" w:rsidRPr="001C0C4B" w14:paraId="282A821B" w14:textId="77777777" w:rsidTr="00BF2FEE">
        <w:tc>
          <w:tcPr>
            <w:tcW w:w="2610" w:type="dxa"/>
            <w:tcBorders>
              <w:left w:val="single" w:sz="6" w:space="0" w:color="auto"/>
              <w:bottom w:val="single" w:sz="6" w:space="0" w:color="auto"/>
              <w:right w:val="single" w:sz="6" w:space="0" w:color="auto"/>
            </w:tcBorders>
          </w:tcPr>
          <w:p w14:paraId="147074C0" w14:textId="24644834" w:rsidR="3268FAB0" w:rsidRPr="001C0C4B" w:rsidRDefault="3268FAB0" w:rsidP="3268FAB0">
            <w:pPr>
              <w:spacing w:before="120" w:after="120" w:line="276" w:lineRule="auto"/>
              <w:rPr>
                <w:rFonts w:ascii="Calibri" w:eastAsia="Calibri" w:hAnsi="Calibri" w:cs="Calibri"/>
              </w:rPr>
            </w:pPr>
            <w:r w:rsidRPr="001C0C4B">
              <w:rPr>
                <w:rFonts w:ascii="Calibri" w:eastAsia="Calibri" w:hAnsi="Calibri" w:cs="Calibri"/>
                <w:lang w:val="en-GB"/>
              </w:rPr>
              <w:t>Adverse Reaction (AR)</w:t>
            </w:r>
          </w:p>
          <w:p w14:paraId="499E27F9" w14:textId="02854103" w:rsidR="3268FAB0" w:rsidRPr="001C0C4B" w:rsidRDefault="3268FAB0" w:rsidP="3268FAB0">
            <w:pPr>
              <w:spacing w:before="120" w:after="120" w:line="276" w:lineRule="auto"/>
              <w:rPr>
                <w:rFonts w:ascii="Calibri" w:eastAsia="Calibri" w:hAnsi="Calibri" w:cs="Calibri"/>
              </w:rPr>
            </w:pPr>
          </w:p>
        </w:tc>
        <w:tc>
          <w:tcPr>
            <w:tcW w:w="7102" w:type="dxa"/>
            <w:tcBorders>
              <w:bottom w:val="single" w:sz="6" w:space="0" w:color="auto"/>
              <w:right w:val="single" w:sz="6" w:space="0" w:color="auto"/>
            </w:tcBorders>
          </w:tcPr>
          <w:p w14:paraId="57671C63" w14:textId="36A1D1C8" w:rsidR="3268FAB0" w:rsidRPr="001C0C4B" w:rsidRDefault="3268FAB0" w:rsidP="00C81097">
            <w:pPr>
              <w:spacing w:before="120" w:after="120" w:line="276" w:lineRule="auto"/>
              <w:jc w:val="thaiDistribute"/>
              <w:rPr>
                <w:rFonts w:ascii="Calibri" w:eastAsia="Calibri" w:hAnsi="Calibri" w:cs="Calibri"/>
              </w:rPr>
            </w:pPr>
            <w:r w:rsidRPr="001C0C4B">
              <w:rPr>
                <w:rFonts w:ascii="Calibri" w:eastAsia="Calibri" w:hAnsi="Calibri" w:cs="Calibri"/>
                <w:lang w:val="en-GB"/>
              </w:rPr>
              <w:t xml:space="preserve">An untoward and unintended response in a </w:t>
            </w:r>
            <w:r w:rsidR="00CE0FB2" w:rsidRPr="001C0C4B">
              <w:rPr>
                <w:rFonts w:ascii="Calibri" w:eastAsia="Calibri" w:hAnsi="Calibri" w:cs="Calibri"/>
                <w:lang w:val="en-GB"/>
              </w:rPr>
              <w:t>patient</w:t>
            </w:r>
            <w:r w:rsidRPr="001C0C4B">
              <w:rPr>
                <w:rFonts w:ascii="Calibri" w:eastAsia="Calibri" w:hAnsi="Calibri" w:cs="Calibri"/>
                <w:lang w:val="en-GB"/>
              </w:rPr>
              <w:t xml:space="preserve"> to an investigational medicinal product which is related to any dose administered to that </w:t>
            </w:r>
            <w:r w:rsidR="00CE0FB2" w:rsidRPr="001C0C4B">
              <w:rPr>
                <w:rFonts w:ascii="Calibri" w:eastAsia="Calibri" w:hAnsi="Calibri" w:cs="Calibri"/>
                <w:lang w:val="en-GB"/>
              </w:rPr>
              <w:t>patient</w:t>
            </w:r>
            <w:r w:rsidRPr="001C0C4B">
              <w:rPr>
                <w:rFonts w:ascii="Calibri" w:eastAsia="Calibri" w:hAnsi="Calibri" w:cs="Calibri"/>
                <w:lang w:val="en-GB"/>
              </w:rPr>
              <w:t>.</w:t>
            </w:r>
          </w:p>
          <w:p w14:paraId="4097273C" w14:textId="59310ECC" w:rsidR="3268FAB0" w:rsidRPr="001C0C4B" w:rsidRDefault="3268FAB0" w:rsidP="00C81097">
            <w:pPr>
              <w:spacing w:before="120" w:after="120" w:line="276" w:lineRule="auto"/>
              <w:jc w:val="thaiDistribute"/>
              <w:rPr>
                <w:rFonts w:ascii="Calibri" w:eastAsia="Calibri" w:hAnsi="Calibri" w:cs="Calibri"/>
              </w:rPr>
            </w:pPr>
            <w:r w:rsidRPr="001C0C4B">
              <w:rPr>
                <w:rFonts w:ascii="Calibri" w:eastAsia="Calibri" w:hAnsi="Calibri" w:cs="Calibri"/>
                <w:lang w:val="en-GB"/>
              </w:rPr>
              <w:t xml:space="preserve">The phrase </w:t>
            </w:r>
            <w:r w:rsidR="008D7CB0">
              <w:rPr>
                <w:rFonts w:ascii="Calibri" w:eastAsia="Calibri" w:hAnsi="Calibri" w:cs="Calibri"/>
                <w:lang w:val="en-GB"/>
              </w:rPr>
              <w:t>“</w:t>
            </w:r>
            <w:r w:rsidRPr="001C0C4B">
              <w:rPr>
                <w:rFonts w:ascii="Calibri" w:eastAsia="Calibri" w:hAnsi="Calibri" w:cs="Calibri"/>
                <w:lang w:val="en-GB"/>
              </w:rPr>
              <w:t>response to an investigational medicinal product</w:t>
            </w:r>
            <w:r w:rsidR="008D7CB0">
              <w:rPr>
                <w:rFonts w:ascii="Calibri" w:eastAsia="Calibri" w:hAnsi="Calibri" w:cs="Calibri"/>
                <w:lang w:val="en-GB"/>
              </w:rPr>
              <w:t>”</w:t>
            </w:r>
            <w:r w:rsidRPr="001C0C4B">
              <w:rPr>
                <w:rFonts w:ascii="Calibri" w:eastAsia="Calibri" w:hAnsi="Calibri" w:cs="Calibri"/>
                <w:lang w:val="en-GB"/>
              </w:rPr>
              <w:t xml:space="preserve"> means that a causal relationship between a trial medication and an AE is at least a reasonable possibility, i.e. the relationship cannot be ruled out.</w:t>
            </w:r>
          </w:p>
          <w:p w14:paraId="4E87505B" w14:textId="59D9DA33" w:rsidR="3268FAB0" w:rsidRPr="001C0C4B" w:rsidRDefault="3268FAB0" w:rsidP="00C81097">
            <w:pPr>
              <w:spacing w:before="120" w:after="120" w:line="276" w:lineRule="auto"/>
              <w:jc w:val="thaiDistribute"/>
              <w:rPr>
                <w:rFonts w:ascii="Calibri" w:eastAsia="Calibri" w:hAnsi="Calibri" w:cs="Calibri"/>
              </w:rPr>
            </w:pPr>
            <w:r w:rsidRPr="001C0C4B">
              <w:rPr>
                <w:rFonts w:ascii="Calibri" w:eastAsia="Calibri" w:hAnsi="Calibri" w:cs="Calibri"/>
                <w:lang w:val="en-GB"/>
              </w:rPr>
              <w:t>All cases judged by either the reporting medically qualified professional or the Sponsor as having a reasonable suspected causal relationship to the trial medication qualify as adverse reactions.</w:t>
            </w:r>
          </w:p>
        </w:tc>
      </w:tr>
      <w:tr w:rsidR="00D23D22" w:rsidRPr="001C0C4B" w14:paraId="2C8191B0" w14:textId="77777777" w:rsidTr="004A7002">
        <w:tc>
          <w:tcPr>
            <w:tcW w:w="2610" w:type="dxa"/>
            <w:tcBorders>
              <w:left w:val="single" w:sz="6" w:space="0" w:color="auto"/>
              <w:bottom w:val="single" w:sz="6" w:space="0" w:color="auto"/>
              <w:right w:val="single" w:sz="6" w:space="0" w:color="auto"/>
            </w:tcBorders>
          </w:tcPr>
          <w:p w14:paraId="2483348B" w14:textId="22E2BBC9" w:rsidR="3268FAB0" w:rsidRPr="001C0C4B" w:rsidRDefault="3268FAB0" w:rsidP="3268FAB0">
            <w:pPr>
              <w:spacing w:before="120" w:after="120" w:line="276" w:lineRule="auto"/>
              <w:rPr>
                <w:rFonts w:ascii="Calibri" w:eastAsia="Calibri" w:hAnsi="Calibri" w:cs="Calibri"/>
              </w:rPr>
            </w:pPr>
            <w:r w:rsidRPr="001C0C4B">
              <w:rPr>
                <w:rFonts w:ascii="Calibri" w:eastAsia="Calibri" w:hAnsi="Calibri" w:cs="Calibri"/>
                <w:lang w:val="en-GB"/>
              </w:rPr>
              <w:t>Serious Adverse Event (SAE)</w:t>
            </w:r>
          </w:p>
        </w:tc>
        <w:tc>
          <w:tcPr>
            <w:tcW w:w="7102" w:type="dxa"/>
            <w:tcBorders>
              <w:bottom w:val="single" w:sz="6" w:space="0" w:color="auto"/>
              <w:right w:val="single" w:sz="6" w:space="0" w:color="auto"/>
            </w:tcBorders>
          </w:tcPr>
          <w:p w14:paraId="00191E45" w14:textId="355BA6DC" w:rsidR="3268FAB0" w:rsidRPr="001C0C4B" w:rsidRDefault="3268FAB0" w:rsidP="00C81097">
            <w:pPr>
              <w:spacing w:before="120" w:after="120" w:line="276" w:lineRule="auto"/>
              <w:jc w:val="thaiDistribute"/>
              <w:rPr>
                <w:rFonts w:ascii="Calibri" w:eastAsia="Calibri" w:hAnsi="Calibri" w:cs="Calibri"/>
              </w:rPr>
            </w:pPr>
            <w:r w:rsidRPr="001C0C4B">
              <w:rPr>
                <w:rFonts w:ascii="Calibri" w:eastAsia="Calibri" w:hAnsi="Calibri" w:cs="Calibri"/>
                <w:lang w:val="en-GB"/>
              </w:rPr>
              <w:t>A serious adverse event is any untoward medical occurrence that:</w:t>
            </w:r>
          </w:p>
          <w:p w14:paraId="32859D32" w14:textId="449DD801" w:rsidR="3268FAB0" w:rsidRPr="001C0C4B" w:rsidRDefault="3268FAB0" w:rsidP="00C81097">
            <w:pPr>
              <w:pStyle w:val="ListParagraph"/>
              <w:numPr>
                <w:ilvl w:val="0"/>
                <w:numId w:val="5"/>
              </w:numPr>
              <w:spacing w:before="120" w:after="120" w:line="276" w:lineRule="auto"/>
              <w:ind w:left="489" w:hanging="284"/>
              <w:jc w:val="thaiDistribute"/>
              <w:rPr>
                <w:rFonts w:ascii="Calibri" w:eastAsiaTheme="minorEastAsia" w:hAnsi="Calibri" w:cs="Calibri"/>
              </w:rPr>
            </w:pPr>
            <w:r w:rsidRPr="001C0C4B">
              <w:rPr>
                <w:rFonts w:ascii="Calibri" w:eastAsia="Calibri" w:hAnsi="Calibri" w:cs="Calibri"/>
                <w:lang w:val="en-GB"/>
              </w:rPr>
              <w:t>results in death</w:t>
            </w:r>
          </w:p>
          <w:p w14:paraId="139267A8" w14:textId="3A0E052F" w:rsidR="3268FAB0" w:rsidRPr="001C0C4B" w:rsidRDefault="3268FAB0" w:rsidP="00C81097">
            <w:pPr>
              <w:pStyle w:val="ListParagraph"/>
              <w:numPr>
                <w:ilvl w:val="0"/>
                <w:numId w:val="5"/>
              </w:numPr>
              <w:spacing w:before="120" w:after="120" w:line="276" w:lineRule="auto"/>
              <w:ind w:left="489" w:hanging="284"/>
              <w:jc w:val="thaiDistribute"/>
              <w:rPr>
                <w:rFonts w:ascii="Calibri" w:eastAsiaTheme="minorEastAsia" w:hAnsi="Calibri" w:cs="Calibri"/>
              </w:rPr>
            </w:pPr>
            <w:r w:rsidRPr="001C0C4B">
              <w:rPr>
                <w:rFonts w:ascii="Calibri" w:eastAsia="Calibri" w:hAnsi="Calibri" w:cs="Calibri"/>
                <w:lang w:val="en-GB"/>
              </w:rPr>
              <w:t>is life-threatening</w:t>
            </w:r>
          </w:p>
          <w:p w14:paraId="2F707EC9" w14:textId="2944B384" w:rsidR="3268FAB0" w:rsidRPr="001C0C4B" w:rsidRDefault="3268FAB0" w:rsidP="00C81097">
            <w:pPr>
              <w:pStyle w:val="ListParagraph"/>
              <w:numPr>
                <w:ilvl w:val="0"/>
                <w:numId w:val="5"/>
              </w:numPr>
              <w:spacing w:before="120" w:after="120" w:line="276" w:lineRule="auto"/>
              <w:ind w:left="489" w:hanging="284"/>
              <w:jc w:val="thaiDistribute"/>
              <w:rPr>
                <w:rFonts w:ascii="Calibri" w:eastAsiaTheme="minorEastAsia" w:hAnsi="Calibri" w:cs="Calibri"/>
                <w:u w:val="single"/>
                <w:lang w:val="en-GB"/>
              </w:rPr>
            </w:pPr>
            <w:r w:rsidRPr="001C0C4B">
              <w:rPr>
                <w:rFonts w:ascii="Calibri" w:eastAsia="Calibri" w:hAnsi="Calibri" w:cs="Calibri"/>
                <w:lang w:val="en-GB"/>
              </w:rPr>
              <w:t>requires inpatient hospitalisation or prolongation of existing hospitalisation</w:t>
            </w:r>
            <w:r w:rsidR="6C175FEE" w:rsidRPr="001C0C4B">
              <w:rPr>
                <w:rFonts w:ascii="Calibri" w:eastAsia="Calibri" w:hAnsi="Calibri" w:cs="Calibri"/>
                <w:u w:val="single"/>
                <w:vertAlign w:val="superscript"/>
                <w:lang w:val="en-GB"/>
              </w:rPr>
              <w:t>ş</w:t>
            </w:r>
          </w:p>
          <w:p w14:paraId="465CB1AF" w14:textId="18DE1798" w:rsidR="3268FAB0" w:rsidRPr="001C0C4B" w:rsidRDefault="3268FAB0" w:rsidP="00C81097">
            <w:pPr>
              <w:pStyle w:val="ListParagraph"/>
              <w:numPr>
                <w:ilvl w:val="0"/>
                <w:numId w:val="5"/>
              </w:numPr>
              <w:spacing w:before="120" w:after="120" w:line="276" w:lineRule="auto"/>
              <w:ind w:left="489" w:hanging="284"/>
              <w:jc w:val="thaiDistribute"/>
              <w:rPr>
                <w:rFonts w:ascii="Calibri" w:eastAsiaTheme="minorEastAsia" w:hAnsi="Calibri" w:cs="Calibri"/>
              </w:rPr>
            </w:pPr>
            <w:r w:rsidRPr="001C0C4B">
              <w:rPr>
                <w:rFonts w:ascii="Calibri" w:eastAsia="Calibri" w:hAnsi="Calibri" w:cs="Calibri"/>
                <w:lang w:val="en-GB"/>
              </w:rPr>
              <w:t>results in persistent or significant disability/incapacity</w:t>
            </w:r>
          </w:p>
          <w:p w14:paraId="543F4E68" w14:textId="68E0D6BF" w:rsidR="3268FAB0" w:rsidRPr="001C0C4B" w:rsidRDefault="3268FAB0" w:rsidP="00C81097">
            <w:pPr>
              <w:pStyle w:val="ListParagraph"/>
              <w:numPr>
                <w:ilvl w:val="0"/>
                <w:numId w:val="5"/>
              </w:numPr>
              <w:spacing w:before="120" w:after="120" w:line="276" w:lineRule="auto"/>
              <w:ind w:left="489" w:hanging="284"/>
              <w:jc w:val="thaiDistribute"/>
              <w:rPr>
                <w:rFonts w:ascii="Calibri" w:eastAsiaTheme="minorEastAsia" w:hAnsi="Calibri" w:cs="Calibri"/>
              </w:rPr>
            </w:pPr>
            <w:r w:rsidRPr="001C0C4B">
              <w:rPr>
                <w:rFonts w:ascii="Calibri" w:eastAsia="Calibri" w:hAnsi="Calibri" w:cs="Calibri"/>
                <w:lang w:val="en-GB"/>
              </w:rPr>
              <w:t>consists of a congenital anomaly or birth defect.</w:t>
            </w:r>
          </w:p>
          <w:p w14:paraId="57770103" w14:textId="5A93B337" w:rsidR="3268FAB0" w:rsidRPr="001C0C4B" w:rsidRDefault="3268FAB0" w:rsidP="00C81097">
            <w:pPr>
              <w:spacing w:before="120" w:after="120" w:line="276" w:lineRule="auto"/>
              <w:jc w:val="thaiDistribute"/>
              <w:rPr>
                <w:rFonts w:ascii="Calibri" w:eastAsia="Calibri" w:hAnsi="Calibri" w:cs="Calibri"/>
              </w:rPr>
            </w:pPr>
            <w:r w:rsidRPr="001C0C4B">
              <w:rPr>
                <w:rFonts w:ascii="Calibri" w:eastAsia="Calibri" w:hAnsi="Calibri" w:cs="Calibri"/>
                <w:lang w:val="en-GB"/>
              </w:rPr>
              <w:t xml:space="preserve">Other </w:t>
            </w:r>
            <w:r w:rsidR="00C81097">
              <w:rPr>
                <w:rFonts w:ascii="Calibri" w:eastAsia="Calibri" w:hAnsi="Calibri" w:cs="Calibri"/>
                <w:lang w:val="en-GB"/>
              </w:rPr>
              <w:t>“</w:t>
            </w:r>
            <w:r w:rsidRPr="001C0C4B">
              <w:rPr>
                <w:rFonts w:ascii="Calibri" w:eastAsia="Calibri" w:hAnsi="Calibri" w:cs="Calibri"/>
                <w:lang w:val="en-GB"/>
              </w:rPr>
              <w:t>important medical events</w:t>
            </w:r>
            <w:r w:rsidR="00C81097">
              <w:rPr>
                <w:rFonts w:ascii="Calibri" w:eastAsia="Calibri" w:hAnsi="Calibri" w:cs="Calibri"/>
                <w:lang w:val="en-GB"/>
              </w:rPr>
              <w:t>”</w:t>
            </w:r>
            <w:r w:rsidRPr="001C0C4B">
              <w:rPr>
                <w:rFonts w:ascii="Calibri" w:eastAsia="Calibri" w:hAnsi="Calibri" w:cs="Calibri"/>
                <w:lang w:val="en-GB"/>
              </w:rPr>
              <w:t xml:space="preserve"> may also be considered serious if they jeopardise the </w:t>
            </w:r>
            <w:r w:rsidR="00CE0FB2" w:rsidRPr="001C0C4B">
              <w:rPr>
                <w:rFonts w:ascii="Calibri" w:eastAsia="Calibri" w:hAnsi="Calibri" w:cs="Calibri"/>
                <w:lang w:val="en-GB"/>
              </w:rPr>
              <w:t>patient</w:t>
            </w:r>
            <w:r w:rsidRPr="001C0C4B">
              <w:rPr>
                <w:rFonts w:ascii="Calibri" w:eastAsia="Calibri" w:hAnsi="Calibri" w:cs="Calibri"/>
                <w:lang w:val="en-GB"/>
              </w:rPr>
              <w:t xml:space="preserve"> or require an intervention to prevent one of the above consequences.</w:t>
            </w:r>
          </w:p>
          <w:p w14:paraId="75F4D8F4" w14:textId="6948973B" w:rsidR="3268FAB0" w:rsidRPr="001C0C4B" w:rsidRDefault="3268FAB0" w:rsidP="00C81097">
            <w:pPr>
              <w:spacing w:before="120" w:after="120" w:line="276" w:lineRule="auto"/>
              <w:jc w:val="thaiDistribute"/>
              <w:rPr>
                <w:rFonts w:ascii="Calibri" w:eastAsia="Calibri" w:hAnsi="Calibri" w:cs="Calibri"/>
                <w:lang w:val="en-GB"/>
              </w:rPr>
            </w:pPr>
            <w:r w:rsidRPr="001C0C4B">
              <w:rPr>
                <w:rFonts w:ascii="Calibri" w:eastAsia="Calibri" w:hAnsi="Calibri" w:cs="Calibri"/>
                <w:lang w:val="en-GB"/>
              </w:rPr>
              <w:t xml:space="preserve">NOTE: The term </w:t>
            </w:r>
            <w:r w:rsidR="00A2658E">
              <w:rPr>
                <w:rFonts w:ascii="Calibri" w:eastAsia="Calibri" w:hAnsi="Calibri" w:cs="Calibri"/>
                <w:lang w:val="en-GB"/>
              </w:rPr>
              <w:t>“</w:t>
            </w:r>
            <w:r w:rsidRPr="001C0C4B">
              <w:rPr>
                <w:rFonts w:ascii="Calibri" w:eastAsia="Calibri" w:hAnsi="Calibri" w:cs="Calibri"/>
                <w:lang w:val="en-GB"/>
              </w:rPr>
              <w:t>life-threatening</w:t>
            </w:r>
            <w:r w:rsidR="00A2658E">
              <w:rPr>
                <w:rFonts w:ascii="Calibri" w:eastAsia="Calibri" w:hAnsi="Calibri" w:cs="Calibri"/>
                <w:lang w:val="en-GB"/>
              </w:rPr>
              <w:t xml:space="preserve">” </w:t>
            </w:r>
            <w:r w:rsidRPr="001C0C4B">
              <w:rPr>
                <w:rFonts w:ascii="Calibri" w:eastAsia="Calibri" w:hAnsi="Calibri" w:cs="Calibri"/>
                <w:lang w:val="en-GB"/>
              </w:rPr>
              <w:t xml:space="preserve">in the definition of </w:t>
            </w:r>
            <w:r w:rsidR="00A2658E">
              <w:rPr>
                <w:rFonts w:ascii="Calibri" w:eastAsia="Calibri" w:hAnsi="Calibri" w:cs="Calibri"/>
                <w:lang w:val="en-GB"/>
              </w:rPr>
              <w:t>“</w:t>
            </w:r>
            <w:r w:rsidRPr="001C0C4B">
              <w:rPr>
                <w:rFonts w:ascii="Calibri" w:eastAsia="Calibri" w:hAnsi="Calibri" w:cs="Calibri"/>
                <w:lang w:val="en-GB"/>
              </w:rPr>
              <w:t>serious</w:t>
            </w:r>
            <w:r w:rsidR="00A2658E">
              <w:rPr>
                <w:rFonts w:ascii="Calibri" w:eastAsia="Calibri" w:hAnsi="Calibri" w:cs="Calibri"/>
                <w:lang w:val="en-GB"/>
              </w:rPr>
              <w:t>”</w:t>
            </w:r>
            <w:r w:rsidRPr="001C0C4B">
              <w:rPr>
                <w:rFonts w:ascii="Calibri" w:eastAsia="Calibri" w:hAnsi="Calibri" w:cs="Calibri"/>
                <w:lang w:val="en-GB"/>
              </w:rPr>
              <w:t xml:space="preserve"> refers to an event in which the </w:t>
            </w:r>
            <w:r w:rsidR="00CE0FB2" w:rsidRPr="001C0C4B">
              <w:rPr>
                <w:rFonts w:ascii="Calibri" w:eastAsia="Calibri" w:hAnsi="Calibri" w:cs="Calibri"/>
                <w:lang w:val="en-GB"/>
              </w:rPr>
              <w:t>patient</w:t>
            </w:r>
            <w:r w:rsidRPr="001C0C4B">
              <w:rPr>
                <w:rFonts w:ascii="Calibri" w:eastAsia="Calibri" w:hAnsi="Calibri" w:cs="Calibri"/>
                <w:lang w:val="en-GB"/>
              </w:rPr>
              <w:t xml:space="preserve"> was at risk of death at the time of the event; it does not refer to an event which hypothetically might have caused death if it were more severe.</w:t>
            </w:r>
          </w:p>
          <w:p w14:paraId="4BE27A08" w14:textId="2A1A1277" w:rsidR="00F132B0" w:rsidRPr="001C0C4B" w:rsidRDefault="00F132B0" w:rsidP="00C81097">
            <w:pPr>
              <w:spacing w:before="120" w:after="120" w:line="276" w:lineRule="auto"/>
              <w:jc w:val="thaiDistribute"/>
              <w:rPr>
                <w:rFonts w:ascii="Calibri" w:eastAsia="Calibri" w:hAnsi="Calibri" w:cs="Calibri"/>
              </w:rPr>
            </w:pPr>
            <w:r w:rsidRPr="001C0C4B">
              <w:rPr>
                <w:rFonts w:ascii="Calibri" w:eastAsia="Calibri" w:hAnsi="Calibri" w:cs="Calibri"/>
                <w:lang w:val="en-GB"/>
              </w:rPr>
              <w:t>Hospitalisation is defined as an unplanned, formal inpatient admission, even if the hospitalisation is a precautionary measure for continued observation. The pa</w:t>
            </w:r>
            <w:r w:rsidR="00677396" w:rsidRPr="001C0C4B">
              <w:rPr>
                <w:rFonts w:ascii="Calibri" w:eastAsia="Calibri" w:hAnsi="Calibri" w:cs="Calibri"/>
                <w:lang w:val="en-GB"/>
              </w:rPr>
              <w:t>tient</w:t>
            </w:r>
            <w:r w:rsidRPr="001C0C4B">
              <w:rPr>
                <w:rFonts w:ascii="Calibri" w:eastAsia="Calibri" w:hAnsi="Calibri" w:cs="Calibri"/>
                <w:lang w:val="en-GB"/>
              </w:rPr>
              <w:t xml:space="preserve"> must be admitted overnight, a short stay of several hours to </w:t>
            </w:r>
            <w:r w:rsidRPr="001C0C4B">
              <w:rPr>
                <w:rFonts w:ascii="Calibri" w:eastAsia="Calibri" w:hAnsi="Calibri" w:cs="Calibri"/>
                <w:lang w:val="en-GB"/>
              </w:rPr>
              <w:lastRenderedPageBreak/>
              <w:t xml:space="preserve">receive treatment is not considered hospitalisation. If a patient is admitted overnight or longer for social/economic </w:t>
            </w:r>
            <w:r w:rsidR="008019B4" w:rsidRPr="001C0C4B">
              <w:rPr>
                <w:rFonts w:ascii="Calibri" w:eastAsia="Calibri" w:hAnsi="Calibri" w:cs="Calibri"/>
                <w:lang w:val="en-GB"/>
              </w:rPr>
              <w:t xml:space="preserve">or isolation </w:t>
            </w:r>
            <w:r w:rsidRPr="001C0C4B">
              <w:rPr>
                <w:rFonts w:ascii="Calibri" w:eastAsia="Calibri" w:hAnsi="Calibri" w:cs="Calibri"/>
                <w:lang w:val="en-GB"/>
              </w:rPr>
              <w:t>reasons and is otherwise medically stable, this does not constitute a SAE. Other examples of visits to a hospital facility that are not considered hospitalisation are: Emergency room visits, outpatient surgery</w:t>
            </w:r>
            <w:r w:rsidR="001E4A5A" w:rsidRPr="001C0C4B">
              <w:rPr>
                <w:rFonts w:ascii="Calibri" w:eastAsia="Calibri" w:hAnsi="Calibri" w:cs="Calibri"/>
                <w:lang w:val="en-GB"/>
              </w:rPr>
              <w:t>,</w:t>
            </w:r>
            <w:r w:rsidRPr="001C0C4B">
              <w:rPr>
                <w:rFonts w:ascii="Calibri" w:eastAsia="Calibri" w:hAnsi="Calibri" w:cs="Calibri"/>
                <w:lang w:val="en-GB"/>
              </w:rPr>
              <w:t xml:space="preserve"> pre-planned or elective procedures for a pre-existing condition (as long as that condition has not deteriorated while on trial treatment or brought forward because of worsening symptoms)</w:t>
            </w:r>
            <w:r w:rsidR="001E4A5A" w:rsidRPr="001C0C4B">
              <w:rPr>
                <w:rFonts w:ascii="Calibri" w:eastAsia="Calibri" w:hAnsi="Calibri" w:cs="Calibri"/>
                <w:lang w:val="en-GB"/>
              </w:rPr>
              <w:t xml:space="preserve"> and for the purpose of this study, being hospitalised for COVID-19 isolation.</w:t>
            </w:r>
          </w:p>
        </w:tc>
      </w:tr>
      <w:tr w:rsidR="00D23D22" w:rsidRPr="001C0C4B" w14:paraId="1CD62931" w14:textId="77777777" w:rsidTr="00BF2FEE">
        <w:tc>
          <w:tcPr>
            <w:tcW w:w="2610" w:type="dxa"/>
            <w:tcBorders>
              <w:left w:val="single" w:sz="6" w:space="0" w:color="auto"/>
              <w:bottom w:val="single" w:sz="6" w:space="0" w:color="auto"/>
              <w:right w:val="single" w:sz="6" w:space="0" w:color="auto"/>
            </w:tcBorders>
          </w:tcPr>
          <w:p w14:paraId="27F4B8A8" w14:textId="7CB55DF2" w:rsidR="3268FAB0" w:rsidRPr="001C0C4B" w:rsidRDefault="3268FAB0" w:rsidP="3268FAB0">
            <w:pPr>
              <w:spacing w:before="120" w:after="120" w:line="276" w:lineRule="auto"/>
              <w:rPr>
                <w:rFonts w:ascii="Calibri" w:eastAsia="Calibri" w:hAnsi="Calibri" w:cs="Calibri"/>
              </w:rPr>
            </w:pPr>
            <w:r w:rsidRPr="001C0C4B">
              <w:rPr>
                <w:rFonts w:ascii="Calibri" w:eastAsia="Calibri" w:hAnsi="Calibri" w:cs="Calibri"/>
                <w:lang w:val="en-GB"/>
              </w:rPr>
              <w:lastRenderedPageBreak/>
              <w:t>Serious Adverse Reaction (SAR)</w:t>
            </w:r>
          </w:p>
        </w:tc>
        <w:tc>
          <w:tcPr>
            <w:tcW w:w="7102" w:type="dxa"/>
            <w:tcBorders>
              <w:bottom w:val="single" w:sz="6" w:space="0" w:color="auto"/>
              <w:right w:val="single" w:sz="6" w:space="0" w:color="auto"/>
            </w:tcBorders>
          </w:tcPr>
          <w:p w14:paraId="27EB8352" w14:textId="45004AA2" w:rsidR="3268FAB0" w:rsidRPr="001C0C4B" w:rsidRDefault="3268FAB0" w:rsidP="00156D26">
            <w:pPr>
              <w:spacing w:before="120" w:after="120" w:line="276" w:lineRule="auto"/>
              <w:jc w:val="thaiDistribute"/>
              <w:rPr>
                <w:rFonts w:ascii="Calibri" w:eastAsia="Calibri" w:hAnsi="Calibri" w:cs="Calibri"/>
              </w:rPr>
            </w:pPr>
            <w:r w:rsidRPr="001C0C4B">
              <w:rPr>
                <w:rFonts w:ascii="Calibri" w:eastAsia="Calibri" w:hAnsi="Calibri" w:cs="Calibri"/>
                <w:lang w:val="en-GB"/>
              </w:rPr>
              <w:t>An adverse event that is both serious and, in the opinion of the reporting Investigator, believed with reasonable probability to be due to one of the trial treatments, based on the information provided.</w:t>
            </w:r>
          </w:p>
        </w:tc>
      </w:tr>
    </w:tbl>
    <w:p w14:paraId="36E417DD" w14:textId="6011AE0E" w:rsidR="00EA1F4B" w:rsidRPr="001C0C4B" w:rsidRDefault="1E0C63F7" w:rsidP="007623BA">
      <w:pPr>
        <w:spacing w:after="200" w:line="276" w:lineRule="auto"/>
        <w:ind w:left="360" w:hanging="360"/>
        <w:jc w:val="both"/>
        <w:rPr>
          <w:rFonts w:ascii="Calibri" w:eastAsia="Calibri" w:hAnsi="Calibri" w:cs="Calibri"/>
        </w:rPr>
      </w:pPr>
      <w:r w:rsidRPr="001C0C4B">
        <w:rPr>
          <w:rFonts w:ascii="Calibri" w:eastAsia="Calibri" w:hAnsi="Calibri" w:cs="Calibri"/>
          <w:lang w:val="en-GB"/>
        </w:rPr>
        <w:t xml:space="preserve">NB: to avoid confusion or misunderstanding of the difference between the terms “serious” and “severe”, the following note of clarification is provided: “Severe” is often used to describe intensity of a specific event, which </w:t>
      </w:r>
      <w:r w:rsidRPr="001C0C4B">
        <w:rPr>
          <w:rFonts w:ascii="Calibri" w:eastAsia="Calibri" w:hAnsi="Calibri" w:cs="Calibri"/>
          <w:u w:val="single"/>
          <w:lang w:val="en-GB"/>
        </w:rPr>
        <w:t>may</w:t>
      </w:r>
      <w:r w:rsidRPr="001C0C4B">
        <w:rPr>
          <w:rFonts w:ascii="Calibri" w:eastAsia="Calibri" w:hAnsi="Calibri" w:cs="Calibri"/>
          <w:lang w:val="en-GB"/>
        </w:rPr>
        <w:t xml:space="preserve"> be of relatively minor medical significance. “Seriousness” is the regulatory definition supplied above.</w:t>
      </w:r>
    </w:p>
    <w:p w14:paraId="6B08E28A" w14:textId="3241C3BF" w:rsidR="00EA1F4B" w:rsidRPr="001C0C4B" w:rsidRDefault="1E0C63F7" w:rsidP="000B5065">
      <w:pPr>
        <w:spacing w:after="200" w:line="276" w:lineRule="auto"/>
        <w:jc w:val="both"/>
        <w:rPr>
          <w:rFonts w:ascii="Calibri" w:eastAsia="Calibri" w:hAnsi="Calibri" w:cs="Calibri"/>
        </w:rPr>
      </w:pPr>
      <w:r w:rsidRPr="001C0C4B">
        <w:rPr>
          <w:rFonts w:ascii="Calibri" w:eastAsia="Calibri" w:hAnsi="Calibri" w:cs="Calibri"/>
          <w:lang w:val="en-GB"/>
        </w:rPr>
        <w:t>Any pregnancy occurring during the clinical trial and the outcome of the pregnancy should be recorded and followed up for congenital abnormality or birth defect, at which point it would fall within the definition of “serious”.</w:t>
      </w:r>
    </w:p>
    <w:p w14:paraId="573069CC" w14:textId="24711E69" w:rsidR="00EA1F4B" w:rsidRPr="001C0C4B" w:rsidRDefault="1E0C63F7" w:rsidP="00E142CD">
      <w:pPr>
        <w:pStyle w:val="Heading2"/>
        <w:numPr>
          <w:ilvl w:val="1"/>
          <w:numId w:val="23"/>
        </w:numPr>
        <w:rPr>
          <w:rFonts w:ascii="Calibri" w:hAnsi="Calibri" w:cs="Calibri"/>
          <w:color w:val="auto"/>
          <w:sz w:val="22"/>
          <w:szCs w:val="22"/>
        </w:rPr>
      </w:pPr>
      <w:bookmarkStart w:id="196" w:name="_Toc96007297"/>
      <w:bookmarkStart w:id="197" w:name="_Toc95915250"/>
      <w:bookmarkStart w:id="198" w:name="_Toc74661295"/>
      <w:bookmarkStart w:id="199" w:name="_Toc110523989"/>
      <w:bookmarkStart w:id="200" w:name="_Toc96005600"/>
      <w:bookmarkStart w:id="201" w:name="_Toc112917638"/>
      <w:r w:rsidRPr="001C0C4B">
        <w:rPr>
          <w:rFonts w:ascii="Calibri" w:hAnsi="Calibri" w:cs="Calibri"/>
          <w:color w:val="auto"/>
          <w:sz w:val="22"/>
          <w:szCs w:val="22"/>
        </w:rPr>
        <w:t>Causality</w:t>
      </w:r>
      <w:bookmarkEnd w:id="196"/>
      <w:bookmarkEnd w:id="197"/>
      <w:bookmarkEnd w:id="198"/>
      <w:bookmarkEnd w:id="199"/>
      <w:bookmarkEnd w:id="200"/>
      <w:bookmarkEnd w:id="201"/>
    </w:p>
    <w:p w14:paraId="3D3BBDB5" w14:textId="11530C92" w:rsidR="00EA1F4B" w:rsidRPr="001C0C4B" w:rsidRDefault="1E0C63F7" w:rsidP="000B5065">
      <w:pPr>
        <w:spacing w:after="200" w:line="276" w:lineRule="auto"/>
        <w:jc w:val="both"/>
        <w:rPr>
          <w:rFonts w:ascii="Calibri" w:eastAsia="Calibri" w:hAnsi="Calibri" w:cs="Calibri"/>
          <w:lang w:val="en-GB"/>
        </w:rPr>
      </w:pPr>
      <w:r w:rsidRPr="001C0C4B">
        <w:rPr>
          <w:rFonts w:ascii="Calibri" w:eastAsia="Calibri" w:hAnsi="Calibri" w:cs="Calibri"/>
          <w:lang w:val="en-GB"/>
        </w:rPr>
        <w:t>The relationship of each adverse event to the trial medication must be determined by a medically qualified individual according to the following definitions:</w:t>
      </w:r>
    </w:p>
    <w:p w14:paraId="226BEFEC" w14:textId="77777777" w:rsidR="002C39B1" w:rsidRPr="001C0C4B" w:rsidRDefault="002C39B1" w:rsidP="002C39B1">
      <w:pPr>
        <w:tabs>
          <w:tab w:val="left" w:pos="2070"/>
          <w:tab w:val="left" w:pos="2250"/>
        </w:tabs>
        <w:spacing w:line="240" w:lineRule="auto"/>
        <w:ind w:left="2070" w:hanging="2070"/>
        <w:jc w:val="both"/>
        <w:rPr>
          <w:rFonts w:ascii="Calibri" w:hAnsi="Calibri" w:cs="Calibri"/>
        </w:rPr>
      </w:pPr>
      <w:r w:rsidRPr="001C0C4B">
        <w:rPr>
          <w:rFonts w:ascii="Calibri" w:hAnsi="Calibri" w:cs="Calibri"/>
        </w:rPr>
        <w:t xml:space="preserve">Definitely related: </w:t>
      </w:r>
      <w:r w:rsidRPr="001C0C4B">
        <w:rPr>
          <w:rFonts w:ascii="Calibri" w:hAnsi="Calibri" w:cs="Calibri"/>
        </w:rPr>
        <w:tab/>
        <w:t>There is clear evidence to suggest a causal relationship and other possible contributing factors can be ruled out.</w:t>
      </w:r>
    </w:p>
    <w:p w14:paraId="21DFFD17" w14:textId="77777777" w:rsidR="002C39B1" w:rsidRPr="001C0C4B" w:rsidRDefault="002C39B1" w:rsidP="002C39B1">
      <w:pPr>
        <w:tabs>
          <w:tab w:val="left" w:pos="2070"/>
          <w:tab w:val="left" w:pos="2430"/>
        </w:tabs>
        <w:spacing w:line="240" w:lineRule="auto"/>
        <w:ind w:left="2070" w:hanging="2070"/>
        <w:jc w:val="both"/>
        <w:rPr>
          <w:rFonts w:ascii="Calibri" w:hAnsi="Calibri" w:cs="Calibri"/>
        </w:rPr>
      </w:pPr>
      <w:r w:rsidRPr="001C0C4B">
        <w:rPr>
          <w:rFonts w:ascii="Calibri" w:hAnsi="Calibri" w:cs="Calibri"/>
        </w:rPr>
        <w:t xml:space="preserve">Probably related:  </w:t>
      </w:r>
      <w:r w:rsidRPr="001C0C4B">
        <w:rPr>
          <w:rFonts w:ascii="Calibri" w:hAnsi="Calibri" w:cs="Calibri"/>
        </w:rPr>
        <w:tab/>
        <w:t>There is evidence to suggest a causal relationship and the influence of other factors is unlikely.</w:t>
      </w:r>
    </w:p>
    <w:p w14:paraId="28FD125B" w14:textId="77777777" w:rsidR="002C39B1" w:rsidRPr="001C0C4B" w:rsidRDefault="002C39B1" w:rsidP="002C39B1">
      <w:pPr>
        <w:tabs>
          <w:tab w:val="left" w:pos="2070"/>
          <w:tab w:val="left" w:pos="2430"/>
        </w:tabs>
        <w:spacing w:line="240" w:lineRule="auto"/>
        <w:ind w:left="2070" w:hanging="2070"/>
        <w:jc w:val="both"/>
        <w:rPr>
          <w:rFonts w:ascii="Calibri" w:hAnsi="Calibri" w:cs="Calibri"/>
        </w:rPr>
      </w:pPr>
      <w:r w:rsidRPr="001C0C4B">
        <w:rPr>
          <w:rFonts w:ascii="Calibri" w:hAnsi="Calibri" w:cs="Calibri"/>
        </w:rPr>
        <w:t xml:space="preserve">Possibly related:    </w:t>
      </w:r>
      <w:r w:rsidRPr="001C0C4B">
        <w:rPr>
          <w:rFonts w:ascii="Calibri" w:hAnsi="Calibri" w:cs="Calibri"/>
        </w:rPr>
        <w:tab/>
        <w:t>There is some evidence to suggest a causal relationship (e.g. because the event occurs within a reasonable time after administration of the trial medication). However, the influence of other factors may have contributed to the event (e.g. the patient’s clinical condition, other concomitant treatments).</w:t>
      </w:r>
    </w:p>
    <w:p w14:paraId="0FB5ECFA" w14:textId="77777777" w:rsidR="002C39B1" w:rsidRPr="001C0C4B" w:rsidRDefault="002C39B1" w:rsidP="002C39B1">
      <w:pPr>
        <w:tabs>
          <w:tab w:val="left" w:pos="1710"/>
        </w:tabs>
        <w:spacing w:line="240" w:lineRule="auto"/>
        <w:ind w:left="2070" w:hanging="2070"/>
        <w:jc w:val="both"/>
        <w:rPr>
          <w:rFonts w:ascii="Calibri" w:hAnsi="Calibri" w:cs="Calibri"/>
        </w:rPr>
      </w:pPr>
      <w:r w:rsidRPr="001C0C4B">
        <w:rPr>
          <w:rFonts w:ascii="Calibri" w:hAnsi="Calibri" w:cs="Calibri"/>
        </w:rPr>
        <w:t>Unlikely to be related: There is little evidence to suggest there is a causal relationship (e.g. the event did not occur within a reasonable time after administration of the trial medication), or there is another reasonable explanation for the event (e.g. the patient’s clinical condition, other concomitant treatment).</w:t>
      </w:r>
    </w:p>
    <w:p w14:paraId="5150E3F9" w14:textId="77777777" w:rsidR="002C39B1" w:rsidRPr="001C0C4B" w:rsidRDefault="002C39B1" w:rsidP="002C39B1">
      <w:pPr>
        <w:tabs>
          <w:tab w:val="left" w:pos="709"/>
          <w:tab w:val="left" w:pos="1710"/>
          <w:tab w:val="left" w:pos="2070"/>
        </w:tabs>
        <w:spacing w:line="240" w:lineRule="auto"/>
        <w:jc w:val="both"/>
        <w:rPr>
          <w:rFonts w:ascii="Calibri" w:hAnsi="Calibri" w:cs="Calibri"/>
        </w:rPr>
      </w:pPr>
      <w:r w:rsidRPr="001C0C4B">
        <w:rPr>
          <w:rFonts w:ascii="Calibri" w:hAnsi="Calibri" w:cs="Calibri"/>
        </w:rPr>
        <w:t xml:space="preserve">Not related: </w:t>
      </w:r>
      <w:r w:rsidRPr="001C0C4B">
        <w:rPr>
          <w:rFonts w:ascii="Calibri" w:hAnsi="Calibri" w:cs="Calibri"/>
        </w:rPr>
        <w:tab/>
      </w:r>
      <w:r w:rsidRPr="001C0C4B">
        <w:rPr>
          <w:rFonts w:ascii="Calibri" w:hAnsi="Calibri" w:cs="Calibri"/>
        </w:rPr>
        <w:tab/>
        <w:t>There is no evidence of any causal relationship.</w:t>
      </w:r>
    </w:p>
    <w:p w14:paraId="20859404" w14:textId="36FA4692" w:rsidR="00EA1F4B" w:rsidRPr="001C0C4B" w:rsidRDefault="1E0C63F7" w:rsidP="00E142CD">
      <w:pPr>
        <w:pStyle w:val="Heading2"/>
        <w:numPr>
          <w:ilvl w:val="1"/>
          <w:numId w:val="23"/>
        </w:numPr>
        <w:rPr>
          <w:rFonts w:ascii="Calibri" w:hAnsi="Calibri" w:cs="Calibri"/>
          <w:color w:val="auto"/>
          <w:sz w:val="22"/>
          <w:szCs w:val="22"/>
        </w:rPr>
      </w:pPr>
      <w:bookmarkStart w:id="202" w:name="_Toc96007298"/>
      <w:bookmarkStart w:id="203" w:name="_Toc95915251"/>
      <w:bookmarkStart w:id="204" w:name="_Toc74661296"/>
      <w:bookmarkStart w:id="205" w:name="_Toc110523990"/>
      <w:bookmarkStart w:id="206" w:name="_Toc96005601"/>
      <w:bookmarkStart w:id="207" w:name="_Toc112917639"/>
      <w:r w:rsidRPr="001C0C4B">
        <w:rPr>
          <w:rFonts w:ascii="Calibri" w:hAnsi="Calibri" w:cs="Calibri"/>
          <w:color w:val="auto"/>
          <w:sz w:val="22"/>
          <w:szCs w:val="22"/>
        </w:rPr>
        <w:t>Procedures for Recording Adverse Events</w:t>
      </w:r>
      <w:bookmarkEnd w:id="202"/>
      <w:bookmarkEnd w:id="203"/>
      <w:bookmarkEnd w:id="204"/>
      <w:bookmarkEnd w:id="205"/>
      <w:bookmarkEnd w:id="206"/>
      <w:bookmarkEnd w:id="207"/>
    </w:p>
    <w:p w14:paraId="22F92B2C" w14:textId="076DAAA1" w:rsidR="00607DF6" w:rsidRPr="001C0C4B" w:rsidRDefault="002C39B1" w:rsidP="00523F88">
      <w:pPr>
        <w:spacing w:after="200" w:line="276" w:lineRule="auto"/>
        <w:jc w:val="both"/>
        <w:rPr>
          <w:rFonts w:ascii="Calibri" w:hAnsi="Calibri" w:cs="Calibri"/>
        </w:rPr>
      </w:pPr>
      <w:r w:rsidRPr="001C0C4B">
        <w:rPr>
          <w:rFonts w:ascii="Calibri" w:eastAsia="Calibri" w:hAnsi="Calibri" w:cs="Calibri"/>
          <w:lang w:val="en-GB"/>
        </w:rPr>
        <w:t>A symptom que</w:t>
      </w:r>
      <w:r w:rsidR="00607DF6" w:rsidRPr="001C0C4B">
        <w:rPr>
          <w:rFonts w:ascii="Calibri" w:eastAsia="Calibri" w:hAnsi="Calibri" w:cs="Calibri"/>
          <w:lang w:val="en-GB"/>
        </w:rPr>
        <w:t>s</w:t>
      </w:r>
      <w:r w:rsidRPr="001C0C4B">
        <w:rPr>
          <w:rFonts w:ascii="Calibri" w:eastAsia="Calibri" w:hAnsi="Calibri" w:cs="Calibri"/>
          <w:lang w:val="en-GB"/>
        </w:rPr>
        <w:t>tionnai</w:t>
      </w:r>
      <w:r w:rsidR="00607DF6" w:rsidRPr="001C0C4B">
        <w:rPr>
          <w:rFonts w:ascii="Calibri" w:eastAsia="Calibri" w:hAnsi="Calibri" w:cs="Calibri"/>
          <w:lang w:val="en-GB"/>
        </w:rPr>
        <w:t>r</w:t>
      </w:r>
      <w:r w:rsidRPr="001C0C4B">
        <w:rPr>
          <w:rFonts w:ascii="Calibri" w:eastAsia="Calibri" w:hAnsi="Calibri" w:cs="Calibri"/>
          <w:lang w:val="en-GB"/>
        </w:rPr>
        <w:t>e will be performed</w:t>
      </w:r>
      <w:r w:rsidR="00607DF6" w:rsidRPr="001C0C4B">
        <w:rPr>
          <w:rFonts w:ascii="Calibri" w:eastAsia="Calibri" w:hAnsi="Calibri" w:cs="Calibri"/>
          <w:lang w:val="en-GB"/>
        </w:rPr>
        <w:t xml:space="preserve"> daily until </w:t>
      </w:r>
      <w:r w:rsidR="00D45F12" w:rsidRPr="001C0C4B">
        <w:rPr>
          <w:rFonts w:ascii="Calibri" w:eastAsia="Calibri" w:hAnsi="Calibri" w:cs="Calibri"/>
          <w:lang w:val="en-GB"/>
        </w:rPr>
        <w:t xml:space="preserve">D7 </w:t>
      </w:r>
      <w:r w:rsidR="00607DF6" w:rsidRPr="001C0C4B">
        <w:rPr>
          <w:rFonts w:ascii="Calibri" w:eastAsia="Calibri" w:hAnsi="Calibri" w:cs="Calibri"/>
          <w:lang w:val="en-GB"/>
        </w:rPr>
        <w:t>with a final follow-up assessment on D28</w:t>
      </w:r>
      <w:r w:rsidR="00523F88" w:rsidRPr="001C0C4B">
        <w:rPr>
          <w:rFonts w:ascii="Calibri" w:eastAsia="Calibri" w:hAnsi="Calibri" w:cs="Calibri"/>
          <w:lang w:val="en-GB"/>
        </w:rPr>
        <w:t xml:space="preserve"> to aid in the identification of adverse events. </w:t>
      </w:r>
      <w:r w:rsidR="00607DF6" w:rsidRPr="001C0C4B">
        <w:rPr>
          <w:rFonts w:ascii="Calibri" w:hAnsi="Calibri" w:cs="Calibri"/>
        </w:rPr>
        <w:t xml:space="preserve">The severity of adverse events will be assessed following the Common Terminology Criteria for Adverse Events (CTCAE) v5.0:  </w:t>
      </w:r>
    </w:p>
    <w:p w14:paraId="6ADB0489" w14:textId="521D201E" w:rsidR="002C39B1" w:rsidRPr="001C0C4B" w:rsidRDefault="00607DF6" w:rsidP="00523F88">
      <w:pPr>
        <w:tabs>
          <w:tab w:val="left" w:pos="709"/>
        </w:tabs>
        <w:spacing w:line="240" w:lineRule="auto"/>
        <w:jc w:val="both"/>
        <w:rPr>
          <w:rFonts w:ascii="Calibri" w:hAnsi="Calibri" w:cs="Calibri"/>
        </w:rPr>
      </w:pPr>
      <w:r w:rsidRPr="001C0C4B">
        <w:rPr>
          <w:rFonts w:ascii="Calibri" w:hAnsi="Calibri" w:cs="Calibri"/>
        </w:rPr>
        <w:t>1 = mild, 2 = moderate, 3 = severe, 4 = life-threatening, 5 = fatal.</w:t>
      </w:r>
    </w:p>
    <w:p w14:paraId="0EFDEE12" w14:textId="3D29031D" w:rsidR="00523F88" w:rsidRPr="001C0C4B" w:rsidRDefault="00523F88" w:rsidP="00523F88">
      <w:pPr>
        <w:tabs>
          <w:tab w:val="left" w:pos="709"/>
        </w:tabs>
        <w:spacing w:line="240" w:lineRule="auto"/>
        <w:jc w:val="both"/>
        <w:rPr>
          <w:rFonts w:ascii="Calibri" w:hAnsi="Calibri" w:cs="Calibri"/>
        </w:rPr>
      </w:pPr>
      <w:r w:rsidRPr="001C0C4B">
        <w:rPr>
          <w:rFonts w:ascii="Calibri" w:hAnsi="Calibri" w:cs="Calibri"/>
        </w:rPr>
        <w:lastRenderedPageBreak/>
        <w:t xml:space="preserve">AEs occurring in </w:t>
      </w:r>
      <w:r w:rsidR="00CE0FB2" w:rsidRPr="001C0C4B">
        <w:rPr>
          <w:rFonts w:ascii="Calibri" w:hAnsi="Calibri" w:cs="Calibri"/>
        </w:rPr>
        <w:t>patient</w:t>
      </w:r>
      <w:r w:rsidRPr="001C0C4B">
        <w:rPr>
          <w:rFonts w:ascii="Calibri" w:hAnsi="Calibri" w:cs="Calibri"/>
        </w:rPr>
        <w:t xml:space="preserve">s from enrolment and during trial participation that are observed by the Investigator or reported by the </w:t>
      </w:r>
      <w:r w:rsidR="00CE0FB2" w:rsidRPr="001C0C4B">
        <w:rPr>
          <w:rFonts w:ascii="Calibri" w:hAnsi="Calibri" w:cs="Calibri"/>
        </w:rPr>
        <w:t>patient</w:t>
      </w:r>
      <w:r w:rsidRPr="001C0C4B">
        <w:rPr>
          <w:rFonts w:ascii="Calibri" w:hAnsi="Calibri" w:cs="Calibri"/>
        </w:rPr>
        <w:t xml:space="preserve"> with severity </w:t>
      </w:r>
      <w:r w:rsidRPr="001C0C4B">
        <w:rPr>
          <w:rFonts w:ascii="Calibri" w:hAnsi="Calibri" w:cs="Calibri"/>
          <w:b/>
        </w:rPr>
        <w:t>grade of 3 (severe) or higher</w:t>
      </w:r>
      <w:r w:rsidRPr="001C0C4B">
        <w:rPr>
          <w:rFonts w:ascii="Calibri" w:hAnsi="Calibri" w:cs="Calibri"/>
        </w:rPr>
        <w:t xml:space="preserve"> will be recorded on the CRF, whether or not attributed to trial medication.</w:t>
      </w:r>
    </w:p>
    <w:p w14:paraId="69695463" w14:textId="31634451" w:rsidR="008E170B" w:rsidRPr="001C0C4B" w:rsidRDefault="008E170B" w:rsidP="00523F88">
      <w:pPr>
        <w:tabs>
          <w:tab w:val="left" w:pos="709"/>
        </w:tabs>
        <w:spacing w:line="240" w:lineRule="auto"/>
        <w:jc w:val="both"/>
        <w:rPr>
          <w:rFonts w:ascii="Calibri" w:hAnsi="Calibri" w:cs="Calibri"/>
        </w:rPr>
      </w:pPr>
      <w:r w:rsidRPr="001C0C4B">
        <w:rPr>
          <w:rFonts w:ascii="Calibri" w:hAnsi="Calibri" w:cs="Calibri"/>
        </w:rPr>
        <w:t xml:space="preserve">When drug combinations are assessed, the team will separately record all </w:t>
      </w:r>
      <w:r w:rsidR="007B48BB" w:rsidRPr="001C0C4B">
        <w:rPr>
          <w:rFonts w:ascii="Calibri" w:hAnsi="Calibri" w:cs="Calibri"/>
        </w:rPr>
        <w:t xml:space="preserve">clinical </w:t>
      </w:r>
      <w:r w:rsidRPr="001C0C4B">
        <w:rPr>
          <w:rFonts w:ascii="Calibri" w:hAnsi="Calibri" w:cs="Calibri"/>
        </w:rPr>
        <w:t>AEs (</w:t>
      </w:r>
      <w:r w:rsidRPr="001C0C4B">
        <w:rPr>
          <w:rFonts w:ascii="Calibri" w:hAnsi="Calibri" w:cs="Calibri"/>
          <w:b/>
          <w:bCs/>
        </w:rPr>
        <w:t>grade of 1 or higher</w:t>
      </w:r>
      <w:r w:rsidRPr="001C0C4B">
        <w:rPr>
          <w:rFonts w:ascii="Calibri" w:hAnsi="Calibri" w:cs="Calibri"/>
        </w:rPr>
        <w:t xml:space="preserve">) </w:t>
      </w:r>
      <w:r w:rsidR="007B48BB" w:rsidRPr="001C0C4B">
        <w:rPr>
          <w:rFonts w:ascii="Calibri" w:hAnsi="Calibri" w:cs="Calibri"/>
        </w:rPr>
        <w:t xml:space="preserve">for those given the combination (e.g. molnupiravir </w:t>
      </w:r>
      <w:r w:rsidR="007B48BB" w:rsidRPr="001C0C4B">
        <w:rPr>
          <w:rFonts w:ascii="Calibri" w:hAnsi="Calibri" w:cs="Calibri"/>
          <w:b/>
          <w:bCs/>
        </w:rPr>
        <w:t>and</w:t>
      </w:r>
      <w:r w:rsidR="007B48BB" w:rsidRPr="001C0C4B">
        <w:rPr>
          <w:rFonts w:ascii="Calibri" w:hAnsi="Calibri" w:cs="Calibri"/>
        </w:rPr>
        <w:t xml:space="preserve"> nirmatrelvir-ritonavir), as well as those being given the same drugs individually (e.g. molnupiravir </w:t>
      </w:r>
      <w:r w:rsidR="007B48BB" w:rsidRPr="001C0C4B">
        <w:rPr>
          <w:rFonts w:ascii="Calibri" w:hAnsi="Calibri" w:cs="Calibri"/>
          <w:b/>
          <w:bCs/>
        </w:rPr>
        <w:t>or</w:t>
      </w:r>
      <w:r w:rsidR="007B48BB" w:rsidRPr="001C0C4B">
        <w:rPr>
          <w:rFonts w:ascii="Calibri" w:hAnsi="Calibri" w:cs="Calibri"/>
        </w:rPr>
        <w:t xml:space="preserve"> nirmatrelvir-ritonavir). </w:t>
      </w:r>
      <w:r w:rsidR="000E4E20" w:rsidRPr="001C0C4B">
        <w:rPr>
          <w:rFonts w:ascii="Calibri" w:hAnsi="Calibri" w:cs="Calibri"/>
        </w:rPr>
        <w:t>This will be important to monitor the safety and tolerability of combinations in direct comparison to the individual drugs.</w:t>
      </w:r>
    </w:p>
    <w:p w14:paraId="2C3B1E80" w14:textId="2C08C7C6" w:rsidR="00EA1F4B" w:rsidRPr="001C0C4B" w:rsidRDefault="1E0C63F7" w:rsidP="000B5065">
      <w:pPr>
        <w:spacing w:after="200" w:line="276" w:lineRule="auto"/>
        <w:jc w:val="both"/>
        <w:rPr>
          <w:rFonts w:ascii="Calibri" w:eastAsia="Calibri" w:hAnsi="Calibri" w:cs="Calibri"/>
        </w:rPr>
      </w:pPr>
      <w:r w:rsidRPr="001C0C4B">
        <w:rPr>
          <w:rFonts w:ascii="Calibri" w:eastAsia="Calibri" w:hAnsi="Calibri" w:cs="Calibri"/>
          <w:lang w:val="en-GB"/>
        </w:rPr>
        <w:t>The following information will be recorded: description, date of onset and end date, severity, assessment of relatedness to trial medication, other suspect drug or device and action taken. Follow-up information should be provided as necessary.</w:t>
      </w:r>
    </w:p>
    <w:p w14:paraId="7C7B1AD2" w14:textId="44B7FFA1" w:rsidR="00EA1F4B" w:rsidRPr="001C0C4B" w:rsidRDefault="1E0C63F7" w:rsidP="000B5065">
      <w:pPr>
        <w:spacing w:after="200" w:line="276" w:lineRule="auto"/>
        <w:jc w:val="both"/>
        <w:rPr>
          <w:rFonts w:ascii="Calibri" w:eastAsia="Calibri" w:hAnsi="Calibri" w:cs="Calibri"/>
        </w:rPr>
      </w:pPr>
      <w:r w:rsidRPr="001C0C4B">
        <w:rPr>
          <w:rFonts w:ascii="Calibri" w:eastAsia="Calibri" w:hAnsi="Calibri" w:cs="Calibri"/>
          <w:lang w:val="en-GB"/>
        </w:rPr>
        <w:t>AEs considered related to the trial medication as judged by a medically qualified investigator or the Sponsor will be followed either until resolution, or the event is considered stable.</w:t>
      </w:r>
    </w:p>
    <w:p w14:paraId="2DE2106C" w14:textId="1063910A" w:rsidR="00EA1F4B" w:rsidRPr="001C0C4B" w:rsidRDefault="1E0C63F7" w:rsidP="000B5065">
      <w:pPr>
        <w:spacing w:after="200" w:line="276" w:lineRule="auto"/>
        <w:jc w:val="both"/>
        <w:rPr>
          <w:rFonts w:ascii="Calibri" w:eastAsia="Calibri" w:hAnsi="Calibri" w:cs="Calibri"/>
          <w:lang w:val="en-GB"/>
        </w:rPr>
      </w:pPr>
      <w:r w:rsidRPr="001C0C4B">
        <w:rPr>
          <w:rFonts w:ascii="Calibri" w:eastAsia="Calibri" w:hAnsi="Calibri" w:cs="Calibri"/>
          <w:lang w:val="en-GB"/>
        </w:rPr>
        <w:t xml:space="preserve">It will be left to the Investigator’s clinical judgment to decide whether or not an AE is of sufficient severity to require the </w:t>
      </w:r>
      <w:r w:rsidR="00CE0FB2" w:rsidRPr="001C0C4B">
        <w:rPr>
          <w:rFonts w:ascii="Calibri" w:eastAsia="Calibri" w:hAnsi="Calibri" w:cs="Calibri"/>
          <w:lang w:val="en-GB"/>
        </w:rPr>
        <w:t>patient</w:t>
      </w:r>
      <w:r w:rsidRPr="001C0C4B">
        <w:rPr>
          <w:rFonts w:ascii="Calibri" w:eastAsia="Calibri" w:hAnsi="Calibri" w:cs="Calibri"/>
          <w:lang w:val="en-GB"/>
        </w:rPr>
        <w:t xml:space="preserve">’s removal from treatment. A </w:t>
      </w:r>
      <w:r w:rsidR="00CE0FB2" w:rsidRPr="001C0C4B">
        <w:rPr>
          <w:rFonts w:ascii="Calibri" w:eastAsia="Calibri" w:hAnsi="Calibri" w:cs="Calibri"/>
          <w:lang w:val="en-GB"/>
        </w:rPr>
        <w:t>patient</w:t>
      </w:r>
      <w:r w:rsidRPr="001C0C4B">
        <w:rPr>
          <w:rFonts w:ascii="Calibri" w:eastAsia="Calibri" w:hAnsi="Calibri" w:cs="Calibri"/>
          <w:lang w:val="en-GB"/>
        </w:rPr>
        <w:t xml:space="preserve"> may also voluntarily withdraw from treatment due to what he or she perceives as an intolerable AE. If either of these occurs, the </w:t>
      </w:r>
      <w:r w:rsidR="00CE0FB2" w:rsidRPr="001C0C4B">
        <w:rPr>
          <w:rFonts w:ascii="Calibri" w:eastAsia="Calibri" w:hAnsi="Calibri" w:cs="Calibri"/>
          <w:lang w:val="en-GB"/>
        </w:rPr>
        <w:t>patient</w:t>
      </w:r>
      <w:r w:rsidRPr="001C0C4B">
        <w:rPr>
          <w:rFonts w:ascii="Calibri" w:eastAsia="Calibri" w:hAnsi="Calibri" w:cs="Calibri"/>
          <w:lang w:val="en-GB"/>
        </w:rPr>
        <w:t xml:space="preserve"> must undergo an end of trial assessment and be given appropriate care under medical supervision until symptoms cease, or the condition becomes stable.</w:t>
      </w:r>
    </w:p>
    <w:p w14:paraId="20596998" w14:textId="777C96F1" w:rsidR="00DC5638" w:rsidRPr="001C0C4B" w:rsidRDefault="00DB1C13" w:rsidP="00624065">
      <w:pPr>
        <w:pStyle w:val="Heading2"/>
        <w:numPr>
          <w:ilvl w:val="1"/>
          <w:numId w:val="23"/>
        </w:numPr>
        <w:spacing w:line="276" w:lineRule="auto"/>
        <w:rPr>
          <w:rFonts w:ascii="Calibri" w:hAnsi="Calibri" w:cs="Calibri"/>
          <w:color w:val="auto"/>
          <w:sz w:val="22"/>
          <w:szCs w:val="22"/>
        </w:rPr>
      </w:pPr>
      <w:bookmarkStart w:id="208" w:name="_Toc96007299"/>
      <w:bookmarkStart w:id="209" w:name="_Toc95915252"/>
      <w:bookmarkStart w:id="210" w:name="_Toc74661297"/>
      <w:bookmarkStart w:id="211" w:name="_Toc110523991"/>
      <w:bookmarkStart w:id="212" w:name="_Toc96005602"/>
      <w:bookmarkStart w:id="213" w:name="_Toc112917640"/>
      <w:r w:rsidRPr="001C0C4B">
        <w:rPr>
          <w:rFonts w:ascii="Calibri" w:hAnsi="Calibri" w:cs="Calibri"/>
          <w:color w:val="auto"/>
          <w:sz w:val="22"/>
          <w:szCs w:val="22"/>
        </w:rPr>
        <w:t>Gr</w:t>
      </w:r>
      <w:r w:rsidR="00DC5638" w:rsidRPr="001C0C4B">
        <w:rPr>
          <w:rFonts w:ascii="Calibri" w:hAnsi="Calibri" w:cs="Calibri"/>
          <w:color w:val="auto"/>
          <w:sz w:val="22"/>
          <w:szCs w:val="22"/>
        </w:rPr>
        <w:t>ading of laboratory abnormalities</w:t>
      </w:r>
      <w:bookmarkEnd w:id="208"/>
      <w:bookmarkEnd w:id="209"/>
      <w:bookmarkEnd w:id="210"/>
      <w:bookmarkEnd w:id="211"/>
      <w:bookmarkEnd w:id="212"/>
      <w:bookmarkEnd w:id="213"/>
    </w:p>
    <w:p w14:paraId="711690ED" w14:textId="2BEA9944" w:rsidR="00DC5638" w:rsidRPr="001C0C4B" w:rsidRDefault="00CB19A5" w:rsidP="00624065">
      <w:pPr>
        <w:spacing w:line="276" w:lineRule="auto"/>
        <w:jc w:val="both"/>
        <w:rPr>
          <w:rFonts w:ascii="Calibri" w:hAnsi="Calibri" w:cs="Calibri"/>
          <w:lang w:val="en-GB"/>
        </w:rPr>
      </w:pPr>
      <w:r w:rsidRPr="001C0C4B">
        <w:rPr>
          <w:rFonts w:ascii="Calibri" w:eastAsia="Calibri" w:hAnsi="Calibri" w:cs="Calibri"/>
          <w:lang w:val="en-GB"/>
        </w:rPr>
        <w:t>Abnormal laboratory findings detected during the study or are present at baseline and worsen following the taking of study medication will be reported as AEs or SAEs</w:t>
      </w:r>
      <w:r w:rsidR="00DC5638" w:rsidRPr="001C0C4B">
        <w:rPr>
          <w:rFonts w:ascii="Calibri" w:eastAsia="Calibri" w:hAnsi="Calibri" w:cs="Calibri"/>
          <w:lang w:val="en-GB"/>
        </w:rPr>
        <w:t>. If found to be abnormal the values will be graded according to the CTCAE v5.0</w:t>
      </w:r>
      <w:r w:rsidR="1C16D74E" w:rsidRPr="001C0C4B">
        <w:rPr>
          <w:rFonts w:ascii="Calibri" w:eastAsia="Calibri" w:hAnsi="Calibri" w:cs="Calibri"/>
          <w:lang w:val="en-GB"/>
        </w:rPr>
        <w:t xml:space="preserve">. AEs and SAEs </w:t>
      </w:r>
      <w:r w:rsidR="4229C733" w:rsidRPr="001C0C4B">
        <w:rPr>
          <w:rFonts w:ascii="Calibri" w:eastAsia="Calibri" w:hAnsi="Calibri" w:cs="Calibri"/>
          <w:lang w:val="en-GB"/>
        </w:rPr>
        <w:t xml:space="preserve">of severity grade 3 or higher will be recorded in the CRF and </w:t>
      </w:r>
      <w:r w:rsidR="1C16D74E" w:rsidRPr="001C0C4B">
        <w:rPr>
          <w:rFonts w:ascii="Calibri" w:eastAsia="Calibri" w:hAnsi="Calibri" w:cs="Calibri"/>
          <w:lang w:val="en-GB"/>
        </w:rPr>
        <w:t xml:space="preserve">will be </w:t>
      </w:r>
      <w:r w:rsidR="00DC5638" w:rsidRPr="001C0C4B">
        <w:rPr>
          <w:rFonts w:ascii="Calibri" w:eastAsia="Calibri" w:hAnsi="Calibri" w:cs="Calibri"/>
          <w:lang w:val="en-GB"/>
        </w:rPr>
        <w:t xml:space="preserve">followed up until </w:t>
      </w:r>
      <w:r w:rsidR="00E34625" w:rsidRPr="001C0C4B">
        <w:rPr>
          <w:rFonts w:ascii="Calibri" w:eastAsia="Calibri" w:hAnsi="Calibri" w:cs="Calibri"/>
          <w:lang w:val="en-GB"/>
        </w:rPr>
        <w:t xml:space="preserve">grade 2 </w:t>
      </w:r>
      <w:r w:rsidR="32A20052" w:rsidRPr="001C0C4B">
        <w:rPr>
          <w:rFonts w:ascii="Calibri" w:eastAsia="Calibri" w:hAnsi="Calibri" w:cs="Calibri"/>
          <w:lang w:val="en-GB"/>
        </w:rPr>
        <w:t>or</w:t>
      </w:r>
      <w:r w:rsidR="00E34625" w:rsidRPr="001C0C4B">
        <w:rPr>
          <w:rFonts w:ascii="Calibri" w:eastAsia="Calibri" w:hAnsi="Calibri" w:cs="Calibri"/>
          <w:lang w:val="en-GB"/>
        </w:rPr>
        <w:t xml:space="preserve"> below</w:t>
      </w:r>
      <w:r w:rsidR="24B5921E" w:rsidRPr="001C0C4B">
        <w:rPr>
          <w:rFonts w:ascii="Calibri" w:eastAsia="Calibri" w:hAnsi="Calibri" w:cs="Calibri"/>
          <w:lang w:val="en-GB"/>
        </w:rPr>
        <w:t>,</w:t>
      </w:r>
      <w:r w:rsidR="00E34625" w:rsidRPr="001C0C4B">
        <w:rPr>
          <w:rFonts w:ascii="Calibri" w:eastAsia="Calibri" w:hAnsi="Calibri" w:cs="Calibri"/>
          <w:lang w:val="en-GB"/>
        </w:rPr>
        <w:t xml:space="preserve"> </w:t>
      </w:r>
      <w:r w:rsidR="7151A68D" w:rsidRPr="001C0C4B">
        <w:rPr>
          <w:rFonts w:ascii="Calibri" w:eastAsia="Calibri" w:hAnsi="Calibri" w:cs="Calibri"/>
          <w:lang w:val="en-GB"/>
        </w:rPr>
        <w:t xml:space="preserve">returned to baseline, </w:t>
      </w:r>
      <w:r w:rsidR="00DC5638" w:rsidRPr="001C0C4B">
        <w:rPr>
          <w:rFonts w:ascii="Calibri" w:eastAsia="Calibri" w:hAnsi="Calibri" w:cs="Calibri"/>
          <w:lang w:val="en-GB"/>
        </w:rPr>
        <w:t>or deemed to be permanent. For lab</w:t>
      </w:r>
      <w:r w:rsidRPr="001C0C4B">
        <w:rPr>
          <w:rFonts w:ascii="Calibri" w:eastAsia="Calibri" w:hAnsi="Calibri" w:cs="Calibri"/>
          <w:lang w:val="en-GB"/>
        </w:rPr>
        <w:t>oratory</w:t>
      </w:r>
      <w:r w:rsidR="00DC5638" w:rsidRPr="001C0C4B">
        <w:rPr>
          <w:rFonts w:ascii="Calibri" w:eastAsia="Calibri" w:hAnsi="Calibri" w:cs="Calibri"/>
          <w:lang w:val="en-GB"/>
        </w:rPr>
        <w:t xml:space="preserve"> results that are not available in </w:t>
      </w:r>
      <w:r w:rsidRPr="001C0C4B">
        <w:rPr>
          <w:rFonts w:ascii="Calibri" w:eastAsia="Calibri" w:hAnsi="Calibri" w:cs="Calibri"/>
          <w:lang w:val="en-GB"/>
        </w:rPr>
        <w:t xml:space="preserve">the </w:t>
      </w:r>
      <w:r w:rsidR="00DC5638" w:rsidRPr="001C0C4B">
        <w:rPr>
          <w:rFonts w:ascii="Calibri" w:eastAsia="Calibri" w:hAnsi="Calibri" w:cs="Calibri"/>
          <w:lang w:val="en-GB"/>
        </w:rPr>
        <w:t xml:space="preserve">CTCAE v5.0, the </w:t>
      </w:r>
      <w:r w:rsidR="00D675F7" w:rsidRPr="001C0C4B">
        <w:rPr>
          <w:rFonts w:ascii="Calibri" w:eastAsia="Calibri" w:hAnsi="Calibri" w:cs="Calibri"/>
          <w:lang w:val="en-GB"/>
        </w:rPr>
        <w:t>site</w:t>
      </w:r>
      <w:r w:rsidR="00780467" w:rsidRPr="001C0C4B">
        <w:rPr>
          <w:rFonts w:ascii="Calibri" w:eastAsia="Calibri" w:hAnsi="Calibri" w:cs="Calibri"/>
          <w:lang w:val="en-GB"/>
        </w:rPr>
        <w:t xml:space="preserve"> </w:t>
      </w:r>
      <w:r w:rsidR="00DC5638" w:rsidRPr="001C0C4B">
        <w:rPr>
          <w:rFonts w:ascii="Calibri" w:eastAsia="Calibri" w:hAnsi="Calibri" w:cs="Calibri"/>
          <w:lang w:val="en-GB"/>
        </w:rPr>
        <w:t xml:space="preserve">investigator should make a determination as to whether or not the laboratory abnormality is clinically significant. If </w:t>
      </w:r>
      <w:r w:rsidRPr="001C0C4B">
        <w:rPr>
          <w:rFonts w:ascii="Calibri" w:eastAsia="Calibri" w:hAnsi="Calibri" w:cs="Calibri"/>
          <w:lang w:val="en-GB"/>
        </w:rPr>
        <w:t>the site investigator</w:t>
      </w:r>
      <w:r w:rsidR="00DC5638" w:rsidRPr="001C0C4B">
        <w:rPr>
          <w:rFonts w:ascii="Calibri" w:eastAsia="Calibri" w:hAnsi="Calibri" w:cs="Calibri"/>
          <w:lang w:val="en-GB"/>
        </w:rPr>
        <w:t xml:space="preserve"> believes </w:t>
      </w:r>
      <w:r w:rsidRPr="001C0C4B">
        <w:rPr>
          <w:rFonts w:ascii="Calibri" w:eastAsia="Calibri" w:hAnsi="Calibri" w:cs="Calibri"/>
          <w:lang w:val="en-GB"/>
        </w:rPr>
        <w:t xml:space="preserve">a </w:t>
      </w:r>
      <w:r w:rsidR="00DC5638" w:rsidRPr="001C0C4B">
        <w:rPr>
          <w:rFonts w:ascii="Calibri" w:eastAsia="Calibri" w:hAnsi="Calibri" w:cs="Calibri"/>
          <w:lang w:val="en-GB"/>
        </w:rPr>
        <w:t>lab</w:t>
      </w:r>
      <w:r w:rsidRPr="001C0C4B">
        <w:rPr>
          <w:rFonts w:ascii="Calibri" w:eastAsia="Calibri" w:hAnsi="Calibri" w:cs="Calibri"/>
          <w:lang w:val="en-GB"/>
        </w:rPr>
        <w:t>oratory</w:t>
      </w:r>
      <w:r w:rsidR="00DC5638" w:rsidRPr="001C0C4B">
        <w:rPr>
          <w:rFonts w:ascii="Calibri" w:eastAsia="Calibri" w:hAnsi="Calibri" w:cs="Calibri"/>
          <w:lang w:val="en-GB"/>
        </w:rPr>
        <w:t xml:space="preserve"> abnormality is clinically significant, it should be reported as an adverse event and a grade should be identified to the best of their ability.</w:t>
      </w:r>
    </w:p>
    <w:p w14:paraId="348F7B98" w14:textId="069D7749" w:rsidR="00EA1F4B" w:rsidRPr="001C0C4B" w:rsidRDefault="1E0C63F7" w:rsidP="00624065">
      <w:pPr>
        <w:pStyle w:val="Heading2"/>
        <w:numPr>
          <w:ilvl w:val="1"/>
          <w:numId w:val="23"/>
        </w:numPr>
        <w:spacing w:line="276" w:lineRule="auto"/>
        <w:rPr>
          <w:rFonts w:ascii="Calibri" w:hAnsi="Calibri" w:cs="Calibri"/>
          <w:color w:val="auto"/>
          <w:sz w:val="22"/>
          <w:szCs w:val="22"/>
        </w:rPr>
      </w:pPr>
      <w:bookmarkStart w:id="214" w:name="_Toc96007300"/>
      <w:bookmarkStart w:id="215" w:name="_Toc95915253"/>
      <w:bookmarkStart w:id="216" w:name="_Toc74661298"/>
      <w:bookmarkStart w:id="217" w:name="_Toc110523992"/>
      <w:bookmarkStart w:id="218" w:name="_Toc96005603"/>
      <w:bookmarkStart w:id="219" w:name="_Toc112917641"/>
      <w:r w:rsidRPr="001C0C4B">
        <w:rPr>
          <w:rFonts w:ascii="Calibri" w:hAnsi="Calibri" w:cs="Calibri"/>
          <w:color w:val="auto"/>
          <w:sz w:val="22"/>
          <w:szCs w:val="22"/>
        </w:rPr>
        <w:t>Reporting Procedures for Serious Adverse Events</w:t>
      </w:r>
      <w:bookmarkEnd w:id="214"/>
      <w:bookmarkEnd w:id="215"/>
      <w:bookmarkEnd w:id="216"/>
      <w:bookmarkEnd w:id="217"/>
      <w:bookmarkEnd w:id="218"/>
      <w:bookmarkEnd w:id="219"/>
    </w:p>
    <w:p w14:paraId="2BC23900" w14:textId="38FE465F" w:rsidR="000C627B" w:rsidRPr="001C0C4B" w:rsidRDefault="00523F88" w:rsidP="00624065">
      <w:pPr>
        <w:spacing w:line="276" w:lineRule="auto"/>
        <w:jc w:val="both"/>
        <w:rPr>
          <w:rFonts w:ascii="Calibri" w:hAnsi="Calibri" w:cs="Calibri"/>
        </w:rPr>
      </w:pPr>
      <w:r w:rsidRPr="001C0C4B">
        <w:rPr>
          <w:rFonts w:ascii="Calibri" w:eastAsia="Calibri" w:hAnsi="Calibri" w:cs="Calibri"/>
          <w:lang w:val="en-GB"/>
        </w:rPr>
        <w:t xml:space="preserve">All SAEs detected by the site investigator must be reported to the </w:t>
      </w:r>
      <w:r w:rsidR="00785E9F" w:rsidRPr="001C0C4B">
        <w:rPr>
          <w:rFonts w:ascii="Calibri" w:eastAsia="Calibri" w:hAnsi="Calibri" w:cs="Calibri"/>
          <w:lang w:val="en-GB"/>
        </w:rPr>
        <w:t>PLATCOV</w:t>
      </w:r>
      <w:r w:rsidRPr="001C0C4B">
        <w:rPr>
          <w:rFonts w:ascii="Calibri" w:eastAsia="Calibri" w:hAnsi="Calibri" w:cs="Calibri"/>
          <w:lang w:val="en-GB"/>
        </w:rPr>
        <w:t xml:space="preserve"> safety team within 24 hours of site awareness</w:t>
      </w:r>
      <w:r w:rsidR="00A823D4" w:rsidRPr="001C0C4B">
        <w:rPr>
          <w:rFonts w:ascii="Calibri" w:eastAsia="Calibri" w:hAnsi="Calibri" w:cs="Calibri"/>
          <w:lang w:val="en-GB"/>
        </w:rPr>
        <w:t xml:space="preserve">. The Serious Adverse Event </w:t>
      </w:r>
      <w:r w:rsidRPr="001C0C4B">
        <w:rPr>
          <w:rFonts w:ascii="Calibri" w:eastAsia="Calibri" w:hAnsi="Calibri" w:cs="Calibri"/>
          <w:lang w:val="en-GB"/>
        </w:rPr>
        <w:t>CRF document</w:t>
      </w:r>
      <w:r w:rsidR="00A823D4" w:rsidRPr="001C0C4B">
        <w:rPr>
          <w:rFonts w:ascii="Calibri" w:eastAsia="Calibri" w:hAnsi="Calibri" w:cs="Calibri"/>
          <w:lang w:val="en-GB"/>
        </w:rPr>
        <w:t>ing</w:t>
      </w:r>
      <w:r w:rsidRPr="001C0C4B">
        <w:rPr>
          <w:rFonts w:ascii="Calibri" w:eastAsia="Calibri" w:hAnsi="Calibri" w:cs="Calibri"/>
          <w:lang w:val="en-GB"/>
        </w:rPr>
        <w:t xml:space="preserve"> the SAE</w:t>
      </w:r>
      <w:r w:rsidR="00A823D4" w:rsidRPr="001C0C4B">
        <w:rPr>
          <w:rFonts w:ascii="Calibri" w:eastAsia="Calibri" w:hAnsi="Calibri" w:cs="Calibri"/>
          <w:lang w:val="en-GB"/>
        </w:rPr>
        <w:t xml:space="preserve"> should be emailed to</w:t>
      </w:r>
      <w:r w:rsidRPr="001C0C4B">
        <w:rPr>
          <w:rFonts w:ascii="Calibri" w:eastAsia="Calibri" w:hAnsi="Calibri" w:cs="Calibri"/>
          <w:lang w:val="en-GB"/>
        </w:rPr>
        <w:t xml:space="preserve"> </w:t>
      </w:r>
      <w:hyperlink r:id="rId18" w:history="1">
        <w:r w:rsidR="00481DBD" w:rsidRPr="001C0C4B">
          <w:rPr>
            <w:rStyle w:val="Hyperlink"/>
            <w:rFonts w:ascii="Calibri" w:eastAsia="Calibri" w:hAnsi="Calibri" w:cs="Calibri"/>
            <w:color w:val="auto"/>
            <w:lang w:val="en-GB"/>
          </w:rPr>
          <w:t>PLATCOVsafetyteam@tropmedres.ac</w:t>
        </w:r>
      </w:hyperlink>
      <w:r w:rsidR="00481DBD" w:rsidRPr="001C0C4B">
        <w:rPr>
          <w:rFonts w:ascii="Calibri" w:eastAsia="Calibri" w:hAnsi="Calibri" w:cs="Calibri"/>
          <w:lang w:val="en-GB"/>
        </w:rPr>
        <w:t>.</w:t>
      </w:r>
      <w:r w:rsidRPr="001C0C4B">
        <w:rPr>
          <w:rFonts w:ascii="Calibri" w:eastAsia="Calibri" w:hAnsi="Calibri" w:cs="Calibri"/>
          <w:lang w:val="en-GB"/>
        </w:rPr>
        <w:t xml:space="preserve"> </w:t>
      </w:r>
      <w:r w:rsidR="000C627B" w:rsidRPr="001C0C4B">
        <w:rPr>
          <w:rFonts w:ascii="Calibri" w:hAnsi="Calibri" w:cs="Calibri"/>
        </w:rPr>
        <w:t>The PLATCOV safety team will inform the DSMB within 10 days of initial notification of the SAE and keep the DSMB updated as needed.</w:t>
      </w:r>
    </w:p>
    <w:p w14:paraId="534EA152" w14:textId="434A4D21" w:rsidR="00B848A4" w:rsidRPr="001C0C4B" w:rsidRDefault="00B848A4" w:rsidP="00424FDD">
      <w:pPr>
        <w:pBdr>
          <w:top w:val="nil"/>
          <w:left w:val="nil"/>
          <w:bottom w:val="nil"/>
          <w:right w:val="nil"/>
          <w:between w:val="nil"/>
          <w:bar w:val="nil"/>
        </w:pBdr>
        <w:spacing w:before="120" w:after="120" w:line="276" w:lineRule="auto"/>
        <w:jc w:val="both"/>
        <w:rPr>
          <w:rFonts w:ascii="Calibri" w:eastAsia="Calibri" w:hAnsi="Calibri" w:cs="Calibri"/>
          <w:lang w:val="en-GB"/>
        </w:rPr>
      </w:pPr>
      <w:r w:rsidRPr="001C0C4B">
        <w:rPr>
          <w:rFonts w:ascii="Calibri" w:eastAsia="Calibri" w:hAnsi="Calibri" w:cs="Calibri"/>
          <w:lang w:val="en-GB"/>
        </w:rPr>
        <w:t xml:space="preserve">Further reports should be submitted, if required, until the SAE is resolved, is deemed stable/ permanent or results in death. A final status should be determined for any SAEs ongoing at the study end date. </w:t>
      </w:r>
    </w:p>
    <w:p w14:paraId="50AF7559" w14:textId="6E1E6C7B" w:rsidR="00523F88" w:rsidRPr="001C0C4B" w:rsidRDefault="00523F88" w:rsidP="00424FDD">
      <w:pPr>
        <w:widowControl w:val="0"/>
        <w:pBdr>
          <w:top w:val="nil"/>
          <w:left w:val="nil"/>
          <w:bottom w:val="nil"/>
          <w:right w:val="nil"/>
          <w:between w:val="nil"/>
          <w:bar w:val="nil"/>
        </w:pBdr>
        <w:spacing w:before="120" w:after="120" w:line="276" w:lineRule="auto"/>
        <w:ind w:right="29"/>
        <w:jc w:val="both"/>
        <w:rPr>
          <w:rFonts w:ascii="Calibri" w:eastAsia="Calibri" w:hAnsi="Calibri" w:cs="Calibri"/>
          <w:lang w:val="en-GB"/>
        </w:rPr>
      </w:pPr>
      <w:r w:rsidRPr="001C0C4B">
        <w:rPr>
          <w:rFonts w:ascii="Calibri" w:eastAsia="Calibri" w:hAnsi="Calibri" w:cs="Calibri"/>
          <w:lang w:val="en-GB"/>
        </w:rPr>
        <w:t xml:space="preserve">The site </w:t>
      </w:r>
      <w:r w:rsidR="00EC458A" w:rsidRPr="001C0C4B">
        <w:rPr>
          <w:rFonts w:ascii="Calibri" w:eastAsia="Calibri" w:hAnsi="Calibri" w:cs="Calibri"/>
          <w:lang w:val="en-GB"/>
        </w:rPr>
        <w:t>PI</w:t>
      </w:r>
      <w:r w:rsidRPr="001C0C4B">
        <w:rPr>
          <w:rFonts w:ascii="Calibri" w:eastAsia="Calibri" w:hAnsi="Calibri" w:cs="Calibri"/>
          <w:lang w:val="en-GB"/>
        </w:rPr>
        <w:t xml:space="preserve"> must also report the SAEs to the local ethics committee and the regulatory authority in accordance with local requirements.</w:t>
      </w:r>
    </w:p>
    <w:p w14:paraId="185B333C" w14:textId="477844D5" w:rsidR="00EA1F4B" w:rsidRPr="001C0C4B" w:rsidRDefault="003E0DDB" w:rsidP="00624065">
      <w:pPr>
        <w:pStyle w:val="NoSpacing"/>
        <w:spacing w:line="276" w:lineRule="auto"/>
        <w:ind w:firstLine="720"/>
      </w:pPr>
      <w:r w:rsidRPr="001C0C4B">
        <w:t xml:space="preserve">9.5.1 </w:t>
      </w:r>
      <w:r w:rsidR="1E0C63F7" w:rsidRPr="001C0C4B">
        <w:t>Expectedness</w:t>
      </w:r>
    </w:p>
    <w:p w14:paraId="7AEF047B" w14:textId="77864126" w:rsidR="00EA1F4B" w:rsidRDefault="1E0C63F7" w:rsidP="00424FDD">
      <w:pPr>
        <w:spacing w:after="200" w:line="276" w:lineRule="auto"/>
        <w:jc w:val="both"/>
        <w:rPr>
          <w:rFonts w:ascii="Calibri" w:eastAsia="Calibri" w:hAnsi="Calibri" w:cs="Calibri"/>
          <w:lang w:val="en-GB"/>
        </w:rPr>
      </w:pPr>
      <w:r w:rsidRPr="001C0C4B">
        <w:rPr>
          <w:rFonts w:ascii="Calibri" w:eastAsia="Calibri" w:hAnsi="Calibri" w:cs="Calibri"/>
          <w:lang w:val="en-GB"/>
        </w:rPr>
        <w:t xml:space="preserve">Expectedness will be determined according to the Investigators’ Brochure/Summary of Product Characteristics. </w:t>
      </w:r>
    </w:p>
    <w:p w14:paraId="747E3B73" w14:textId="39F60C25" w:rsidR="00BE011B" w:rsidRDefault="00BE011B" w:rsidP="00424FDD">
      <w:pPr>
        <w:spacing w:after="200" w:line="276" w:lineRule="auto"/>
        <w:jc w:val="both"/>
        <w:rPr>
          <w:rFonts w:ascii="Calibri" w:eastAsia="Calibri" w:hAnsi="Calibri" w:cs="Calibri"/>
          <w:lang w:val="en-GB"/>
        </w:rPr>
      </w:pPr>
    </w:p>
    <w:p w14:paraId="2F3CC780" w14:textId="77777777" w:rsidR="00BE011B" w:rsidRPr="001C0C4B" w:rsidRDefault="00BE011B" w:rsidP="00424FDD">
      <w:pPr>
        <w:spacing w:after="200" w:line="276" w:lineRule="auto"/>
        <w:jc w:val="both"/>
        <w:rPr>
          <w:rFonts w:ascii="Calibri" w:eastAsia="Calibri" w:hAnsi="Calibri" w:cs="Calibri"/>
        </w:rPr>
      </w:pPr>
    </w:p>
    <w:p w14:paraId="0194E272" w14:textId="2ADE837B" w:rsidR="00EA1F4B" w:rsidRPr="001C0C4B" w:rsidRDefault="003E0DDB" w:rsidP="00624065">
      <w:pPr>
        <w:pStyle w:val="NoSpacing"/>
        <w:spacing w:line="276" w:lineRule="auto"/>
        <w:ind w:firstLine="720"/>
      </w:pPr>
      <w:r w:rsidRPr="001C0C4B">
        <w:lastRenderedPageBreak/>
        <w:t xml:space="preserve">9.5.2 </w:t>
      </w:r>
      <w:r w:rsidR="1E0C63F7" w:rsidRPr="001C0C4B">
        <w:t>SUSAR Reporting</w:t>
      </w:r>
    </w:p>
    <w:p w14:paraId="0B1CA404" w14:textId="7C618DD8" w:rsidR="00EA1F4B" w:rsidRPr="001C0C4B" w:rsidRDefault="1E0C63F7" w:rsidP="00424FDD">
      <w:pPr>
        <w:spacing w:after="200" w:line="276" w:lineRule="auto"/>
        <w:jc w:val="both"/>
        <w:rPr>
          <w:rFonts w:ascii="Calibri" w:eastAsia="Calibri" w:hAnsi="Calibri" w:cs="Calibri"/>
        </w:rPr>
      </w:pPr>
      <w:r w:rsidRPr="001C0C4B">
        <w:rPr>
          <w:rFonts w:ascii="Calibri" w:eastAsia="Calibri" w:hAnsi="Calibri" w:cs="Calibri"/>
          <w:lang w:val="en-GB"/>
        </w:rPr>
        <w:t xml:space="preserve">All SUSARs will be reported by the </w:t>
      </w:r>
      <w:r w:rsidR="00EC458A" w:rsidRPr="001C0C4B">
        <w:rPr>
          <w:rFonts w:ascii="Calibri" w:eastAsia="Calibri" w:hAnsi="Calibri" w:cs="Calibri"/>
          <w:lang w:val="en-GB"/>
        </w:rPr>
        <w:t>site PI</w:t>
      </w:r>
      <w:r w:rsidRPr="001C0C4B">
        <w:rPr>
          <w:rFonts w:ascii="Calibri" w:eastAsia="Calibri" w:hAnsi="Calibri" w:cs="Calibri"/>
          <w:lang w:val="en-GB"/>
        </w:rPr>
        <w:t xml:space="preserve"> to the relevant Competent Authority and to the </w:t>
      </w:r>
      <w:r w:rsidR="007E686B" w:rsidRPr="001C0C4B">
        <w:rPr>
          <w:rFonts w:ascii="Calibri" w:eastAsia="Calibri" w:hAnsi="Calibri" w:cs="Calibri"/>
          <w:lang w:val="en-GB"/>
        </w:rPr>
        <w:t xml:space="preserve">local </w:t>
      </w:r>
      <w:r w:rsidRPr="001C0C4B">
        <w:rPr>
          <w:rFonts w:ascii="Calibri" w:eastAsia="Calibri" w:hAnsi="Calibri" w:cs="Calibri"/>
          <w:lang w:val="en-GB"/>
        </w:rPr>
        <w:t xml:space="preserve">Ethics Committee and other parties as applicable. For fatal and life-threatening SUSARS, this will be done no later than 7 calendar days after </w:t>
      </w:r>
      <w:r w:rsidR="007E686B" w:rsidRPr="001C0C4B">
        <w:rPr>
          <w:rFonts w:ascii="Calibri" w:eastAsia="Calibri" w:hAnsi="Calibri" w:cs="Calibri"/>
          <w:lang w:val="en-GB"/>
        </w:rPr>
        <w:t>MORU</w:t>
      </w:r>
      <w:r w:rsidRPr="001C0C4B">
        <w:rPr>
          <w:rFonts w:ascii="Calibri" w:eastAsia="Calibri" w:hAnsi="Calibri" w:cs="Calibri"/>
          <w:lang w:val="en-GB"/>
        </w:rPr>
        <w:t xml:space="preserve"> is first aware of the reaction. Any additional relevant information will be reported within 8 calendar days of the initial report. All other SUSARs will be reported within 15 calendar days.</w:t>
      </w:r>
    </w:p>
    <w:p w14:paraId="170D0B4C" w14:textId="52EF6B58" w:rsidR="00EA1F4B" w:rsidRPr="001C0C4B" w:rsidRDefault="00DB6341" w:rsidP="00424FDD">
      <w:pPr>
        <w:spacing w:after="200" w:line="276" w:lineRule="auto"/>
        <w:jc w:val="both"/>
        <w:rPr>
          <w:rFonts w:ascii="Calibri" w:eastAsia="Calibri" w:hAnsi="Calibri" w:cs="Calibri"/>
        </w:rPr>
      </w:pPr>
      <w:r w:rsidRPr="001C0C4B">
        <w:rPr>
          <w:rFonts w:ascii="Calibri" w:eastAsia="Calibri" w:hAnsi="Calibri" w:cs="Calibri"/>
          <w:lang w:val="en-GB"/>
        </w:rPr>
        <w:t>Site PI</w:t>
      </w:r>
      <w:r w:rsidR="1E0C63F7" w:rsidRPr="001C0C4B">
        <w:rPr>
          <w:rFonts w:ascii="Calibri" w:eastAsia="Calibri" w:hAnsi="Calibri" w:cs="Calibri"/>
          <w:lang w:val="en-GB"/>
        </w:rPr>
        <w:t xml:space="preserve">s will be informed of all SUSARs for the relevant IMP </w:t>
      </w:r>
      <w:r w:rsidRPr="001C0C4B">
        <w:rPr>
          <w:rFonts w:ascii="Calibri" w:eastAsia="Calibri" w:hAnsi="Calibri" w:cs="Calibri"/>
          <w:lang w:val="en-GB"/>
        </w:rPr>
        <w:t>that occur at any of the PLATCOV study sites.</w:t>
      </w:r>
    </w:p>
    <w:p w14:paraId="1B05CF5A" w14:textId="0FE5D7CB" w:rsidR="00EA1F4B" w:rsidRPr="001C0C4B" w:rsidRDefault="008D67A5" w:rsidP="00624065">
      <w:pPr>
        <w:pStyle w:val="Heading2"/>
        <w:numPr>
          <w:ilvl w:val="1"/>
          <w:numId w:val="23"/>
        </w:numPr>
        <w:spacing w:line="276" w:lineRule="auto"/>
        <w:rPr>
          <w:rFonts w:ascii="Calibri" w:hAnsi="Calibri" w:cs="Calibri"/>
          <w:color w:val="auto"/>
          <w:sz w:val="22"/>
          <w:szCs w:val="22"/>
        </w:rPr>
      </w:pPr>
      <w:bookmarkStart w:id="220" w:name="_Toc96007301"/>
      <w:bookmarkStart w:id="221" w:name="_Toc95915254"/>
      <w:bookmarkStart w:id="222" w:name="_Toc74661299"/>
      <w:bookmarkStart w:id="223" w:name="_Toc110523993"/>
      <w:bookmarkStart w:id="224" w:name="_Toc96005604"/>
      <w:bookmarkStart w:id="225" w:name="_Toc112917642"/>
      <w:r w:rsidRPr="001C0C4B">
        <w:rPr>
          <w:rFonts w:ascii="Calibri" w:hAnsi="Calibri" w:cs="Calibri"/>
          <w:color w:val="auto"/>
          <w:sz w:val="22"/>
          <w:szCs w:val="22"/>
        </w:rPr>
        <w:t xml:space="preserve">Data </w:t>
      </w:r>
      <w:r w:rsidR="1E0C63F7" w:rsidRPr="001C0C4B">
        <w:rPr>
          <w:rFonts w:ascii="Calibri" w:hAnsi="Calibri" w:cs="Calibri"/>
          <w:color w:val="auto"/>
          <w:sz w:val="22"/>
          <w:szCs w:val="22"/>
        </w:rPr>
        <w:t xml:space="preserve">Safety Monitoring </w:t>
      </w:r>
      <w:r w:rsidRPr="001C0C4B">
        <w:rPr>
          <w:rFonts w:ascii="Calibri" w:hAnsi="Calibri" w:cs="Calibri"/>
          <w:color w:val="auto"/>
          <w:sz w:val="22"/>
          <w:szCs w:val="22"/>
        </w:rPr>
        <w:t>Board</w:t>
      </w:r>
      <w:r w:rsidR="000C627B" w:rsidRPr="001C0C4B">
        <w:rPr>
          <w:rFonts w:ascii="Calibri" w:hAnsi="Calibri" w:cs="Calibri"/>
          <w:color w:val="auto"/>
          <w:sz w:val="22"/>
          <w:szCs w:val="22"/>
        </w:rPr>
        <w:t xml:space="preserve"> (DSMB)</w:t>
      </w:r>
      <w:bookmarkEnd w:id="220"/>
      <w:bookmarkEnd w:id="221"/>
      <w:bookmarkEnd w:id="222"/>
      <w:bookmarkEnd w:id="223"/>
      <w:bookmarkEnd w:id="224"/>
      <w:bookmarkEnd w:id="225"/>
    </w:p>
    <w:p w14:paraId="77E5FBB7" w14:textId="77777777" w:rsidR="005550EF" w:rsidRPr="001C0C4B" w:rsidRDefault="008D67A5" w:rsidP="00624065">
      <w:pPr>
        <w:tabs>
          <w:tab w:val="left" w:pos="709"/>
        </w:tabs>
        <w:spacing w:line="276" w:lineRule="auto"/>
        <w:jc w:val="both"/>
        <w:rPr>
          <w:rFonts w:ascii="Calibri" w:hAnsi="Calibri" w:cs="Calibri"/>
        </w:rPr>
      </w:pPr>
      <w:r w:rsidRPr="001C0C4B">
        <w:rPr>
          <w:rFonts w:ascii="Calibri" w:hAnsi="Calibri" w:cs="Calibri"/>
        </w:rPr>
        <w:t xml:space="preserve">An independent Data Safety and Monitoring Board (DSMB) will be set up consisting of qualified volunteers </w:t>
      </w:r>
    </w:p>
    <w:p w14:paraId="6DB55336" w14:textId="0AC9B9B5" w:rsidR="0051387D" w:rsidRPr="001C0C4B" w:rsidRDefault="008D67A5" w:rsidP="00624065">
      <w:pPr>
        <w:tabs>
          <w:tab w:val="left" w:pos="709"/>
        </w:tabs>
        <w:spacing w:line="276" w:lineRule="auto"/>
        <w:jc w:val="both"/>
        <w:rPr>
          <w:rFonts w:ascii="Calibri" w:hAnsi="Calibri" w:cs="Calibri"/>
        </w:rPr>
      </w:pPr>
      <w:r w:rsidRPr="001C0C4B">
        <w:rPr>
          <w:rFonts w:ascii="Calibri" w:hAnsi="Calibri" w:cs="Calibri"/>
        </w:rPr>
        <w:t>with the necessary knowledge of clinical trials. The DSMB will receive summary reports</w:t>
      </w:r>
      <w:r w:rsidR="0051387D" w:rsidRPr="001C0C4B">
        <w:rPr>
          <w:rFonts w:ascii="Calibri" w:hAnsi="Calibri" w:cs="Calibri"/>
        </w:rPr>
        <w:t xml:space="preserve"> from MORU as defined per charter or per ad-hoc request</w:t>
      </w:r>
      <w:r w:rsidRPr="001C0C4B">
        <w:rPr>
          <w:rFonts w:ascii="Calibri" w:hAnsi="Calibri" w:cs="Calibri"/>
        </w:rPr>
        <w:t>, prior to each meeting</w:t>
      </w:r>
      <w:r w:rsidR="0051387D" w:rsidRPr="001C0C4B">
        <w:rPr>
          <w:rFonts w:ascii="Calibri" w:hAnsi="Calibri" w:cs="Calibri"/>
        </w:rPr>
        <w:t>.</w:t>
      </w:r>
      <w:r w:rsidRPr="001C0C4B">
        <w:rPr>
          <w:rFonts w:ascii="Calibri" w:hAnsi="Calibri" w:cs="Calibri"/>
        </w:rPr>
        <w:t xml:space="preserve"> All data reviewed by the DSMB will be in the strictest confidence. A DSMB charter will outline its responsibilities and how it will operate. </w:t>
      </w:r>
    </w:p>
    <w:p w14:paraId="21D43584" w14:textId="3B1F5C35" w:rsidR="00EA1F4B" w:rsidRPr="001C0C4B" w:rsidRDefault="0051387D" w:rsidP="00624065">
      <w:pPr>
        <w:tabs>
          <w:tab w:val="left" w:pos="709"/>
        </w:tabs>
        <w:spacing w:line="276" w:lineRule="auto"/>
        <w:jc w:val="both"/>
        <w:rPr>
          <w:rFonts w:ascii="Calibri" w:hAnsi="Calibri" w:cs="Calibri"/>
        </w:rPr>
      </w:pPr>
      <w:r w:rsidRPr="001C0C4B">
        <w:rPr>
          <w:rFonts w:ascii="Calibri" w:hAnsi="Calibri" w:cs="Calibri"/>
        </w:rPr>
        <w:t>An interim report</w:t>
      </w:r>
      <w:r w:rsidR="008D67A5" w:rsidRPr="001C0C4B">
        <w:rPr>
          <w:rFonts w:ascii="Calibri" w:hAnsi="Calibri" w:cs="Calibri"/>
        </w:rPr>
        <w:t xml:space="preserve"> will be prepared by the Trial Statistician</w:t>
      </w:r>
      <w:r w:rsidR="00967A0A" w:rsidRPr="001C0C4B">
        <w:rPr>
          <w:rFonts w:ascii="Calibri" w:hAnsi="Calibri" w:cs="Calibri"/>
        </w:rPr>
        <w:t xml:space="preserve"> </w:t>
      </w:r>
      <w:r w:rsidRPr="001C0C4B">
        <w:rPr>
          <w:rFonts w:ascii="Calibri" w:hAnsi="Calibri" w:cs="Calibri"/>
        </w:rPr>
        <w:t>for the pre-specified interim analysis</w:t>
      </w:r>
      <w:r w:rsidR="008D67A5" w:rsidRPr="001C0C4B">
        <w:rPr>
          <w:rFonts w:ascii="Calibri" w:hAnsi="Calibri" w:cs="Calibri"/>
        </w:rPr>
        <w:t>.</w:t>
      </w:r>
      <w:r w:rsidR="00967A0A" w:rsidRPr="001C0C4B">
        <w:rPr>
          <w:rFonts w:ascii="Calibri" w:hAnsi="Calibri" w:cs="Calibri"/>
        </w:rPr>
        <w:t xml:space="preserve"> In case of safety concerns, additional </w:t>
      </w:r>
      <w:r w:rsidRPr="001C0C4B">
        <w:rPr>
          <w:rFonts w:ascii="Calibri" w:hAnsi="Calibri" w:cs="Calibri"/>
        </w:rPr>
        <w:t xml:space="preserve">information or formal </w:t>
      </w:r>
      <w:r w:rsidR="00967A0A" w:rsidRPr="001C0C4B">
        <w:rPr>
          <w:rFonts w:ascii="Calibri" w:hAnsi="Calibri" w:cs="Calibri"/>
        </w:rPr>
        <w:t>interim analyses can be requested by the DSMB.</w:t>
      </w:r>
      <w:r w:rsidR="008D67A5" w:rsidRPr="001C0C4B">
        <w:rPr>
          <w:rFonts w:ascii="Calibri" w:hAnsi="Calibri" w:cs="Calibri"/>
        </w:rPr>
        <w:t xml:space="preserve"> </w:t>
      </w:r>
    </w:p>
    <w:p w14:paraId="4F53A19D" w14:textId="39A4AD1B" w:rsidR="008D67A5" w:rsidRPr="001C0C4B" w:rsidRDefault="002B0A80" w:rsidP="00624065">
      <w:pPr>
        <w:tabs>
          <w:tab w:val="left" w:pos="709"/>
        </w:tabs>
        <w:spacing w:line="276" w:lineRule="auto"/>
        <w:jc w:val="both"/>
        <w:rPr>
          <w:rFonts w:ascii="Calibri" w:hAnsi="Calibri" w:cs="Calibri"/>
        </w:rPr>
      </w:pPr>
      <w:r w:rsidRPr="001C0C4B">
        <w:rPr>
          <w:rFonts w:ascii="Calibri" w:hAnsi="Calibri" w:cs="Calibri"/>
        </w:rPr>
        <w:t>The DSMB will meet formally at the following timepoints:</w:t>
      </w:r>
    </w:p>
    <w:p w14:paraId="31EDBFC7" w14:textId="4DDE8605" w:rsidR="002B0A80" w:rsidRPr="001C0C4B" w:rsidRDefault="002B0A80" w:rsidP="009E06F8">
      <w:pPr>
        <w:pStyle w:val="ListParagraph"/>
        <w:numPr>
          <w:ilvl w:val="0"/>
          <w:numId w:val="10"/>
        </w:numPr>
        <w:tabs>
          <w:tab w:val="left" w:pos="709"/>
        </w:tabs>
        <w:spacing w:line="240" w:lineRule="auto"/>
        <w:jc w:val="both"/>
        <w:rPr>
          <w:rFonts w:ascii="Calibri" w:hAnsi="Calibri" w:cs="Calibri"/>
        </w:rPr>
      </w:pPr>
      <w:r w:rsidRPr="001C0C4B">
        <w:rPr>
          <w:rFonts w:ascii="Calibri" w:hAnsi="Calibri" w:cs="Calibri"/>
        </w:rPr>
        <w:t>before the study starts</w:t>
      </w:r>
    </w:p>
    <w:p w14:paraId="0212E605" w14:textId="2F1EC73B" w:rsidR="002B0A80" w:rsidRPr="001C0C4B" w:rsidRDefault="002B0A80" w:rsidP="009E06F8">
      <w:pPr>
        <w:pStyle w:val="ListParagraph"/>
        <w:numPr>
          <w:ilvl w:val="0"/>
          <w:numId w:val="10"/>
        </w:numPr>
        <w:tabs>
          <w:tab w:val="left" w:pos="709"/>
        </w:tabs>
        <w:spacing w:line="240" w:lineRule="auto"/>
        <w:jc w:val="both"/>
        <w:rPr>
          <w:rFonts w:ascii="Calibri" w:hAnsi="Calibri" w:cs="Calibri"/>
        </w:rPr>
      </w:pPr>
      <w:r w:rsidRPr="001C0C4B">
        <w:rPr>
          <w:rFonts w:ascii="Calibri" w:hAnsi="Calibri" w:cs="Calibri"/>
        </w:rPr>
        <w:t xml:space="preserve">after </w:t>
      </w:r>
      <w:r w:rsidR="0025293D" w:rsidRPr="001C0C4B">
        <w:rPr>
          <w:rFonts w:ascii="Calibri" w:hAnsi="Calibri" w:cs="Calibri"/>
        </w:rPr>
        <w:t xml:space="preserve">the first </w:t>
      </w:r>
      <w:r w:rsidR="00701816" w:rsidRPr="001C0C4B">
        <w:rPr>
          <w:rFonts w:ascii="Calibri" w:hAnsi="Calibri" w:cs="Calibri"/>
        </w:rPr>
        <w:t xml:space="preserve">50 </w:t>
      </w:r>
      <w:r w:rsidR="332A5C7B" w:rsidRPr="001C0C4B">
        <w:rPr>
          <w:rFonts w:ascii="Calibri" w:hAnsi="Calibri" w:cs="Calibri"/>
        </w:rPr>
        <w:t xml:space="preserve">patients </w:t>
      </w:r>
      <w:r w:rsidR="0025293D" w:rsidRPr="001C0C4B">
        <w:rPr>
          <w:rFonts w:ascii="Calibri" w:hAnsi="Calibri" w:cs="Calibri"/>
        </w:rPr>
        <w:t>have been accrued into the study</w:t>
      </w:r>
      <w:r w:rsidR="008076FD" w:rsidRPr="001C0C4B">
        <w:rPr>
          <w:rFonts w:ascii="Calibri" w:hAnsi="Calibri" w:cs="Calibri"/>
        </w:rPr>
        <w:t xml:space="preserve"> (10 per arm)</w:t>
      </w:r>
    </w:p>
    <w:p w14:paraId="2205DB03" w14:textId="5449FA28" w:rsidR="0025293D" w:rsidRPr="001C0C4B" w:rsidRDefault="0025293D" w:rsidP="009E06F8">
      <w:pPr>
        <w:pStyle w:val="ListParagraph"/>
        <w:numPr>
          <w:ilvl w:val="0"/>
          <w:numId w:val="10"/>
        </w:numPr>
        <w:tabs>
          <w:tab w:val="left" w:pos="709"/>
        </w:tabs>
        <w:spacing w:line="240" w:lineRule="auto"/>
        <w:jc w:val="both"/>
        <w:rPr>
          <w:rFonts w:ascii="Calibri" w:hAnsi="Calibri" w:cs="Calibri"/>
        </w:rPr>
      </w:pPr>
      <w:r w:rsidRPr="001C0C4B">
        <w:rPr>
          <w:rFonts w:ascii="Calibri" w:hAnsi="Calibri" w:cs="Calibri"/>
        </w:rPr>
        <w:t>At additional time-points as indicated by the DSMB after their review, if deemed necessary</w:t>
      </w:r>
    </w:p>
    <w:p w14:paraId="6B71AFEC" w14:textId="429FE7EB" w:rsidR="008D67A5" w:rsidRPr="001C0C4B" w:rsidRDefault="008D67A5" w:rsidP="008D67A5">
      <w:pPr>
        <w:tabs>
          <w:tab w:val="left" w:pos="709"/>
        </w:tabs>
        <w:spacing w:line="240" w:lineRule="auto"/>
        <w:jc w:val="both"/>
        <w:rPr>
          <w:rFonts w:ascii="Calibri" w:hAnsi="Calibri" w:cs="Calibri"/>
        </w:rPr>
      </w:pPr>
      <w:r w:rsidRPr="001C0C4B">
        <w:rPr>
          <w:rFonts w:ascii="Calibri" w:hAnsi="Calibri" w:cs="Calibri"/>
        </w:rPr>
        <w:t>All DSMB recommendations will be communicated to site PIs. The site PI will be responsible for submitting the written DSMB summary reports with recommendations as applicable to local/ national ethics committees and other applicable groups.</w:t>
      </w:r>
    </w:p>
    <w:p w14:paraId="516BD276" w14:textId="090B4801" w:rsidR="00EA1F4B" w:rsidRPr="001C0C4B" w:rsidRDefault="1E0C63F7" w:rsidP="00E142CD">
      <w:pPr>
        <w:pStyle w:val="Heading1"/>
        <w:numPr>
          <w:ilvl w:val="0"/>
          <w:numId w:val="23"/>
        </w:numPr>
        <w:rPr>
          <w:rFonts w:ascii="Calibri" w:hAnsi="Calibri" w:cs="Calibri"/>
          <w:color w:val="auto"/>
          <w:sz w:val="22"/>
          <w:szCs w:val="22"/>
          <w:lang w:val="en-GB"/>
        </w:rPr>
      </w:pPr>
      <w:bookmarkStart w:id="226" w:name="_Toc96007302"/>
      <w:bookmarkStart w:id="227" w:name="_Toc95915255"/>
      <w:bookmarkStart w:id="228" w:name="_Toc74661300"/>
      <w:bookmarkStart w:id="229" w:name="_Toc110523994"/>
      <w:bookmarkStart w:id="230" w:name="_Toc96005605"/>
      <w:bookmarkStart w:id="231" w:name="_Toc112917643"/>
      <w:r w:rsidRPr="001C0C4B">
        <w:rPr>
          <w:rFonts w:ascii="Calibri" w:hAnsi="Calibri" w:cs="Calibri"/>
          <w:color w:val="auto"/>
          <w:sz w:val="22"/>
          <w:szCs w:val="22"/>
          <w:lang w:val="en-GB"/>
        </w:rPr>
        <w:t>STATISTICS AND ANALYSIS</w:t>
      </w:r>
      <w:bookmarkEnd w:id="226"/>
      <w:bookmarkEnd w:id="227"/>
      <w:bookmarkEnd w:id="228"/>
      <w:bookmarkEnd w:id="229"/>
      <w:bookmarkEnd w:id="230"/>
      <w:bookmarkEnd w:id="231"/>
    </w:p>
    <w:p w14:paraId="33088CEE" w14:textId="48935F33" w:rsidR="00967A0A" w:rsidRPr="001C0C4B" w:rsidRDefault="666DD7F0" w:rsidP="002B251D">
      <w:pPr>
        <w:pStyle w:val="Heading2"/>
        <w:numPr>
          <w:ilvl w:val="1"/>
          <w:numId w:val="23"/>
        </w:numPr>
        <w:tabs>
          <w:tab w:val="left" w:pos="810"/>
        </w:tabs>
        <w:rPr>
          <w:rFonts w:ascii="Calibri" w:hAnsi="Calibri" w:cs="Calibri"/>
          <w:color w:val="auto"/>
          <w:sz w:val="22"/>
          <w:szCs w:val="22"/>
        </w:rPr>
      </w:pPr>
      <w:bookmarkStart w:id="232" w:name="_Toc96007303"/>
      <w:bookmarkStart w:id="233" w:name="_Toc95915256"/>
      <w:bookmarkStart w:id="234" w:name="_Toc110523995"/>
      <w:bookmarkStart w:id="235" w:name="_Toc96005606"/>
      <w:bookmarkStart w:id="236" w:name="_Toc112917644"/>
      <w:r w:rsidRPr="001C0C4B">
        <w:rPr>
          <w:rFonts w:ascii="Calibri" w:hAnsi="Calibri" w:cs="Calibri"/>
          <w:color w:val="auto"/>
          <w:sz w:val="22"/>
          <w:szCs w:val="22"/>
        </w:rPr>
        <w:t>Overview</w:t>
      </w:r>
      <w:r w:rsidR="00967A0A" w:rsidRPr="001C0C4B">
        <w:rPr>
          <w:rFonts w:ascii="Calibri" w:hAnsi="Calibri" w:cs="Calibri"/>
          <w:color w:val="auto"/>
          <w:sz w:val="22"/>
          <w:szCs w:val="22"/>
        </w:rPr>
        <w:t xml:space="preserve"> of </w:t>
      </w:r>
      <w:r w:rsidR="008D6A3E" w:rsidRPr="001C0C4B">
        <w:rPr>
          <w:rFonts w:ascii="Calibri" w:hAnsi="Calibri" w:cs="Calibri"/>
          <w:color w:val="auto"/>
          <w:sz w:val="22"/>
          <w:szCs w:val="22"/>
        </w:rPr>
        <w:t xml:space="preserve">adaptive study design and overall </w:t>
      </w:r>
      <w:r w:rsidR="00967A0A" w:rsidRPr="001C0C4B">
        <w:rPr>
          <w:rFonts w:ascii="Calibri" w:hAnsi="Calibri" w:cs="Calibri"/>
          <w:color w:val="auto"/>
          <w:sz w:val="22"/>
          <w:szCs w:val="22"/>
        </w:rPr>
        <w:t>approach</w:t>
      </w:r>
      <w:bookmarkEnd w:id="232"/>
      <w:bookmarkEnd w:id="233"/>
      <w:bookmarkEnd w:id="234"/>
      <w:bookmarkEnd w:id="235"/>
      <w:bookmarkEnd w:id="236"/>
    </w:p>
    <w:p w14:paraId="356B9150" w14:textId="272CA5E8" w:rsidR="009A676C" w:rsidRPr="001C0C4B" w:rsidRDefault="00B61F4B" w:rsidP="005626AD">
      <w:pPr>
        <w:spacing w:after="0"/>
        <w:jc w:val="both"/>
        <w:rPr>
          <w:lang w:val="en-GB"/>
        </w:rPr>
      </w:pPr>
      <w:r w:rsidRPr="001C0C4B">
        <w:rPr>
          <w:lang w:val="en-GB"/>
        </w:rPr>
        <w:t xml:space="preserve">This is a platform trial that will evaluate multiple antiviral treatments for COVID-19. </w:t>
      </w:r>
      <w:r w:rsidR="00D96AE6" w:rsidRPr="001C0C4B">
        <w:rPr>
          <w:lang w:val="en-GB"/>
        </w:rPr>
        <w:t>The sample size is adaptive with multiple plan</w:t>
      </w:r>
      <w:r w:rsidR="00891A42" w:rsidRPr="001C0C4B">
        <w:rPr>
          <w:lang w:val="en-GB"/>
        </w:rPr>
        <w:t xml:space="preserve">ned interim analyses. </w:t>
      </w:r>
      <w:r w:rsidR="008D6A3E" w:rsidRPr="001C0C4B">
        <w:rPr>
          <w:lang w:val="en-GB"/>
        </w:rPr>
        <w:t>By specifiying</w:t>
      </w:r>
      <w:r w:rsidR="00D96AE6" w:rsidRPr="001C0C4B">
        <w:rPr>
          <w:lang w:val="en-GB"/>
        </w:rPr>
        <w:t xml:space="preserve"> an adaptive sample size, we can more rapidly identify treatments that work and possibly remove treatments that do not work. Clinical</w:t>
      </w:r>
      <w:r w:rsidR="009A676C" w:rsidRPr="001C0C4B">
        <w:rPr>
          <w:lang w:val="en-GB"/>
        </w:rPr>
        <w:t xml:space="preserve"> trials</w:t>
      </w:r>
      <w:r w:rsidR="00D96AE6" w:rsidRPr="001C0C4B">
        <w:rPr>
          <w:lang w:val="en-GB"/>
        </w:rPr>
        <w:t xml:space="preserve"> with adaptive designs</w:t>
      </w:r>
      <w:r w:rsidR="009A676C" w:rsidRPr="001C0C4B">
        <w:rPr>
          <w:lang w:val="en-GB"/>
        </w:rPr>
        <w:t xml:space="preserve"> are increasingly being used in research, including in such successful and prominent COVID-19 studies as the RECOVERY study</w:t>
      </w:r>
      <w:r w:rsidR="00D96AE6" w:rsidRPr="001C0C4B">
        <w:rPr>
          <w:lang w:val="en-GB"/>
        </w:rPr>
        <w:t>. In addition</w:t>
      </w:r>
      <w:r w:rsidR="009A676C" w:rsidRPr="001C0C4B">
        <w:rPr>
          <w:lang w:val="en-GB"/>
        </w:rPr>
        <w:t xml:space="preserve"> the FDA and EMA supply</w:t>
      </w:r>
      <w:r w:rsidR="00F95953" w:rsidRPr="001C0C4B">
        <w:rPr>
          <w:lang w:val="en-GB"/>
        </w:rPr>
        <w:t xml:space="preserve"> </w:t>
      </w:r>
      <w:r w:rsidR="009A676C" w:rsidRPr="001C0C4B">
        <w:rPr>
          <w:lang w:val="en-GB"/>
        </w:rPr>
        <w:t>guidance on studies with these design</w:t>
      </w:r>
      <w:r w:rsidR="00D96AE6" w:rsidRPr="001C0C4B">
        <w:rPr>
          <w:lang w:val="en-GB"/>
        </w:rPr>
        <w:t>s</w:t>
      </w:r>
      <w:r w:rsidR="009A676C" w:rsidRPr="001C0C4B">
        <w:rPr>
          <w:rStyle w:val="FootnoteReference"/>
          <w:lang w:val="en-GB"/>
        </w:rPr>
        <w:footnoteReference w:id="2"/>
      </w:r>
      <w:r w:rsidR="009A676C" w:rsidRPr="001C0C4B">
        <w:rPr>
          <w:lang w:val="en-GB"/>
        </w:rPr>
        <w:t xml:space="preserve">. </w:t>
      </w:r>
      <w:r w:rsidR="00F95953" w:rsidRPr="001C0C4B">
        <w:rPr>
          <w:lang w:val="en-GB"/>
        </w:rPr>
        <w:t>They do not have fixed sample sizes as conventional RCTs. The number of patients recruited depends on the results (i.e. they are adaptive).</w:t>
      </w:r>
      <w:r w:rsidR="009A676C" w:rsidRPr="001C0C4B">
        <w:rPr>
          <w:lang w:val="en-GB"/>
        </w:rPr>
        <w:t xml:space="preserve">The benefits of </w:t>
      </w:r>
      <w:r w:rsidR="00D96AE6" w:rsidRPr="001C0C4B">
        <w:rPr>
          <w:lang w:val="en-GB"/>
        </w:rPr>
        <w:t xml:space="preserve">an adaptive sample size </w:t>
      </w:r>
      <w:r w:rsidR="009A676C" w:rsidRPr="001C0C4B">
        <w:rPr>
          <w:lang w:val="en-GB"/>
        </w:rPr>
        <w:t xml:space="preserve">are increased efficiency and ethical considerations (i.e. </w:t>
      </w:r>
      <w:r w:rsidR="00F95953" w:rsidRPr="001C0C4B">
        <w:rPr>
          <w:lang w:val="en-GB"/>
        </w:rPr>
        <w:t xml:space="preserve">they can </w:t>
      </w:r>
      <w:r w:rsidR="009A676C" w:rsidRPr="001C0C4B">
        <w:rPr>
          <w:lang w:val="en-GB"/>
        </w:rPr>
        <w:t>stop ineffective arms earlier, identify effective arms earlier</w:t>
      </w:r>
      <w:r w:rsidR="00F95953" w:rsidRPr="001C0C4B">
        <w:rPr>
          <w:lang w:val="en-GB"/>
        </w:rPr>
        <w:t>,</w:t>
      </w:r>
      <w:r w:rsidR="009A676C" w:rsidRPr="001C0C4B">
        <w:rPr>
          <w:lang w:val="en-GB"/>
        </w:rPr>
        <w:t xml:space="preserve"> and limit numbers in ineffective arms compared to fixed sample number studies). </w:t>
      </w:r>
      <w:r w:rsidR="00F95953" w:rsidRPr="001C0C4B">
        <w:rPr>
          <w:lang w:val="en-GB"/>
        </w:rPr>
        <w:t>Because of these advantages t</w:t>
      </w:r>
      <w:r w:rsidR="009A676C" w:rsidRPr="001C0C4B">
        <w:rPr>
          <w:lang w:val="en-GB"/>
        </w:rPr>
        <w:t>h</w:t>
      </w:r>
      <w:r w:rsidR="00F95953" w:rsidRPr="001C0C4B">
        <w:rPr>
          <w:lang w:val="en-GB"/>
        </w:rPr>
        <w:t>is type of study is</w:t>
      </w:r>
      <w:r w:rsidR="009A676C" w:rsidRPr="001C0C4B">
        <w:rPr>
          <w:lang w:val="en-GB"/>
        </w:rPr>
        <w:t xml:space="preserve"> likely to become more prevalent</w:t>
      </w:r>
      <w:r w:rsidR="00F95953" w:rsidRPr="001C0C4B">
        <w:rPr>
          <w:lang w:val="en-GB"/>
        </w:rPr>
        <w:t>,</w:t>
      </w:r>
      <w:r w:rsidR="009A676C" w:rsidRPr="001C0C4B">
        <w:rPr>
          <w:lang w:val="en-GB"/>
        </w:rPr>
        <w:t xml:space="preserve"> but it is important that the study is well-designed in advance, that the adaptive design is appropriate for the overall study design, </w:t>
      </w:r>
      <w:r w:rsidR="00F95953" w:rsidRPr="001C0C4B">
        <w:rPr>
          <w:lang w:val="en-GB"/>
        </w:rPr>
        <w:t xml:space="preserve">and has </w:t>
      </w:r>
      <w:r w:rsidR="009A676C" w:rsidRPr="001C0C4B">
        <w:rPr>
          <w:lang w:val="en-GB"/>
        </w:rPr>
        <w:t>mechanisms in place to control type I error.</w:t>
      </w:r>
    </w:p>
    <w:p w14:paraId="31B0AF4E" w14:textId="5DA00FA1" w:rsidR="00705CB2" w:rsidRDefault="00705CB2" w:rsidP="000028F0">
      <w:pPr>
        <w:spacing w:after="0"/>
        <w:jc w:val="both"/>
        <w:rPr>
          <w:lang w:val="en-GB"/>
        </w:rPr>
      </w:pPr>
    </w:p>
    <w:p w14:paraId="73851CCF" w14:textId="29FB5EBD" w:rsidR="00967A0A" w:rsidRDefault="00CC0770" w:rsidP="00D635DD">
      <w:pPr>
        <w:spacing w:after="0"/>
        <w:jc w:val="both"/>
        <w:rPr>
          <w:rFonts w:ascii="Calibri" w:hAnsi="Calibri"/>
        </w:rPr>
      </w:pPr>
      <w:r w:rsidRPr="001B277D">
        <w:rPr>
          <w:noProof/>
          <w:lang w:bidi="th-TH"/>
        </w:rPr>
        <w:lastRenderedPageBreak/>
        <mc:AlternateContent>
          <mc:Choice Requires="wps">
            <w:drawing>
              <wp:anchor distT="0" distB="0" distL="114300" distR="114300" simplePos="0" relativeHeight="251698188" behindDoc="0" locked="0" layoutInCell="1" allowOverlap="1" wp14:anchorId="1B1BB368" wp14:editId="10BE4C84">
                <wp:simplePos x="0" y="0"/>
                <wp:positionH relativeFrom="margin">
                  <wp:align>left</wp:align>
                </wp:positionH>
                <wp:positionV relativeFrom="paragraph">
                  <wp:posOffset>3702685</wp:posOffset>
                </wp:positionV>
                <wp:extent cx="2912110" cy="635"/>
                <wp:effectExtent l="0" t="0" r="2540" b="6985"/>
                <wp:wrapSquare wrapText="bothSides"/>
                <wp:docPr id="5" name="Text Box 5"/>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30E79A5D" w14:textId="77777777" w:rsidR="00657E5D" w:rsidRPr="002535BD" w:rsidRDefault="00657E5D" w:rsidP="00260EB7">
                            <w:pPr>
                              <w:pStyle w:val="Caption"/>
                              <w:ind w:left="630" w:hanging="630"/>
                              <w:rPr>
                                <w:noProof/>
                                <w:sz w:val="22"/>
                                <w:szCs w:val="22"/>
                              </w:rPr>
                            </w:pPr>
                            <w:r>
                              <w:t>Figure 5 qPCR viral densities in oropharyngeal samples over time, showing time of likely symptom onset relative to viral densities and study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1BB368" id="Text Box 5" o:spid="_x0000_s1028" type="#_x0000_t202" style="position:absolute;left:0;text-align:left;margin-left:0;margin-top:291.55pt;width:229.3pt;height:.05pt;z-index:2516981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" stroked="f">
                <v:textbox style="mso-fit-shape-to-text:t" inset="0,0,0,0">
                  <w:txbxContent>
                    <w:p w14:paraId="30E79A5D" w14:textId="77777777" w:rsidR="00657E5D" w:rsidRPr="002535BD" w:rsidRDefault="00657E5D" w:rsidP="00260EB7">
                      <w:pPr>
                        <w:pStyle w:val="Caption"/>
                        <w:ind w:left="630" w:hanging="630"/>
                        <w:rPr>
                          <w:noProof/>
                          <w:sz w:val="22"/>
                          <w:szCs w:val="22"/>
                        </w:rPr>
                      </w:pPr>
                      <w:r>
                        <w:t>Figure 5 qPCR viral densities in oropharyngeal samples over time, showing time of likely symptom onset relative to viral densities and study days</w:t>
                      </w:r>
                    </w:p>
                  </w:txbxContent>
                </v:textbox>
                <w10:wrap type="square" anchorx="margin"/>
              </v:shape>
            </w:pict>
          </mc:Fallback>
        </mc:AlternateContent>
      </w:r>
      <w:r w:rsidRPr="001B277D">
        <w:rPr>
          <w:noProof/>
          <w:lang w:bidi="th-TH"/>
        </w:rPr>
        <w:drawing>
          <wp:anchor distT="0" distB="0" distL="114300" distR="114300" simplePos="0" relativeHeight="251697164" behindDoc="0" locked="0" layoutInCell="1" allowOverlap="1" wp14:anchorId="6F8A0C1D" wp14:editId="4BDDD284">
            <wp:simplePos x="0" y="0"/>
            <wp:positionH relativeFrom="margin">
              <wp:align>left</wp:align>
            </wp:positionH>
            <wp:positionV relativeFrom="paragraph">
              <wp:posOffset>1045398</wp:posOffset>
            </wp:positionV>
            <wp:extent cx="2912110" cy="2563495"/>
            <wp:effectExtent l="0" t="0" r="254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2110" cy="256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0A" w:rsidRPr="001C0C4B">
        <w:rPr>
          <w:rFonts w:ascii="Calibri" w:hAnsi="Calibri" w:cs="Calibri"/>
          <w:lang w:val="en-GB"/>
        </w:rPr>
        <w:t>The main pharmacodynamic endpoint is the rate of viral clearance, estimated from serial qPCR measurements in each patient</w:t>
      </w:r>
      <w:r w:rsidR="0037224D" w:rsidRPr="001C0C4B">
        <w:rPr>
          <w:rFonts w:ascii="Calibri" w:hAnsi="Calibri" w:cs="Calibri"/>
          <w:lang w:val="en-GB"/>
        </w:rPr>
        <w:t xml:space="preserve"> (4)</w:t>
      </w:r>
      <w:r w:rsidR="00967A0A" w:rsidRPr="001C0C4B">
        <w:rPr>
          <w:rFonts w:ascii="Calibri" w:hAnsi="Calibri" w:cs="Calibri"/>
          <w:lang w:val="en-GB"/>
        </w:rPr>
        <w:t>. There is considerable inter-individual variability in clearance rates</w:t>
      </w:r>
      <w:r w:rsidR="00DD3931" w:rsidRPr="001C0C4B">
        <w:rPr>
          <w:rFonts w:ascii="Calibri" w:hAnsi="Calibri" w:cs="Calibri"/>
          <w:lang w:val="en-GB"/>
        </w:rPr>
        <w:t xml:space="preserve"> which are first order and predominantly monoexponential. The measured end point is the slope of the the initial log linear decline in qPCR estimated viral densities</w:t>
      </w:r>
      <w:r w:rsidR="00780467" w:rsidRPr="001C0C4B">
        <w:rPr>
          <w:rFonts w:ascii="Calibri" w:hAnsi="Calibri" w:cs="Calibri"/>
          <w:lang w:val="en-GB"/>
        </w:rPr>
        <w:t xml:space="preserve"> (Figure 5)</w:t>
      </w:r>
      <w:r w:rsidR="00DD3931" w:rsidRPr="001C0C4B">
        <w:rPr>
          <w:rFonts w:ascii="Calibri" w:hAnsi="Calibri" w:cs="Calibri"/>
          <w:lang w:val="en-GB"/>
        </w:rPr>
        <w:t>. T</w:t>
      </w:r>
      <w:r w:rsidR="00967A0A" w:rsidRPr="001C0C4B">
        <w:rPr>
          <w:rFonts w:ascii="Calibri" w:hAnsi="Calibri" w:cs="Calibri"/>
          <w:lang w:val="en-GB"/>
        </w:rPr>
        <w:t>he clearance rate is correlated with both disease progression and the presence of symptoms. As this is a multi-cent</w:t>
      </w:r>
      <w:r w:rsidR="00EC2FD6" w:rsidRPr="001C0C4B">
        <w:rPr>
          <w:rFonts w:ascii="Calibri" w:hAnsi="Calibri" w:cs="Calibri"/>
          <w:lang w:val="en-GB"/>
        </w:rPr>
        <w:t>re</w:t>
      </w:r>
      <w:r w:rsidR="00967A0A" w:rsidRPr="001C0C4B">
        <w:rPr>
          <w:rFonts w:ascii="Calibri" w:hAnsi="Calibri" w:cs="Calibri"/>
          <w:lang w:val="en-GB"/>
        </w:rPr>
        <w:t xml:space="preserve"> trial, populations may differ between sites with respect to key covariates. Therefore</w:t>
      </w:r>
      <w:r w:rsidR="3F85DD11" w:rsidRPr="001C0C4B">
        <w:rPr>
          <w:rFonts w:ascii="Calibri" w:hAnsi="Calibri" w:cs="Calibri"/>
          <w:lang w:val="en-GB"/>
        </w:rPr>
        <w:t>,</w:t>
      </w:r>
      <w:r w:rsidR="00967A0A" w:rsidRPr="001C0C4B">
        <w:rPr>
          <w:rFonts w:ascii="Calibri" w:hAnsi="Calibri" w:cs="Calibri"/>
          <w:lang w:val="en-GB"/>
        </w:rPr>
        <w:t xml:space="preserve"> the main analytic approach will be to fit a hierarchical </w:t>
      </w:r>
      <w:r w:rsidR="00AB5C7A" w:rsidRPr="001C0C4B">
        <w:rPr>
          <w:rFonts w:ascii="Calibri" w:hAnsi="Calibri" w:cs="Calibri"/>
          <w:lang w:val="en-GB"/>
        </w:rPr>
        <w:t xml:space="preserve">Bayesian </w:t>
      </w:r>
      <w:r w:rsidR="00967A0A" w:rsidRPr="001C0C4B">
        <w:rPr>
          <w:rFonts w:ascii="Calibri" w:hAnsi="Calibri" w:cs="Calibri"/>
          <w:lang w:val="en-GB"/>
        </w:rPr>
        <w:t xml:space="preserve">model </w:t>
      </w:r>
      <w:r w:rsidR="0088418A" w:rsidRPr="001C0C4B">
        <w:rPr>
          <w:rFonts w:ascii="Calibri" w:hAnsi="Calibri" w:cs="Calibri"/>
          <w:lang w:val="en-GB"/>
        </w:rPr>
        <w:t xml:space="preserve">to the serial qPCR measurements (using default weakly informative Bayesian priors to aid model fitting), whereby the baseline viral loads (intercept) and the </w:t>
      </w:r>
      <w:r w:rsidR="00DD3931" w:rsidRPr="001C0C4B">
        <w:rPr>
          <w:rFonts w:ascii="Calibri" w:hAnsi="Calibri" w:cs="Calibri"/>
          <w:lang w:val="en-GB"/>
        </w:rPr>
        <w:t xml:space="preserve">first-order </w:t>
      </w:r>
      <w:r w:rsidR="0088418A" w:rsidRPr="001C0C4B">
        <w:rPr>
          <w:rFonts w:ascii="Calibri" w:hAnsi="Calibri" w:cs="Calibri"/>
          <w:lang w:val="en-GB"/>
        </w:rPr>
        <w:t>clearance rates (slope</w:t>
      </w:r>
      <w:r w:rsidR="00DD3931" w:rsidRPr="001C0C4B">
        <w:rPr>
          <w:rFonts w:ascii="Calibri" w:hAnsi="Calibri" w:cs="Calibri"/>
          <w:lang w:val="en-GB"/>
        </w:rPr>
        <w:t xml:space="preserve"> of initial decline</w:t>
      </w:r>
      <w:r w:rsidR="0088418A" w:rsidRPr="001C0C4B">
        <w:rPr>
          <w:rFonts w:ascii="Calibri" w:hAnsi="Calibri" w:cs="Calibri"/>
          <w:lang w:val="en-GB"/>
        </w:rPr>
        <w:t>) can vary between sites and between individuals</w:t>
      </w:r>
      <w:r w:rsidR="2B2AE528" w:rsidRPr="001C0C4B">
        <w:rPr>
          <w:rFonts w:ascii="Calibri" w:hAnsi="Calibri" w:cs="Calibri"/>
          <w:lang w:val="en-GB"/>
        </w:rPr>
        <w:t>. The</w:t>
      </w:r>
      <w:r w:rsidR="00DA3F5E" w:rsidRPr="001C0C4B">
        <w:rPr>
          <w:rFonts w:ascii="Calibri" w:hAnsi="Calibri" w:cs="Calibri"/>
          <w:lang w:val="en-GB"/>
        </w:rPr>
        <w:t xml:space="preserve"> viral clearance</w:t>
      </w:r>
      <w:r w:rsidR="2B2AE528" w:rsidRPr="001C0C4B">
        <w:rPr>
          <w:rFonts w:ascii="Calibri" w:hAnsi="Calibri" w:cs="Calibri"/>
          <w:lang w:val="en-GB"/>
        </w:rPr>
        <w:t xml:space="preserve"> slope</w:t>
      </w:r>
      <w:r w:rsidR="0088418A" w:rsidRPr="001C0C4B">
        <w:rPr>
          <w:rFonts w:ascii="Calibri" w:hAnsi="Calibri" w:cs="Calibri"/>
          <w:lang w:val="en-GB"/>
        </w:rPr>
        <w:t xml:space="preserve"> is</w:t>
      </w:r>
      <w:r w:rsidR="01BD4DF3" w:rsidRPr="001C0C4B">
        <w:rPr>
          <w:rFonts w:ascii="Calibri" w:hAnsi="Calibri" w:cs="Calibri"/>
          <w:lang w:val="en-GB"/>
        </w:rPr>
        <w:t xml:space="preserve"> also</w:t>
      </w:r>
      <w:r w:rsidR="0088418A" w:rsidRPr="001C0C4B">
        <w:rPr>
          <w:rFonts w:ascii="Calibri" w:hAnsi="Calibri" w:cs="Calibri"/>
          <w:lang w:val="en-GB"/>
        </w:rPr>
        <w:t xml:space="preserve"> </w:t>
      </w:r>
      <w:r w:rsidR="5464F3AE" w:rsidRPr="001C0C4B">
        <w:rPr>
          <w:rFonts w:ascii="Calibri" w:hAnsi="Calibri" w:cs="Calibri"/>
          <w:lang w:val="en-GB"/>
        </w:rPr>
        <w:t>dependent on</w:t>
      </w:r>
      <w:r w:rsidR="0088418A" w:rsidRPr="001C0C4B">
        <w:rPr>
          <w:rFonts w:ascii="Calibri" w:hAnsi="Calibri" w:cs="Calibri"/>
          <w:lang w:val="en-GB"/>
        </w:rPr>
        <w:t xml:space="preserve"> the randomised </w:t>
      </w:r>
      <w:r w:rsidR="00495BEB" w:rsidRPr="001C0C4B">
        <w:rPr>
          <w:rFonts w:ascii="Calibri" w:hAnsi="Calibri" w:cs="Calibri"/>
          <w:lang w:val="en-GB"/>
        </w:rPr>
        <w:t>study</w:t>
      </w:r>
      <w:r w:rsidR="0088418A" w:rsidRPr="001C0C4B">
        <w:rPr>
          <w:rFonts w:ascii="Calibri" w:hAnsi="Calibri" w:cs="Calibri"/>
          <w:lang w:val="en-GB"/>
        </w:rPr>
        <w:t xml:space="preserve"> arm. Stopping an</w:t>
      </w:r>
      <w:r w:rsidR="000C6FFB" w:rsidRPr="001C0C4B">
        <w:rPr>
          <w:rFonts w:ascii="Calibri" w:hAnsi="Calibri" w:cs="Calibri"/>
          <w:lang w:val="en-GB"/>
        </w:rPr>
        <w:t xml:space="preserve"> intervention</w:t>
      </w:r>
      <w:r w:rsidR="0088418A" w:rsidRPr="001C0C4B">
        <w:rPr>
          <w:rFonts w:ascii="Calibri" w:hAnsi="Calibri" w:cs="Calibri"/>
          <w:lang w:val="en-GB"/>
        </w:rPr>
        <w:t xml:space="preserve"> arm</w:t>
      </w:r>
      <w:r w:rsidR="00894415" w:rsidRPr="001C0C4B">
        <w:rPr>
          <w:rFonts w:ascii="Calibri" w:hAnsi="Calibri" w:cs="Calibri"/>
          <w:lang w:val="en-GB"/>
        </w:rPr>
        <w:t xml:space="preserve"> (of type A, B or C)</w:t>
      </w:r>
      <w:r w:rsidR="0088418A" w:rsidRPr="001C0C4B">
        <w:rPr>
          <w:rFonts w:ascii="Calibri" w:hAnsi="Calibri" w:cs="Calibri"/>
          <w:lang w:val="en-GB"/>
        </w:rPr>
        <w:t xml:space="preserve"> for futility or </w:t>
      </w:r>
      <w:r w:rsidR="000B0EDD" w:rsidRPr="001C0C4B">
        <w:rPr>
          <w:rFonts w:ascii="Calibri" w:hAnsi="Calibri" w:cs="Calibri"/>
          <w:lang w:val="en-GB"/>
        </w:rPr>
        <w:t>triggering</w:t>
      </w:r>
      <w:r w:rsidR="0088418A" w:rsidRPr="001C0C4B">
        <w:rPr>
          <w:rFonts w:ascii="Calibri" w:hAnsi="Calibri" w:cs="Calibri"/>
          <w:lang w:val="en-GB"/>
        </w:rPr>
        <w:t xml:space="preserve"> an intensive PK-PD nested sub-study</w:t>
      </w:r>
      <w:r w:rsidR="00894415" w:rsidRPr="001C0C4B">
        <w:rPr>
          <w:rFonts w:ascii="Calibri" w:hAnsi="Calibri" w:cs="Calibri"/>
          <w:lang w:val="en-GB"/>
        </w:rPr>
        <w:t xml:space="preserve"> (type A or C)</w:t>
      </w:r>
      <w:r w:rsidR="0088418A" w:rsidRPr="001C0C4B">
        <w:rPr>
          <w:rFonts w:ascii="Calibri" w:hAnsi="Calibri" w:cs="Calibri"/>
          <w:lang w:val="en-GB"/>
        </w:rPr>
        <w:t xml:space="preserve"> will be decided using the posterior probabilities that the arm results in an increased slope (increase </w:t>
      </w:r>
      <w:r w:rsidR="00894415" w:rsidRPr="001C0C4B">
        <w:rPr>
          <w:rFonts w:ascii="Calibri" w:hAnsi="Calibri" w:cs="Calibri"/>
          <w:lang w:val="en-GB"/>
        </w:rPr>
        <w:t>set</w:t>
      </w:r>
      <w:r w:rsidR="0088418A" w:rsidRPr="001C0C4B">
        <w:rPr>
          <w:rFonts w:ascii="Calibri" w:hAnsi="Calibri" w:cs="Calibri"/>
          <w:lang w:val="en-GB"/>
        </w:rPr>
        <w:t xml:space="preserve"> as </w:t>
      </w:r>
      <w:r w:rsidRPr="001C0C4B">
        <w:rPr>
          <w:rFonts w:ascii="Calibri" w:hAnsi="Calibri" w:cs="Calibri"/>
          <w:lang w:val="en-GB"/>
        </w:rPr>
        <w:t>12.</w:t>
      </w:r>
      <w:r w:rsidR="0088418A" w:rsidRPr="001C0C4B">
        <w:rPr>
          <w:rFonts w:ascii="Calibri" w:hAnsi="Calibri" w:cs="Calibri"/>
          <w:lang w:val="en-GB"/>
        </w:rPr>
        <w:t>5%</w:t>
      </w:r>
      <w:r w:rsidR="001043AC" w:rsidRPr="001C0C4B">
        <w:rPr>
          <w:rFonts w:ascii="Calibri" w:hAnsi="Calibri" w:cs="Calibri"/>
          <w:lang w:val="en-GB"/>
        </w:rPr>
        <w:t xml:space="preserve">, </w:t>
      </w:r>
      <w:r w:rsidRPr="001C0C4B">
        <w:rPr>
          <w:rFonts w:ascii="Calibri" w:hAnsi="Calibri" w:cs="Calibri"/>
          <w:lang w:val="en-GB"/>
        </w:rPr>
        <w:t>following the results of the first interim analysis).</w:t>
      </w:r>
      <w:r w:rsidR="00AD0790" w:rsidRPr="001C0C4B">
        <w:rPr>
          <w:rFonts w:ascii="Calibri" w:hAnsi="Calibri" w:cs="Calibri"/>
          <w:lang w:val="en-GB"/>
        </w:rPr>
        <w:t xml:space="preserve"> </w:t>
      </w:r>
      <w:r w:rsidR="0090144D" w:rsidRPr="001C0C4B">
        <w:rPr>
          <w:rFonts w:ascii="Calibri" w:hAnsi="Calibri"/>
          <w:lang w:val="en-GB"/>
        </w:rPr>
        <w:t xml:space="preserve">The PK-PD nested sub-study will be also triggered </w:t>
      </w:r>
      <w:r w:rsidR="0090144D" w:rsidRPr="001C0C4B">
        <w:rPr>
          <w:rFonts w:ascii="Calibri" w:hAnsi="Calibri"/>
        </w:rPr>
        <w:t>if there is evidence of accelerated viral clearance from other studies (e.g. Molnupiravir, Nirmatrelvir/ritonavir).</w:t>
      </w:r>
    </w:p>
    <w:p w14:paraId="2B6E34D4" w14:textId="152EA25C" w:rsidR="00BE516D" w:rsidRDefault="00BE516D" w:rsidP="00D635DD">
      <w:pPr>
        <w:spacing w:after="0"/>
        <w:jc w:val="both"/>
        <w:rPr>
          <w:rFonts w:ascii="Calibri" w:hAnsi="Calibri"/>
        </w:rPr>
      </w:pPr>
    </w:p>
    <w:p w14:paraId="39174E6E" w14:textId="77777777" w:rsidR="00BE516D" w:rsidRPr="001C0C4B" w:rsidRDefault="00BE516D" w:rsidP="00D635DD">
      <w:pPr>
        <w:spacing w:after="0"/>
        <w:jc w:val="both"/>
        <w:rPr>
          <w:rFonts w:ascii="Calibri" w:hAnsi="Calibri"/>
        </w:rPr>
      </w:pPr>
    </w:p>
    <w:p w14:paraId="13D24A71" w14:textId="703AEE1B" w:rsidR="00CC0770" w:rsidRPr="001C0C4B" w:rsidRDefault="00CC0770" w:rsidP="000028F0">
      <w:pPr>
        <w:pStyle w:val="Heading2"/>
        <w:numPr>
          <w:ilvl w:val="1"/>
          <w:numId w:val="23"/>
        </w:numPr>
        <w:tabs>
          <w:tab w:val="left" w:pos="810"/>
        </w:tabs>
        <w:rPr>
          <w:rFonts w:ascii="Calibri" w:hAnsi="Calibri" w:cs="Calibri"/>
          <w:color w:val="auto"/>
          <w:sz w:val="22"/>
          <w:szCs w:val="22"/>
        </w:rPr>
      </w:pPr>
      <w:bookmarkStart w:id="237" w:name="_Toc110523996"/>
      <w:bookmarkStart w:id="238" w:name="_Toc112917645"/>
      <w:r w:rsidRPr="001C0C4B">
        <w:rPr>
          <w:rFonts w:ascii="Calibri" w:hAnsi="Calibri" w:cs="Calibri"/>
          <w:color w:val="auto"/>
          <w:sz w:val="22"/>
          <w:szCs w:val="22"/>
        </w:rPr>
        <w:t>Results of the first interim analysis</w:t>
      </w:r>
      <w:bookmarkEnd w:id="237"/>
      <w:bookmarkEnd w:id="238"/>
    </w:p>
    <w:p w14:paraId="78AF9CAD" w14:textId="16AC0F02" w:rsidR="002C6906" w:rsidRPr="001C0C4B" w:rsidRDefault="002C6906" w:rsidP="000028F0">
      <w:pPr>
        <w:jc w:val="both"/>
        <w:rPr>
          <w:lang w:val="en-GB"/>
        </w:rPr>
      </w:pPr>
      <w:r w:rsidRPr="001C0C4B">
        <w:rPr>
          <w:lang w:val="en-GB"/>
        </w:rPr>
        <w:t>As pre-specified in the SAP, the first interim analysis, triggered once data from the first 50 patients were available, was presented to the Trial Steering Committee and the DSMB. This analysis showed that the positive</w:t>
      </w:r>
      <w:r w:rsidR="004F02B1" w:rsidRPr="001C0C4B">
        <w:rPr>
          <w:lang w:val="en-GB"/>
        </w:rPr>
        <w:t xml:space="preserve"> </w:t>
      </w:r>
      <w:r w:rsidRPr="001C0C4B">
        <w:rPr>
          <w:lang w:val="en-GB"/>
        </w:rPr>
        <w:t xml:space="preserve">control arm (REGN-CoV-2) had a substantially larger effect on viral clearance than anticipated, with over 50% increase in viral clearance relative to the negative control arm (Figure </w:t>
      </w:r>
      <w:r w:rsidR="00560FD0" w:rsidRPr="001C0C4B">
        <w:rPr>
          <w:lang w:val="en-GB"/>
        </w:rPr>
        <w:t>6</w:t>
      </w:r>
      <w:r w:rsidRPr="001C0C4B">
        <w:rPr>
          <w:lang w:val="en-GB"/>
        </w:rPr>
        <w:t xml:space="preserve">). In addition, the intra-individual variation in viral load estimation was greater than anticipated, resulting in larger uncertainty around effect sizes. For these reasons, we changed the threshold effect size defining futility and success from 5% increase in viral clearance to 12.5% increase in the viral clearance. </w:t>
      </w:r>
      <w:r w:rsidR="00A96F83" w:rsidRPr="001C0C4B">
        <w:rPr>
          <w:lang w:val="en-GB"/>
        </w:rPr>
        <w:t>Under this threshold, we would need an average of 50 patients randomised to an intervention that has no effect on viral clearance to demonstrate futility.</w:t>
      </w:r>
    </w:p>
    <w:p w14:paraId="7216B2D3" w14:textId="77777777" w:rsidR="002C6906" w:rsidRDefault="002C6906" w:rsidP="000028F0">
      <w:pPr>
        <w:keepNext/>
        <w:jc w:val="center"/>
      </w:pPr>
      <w:r>
        <w:rPr>
          <w:noProof/>
          <w:lang w:bidi="th-TH"/>
        </w:rPr>
        <w:lastRenderedPageBreak/>
        <w:drawing>
          <wp:inline distT="0" distB="0" distL="0" distR="0" wp14:anchorId="6BD73200" wp14:editId="39A612D3">
            <wp:extent cx="4420415" cy="4420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23471" cy="4423471"/>
                    </a:xfrm>
                    <a:prstGeom prst="rect">
                      <a:avLst/>
                    </a:prstGeom>
                  </pic:spPr>
                </pic:pic>
              </a:graphicData>
            </a:graphic>
          </wp:inline>
        </w:drawing>
      </w:r>
    </w:p>
    <w:p w14:paraId="25A9084D" w14:textId="62382E61" w:rsidR="002C6906" w:rsidRPr="001C0C4B" w:rsidRDefault="002C6906" w:rsidP="000028F0">
      <w:pPr>
        <w:pStyle w:val="Caption"/>
        <w:jc w:val="center"/>
        <w:rPr>
          <w:lang w:val="en-GB"/>
        </w:rPr>
      </w:pPr>
      <w:r w:rsidRPr="001C0C4B">
        <w:t xml:space="preserve">Figure </w:t>
      </w:r>
      <w:r w:rsidR="00466A95" w:rsidRPr="001C0C4B">
        <w:t>6</w:t>
      </w:r>
      <w:r w:rsidRPr="001C0C4B">
        <w:t xml:space="preserve"> Data from the first interim analysis (first 50 patients recruited into the study).</w:t>
      </w:r>
    </w:p>
    <w:p w14:paraId="35387587" w14:textId="70BE8ED7" w:rsidR="7B83FB1E" w:rsidRPr="001C0C4B" w:rsidRDefault="7B83FB1E" w:rsidP="002B251D">
      <w:pPr>
        <w:pStyle w:val="Heading2"/>
        <w:numPr>
          <w:ilvl w:val="1"/>
          <w:numId w:val="23"/>
        </w:numPr>
        <w:tabs>
          <w:tab w:val="left" w:pos="900"/>
        </w:tabs>
        <w:rPr>
          <w:rFonts w:ascii="Calibri" w:hAnsi="Calibri" w:cs="Calibri"/>
          <w:color w:val="auto"/>
          <w:sz w:val="22"/>
          <w:szCs w:val="22"/>
        </w:rPr>
      </w:pPr>
      <w:bookmarkStart w:id="239" w:name="_Toc96007304"/>
      <w:bookmarkStart w:id="240" w:name="_Toc95915257"/>
      <w:bookmarkStart w:id="241" w:name="_Toc110523997"/>
      <w:bookmarkStart w:id="242" w:name="_Toc96005607"/>
      <w:bookmarkStart w:id="243" w:name="_Toc112917646"/>
      <w:r w:rsidRPr="001C0C4B">
        <w:rPr>
          <w:rFonts w:ascii="Calibri" w:hAnsi="Calibri" w:cs="Calibri"/>
          <w:color w:val="auto"/>
          <w:sz w:val="22"/>
          <w:szCs w:val="22"/>
        </w:rPr>
        <w:t>Bayesian hierarchical model of viral clearance</w:t>
      </w:r>
      <w:bookmarkEnd w:id="239"/>
      <w:bookmarkEnd w:id="240"/>
      <w:bookmarkEnd w:id="241"/>
      <w:bookmarkEnd w:id="242"/>
      <w:bookmarkEnd w:id="243"/>
    </w:p>
    <w:p w14:paraId="00A3F7D2" w14:textId="207CB266" w:rsidR="7B83FB1E" w:rsidRPr="001C0C4B" w:rsidRDefault="7B83FB1E" w:rsidP="00967A0A">
      <w:pPr>
        <w:jc w:val="both"/>
        <w:rPr>
          <w:rFonts w:ascii="Calibri" w:hAnsi="Calibri" w:cs="Calibri"/>
          <w:lang w:val="en-GB"/>
        </w:rPr>
      </w:pPr>
      <w:r w:rsidRPr="001C0C4B">
        <w:rPr>
          <w:rFonts w:ascii="Calibri" w:hAnsi="Calibri" w:cs="Calibri"/>
          <w:lang w:val="en-GB"/>
        </w:rPr>
        <w:t xml:space="preserve">At each interim analysis we will fit a </w:t>
      </w:r>
      <w:r w:rsidR="00C46D52" w:rsidRPr="001C0C4B">
        <w:rPr>
          <w:rFonts w:ascii="Calibri" w:hAnsi="Calibri" w:cs="Calibri"/>
          <w:lang w:val="en-GB"/>
        </w:rPr>
        <w:t>series of</w:t>
      </w:r>
      <w:r w:rsidRPr="001C0C4B">
        <w:rPr>
          <w:rFonts w:ascii="Calibri" w:hAnsi="Calibri" w:cs="Calibri"/>
          <w:lang w:val="en-GB"/>
        </w:rPr>
        <w:t xml:space="preserve"> Bayesian hierarchical </w:t>
      </w:r>
      <w:r w:rsidR="0060189F" w:rsidRPr="001C0C4B">
        <w:rPr>
          <w:rFonts w:ascii="Calibri" w:hAnsi="Calibri" w:cs="Calibri"/>
          <w:lang w:val="en-GB"/>
        </w:rPr>
        <w:t xml:space="preserve">(mixed effects) </w:t>
      </w:r>
      <w:r w:rsidRPr="001C0C4B">
        <w:rPr>
          <w:rFonts w:ascii="Calibri" w:hAnsi="Calibri" w:cs="Calibri"/>
          <w:lang w:val="en-GB"/>
        </w:rPr>
        <w:t>model to the serial viral load measurements (</w:t>
      </w:r>
      <w:r w:rsidR="637637F4" w:rsidRPr="001C0C4B">
        <w:rPr>
          <w:rFonts w:ascii="Calibri" w:hAnsi="Calibri" w:cs="Calibri"/>
          <w:lang w:val="en-GB"/>
        </w:rPr>
        <w:t xml:space="preserve">modelled directly </w:t>
      </w:r>
      <w:r w:rsidRPr="001C0C4B">
        <w:rPr>
          <w:rFonts w:ascii="Calibri" w:hAnsi="Calibri" w:cs="Calibri"/>
          <w:lang w:val="en-GB"/>
        </w:rPr>
        <w:t>on the Ct scale)</w:t>
      </w:r>
      <w:r w:rsidR="64ED64E2" w:rsidRPr="001C0C4B">
        <w:rPr>
          <w:rFonts w:ascii="Calibri" w:hAnsi="Calibri" w:cs="Calibri"/>
          <w:lang w:val="en-GB"/>
        </w:rPr>
        <w:t xml:space="preserve">. The </w:t>
      </w:r>
      <w:r w:rsidR="00C46D52" w:rsidRPr="001C0C4B">
        <w:rPr>
          <w:rFonts w:ascii="Calibri" w:hAnsi="Calibri" w:cs="Calibri"/>
          <w:lang w:val="en-GB"/>
        </w:rPr>
        <w:t>main linear</w:t>
      </w:r>
      <w:r w:rsidR="64ED64E2" w:rsidRPr="001C0C4B">
        <w:rPr>
          <w:rFonts w:ascii="Calibri" w:hAnsi="Calibri" w:cs="Calibri"/>
          <w:lang w:val="en-GB"/>
        </w:rPr>
        <w:t xml:space="preserve"> model will take the following form:</w:t>
      </w:r>
    </w:p>
    <w:p w14:paraId="11014CCA" w14:textId="78307F77" w:rsidR="361FB2D9" w:rsidRPr="001C0C4B" w:rsidRDefault="361FB2D9" w:rsidP="00967A0A">
      <w:pPr>
        <w:jc w:val="center"/>
        <w:rPr>
          <w:rFonts w:ascii="Calibri" w:eastAsiaTheme="minorEastAsia" w:hAnsi="Calibri" w:cs="Calibri"/>
          <w:lang w:val="en-GB"/>
        </w:rPr>
      </w:pPr>
      <w:r w:rsidRPr="001C0C4B">
        <w:rPr>
          <w:rFonts w:ascii="Calibri" w:eastAsiaTheme="minorEastAsia" w:hAnsi="Calibri" w:cs="Calibri"/>
          <w:lang w:val="en-GB"/>
        </w:rPr>
        <w:t>y</w:t>
      </w:r>
      <w:r w:rsidR="0EA98531" w:rsidRPr="001C0C4B">
        <w:rPr>
          <w:rFonts w:ascii="Calibri" w:eastAsiaTheme="minorEastAsia" w:hAnsi="Calibri" w:cs="Calibri"/>
          <w:vertAlign w:val="subscript"/>
          <w:lang w:val="en-GB"/>
        </w:rPr>
        <w:t>k</w:t>
      </w:r>
      <w:r w:rsidR="0088418A" w:rsidRPr="001C0C4B">
        <w:rPr>
          <w:rFonts w:ascii="Calibri" w:eastAsiaTheme="minorEastAsia" w:hAnsi="Calibri" w:cs="Calibri"/>
          <w:vertAlign w:val="subscript"/>
          <w:lang w:val="en-GB"/>
        </w:rPr>
        <w:t>,i,</w:t>
      </w:r>
      <w:r w:rsidRPr="001C0C4B">
        <w:rPr>
          <w:rFonts w:ascii="Calibri" w:eastAsiaTheme="minorEastAsia" w:hAnsi="Calibri" w:cs="Calibri"/>
          <w:vertAlign w:val="subscript"/>
          <w:lang w:val="en-GB"/>
        </w:rPr>
        <w:t xml:space="preserve">t </w:t>
      </w:r>
      <w:r w:rsidRPr="001C0C4B">
        <w:rPr>
          <w:rFonts w:ascii="Calibri" w:eastAsiaTheme="minorEastAsia" w:hAnsi="Calibri" w:cs="Calibri"/>
          <w:lang w:val="en-GB"/>
        </w:rPr>
        <w:t xml:space="preserve">~ </w:t>
      </w:r>
      <w:r w:rsidR="0060189F" w:rsidRPr="001C0C4B">
        <w:rPr>
          <w:rFonts w:ascii="Calibri" w:eastAsiaTheme="minorEastAsia" w:hAnsi="Calibri" w:cs="Calibri"/>
          <w:lang w:val="en-GB"/>
        </w:rPr>
        <w:t>Student</w:t>
      </w:r>
      <w:r w:rsidRPr="001C0C4B">
        <w:rPr>
          <w:rFonts w:ascii="Calibri" w:eastAsiaTheme="minorEastAsia" w:hAnsi="Calibri" w:cs="Calibri"/>
          <w:lang w:val="en-GB"/>
        </w:rPr>
        <w:t>(</w:t>
      </w:r>
      <w:r w:rsidR="202AF72E" w:rsidRPr="001C0C4B">
        <w:rPr>
          <w:rFonts w:ascii="Calibri" w:eastAsiaTheme="minorEastAsia" w:hAnsi="Calibri" w:cs="Calibri"/>
          <w:lang w:val="en-GB"/>
        </w:rPr>
        <w:t>α</w:t>
      </w:r>
      <w:r w:rsidRPr="001C0C4B">
        <w:rPr>
          <w:rFonts w:ascii="Calibri" w:eastAsiaTheme="minorEastAsia" w:hAnsi="Calibri" w:cs="Calibri"/>
          <w:vertAlign w:val="subscript"/>
          <w:lang w:val="en-GB"/>
        </w:rPr>
        <w:t>0</w:t>
      </w:r>
      <w:r w:rsidR="4B07107D" w:rsidRPr="001C0C4B">
        <w:rPr>
          <w:rFonts w:ascii="Calibri" w:eastAsiaTheme="minorEastAsia" w:hAnsi="Calibri" w:cs="Calibri"/>
          <w:vertAlign w:val="subscript"/>
          <w:lang w:val="en-GB"/>
        </w:rPr>
        <w:t xml:space="preserve"> </w:t>
      </w:r>
      <w:r w:rsidR="4B07107D" w:rsidRPr="001C0C4B">
        <w:rPr>
          <w:rFonts w:ascii="Calibri" w:eastAsiaTheme="minorEastAsia" w:hAnsi="Calibri" w:cs="Calibri"/>
          <w:lang w:val="en-GB"/>
        </w:rPr>
        <w:t>+</w:t>
      </w:r>
      <w:r w:rsidR="4B07107D" w:rsidRPr="001C0C4B">
        <w:rPr>
          <w:rFonts w:ascii="Calibri" w:eastAsiaTheme="minorEastAsia" w:hAnsi="Calibri" w:cs="Calibri"/>
          <w:vertAlign w:val="subscript"/>
          <w:lang w:val="en-GB"/>
        </w:rPr>
        <w:t xml:space="preserve"> </w:t>
      </w:r>
      <w:r w:rsidR="4B07107D" w:rsidRPr="001C0C4B">
        <w:rPr>
          <w:rFonts w:ascii="Calibri" w:eastAsiaTheme="minorEastAsia" w:hAnsi="Calibri" w:cs="Calibri"/>
          <w:lang w:val="en-GB"/>
        </w:rPr>
        <w:t>α</w:t>
      </w:r>
      <w:r w:rsidR="4B07107D" w:rsidRPr="001C0C4B">
        <w:rPr>
          <w:rFonts w:ascii="Calibri" w:eastAsiaTheme="minorEastAsia" w:hAnsi="Calibri" w:cs="Calibri"/>
          <w:vertAlign w:val="subscript"/>
          <w:lang w:val="en-GB"/>
        </w:rPr>
        <w:t>k</w:t>
      </w:r>
      <w:r w:rsidRPr="001C0C4B">
        <w:rPr>
          <w:rFonts w:ascii="Calibri" w:eastAsiaTheme="minorEastAsia" w:hAnsi="Calibri" w:cs="Calibri"/>
          <w:lang w:val="en-GB"/>
        </w:rPr>
        <w:t xml:space="preserve"> +</w:t>
      </w:r>
      <w:r w:rsidR="34BC7516" w:rsidRPr="001C0C4B">
        <w:rPr>
          <w:rFonts w:ascii="Calibri" w:eastAsiaTheme="minorEastAsia" w:hAnsi="Calibri" w:cs="Calibri"/>
          <w:lang w:val="en-GB"/>
        </w:rPr>
        <w:t xml:space="preserve"> α</w:t>
      </w:r>
      <w:r w:rsidR="34BC7516" w:rsidRPr="001C0C4B">
        <w:rPr>
          <w:rFonts w:ascii="Calibri" w:eastAsiaTheme="minorEastAsia" w:hAnsi="Calibri" w:cs="Calibri"/>
          <w:vertAlign w:val="subscript"/>
          <w:lang w:val="en-GB"/>
        </w:rPr>
        <w:t>i</w:t>
      </w:r>
      <w:r w:rsidRPr="001C0C4B">
        <w:rPr>
          <w:rFonts w:ascii="Calibri" w:eastAsiaTheme="minorEastAsia" w:hAnsi="Calibri" w:cs="Calibri"/>
          <w:lang w:val="en-GB"/>
        </w:rPr>
        <w:t xml:space="preserve"> </w:t>
      </w:r>
      <w:r w:rsidR="0088418A" w:rsidRPr="001C0C4B">
        <w:rPr>
          <w:rFonts w:ascii="Calibri" w:eastAsiaTheme="minorEastAsia" w:hAnsi="Calibri" w:cs="Calibri"/>
          <w:lang w:val="en-GB"/>
        </w:rPr>
        <w:t xml:space="preserve">+ </w:t>
      </w:r>
      <w:r w:rsidR="4764D5C2" w:rsidRPr="001C0C4B">
        <w:rPr>
          <w:rFonts w:ascii="Calibri" w:eastAsiaTheme="minorEastAsia" w:hAnsi="Calibri" w:cs="Calibri"/>
          <w:lang w:val="en-GB"/>
        </w:rPr>
        <w:t>(</w:t>
      </w:r>
      <w:r w:rsidRPr="001C0C4B">
        <w:rPr>
          <w:rFonts w:ascii="Calibri" w:eastAsiaTheme="minorEastAsia" w:hAnsi="Calibri" w:cs="Calibri"/>
          <w:lang w:val="en-GB"/>
        </w:rPr>
        <w:t>β</w:t>
      </w:r>
      <w:r w:rsidRPr="001C0C4B">
        <w:rPr>
          <w:rFonts w:ascii="Calibri" w:eastAsiaTheme="minorEastAsia" w:hAnsi="Calibri" w:cs="Calibri"/>
          <w:vertAlign w:val="subscript"/>
          <w:lang w:val="en-GB"/>
        </w:rPr>
        <w:t xml:space="preserve">0 </w:t>
      </w:r>
      <w:r w:rsidRPr="001C0C4B">
        <w:rPr>
          <w:rFonts w:ascii="Calibri" w:eastAsiaTheme="minorEastAsia" w:hAnsi="Calibri" w:cs="Calibri"/>
          <w:lang w:val="en-GB"/>
        </w:rPr>
        <w:t>+</w:t>
      </w:r>
      <w:r w:rsidRPr="001C0C4B">
        <w:rPr>
          <w:rFonts w:ascii="Calibri" w:eastAsiaTheme="minorEastAsia" w:hAnsi="Calibri" w:cs="Calibri"/>
          <w:vertAlign w:val="subscript"/>
          <w:lang w:val="en-GB"/>
        </w:rPr>
        <w:t xml:space="preserve"> </w:t>
      </w:r>
      <w:r w:rsidRPr="001C0C4B">
        <w:rPr>
          <w:rFonts w:ascii="Calibri" w:eastAsiaTheme="minorEastAsia" w:hAnsi="Calibri" w:cs="Calibri"/>
          <w:lang w:val="en-GB"/>
        </w:rPr>
        <w:t>β</w:t>
      </w:r>
      <w:r w:rsidR="7A44F26F" w:rsidRPr="001C0C4B">
        <w:rPr>
          <w:rFonts w:ascii="Calibri" w:eastAsiaTheme="minorEastAsia" w:hAnsi="Calibri" w:cs="Calibri"/>
          <w:vertAlign w:val="subscript"/>
          <w:lang w:val="en-GB"/>
        </w:rPr>
        <w:t>i</w:t>
      </w:r>
      <w:r w:rsidRPr="001C0C4B">
        <w:rPr>
          <w:rFonts w:ascii="Calibri" w:eastAsiaTheme="minorEastAsia" w:hAnsi="Calibri" w:cs="Calibri"/>
          <w:vertAlign w:val="subscript"/>
          <w:lang w:val="en-GB"/>
        </w:rPr>
        <w:t xml:space="preserve"> </w:t>
      </w:r>
      <w:r w:rsidRPr="001C0C4B">
        <w:rPr>
          <w:rFonts w:ascii="Calibri" w:eastAsiaTheme="minorEastAsia" w:hAnsi="Calibri" w:cs="Calibri"/>
          <w:lang w:val="en-GB"/>
        </w:rPr>
        <w:t xml:space="preserve">+ </w:t>
      </w:r>
      <w:r w:rsidR="0088418A" w:rsidRPr="001C0C4B">
        <w:rPr>
          <w:rFonts w:ascii="Calibri" w:eastAsiaTheme="minorEastAsia" w:hAnsi="Calibri" w:cs="Calibri"/>
          <w:lang w:val="en-GB"/>
        </w:rPr>
        <w:t>β</w:t>
      </w:r>
      <w:r w:rsidR="0088418A" w:rsidRPr="001C0C4B">
        <w:rPr>
          <w:rFonts w:ascii="Calibri" w:eastAsiaTheme="minorEastAsia" w:hAnsi="Calibri" w:cs="Calibri"/>
          <w:vertAlign w:val="subscript"/>
          <w:lang w:val="en-GB"/>
        </w:rPr>
        <w:t xml:space="preserve">k </w:t>
      </w:r>
      <w:r w:rsidR="0088418A" w:rsidRPr="001C0C4B">
        <w:rPr>
          <w:rFonts w:ascii="Calibri" w:eastAsiaTheme="minorEastAsia" w:hAnsi="Calibri" w:cs="Calibri"/>
          <w:lang w:val="en-GB"/>
        </w:rPr>
        <w:t>+</w:t>
      </w:r>
      <w:r w:rsidRPr="001C0C4B">
        <w:rPr>
          <w:rFonts w:ascii="Calibri" w:eastAsiaTheme="minorEastAsia" w:hAnsi="Calibri" w:cs="Calibri"/>
          <w:vertAlign w:val="subscript"/>
          <w:lang w:val="en-GB"/>
        </w:rPr>
        <w:t xml:space="preserve"> </w:t>
      </w:r>
      <w:r w:rsidRPr="001C0C4B">
        <w:rPr>
          <w:rFonts w:ascii="Calibri" w:eastAsiaTheme="minorEastAsia" w:hAnsi="Calibri" w:cs="Calibri"/>
          <w:lang w:val="en-GB"/>
        </w:rPr>
        <w:t>β</w:t>
      </w:r>
      <w:r w:rsidR="38436FDC" w:rsidRPr="001C0C4B">
        <w:rPr>
          <w:rFonts w:ascii="Calibri" w:eastAsiaTheme="minorEastAsia" w:hAnsi="Calibri" w:cs="Calibri"/>
          <w:vertAlign w:val="subscript"/>
          <w:lang w:val="en-GB"/>
        </w:rPr>
        <w:t>T(</w:t>
      </w:r>
      <w:r w:rsidR="3C62C6AC" w:rsidRPr="001C0C4B">
        <w:rPr>
          <w:rFonts w:ascii="Calibri" w:eastAsiaTheme="minorEastAsia" w:hAnsi="Calibri" w:cs="Calibri"/>
          <w:vertAlign w:val="subscript"/>
          <w:lang w:val="en-GB"/>
        </w:rPr>
        <w:t>i</w:t>
      </w:r>
      <w:r w:rsidR="38436FDC" w:rsidRPr="001C0C4B">
        <w:rPr>
          <w:rFonts w:ascii="Calibri" w:eastAsiaTheme="minorEastAsia" w:hAnsi="Calibri" w:cs="Calibri"/>
          <w:vertAlign w:val="subscript"/>
          <w:lang w:val="en-GB"/>
        </w:rPr>
        <w:t>)</w:t>
      </w:r>
      <w:r w:rsidR="08712362" w:rsidRPr="001C0C4B">
        <w:rPr>
          <w:rFonts w:ascii="Calibri" w:eastAsiaTheme="minorEastAsia" w:hAnsi="Calibri" w:cs="Calibri"/>
          <w:lang w:val="en-GB"/>
        </w:rPr>
        <w:t xml:space="preserve">)t , </w:t>
      </w:r>
      <w:r w:rsidR="2057E255" w:rsidRPr="001C0C4B">
        <w:rPr>
          <w:rFonts w:ascii="Calibri" w:eastAsiaTheme="minorEastAsia" w:hAnsi="Calibri" w:cs="Calibri"/>
          <w:lang w:val="en-GB"/>
        </w:rPr>
        <w:t>sigma</w:t>
      </w:r>
      <w:r w:rsidR="5E86CE7E" w:rsidRPr="001C0C4B">
        <w:rPr>
          <w:rFonts w:ascii="Calibri" w:eastAsiaTheme="minorEastAsia" w:hAnsi="Calibri" w:cs="Calibri"/>
          <w:vertAlign w:val="superscript"/>
          <w:lang w:val="en-GB"/>
        </w:rPr>
        <w:t>2</w:t>
      </w:r>
      <w:r w:rsidR="0060189F" w:rsidRPr="001C0C4B">
        <w:rPr>
          <w:rFonts w:ascii="Calibri" w:eastAsiaTheme="minorEastAsia" w:hAnsi="Calibri" w:cs="Calibri"/>
          <w:lang w:val="en-GB"/>
        </w:rPr>
        <w:t>, dof</w:t>
      </w:r>
      <w:r w:rsidR="5E86CE7E" w:rsidRPr="001C0C4B">
        <w:rPr>
          <w:rFonts w:ascii="Calibri" w:eastAsiaTheme="minorEastAsia" w:hAnsi="Calibri" w:cs="Calibri"/>
          <w:lang w:val="en-GB"/>
        </w:rPr>
        <w:t>)</w:t>
      </w:r>
    </w:p>
    <w:p w14:paraId="2617987B" w14:textId="77637972" w:rsidR="45A8CB4F" w:rsidRPr="001C0C4B" w:rsidRDefault="4DA23384" w:rsidP="00967A0A">
      <w:pPr>
        <w:jc w:val="both"/>
        <w:rPr>
          <w:rFonts w:ascii="Calibri" w:eastAsiaTheme="minorEastAsia" w:hAnsi="Calibri" w:cs="Calibri"/>
          <w:lang w:val="en-GB"/>
        </w:rPr>
      </w:pPr>
      <w:r w:rsidRPr="001C0C4B">
        <w:rPr>
          <w:rFonts w:ascii="Calibri" w:hAnsi="Calibri" w:cs="Calibri"/>
          <w:lang w:val="en-GB"/>
        </w:rPr>
        <w:t>w</w:t>
      </w:r>
      <w:r w:rsidR="121E025E" w:rsidRPr="001C0C4B">
        <w:rPr>
          <w:rFonts w:ascii="Calibri" w:hAnsi="Calibri" w:cs="Calibri"/>
          <w:lang w:val="en-GB"/>
        </w:rPr>
        <w:t xml:space="preserve">here </w:t>
      </w:r>
      <w:r w:rsidR="121E025E" w:rsidRPr="001C0C4B">
        <w:rPr>
          <w:rFonts w:ascii="Calibri" w:eastAsiaTheme="minorEastAsia" w:hAnsi="Calibri" w:cs="Calibri"/>
          <w:lang w:val="en-GB"/>
        </w:rPr>
        <w:t>y</w:t>
      </w:r>
      <w:r w:rsidR="121E025E" w:rsidRPr="001C0C4B">
        <w:rPr>
          <w:rFonts w:ascii="Calibri" w:eastAsiaTheme="minorEastAsia" w:hAnsi="Calibri" w:cs="Calibri"/>
          <w:vertAlign w:val="subscript"/>
          <w:lang w:val="en-GB"/>
        </w:rPr>
        <w:t>k</w:t>
      </w:r>
      <w:r w:rsidR="0088418A" w:rsidRPr="001C0C4B">
        <w:rPr>
          <w:rFonts w:ascii="Calibri" w:eastAsiaTheme="minorEastAsia" w:hAnsi="Calibri" w:cs="Calibri"/>
          <w:vertAlign w:val="subscript"/>
          <w:lang w:val="en-GB"/>
        </w:rPr>
        <w:t>,i,</w:t>
      </w:r>
      <w:r w:rsidR="121E025E" w:rsidRPr="001C0C4B">
        <w:rPr>
          <w:rFonts w:ascii="Calibri" w:eastAsiaTheme="minorEastAsia" w:hAnsi="Calibri" w:cs="Calibri"/>
          <w:vertAlign w:val="subscript"/>
          <w:lang w:val="en-GB"/>
        </w:rPr>
        <w:t xml:space="preserve">t </w:t>
      </w:r>
      <w:r w:rsidR="121E025E" w:rsidRPr="001C0C4B">
        <w:rPr>
          <w:rFonts w:ascii="Calibri" w:eastAsiaTheme="minorEastAsia" w:hAnsi="Calibri" w:cs="Calibri"/>
          <w:lang w:val="en-GB"/>
        </w:rPr>
        <w:t xml:space="preserve">is the observed </w:t>
      </w:r>
      <w:r w:rsidR="0060189F" w:rsidRPr="001C0C4B">
        <w:rPr>
          <w:rFonts w:ascii="Calibri" w:eastAsiaTheme="minorEastAsia" w:hAnsi="Calibri" w:cs="Calibri"/>
          <w:lang w:val="en-GB"/>
        </w:rPr>
        <w:t>log</w:t>
      </w:r>
      <w:r w:rsidR="0060189F" w:rsidRPr="001C0C4B">
        <w:rPr>
          <w:rFonts w:ascii="Calibri" w:eastAsiaTheme="minorEastAsia" w:hAnsi="Calibri" w:cs="Calibri"/>
          <w:vertAlign w:val="subscript"/>
          <w:lang w:val="en-GB"/>
        </w:rPr>
        <w:t>10</w:t>
      </w:r>
      <w:r w:rsidR="0060189F" w:rsidRPr="001C0C4B">
        <w:rPr>
          <w:rFonts w:ascii="Calibri" w:eastAsiaTheme="minorEastAsia" w:hAnsi="Calibri" w:cs="Calibri"/>
          <w:lang w:val="en-GB"/>
        </w:rPr>
        <w:t xml:space="preserve"> viral load</w:t>
      </w:r>
      <w:r w:rsidR="121E025E" w:rsidRPr="001C0C4B">
        <w:rPr>
          <w:rFonts w:ascii="Calibri" w:eastAsiaTheme="minorEastAsia" w:hAnsi="Calibri" w:cs="Calibri"/>
          <w:lang w:val="en-GB"/>
        </w:rPr>
        <w:t xml:space="preserve"> for individual i at time t from site k</w:t>
      </w:r>
      <w:r w:rsidR="0060189F" w:rsidRPr="001C0C4B">
        <w:rPr>
          <w:rFonts w:ascii="Calibri" w:eastAsiaTheme="minorEastAsia" w:hAnsi="Calibri" w:cs="Calibri"/>
          <w:lang w:val="en-GB"/>
        </w:rPr>
        <w:t xml:space="preserve"> (two values per timepoint)</w:t>
      </w:r>
      <w:r w:rsidR="121E025E" w:rsidRPr="001C0C4B">
        <w:rPr>
          <w:rFonts w:ascii="Calibri" w:eastAsiaTheme="minorEastAsia" w:hAnsi="Calibri" w:cs="Calibri"/>
          <w:lang w:val="en-GB"/>
        </w:rPr>
        <w:t>, and T(i) is the randomised arm assigned to individual i.</w:t>
      </w:r>
      <w:r w:rsidR="1259E5F8" w:rsidRPr="001C0C4B">
        <w:rPr>
          <w:rFonts w:ascii="Calibri" w:eastAsiaTheme="minorEastAsia" w:hAnsi="Calibri" w:cs="Calibri"/>
          <w:lang w:val="en-GB"/>
        </w:rPr>
        <w:t xml:space="preserve"> Sigma</w:t>
      </w:r>
      <w:r w:rsidR="1259E5F8" w:rsidRPr="001C0C4B">
        <w:rPr>
          <w:rFonts w:ascii="Calibri" w:eastAsiaTheme="minorEastAsia" w:hAnsi="Calibri" w:cs="Calibri"/>
          <w:vertAlign w:val="superscript"/>
          <w:lang w:val="en-GB"/>
        </w:rPr>
        <w:t xml:space="preserve">2 </w:t>
      </w:r>
      <w:r w:rsidR="1259E5F8" w:rsidRPr="001C0C4B">
        <w:rPr>
          <w:rFonts w:ascii="Calibri" w:eastAsiaTheme="minorEastAsia" w:hAnsi="Calibri" w:cs="Calibri"/>
          <w:lang w:val="en-GB"/>
        </w:rPr>
        <w:t xml:space="preserve">is the measurement error (residual error). </w:t>
      </w:r>
      <w:r w:rsidR="0060189F" w:rsidRPr="001C0C4B">
        <w:rPr>
          <w:rFonts w:ascii="Calibri" w:eastAsiaTheme="minorEastAsia" w:hAnsi="Calibri" w:cs="Calibri"/>
          <w:lang w:val="en-GB"/>
        </w:rPr>
        <w:t xml:space="preserve">The error model is a t-distribution with degrees of freedom inferred from the data (dof). </w:t>
      </w:r>
      <w:r w:rsidR="1259E5F8" w:rsidRPr="001C0C4B">
        <w:rPr>
          <w:rFonts w:ascii="Calibri" w:eastAsiaTheme="minorEastAsia" w:hAnsi="Calibri" w:cs="Calibri"/>
          <w:lang w:val="en-GB"/>
        </w:rPr>
        <w:t>The slope of viral clearance decomposes into</w:t>
      </w:r>
      <w:r w:rsidR="2766791C" w:rsidRPr="001C0C4B">
        <w:rPr>
          <w:rFonts w:ascii="Calibri" w:eastAsiaTheme="minorEastAsia" w:hAnsi="Calibri" w:cs="Calibri"/>
          <w:lang w:val="en-GB"/>
        </w:rPr>
        <w:t xml:space="preserve"> 4 terms:</w:t>
      </w:r>
      <w:r w:rsidR="1259E5F8" w:rsidRPr="001C0C4B">
        <w:rPr>
          <w:rFonts w:ascii="Calibri" w:eastAsiaTheme="minorEastAsia" w:hAnsi="Calibri" w:cs="Calibri"/>
          <w:lang w:val="en-GB"/>
        </w:rPr>
        <w:t xml:space="preserve"> the population </w:t>
      </w:r>
      <w:r w:rsidR="3DF537EF" w:rsidRPr="001C0C4B">
        <w:rPr>
          <w:rFonts w:ascii="Calibri" w:eastAsiaTheme="minorEastAsia" w:hAnsi="Calibri" w:cs="Calibri"/>
          <w:lang w:val="en-GB"/>
        </w:rPr>
        <w:t xml:space="preserve">mean </w:t>
      </w:r>
      <w:r w:rsidR="1259E5F8" w:rsidRPr="001C0C4B">
        <w:rPr>
          <w:rFonts w:ascii="Calibri" w:eastAsiaTheme="minorEastAsia" w:hAnsi="Calibri" w:cs="Calibri"/>
          <w:lang w:val="en-GB"/>
        </w:rPr>
        <w:t>slope β</w:t>
      </w:r>
      <w:r w:rsidR="1259E5F8" w:rsidRPr="001C0C4B">
        <w:rPr>
          <w:rFonts w:ascii="Calibri" w:eastAsiaTheme="minorEastAsia" w:hAnsi="Calibri" w:cs="Calibri"/>
          <w:vertAlign w:val="subscript"/>
          <w:lang w:val="en-GB"/>
        </w:rPr>
        <w:t>0</w:t>
      </w:r>
      <w:r w:rsidR="1259E5F8" w:rsidRPr="001C0C4B">
        <w:rPr>
          <w:rFonts w:ascii="Calibri" w:eastAsiaTheme="minorEastAsia" w:hAnsi="Calibri" w:cs="Calibri"/>
          <w:lang w:val="en-GB"/>
        </w:rPr>
        <w:t xml:space="preserve">; </w:t>
      </w:r>
      <w:r w:rsidR="12C8AEA2" w:rsidRPr="001C0C4B">
        <w:rPr>
          <w:rFonts w:ascii="Calibri" w:eastAsiaTheme="minorEastAsia" w:hAnsi="Calibri" w:cs="Calibri"/>
          <w:lang w:val="en-GB"/>
        </w:rPr>
        <w:t xml:space="preserve">the </w:t>
      </w:r>
      <w:r w:rsidR="0088418A" w:rsidRPr="001C0C4B">
        <w:rPr>
          <w:rFonts w:ascii="Calibri" w:eastAsiaTheme="minorEastAsia" w:hAnsi="Calibri" w:cs="Calibri"/>
          <w:lang w:val="en-GB"/>
        </w:rPr>
        <w:t>site random effect β</w:t>
      </w:r>
      <w:r w:rsidR="0088418A" w:rsidRPr="001C0C4B">
        <w:rPr>
          <w:rFonts w:ascii="Calibri" w:eastAsiaTheme="minorEastAsia" w:hAnsi="Calibri" w:cs="Calibri"/>
          <w:vertAlign w:val="subscript"/>
          <w:lang w:val="en-GB"/>
        </w:rPr>
        <w:t>k;</w:t>
      </w:r>
      <w:r w:rsidR="0088418A" w:rsidRPr="001C0C4B">
        <w:rPr>
          <w:rFonts w:ascii="Calibri" w:eastAsiaTheme="minorEastAsia" w:hAnsi="Calibri" w:cs="Calibri"/>
          <w:lang w:val="en-GB"/>
        </w:rPr>
        <w:t xml:space="preserve"> </w:t>
      </w:r>
      <w:r w:rsidR="12C8AEA2" w:rsidRPr="001C0C4B">
        <w:rPr>
          <w:rFonts w:ascii="Calibri" w:eastAsiaTheme="minorEastAsia" w:hAnsi="Calibri" w:cs="Calibri"/>
          <w:lang w:val="en-GB"/>
        </w:rPr>
        <w:t>the individual random effect β</w:t>
      </w:r>
      <w:r w:rsidR="12C8AEA2" w:rsidRPr="001C0C4B">
        <w:rPr>
          <w:rFonts w:ascii="Calibri" w:eastAsiaTheme="minorEastAsia" w:hAnsi="Calibri" w:cs="Calibri"/>
          <w:vertAlign w:val="subscript"/>
          <w:lang w:val="en-GB"/>
        </w:rPr>
        <w:t>i</w:t>
      </w:r>
      <w:r w:rsidR="12C8AEA2" w:rsidRPr="001C0C4B">
        <w:rPr>
          <w:rFonts w:ascii="Calibri" w:eastAsiaTheme="minorEastAsia" w:hAnsi="Calibri" w:cs="Calibri"/>
          <w:lang w:val="en-GB"/>
        </w:rPr>
        <w:t xml:space="preserve">; and the treatment effect </w:t>
      </w:r>
      <w:r w:rsidR="0088418A" w:rsidRPr="001C0C4B">
        <w:rPr>
          <w:rFonts w:ascii="Calibri" w:eastAsiaTheme="minorEastAsia" w:hAnsi="Calibri" w:cs="Calibri"/>
          <w:lang w:val="en-GB"/>
        </w:rPr>
        <w:t>(fixed across sites and individuals)</w:t>
      </w:r>
      <w:r w:rsidR="12C8AEA2" w:rsidRPr="001C0C4B">
        <w:rPr>
          <w:rFonts w:ascii="Calibri" w:eastAsiaTheme="minorEastAsia" w:hAnsi="Calibri" w:cs="Calibri"/>
          <w:lang w:val="en-GB"/>
        </w:rPr>
        <w:t xml:space="preserve"> β</w:t>
      </w:r>
      <w:r w:rsidR="12C8AEA2" w:rsidRPr="001C0C4B">
        <w:rPr>
          <w:rFonts w:ascii="Calibri" w:eastAsiaTheme="minorEastAsia" w:hAnsi="Calibri" w:cs="Calibri"/>
          <w:vertAlign w:val="subscript"/>
          <w:lang w:val="en-GB"/>
        </w:rPr>
        <w:t>T(i)</w:t>
      </w:r>
      <w:r w:rsidR="12C8AEA2" w:rsidRPr="001C0C4B">
        <w:rPr>
          <w:rFonts w:ascii="Calibri" w:eastAsiaTheme="minorEastAsia" w:hAnsi="Calibri" w:cs="Calibri"/>
          <w:lang w:val="en-GB"/>
        </w:rPr>
        <w:t>. The intercept ter</w:t>
      </w:r>
      <w:r w:rsidR="38DB9E87" w:rsidRPr="001C0C4B">
        <w:rPr>
          <w:rFonts w:ascii="Calibri" w:eastAsiaTheme="minorEastAsia" w:hAnsi="Calibri" w:cs="Calibri"/>
          <w:lang w:val="en-GB"/>
        </w:rPr>
        <w:t xml:space="preserve">m (baseline viral load) decomposes </w:t>
      </w:r>
      <w:r w:rsidR="7C93ED9E" w:rsidRPr="001C0C4B">
        <w:rPr>
          <w:rFonts w:ascii="Calibri" w:eastAsiaTheme="minorEastAsia" w:hAnsi="Calibri" w:cs="Calibri"/>
          <w:lang w:val="en-GB"/>
        </w:rPr>
        <w:t>into 3 terms:</w:t>
      </w:r>
      <w:r w:rsidR="38DB9E87" w:rsidRPr="001C0C4B">
        <w:rPr>
          <w:rFonts w:ascii="Calibri" w:eastAsiaTheme="minorEastAsia" w:hAnsi="Calibri" w:cs="Calibri"/>
          <w:lang w:val="en-GB"/>
        </w:rPr>
        <w:t xml:space="preserve"> the population intercept α</w:t>
      </w:r>
      <w:r w:rsidR="38DB9E87" w:rsidRPr="001C0C4B">
        <w:rPr>
          <w:rFonts w:ascii="Calibri" w:eastAsiaTheme="minorEastAsia" w:hAnsi="Calibri" w:cs="Calibri"/>
          <w:vertAlign w:val="subscript"/>
          <w:lang w:val="en-GB"/>
        </w:rPr>
        <w:t>0</w:t>
      </w:r>
      <w:r w:rsidR="38DB9E87" w:rsidRPr="001C0C4B">
        <w:rPr>
          <w:rFonts w:ascii="Calibri" w:eastAsiaTheme="minorEastAsia" w:hAnsi="Calibri" w:cs="Calibri"/>
          <w:lang w:val="en-GB"/>
        </w:rPr>
        <w:t>; the site random effect α</w:t>
      </w:r>
      <w:r w:rsidR="38DB9E87" w:rsidRPr="001C0C4B">
        <w:rPr>
          <w:rFonts w:ascii="Calibri" w:eastAsiaTheme="minorEastAsia" w:hAnsi="Calibri" w:cs="Calibri"/>
          <w:vertAlign w:val="subscript"/>
          <w:lang w:val="en-GB"/>
        </w:rPr>
        <w:t>k</w:t>
      </w:r>
      <w:r w:rsidR="38DB9E87" w:rsidRPr="001C0C4B">
        <w:rPr>
          <w:rFonts w:ascii="Calibri" w:eastAsiaTheme="minorEastAsia" w:hAnsi="Calibri" w:cs="Calibri"/>
          <w:lang w:val="en-GB"/>
        </w:rPr>
        <w:t>; and the individual random effect α</w:t>
      </w:r>
      <w:r w:rsidR="38DB9E87" w:rsidRPr="001C0C4B">
        <w:rPr>
          <w:rFonts w:ascii="Calibri" w:eastAsiaTheme="minorEastAsia" w:hAnsi="Calibri" w:cs="Calibri"/>
          <w:vertAlign w:val="subscript"/>
          <w:lang w:val="en-GB"/>
        </w:rPr>
        <w:t>i</w:t>
      </w:r>
      <w:r w:rsidR="38DB9E87" w:rsidRPr="001C0C4B">
        <w:rPr>
          <w:rFonts w:ascii="Calibri" w:eastAsiaTheme="minorEastAsia" w:hAnsi="Calibri" w:cs="Calibri"/>
          <w:lang w:val="en-GB"/>
        </w:rPr>
        <w:t>.</w:t>
      </w:r>
      <w:r w:rsidR="42452AEE" w:rsidRPr="001C0C4B">
        <w:rPr>
          <w:rFonts w:ascii="Calibri" w:eastAsiaTheme="minorEastAsia" w:hAnsi="Calibri" w:cs="Calibri"/>
          <w:lang w:val="en-GB"/>
        </w:rPr>
        <w:t xml:space="preserve"> All comparisons are made relative to the </w:t>
      </w:r>
      <w:r w:rsidR="00A75112" w:rsidRPr="001C0C4B">
        <w:rPr>
          <w:rFonts w:ascii="Calibri" w:eastAsiaTheme="minorEastAsia" w:hAnsi="Calibri" w:cs="Calibri"/>
          <w:lang w:val="en-GB"/>
        </w:rPr>
        <w:t xml:space="preserve">no antiviral treatment </w:t>
      </w:r>
      <w:r w:rsidR="42452AEE" w:rsidRPr="001C0C4B">
        <w:rPr>
          <w:rFonts w:ascii="Calibri" w:eastAsiaTheme="minorEastAsia" w:hAnsi="Calibri" w:cs="Calibri"/>
          <w:lang w:val="en-GB"/>
        </w:rPr>
        <w:t>control arm, so we set β</w:t>
      </w:r>
      <w:r w:rsidR="42452AEE" w:rsidRPr="001C0C4B">
        <w:rPr>
          <w:rFonts w:ascii="Calibri" w:eastAsiaTheme="minorEastAsia" w:hAnsi="Calibri" w:cs="Calibri"/>
          <w:vertAlign w:val="subscript"/>
          <w:lang w:val="en-GB"/>
        </w:rPr>
        <w:t>control</w:t>
      </w:r>
      <w:r w:rsidR="42452AEE" w:rsidRPr="001C0C4B">
        <w:rPr>
          <w:rFonts w:ascii="Calibri" w:eastAsiaTheme="minorEastAsia" w:hAnsi="Calibri" w:cs="Calibri"/>
          <w:lang w:val="en-GB"/>
        </w:rPr>
        <w:t xml:space="preserve"> = 0.</w:t>
      </w:r>
      <w:r w:rsidR="0060189F" w:rsidRPr="001C0C4B">
        <w:rPr>
          <w:rFonts w:ascii="Calibri" w:eastAsiaTheme="minorEastAsia" w:hAnsi="Calibri" w:cs="Calibri"/>
          <w:lang w:val="en-GB"/>
        </w:rPr>
        <w:t xml:space="preserve"> </w:t>
      </w:r>
      <w:r w:rsidR="00C46D52" w:rsidRPr="001C0C4B">
        <w:rPr>
          <w:rFonts w:ascii="Calibri" w:eastAsiaTheme="minorEastAsia" w:hAnsi="Calibri" w:cs="Calibri"/>
          <w:lang w:val="en-GB"/>
        </w:rPr>
        <w:t>Adjustment</w:t>
      </w:r>
      <w:r w:rsidR="45A8CB4F" w:rsidRPr="001C0C4B">
        <w:rPr>
          <w:rFonts w:ascii="Calibri" w:eastAsiaTheme="minorEastAsia" w:hAnsi="Calibri" w:cs="Calibri"/>
          <w:lang w:val="en-GB"/>
        </w:rPr>
        <w:t xml:space="preserve"> will be </w:t>
      </w:r>
      <w:r w:rsidR="00C46D52" w:rsidRPr="001C0C4B">
        <w:rPr>
          <w:rFonts w:ascii="Calibri" w:eastAsiaTheme="minorEastAsia" w:hAnsi="Calibri" w:cs="Calibri"/>
          <w:lang w:val="en-GB"/>
        </w:rPr>
        <w:t>made for human RNaseP concentration.</w:t>
      </w:r>
      <w:r w:rsidR="7267B9FE" w:rsidRPr="001C0C4B">
        <w:rPr>
          <w:rFonts w:ascii="Calibri" w:eastAsiaTheme="minorEastAsia" w:hAnsi="Calibri" w:cs="Calibri"/>
          <w:lang w:val="en-GB"/>
        </w:rPr>
        <w:t xml:space="preserve"> The </w:t>
      </w:r>
      <w:r w:rsidR="00C46D52" w:rsidRPr="001C0C4B">
        <w:rPr>
          <w:rFonts w:ascii="Calibri" w:eastAsiaTheme="minorEastAsia" w:hAnsi="Calibri" w:cs="Calibri"/>
          <w:lang w:val="en-GB"/>
        </w:rPr>
        <w:t xml:space="preserve">model will treat viral load </w:t>
      </w:r>
      <w:r w:rsidR="7267B9FE" w:rsidRPr="001C0C4B">
        <w:rPr>
          <w:rFonts w:ascii="Calibri" w:eastAsiaTheme="minorEastAsia" w:hAnsi="Calibri" w:cs="Calibri"/>
          <w:lang w:val="en-GB"/>
        </w:rPr>
        <w:t xml:space="preserve">corresponding </w:t>
      </w:r>
      <w:r w:rsidR="00C46D52" w:rsidRPr="001C0C4B">
        <w:rPr>
          <w:rFonts w:ascii="Calibri" w:eastAsiaTheme="minorEastAsia" w:hAnsi="Calibri" w:cs="Calibri"/>
          <w:lang w:val="en-GB"/>
        </w:rPr>
        <w:t>to CT values of 40 as left censored. A</w:t>
      </w:r>
      <w:r w:rsidR="00C872B5" w:rsidRPr="001C0C4B">
        <w:rPr>
          <w:rFonts w:ascii="Calibri" w:eastAsiaTheme="minorEastAsia" w:hAnsi="Calibri" w:cs="Calibri"/>
          <w:lang w:val="en-GB"/>
        </w:rPr>
        <w:t xml:space="preserve">n equivalent </w:t>
      </w:r>
      <w:r w:rsidR="00C46D52" w:rsidRPr="001C0C4B">
        <w:rPr>
          <w:rFonts w:ascii="Calibri" w:eastAsiaTheme="minorEastAsia" w:hAnsi="Calibri" w:cs="Calibri"/>
          <w:lang w:val="en-GB"/>
        </w:rPr>
        <w:t>non-linear model (allowing for an initial increase in viral load, followed by a linear decrease) will also be fit</w:t>
      </w:r>
      <w:r w:rsidR="002C323E" w:rsidRPr="001C0C4B">
        <w:rPr>
          <w:rFonts w:ascii="Calibri" w:eastAsiaTheme="minorEastAsia" w:hAnsi="Calibri" w:cs="Calibri"/>
          <w:lang w:val="en-GB"/>
        </w:rPr>
        <w:t>ted</w:t>
      </w:r>
      <w:r w:rsidR="00C46D52" w:rsidRPr="001C0C4B">
        <w:rPr>
          <w:rFonts w:ascii="Calibri" w:eastAsiaTheme="minorEastAsia" w:hAnsi="Calibri" w:cs="Calibri"/>
          <w:lang w:val="en-GB"/>
        </w:rPr>
        <w:t xml:space="preserve"> to the data as a sensitivity analysis.</w:t>
      </w:r>
    </w:p>
    <w:p w14:paraId="33B604ED" w14:textId="59F50B75" w:rsidR="7267B9FE" w:rsidRPr="001C0C4B" w:rsidRDefault="00466A95" w:rsidP="00BF2FEE">
      <w:pPr>
        <w:jc w:val="both"/>
        <w:rPr>
          <w:rFonts w:ascii="Calibri" w:eastAsiaTheme="minorEastAsia" w:hAnsi="Calibri" w:cs="Calibri"/>
          <w:lang w:val="de-DE"/>
        </w:rPr>
      </w:pPr>
      <w:r w:rsidRPr="001C0C4B">
        <w:rPr>
          <w:rFonts w:ascii="Calibri" w:eastAsiaTheme="minorEastAsia" w:hAnsi="Calibri" w:cs="Calibri"/>
          <w:lang w:val="en-GB"/>
        </w:rPr>
        <w:t>The SAP has further details of the analysis.</w:t>
      </w:r>
    </w:p>
    <w:p w14:paraId="16B3ADD2" w14:textId="77B9A608" w:rsidR="00942805" w:rsidRPr="001C0C4B" w:rsidRDefault="005901F0" w:rsidP="002B251D">
      <w:pPr>
        <w:pStyle w:val="Heading2"/>
        <w:numPr>
          <w:ilvl w:val="1"/>
          <w:numId w:val="23"/>
        </w:numPr>
        <w:tabs>
          <w:tab w:val="left" w:pos="900"/>
        </w:tabs>
        <w:rPr>
          <w:rFonts w:ascii="Calibri" w:hAnsi="Calibri" w:cs="Calibri"/>
          <w:color w:val="auto"/>
          <w:sz w:val="22"/>
          <w:szCs w:val="22"/>
        </w:rPr>
      </w:pPr>
      <w:r w:rsidRPr="001C0C4B">
        <w:rPr>
          <w:rFonts w:ascii="Calibri" w:eastAsiaTheme="minorEastAsia" w:hAnsi="Calibri" w:cs="Calibri"/>
        </w:rPr>
        <w:t xml:space="preserve"> </w:t>
      </w:r>
      <w:bookmarkStart w:id="244" w:name="_Toc110521977"/>
      <w:bookmarkStart w:id="245" w:name="_Toc110523998"/>
      <w:bookmarkStart w:id="246" w:name="_Toc105008318"/>
      <w:bookmarkStart w:id="247" w:name="_Toc96007305"/>
      <w:bookmarkStart w:id="248" w:name="_Toc95915258"/>
      <w:bookmarkStart w:id="249" w:name="_Toc74661303"/>
      <w:bookmarkStart w:id="250" w:name="_Toc110523999"/>
      <w:bookmarkStart w:id="251" w:name="_Toc96005608"/>
      <w:bookmarkStart w:id="252" w:name="_Toc112917647"/>
      <w:bookmarkEnd w:id="244"/>
      <w:bookmarkEnd w:id="245"/>
      <w:bookmarkEnd w:id="246"/>
      <w:r w:rsidR="1467033B" w:rsidRPr="001C0C4B">
        <w:rPr>
          <w:rFonts w:ascii="Calibri" w:hAnsi="Calibri" w:cs="Calibri"/>
          <w:color w:val="auto"/>
          <w:sz w:val="22"/>
          <w:szCs w:val="22"/>
        </w:rPr>
        <w:t>Time</w:t>
      </w:r>
      <w:r w:rsidR="00942805" w:rsidRPr="001C0C4B">
        <w:rPr>
          <w:rFonts w:ascii="Calibri" w:hAnsi="Calibri" w:cs="Calibri"/>
          <w:color w:val="auto"/>
          <w:sz w:val="22"/>
          <w:szCs w:val="22"/>
        </w:rPr>
        <w:t xml:space="preserve"> varying effects</w:t>
      </w:r>
      <w:bookmarkEnd w:id="247"/>
      <w:bookmarkEnd w:id="248"/>
      <w:bookmarkEnd w:id="249"/>
      <w:bookmarkEnd w:id="250"/>
      <w:bookmarkEnd w:id="251"/>
      <w:bookmarkEnd w:id="252"/>
    </w:p>
    <w:p w14:paraId="4DA7EED4" w14:textId="7B6F2AAA" w:rsidR="001939BE" w:rsidRPr="001C0C4B" w:rsidRDefault="00CC1620" w:rsidP="004219CB">
      <w:pPr>
        <w:jc w:val="both"/>
        <w:rPr>
          <w:rFonts w:ascii="Calibri" w:hAnsi="Calibri" w:cs="Calibri"/>
          <w:lang w:val="en-GB"/>
        </w:rPr>
      </w:pPr>
      <w:r w:rsidRPr="001C0C4B">
        <w:rPr>
          <w:rFonts w:ascii="Calibri" w:hAnsi="Calibri" w:cs="Calibri"/>
          <w:lang w:val="en-GB"/>
        </w:rPr>
        <w:t xml:space="preserve">Characterising and identifying </w:t>
      </w:r>
      <w:r w:rsidR="001939BE" w:rsidRPr="001C0C4B">
        <w:rPr>
          <w:rFonts w:ascii="Calibri" w:hAnsi="Calibri" w:cs="Calibri"/>
          <w:lang w:val="en-GB"/>
        </w:rPr>
        <w:t xml:space="preserve">time </w:t>
      </w:r>
      <w:r w:rsidR="00F8175B" w:rsidRPr="001C0C4B">
        <w:rPr>
          <w:rFonts w:ascii="Calibri" w:hAnsi="Calibri" w:cs="Calibri"/>
          <w:lang w:val="en-GB"/>
        </w:rPr>
        <w:t xml:space="preserve">varying </w:t>
      </w:r>
      <w:r w:rsidR="001939BE" w:rsidRPr="001C0C4B">
        <w:rPr>
          <w:rFonts w:ascii="Calibri" w:hAnsi="Calibri" w:cs="Calibri"/>
          <w:lang w:val="en-GB"/>
        </w:rPr>
        <w:t xml:space="preserve">effects </w:t>
      </w:r>
      <w:r w:rsidRPr="001C0C4B">
        <w:rPr>
          <w:rFonts w:ascii="Calibri" w:hAnsi="Calibri" w:cs="Calibri"/>
          <w:lang w:val="en-GB"/>
        </w:rPr>
        <w:t xml:space="preserve">not specified </w:t>
      </w:r>
      <w:r w:rsidR="00322094" w:rsidRPr="001C0C4B">
        <w:rPr>
          <w:rFonts w:ascii="Calibri" w:hAnsi="Calibri" w:cs="Calibri"/>
          <w:lang w:val="en-GB"/>
        </w:rPr>
        <w:t xml:space="preserve">in </w:t>
      </w:r>
      <w:r w:rsidR="001939BE" w:rsidRPr="001C0C4B">
        <w:rPr>
          <w:rFonts w:ascii="Calibri" w:hAnsi="Calibri" w:cs="Calibri"/>
          <w:lang w:val="en-GB"/>
        </w:rPr>
        <w:t>the main model is important for two reasons:</w:t>
      </w:r>
    </w:p>
    <w:p w14:paraId="50FEF64A" w14:textId="5D70F6DF" w:rsidR="00942805" w:rsidRPr="001C0C4B" w:rsidRDefault="009A3F89" w:rsidP="009E06F8">
      <w:pPr>
        <w:pStyle w:val="ListParagraph"/>
        <w:numPr>
          <w:ilvl w:val="0"/>
          <w:numId w:val="14"/>
        </w:numPr>
        <w:jc w:val="both"/>
        <w:rPr>
          <w:rFonts w:ascii="Calibri" w:hAnsi="Calibri" w:cs="Calibri"/>
          <w:lang w:val="en-GB"/>
        </w:rPr>
      </w:pPr>
      <w:r w:rsidRPr="001C0C4B">
        <w:rPr>
          <w:rFonts w:ascii="Calibri" w:hAnsi="Calibri" w:cs="Calibri"/>
          <w:lang w:val="en-GB"/>
        </w:rPr>
        <w:lastRenderedPageBreak/>
        <w:t>M</w:t>
      </w:r>
      <w:r w:rsidR="001939BE" w:rsidRPr="001C0C4B">
        <w:rPr>
          <w:rFonts w:ascii="Calibri" w:hAnsi="Calibri" w:cs="Calibri"/>
          <w:lang w:val="en-GB"/>
        </w:rPr>
        <w:t xml:space="preserve">onoclonal antibodies </w:t>
      </w:r>
      <w:r w:rsidRPr="001C0C4B">
        <w:rPr>
          <w:rFonts w:ascii="Calibri" w:hAnsi="Calibri" w:cs="Calibri"/>
          <w:lang w:val="en-GB"/>
        </w:rPr>
        <w:t>(type B- see study design section)</w:t>
      </w:r>
      <w:r w:rsidR="008A77F9">
        <w:rPr>
          <w:rFonts w:ascii="Calibri" w:hAnsi="Calibri" w:cs="Calibri"/>
          <w:lang w:val="en-GB"/>
        </w:rPr>
        <w:t xml:space="preserve"> </w:t>
      </w:r>
      <w:r w:rsidR="007C5413" w:rsidRPr="001C0C4B">
        <w:rPr>
          <w:rFonts w:ascii="Calibri" w:hAnsi="Calibri" w:cs="Calibri"/>
          <w:lang w:val="en-GB"/>
        </w:rPr>
        <w:t>-</w:t>
      </w:r>
      <w:r w:rsidRPr="001C0C4B">
        <w:rPr>
          <w:rFonts w:ascii="Calibri" w:hAnsi="Calibri" w:cs="Calibri"/>
          <w:lang w:val="en-GB"/>
        </w:rPr>
        <w:t xml:space="preserve"> </w:t>
      </w:r>
      <w:r w:rsidR="001939BE" w:rsidRPr="001C0C4B">
        <w:rPr>
          <w:rFonts w:ascii="Calibri" w:hAnsi="Calibri" w:cs="Calibri"/>
          <w:lang w:val="en-GB"/>
        </w:rPr>
        <w:t xml:space="preserve">where the efficacy can be reduced </w:t>
      </w:r>
      <w:r w:rsidR="00AD0790" w:rsidRPr="001C0C4B">
        <w:rPr>
          <w:rFonts w:ascii="Calibri" w:hAnsi="Calibri" w:cs="Calibri"/>
          <w:lang w:val="en-GB"/>
        </w:rPr>
        <w:t xml:space="preserve">in infections with spike protein </w:t>
      </w:r>
      <w:r w:rsidR="001939BE" w:rsidRPr="001C0C4B">
        <w:rPr>
          <w:rFonts w:ascii="Calibri" w:hAnsi="Calibri" w:cs="Calibri"/>
          <w:lang w:val="en-GB"/>
        </w:rPr>
        <w:t>mutant SARS-CoV-2 strains. Therefore</w:t>
      </w:r>
      <w:r w:rsidR="0052BD3D" w:rsidRPr="001C0C4B">
        <w:rPr>
          <w:rFonts w:ascii="Calibri" w:hAnsi="Calibri" w:cs="Calibri"/>
          <w:lang w:val="en-GB"/>
        </w:rPr>
        <w:t>,</w:t>
      </w:r>
      <w:r w:rsidR="001939BE" w:rsidRPr="001C0C4B">
        <w:rPr>
          <w:rFonts w:ascii="Calibri" w:hAnsi="Calibri" w:cs="Calibri"/>
          <w:lang w:val="en-GB"/>
        </w:rPr>
        <w:t xml:space="preserve"> it is possible that a waning effect is observed over time justifying early stopping.</w:t>
      </w:r>
    </w:p>
    <w:p w14:paraId="344C41B4" w14:textId="5C9A7373" w:rsidR="001939BE" w:rsidRPr="001C0C4B" w:rsidRDefault="001939BE" w:rsidP="009E06F8">
      <w:pPr>
        <w:pStyle w:val="ListParagraph"/>
        <w:numPr>
          <w:ilvl w:val="0"/>
          <w:numId w:val="14"/>
        </w:numPr>
        <w:jc w:val="both"/>
        <w:rPr>
          <w:rFonts w:ascii="Calibri" w:hAnsi="Calibri" w:cs="Calibri"/>
          <w:lang w:val="en-GB"/>
        </w:rPr>
      </w:pPr>
      <w:r w:rsidRPr="001C0C4B">
        <w:rPr>
          <w:rFonts w:ascii="Calibri" w:hAnsi="Calibri" w:cs="Calibri"/>
          <w:lang w:val="en-GB"/>
        </w:rPr>
        <w:t>New interventions (type C</w:t>
      </w:r>
      <w:r w:rsidR="00322094" w:rsidRPr="001C0C4B">
        <w:rPr>
          <w:rFonts w:ascii="Calibri" w:hAnsi="Calibri" w:cs="Calibri"/>
          <w:lang w:val="en-GB"/>
        </w:rPr>
        <w:t>- see S</w:t>
      </w:r>
      <w:r w:rsidR="00AB5C7A" w:rsidRPr="001C0C4B">
        <w:rPr>
          <w:rFonts w:ascii="Calibri" w:hAnsi="Calibri" w:cs="Calibri"/>
          <w:lang w:val="en-GB"/>
        </w:rPr>
        <w:t>t</w:t>
      </w:r>
      <w:r w:rsidR="00322094" w:rsidRPr="001C0C4B">
        <w:rPr>
          <w:rFonts w:ascii="Calibri" w:hAnsi="Calibri" w:cs="Calibri"/>
          <w:lang w:val="en-GB"/>
        </w:rPr>
        <w:t>udy design section</w:t>
      </w:r>
      <w:r w:rsidRPr="001C0C4B">
        <w:rPr>
          <w:rFonts w:ascii="Calibri" w:hAnsi="Calibri" w:cs="Calibri"/>
          <w:lang w:val="en-GB"/>
        </w:rPr>
        <w:t xml:space="preserve">) which are added later on during the trial cannot be compared </w:t>
      </w:r>
      <w:r w:rsidR="00AD0790" w:rsidRPr="001C0C4B">
        <w:rPr>
          <w:rFonts w:ascii="Calibri" w:hAnsi="Calibri" w:cs="Calibri"/>
          <w:lang w:val="en-GB"/>
        </w:rPr>
        <w:t xml:space="preserve">directly </w:t>
      </w:r>
      <w:r w:rsidRPr="001C0C4B">
        <w:rPr>
          <w:rFonts w:ascii="Calibri" w:hAnsi="Calibri" w:cs="Calibri"/>
          <w:lang w:val="en-GB"/>
        </w:rPr>
        <w:t>to</w:t>
      </w:r>
      <w:r w:rsidR="0018773A" w:rsidRPr="001C0C4B">
        <w:rPr>
          <w:rFonts w:ascii="Calibri" w:hAnsi="Calibri" w:cs="Calibri"/>
          <w:lang w:val="en-GB"/>
        </w:rPr>
        <w:t xml:space="preserve"> all data from</w:t>
      </w:r>
      <w:r w:rsidRPr="001C0C4B">
        <w:rPr>
          <w:rFonts w:ascii="Calibri" w:hAnsi="Calibri" w:cs="Calibri"/>
          <w:lang w:val="en-GB"/>
        </w:rPr>
        <w:t xml:space="preserve"> the control arm without accounting for possible differences in population over time (as an epidemic evolves, included populations may differ in a single site over time).</w:t>
      </w:r>
    </w:p>
    <w:p w14:paraId="27D651D9" w14:textId="2EA5E3B0" w:rsidR="00481848" w:rsidRPr="001C0C4B" w:rsidRDefault="00CC1620" w:rsidP="00BF2FEE">
      <w:pPr>
        <w:jc w:val="both"/>
        <w:rPr>
          <w:rFonts w:ascii="Calibri" w:hAnsi="Calibri" w:cs="Calibri"/>
          <w:sz w:val="12"/>
          <w:szCs w:val="12"/>
          <w:lang w:val="en-GB"/>
        </w:rPr>
      </w:pPr>
      <w:r w:rsidRPr="001C0C4B">
        <w:rPr>
          <w:rFonts w:ascii="Calibri" w:hAnsi="Calibri" w:cs="Calibri"/>
          <w:lang w:val="en-GB"/>
        </w:rPr>
        <w:t>We will use descriptive approaches to detect time-varying effects (residual plots over time, mean slopes in control individuals over time).</w:t>
      </w:r>
      <w:r w:rsidR="0063360E" w:rsidRPr="001C0C4B">
        <w:rPr>
          <w:rFonts w:ascii="Calibri" w:hAnsi="Calibri" w:cs="Calibri"/>
          <w:lang w:val="en-GB"/>
        </w:rPr>
        <w:t xml:space="preserve"> If substantial time-varying effects are observed, we will add a smooth time varying spline component to the linear model. The base model will not include this for simplicity.</w:t>
      </w:r>
    </w:p>
    <w:p w14:paraId="7785D0D3" w14:textId="616A2B90" w:rsidR="009A676C" w:rsidRPr="001C0C4B" w:rsidRDefault="009A676C" w:rsidP="00BF2FEE">
      <w:pPr>
        <w:pStyle w:val="Heading2"/>
        <w:numPr>
          <w:ilvl w:val="0"/>
          <w:numId w:val="0"/>
        </w:numPr>
        <w:tabs>
          <w:tab w:val="left" w:pos="900"/>
        </w:tabs>
        <w:spacing w:before="0"/>
        <w:ind w:left="360"/>
        <w:jc w:val="both"/>
      </w:pPr>
    </w:p>
    <w:p w14:paraId="47D12026" w14:textId="4A128AE7" w:rsidR="009A676C" w:rsidRPr="001C0C4B" w:rsidRDefault="009A676C" w:rsidP="005626AD">
      <w:pPr>
        <w:pStyle w:val="Heading2"/>
        <w:numPr>
          <w:ilvl w:val="1"/>
          <w:numId w:val="23"/>
        </w:numPr>
        <w:tabs>
          <w:tab w:val="left" w:pos="900"/>
        </w:tabs>
        <w:spacing w:before="0"/>
        <w:ind w:left="900" w:hanging="616"/>
        <w:rPr>
          <w:rFonts w:ascii="Calibri" w:hAnsi="Calibri"/>
          <w:color w:val="auto"/>
          <w:sz w:val="22"/>
        </w:rPr>
      </w:pPr>
      <w:bookmarkStart w:id="253" w:name="_Toc96007308"/>
      <w:bookmarkStart w:id="254" w:name="_Toc95915261"/>
      <w:bookmarkStart w:id="255" w:name="_Toc110524000"/>
      <w:bookmarkStart w:id="256" w:name="_Toc96005611"/>
      <w:bookmarkStart w:id="257" w:name="_Toc112917648"/>
      <w:r w:rsidRPr="001C0C4B">
        <w:rPr>
          <w:rFonts w:ascii="Calibri" w:hAnsi="Calibri"/>
          <w:color w:val="auto"/>
          <w:sz w:val="22"/>
        </w:rPr>
        <w:t xml:space="preserve">Sample size estimation, </w:t>
      </w:r>
      <w:r w:rsidR="00D96AE6" w:rsidRPr="001C0C4B">
        <w:rPr>
          <w:rFonts w:ascii="Calibri" w:hAnsi="Calibri"/>
          <w:color w:val="auto"/>
          <w:sz w:val="22"/>
        </w:rPr>
        <w:t>r</w:t>
      </w:r>
      <w:r w:rsidRPr="001C0C4B">
        <w:rPr>
          <w:rFonts w:ascii="Calibri" w:hAnsi="Calibri"/>
          <w:color w:val="auto"/>
          <w:sz w:val="22"/>
        </w:rPr>
        <w:t>andomisation and statistical considerations for the Bayesian group sequential design</w:t>
      </w:r>
      <w:bookmarkEnd w:id="253"/>
      <w:bookmarkEnd w:id="254"/>
      <w:bookmarkEnd w:id="255"/>
      <w:bookmarkEnd w:id="256"/>
      <w:bookmarkEnd w:id="257"/>
    </w:p>
    <w:p w14:paraId="19D1670E" w14:textId="77777777" w:rsidR="009A676C" w:rsidRPr="001C0C4B" w:rsidRDefault="009A676C" w:rsidP="005626AD">
      <w:pPr>
        <w:spacing w:after="0"/>
        <w:jc w:val="both"/>
        <w:rPr>
          <w:rFonts w:ascii="Calibri" w:hAnsi="Calibri" w:cs="Calibri"/>
          <w:lang w:val="en-GB"/>
        </w:rPr>
      </w:pPr>
    </w:p>
    <w:p w14:paraId="2B3FBAB8" w14:textId="107DE663" w:rsidR="0C6027B1" w:rsidRPr="001C0C4B" w:rsidRDefault="596E2C66" w:rsidP="005626AD">
      <w:pPr>
        <w:spacing w:after="0"/>
        <w:jc w:val="both"/>
        <w:rPr>
          <w:rFonts w:ascii="Calibri" w:hAnsi="Calibri" w:cs="Calibri"/>
          <w:lang w:val="en-GB"/>
        </w:rPr>
      </w:pPr>
      <w:r w:rsidRPr="001C0C4B">
        <w:rPr>
          <w:rFonts w:ascii="Calibri" w:hAnsi="Calibri" w:cs="Calibri"/>
          <w:lang w:val="en-GB"/>
        </w:rPr>
        <w:t xml:space="preserve">The </w:t>
      </w:r>
      <w:r w:rsidR="4E80BDD8" w:rsidRPr="001C0C4B">
        <w:rPr>
          <w:rFonts w:ascii="Calibri" w:hAnsi="Calibri" w:cs="Calibri"/>
          <w:lang w:val="en-GB"/>
        </w:rPr>
        <w:t xml:space="preserve">platform </w:t>
      </w:r>
      <w:r w:rsidRPr="001C0C4B">
        <w:rPr>
          <w:rFonts w:ascii="Calibri" w:hAnsi="Calibri" w:cs="Calibri"/>
          <w:lang w:val="en-GB"/>
        </w:rPr>
        <w:t>study has two main objectives:</w:t>
      </w:r>
    </w:p>
    <w:p w14:paraId="0CBDB375" w14:textId="0E1F7ADF" w:rsidR="0C6027B1" w:rsidRPr="001C0C4B" w:rsidRDefault="596E2C66" w:rsidP="009E06F8">
      <w:pPr>
        <w:pStyle w:val="ListParagraph"/>
        <w:numPr>
          <w:ilvl w:val="0"/>
          <w:numId w:val="9"/>
        </w:numPr>
        <w:jc w:val="both"/>
        <w:rPr>
          <w:rFonts w:ascii="Calibri" w:eastAsiaTheme="minorEastAsia" w:hAnsi="Calibri" w:cs="Calibri"/>
          <w:lang w:val="en-GB"/>
        </w:rPr>
      </w:pPr>
      <w:r w:rsidRPr="001C0C4B">
        <w:rPr>
          <w:rFonts w:ascii="Calibri" w:hAnsi="Calibri" w:cs="Calibri"/>
          <w:lang w:val="en-GB"/>
        </w:rPr>
        <w:t xml:space="preserve">Identify interventions </w:t>
      </w:r>
      <w:r w:rsidR="002B295E" w:rsidRPr="001C0C4B">
        <w:rPr>
          <w:rFonts w:ascii="Calibri" w:hAnsi="Calibri" w:cs="Calibri"/>
          <w:lang w:val="en-GB"/>
        </w:rPr>
        <w:t>of type A or B t</w:t>
      </w:r>
      <w:r w:rsidRPr="001C0C4B">
        <w:rPr>
          <w:rFonts w:ascii="Calibri" w:hAnsi="Calibri" w:cs="Calibri"/>
          <w:lang w:val="en-GB"/>
        </w:rPr>
        <w:t>hat are unlikely to be of clinical benefit (i.e. demonstrate futility)</w:t>
      </w:r>
    </w:p>
    <w:p w14:paraId="7CB32BC2" w14:textId="4C8C8D8D" w:rsidR="0C6027B1" w:rsidRPr="001C0C4B" w:rsidRDefault="596E2C66" w:rsidP="009E06F8">
      <w:pPr>
        <w:pStyle w:val="ListParagraph"/>
        <w:numPr>
          <w:ilvl w:val="0"/>
          <w:numId w:val="9"/>
        </w:numPr>
        <w:jc w:val="both"/>
        <w:rPr>
          <w:rFonts w:ascii="Calibri" w:hAnsi="Calibri" w:cs="Calibri"/>
          <w:lang w:val="en-GB"/>
        </w:rPr>
      </w:pPr>
      <w:r w:rsidRPr="001C0C4B">
        <w:rPr>
          <w:rFonts w:ascii="Calibri" w:hAnsi="Calibri" w:cs="Calibri"/>
          <w:lang w:val="en-GB"/>
        </w:rPr>
        <w:t xml:space="preserve">Identify interventions </w:t>
      </w:r>
      <w:r w:rsidR="002B295E" w:rsidRPr="001C0C4B">
        <w:rPr>
          <w:rFonts w:ascii="Calibri" w:hAnsi="Calibri" w:cs="Calibri"/>
          <w:lang w:val="en-GB"/>
        </w:rPr>
        <w:t xml:space="preserve">of type A or C </w:t>
      </w:r>
      <w:r w:rsidRPr="001C0C4B">
        <w:rPr>
          <w:rFonts w:ascii="Calibri" w:hAnsi="Calibri" w:cs="Calibri"/>
          <w:lang w:val="en-GB"/>
        </w:rPr>
        <w:t xml:space="preserve">that </w:t>
      </w:r>
      <w:r w:rsidR="53F48838" w:rsidRPr="001C0C4B">
        <w:rPr>
          <w:rFonts w:ascii="Calibri" w:hAnsi="Calibri" w:cs="Calibri"/>
          <w:lang w:val="en-GB"/>
        </w:rPr>
        <w:t>could have</w:t>
      </w:r>
      <w:r w:rsidRPr="001C0C4B">
        <w:rPr>
          <w:rFonts w:ascii="Calibri" w:hAnsi="Calibri" w:cs="Calibri"/>
          <w:lang w:val="en-GB"/>
        </w:rPr>
        <w:t xml:space="preserve"> clinical benefit and determine optimal dosing</w:t>
      </w:r>
      <w:r w:rsidR="00D43EE9" w:rsidRPr="001C0C4B">
        <w:rPr>
          <w:rFonts w:ascii="Calibri" w:hAnsi="Calibri" w:cs="Calibri"/>
          <w:lang w:val="en-GB"/>
        </w:rPr>
        <w:t xml:space="preserve"> (</w:t>
      </w:r>
      <w:r w:rsidR="00AD0790" w:rsidRPr="001C0C4B">
        <w:rPr>
          <w:rFonts w:ascii="Calibri" w:hAnsi="Calibri" w:cs="Calibri"/>
          <w:lang w:val="en-GB"/>
        </w:rPr>
        <w:t xml:space="preserve">from the </w:t>
      </w:r>
      <w:r w:rsidR="00D43EE9" w:rsidRPr="001C0C4B">
        <w:rPr>
          <w:rFonts w:ascii="Calibri" w:hAnsi="Calibri" w:cs="Calibri"/>
          <w:lang w:val="en-GB"/>
        </w:rPr>
        <w:t>nested PK-PD study)</w:t>
      </w:r>
      <w:r w:rsidR="5824D34D" w:rsidRPr="001C0C4B">
        <w:rPr>
          <w:rFonts w:ascii="Calibri" w:hAnsi="Calibri" w:cs="Calibri"/>
          <w:lang w:val="en-GB"/>
        </w:rPr>
        <w:t xml:space="preserve"> for phase 3 evaluations</w:t>
      </w:r>
      <w:r w:rsidRPr="001C0C4B">
        <w:rPr>
          <w:rFonts w:ascii="Calibri" w:hAnsi="Calibri" w:cs="Calibri"/>
          <w:lang w:val="en-GB"/>
        </w:rPr>
        <w:t>.</w:t>
      </w:r>
      <w:r w:rsidR="002B295E" w:rsidRPr="001C0C4B">
        <w:rPr>
          <w:rFonts w:ascii="Calibri" w:hAnsi="Calibri" w:cs="Calibri"/>
          <w:lang w:val="en-GB"/>
        </w:rPr>
        <w:t xml:space="preserve"> For type C, these will have stronger </w:t>
      </w:r>
      <w:r w:rsidR="002B295E" w:rsidRPr="001C0C4B">
        <w:rPr>
          <w:rFonts w:ascii="Calibri" w:hAnsi="Calibri" w:cs="Calibri"/>
          <w:i/>
          <w:iCs/>
          <w:lang w:val="en-GB"/>
        </w:rPr>
        <w:t>a priori</w:t>
      </w:r>
      <w:r w:rsidR="002B295E" w:rsidRPr="001C0C4B">
        <w:rPr>
          <w:rFonts w:ascii="Calibri" w:hAnsi="Calibri" w:cs="Calibri"/>
          <w:lang w:val="en-GB"/>
        </w:rPr>
        <w:t xml:space="preserve"> justification and choosing the best candidate is desired (rather than choosing all candidates with reasonable chance of success)</w:t>
      </w:r>
    </w:p>
    <w:p w14:paraId="1CE96DD3" w14:textId="0DE42AFF" w:rsidR="00547339" w:rsidRPr="001C0C4B" w:rsidRDefault="00547339">
      <w:pPr>
        <w:jc w:val="both"/>
        <w:rPr>
          <w:rFonts w:ascii="Calibri" w:hAnsi="Calibri" w:cs="Calibri"/>
          <w:lang w:val="en-GB"/>
        </w:rPr>
      </w:pPr>
      <w:r w:rsidRPr="001C0C4B">
        <w:rPr>
          <w:rFonts w:ascii="Calibri" w:hAnsi="Calibri" w:cs="Calibri"/>
          <w:lang w:val="en-GB"/>
        </w:rPr>
        <w:t xml:space="preserve">The required sample size depends on how stringent the thresholds are that define futility or success. </w:t>
      </w:r>
      <w:r w:rsidR="00965FB6" w:rsidRPr="001C0C4B">
        <w:rPr>
          <w:rFonts w:ascii="Calibri" w:hAnsi="Calibri" w:cs="Calibri"/>
          <w:lang w:val="en-GB"/>
        </w:rPr>
        <w:t>Before the trial started we</w:t>
      </w:r>
      <w:r w:rsidRPr="001C0C4B">
        <w:rPr>
          <w:rFonts w:ascii="Calibri" w:hAnsi="Calibri" w:cs="Calibri"/>
          <w:lang w:val="en-GB"/>
        </w:rPr>
        <w:t xml:space="preserve"> used simulation to determine </w:t>
      </w:r>
      <w:r w:rsidR="00965FB6" w:rsidRPr="001C0C4B">
        <w:rPr>
          <w:rFonts w:ascii="Calibri" w:hAnsi="Calibri" w:cs="Calibri"/>
          <w:lang w:val="en-GB"/>
        </w:rPr>
        <w:t>the probability</w:t>
      </w:r>
      <w:r w:rsidRPr="001C0C4B">
        <w:rPr>
          <w:rFonts w:ascii="Calibri" w:hAnsi="Calibri" w:cs="Calibri"/>
          <w:lang w:val="en-GB"/>
        </w:rPr>
        <w:t xml:space="preserve"> thresholds that result in control of the type 1 error at 10% and control of the type 2 error at 20%</w:t>
      </w:r>
      <w:r w:rsidR="00965FB6" w:rsidRPr="001C0C4B">
        <w:rPr>
          <w:rFonts w:ascii="Calibri" w:hAnsi="Calibri" w:cs="Calibri"/>
          <w:lang w:val="en-GB"/>
        </w:rPr>
        <w:t xml:space="preserve"> using as a minimum effect size a 5% increase in viral clearance. Following the first interim analysis at 50 patients, the minimum threshold was changed to 12.5%</w:t>
      </w:r>
    </w:p>
    <w:p w14:paraId="31550F35" w14:textId="2FFBAF90" w:rsidR="4BD7EFF7" w:rsidRPr="001C0C4B" w:rsidRDefault="00C10B6A" w:rsidP="00F73C0C">
      <w:pPr>
        <w:jc w:val="both"/>
        <w:rPr>
          <w:rFonts w:ascii="Calibri" w:hAnsi="Calibri" w:cs="Calibri"/>
          <w:lang w:val="en-GB"/>
        </w:rPr>
      </w:pPr>
      <w:r w:rsidRPr="001C0C4B">
        <w:rPr>
          <w:rFonts w:ascii="Calibri" w:hAnsi="Calibri" w:cs="Calibri"/>
          <w:lang w:val="en-GB"/>
        </w:rPr>
        <w:t>For the following interim analys</w:t>
      </w:r>
      <w:r w:rsidR="000407B1" w:rsidRPr="001C0C4B">
        <w:rPr>
          <w:rFonts w:ascii="Calibri" w:hAnsi="Calibri" w:cs="Calibri"/>
          <w:lang w:val="en-GB"/>
        </w:rPr>
        <w:t>e</w:t>
      </w:r>
      <w:r w:rsidRPr="001C0C4B">
        <w:rPr>
          <w:rFonts w:ascii="Calibri" w:hAnsi="Calibri" w:cs="Calibri"/>
          <w:lang w:val="en-GB"/>
        </w:rPr>
        <w:t>s, t</w:t>
      </w:r>
      <w:r w:rsidR="4BD7EFF7" w:rsidRPr="001C0C4B">
        <w:rPr>
          <w:rFonts w:ascii="Calibri" w:hAnsi="Calibri" w:cs="Calibri"/>
          <w:lang w:val="en-GB"/>
        </w:rPr>
        <w:t xml:space="preserve">he decisions </w:t>
      </w:r>
      <w:r w:rsidRPr="001C0C4B">
        <w:rPr>
          <w:rFonts w:ascii="Calibri" w:hAnsi="Calibri" w:cs="Calibri"/>
          <w:lang w:val="en-GB"/>
        </w:rPr>
        <w:t>m</w:t>
      </w:r>
      <w:r w:rsidR="00892FE2" w:rsidRPr="001C0C4B">
        <w:rPr>
          <w:rFonts w:ascii="Calibri" w:hAnsi="Calibri" w:cs="Calibri"/>
          <w:lang w:val="en-GB"/>
        </w:rPr>
        <w:t>a</w:t>
      </w:r>
      <w:r w:rsidRPr="001C0C4B">
        <w:rPr>
          <w:rFonts w:ascii="Calibri" w:hAnsi="Calibri" w:cs="Calibri"/>
          <w:lang w:val="en-GB"/>
        </w:rPr>
        <w:t>de</w:t>
      </w:r>
      <w:r w:rsidR="4BD7EFF7" w:rsidRPr="001C0C4B">
        <w:rPr>
          <w:rFonts w:ascii="Calibri" w:hAnsi="Calibri" w:cs="Calibri"/>
          <w:lang w:val="en-GB"/>
        </w:rPr>
        <w:t xml:space="preserve"> </w:t>
      </w:r>
      <w:r w:rsidR="44398142" w:rsidRPr="001C0C4B">
        <w:rPr>
          <w:rFonts w:ascii="Calibri" w:hAnsi="Calibri" w:cs="Calibri"/>
          <w:lang w:val="en-GB"/>
        </w:rPr>
        <w:t xml:space="preserve">for </w:t>
      </w:r>
      <w:r w:rsidRPr="001C0C4B">
        <w:rPr>
          <w:rFonts w:ascii="Calibri" w:hAnsi="Calibri" w:cs="Calibri"/>
          <w:lang w:val="en-GB"/>
        </w:rPr>
        <w:t xml:space="preserve">a </w:t>
      </w:r>
      <w:r w:rsidR="44398142" w:rsidRPr="001C0C4B">
        <w:rPr>
          <w:rFonts w:ascii="Calibri" w:hAnsi="Calibri" w:cs="Calibri"/>
          <w:lang w:val="en-GB"/>
        </w:rPr>
        <w:t xml:space="preserve">treatment arm </w:t>
      </w:r>
      <w:r w:rsidR="44398142" w:rsidRPr="001C0C4B">
        <w:rPr>
          <w:rFonts w:ascii="Calibri" w:hAnsi="Calibri" w:cs="Calibri"/>
          <w:i/>
          <w:lang w:val="en-GB"/>
        </w:rPr>
        <w:t>T</w:t>
      </w:r>
      <w:r w:rsidR="44398142" w:rsidRPr="001C0C4B">
        <w:rPr>
          <w:rFonts w:ascii="Calibri" w:hAnsi="Calibri" w:cs="Calibri"/>
          <w:lang w:val="en-GB"/>
        </w:rPr>
        <w:t xml:space="preserve"> </w:t>
      </w:r>
      <w:r w:rsidR="4BD7EFF7" w:rsidRPr="001C0C4B">
        <w:rPr>
          <w:rFonts w:ascii="Calibri" w:hAnsi="Calibri" w:cs="Calibri"/>
          <w:lang w:val="en-GB"/>
        </w:rPr>
        <w:t>are as follows:</w:t>
      </w:r>
    </w:p>
    <w:p w14:paraId="165C7849" w14:textId="4EE034C5" w:rsidR="1B636892" w:rsidRPr="001C0C4B" w:rsidRDefault="2AF832D6" w:rsidP="009E06F8">
      <w:pPr>
        <w:pStyle w:val="ListParagraph"/>
        <w:numPr>
          <w:ilvl w:val="0"/>
          <w:numId w:val="8"/>
        </w:numPr>
        <w:jc w:val="both"/>
        <w:rPr>
          <w:rFonts w:ascii="Calibri" w:eastAsiaTheme="minorEastAsia" w:hAnsi="Calibri" w:cs="Calibri"/>
          <w:lang w:val="en-GB"/>
        </w:rPr>
      </w:pPr>
      <w:r w:rsidRPr="001C0C4B">
        <w:rPr>
          <w:rFonts w:ascii="Calibri" w:hAnsi="Calibri" w:cs="Calibri"/>
          <w:lang w:val="en-GB"/>
        </w:rPr>
        <w:t xml:space="preserve">Stopping </w:t>
      </w:r>
      <w:r w:rsidR="2FA64E9A" w:rsidRPr="001C0C4B">
        <w:rPr>
          <w:rFonts w:ascii="Calibri" w:hAnsi="Calibri" w:cs="Calibri"/>
          <w:lang w:val="en-GB"/>
        </w:rPr>
        <w:t>for f</w:t>
      </w:r>
      <w:r w:rsidR="5DAC0223" w:rsidRPr="001C0C4B">
        <w:rPr>
          <w:rFonts w:ascii="Calibri" w:hAnsi="Calibri" w:cs="Calibri"/>
          <w:lang w:val="en-GB"/>
        </w:rPr>
        <w:t>utility</w:t>
      </w:r>
      <w:r w:rsidR="39AC910F" w:rsidRPr="001C0C4B">
        <w:rPr>
          <w:rFonts w:ascii="Calibri" w:hAnsi="Calibri" w:cs="Calibri"/>
          <w:lang w:val="en-GB"/>
        </w:rPr>
        <w:t xml:space="preserve">: </w:t>
      </w:r>
      <w:r w:rsidR="7F419122" w:rsidRPr="001C0C4B">
        <w:rPr>
          <w:rFonts w:ascii="Calibri" w:hAnsi="Calibri" w:cs="Calibri"/>
          <w:lang w:val="en-GB"/>
        </w:rPr>
        <w:t>if Probability(</w:t>
      </w:r>
      <w:r w:rsidR="7F419122" w:rsidRPr="001C0C4B">
        <w:rPr>
          <w:rFonts w:ascii="Calibri" w:eastAsiaTheme="minorEastAsia" w:hAnsi="Calibri" w:cs="Calibri"/>
          <w:lang w:val="en-GB"/>
        </w:rPr>
        <w:t>β</w:t>
      </w:r>
      <w:r w:rsidR="7F419122" w:rsidRPr="001C0C4B">
        <w:rPr>
          <w:rFonts w:ascii="Calibri" w:eastAsiaTheme="minorEastAsia" w:hAnsi="Calibri" w:cs="Calibri"/>
          <w:vertAlign w:val="subscript"/>
          <w:lang w:val="en-GB"/>
        </w:rPr>
        <w:t>T</w:t>
      </w:r>
      <w:r w:rsidR="7F419122" w:rsidRPr="001C0C4B">
        <w:rPr>
          <w:rFonts w:ascii="Calibri" w:hAnsi="Calibri" w:cs="Calibri"/>
          <w:lang w:val="en-GB"/>
        </w:rPr>
        <w:t xml:space="preserve"> &gt; 0.</w:t>
      </w:r>
      <w:r w:rsidR="00C10B6A" w:rsidRPr="001C0C4B">
        <w:rPr>
          <w:rFonts w:ascii="Calibri" w:hAnsi="Calibri" w:cs="Calibri"/>
          <w:lang w:val="en-GB"/>
        </w:rPr>
        <w:t>12</w:t>
      </w:r>
      <w:r w:rsidR="7F419122" w:rsidRPr="001C0C4B">
        <w:rPr>
          <w:rFonts w:ascii="Calibri" w:hAnsi="Calibri" w:cs="Calibri"/>
          <w:lang w:val="en-GB"/>
        </w:rPr>
        <w:t xml:space="preserve">5 * </w:t>
      </w:r>
      <w:r w:rsidR="7F419122" w:rsidRPr="001C0C4B">
        <w:rPr>
          <w:rFonts w:ascii="Calibri" w:eastAsiaTheme="minorEastAsia" w:hAnsi="Calibri" w:cs="Calibri"/>
          <w:lang w:val="en-GB"/>
        </w:rPr>
        <w:t>β</w:t>
      </w:r>
      <w:r w:rsidR="7F419122" w:rsidRPr="001C0C4B">
        <w:rPr>
          <w:rFonts w:ascii="Calibri" w:eastAsiaTheme="minorEastAsia" w:hAnsi="Calibri" w:cs="Calibri"/>
          <w:vertAlign w:val="subscript"/>
          <w:lang w:val="en-GB"/>
        </w:rPr>
        <w:t>0</w:t>
      </w:r>
      <w:r w:rsidR="7F419122" w:rsidRPr="001C0C4B">
        <w:rPr>
          <w:rFonts w:ascii="Calibri" w:hAnsi="Calibri" w:cs="Calibri"/>
          <w:lang w:val="en-GB"/>
        </w:rPr>
        <w:t xml:space="preserve">) </w:t>
      </w:r>
      <w:r w:rsidR="3E571D00" w:rsidRPr="001C0C4B">
        <w:rPr>
          <w:rFonts w:ascii="Calibri" w:hAnsi="Calibri" w:cs="Calibri"/>
          <w:lang w:val="en-GB"/>
        </w:rPr>
        <w:t>&lt;</w:t>
      </w:r>
      <w:r w:rsidR="7F419122" w:rsidRPr="001C0C4B">
        <w:rPr>
          <w:rFonts w:ascii="Calibri" w:hAnsi="Calibri" w:cs="Calibri"/>
          <w:lang w:val="en-GB"/>
        </w:rPr>
        <w:t xml:space="preserve"> </w:t>
      </w:r>
      <w:r w:rsidR="0974EC2C" w:rsidRPr="001C0C4B">
        <w:rPr>
          <w:rFonts w:ascii="Calibri" w:hAnsi="Calibri" w:cs="Calibri"/>
          <w:lang w:val="en-GB"/>
        </w:rPr>
        <w:t>0.1</w:t>
      </w:r>
    </w:p>
    <w:p w14:paraId="673534C5" w14:textId="0A553F4A" w:rsidR="4CFEDC81" w:rsidRPr="001C0C4B" w:rsidRDefault="608D90D5" w:rsidP="009E06F8">
      <w:pPr>
        <w:pStyle w:val="ListParagraph"/>
        <w:numPr>
          <w:ilvl w:val="0"/>
          <w:numId w:val="8"/>
        </w:numPr>
        <w:jc w:val="both"/>
        <w:rPr>
          <w:rFonts w:ascii="Calibri" w:eastAsiaTheme="minorEastAsia" w:hAnsi="Calibri" w:cs="Calibri"/>
          <w:lang w:val="en-GB"/>
        </w:rPr>
      </w:pPr>
      <w:r w:rsidRPr="001C0C4B">
        <w:rPr>
          <w:rFonts w:ascii="Calibri" w:hAnsi="Calibri" w:cs="Calibri"/>
          <w:lang w:val="en-GB"/>
        </w:rPr>
        <w:t xml:space="preserve">Triggering intensive PK-PD nested sub-study: </w:t>
      </w:r>
      <w:r w:rsidR="3BEFDB73" w:rsidRPr="001C0C4B">
        <w:rPr>
          <w:rFonts w:ascii="Calibri" w:hAnsi="Calibri" w:cs="Calibri"/>
          <w:lang w:val="en-GB"/>
        </w:rPr>
        <w:t>if Probability(</w:t>
      </w:r>
      <w:r w:rsidR="3BEFDB73" w:rsidRPr="001C0C4B">
        <w:rPr>
          <w:rFonts w:ascii="Calibri" w:eastAsiaTheme="minorEastAsia" w:hAnsi="Calibri" w:cs="Calibri"/>
          <w:lang w:val="en-GB"/>
        </w:rPr>
        <w:t>β</w:t>
      </w:r>
      <w:r w:rsidR="3BEFDB73" w:rsidRPr="001C0C4B">
        <w:rPr>
          <w:rFonts w:ascii="Calibri" w:eastAsiaTheme="minorEastAsia" w:hAnsi="Calibri" w:cs="Calibri"/>
          <w:vertAlign w:val="subscript"/>
          <w:lang w:val="en-GB"/>
        </w:rPr>
        <w:t>T</w:t>
      </w:r>
      <w:r w:rsidR="3BEFDB73" w:rsidRPr="001C0C4B">
        <w:rPr>
          <w:rFonts w:ascii="Calibri" w:hAnsi="Calibri" w:cs="Calibri"/>
          <w:lang w:val="en-GB"/>
        </w:rPr>
        <w:t xml:space="preserve"> &gt; 0.</w:t>
      </w:r>
      <w:r w:rsidR="00C10B6A" w:rsidRPr="001C0C4B">
        <w:rPr>
          <w:rFonts w:ascii="Calibri" w:hAnsi="Calibri" w:cs="Calibri"/>
          <w:lang w:val="en-GB"/>
        </w:rPr>
        <w:t>125</w:t>
      </w:r>
      <w:r w:rsidR="3BEFDB73" w:rsidRPr="001C0C4B">
        <w:rPr>
          <w:rFonts w:ascii="Calibri" w:hAnsi="Calibri" w:cs="Calibri"/>
          <w:lang w:val="en-GB"/>
        </w:rPr>
        <w:t xml:space="preserve"> * </w:t>
      </w:r>
      <w:r w:rsidR="3BEFDB73" w:rsidRPr="001C0C4B">
        <w:rPr>
          <w:rFonts w:ascii="Calibri" w:eastAsiaTheme="minorEastAsia" w:hAnsi="Calibri" w:cs="Calibri"/>
          <w:lang w:val="en-GB"/>
        </w:rPr>
        <w:t>β</w:t>
      </w:r>
      <w:r w:rsidR="3BEFDB73" w:rsidRPr="001C0C4B">
        <w:rPr>
          <w:rFonts w:ascii="Calibri" w:eastAsiaTheme="minorEastAsia" w:hAnsi="Calibri" w:cs="Calibri"/>
          <w:vertAlign w:val="subscript"/>
          <w:lang w:val="en-GB"/>
        </w:rPr>
        <w:t>0</w:t>
      </w:r>
      <w:r w:rsidR="3BEFDB73" w:rsidRPr="001C0C4B">
        <w:rPr>
          <w:rFonts w:ascii="Calibri" w:hAnsi="Calibri" w:cs="Calibri"/>
          <w:lang w:val="en-GB"/>
        </w:rPr>
        <w:t xml:space="preserve">) &gt; </w:t>
      </w:r>
      <w:r w:rsidR="0F6D4D37" w:rsidRPr="001C0C4B">
        <w:rPr>
          <w:rFonts w:ascii="Calibri" w:hAnsi="Calibri" w:cs="Calibri"/>
          <w:lang w:val="en-GB"/>
        </w:rPr>
        <w:t>0.9</w:t>
      </w:r>
    </w:p>
    <w:p w14:paraId="0A236F85" w14:textId="0701818C" w:rsidR="0023758B" w:rsidRPr="001C0C4B" w:rsidRDefault="2ED3BA9B" w:rsidP="0063360E">
      <w:pPr>
        <w:jc w:val="both"/>
        <w:rPr>
          <w:rFonts w:ascii="Calibri" w:hAnsi="Calibri" w:cs="Calibri"/>
          <w:lang w:val="en-GB"/>
        </w:rPr>
      </w:pPr>
      <w:r w:rsidRPr="001C0C4B">
        <w:rPr>
          <w:rFonts w:ascii="Calibri" w:hAnsi="Calibri" w:cs="Calibri"/>
          <w:lang w:val="en-GB"/>
        </w:rPr>
        <w:t xml:space="preserve">The first interim analysis </w:t>
      </w:r>
      <w:r w:rsidR="00C10B6A" w:rsidRPr="001C0C4B">
        <w:rPr>
          <w:rFonts w:ascii="Calibri" w:hAnsi="Calibri" w:cs="Calibri"/>
          <w:lang w:val="en-GB"/>
        </w:rPr>
        <w:t>was</w:t>
      </w:r>
      <w:r w:rsidRPr="001C0C4B">
        <w:rPr>
          <w:rFonts w:ascii="Calibri" w:hAnsi="Calibri" w:cs="Calibri"/>
          <w:lang w:val="en-GB"/>
        </w:rPr>
        <w:t xml:space="preserve"> carried out after </w:t>
      </w:r>
      <w:r w:rsidR="1D228906" w:rsidRPr="001C0C4B">
        <w:rPr>
          <w:rFonts w:ascii="Calibri" w:hAnsi="Calibri" w:cs="Calibri"/>
          <w:lang w:val="en-GB"/>
        </w:rPr>
        <w:t xml:space="preserve">50 </w:t>
      </w:r>
      <w:r w:rsidRPr="001C0C4B">
        <w:rPr>
          <w:rFonts w:ascii="Calibri" w:hAnsi="Calibri" w:cs="Calibri"/>
          <w:lang w:val="en-GB"/>
        </w:rPr>
        <w:t xml:space="preserve">patients </w:t>
      </w:r>
      <w:r w:rsidR="00C10B6A" w:rsidRPr="001C0C4B">
        <w:rPr>
          <w:rFonts w:ascii="Calibri" w:hAnsi="Calibri" w:cs="Calibri"/>
          <w:lang w:val="en-GB"/>
        </w:rPr>
        <w:t>were</w:t>
      </w:r>
      <w:r w:rsidRPr="001C0C4B">
        <w:rPr>
          <w:rFonts w:ascii="Calibri" w:hAnsi="Calibri" w:cs="Calibri"/>
          <w:lang w:val="en-GB"/>
        </w:rPr>
        <w:t xml:space="preserve"> enrolled. We will then carry out interim analyses every </w:t>
      </w:r>
      <w:r w:rsidR="5B682A36" w:rsidRPr="001C0C4B">
        <w:rPr>
          <w:rFonts w:ascii="Calibri" w:hAnsi="Calibri" w:cs="Calibri"/>
          <w:lang w:val="en-GB"/>
        </w:rPr>
        <w:t xml:space="preserve">25 </w:t>
      </w:r>
      <w:r w:rsidRPr="001C0C4B">
        <w:rPr>
          <w:rFonts w:ascii="Calibri" w:hAnsi="Calibri" w:cs="Calibri"/>
          <w:lang w:val="en-GB"/>
        </w:rPr>
        <w:t xml:space="preserve">patients. The </w:t>
      </w:r>
      <w:r w:rsidR="00C10B6A" w:rsidRPr="001C0C4B">
        <w:rPr>
          <w:rFonts w:ascii="Calibri" w:hAnsi="Calibri" w:cs="Calibri"/>
          <w:lang w:val="en-GB"/>
        </w:rPr>
        <w:t>initial</w:t>
      </w:r>
      <w:r w:rsidRPr="001C0C4B">
        <w:rPr>
          <w:rFonts w:ascii="Calibri" w:hAnsi="Calibri" w:cs="Calibri"/>
          <w:lang w:val="en-GB"/>
        </w:rPr>
        <w:t xml:space="preserve"> thresholds for futility and success were chosen </w:t>
      </w:r>
      <w:r w:rsidR="7982C11C" w:rsidRPr="001C0C4B">
        <w:rPr>
          <w:rFonts w:ascii="Calibri" w:hAnsi="Calibri" w:cs="Calibri"/>
          <w:lang w:val="en-GB"/>
        </w:rPr>
        <w:t>after simulating</w:t>
      </w:r>
      <w:r w:rsidRPr="001C0C4B">
        <w:rPr>
          <w:rFonts w:ascii="Calibri" w:hAnsi="Calibri" w:cs="Calibri"/>
          <w:lang w:val="en-GB"/>
        </w:rPr>
        <w:t xml:space="preserve"> </w:t>
      </w:r>
      <w:r w:rsidR="11E32B29" w:rsidRPr="001C0C4B">
        <w:rPr>
          <w:rFonts w:ascii="Calibri" w:hAnsi="Calibri" w:cs="Calibri"/>
          <w:lang w:val="en-GB"/>
        </w:rPr>
        <w:t xml:space="preserve">6000 </w:t>
      </w:r>
      <w:r w:rsidR="76F62FAC" w:rsidRPr="001C0C4B">
        <w:rPr>
          <w:rFonts w:ascii="Calibri" w:hAnsi="Calibri" w:cs="Calibri"/>
          <w:lang w:val="en-GB"/>
        </w:rPr>
        <w:t>trials with all combinations of futility thresholds in the set {0.05, 0.1, 0.2} and success thresholds in the set {0.8, 0.9, 0.95, 0.99} (12 combinations in total</w:t>
      </w:r>
      <w:r w:rsidR="42376D1B" w:rsidRPr="001C0C4B">
        <w:rPr>
          <w:rFonts w:ascii="Calibri" w:hAnsi="Calibri" w:cs="Calibri"/>
          <w:lang w:val="en-GB"/>
        </w:rPr>
        <w:t>, 500 simulations per combination). The maximum sample size was set at 400 patients in total with 6 arms (5 intervention arms and 1 control arm). Out of the 5 intervention</w:t>
      </w:r>
      <w:r w:rsidR="2A144079" w:rsidRPr="001C0C4B">
        <w:rPr>
          <w:rFonts w:ascii="Calibri" w:hAnsi="Calibri" w:cs="Calibri"/>
          <w:lang w:val="en-GB"/>
        </w:rPr>
        <w:t xml:space="preserve">s, 1 was effective with an effect size of 10% and the other 4 were ineffective (no increase in slope). </w:t>
      </w:r>
      <w:r w:rsidR="097C1C8A" w:rsidRPr="001C0C4B">
        <w:rPr>
          <w:rFonts w:ascii="Calibri" w:hAnsi="Calibri" w:cs="Calibri"/>
          <w:lang w:val="en-GB"/>
        </w:rPr>
        <w:t>T</w:t>
      </w:r>
      <w:r w:rsidR="12538FBF" w:rsidRPr="001C0C4B">
        <w:rPr>
          <w:rFonts w:ascii="Calibri" w:hAnsi="Calibri" w:cs="Calibri"/>
          <w:lang w:val="en-GB"/>
        </w:rPr>
        <w:t xml:space="preserve">ype 1 </w:t>
      </w:r>
      <w:r w:rsidR="0193283E" w:rsidRPr="001C0C4B">
        <w:rPr>
          <w:rFonts w:ascii="Calibri" w:hAnsi="Calibri" w:cs="Calibri"/>
          <w:lang w:val="en-GB"/>
        </w:rPr>
        <w:t>error</w:t>
      </w:r>
      <w:r w:rsidR="68CD8CB7" w:rsidRPr="001C0C4B">
        <w:rPr>
          <w:rFonts w:ascii="Calibri" w:hAnsi="Calibri" w:cs="Calibri"/>
          <w:lang w:val="en-GB"/>
        </w:rPr>
        <w:t xml:space="preserve"> for a particular combination of futility and success thresholds was calculated as the average number of times any of the ineffective arms were declared effective</w:t>
      </w:r>
      <w:r w:rsidR="39CED22A" w:rsidRPr="001C0C4B">
        <w:rPr>
          <w:rFonts w:ascii="Calibri" w:hAnsi="Calibri" w:cs="Calibri"/>
          <w:lang w:val="en-GB"/>
        </w:rPr>
        <w:t xml:space="preserve"> divided by the number of decisions (note this the per decision type 1 error not the family wide error rate which is dependent on the number of arms). The type 2</w:t>
      </w:r>
      <w:r w:rsidR="12538FBF" w:rsidRPr="001C0C4B">
        <w:rPr>
          <w:rFonts w:ascii="Calibri" w:hAnsi="Calibri" w:cs="Calibri"/>
          <w:lang w:val="en-GB"/>
        </w:rPr>
        <w:t xml:space="preserve"> error </w:t>
      </w:r>
      <w:r w:rsidR="27B8DCBA" w:rsidRPr="001C0C4B">
        <w:rPr>
          <w:rFonts w:ascii="Calibri" w:hAnsi="Calibri" w:cs="Calibri"/>
          <w:lang w:val="en-GB"/>
        </w:rPr>
        <w:t>was calculated as the number of times the effective arm was declared ineffective or no decision was reached by 400 patients.</w:t>
      </w:r>
      <w:r w:rsidR="1088AAE4" w:rsidRPr="001C0C4B">
        <w:rPr>
          <w:rFonts w:ascii="Calibri" w:hAnsi="Calibri" w:cs="Calibri"/>
          <w:lang w:val="en-GB"/>
        </w:rPr>
        <w:t xml:space="preserve"> Appendix </w:t>
      </w:r>
      <w:r w:rsidR="00CC1620" w:rsidRPr="001C0C4B">
        <w:rPr>
          <w:rFonts w:ascii="Calibri" w:hAnsi="Calibri" w:cs="Calibri"/>
          <w:lang w:val="en-GB"/>
        </w:rPr>
        <w:t xml:space="preserve">3 </w:t>
      </w:r>
      <w:r w:rsidR="1088AAE4" w:rsidRPr="001C0C4B">
        <w:rPr>
          <w:rFonts w:ascii="Calibri" w:hAnsi="Calibri" w:cs="Calibri"/>
          <w:lang w:val="en-GB"/>
        </w:rPr>
        <w:t>shows how type 1 and type 2 error varies across choices of thresholds. The thresholds we have chosen allow us to control type 1 error</w:t>
      </w:r>
      <w:r w:rsidR="00AD0790" w:rsidRPr="001C0C4B">
        <w:rPr>
          <w:rFonts w:ascii="Calibri" w:hAnsi="Calibri" w:cs="Calibri"/>
          <w:lang w:val="en-GB"/>
        </w:rPr>
        <w:t>s</w:t>
      </w:r>
      <w:r w:rsidR="1088AAE4" w:rsidRPr="001C0C4B">
        <w:rPr>
          <w:rFonts w:ascii="Calibri" w:hAnsi="Calibri" w:cs="Calibri"/>
          <w:lang w:val="en-GB"/>
        </w:rPr>
        <w:t xml:space="preserve"> at </w:t>
      </w:r>
      <w:r w:rsidR="00701816" w:rsidRPr="001C0C4B">
        <w:rPr>
          <w:rFonts w:ascii="Calibri" w:hAnsi="Calibri" w:cs="Calibri"/>
          <w:lang w:val="en-GB"/>
        </w:rPr>
        <w:t xml:space="preserve">10% </w:t>
      </w:r>
      <w:r w:rsidR="1088AAE4" w:rsidRPr="001C0C4B">
        <w:rPr>
          <w:rFonts w:ascii="Calibri" w:hAnsi="Calibri" w:cs="Calibri"/>
          <w:lang w:val="en-GB"/>
        </w:rPr>
        <w:t>and type 2 error</w:t>
      </w:r>
      <w:r w:rsidR="00AD0790" w:rsidRPr="001C0C4B">
        <w:rPr>
          <w:rFonts w:ascii="Calibri" w:hAnsi="Calibri" w:cs="Calibri"/>
          <w:lang w:val="en-GB"/>
        </w:rPr>
        <w:t>s</w:t>
      </w:r>
      <w:r w:rsidR="1088AAE4" w:rsidRPr="001C0C4B">
        <w:rPr>
          <w:rFonts w:ascii="Calibri" w:hAnsi="Calibri" w:cs="Calibri"/>
          <w:lang w:val="en-GB"/>
        </w:rPr>
        <w:t xml:space="preserve"> at </w:t>
      </w:r>
      <w:r w:rsidR="00CC1620" w:rsidRPr="001C0C4B">
        <w:rPr>
          <w:rFonts w:ascii="Calibri" w:hAnsi="Calibri" w:cs="Calibri"/>
          <w:lang w:val="en-GB"/>
        </w:rPr>
        <w:t>2</w:t>
      </w:r>
      <w:r w:rsidR="00701816" w:rsidRPr="001C0C4B">
        <w:rPr>
          <w:rFonts w:ascii="Calibri" w:hAnsi="Calibri" w:cs="Calibri"/>
          <w:lang w:val="en-GB"/>
        </w:rPr>
        <w:t>0</w:t>
      </w:r>
      <w:r w:rsidR="1088AAE4" w:rsidRPr="001C0C4B">
        <w:rPr>
          <w:rFonts w:ascii="Calibri" w:hAnsi="Calibri" w:cs="Calibri"/>
          <w:lang w:val="en-GB"/>
        </w:rPr>
        <w:t>%.</w:t>
      </w:r>
      <w:r w:rsidR="008B0463" w:rsidRPr="001C0C4B">
        <w:rPr>
          <w:rFonts w:ascii="Calibri" w:hAnsi="Calibri" w:cs="Calibri"/>
          <w:lang w:val="en-GB"/>
        </w:rPr>
        <w:t xml:space="preserve"> </w:t>
      </w:r>
    </w:p>
    <w:p w14:paraId="7E0D0FD8" w14:textId="28D6187C" w:rsidR="0023758B" w:rsidRPr="001C0C4B" w:rsidRDefault="0023758B" w:rsidP="0063360E">
      <w:pPr>
        <w:jc w:val="both"/>
        <w:rPr>
          <w:rFonts w:ascii="Calibri" w:hAnsi="Calibri" w:cs="Calibri"/>
          <w:lang w:val="en-GB"/>
        </w:rPr>
      </w:pPr>
      <w:r w:rsidRPr="001C0C4B">
        <w:rPr>
          <w:rFonts w:ascii="Calibri" w:hAnsi="Calibri" w:cs="Calibri"/>
          <w:lang w:val="en-GB"/>
        </w:rPr>
        <w:t>For these futility and success thresholds, t</w:t>
      </w:r>
      <w:r w:rsidR="00CC1620" w:rsidRPr="001C0C4B">
        <w:rPr>
          <w:rFonts w:ascii="Calibri" w:hAnsi="Calibri" w:cs="Calibri"/>
          <w:lang w:val="en-GB"/>
        </w:rPr>
        <w:t>he simulations</w:t>
      </w:r>
      <w:r w:rsidR="008B0463" w:rsidRPr="001C0C4B">
        <w:rPr>
          <w:rFonts w:ascii="Calibri" w:hAnsi="Calibri" w:cs="Calibri"/>
          <w:lang w:val="en-GB"/>
        </w:rPr>
        <w:t xml:space="preserve"> </w:t>
      </w:r>
      <w:r w:rsidRPr="001C0C4B">
        <w:rPr>
          <w:rFonts w:ascii="Calibri" w:hAnsi="Calibri" w:cs="Calibri"/>
          <w:lang w:val="en-GB"/>
        </w:rPr>
        <w:t xml:space="preserve">demonstrate the number of patients randomised per arm in order to reach a decision is: </w:t>
      </w:r>
    </w:p>
    <w:p w14:paraId="77942529" w14:textId="1AAE0157" w:rsidR="007627E1" w:rsidRPr="00E6140E" w:rsidRDefault="0023758B" w:rsidP="004A54D8">
      <w:pPr>
        <w:pStyle w:val="ListParagraph"/>
        <w:numPr>
          <w:ilvl w:val="0"/>
          <w:numId w:val="19"/>
        </w:numPr>
        <w:jc w:val="both"/>
        <w:rPr>
          <w:rFonts w:ascii="Segoe UI" w:hAnsi="Segoe UI" w:cs="Segoe UI"/>
          <w:color w:val="000000"/>
          <w:shd w:val="clear" w:color="auto" w:fill="FFFFFF"/>
        </w:rPr>
      </w:pPr>
      <w:r w:rsidRPr="00E6140E">
        <w:rPr>
          <w:rFonts w:ascii="Calibri" w:hAnsi="Calibri" w:cs="Calibri"/>
          <w:lang w:val="en-GB"/>
        </w:rPr>
        <w:t xml:space="preserve">50 patients (average; median is 30) for </w:t>
      </w:r>
      <w:r w:rsidR="1A942DAB" w:rsidRPr="00E6140E">
        <w:rPr>
          <w:rFonts w:ascii="Calibri" w:hAnsi="Calibri" w:cs="Calibri"/>
          <w:lang w:val="en-GB"/>
        </w:rPr>
        <w:t xml:space="preserve">each </w:t>
      </w:r>
      <w:r w:rsidRPr="00E6140E">
        <w:rPr>
          <w:rFonts w:ascii="Calibri" w:hAnsi="Calibri" w:cs="Calibri"/>
          <w:lang w:val="en-GB"/>
        </w:rPr>
        <w:t>efficacious intervention (effect size of 10% increase in viral clearance)</w:t>
      </w:r>
      <w:r w:rsidR="002B3160">
        <w:rPr>
          <w:rFonts w:ascii="Calibri" w:hAnsi="Calibri" w:cs="Calibri"/>
          <w:lang w:val="en-GB"/>
        </w:rPr>
        <w:t xml:space="preserve"> </w:t>
      </w:r>
      <w:r w:rsidR="002B3160" w:rsidRPr="002B3160">
        <w:rPr>
          <w:rFonts w:ascii="Calibri" w:hAnsi="Calibri" w:cs="Calibri"/>
          <w:lang w:val="en-GB"/>
        </w:rPr>
        <w:t xml:space="preserve">means approximately </w:t>
      </w:r>
      <w:r w:rsidR="002B3160" w:rsidRPr="002B3160">
        <w:rPr>
          <w:rFonts w:eastAsia="Times New Roman"/>
          <w:lang w:val="en-GB"/>
        </w:rPr>
        <w:t xml:space="preserve">60 patients for an effect size of 12.5% increase in viral clearance, </w:t>
      </w:r>
      <w:r w:rsidR="002B3160" w:rsidRPr="002B3160">
        <w:rPr>
          <w:rFonts w:eastAsia="Times New Roman"/>
          <w:lang w:val="en-GB"/>
        </w:rPr>
        <w:lastRenderedPageBreak/>
        <w:t>as per the current futility/ success threshold</w:t>
      </w:r>
      <w:r w:rsidRPr="00E6140E">
        <w:rPr>
          <w:rFonts w:ascii="Calibri" w:hAnsi="Calibri" w:cs="Calibri"/>
          <w:lang w:val="en-GB"/>
        </w:rPr>
        <w:t xml:space="preserve"> 40 patients (average; median is 25) for </w:t>
      </w:r>
      <w:r w:rsidR="5F047AE4" w:rsidRPr="00E6140E">
        <w:rPr>
          <w:rFonts w:ascii="Calibri" w:hAnsi="Calibri" w:cs="Calibri"/>
          <w:lang w:val="en-GB"/>
        </w:rPr>
        <w:t xml:space="preserve">each </w:t>
      </w:r>
      <w:r w:rsidRPr="00E6140E">
        <w:rPr>
          <w:rFonts w:ascii="Calibri" w:hAnsi="Calibri" w:cs="Calibri"/>
          <w:lang w:val="en-GB"/>
        </w:rPr>
        <w:t>inactive intervention (effect size of 0)</w:t>
      </w:r>
    </w:p>
    <w:p w14:paraId="6A14E533" w14:textId="6A523559" w:rsidR="0023758B" w:rsidRPr="001C0C4B" w:rsidRDefault="007627E1" w:rsidP="007627E1">
      <w:pPr>
        <w:jc w:val="both"/>
        <w:rPr>
          <w:rFonts w:cstheme="minorHAnsi"/>
        </w:rPr>
      </w:pPr>
      <w:r w:rsidRPr="001C0C4B">
        <w:rPr>
          <w:color w:val="000000"/>
          <w:shd w:val="clear" w:color="auto" w:fill="FFFFFF"/>
        </w:rPr>
        <w:t>Therefore, supposing there were 5 interventions of type A in the platform, and assuming that only 1 of the 5 were in fact effective, we would need on average a total of 50 + 4*40 = 210 patients randomised to interventions of type A (approximately 66% of the total sample size: a minimum of 20% of samples are randomised to the negative control and thus ~13% of patients are randomised to each intervention arm and the positive control arm). This implies a total of ~320 patients for the first set of interventions identified (this does not include any intensive PK sub-studies).</w:t>
      </w:r>
    </w:p>
    <w:p w14:paraId="5805AA79" w14:textId="487DBCCE" w:rsidR="49C83FEA" w:rsidRPr="001C0C4B" w:rsidRDefault="49C83FEA" w:rsidP="7FB6B068">
      <w:pPr>
        <w:jc w:val="both"/>
        <w:rPr>
          <w:rFonts w:ascii="Calibri" w:eastAsiaTheme="minorEastAsia" w:hAnsi="Calibri" w:cs="Calibri"/>
          <w:lang w:val="en-GB"/>
        </w:rPr>
      </w:pPr>
      <w:r w:rsidRPr="001C0C4B">
        <w:rPr>
          <w:rFonts w:ascii="Calibri" w:eastAsiaTheme="minorEastAsia" w:hAnsi="Calibri" w:cs="Calibri"/>
          <w:lang w:val="en-GB"/>
        </w:rPr>
        <w:t xml:space="preserve">This study is open label and so a centralized server-based randomization system will be used. Only designated study </w:t>
      </w:r>
      <w:r w:rsidR="00751241" w:rsidRPr="001C0C4B">
        <w:rPr>
          <w:rFonts w:ascii="Calibri" w:eastAsiaTheme="minorEastAsia" w:hAnsi="Calibri" w:cs="Calibri"/>
          <w:lang w:val="en-GB"/>
        </w:rPr>
        <w:t>staff</w:t>
      </w:r>
      <w:r w:rsidRPr="001C0C4B">
        <w:rPr>
          <w:rFonts w:ascii="Calibri" w:eastAsiaTheme="minorEastAsia" w:hAnsi="Calibri" w:cs="Calibri"/>
          <w:lang w:val="en-GB"/>
        </w:rPr>
        <w:t xml:space="preserve"> will be authorized to </w:t>
      </w:r>
      <w:r w:rsidR="468FF705" w:rsidRPr="001C0C4B">
        <w:rPr>
          <w:rFonts w:ascii="Calibri" w:eastAsiaTheme="minorEastAsia" w:hAnsi="Calibri" w:cs="Calibri"/>
          <w:lang w:val="en-GB"/>
        </w:rPr>
        <w:t>access</w:t>
      </w:r>
      <w:r w:rsidRPr="001C0C4B">
        <w:rPr>
          <w:rFonts w:ascii="Calibri" w:eastAsiaTheme="minorEastAsia" w:hAnsi="Calibri" w:cs="Calibri"/>
          <w:lang w:val="en-GB"/>
        </w:rPr>
        <w:t xml:space="preserve"> th</w:t>
      </w:r>
      <w:r w:rsidR="4807FB50" w:rsidRPr="001C0C4B">
        <w:rPr>
          <w:rFonts w:ascii="Calibri" w:eastAsiaTheme="minorEastAsia" w:hAnsi="Calibri" w:cs="Calibri"/>
          <w:lang w:val="en-GB"/>
        </w:rPr>
        <w:t xml:space="preserve">e </w:t>
      </w:r>
      <w:r w:rsidRPr="001C0C4B">
        <w:rPr>
          <w:rFonts w:ascii="Calibri" w:eastAsiaTheme="minorEastAsia" w:hAnsi="Calibri" w:cs="Calibri"/>
          <w:lang w:val="en-GB"/>
        </w:rPr>
        <w:t>webapp for pa</w:t>
      </w:r>
      <w:r w:rsidR="00677396" w:rsidRPr="001C0C4B">
        <w:rPr>
          <w:rFonts w:ascii="Calibri" w:eastAsiaTheme="minorEastAsia" w:hAnsi="Calibri" w:cs="Calibri"/>
          <w:lang w:val="en-GB"/>
        </w:rPr>
        <w:t>tient</w:t>
      </w:r>
      <w:r w:rsidRPr="001C0C4B">
        <w:rPr>
          <w:rFonts w:ascii="Calibri" w:eastAsiaTheme="minorEastAsia" w:hAnsi="Calibri" w:cs="Calibri"/>
          <w:lang w:val="en-GB"/>
        </w:rPr>
        <w:t xml:space="preserve"> allocation. The webapp will be password protected. All randomisation activities will be traced within the webapp and attributed to a timestamp a</w:t>
      </w:r>
      <w:r w:rsidR="1B79061F" w:rsidRPr="001C0C4B">
        <w:rPr>
          <w:rFonts w:ascii="Calibri" w:eastAsiaTheme="minorEastAsia" w:hAnsi="Calibri" w:cs="Calibri"/>
          <w:lang w:val="en-GB"/>
        </w:rPr>
        <w:t>long with the anonymised patient study code</w:t>
      </w:r>
      <w:r w:rsidR="00C46D52" w:rsidRPr="001C0C4B">
        <w:rPr>
          <w:rFonts w:ascii="Calibri" w:eastAsiaTheme="minorEastAsia" w:hAnsi="Calibri" w:cs="Calibri"/>
          <w:lang w:val="en-GB"/>
        </w:rPr>
        <w:t>, age and sex</w:t>
      </w:r>
      <w:r w:rsidRPr="001C0C4B">
        <w:rPr>
          <w:rFonts w:ascii="Calibri" w:eastAsiaTheme="minorEastAsia" w:hAnsi="Calibri" w:cs="Calibri"/>
          <w:lang w:val="en-GB"/>
        </w:rPr>
        <w:t>.</w:t>
      </w:r>
    </w:p>
    <w:p w14:paraId="6C3FDDF7" w14:textId="46C58953" w:rsidR="00AB5C7A" w:rsidRPr="001C0C4B" w:rsidRDefault="00AB5C7A" w:rsidP="002B251D">
      <w:pPr>
        <w:pStyle w:val="Heading2"/>
        <w:numPr>
          <w:ilvl w:val="1"/>
          <w:numId w:val="23"/>
        </w:numPr>
        <w:tabs>
          <w:tab w:val="left" w:pos="810"/>
        </w:tabs>
        <w:rPr>
          <w:rFonts w:ascii="Calibri" w:hAnsi="Calibri" w:cs="Calibri"/>
          <w:color w:val="auto"/>
          <w:sz w:val="22"/>
          <w:szCs w:val="22"/>
        </w:rPr>
      </w:pPr>
      <w:bookmarkStart w:id="258" w:name="_Toc96007309"/>
      <w:bookmarkStart w:id="259" w:name="_Toc95915262"/>
      <w:bookmarkStart w:id="260" w:name="_Toc74661306"/>
      <w:bookmarkStart w:id="261" w:name="_Toc110524001"/>
      <w:bookmarkStart w:id="262" w:name="_Toc96005612"/>
      <w:bookmarkStart w:id="263" w:name="_Toc112917649"/>
      <w:r w:rsidRPr="001C0C4B">
        <w:rPr>
          <w:rFonts w:ascii="Calibri" w:hAnsi="Calibri" w:cs="Calibri"/>
          <w:color w:val="auto"/>
          <w:sz w:val="22"/>
          <w:szCs w:val="22"/>
        </w:rPr>
        <w:t>Sample size for the intensive PK-PD sub-study</w:t>
      </w:r>
      <w:bookmarkEnd w:id="258"/>
      <w:bookmarkEnd w:id="259"/>
      <w:bookmarkEnd w:id="260"/>
      <w:bookmarkEnd w:id="261"/>
      <w:bookmarkEnd w:id="262"/>
      <w:bookmarkEnd w:id="263"/>
    </w:p>
    <w:p w14:paraId="10AC2A01" w14:textId="687DD4E8" w:rsidR="00AB5C7A" w:rsidRPr="001C0C4B" w:rsidRDefault="00AB5C7A" w:rsidP="005907D4">
      <w:pPr>
        <w:jc w:val="both"/>
        <w:rPr>
          <w:rFonts w:ascii="Calibri" w:hAnsi="Calibri" w:cs="Calibri"/>
          <w:lang w:val="en-GB"/>
        </w:rPr>
      </w:pPr>
      <w:r w:rsidRPr="001C0C4B">
        <w:rPr>
          <w:rFonts w:ascii="Calibri" w:hAnsi="Calibri" w:cs="Calibri"/>
          <w:lang w:val="en-GB"/>
        </w:rPr>
        <w:t xml:space="preserve">Any drugs of type A or C that </w:t>
      </w:r>
      <w:r w:rsidR="0090144D" w:rsidRPr="001C0C4B">
        <w:rPr>
          <w:rFonts w:ascii="Calibri" w:hAnsi="Calibri"/>
        </w:rPr>
        <w:t xml:space="preserve">with evidence of accelerated viral clearance from other studies (e.g. Molnupiravir, Nirmatrelvir/ritonavir) or </w:t>
      </w:r>
      <w:r w:rsidR="00F11AD0" w:rsidRPr="001C0C4B">
        <w:rPr>
          <w:rFonts w:ascii="Calibri" w:hAnsi="Calibri" w:cs="Calibri"/>
        </w:rPr>
        <w:t xml:space="preserve">which </w:t>
      </w:r>
      <w:r w:rsidRPr="001C0C4B">
        <w:rPr>
          <w:rFonts w:ascii="Calibri" w:hAnsi="Calibri" w:cs="Calibri"/>
          <w:lang w:val="en-GB"/>
        </w:rPr>
        <w:t xml:space="preserve">meet the success endpoint (&gt;90% probability that clearance is accelerated by more than </w:t>
      </w:r>
      <w:r w:rsidR="00C10B6A" w:rsidRPr="001C0C4B">
        <w:rPr>
          <w:rFonts w:ascii="Calibri" w:hAnsi="Calibri" w:cs="Calibri"/>
          <w:lang w:val="en-GB"/>
        </w:rPr>
        <w:t>12.</w:t>
      </w:r>
      <w:r w:rsidRPr="001C0C4B">
        <w:rPr>
          <w:rFonts w:ascii="Calibri" w:hAnsi="Calibri" w:cs="Calibri"/>
          <w:lang w:val="en-GB"/>
        </w:rPr>
        <w:t>5% relative to control) will be included in an intensive PK-PD study. The sample size calculation for each sub-study will be drug dependent and will use the information regarding the variability in clearance in the intervention arm versus the variability in clearance in the control arm</w:t>
      </w:r>
      <w:r w:rsidR="00AD0790" w:rsidRPr="001C0C4B">
        <w:rPr>
          <w:rFonts w:ascii="Calibri" w:hAnsi="Calibri" w:cs="Calibri"/>
          <w:lang w:val="en-GB"/>
        </w:rPr>
        <w:t xml:space="preserve"> (i.e. it will be determined by the results)</w:t>
      </w:r>
      <w:r w:rsidRPr="001C0C4B">
        <w:rPr>
          <w:rFonts w:ascii="Calibri" w:hAnsi="Calibri" w:cs="Calibri"/>
          <w:lang w:val="en-GB"/>
        </w:rPr>
        <w:t>. Larger observed variability in the intervention arm would be expected if an active intervention had variation in exposures that corresponded to variation around the near maximal effect concentration (eg EC</w:t>
      </w:r>
      <w:r w:rsidRPr="001C0C4B">
        <w:rPr>
          <w:rFonts w:ascii="Calibri" w:hAnsi="Calibri" w:cs="Calibri"/>
          <w:vertAlign w:val="subscript"/>
          <w:lang w:val="en-GB"/>
        </w:rPr>
        <w:t>95</w:t>
      </w:r>
      <w:r w:rsidRPr="001C0C4B">
        <w:rPr>
          <w:rFonts w:ascii="Calibri" w:hAnsi="Calibri" w:cs="Calibri"/>
          <w:lang w:val="en-GB"/>
        </w:rPr>
        <w:t xml:space="preserve">). </w:t>
      </w:r>
    </w:p>
    <w:p w14:paraId="7B69357F" w14:textId="3E5DA62B" w:rsidR="00AB5C7A" w:rsidRPr="001C0C4B" w:rsidRDefault="00AB5C7A" w:rsidP="005907D4">
      <w:pPr>
        <w:jc w:val="both"/>
        <w:rPr>
          <w:rFonts w:ascii="Calibri" w:hAnsi="Calibri" w:cs="Calibri"/>
          <w:lang w:val="en-GB"/>
        </w:rPr>
      </w:pPr>
      <w:r w:rsidRPr="001C0C4B">
        <w:rPr>
          <w:rFonts w:ascii="Calibri" w:hAnsi="Calibri" w:cs="Calibri"/>
          <w:lang w:val="en-GB"/>
        </w:rPr>
        <w:t xml:space="preserve">We will use a </w:t>
      </w:r>
      <w:r w:rsidR="002A604C" w:rsidRPr="001C0C4B">
        <w:rPr>
          <w:rFonts w:ascii="Calibri" w:hAnsi="Calibri" w:cs="Calibri"/>
          <w:lang w:val="en-GB"/>
        </w:rPr>
        <w:t xml:space="preserve">PK </w:t>
      </w:r>
      <w:r w:rsidRPr="001C0C4B">
        <w:rPr>
          <w:rFonts w:ascii="Calibri" w:hAnsi="Calibri" w:cs="Calibri"/>
          <w:lang w:val="en-GB"/>
        </w:rPr>
        <w:t>simulation</w:t>
      </w:r>
      <w:r w:rsidR="180E8317" w:rsidRPr="001C0C4B">
        <w:rPr>
          <w:rFonts w:ascii="Calibri" w:hAnsi="Calibri" w:cs="Calibri"/>
          <w:lang w:val="en-GB"/>
        </w:rPr>
        <w:t>-</w:t>
      </w:r>
      <w:r w:rsidRPr="001C0C4B">
        <w:rPr>
          <w:rFonts w:ascii="Calibri" w:hAnsi="Calibri" w:cs="Calibri"/>
          <w:lang w:val="en-GB"/>
        </w:rPr>
        <w:t xml:space="preserve">based approach where we will simulate predicted </w:t>
      </w:r>
      <w:r w:rsidR="00AD0790" w:rsidRPr="001C0C4B">
        <w:rPr>
          <w:rFonts w:ascii="Calibri" w:hAnsi="Calibri" w:cs="Calibri"/>
          <w:lang w:val="en-GB"/>
        </w:rPr>
        <w:t xml:space="preserve">drug </w:t>
      </w:r>
      <w:r w:rsidRPr="001C0C4B">
        <w:rPr>
          <w:rFonts w:ascii="Calibri" w:hAnsi="Calibri" w:cs="Calibri"/>
          <w:lang w:val="en-GB"/>
        </w:rPr>
        <w:t xml:space="preserve">AUC </w:t>
      </w:r>
      <w:r w:rsidR="002A604C" w:rsidRPr="001C0C4B">
        <w:rPr>
          <w:rFonts w:ascii="Calibri" w:hAnsi="Calibri" w:cs="Calibri"/>
          <w:lang w:val="en-GB"/>
        </w:rPr>
        <w:t xml:space="preserve">values for patients given the chacteristics of the patients in each site (weight and sex) and use the observed variability in viral clearance rates to estimate the necessary sample size to infer a dose-response relationship whereby a 10% increase in AUC resulted in a </w:t>
      </w:r>
      <w:r w:rsidR="000407B1" w:rsidRPr="001C0C4B">
        <w:rPr>
          <w:rFonts w:ascii="Calibri" w:hAnsi="Calibri" w:cs="Calibri"/>
          <w:lang w:val="en-GB"/>
        </w:rPr>
        <w:t>1</w:t>
      </w:r>
      <w:r w:rsidR="00C10B6A" w:rsidRPr="001C0C4B">
        <w:rPr>
          <w:rFonts w:ascii="Calibri" w:hAnsi="Calibri" w:cs="Calibri"/>
          <w:lang w:val="en-GB"/>
        </w:rPr>
        <w:t>0</w:t>
      </w:r>
      <w:r w:rsidR="002A604C" w:rsidRPr="001C0C4B">
        <w:rPr>
          <w:rFonts w:ascii="Calibri" w:hAnsi="Calibri" w:cs="Calibri"/>
          <w:lang w:val="en-GB"/>
        </w:rPr>
        <w:t>% increase in the slope of viral clearance with 80% power and 5% type 1 error.</w:t>
      </w:r>
    </w:p>
    <w:p w14:paraId="3545DC68" w14:textId="46CF1F11" w:rsidR="0F6FB10B" w:rsidRPr="001C0C4B" w:rsidRDefault="0F6FB10B" w:rsidP="002B251D">
      <w:pPr>
        <w:pStyle w:val="Heading2"/>
        <w:numPr>
          <w:ilvl w:val="1"/>
          <w:numId w:val="23"/>
        </w:numPr>
        <w:tabs>
          <w:tab w:val="left" w:pos="900"/>
        </w:tabs>
        <w:rPr>
          <w:rFonts w:ascii="Calibri" w:hAnsi="Calibri" w:cs="Calibri"/>
          <w:color w:val="auto"/>
          <w:sz w:val="22"/>
          <w:szCs w:val="22"/>
        </w:rPr>
      </w:pPr>
      <w:bookmarkStart w:id="264" w:name="_Toc96007310"/>
      <w:bookmarkStart w:id="265" w:name="_Toc95915263"/>
      <w:bookmarkStart w:id="266" w:name="_Toc110524002"/>
      <w:bookmarkStart w:id="267" w:name="_Toc96005613"/>
      <w:bookmarkStart w:id="268" w:name="_Toc112917650"/>
      <w:r w:rsidRPr="001C0C4B">
        <w:rPr>
          <w:rFonts w:ascii="Calibri" w:hAnsi="Calibri" w:cs="Calibri"/>
          <w:color w:val="auto"/>
          <w:sz w:val="22"/>
          <w:szCs w:val="22"/>
        </w:rPr>
        <w:t>Final analysis of primary outcome</w:t>
      </w:r>
      <w:bookmarkEnd w:id="264"/>
      <w:bookmarkEnd w:id="265"/>
      <w:bookmarkEnd w:id="266"/>
      <w:bookmarkEnd w:id="267"/>
      <w:bookmarkEnd w:id="268"/>
    </w:p>
    <w:p w14:paraId="29B74D3E" w14:textId="7065ABAF" w:rsidR="00EA1F4B" w:rsidRPr="001C0C4B" w:rsidRDefault="191B6F5F" w:rsidP="00FA3D83">
      <w:pPr>
        <w:jc w:val="both"/>
        <w:rPr>
          <w:rFonts w:ascii="Calibri" w:hAnsi="Calibri" w:cs="Calibri"/>
          <w:lang w:val="en-GB"/>
        </w:rPr>
      </w:pPr>
      <w:r w:rsidRPr="001C0C4B">
        <w:rPr>
          <w:rFonts w:ascii="Calibri" w:hAnsi="Calibri" w:cs="Calibri"/>
          <w:lang w:val="en-GB"/>
        </w:rPr>
        <w:t xml:space="preserve">The final analysis will fit a </w:t>
      </w:r>
      <w:r w:rsidR="000407B1" w:rsidRPr="001C0C4B">
        <w:rPr>
          <w:rFonts w:ascii="Calibri" w:hAnsi="Calibri" w:cs="Calibri"/>
          <w:lang w:val="en-GB"/>
        </w:rPr>
        <w:t>series</w:t>
      </w:r>
      <w:r w:rsidRPr="001C0C4B">
        <w:rPr>
          <w:rFonts w:ascii="Calibri" w:hAnsi="Calibri" w:cs="Calibri"/>
          <w:lang w:val="en-GB"/>
        </w:rPr>
        <w:t xml:space="preserve"> </w:t>
      </w:r>
      <w:r w:rsidR="4CF68D69" w:rsidRPr="001C0C4B">
        <w:rPr>
          <w:rFonts w:ascii="Calibri" w:hAnsi="Calibri" w:cs="Calibri"/>
          <w:lang w:val="en-GB"/>
        </w:rPr>
        <w:t xml:space="preserve">Bayesian </w:t>
      </w:r>
      <w:r w:rsidRPr="001C0C4B">
        <w:rPr>
          <w:rFonts w:ascii="Calibri" w:hAnsi="Calibri" w:cs="Calibri"/>
          <w:lang w:val="en-GB"/>
        </w:rPr>
        <w:t xml:space="preserve">hierarchical linear </w:t>
      </w:r>
      <w:r w:rsidR="000407B1" w:rsidRPr="001C0C4B">
        <w:rPr>
          <w:rFonts w:ascii="Calibri" w:hAnsi="Calibri" w:cs="Calibri"/>
          <w:lang w:val="en-GB"/>
        </w:rPr>
        <w:t xml:space="preserve">and non-linear </w:t>
      </w:r>
      <w:r w:rsidRPr="001C0C4B">
        <w:rPr>
          <w:rFonts w:ascii="Calibri" w:hAnsi="Calibri" w:cs="Calibri"/>
          <w:lang w:val="en-GB"/>
        </w:rPr>
        <w:t>model</w:t>
      </w:r>
      <w:r w:rsidR="000407B1" w:rsidRPr="001C0C4B">
        <w:rPr>
          <w:rFonts w:ascii="Calibri" w:hAnsi="Calibri" w:cs="Calibri"/>
          <w:lang w:val="en-GB"/>
        </w:rPr>
        <w:t>s</w:t>
      </w:r>
      <w:r w:rsidRPr="001C0C4B">
        <w:rPr>
          <w:rFonts w:ascii="Calibri" w:hAnsi="Calibri" w:cs="Calibri"/>
          <w:lang w:val="en-GB"/>
        </w:rPr>
        <w:t xml:space="preserve"> to the serial </w:t>
      </w:r>
      <w:r w:rsidR="000407B1" w:rsidRPr="001C0C4B">
        <w:rPr>
          <w:rFonts w:ascii="Calibri" w:hAnsi="Calibri" w:cs="Calibri"/>
          <w:lang w:val="en-GB"/>
        </w:rPr>
        <w:t>log</w:t>
      </w:r>
      <w:r w:rsidR="000407B1" w:rsidRPr="001C0C4B">
        <w:rPr>
          <w:rFonts w:ascii="Calibri" w:hAnsi="Calibri" w:cs="Calibri"/>
          <w:vertAlign w:val="subscript"/>
          <w:lang w:val="en-GB"/>
        </w:rPr>
        <w:t>10</w:t>
      </w:r>
      <w:r w:rsidR="000407B1" w:rsidRPr="001C0C4B">
        <w:rPr>
          <w:rFonts w:ascii="Calibri" w:hAnsi="Calibri" w:cs="Calibri"/>
          <w:lang w:val="en-GB"/>
        </w:rPr>
        <w:t xml:space="preserve"> viral load measurements (copies per mL).</w:t>
      </w:r>
      <w:r w:rsidR="777AE72B" w:rsidRPr="001C0C4B">
        <w:rPr>
          <w:rFonts w:ascii="Calibri" w:hAnsi="Calibri" w:cs="Calibri"/>
          <w:lang w:val="en-GB"/>
        </w:rPr>
        <w:t xml:space="preserve"> The primary estimates of interest are the relative c</w:t>
      </w:r>
      <w:r w:rsidR="57C3D8EE" w:rsidRPr="001C0C4B">
        <w:rPr>
          <w:rFonts w:ascii="Calibri" w:hAnsi="Calibri" w:cs="Calibri"/>
          <w:lang w:val="en-GB"/>
        </w:rPr>
        <w:t xml:space="preserve">hanges in </w:t>
      </w:r>
      <w:r w:rsidR="000407B1" w:rsidRPr="001C0C4B">
        <w:rPr>
          <w:rFonts w:ascii="Calibri" w:hAnsi="Calibri" w:cs="Calibri"/>
          <w:lang w:val="en-GB"/>
        </w:rPr>
        <w:t xml:space="preserve">the rate of </w:t>
      </w:r>
      <w:r w:rsidR="57C3D8EE" w:rsidRPr="001C0C4B">
        <w:rPr>
          <w:rFonts w:ascii="Calibri" w:hAnsi="Calibri" w:cs="Calibri"/>
          <w:lang w:val="en-GB"/>
        </w:rPr>
        <w:t xml:space="preserve">viral clearance for the intervention arms (including the positive control arm) compared to the </w:t>
      </w:r>
      <w:r w:rsidR="000407B1" w:rsidRPr="001C0C4B">
        <w:rPr>
          <w:rFonts w:ascii="Calibri" w:hAnsi="Calibri" w:cs="Calibri"/>
          <w:lang w:val="en-GB"/>
        </w:rPr>
        <w:t>no study drug arm</w:t>
      </w:r>
      <w:r w:rsidR="57C3D8EE" w:rsidRPr="001C0C4B">
        <w:rPr>
          <w:rFonts w:ascii="Calibri" w:hAnsi="Calibri" w:cs="Calibri"/>
          <w:lang w:val="en-GB"/>
        </w:rPr>
        <w:t>.</w:t>
      </w:r>
      <w:r w:rsidR="43619733" w:rsidRPr="001C0C4B">
        <w:rPr>
          <w:rFonts w:ascii="Calibri" w:hAnsi="Calibri" w:cs="Calibri"/>
          <w:lang w:val="en-GB"/>
        </w:rPr>
        <w:t xml:space="preserve"> </w:t>
      </w:r>
      <w:r w:rsidR="57CF8B7F" w:rsidRPr="001C0C4B">
        <w:rPr>
          <w:rFonts w:ascii="Calibri" w:hAnsi="Calibri" w:cs="Calibri"/>
          <w:lang w:val="en-GB"/>
        </w:rPr>
        <w:t>These will be reported as their mean posterior estimates along with credible intervals. A</w:t>
      </w:r>
      <w:r w:rsidR="7BA9478B" w:rsidRPr="001C0C4B">
        <w:rPr>
          <w:rFonts w:ascii="Calibri" w:hAnsi="Calibri" w:cs="Calibri"/>
          <w:lang w:val="en-GB"/>
        </w:rPr>
        <w:t xml:space="preserve">ll analyses will be done using </w:t>
      </w:r>
      <w:r w:rsidR="7BA9478B" w:rsidRPr="001C0C4B">
        <w:rPr>
          <w:rFonts w:ascii="Calibri" w:hAnsi="Calibri"/>
          <w:i/>
          <w:lang w:val="en-GB"/>
        </w:rPr>
        <w:t>R</w:t>
      </w:r>
      <w:r w:rsidR="7BA9478B" w:rsidRPr="001C0C4B">
        <w:rPr>
          <w:rFonts w:ascii="Calibri" w:hAnsi="Calibri" w:cs="Calibri"/>
          <w:lang w:val="en-GB"/>
        </w:rPr>
        <w:t xml:space="preserve"> </w:t>
      </w:r>
      <w:r w:rsidR="000407B1" w:rsidRPr="001C0C4B">
        <w:rPr>
          <w:rFonts w:ascii="Calibri" w:hAnsi="Calibri" w:cs="Calibri"/>
          <w:lang w:val="en-GB"/>
        </w:rPr>
        <w:t>using</w:t>
      </w:r>
      <w:r w:rsidR="7BA9478B" w:rsidRPr="001C0C4B">
        <w:rPr>
          <w:rFonts w:ascii="Calibri" w:hAnsi="Calibri" w:cs="Calibri"/>
          <w:lang w:val="en-GB"/>
        </w:rPr>
        <w:t xml:space="preserve"> the package </w:t>
      </w:r>
      <w:r w:rsidR="7BA9478B" w:rsidRPr="001C0C4B">
        <w:rPr>
          <w:rFonts w:ascii="Calibri" w:hAnsi="Calibri" w:cs="Calibri"/>
          <w:i/>
          <w:iCs/>
          <w:lang w:val="en-GB"/>
        </w:rPr>
        <w:t>rstan</w:t>
      </w:r>
      <w:r w:rsidR="7BA9478B" w:rsidRPr="001C0C4B">
        <w:rPr>
          <w:rFonts w:ascii="Calibri" w:hAnsi="Calibri" w:cs="Calibri"/>
          <w:lang w:val="en-GB"/>
        </w:rPr>
        <w:t xml:space="preserve"> along with bespoke software. </w:t>
      </w:r>
      <w:r w:rsidR="000407B1" w:rsidRPr="001C0C4B">
        <w:rPr>
          <w:rFonts w:ascii="Calibri" w:hAnsi="Calibri" w:cs="Calibri"/>
          <w:lang w:val="en-GB"/>
        </w:rPr>
        <w:t>A</w:t>
      </w:r>
      <w:r w:rsidR="7BA9478B" w:rsidRPr="001C0C4B">
        <w:rPr>
          <w:rFonts w:ascii="Calibri" w:hAnsi="Calibri" w:cs="Calibri"/>
          <w:lang w:val="en-GB"/>
        </w:rPr>
        <w:t xml:space="preserve">ll analysis code </w:t>
      </w:r>
      <w:r w:rsidR="000407B1" w:rsidRPr="001C0C4B">
        <w:rPr>
          <w:rFonts w:ascii="Calibri" w:hAnsi="Calibri" w:cs="Calibri"/>
          <w:lang w:val="en-GB"/>
        </w:rPr>
        <w:t>is</w:t>
      </w:r>
      <w:r w:rsidR="7BA9478B" w:rsidRPr="001C0C4B">
        <w:rPr>
          <w:rFonts w:ascii="Calibri" w:hAnsi="Calibri" w:cs="Calibri"/>
          <w:lang w:val="en-GB"/>
        </w:rPr>
        <w:t xml:space="preserve"> openly available via a </w:t>
      </w:r>
      <w:r w:rsidR="004F02B1" w:rsidRPr="001C0C4B">
        <w:rPr>
          <w:rFonts w:ascii="Calibri" w:hAnsi="Calibri" w:cs="Calibri"/>
          <w:lang w:val="en-GB"/>
        </w:rPr>
        <w:t>G</w:t>
      </w:r>
      <w:r w:rsidR="7BA9478B" w:rsidRPr="001C0C4B">
        <w:rPr>
          <w:rFonts w:ascii="Calibri" w:hAnsi="Calibri" w:cs="Calibri"/>
          <w:lang w:val="en-GB"/>
        </w:rPr>
        <w:t>it</w:t>
      </w:r>
      <w:r w:rsidR="004F02B1" w:rsidRPr="001C0C4B">
        <w:rPr>
          <w:rFonts w:ascii="Calibri" w:hAnsi="Calibri" w:cs="Calibri"/>
          <w:lang w:val="en-GB"/>
        </w:rPr>
        <w:t>H</w:t>
      </w:r>
      <w:r w:rsidR="7BA9478B" w:rsidRPr="001C0C4B">
        <w:rPr>
          <w:rFonts w:ascii="Calibri" w:hAnsi="Calibri" w:cs="Calibri"/>
          <w:lang w:val="en-GB"/>
        </w:rPr>
        <w:t>ub repo</w:t>
      </w:r>
      <w:r w:rsidR="67892010" w:rsidRPr="001C0C4B">
        <w:rPr>
          <w:rFonts w:ascii="Calibri" w:hAnsi="Calibri" w:cs="Calibri"/>
          <w:lang w:val="en-GB"/>
        </w:rPr>
        <w:t>sitory</w:t>
      </w:r>
      <w:r w:rsidR="000407B1" w:rsidRPr="001C0C4B">
        <w:rPr>
          <w:rFonts w:ascii="Calibri" w:hAnsi="Calibri" w:cs="Calibri"/>
          <w:lang w:val="en-GB"/>
        </w:rPr>
        <w:t xml:space="preserve">: </w:t>
      </w:r>
      <w:hyperlink r:id="rId21" w:history="1">
        <w:r w:rsidR="000407B1" w:rsidRPr="001C0C4B">
          <w:rPr>
            <w:rStyle w:val="Hyperlink"/>
            <w:rFonts w:ascii="Calibri" w:hAnsi="Calibri" w:cs="Calibri"/>
            <w:lang w:val="en-GB"/>
          </w:rPr>
          <w:t>https://github.com/jwatowatson/PLATCOV-SAP</w:t>
        </w:r>
      </w:hyperlink>
      <w:r w:rsidR="000407B1" w:rsidRPr="001C0C4B">
        <w:rPr>
          <w:rFonts w:ascii="Calibri" w:hAnsi="Calibri" w:cs="Calibri"/>
          <w:lang w:val="en-GB"/>
        </w:rPr>
        <w:t>.</w:t>
      </w:r>
      <w:r w:rsidR="7BA9478B" w:rsidRPr="001C0C4B">
        <w:rPr>
          <w:rFonts w:ascii="Calibri" w:hAnsi="Calibri" w:cs="Calibri"/>
          <w:lang w:val="en-GB"/>
        </w:rPr>
        <w:t xml:space="preserve"> </w:t>
      </w:r>
      <w:r w:rsidR="000407B1" w:rsidRPr="001C0C4B">
        <w:rPr>
          <w:rFonts w:ascii="Calibri" w:hAnsi="Calibri" w:cs="Calibri"/>
          <w:lang w:val="en-GB"/>
        </w:rPr>
        <w:t>A</w:t>
      </w:r>
      <w:r w:rsidR="7BA9478B" w:rsidRPr="001C0C4B">
        <w:rPr>
          <w:rFonts w:ascii="Calibri" w:hAnsi="Calibri" w:cs="Calibri"/>
          <w:lang w:val="en-GB"/>
        </w:rPr>
        <w:t xml:space="preserve">nonymised </w:t>
      </w:r>
      <w:r w:rsidR="000407B1" w:rsidRPr="001C0C4B">
        <w:rPr>
          <w:rFonts w:ascii="Calibri" w:hAnsi="Calibri" w:cs="Calibri"/>
          <w:lang w:val="en-GB"/>
        </w:rPr>
        <w:t>viral load data</w:t>
      </w:r>
      <w:r w:rsidR="6BCFAA4C" w:rsidRPr="001C0C4B">
        <w:rPr>
          <w:rFonts w:ascii="Calibri" w:hAnsi="Calibri" w:cs="Calibri"/>
          <w:lang w:val="en-GB"/>
        </w:rPr>
        <w:t xml:space="preserve"> and key meta data (</w:t>
      </w:r>
      <w:r w:rsidR="000407B1" w:rsidRPr="001C0C4B">
        <w:rPr>
          <w:rFonts w:ascii="Calibri" w:hAnsi="Calibri" w:cs="Calibri"/>
          <w:lang w:val="en-GB"/>
        </w:rPr>
        <w:t xml:space="preserve">e.g. </w:t>
      </w:r>
      <w:r w:rsidR="6BCFAA4C" w:rsidRPr="001C0C4B">
        <w:rPr>
          <w:rFonts w:ascii="Calibri" w:hAnsi="Calibri" w:cs="Calibri"/>
          <w:lang w:val="en-GB"/>
        </w:rPr>
        <w:t>site, strata, randomised allocation)</w:t>
      </w:r>
      <w:r w:rsidR="000407B1" w:rsidRPr="001C0C4B">
        <w:rPr>
          <w:rFonts w:ascii="Calibri" w:hAnsi="Calibri" w:cs="Calibri"/>
          <w:lang w:val="en-GB"/>
        </w:rPr>
        <w:t xml:space="preserve"> will be made available at publication of results</w:t>
      </w:r>
      <w:r w:rsidR="28ABD786" w:rsidRPr="001C0C4B">
        <w:rPr>
          <w:rFonts w:ascii="Calibri" w:hAnsi="Calibri" w:cs="Calibri"/>
          <w:lang w:val="en-GB"/>
        </w:rPr>
        <w:t>.</w:t>
      </w:r>
      <w:r w:rsidR="43619733" w:rsidRPr="001C0C4B">
        <w:rPr>
          <w:rFonts w:ascii="Calibri" w:hAnsi="Calibri" w:cs="Calibri"/>
          <w:lang w:val="en-GB"/>
        </w:rPr>
        <w:t xml:space="preserve"> </w:t>
      </w:r>
    </w:p>
    <w:p w14:paraId="5F7F934A" w14:textId="44BBF56E" w:rsidR="00EA1F4B" w:rsidRPr="001C0C4B" w:rsidRDefault="1E0C63F7" w:rsidP="00E142CD">
      <w:pPr>
        <w:pStyle w:val="Heading1"/>
        <w:numPr>
          <w:ilvl w:val="0"/>
          <w:numId w:val="23"/>
        </w:numPr>
        <w:rPr>
          <w:rFonts w:ascii="Calibri" w:hAnsi="Calibri" w:cs="Calibri"/>
          <w:color w:val="auto"/>
          <w:sz w:val="22"/>
          <w:szCs w:val="22"/>
          <w:lang w:val="en-GB"/>
        </w:rPr>
      </w:pPr>
      <w:bookmarkStart w:id="269" w:name="_Toc96007311"/>
      <w:bookmarkStart w:id="270" w:name="_Toc95915264"/>
      <w:bookmarkStart w:id="271" w:name="_Toc74661308"/>
      <w:bookmarkStart w:id="272" w:name="_Toc110524003"/>
      <w:bookmarkStart w:id="273" w:name="_Toc96005614"/>
      <w:bookmarkStart w:id="274" w:name="_Toc112917651"/>
      <w:r w:rsidRPr="001C0C4B">
        <w:rPr>
          <w:rFonts w:ascii="Calibri" w:hAnsi="Calibri" w:cs="Calibri"/>
          <w:color w:val="auto"/>
          <w:sz w:val="22"/>
          <w:szCs w:val="22"/>
          <w:lang w:val="en-GB"/>
        </w:rPr>
        <w:t>DATA MANAGEMENT</w:t>
      </w:r>
      <w:bookmarkEnd w:id="269"/>
      <w:bookmarkEnd w:id="270"/>
      <w:bookmarkEnd w:id="271"/>
      <w:bookmarkEnd w:id="272"/>
      <w:bookmarkEnd w:id="273"/>
      <w:bookmarkEnd w:id="274"/>
    </w:p>
    <w:p w14:paraId="633B17C7" w14:textId="11C27A9F" w:rsidR="00EA1F4B" w:rsidRPr="001C0C4B" w:rsidRDefault="1E0C63F7" w:rsidP="002B251D">
      <w:pPr>
        <w:pStyle w:val="Heading2"/>
        <w:numPr>
          <w:ilvl w:val="1"/>
          <w:numId w:val="23"/>
        </w:numPr>
        <w:tabs>
          <w:tab w:val="left" w:pos="900"/>
        </w:tabs>
        <w:rPr>
          <w:rFonts w:ascii="Calibri" w:hAnsi="Calibri" w:cs="Calibri"/>
          <w:color w:val="auto"/>
          <w:sz w:val="22"/>
          <w:szCs w:val="22"/>
        </w:rPr>
      </w:pPr>
      <w:bookmarkStart w:id="275" w:name="_Toc96007312"/>
      <w:bookmarkStart w:id="276" w:name="_Toc95915265"/>
      <w:bookmarkStart w:id="277" w:name="_Toc74661309"/>
      <w:bookmarkStart w:id="278" w:name="_Toc110524004"/>
      <w:bookmarkStart w:id="279" w:name="_Toc96005615"/>
      <w:bookmarkStart w:id="280" w:name="_Toc112917652"/>
      <w:r w:rsidRPr="001C0C4B">
        <w:rPr>
          <w:rFonts w:ascii="Calibri" w:hAnsi="Calibri" w:cs="Calibri"/>
          <w:color w:val="auto"/>
          <w:sz w:val="22"/>
          <w:szCs w:val="22"/>
        </w:rPr>
        <w:t>Access to Data</w:t>
      </w:r>
      <w:bookmarkEnd w:id="275"/>
      <w:bookmarkEnd w:id="276"/>
      <w:bookmarkEnd w:id="277"/>
      <w:bookmarkEnd w:id="278"/>
      <w:bookmarkEnd w:id="279"/>
      <w:bookmarkEnd w:id="280"/>
    </w:p>
    <w:p w14:paraId="2000D3D3" w14:textId="2A5CA2DC" w:rsidR="00EA1F4B" w:rsidRPr="001C0C4B" w:rsidRDefault="1E0C63F7" w:rsidP="00F73C0C">
      <w:pPr>
        <w:spacing w:after="200" w:line="276" w:lineRule="auto"/>
        <w:jc w:val="both"/>
        <w:rPr>
          <w:rFonts w:ascii="Calibri" w:eastAsia="Calibri" w:hAnsi="Calibri" w:cs="Calibri"/>
        </w:rPr>
      </w:pPr>
      <w:r w:rsidRPr="001C0C4B">
        <w:rPr>
          <w:rFonts w:ascii="Calibri" w:eastAsia="Calibri" w:hAnsi="Calibri" w:cs="Calibri"/>
          <w:lang w:val="en-GB"/>
        </w:rPr>
        <w:t>Direct access will be granted to authorised representatives from the University of Oxford and any host institution for monitoring and/or audit of the study to ensure compliance with regulations.</w:t>
      </w:r>
      <w:r w:rsidR="002B0A80" w:rsidRPr="001C0C4B">
        <w:rPr>
          <w:rFonts w:ascii="Calibri" w:eastAsia="Calibri" w:hAnsi="Calibri" w:cs="Calibri"/>
          <w:lang w:val="en-GB"/>
        </w:rPr>
        <w:t xml:space="preserve"> Outcome data and treatment </w:t>
      </w:r>
      <w:r w:rsidR="000B0EDD" w:rsidRPr="001C0C4B">
        <w:rPr>
          <w:rFonts w:ascii="Calibri" w:eastAsia="Calibri" w:hAnsi="Calibri" w:cs="Calibri"/>
          <w:lang w:val="en-GB"/>
        </w:rPr>
        <w:t>assignment</w:t>
      </w:r>
      <w:r w:rsidR="002B0A80" w:rsidRPr="001C0C4B">
        <w:rPr>
          <w:rFonts w:ascii="Calibri" w:eastAsia="Calibri" w:hAnsi="Calibri" w:cs="Calibri"/>
          <w:lang w:val="en-GB"/>
        </w:rPr>
        <w:t xml:space="preserve"> data will be made available for analysis in real time. </w:t>
      </w:r>
    </w:p>
    <w:p w14:paraId="2C0FB014" w14:textId="3C95B982" w:rsidR="00EA1F4B" w:rsidRPr="001C0C4B" w:rsidRDefault="1E0C63F7" w:rsidP="002B251D">
      <w:pPr>
        <w:pStyle w:val="Heading2"/>
        <w:numPr>
          <w:ilvl w:val="1"/>
          <w:numId w:val="23"/>
        </w:numPr>
        <w:tabs>
          <w:tab w:val="left" w:pos="900"/>
        </w:tabs>
        <w:rPr>
          <w:rFonts w:ascii="Calibri" w:hAnsi="Calibri" w:cs="Calibri"/>
          <w:color w:val="auto"/>
          <w:sz w:val="22"/>
          <w:szCs w:val="22"/>
        </w:rPr>
      </w:pPr>
      <w:bookmarkStart w:id="281" w:name="_Toc96007313"/>
      <w:bookmarkStart w:id="282" w:name="_Toc95915266"/>
      <w:bookmarkStart w:id="283" w:name="_Toc74661310"/>
      <w:bookmarkStart w:id="284" w:name="_Toc110524005"/>
      <w:bookmarkStart w:id="285" w:name="_Toc96005616"/>
      <w:bookmarkStart w:id="286" w:name="_Toc112917653"/>
      <w:r w:rsidRPr="001C0C4B">
        <w:rPr>
          <w:rFonts w:ascii="Calibri" w:hAnsi="Calibri" w:cs="Calibri"/>
          <w:color w:val="auto"/>
          <w:sz w:val="22"/>
          <w:szCs w:val="22"/>
        </w:rPr>
        <w:t>Data Handling and Record Keeping</w:t>
      </w:r>
      <w:bookmarkEnd w:id="281"/>
      <w:bookmarkEnd w:id="282"/>
      <w:bookmarkEnd w:id="283"/>
      <w:bookmarkEnd w:id="284"/>
      <w:bookmarkEnd w:id="285"/>
      <w:bookmarkEnd w:id="286"/>
    </w:p>
    <w:p w14:paraId="64C29DC4" w14:textId="6DCE5D88" w:rsidR="00D82084" w:rsidRPr="001C0C4B" w:rsidRDefault="00D82084" w:rsidP="00DA0B35">
      <w:pPr>
        <w:tabs>
          <w:tab w:val="left" w:pos="709"/>
        </w:tabs>
        <w:spacing w:line="240" w:lineRule="auto"/>
        <w:jc w:val="both"/>
        <w:rPr>
          <w:rFonts w:ascii="Calibri" w:eastAsia="Calibri" w:hAnsi="Calibri" w:cs="Calibri"/>
          <w:lang w:val="en-GB"/>
        </w:rPr>
      </w:pPr>
      <w:r w:rsidRPr="001C0C4B">
        <w:rPr>
          <w:rFonts w:ascii="Calibri" w:eastAsia="Calibri" w:hAnsi="Calibri" w:cs="Calibri"/>
          <w:lang w:val="en-GB"/>
        </w:rPr>
        <w:t>Clinical study data will be recorded on CRFs and entered on to a password-protected database by the local study PI, research nurse or designee. The study database will be built in MACRO EDC, a clinical data management system that is compliant with ICH GCP and FDA 21 CFR Part 11 and will be hosted in a secure, access-restricted server in MORU. The study database will include internal quality checks to identify data that appear inconsistent, incomplete, or inaccurate.</w:t>
      </w:r>
    </w:p>
    <w:p w14:paraId="736D50CB" w14:textId="3EE09DF9" w:rsidR="00974F01" w:rsidRPr="001C0C4B" w:rsidRDefault="00974F01" w:rsidP="00974F01">
      <w:pPr>
        <w:spacing w:after="120" w:line="240" w:lineRule="auto"/>
        <w:jc w:val="both"/>
        <w:rPr>
          <w:rFonts w:ascii="Calibri" w:hAnsi="Calibri" w:cs="Calibri"/>
        </w:rPr>
      </w:pPr>
      <w:r w:rsidRPr="001C0C4B">
        <w:rPr>
          <w:rFonts w:ascii="Calibri" w:eastAsia="Calibri" w:hAnsi="Calibri" w:cs="Calibri"/>
        </w:rPr>
        <w:lastRenderedPageBreak/>
        <w:t xml:space="preserve">Measures will be taken to ensure non-disclosure of information that is potentially harmful to </w:t>
      </w:r>
      <w:r w:rsidR="00CE0FB2" w:rsidRPr="001C0C4B">
        <w:rPr>
          <w:rFonts w:ascii="Calibri" w:eastAsia="Calibri" w:hAnsi="Calibri" w:cs="Calibri"/>
        </w:rPr>
        <w:t>patient</w:t>
      </w:r>
      <w:r w:rsidRPr="001C0C4B">
        <w:rPr>
          <w:rFonts w:ascii="Calibri" w:eastAsia="Calibri" w:hAnsi="Calibri" w:cs="Calibri"/>
        </w:rPr>
        <w:t xml:space="preserve">s. Paper records (for example, patient identifiable information for the purposes of follow-up, the screening logs and signed ICFs) will be kept in locked cabinets; electronic data will only be accessible to staff with user accounts and passwords. The database </w:t>
      </w:r>
      <w:r w:rsidRPr="001C0C4B">
        <w:rPr>
          <w:rFonts w:ascii="Calibri" w:hAnsi="Calibri" w:cs="Calibri"/>
        </w:rPr>
        <w:t xml:space="preserve">contains an </w:t>
      </w:r>
      <w:r w:rsidRPr="001C0C4B">
        <w:rPr>
          <w:rFonts w:ascii="Calibri" w:eastAsia="Calibri" w:hAnsi="Calibri" w:cs="Calibri"/>
        </w:rPr>
        <w:t xml:space="preserve">audit trail that </w:t>
      </w:r>
      <w:r w:rsidRPr="001C0C4B">
        <w:rPr>
          <w:rFonts w:ascii="Calibri" w:hAnsi="Calibri" w:cs="Calibri"/>
        </w:rPr>
        <w:t>keeps</w:t>
      </w:r>
      <w:r w:rsidRPr="001C0C4B">
        <w:rPr>
          <w:rFonts w:ascii="Calibri" w:eastAsia="Calibri" w:hAnsi="Calibri" w:cs="Calibri"/>
        </w:rPr>
        <w:t xml:space="preserve"> record </w:t>
      </w:r>
      <w:r w:rsidRPr="001C0C4B">
        <w:rPr>
          <w:rFonts w:ascii="Calibri" w:hAnsi="Calibri" w:cs="Calibri"/>
        </w:rPr>
        <w:t xml:space="preserve">of </w:t>
      </w:r>
      <w:r w:rsidRPr="001C0C4B">
        <w:rPr>
          <w:rFonts w:ascii="Calibri" w:eastAsia="Calibri" w:hAnsi="Calibri" w:cs="Calibri"/>
        </w:rPr>
        <w:t xml:space="preserve">changes to data and user activity within the database. </w:t>
      </w:r>
      <w:r w:rsidRPr="001C0C4B">
        <w:rPr>
          <w:rFonts w:ascii="Calibri" w:hAnsi="Calibri" w:cs="Calibri"/>
        </w:rPr>
        <w:t xml:space="preserve">All electronic data </w:t>
      </w:r>
      <w:r w:rsidRPr="001C0C4B">
        <w:rPr>
          <w:rFonts w:ascii="Calibri" w:eastAsia="Calibri" w:hAnsi="Calibri" w:cs="Calibri"/>
        </w:rPr>
        <w:t xml:space="preserve">will be stored on </w:t>
      </w:r>
      <w:r w:rsidRPr="001C0C4B">
        <w:rPr>
          <w:rFonts w:ascii="Calibri" w:hAnsi="Calibri" w:cs="Calibri"/>
        </w:rPr>
        <w:t>secure</w:t>
      </w:r>
      <w:r w:rsidRPr="001C0C4B">
        <w:rPr>
          <w:rFonts w:ascii="Calibri" w:eastAsia="Calibri" w:hAnsi="Calibri" w:cs="Calibri"/>
        </w:rPr>
        <w:t xml:space="preserve"> server</w:t>
      </w:r>
      <w:r w:rsidRPr="001C0C4B">
        <w:rPr>
          <w:rFonts w:ascii="Calibri" w:hAnsi="Calibri" w:cs="Calibri"/>
        </w:rPr>
        <w:t xml:space="preserve">s that are backed up daily, with weekly off-site storage. </w:t>
      </w:r>
    </w:p>
    <w:p w14:paraId="43C17D39" w14:textId="7D2F1BA3" w:rsidR="00974F01" w:rsidRPr="001C0C4B" w:rsidRDefault="00CE0FB2" w:rsidP="00974F01">
      <w:pPr>
        <w:tabs>
          <w:tab w:val="left" w:pos="709"/>
        </w:tabs>
        <w:spacing w:line="240" w:lineRule="auto"/>
        <w:jc w:val="both"/>
        <w:rPr>
          <w:rFonts w:ascii="Calibri" w:hAnsi="Calibri" w:cs="Calibri"/>
        </w:rPr>
      </w:pPr>
      <w:r w:rsidRPr="001C0C4B">
        <w:rPr>
          <w:rFonts w:ascii="Calibri" w:hAnsi="Calibri" w:cs="Calibri"/>
        </w:rPr>
        <w:t>Patient</w:t>
      </w:r>
      <w:r w:rsidR="00974F01" w:rsidRPr="001C0C4B">
        <w:rPr>
          <w:rFonts w:ascii="Calibri" w:hAnsi="Calibri" w:cs="Calibri"/>
        </w:rPr>
        <w:t xml:space="preserve"> records at site will, taking into account the ability of the sites, be stored in binders in the secured access-limited room or scanned and stored electronically. The records will be retained for </w:t>
      </w:r>
      <w:r w:rsidR="00021D61" w:rsidRPr="001C0C4B">
        <w:rPr>
          <w:rFonts w:ascii="Calibri" w:hAnsi="Calibri" w:cs="Calibri"/>
        </w:rPr>
        <w:t xml:space="preserve">at least </w:t>
      </w:r>
      <w:r w:rsidR="00974F01" w:rsidRPr="001C0C4B">
        <w:rPr>
          <w:rFonts w:ascii="Calibri" w:hAnsi="Calibri" w:cs="Calibri"/>
        </w:rPr>
        <w:t>five years following completion of the study, or according to local site regulation. The study database will be retained indefinitely.</w:t>
      </w:r>
    </w:p>
    <w:p w14:paraId="70EDC8BF" w14:textId="45EB4419" w:rsidR="00974F01" w:rsidRPr="001C0C4B" w:rsidRDefault="00974F01" w:rsidP="00974F01">
      <w:pPr>
        <w:pStyle w:val="ListParagraph"/>
        <w:tabs>
          <w:tab w:val="left" w:pos="709"/>
        </w:tabs>
        <w:spacing w:line="240" w:lineRule="auto"/>
        <w:ind w:left="0"/>
        <w:contextualSpacing w:val="0"/>
        <w:jc w:val="both"/>
        <w:rPr>
          <w:rFonts w:ascii="Calibri" w:hAnsi="Calibri" w:cs="Calibri"/>
        </w:rPr>
      </w:pPr>
      <w:r w:rsidRPr="001C0C4B">
        <w:rPr>
          <w:rFonts w:ascii="Calibri" w:hAnsi="Calibri" w:cs="Calibri"/>
        </w:rPr>
        <w:t xml:space="preserve">With </w:t>
      </w:r>
      <w:r w:rsidR="00CE0FB2" w:rsidRPr="001C0C4B">
        <w:rPr>
          <w:rFonts w:ascii="Calibri" w:hAnsi="Calibri" w:cs="Calibri"/>
        </w:rPr>
        <w:t>patient</w:t>
      </w:r>
      <w:r w:rsidRPr="001C0C4B">
        <w:rPr>
          <w:rFonts w:ascii="Calibri" w:hAnsi="Calibri" w:cs="Calibri"/>
        </w:rPr>
        <w:t>’s consent, clinical data and results from blood analyses stored in the database may be shared according to the terms defined in the MORU data sharing policy with other researchers to use in the future.</w:t>
      </w:r>
    </w:p>
    <w:p w14:paraId="6D3B4DCE" w14:textId="4E0473EE" w:rsidR="00974F01" w:rsidRPr="001C0C4B" w:rsidRDefault="00974F01" w:rsidP="00974F01">
      <w:pPr>
        <w:spacing w:line="240" w:lineRule="auto"/>
        <w:jc w:val="both"/>
        <w:rPr>
          <w:rFonts w:ascii="Calibri" w:hAnsi="Calibri" w:cs="Calibri"/>
        </w:rPr>
      </w:pPr>
      <w:r w:rsidRPr="001C0C4B">
        <w:rPr>
          <w:rFonts w:ascii="Calibri" w:hAnsi="Calibri" w:cs="Calibri"/>
          <w:spacing w:val="4"/>
          <w:shd w:val="clear" w:color="auto" w:fill="FFFFFF"/>
        </w:rPr>
        <w:t>Data generated from this study will adhere to the 2016</w:t>
      </w:r>
      <w:r w:rsidR="0088342E" w:rsidRPr="001C0C4B">
        <w:rPr>
          <w:rFonts w:ascii="Calibri" w:hAnsi="Calibri" w:cs="Calibri"/>
          <w:spacing w:val="4"/>
          <w:shd w:val="clear" w:color="auto" w:fill="FFFFFF"/>
        </w:rPr>
        <w:t xml:space="preserve"> </w:t>
      </w:r>
      <w:r w:rsidRPr="001C0C4B">
        <w:rPr>
          <w:rFonts w:ascii="Calibri" w:hAnsi="Calibri" w:cs="Calibri"/>
          <w:spacing w:val="4"/>
          <w:shd w:val="clear" w:color="auto" w:fill="FFFFFF"/>
        </w:rPr>
        <w:t>“</w:t>
      </w:r>
      <w:hyperlink r:id="rId22" w:history="1">
        <w:r w:rsidRPr="001C0C4B">
          <w:rPr>
            <w:rStyle w:val="Hyperlink"/>
            <w:rFonts w:ascii="Calibri" w:hAnsi="Calibri" w:cs="Calibri"/>
            <w:color w:val="auto"/>
            <w:spacing w:val="4"/>
            <w:shd w:val="clear" w:color="auto" w:fill="FFFFFF"/>
          </w:rPr>
          <w:t>Statement on data sharing in public health emergencies</w:t>
        </w:r>
      </w:hyperlink>
      <w:r w:rsidRPr="001C0C4B">
        <w:rPr>
          <w:rFonts w:ascii="Calibri" w:hAnsi="Calibri" w:cs="Calibri"/>
          <w:spacing w:val="4"/>
          <w:shd w:val="clear" w:color="auto" w:fill="FFFFFF"/>
        </w:rPr>
        <w:t>”(</w:t>
      </w:r>
      <w:hyperlink r:id="rId23" w:history="1">
        <w:r w:rsidRPr="001C0C4B">
          <w:rPr>
            <w:rStyle w:val="Hyperlink"/>
            <w:rFonts w:ascii="Calibri" w:hAnsi="Calibri" w:cs="Calibri"/>
            <w:color w:val="auto"/>
          </w:rPr>
          <w:t>https://wellcome.ac.uk/press-release/statement-data-sharing-public-health-emergencies</w:t>
        </w:r>
      </w:hyperlink>
      <w:r w:rsidRPr="001C0C4B">
        <w:rPr>
          <w:rFonts w:ascii="Calibri" w:hAnsi="Calibri" w:cs="Calibri"/>
        </w:rPr>
        <w:t>).</w:t>
      </w:r>
    </w:p>
    <w:p w14:paraId="66F2D1DE" w14:textId="58E80136" w:rsidR="00EA1F4B" w:rsidRPr="001C0C4B" w:rsidRDefault="1E0C63F7" w:rsidP="00E142CD">
      <w:pPr>
        <w:pStyle w:val="Heading1"/>
        <w:numPr>
          <w:ilvl w:val="0"/>
          <w:numId w:val="23"/>
        </w:numPr>
        <w:rPr>
          <w:rFonts w:ascii="Calibri" w:hAnsi="Calibri" w:cs="Calibri"/>
          <w:color w:val="auto"/>
          <w:sz w:val="22"/>
          <w:szCs w:val="22"/>
          <w:lang w:val="en-GB"/>
        </w:rPr>
      </w:pPr>
      <w:bookmarkStart w:id="287" w:name="_Toc96007314"/>
      <w:bookmarkStart w:id="288" w:name="_Toc95915267"/>
      <w:bookmarkStart w:id="289" w:name="_Toc74661311"/>
      <w:bookmarkStart w:id="290" w:name="_Toc110524006"/>
      <w:bookmarkStart w:id="291" w:name="_Toc96005617"/>
      <w:bookmarkStart w:id="292" w:name="_Toc112917654"/>
      <w:r w:rsidRPr="001C0C4B">
        <w:rPr>
          <w:rFonts w:ascii="Calibri" w:hAnsi="Calibri" w:cs="Calibri"/>
          <w:color w:val="auto"/>
          <w:sz w:val="22"/>
          <w:szCs w:val="22"/>
          <w:lang w:val="en-GB"/>
        </w:rPr>
        <w:t>QUALITY CONTROL AND QUALITY ASSURANCE PROCEDURES</w:t>
      </w:r>
      <w:bookmarkEnd w:id="287"/>
      <w:bookmarkEnd w:id="288"/>
      <w:bookmarkEnd w:id="289"/>
      <w:bookmarkEnd w:id="290"/>
      <w:bookmarkEnd w:id="291"/>
      <w:bookmarkEnd w:id="292"/>
    </w:p>
    <w:p w14:paraId="31486EDF" w14:textId="50C2C5AE" w:rsidR="0041528A" w:rsidRPr="001C0C4B" w:rsidRDefault="0041528A" w:rsidP="0041528A">
      <w:pPr>
        <w:tabs>
          <w:tab w:val="left" w:pos="709"/>
        </w:tabs>
        <w:spacing w:line="240" w:lineRule="auto"/>
        <w:jc w:val="both"/>
        <w:rPr>
          <w:rFonts w:ascii="Calibri" w:hAnsi="Calibri" w:cs="Calibri"/>
        </w:rPr>
      </w:pPr>
      <w:r w:rsidRPr="001C0C4B">
        <w:rPr>
          <w:rFonts w:ascii="Calibri" w:hAnsi="Calibri" w:cs="Calibri"/>
        </w:rPr>
        <w:t>The study will be conducted in accordance with relevant regulations and standard operating procedures.</w:t>
      </w:r>
    </w:p>
    <w:p w14:paraId="42D23814" w14:textId="3339F09E" w:rsidR="0041528A" w:rsidRPr="001C0C4B" w:rsidRDefault="0041528A" w:rsidP="0041528A">
      <w:pPr>
        <w:spacing w:after="120" w:line="240" w:lineRule="auto"/>
        <w:jc w:val="both"/>
        <w:rPr>
          <w:rFonts w:ascii="Calibri" w:hAnsi="Calibri" w:cs="Calibri"/>
        </w:rPr>
      </w:pPr>
      <w:r w:rsidRPr="001C0C4B">
        <w:rPr>
          <w:rFonts w:ascii="Calibri" w:eastAsia="Calibri" w:hAnsi="Calibri" w:cs="Calibri"/>
        </w:rPr>
        <w:t>The study will be conducted in compliance with this protocol, International Conference on Harmonization (ICH) Guidelines for Good Clinical Practice (GCP) and any applicable regulatory requirement(s). Monitoring will be overseen by the MORU Clinical Trials Support Group (CTSG) according to a prespecified risk-based monitoring plan to ensure compliance to the study protocol and applicable guidelines and regulations.</w:t>
      </w:r>
      <w:r w:rsidRPr="001C0C4B">
        <w:rPr>
          <w:rFonts w:ascii="Calibri" w:hAnsi="Calibri" w:cs="Calibri"/>
        </w:rPr>
        <w:t xml:space="preserve"> Biological specimens will be processed, stored and shipped in accordance with MORU SOPs.</w:t>
      </w:r>
    </w:p>
    <w:p w14:paraId="15BE33A8" w14:textId="77777777" w:rsidR="0041528A" w:rsidRPr="001C0C4B" w:rsidRDefault="0041528A" w:rsidP="0041528A">
      <w:pPr>
        <w:spacing w:line="240" w:lineRule="auto"/>
        <w:jc w:val="both"/>
        <w:rPr>
          <w:rFonts w:ascii="Calibri" w:hAnsi="Calibri" w:cs="Calibri"/>
        </w:rPr>
      </w:pPr>
      <w:r w:rsidRPr="001C0C4B">
        <w:rPr>
          <w:rFonts w:ascii="Calibri" w:eastAsia="Calibri" w:hAnsi="Calibri" w:cs="Calibri"/>
        </w:rPr>
        <w:t>Data validation will be performed to identify errors or discrepancies and thus ensure completeness, validity and accuracy of data.</w:t>
      </w:r>
      <w:r w:rsidRPr="001C0C4B">
        <w:rPr>
          <w:rFonts w:ascii="Calibri" w:hAnsi="Calibri" w:cs="Calibri"/>
        </w:rPr>
        <w:t xml:space="preserve"> </w:t>
      </w:r>
    </w:p>
    <w:p w14:paraId="6985593E" w14:textId="77777777" w:rsidR="00EA1F4B" w:rsidRPr="001B277D" w:rsidRDefault="008E1490" w:rsidP="000028F0">
      <w:pPr>
        <w:pStyle w:val="Heading1"/>
        <w:numPr>
          <w:ilvl w:val="0"/>
          <w:numId w:val="23"/>
        </w:numPr>
        <w:rPr>
          <w:rFonts w:ascii="Calibri" w:hAnsi="Calibri" w:cs="Calibri"/>
          <w:color w:val="auto"/>
          <w:sz w:val="22"/>
          <w:szCs w:val="22"/>
          <w:lang w:val="en-GB"/>
        </w:rPr>
      </w:pPr>
      <w:bookmarkStart w:id="293" w:name="_Toc96007315"/>
      <w:bookmarkStart w:id="294" w:name="_Toc95915268"/>
      <w:bookmarkStart w:id="295" w:name="_Toc112917655"/>
      <w:r w:rsidRPr="001B277D">
        <w:rPr>
          <w:rFonts w:ascii="Calibri" w:hAnsi="Calibri" w:cs="Calibri"/>
          <w:color w:val="auto"/>
          <w:sz w:val="22"/>
          <w:szCs w:val="22"/>
          <w:lang w:val="en-GB"/>
        </w:rPr>
        <w:t>E</w:t>
      </w:r>
      <w:r w:rsidR="00B0235A">
        <w:rPr>
          <w:rFonts w:ascii="Calibri" w:hAnsi="Calibri" w:cs="Calibri"/>
          <w:color w:val="auto"/>
          <w:sz w:val="22"/>
          <w:szCs w:val="22"/>
          <w:lang w:val="en-GB"/>
        </w:rPr>
        <w:t>THICAL AND REGULATORY CONSIDERATIONS</w:t>
      </w:r>
      <w:bookmarkEnd w:id="293"/>
      <w:bookmarkEnd w:id="294"/>
      <w:bookmarkEnd w:id="295"/>
    </w:p>
    <w:p w14:paraId="1B19278E" w14:textId="2D0C3ED6" w:rsidR="00A86A23" w:rsidRPr="001C0C4B" w:rsidRDefault="00076408" w:rsidP="005907D4">
      <w:pPr>
        <w:jc w:val="both"/>
        <w:rPr>
          <w:rFonts w:ascii="Calibri" w:hAnsi="Calibri" w:cs="Calibri"/>
          <w:lang w:val="en-GB"/>
        </w:rPr>
      </w:pPr>
      <w:r w:rsidRPr="001C0C4B">
        <w:rPr>
          <w:rFonts w:ascii="Calibri" w:hAnsi="Calibri" w:cs="Calibri"/>
          <w:lang w:val="en-GB"/>
        </w:rPr>
        <w:t xml:space="preserve">This study will be conducted in patients </w:t>
      </w:r>
      <w:r w:rsidR="000567F3" w:rsidRPr="001C0C4B">
        <w:rPr>
          <w:rFonts w:ascii="Calibri" w:hAnsi="Calibri" w:cs="Calibri"/>
          <w:lang w:val="en-GB"/>
        </w:rPr>
        <w:t>who would be unlikely to progress to severe illness</w:t>
      </w:r>
      <w:r w:rsidR="00F94EF3" w:rsidRPr="001C0C4B">
        <w:rPr>
          <w:rFonts w:ascii="Calibri" w:hAnsi="Calibri" w:cs="Calibri"/>
          <w:lang w:val="en-GB"/>
        </w:rPr>
        <w:t xml:space="preserve">. The </w:t>
      </w:r>
      <w:r w:rsidR="001360A1" w:rsidRPr="001C0C4B">
        <w:rPr>
          <w:rFonts w:ascii="Calibri" w:hAnsi="Calibri" w:cs="Calibri"/>
          <w:lang w:val="en-GB"/>
        </w:rPr>
        <w:t xml:space="preserve">investigated medications may </w:t>
      </w:r>
      <w:r w:rsidR="0017778A" w:rsidRPr="001C0C4B">
        <w:rPr>
          <w:rFonts w:ascii="Calibri" w:hAnsi="Calibri" w:cs="Calibri"/>
          <w:lang w:val="en-GB"/>
        </w:rPr>
        <w:t xml:space="preserve">benefit the patient; i.e. </w:t>
      </w:r>
      <w:r w:rsidR="001360A1" w:rsidRPr="001C0C4B">
        <w:rPr>
          <w:rFonts w:ascii="Calibri" w:hAnsi="Calibri" w:cs="Calibri"/>
          <w:lang w:val="en-GB"/>
        </w:rPr>
        <w:t xml:space="preserve">shorten the duration of symptoms or decrease their severity, but </w:t>
      </w:r>
      <w:r w:rsidR="00FA1DAA" w:rsidRPr="001C0C4B">
        <w:rPr>
          <w:rFonts w:ascii="Calibri" w:hAnsi="Calibri" w:cs="Calibri"/>
          <w:lang w:val="en-GB"/>
        </w:rPr>
        <w:t xml:space="preserve">are unlikely to have a significant </w:t>
      </w:r>
      <w:r w:rsidR="0017778A" w:rsidRPr="001C0C4B">
        <w:rPr>
          <w:rFonts w:ascii="Calibri" w:hAnsi="Calibri" w:cs="Calibri"/>
          <w:lang w:val="en-GB"/>
        </w:rPr>
        <w:t xml:space="preserve">adverse </w:t>
      </w:r>
      <w:r w:rsidR="00FA1DAA" w:rsidRPr="001C0C4B">
        <w:rPr>
          <w:rFonts w:ascii="Calibri" w:hAnsi="Calibri" w:cs="Calibri"/>
          <w:lang w:val="en-GB"/>
        </w:rPr>
        <w:t xml:space="preserve">effect on the patient’s illness and </w:t>
      </w:r>
      <w:r w:rsidR="00CD7CC4" w:rsidRPr="001C0C4B">
        <w:rPr>
          <w:rFonts w:ascii="Calibri" w:hAnsi="Calibri" w:cs="Calibri"/>
          <w:lang w:val="en-GB"/>
        </w:rPr>
        <w:t xml:space="preserve">subsequent </w:t>
      </w:r>
      <w:r w:rsidR="00FA1DAA" w:rsidRPr="001C0C4B">
        <w:rPr>
          <w:rFonts w:ascii="Calibri" w:hAnsi="Calibri" w:cs="Calibri"/>
          <w:lang w:val="en-GB"/>
        </w:rPr>
        <w:t xml:space="preserve">health. </w:t>
      </w:r>
      <w:r w:rsidR="00CD7CC4" w:rsidRPr="001C0C4B">
        <w:rPr>
          <w:rFonts w:ascii="Calibri" w:hAnsi="Calibri" w:cs="Calibri"/>
          <w:lang w:val="en-GB"/>
        </w:rPr>
        <w:t xml:space="preserve">No drug intervention </w:t>
      </w:r>
      <w:r w:rsidR="000E33F9" w:rsidRPr="001C0C4B">
        <w:rPr>
          <w:rFonts w:ascii="Calibri" w:hAnsi="Calibri" w:cs="Calibri"/>
          <w:lang w:val="en-GB"/>
        </w:rPr>
        <w:t>has been shown to be unequivocally beneficial at this point in the illness, in this population, and clinical equipoise exists between the interventions and the</w:t>
      </w:r>
      <w:r w:rsidR="0016031B" w:rsidRPr="001C0C4B">
        <w:rPr>
          <w:rFonts w:ascii="Calibri" w:hAnsi="Calibri" w:cs="Calibri"/>
          <w:lang w:val="en-GB"/>
        </w:rPr>
        <w:t xml:space="preserve"> no </w:t>
      </w:r>
      <w:r w:rsidR="00A75112" w:rsidRPr="001C0C4B">
        <w:rPr>
          <w:rFonts w:ascii="Calibri" w:hAnsi="Calibri" w:cs="Calibri"/>
          <w:lang w:val="en-GB"/>
        </w:rPr>
        <w:t xml:space="preserve">antiviral </w:t>
      </w:r>
      <w:r w:rsidR="0016031B" w:rsidRPr="001C0C4B">
        <w:rPr>
          <w:rFonts w:ascii="Calibri" w:hAnsi="Calibri" w:cs="Calibri"/>
          <w:lang w:val="en-GB"/>
        </w:rPr>
        <w:t>treatment</w:t>
      </w:r>
      <w:r w:rsidR="00177C6C" w:rsidRPr="001C0C4B">
        <w:rPr>
          <w:rFonts w:ascii="Calibri" w:hAnsi="Calibri" w:cs="Calibri"/>
          <w:lang w:val="en-GB"/>
        </w:rPr>
        <w:t xml:space="preserve"> (</w:t>
      </w:r>
      <w:r w:rsidR="00A75112" w:rsidRPr="001C0C4B">
        <w:rPr>
          <w:rFonts w:ascii="Calibri" w:hAnsi="Calibri" w:cs="Calibri"/>
          <w:lang w:val="en-GB"/>
        </w:rPr>
        <w:t xml:space="preserve">although local </w:t>
      </w:r>
      <w:r w:rsidR="007D04DC" w:rsidRPr="001C0C4B">
        <w:rPr>
          <w:rFonts w:ascii="Calibri" w:hAnsi="Calibri" w:cs="Calibri"/>
          <w:lang w:val="en-GB"/>
        </w:rPr>
        <w:t xml:space="preserve">supportive </w:t>
      </w:r>
      <w:r w:rsidR="00A75112" w:rsidRPr="001C0C4B">
        <w:rPr>
          <w:rFonts w:ascii="Calibri" w:hAnsi="Calibri" w:cs="Calibri"/>
          <w:lang w:val="en-GB"/>
        </w:rPr>
        <w:t xml:space="preserve">treatment </w:t>
      </w:r>
      <w:r w:rsidR="007D04DC" w:rsidRPr="001C0C4B">
        <w:rPr>
          <w:rFonts w:ascii="Calibri" w:hAnsi="Calibri" w:cs="Calibri"/>
          <w:lang w:val="en-GB"/>
        </w:rPr>
        <w:t>will be fully provided including antipyretics (e.g. paracetamol</w:t>
      </w:r>
      <w:r w:rsidR="00C376FF" w:rsidRPr="001C0C4B">
        <w:rPr>
          <w:rFonts w:ascii="Calibri" w:hAnsi="Calibri" w:cs="Calibri"/>
          <w:lang w:val="en-GB"/>
        </w:rPr>
        <w:t>)</w:t>
      </w:r>
      <w:r w:rsidR="007D04DC" w:rsidRPr="001C0C4B">
        <w:rPr>
          <w:rFonts w:ascii="Calibri" w:hAnsi="Calibri" w:cs="Calibri"/>
          <w:lang w:val="en-GB"/>
        </w:rPr>
        <w:t>, anti-tussives, antihistamines</w:t>
      </w:r>
      <w:r w:rsidR="00C376FF" w:rsidRPr="001C0C4B">
        <w:rPr>
          <w:rFonts w:ascii="Calibri" w:hAnsi="Calibri" w:cs="Calibri"/>
          <w:lang w:val="en-GB"/>
        </w:rPr>
        <w:t>, vitamins etc and any treatments clinically indicated by the Physician looking after the patient</w:t>
      </w:r>
      <w:r w:rsidR="0016031B" w:rsidRPr="001C0C4B">
        <w:rPr>
          <w:rFonts w:ascii="Calibri" w:hAnsi="Calibri" w:cs="Calibri"/>
          <w:lang w:val="en-GB"/>
        </w:rPr>
        <w:t xml:space="preserve">. </w:t>
      </w:r>
      <w:r w:rsidR="0017778A" w:rsidRPr="001C0C4B">
        <w:rPr>
          <w:rFonts w:ascii="Calibri" w:hAnsi="Calibri" w:cs="Calibri"/>
          <w:lang w:val="en-GB"/>
        </w:rPr>
        <w:t>Funds will be set aside to cover hospital costs in the unlikely event of a drug adverse reaction.</w:t>
      </w:r>
    </w:p>
    <w:p w14:paraId="591AC24D" w14:textId="4999DAAE" w:rsidR="00940B28" w:rsidRPr="001C0C4B" w:rsidRDefault="00940B28" w:rsidP="00E55C14">
      <w:pPr>
        <w:jc w:val="both"/>
        <w:rPr>
          <w:rFonts w:eastAsia="Times New Roman"/>
          <w:lang w:val="en-GB" w:bidi="km-KH"/>
        </w:rPr>
      </w:pPr>
      <w:r w:rsidRPr="001C0C4B">
        <w:rPr>
          <w:rFonts w:ascii="Calibri" w:eastAsia="Times New Roman" w:hAnsi="Calibri" w:cs="Calibri"/>
          <w:lang w:val="en-GB" w:bidi="km-KH"/>
        </w:rPr>
        <w:t>Women who are pregnant, actively trying to become pregnant</w:t>
      </w:r>
      <w:r w:rsidRPr="001C0C4B">
        <w:rPr>
          <w:rFonts w:eastAsia="Times New Roman"/>
          <w:lang w:val="en-GB" w:bidi="km-KH"/>
        </w:rPr>
        <w:t>,</w:t>
      </w:r>
      <w:r w:rsidR="008019B4" w:rsidRPr="001C0C4B">
        <w:rPr>
          <w:rFonts w:ascii="Calibri" w:eastAsia="Times New Roman" w:hAnsi="Calibri" w:cs="Calibri"/>
          <w:lang w:val="en-GB" w:bidi="km-KH"/>
        </w:rPr>
        <w:t xml:space="preserve"> </w:t>
      </w:r>
      <w:r w:rsidRPr="001C0C4B">
        <w:rPr>
          <w:rFonts w:ascii="Calibri" w:eastAsia="Times New Roman" w:hAnsi="Calibri" w:cs="Calibri"/>
          <w:lang w:val="en-GB" w:bidi="km-KH"/>
        </w:rPr>
        <w:t>or breast feeding will be excluded from this study as it is not known if any of the treatments being tested will have additional benefits that would outweigh any risks associated with pregnancy/breast feeding.</w:t>
      </w:r>
    </w:p>
    <w:p w14:paraId="030684ED" w14:textId="665C9869" w:rsidR="00EA1F4B" w:rsidRPr="001C0C4B" w:rsidRDefault="1E0C63F7" w:rsidP="002B251D">
      <w:pPr>
        <w:pStyle w:val="Heading2"/>
        <w:numPr>
          <w:ilvl w:val="1"/>
          <w:numId w:val="23"/>
        </w:numPr>
        <w:tabs>
          <w:tab w:val="left" w:pos="900"/>
        </w:tabs>
        <w:rPr>
          <w:rFonts w:ascii="Calibri" w:hAnsi="Calibri" w:cs="Calibri"/>
          <w:color w:val="auto"/>
          <w:sz w:val="22"/>
          <w:szCs w:val="22"/>
        </w:rPr>
      </w:pPr>
      <w:bookmarkStart w:id="296" w:name="_Toc96007316"/>
      <w:bookmarkStart w:id="297" w:name="_Toc95915269"/>
      <w:bookmarkStart w:id="298" w:name="_Toc74661313"/>
      <w:bookmarkStart w:id="299" w:name="_Toc110524008"/>
      <w:bookmarkStart w:id="300" w:name="_Toc96005619"/>
      <w:bookmarkStart w:id="301" w:name="_Toc112917656"/>
      <w:r w:rsidRPr="001C0C4B">
        <w:rPr>
          <w:rFonts w:ascii="Calibri" w:hAnsi="Calibri" w:cs="Calibri"/>
          <w:color w:val="auto"/>
          <w:sz w:val="22"/>
          <w:szCs w:val="22"/>
        </w:rPr>
        <w:t>Declaration of Helsinki</w:t>
      </w:r>
      <w:bookmarkEnd w:id="296"/>
      <w:bookmarkEnd w:id="297"/>
      <w:bookmarkEnd w:id="298"/>
      <w:bookmarkEnd w:id="299"/>
      <w:bookmarkEnd w:id="300"/>
      <w:bookmarkEnd w:id="301"/>
    </w:p>
    <w:p w14:paraId="75C00956" w14:textId="53F0111B" w:rsidR="00EA1F4B" w:rsidRPr="001C0C4B" w:rsidRDefault="1E0C63F7" w:rsidP="000B5065">
      <w:pPr>
        <w:spacing w:after="200" w:line="276" w:lineRule="auto"/>
        <w:jc w:val="both"/>
        <w:rPr>
          <w:rFonts w:ascii="Calibri" w:eastAsia="Calibri" w:hAnsi="Calibri" w:cs="Calibri"/>
        </w:rPr>
      </w:pPr>
      <w:r w:rsidRPr="001C0C4B">
        <w:rPr>
          <w:rFonts w:ascii="Calibri" w:eastAsia="Calibri" w:hAnsi="Calibri" w:cs="Calibri"/>
          <w:lang w:val="en-GB"/>
        </w:rPr>
        <w:t xml:space="preserve">The Investigator will ensure that this study is conducted in accordance with the </w:t>
      </w:r>
      <w:r w:rsidR="00563C39" w:rsidRPr="001C0C4B">
        <w:rPr>
          <w:rFonts w:ascii="Calibri" w:eastAsia="Calibri" w:hAnsi="Calibri" w:cs="Calibri"/>
          <w:lang w:val="en-GB"/>
        </w:rPr>
        <w:t xml:space="preserve">current revision of </w:t>
      </w:r>
      <w:r w:rsidRPr="001C0C4B">
        <w:rPr>
          <w:rFonts w:ascii="Calibri" w:eastAsia="Calibri" w:hAnsi="Calibri" w:cs="Calibri"/>
          <w:lang w:val="en-GB"/>
        </w:rPr>
        <w:t xml:space="preserve">the Declaration of Helsinki. </w:t>
      </w:r>
    </w:p>
    <w:p w14:paraId="76B7CDB5" w14:textId="371E2A5C" w:rsidR="00EA1F4B" w:rsidRPr="001C0C4B" w:rsidRDefault="1E0C63F7" w:rsidP="002B251D">
      <w:pPr>
        <w:pStyle w:val="Heading2"/>
        <w:numPr>
          <w:ilvl w:val="1"/>
          <w:numId w:val="23"/>
        </w:numPr>
        <w:tabs>
          <w:tab w:val="left" w:pos="900"/>
        </w:tabs>
        <w:rPr>
          <w:rFonts w:ascii="Calibri" w:hAnsi="Calibri" w:cs="Calibri"/>
          <w:color w:val="auto"/>
          <w:sz w:val="22"/>
          <w:szCs w:val="22"/>
        </w:rPr>
      </w:pPr>
      <w:bookmarkStart w:id="302" w:name="_Toc96007317"/>
      <w:bookmarkStart w:id="303" w:name="_Toc95915270"/>
      <w:bookmarkStart w:id="304" w:name="_Toc74661314"/>
      <w:bookmarkStart w:id="305" w:name="_Toc110524009"/>
      <w:bookmarkStart w:id="306" w:name="_Toc96005620"/>
      <w:bookmarkStart w:id="307" w:name="_Toc112917657"/>
      <w:r w:rsidRPr="001C0C4B">
        <w:rPr>
          <w:rFonts w:ascii="Calibri" w:hAnsi="Calibri" w:cs="Calibri"/>
          <w:color w:val="auto"/>
          <w:sz w:val="22"/>
          <w:szCs w:val="22"/>
        </w:rPr>
        <w:t>Guidelines for Good Clinical Practice</w:t>
      </w:r>
      <w:bookmarkEnd w:id="302"/>
      <w:bookmarkEnd w:id="303"/>
      <w:bookmarkEnd w:id="304"/>
      <w:bookmarkEnd w:id="305"/>
      <w:bookmarkEnd w:id="306"/>
      <w:bookmarkEnd w:id="307"/>
    </w:p>
    <w:p w14:paraId="6CFA70D2" w14:textId="563A149E" w:rsidR="00EA1F4B" w:rsidRPr="001C0C4B" w:rsidRDefault="1E0C63F7" w:rsidP="000B5065">
      <w:pPr>
        <w:spacing w:after="200" w:line="276" w:lineRule="auto"/>
        <w:jc w:val="both"/>
        <w:rPr>
          <w:rFonts w:ascii="Calibri" w:eastAsia="Calibri" w:hAnsi="Calibri" w:cs="Calibri"/>
        </w:rPr>
      </w:pPr>
      <w:r w:rsidRPr="001C0C4B">
        <w:rPr>
          <w:rFonts w:ascii="Calibri" w:eastAsia="Calibri" w:hAnsi="Calibri" w:cs="Calibri"/>
          <w:lang w:val="en-GB"/>
        </w:rPr>
        <w:t>The Investigator will ensure that this study is conducted in accordance with relevant regulations and with Good Clinical Practice.</w:t>
      </w:r>
    </w:p>
    <w:p w14:paraId="2DB87CC3" w14:textId="21381B2E" w:rsidR="00EA1F4B" w:rsidRPr="001C0C4B" w:rsidRDefault="1E0C63F7" w:rsidP="002B251D">
      <w:pPr>
        <w:pStyle w:val="Heading2"/>
        <w:numPr>
          <w:ilvl w:val="1"/>
          <w:numId w:val="23"/>
        </w:numPr>
        <w:tabs>
          <w:tab w:val="left" w:pos="900"/>
        </w:tabs>
        <w:rPr>
          <w:rFonts w:ascii="Calibri" w:hAnsi="Calibri" w:cs="Calibri"/>
          <w:color w:val="auto"/>
          <w:sz w:val="22"/>
          <w:szCs w:val="22"/>
        </w:rPr>
      </w:pPr>
      <w:bookmarkStart w:id="308" w:name="_Toc96007318"/>
      <w:bookmarkStart w:id="309" w:name="_Toc95915271"/>
      <w:bookmarkStart w:id="310" w:name="_Toc74661315"/>
      <w:bookmarkStart w:id="311" w:name="_Toc110524010"/>
      <w:bookmarkStart w:id="312" w:name="_Toc96005621"/>
      <w:bookmarkStart w:id="313" w:name="_Toc112917658"/>
      <w:r w:rsidRPr="001C0C4B">
        <w:rPr>
          <w:rFonts w:ascii="Calibri" w:hAnsi="Calibri" w:cs="Calibri"/>
          <w:color w:val="auto"/>
          <w:sz w:val="22"/>
          <w:szCs w:val="22"/>
        </w:rPr>
        <w:lastRenderedPageBreak/>
        <w:t>Approvals</w:t>
      </w:r>
      <w:bookmarkEnd w:id="308"/>
      <w:bookmarkEnd w:id="309"/>
      <w:bookmarkEnd w:id="310"/>
      <w:bookmarkEnd w:id="311"/>
      <w:bookmarkEnd w:id="312"/>
      <w:bookmarkEnd w:id="313"/>
    </w:p>
    <w:p w14:paraId="1AFB93AE" w14:textId="671DF0DF" w:rsidR="00EA1F4B" w:rsidRPr="001C0C4B" w:rsidRDefault="1E0C63F7" w:rsidP="000B5065">
      <w:pPr>
        <w:spacing w:after="200" w:line="276" w:lineRule="auto"/>
        <w:jc w:val="both"/>
        <w:rPr>
          <w:rFonts w:ascii="Calibri" w:eastAsia="Calibri" w:hAnsi="Calibri" w:cs="Calibri"/>
        </w:rPr>
      </w:pPr>
      <w:r w:rsidRPr="001C0C4B">
        <w:rPr>
          <w:rFonts w:ascii="Calibri" w:eastAsia="Calibri" w:hAnsi="Calibri" w:cs="Calibri"/>
          <w:lang w:val="en-GB"/>
        </w:rPr>
        <w:t>The protocol, informed consent form</w:t>
      </w:r>
      <w:r w:rsidR="00242477" w:rsidRPr="001C0C4B">
        <w:rPr>
          <w:rFonts w:ascii="Calibri" w:eastAsia="Calibri" w:hAnsi="Calibri" w:cs="Calibri"/>
          <w:lang w:val="en-GB"/>
        </w:rPr>
        <w:t xml:space="preserve"> and </w:t>
      </w:r>
      <w:r w:rsidR="00370561" w:rsidRPr="001C0C4B">
        <w:rPr>
          <w:rFonts w:ascii="Calibri" w:eastAsia="Calibri" w:hAnsi="Calibri" w:cs="Calibri"/>
          <w:lang w:val="en-GB"/>
        </w:rPr>
        <w:t xml:space="preserve">participant </w:t>
      </w:r>
      <w:r w:rsidRPr="001C0C4B">
        <w:rPr>
          <w:rFonts w:ascii="Calibri" w:eastAsia="Calibri" w:hAnsi="Calibri" w:cs="Calibri"/>
          <w:lang w:val="en-GB"/>
        </w:rPr>
        <w:t>information sheet will be submitted to OxTREC and local ethics committees for written approval.</w:t>
      </w:r>
    </w:p>
    <w:p w14:paraId="78AD6B12" w14:textId="038E8615" w:rsidR="00EA1F4B" w:rsidRPr="001C0C4B" w:rsidRDefault="1E0C63F7" w:rsidP="000B5065">
      <w:pPr>
        <w:spacing w:after="200" w:line="276" w:lineRule="auto"/>
        <w:jc w:val="both"/>
        <w:rPr>
          <w:rFonts w:ascii="Calibri" w:eastAsia="Calibri" w:hAnsi="Calibri" w:cs="Calibri"/>
        </w:rPr>
      </w:pPr>
      <w:r w:rsidRPr="001C0C4B">
        <w:rPr>
          <w:rFonts w:ascii="Calibri" w:eastAsia="Calibri" w:hAnsi="Calibri" w:cs="Calibri"/>
          <w:lang w:val="en-GB"/>
        </w:rPr>
        <w:t>The Investigator will submit and, where necessary, obtain approval from the above parties for all amendments to the original approved documents.</w:t>
      </w:r>
    </w:p>
    <w:p w14:paraId="4EEEBD5B" w14:textId="4EA4331A" w:rsidR="00EA1F4B" w:rsidRPr="001C0C4B" w:rsidRDefault="000C621F" w:rsidP="002B251D">
      <w:pPr>
        <w:pStyle w:val="Heading2"/>
        <w:numPr>
          <w:ilvl w:val="1"/>
          <w:numId w:val="23"/>
        </w:numPr>
        <w:tabs>
          <w:tab w:val="left" w:pos="900"/>
        </w:tabs>
        <w:rPr>
          <w:rFonts w:ascii="Calibri" w:hAnsi="Calibri" w:cs="Calibri"/>
          <w:color w:val="auto"/>
          <w:sz w:val="22"/>
          <w:szCs w:val="22"/>
        </w:rPr>
      </w:pPr>
      <w:bookmarkStart w:id="314" w:name="_Toc96007319"/>
      <w:bookmarkStart w:id="315" w:name="_Toc95915272"/>
      <w:bookmarkStart w:id="316" w:name="_Toc74661316"/>
      <w:bookmarkStart w:id="317" w:name="_Toc110524011"/>
      <w:bookmarkStart w:id="318" w:name="_Toc96005622"/>
      <w:bookmarkStart w:id="319" w:name="_Toc112917659"/>
      <w:r w:rsidRPr="001C0C4B">
        <w:rPr>
          <w:rFonts w:ascii="Calibri" w:hAnsi="Calibri" w:cs="Calibri"/>
          <w:color w:val="auto"/>
          <w:sz w:val="22"/>
          <w:szCs w:val="22"/>
        </w:rPr>
        <w:t>Patient</w:t>
      </w:r>
      <w:r w:rsidR="1E0C63F7" w:rsidRPr="001C0C4B">
        <w:rPr>
          <w:rFonts w:ascii="Calibri" w:hAnsi="Calibri" w:cs="Calibri"/>
          <w:color w:val="auto"/>
          <w:sz w:val="22"/>
          <w:szCs w:val="22"/>
        </w:rPr>
        <w:t xml:space="preserve"> Confidentiality</w:t>
      </w:r>
      <w:bookmarkEnd w:id="314"/>
      <w:bookmarkEnd w:id="315"/>
      <w:bookmarkEnd w:id="316"/>
      <w:bookmarkEnd w:id="317"/>
      <w:bookmarkEnd w:id="318"/>
      <w:bookmarkEnd w:id="319"/>
    </w:p>
    <w:p w14:paraId="70CCFD25" w14:textId="5E957776" w:rsidR="00EA1F4B" w:rsidRPr="001C0C4B" w:rsidRDefault="1E0C63F7" w:rsidP="000B5065">
      <w:pPr>
        <w:spacing w:after="200" w:line="276" w:lineRule="auto"/>
        <w:jc w:val="both"/>
        <w:rPr>
          <w:rFonts w:ascii="Calibri" w:eastAsia="Calibri" w:hAnsi="Calibri" w:cs="Calibri"/>
        </w:rPr>
      </w:pPr>
      <w:r w:rsidRPr="001C0C4B">
        <w:rPr>
          <w:rFonts w:ascii="Calibri" w:eastAsia="Calibri" w:hAnsi="Calibri" w:cs="Calibri"/>
          <w:lang w:val="en-GB"/>
        </w:rPr>
        <w:t xml:space="preserve">The study staff will ensure that the </w:t>
      </w:r>
      <w:r w:rsidR="000C621F" w:rsidRPr="001C0C4B">
        <w:rPr>
          <w:rFonts w:ascii="Calibri" w:eastAsia="Calibri" w:hAnsi="Calibri" w:cs="Calibri"/>
          <w:lang w:val="en-GB"/>
        </w:rPr>
        <w:t>patient</w:t>
      </w:r>
      <w:r w:rsidRPr="001C0C4B">
        <w:rPr>
          <w:rFonts w:ascii="Calibri" w:eastAsia="Calibri" w:hAnsi="Calibri" w:cs="Calibri"/>
          <w:lang w:val="en-GB"/>
        </w:rPr>
        <w:t xml:space="preserve">s’ anonymity is maintained.  The </w:t>
      </w:r>
      <w:r w:rsidR="000C621F" w:rsidRPr="001C0C4B">
        <w:rPr>
          <w:rFonts w:ascii="Calibri" w:eastAsia="Calibri" w:hAnsi="Calibri" w:cs="Calibri"/>
          <w:lang w:val="en-GB"/>
        </w:rPr>
        <w:t>patient</w:t>
      </w:r>
      <w:r w:rsidRPr="001C0C4B">
        <w:rPr>
          <w:rFonts w:ascii="Calibri" w:eastAsia="Calibri" w:hAnsi="Calibri" w:cs="Calibri"/>
          <w:lang w:val="en-GB"/>
        </w:rPr>
        <w:t xml:space="preserve">s will be identified only by a </w:t>
      </w:r>
      <w:r w:rsidR="000C621F" w:rsidRPr="001C0C4B">
        <w:rPr>
          <w:rFonts w:ascii="Calibri" w:eastAsia="Calibri" w:hAnsi="Calibri" w:cs="Calibri"/>
          <w:lang w:val="en-GB"/>
        </w:rPr>
        <w:t>patient</w:t>
      </w:r>
      <w:r w:rsidRPr="001C0C4B">
        <w:rPr>
          <w:rFonts w:ascii="Calibri" w:eastAsia="Calibri" w:hAnsi="Calibri" w:cs="Calibri"/>
          <w:lang w:val="en-GB"/>
        </w:rPr>
        <w:t xml:space="preserve"> ID number on all study documents and any electronic database, with the exception of the CRF, where </w:t>
      </w:r>
      <w:r w:rsidR="000C621F" w:rsidRPr="001C0C4B">
        <w:rPr>
          <w:rFonts w:ascii="Calibri" w:eastAsia="Calibri" w:hAnsi="Calibri" w:cs="Calibri"/>
          <w:lang w:val="en-GB"/>
        </w:rPr>
        <w:t>patient</w:t>
      </w:r>
      <w:r w:rsidRPr="001C0C4B">
        <w:rPr>
          <w:rFonts w:ascii="Calibri" w:eastAsia="Calibri" w:hAnsi="Calibri" w:cs="Calibri"/>
          <w:lang w:val="en-GB"/>
        </w:rPr>
        <w:t xml:space="preserve"> initials may be added.  </w:t>
      </w:r>
      <w:r w:rsidR="00974F01" w:rsidRPr="001C0C4B">
        <w:rPr>
          <w:rFonts w:ascii="Calibri" w:eastAsia="Calibri" w:hAnsi="Calibri" w:cs="Calibri"/>
          <w:lang w:val="en-GB"/>
        </w:rPr>
        <w:t xml:space="preserve">The name and any other identifying detail will NOT be included in any study data electronic file. </w:t>
      </w:r>
      <w:r w:rsidRPr="001C0C4B">
        <w:rPr>
          <w:rFonts w:ascii="Calibri" w:eastAsia="Calibri" w:hAnsi="Calibri" w:cs="Calibri"/>
          <w:lang w:val="en-GB"/>
        </w:rPr>
        <w:t>All documents will be stored securely and only accessible by study staff and authorised personnel. The study will comply with the Data Protection Act 2018, which requires that personal data must not be kept as identifiable data for longer than necessary for the purposes concerned.</w:t>
      </w:r>
    </w:p>
    <w:p w14:paraId="0AC064A0" w14:textId="596F8CAA" w:rsidR="008420C1" w:rsidRPr="001C0C4B" w:rsidRDefault="1E0C63F7" w:rsidP="002B251D">
      <w:pPr>
        <w:pStyle w:val="Heading2"/>
        <w:numPr>
          <w:ilvl w:val="1"/>
          <w:numId w:val="23"/>
        </w:numPr>
        <w:tabs>
          <w:tab w:val="left" w:pos="990"/>
        </w:tabs>
        <w:rPr>
          <w:rFonts w:ascii="Calibri" w:hAnsi="Calibri" w:cs="Calibri"/>
          <w:color w:val="auto"/>
          <w:sz w:val="22"/>
          <w:szCs w:val="22"/>
        </w:rPr>
      </w:pPr>
      <w:bookmarkStart w:id="320" w:name="_Toc96007320"/>
      <w:bookmarkStart w:id="321" w:name="_Toc95915273"/>
      <w:bookmarkStart w:id="322" w:name="_Toc74661317"/>
      <w:bookmarkStart w:id="323" w:name="_Toc110524012"/>
      <w:bookmarkStart w:id="324" w:name="_Toc96005623"/>
      <w:bookmarkStart w:id="325" w:name="_Toc112917660"/>
      <w:r w:rsidRPr="001C0C4B">
        <w:rPr>
          <w:rFonts w:ascii="Calibri" w:hAnsi="Calibri" w:cs="Calibri"/>
          <w:color w:val="auto"/>
          <w:sz w:val="22"/>
          <w:szCs w:val="22"/>
        </w:rPr>
        <w:t>Expenses</w:t>
      </w:r>
      <w:bookmarkEnd w:id="320"/>
      <w:bookmarkEnd w:id="321"/>
      <w:bookmarkEnd w:id="322"/>
      <w:bookmarkEnd w:id="323"/>
      <w:bookmarkEnd w:id="324"/>
      <w:bookmarkEnd w:id="325"/>
      <w:r w:rsidRPr="001C0C4B">
        <w:rPr>
          <w:rFonts w:ascii="Calibri" w:hAnsi="Calibri" w:cs="Calibri"/>
          <w:color w:val="auto"/>
          <w:sz w:val="22"/>
          <w:szCs w:val="22"/>
        </w:rPr>
        <w:t xml:space="preserve"> </w:t>
      </w:r>
    </w:p>
    <w:p w14:paraId="27744CE5" w14:textId="2D2F589E" w:rsidR="008420C1" w:rsidRPr="001C0C4B" w:rsidRDefault="008420C1" w:rsidP="008420C1">
      <w:pPr>
        <w:rPr>
          <w:lang w:val="en-GB"/>
        </w:rPr>
      </w:pPr>
      <w:r w:rsidRPr="001C0C4B">
        <w:rPr>
          <w:lang w:val="en-GB"/>
        </w:rPr>
        <w:t>Pa</w:t>
      </w:r>
      <w:r w:rsidR="00677396" w:rsidRPr="001C0C4B">
        <w:rPr>
          <w:lang w:val="en-GB"/>
        </w:rPr>
        <w:t>tient</w:t>
      </w:r>
      <w:r w:rsidRPr="001C0C4B">
        <w:rPr>
          <w:lang w:val="en-GB"/>
        </w:rPr>
        <w:t xml:space="preserve">s will be financially compensated for their time in the study, in accordance with local EC guidance and approval.  </w:t>
      </w:r>
    </w:p>
    <w:p w14:paraId="4F11A576" w14:textId="6842C130" w:rsidR="008420C1" w:rsidRPr="001C0C4B" w:rsidRDefault="008420C1" w:rsidP="002B251D">
      <w:pPr>
        <w:pStyle w:val="Heading2"/>
        <w:numPr>
          <w:ilvl w:val="1"/>
          <w:numId w:val="23"/>
        </w:numPr>
        <w:tabs>
          <w:tab w:val="left" w:pos="900"/>
        </w:tabs>
        <w:rPr>
          <w:rFonts w:ascii="Calibri" w:hAnsi="Calibri" w:cs="Calibri"/>
          <w:color w:val="auto"/>
          <w:sz w:val="22"/>
          <w:szCs w:val="22"/>
        </w:rPr>
      </w:pPr>
      <w:bookmarkStart w:id="326" w:name="_Toc96007321"/>
      <w:bookmarkStart w:id="327" w:name="_Toc95915274"/>
      <w:bookmarkStart w:id="328" w:name="_Toc74661318"/>
      <w:bookmarkStart w:id="329" w:name="_Toc110524013"/>
      <w:bookmarkStart w:id="330" w:name="_Toc96005624"/>
      <w:bookmarkStart w:id="331" w:name="_Toc112917661"/>
      <w:r w:rsidRPr="001C0C4B">
        <w:rPr>
          <w:rFonts w:ascii="Calibri" w:hAnsi="Calibri" w:cs="Calibri"/>
          <w:color w:val="auto"/>
          <w:sz w:val="22"/>
          <w:szCs w:val="22"/>
        </w:rPr>
        <w:t>R</w:t>
      </w:r>
      <w:r w:rsidR="00251A64" w:rsidRPr="001C0C4B">
        <w:rPr>
          <w:rFonts w:ascii="Calibri" w:hAnsi="Calibri" w:cs="Calibri"/>
          <w:color w:val="auto"/>
          <w:sz w:val="22"/>
          <w:szCs w:val="22"/>
        </w:rPr>
        <w:t>isk</w:t>
      </w:r>
      <w:bookmarkEnd w:id="326"/>
      <w:bookmarkEnd w:id="327"/>
      <w:bookmarkEnd w:id="328"/>
      <w:bookmarkEnd w:id="329"/>
      <w:bookmarkEnd w:id="330"/>
      <w:bookmarkEnd w:id="331"/>
    </w:p>
    <w:p w14:paraId="2A4DA62F" w14:textId="02AE7C6C" w:rsidR="003C7D6B" w:rsidRPr="001C0C4B" w:rsidRDefault="009407B8" w:rsidP="00306864">
      <w:pPr>
        <w:jc w:val="both"/>
        <w:rPr>
          <w:lang w:val="en-GB"/>
        </w:rPr>
      </w:pPr>
      <w:r w:rsidRPr="001C0C4B">
        <w:rPr>
          <w:lang w:val="en-GB"/>
        </w:rPr>
        <w:t xml:space="preserve">All of the treatments being tested </w:t>
      </w:r>
      <w:r w:rsidRPr="001C0C4B">
        <w:rPr>
          <w:i/>
          <w:iCs/>
          <w:lang w:val="en-GB"/>
        </w:rPr>
        <w:t>initially (see Appendix 2 for study drugs)</w:t>
      </w:r>
      <w:r w:rsidRPr="001C0C4B">
        <w:rPr>
          <w:lang w:val="en-GB"/>
        </w:rPr>
        <w:t xml:space="preserve"> are generally well tolerated with the main adverse effects related to gastrointestinal symptoms</w:t>
      </w:r>
      <w:r w:rsidR="003C7D6B" w:rsidRPr="001C0C4B">
        <w:rPr>
          <w:lang w:val="en-GB"/>
        </w:rPr>
        <w:t xml:space="preserve"> (abdominal pain, diarrhoea, nausea and vomiting). In the case of </w:t>
      </w:r>
      <w:r w:rsidR="00911098" w:rsidRPr="001C0C4B">
        <w:rPr>
          <w:lang w:val="en-GB"/>
        </w:rPr>
        <w:t xml:space="preserve">intravenously/subcutaneously administed treatments there may be discomfort, bleeding or bruising of the skin at the site of needle puncture. </w:t>
      </w:r>
      <w:r w:rsidR="003C7D6B" w:rsidRPr="001C0C4B">
        <w:rPr>
          <w:lang w:val="en-GB"/>
        </w:rPr>
        <w:t xml:space="preserve">Further information regarding specific side effects for each </w:t>
      </w:r>
      <w:r w:rsidR="004F6B09" w:rsidRPr="001C0C4B">
        <w:rPr>
          <w:lang w:val="en-GB"/>
        </w:rPr>
        <w:t xml:space="preserve">of the </w:t>
      </w:r>
      <w:r w:rsidR="003C7D6B" w:rsidRPr="001C0C4B">
        <w:rPr>
          <w:lang w:val="en-GB"/>
        </w:rPr>
        <w:t>drug</w:t>
      </w:r>
      <w:r w:rsidR="004F6B09" w:rsidRPr="001C0C4B">
        <w:rPr>
          <w:lang w:val="en-GB"/>
        </w:rPr>
        <w:t>s used in the study</w:t>
      </w:r>
      <w:r w:rsidR="003C7D6B" w:rsidRPr="001C0C4B">
        <w:rPr>
          <w:lang w:val="en-GB"/>
        </w:rPr>
        <w:t xml:space="preserve"> can be found in Appendix 2. </w:t>
      </w:r>
      <w:r w:rsidR="00911098" w:rsidRPr="001C0C4B">
        <w:rPr>
          <w:lang w:val="en-GB"/>
        </w:rPr>
        <w:t xml:space="preserve">These are usually mild and settle without the need </w:t>
      </w:r>
      <w:r w:rsidR="004F6B09" w:rsidRPr="001C0C4B">
        <w:rPr>
          <w:lang w:val="en-GB"/>
        </w:rPr>
        <w:t xml:space="preserve">for </w:t>
      </w:r>
      <w:r w:rsidR="00911098" w:rsidRPr="001C0C4B">
        <w:rPr>
          <w:lang w:val="en-GB"/>
        </w:rPr>
        <w:t xml:space="preserve">medical intervention. </w:t>
      </w:r>
    </w:p>
    <w:p w14:paraId="7E0C4FDE" w14:textId="1CE016B4" w:rsidR="00911098" w:rsidRPr="001C0C4B" w:rsidRDefault="00911098" w:rsidP="00E55C14">
      <w:pPr>
        <w:jc w:val="both"/>
        <w:rPr>
          <w:lang w:val="en-GB"/>
        </w:rPr>
      </w:pPr>
      <w:r w:rsidRPr="001C0C4B">
        <w:rPr>
          <w:lang w:val="en-GB"/>
        </w:rPr>
        <w:t>The risks associated with blood withdraw</w:t>
      </w:r>
      <w:r w:rsidR="008A394C" w:rsidRPr="001C0C4B">
        <w:rPr>
          <w:lang w:val="en-GB"/>
        </w:rPr>
        <w:t>a</w:t>
      </w:r>
      <w:r w:rsidRPr="001C0C4B">
        <w:rPr>
          <w:lang w:val="en-GB"/>
        </w:rPr>
        <w:t xml:space="preserve">l during the study include discomfort, occasional bleeding or bruising at the site of needle puncture, and very rarely infection. The risks associated with nose and throat swabbing </w:t>
      </w:r>
      <w:r w:rsidR="004F6B09" w:rsidRPr="001C0C4B">
        <w:rPr>
          <w:lang w:val="en-GB"/>
        </w:rPr>
        <w:t>are</w:t>
      </w:r>
      <w:r w:rsidRPr="001C0C4B">
        <w:rPr>
          <w:lang w:val="en-GB"/>
        </w:rPr>
        <w:t xml:space="preserve"> limited to some slight discomfort.</w:t>
      </w:r>
    </w:p>
    <w:p w14:paraId="7FA63FAF" w14:textId="08DC694D" w:rsidR="00EA1F4B" w:rsidRPr="001C0C4B" w:rsidRDefault="1E0C63F7" w:rsidP="002B251D">
      <w:pPr>
        <w:pStyle w:val="Heading2"/>
        <w:numPr>
          <w:ilvl w:val="1"/>
          <w:numId w:val="23"/>
        </w:numPr>
        <w:tabs>
          <w:tab w:val="left" w:pos="900"/>
        </w:tabs>
        <w:rPr>
          <w:rFonts w:ascii="Calibri" w:hAnsi="Calibri" w:cs="Calibri"/>
          <w:color w:val="auto"/>
          <w:sz w:val="22"/>
          <w:szCs w:val="22"/>
        </w:rPr>
      </w:pPr>
      <w:bookmarkStart w:id="332" w:name="_Toc96007322"/>
      <w:bookmarkStart w:id="333" w:name="_Toc95915275"/>
      <w:bookmarkStart w:id="334" w:name="_Toc74661319"/>
      <w:bookmarkStart w:id="335" w:name="_Toc110524014"/>
      <w:bookmarkStart w:id="336" w:name="_Toc96005625"/>
      <w:bookmarkStart w:id="337" w:name="_Toc112917662"/>
      <w:r w:rsidRPr="001C0C4B">
        <w:rPr>
          <w:rFonts w:ascii="Calibri" w:hAnsi="Calibri" w:cs="Calibri"/>
          <w:color w:val="auto"/>
          <w:sz w:val="22"/>
          <w:szCs w:val="22"/>
        </w:rPr>
        <w:t>Benefits</w:t>
      </w:r>
      <w:bookmarkEnd w:id="332"/>
      <w:bookmarkEnd w:id="333"/>
      <w:bookmarkEnd w:id="334"/>
      <w:bookmarkEnd w:id="335"/>
      <w:bookmarkEnd w:id="336"/>
      <w:bookmarkEnd w:id="337"/>
    </w:p>
    <w:p w14:paraId="77CFDC2D" w14:textId="35B92A72" w:rsidR="00EA1F4B" w:rsidRPr="001C0C4B" w:rsidRDefault="0F5B9673" w:rsidP="000B5065">
      <w:pPr>
        <w:spacing w:after="200" w:line="276" w:lineRule="auto"/>
        <w:jc w:val="both"/>
        <w:rPr>
          <w:rFonts w:ascii="Calibri" w:eastAsia="Calibri" w:hAnsi="Calibri" w:cs="Calibri"/>
          <w:lang w:val="en-GB"/>
        </w:rPr>
      </w:pPr>
      <w:r w:rsidRPr="001C0C4B">
        <w:rPr>
          <w:rFonts w:ascii="Calibri" w:eastAsia="Calibri" w:hAnsi="Calibri" w:cs="Calibri"/>
          <w:lang w:val="en-GB"/>
        </w:rPr>
        <w:t xml:space="preserve">It is </w:t>
      </w:r>
      <w:r w:rsidRPr="001C0C4B">
        <w:rPr>
          <w:rFonts w:ascii="Calibri" w:eastAsia="Calibri" w:hAnsi="Calibri" w:cs="Calibri"/>
        </w:rPr>
        <w:t>not yet know</w:t>
      </w:r>
      <w:r w:rsidR="00751241" w:rsidRPr="001C0C4B">
        <w:rPr>
          <w:rFonts w:ascii="Calibri" w:eastAsia="Calibri" w:hAnsi="Calibri" w:cs="Calibri"/>
        </w:rPr>
        <w:t>n</w:t>
      </w:r>
      <w:r w:rsidRPr="001C0C4B">
        <w:rPr>
          <w:rFonts w:ascii="Calibri" w:eastAsia="Calibri" w:hAnsi="Calibri" w:cs="Calibri"/>
        </w:rPr>
        <w:t xml:space="preserve"> if any of the treatments being tested will have additional benefits for the patient in the management of COVID-19. Although an individual patient may not personally benefit, this study should help future COVID-19 patients by discovering treatments that work in early disease and ruling out those do not. </w:t>
      </w:r>
      <w:r w:rsidR="00B301DF" w:rsidRPr="001C0C4B">
        <w:rPr>
          <w:rFonts w:ascii="Calibri" w:eastAsia="Calibri" w:hAnsi="Calibri" w:cs="Calibri"/>
          <w:lang w:val="en-GB"/>
        </w:rPr>
        <w:t xml:space="preserve">Remuneration will be provided to the </w:t>
      </w:r>
      <w:r w:rsidR="000C621F" w:rsidRPr="001C0C4B">
        <w:rPr>
          <w:rFonts w:ascii="Calibri" w:eastAsia="Calibri" w:hAnsi="Calibri" w:cs="Calibri"/>
          <w:lang w:val="en-GB"/>
        </w:rPr>
        <w:t>patient</w:t>
      </w:r>
      <w:r w:rsidR="00B301DF" w:rsidRPr="001C0C4B">
        <w:rPr>
          <w:rFonts w:ascii="Calibri" w:eastAsia="Calibri" w:hAnsi="Calibri" w:cs="Calibri"/>
          <w:lang w:val="en-GB"/>
        </w:rPr>
        <w:t>s</w:t>
      </w:r>
      <w:r w:rsidR="009C6199" w:rsidRPr="001C0C4B">
        <w:rPr>
          <w:rFonts w:ascii="Calibri" w:eastAsia="Calibri" w:hAnsi="Calibri" w:cs="Calibri"/>
          <w:lang w:val="en-GB"/>
        </w:rPr>
        <w:t xml:space="preserve"> for the period they are enrolled in the study</w:t>
      </w:r>
      <w:r w:rsidR="001E232A" w:rsidRPr="001C0C4B">
        <w:rPr>
          <w:rFonts w:ascii="Calibri" w:eastAsia="Calibri" w:hAnsi="Calibri" w:cs="Calibri"/>
          <w:lang w:val="en-GB"/>
        </w:rPr>
        <w:t xml:space="preserve">. </w:t>
      </w:r>
      <w:r w:rsidR="000C621F" w:rsidRPr="001C0C4B">
        <w:rPr>
          <w:rFonts w:ascii="Calibri" w:eastAsia="Calibri" w:hAnsi="Calibri" w:cs="Calibri"/>
          <w:lang w:val="en-GB"/>
        </w:rPr>
        <w:t>Patient</w:t>
      </w:r>
      <w:r w:rsidR="001E232A" w:rsidRPr="001C0C4B">
        <w:rPr>
          <w:rFonts w:ascii="Calibri" w:eastAsia="Calibri" w:hAnsi="Calibri" w:cs="Calibri"/>
          <w:lang w:val="en-GB"/>
        </w:rPr>
        <w:t>s will</w:t>
      </w:r>
      <w:r w:rsidR="009C6199" w:rsidRPr="001C0C4B">
        <w:rPr>
          <w:rFonts w:ascii="Calibri" w:eastAsia="Calibri" w:hAnsi="Calibri" w:cs="Calibri"/>
          <w:lang w:val="en-GB"/>
        </w:rPr>
        <w:t xml:space="preserve"> be reimbursed for costs associated with traveling to the study site and loss of work time. The amount w</w:t>
      </w:r>
      <w:r w:rsidR="0017778A" w:rsidRPr="001C0C4B">
        <w:rPr>
          <w:rFonts w:ascii="Calibri" w:eastAsia="Calibri" w:hAnsi="Calibri" w:cs="Calibri"/>
          <w:lang w:val="en-GB"/>
        </w:rPr>
        <w:t>ill</w:t>
      </w:r>
      <w:r w:rsidR="009C6199" w:rsidRPr="001C0C4B">
        <w:rPr>
          <w:rFonts w:ascii="Calibri" w:eastAsia="Calibri" w:hAnsi="Calibri" w:cs="Calibri"/>
          <w:lang w:val="en-GB"/>
        </w:rPr>
        <w:t xml:space="preserve"> be determined </w:t>
      </w:r>
      <w:r w:rsidR="00B301DF" w:rsidRPr="001C0C4B">
        <w:rPr>
          <w:rFonts w:ascii="Calibri" w:eastAsia="Calibri" w:hAnsi="Calibri" w:cs="Calibri"/>
          <w:lang w:val="en-GB"/>
        </w:rPr>
        <w:t>per local allowed guidelines and ethics committee policies</w:t>
      </w:r>
      <w:r w:rsidR="00974283" w:rsidRPr="001C0C4B">
        <w:rPr>
          <w:rFonts w:ascii="Calibri" w:eastAsia="Calibri" w:hAnsi="Calibri" w:cs="Calibri"/>
          <w:lang w:val="en-GB"/>
        </w:rPr>
        <w:t xml:space="preserve"> </w:t>
      </w:r>
      <w:r w:rsidR="003F5167" w:rsidRPr="001C0C4B">
        <w:t>.</w:t>
      </w:r>
    </w:p>
    <w:p w14:paraId="48E769FA" w14:textId="1BE4DF52" w:rsidR="00EA1F4B" w:rsidRPr="001C0C4B" w:rsidRDefault="1E0C63F7" w:rsidP="002B251D">
      <w:pPr>
        <w:pStyle w:val="Heading2"/>
        <w:numPr>
          <w:ilvl w:val="1"/>
          <w:numId w:val="23"/>
        </w:numPr>
        <w:tabs>
          <w:tab w:val="left" w:pos="900"/>
        </w:tabs>
        <w:rPr>
          <w:rFonts w:ascii="Calibri" w:hAnsi="Calibri" w:cs="Calibri"/>
          <w:color w:val="auto"/>
          <w:sz w:val="22"/>
          <w:szCs w:val="22"/>
        </w:rPr>
      </w:pPr>
      <w:bookmarkStart w:id="338" w:name="_Toc96007323"/>
      <w:bookmarkStart w:id="339" w:name="_Toc95915276"/>
      <w:bookmarkStart w:id="340" w:name="_Toc74661320"/>
      <w:bookmarkStart w:id="341" w:name="_Toc110524015"/>
      <w:bookmarkStart w:id="342" w:name="_Toc96005626"/>
      <w:bookmarkStart w:id="343" w:name="_Toc112917663"/>
      <w:r w:rsidRPr="001C0C4B">
        <w:rPr>
          <w:rFonts w:ascii="Calibri" w:hAnsi="Calibri" w:cs="Calibri"/>
          <w:color w:val="auto"/>
          <w:sz w:val="22"/>
          <w:szCs w:val="22"/>
        </w:rPr>
        <w:t>Reporting</w:t>
      </w:r>
      <w:bookmarkEnd w:id="338"/>
      <w:bookmarkEnd w:id="339"/>
      <w:bookmarkEnd w:id="340"/>
      <w:bookmarkEnd w:id="341"/>
      <w:bookmarkEnd w:id="342"/>
      <w:bookmarkEnd w:id="343"/>
    </w:p>
    <w:p w14:paraId="0FFBCDE3" w14:textId="5882D268" w:rsidR="00EA1F4B" w:rsidRPr="001C0C4B" w:rsidRDefault="1E0C63F7" w:rsidP="000B5065">
      <w:pPr>
        <w:spacing w:after="200" w:line="276" w:lineRule="auto"/>
        <w:jc w:val="both"/>
        <w:rPr>
          <w:rFonts w:ascii="Calibri" w:eastAsia="Calibri" w:hAnsi="Calibri" w:cs="Calibri"/>
        </w:rPr>
      </w:pPr>
      <w:r w:rsidRPr="001C0C4B">
        <w:rPr>
          <w:rFonts w:ascii="Calibri" w:eastAsia="Calibri" w:hAnsi="Calibri" w:cs="Calibri"/>
          <w:lang w:val="en-GB"/>
        </w:rPr>
        <w:t xml:space="preserve">The </w:t>
      </w:r>
      <w:r w:rsidR="00E25446" w:rsidRPr="001C0C4B">
        <w:rPr>
          <w:rFonts w:ascii="Calibri" w:eastAsia="Calibri" w:hAnsi="Calibri" w:cs="Calibri"/>
          <w:lang w:val="en-GB"/>
        </w:rPr>
        <w:t>PI</w:t>
      </w:r>
      <w:r w:rsidRPr="001C0C4B">
        <w:rPr>
          <w:rFonts w:ascii="Calibri" w:eastAsia="Calibri" w:hAnsi="Calibri" w:cs="Calibri"/>
          <w:lang w:val="en-GB"/>
        </w:rPr>
        <w:t xml:space="preserve"> shall submit an Annual Progress Report to OxTREC on the anniversary of the date of approval of the study. In addition, the </w:t>
      </w:r>
      <w:r w:rsidR="00E25446" w:rsidRPr="001C0C4B">
        <w:rPr>
          <w:rFonts w:ascii="Calibri" w:eastAsia="Calibri" w:hAnsi="Calibri" w:cs="Calibri"/>
          <w:lang w:val="en-GB"/>
        </w:rPr>
        <w:t>PI</w:t>
      </w:r>
      <w:r w:rsidRPr="001C0C4B">
        <w:rPr>
          <w:rFonts w:ascii="Calibri" w:eastAsia="Calibri" w:hAnsi="Calibri" w:cs="Calibri"/>
          <w:lang w:val="en-GB"/>
        </w:rPr>
        <w:t xml:space="preserve"> shall submit an End of Study Report to OxTREC within 12 months of completion of the study.</w:t>
      </w:r>
    </w:p>
    <w:p w14:paraId="59DB6B84" w14:textId="53CF8EBB" w:rsidR="00EA1F4B" w:rsidRPr="001C0C4B" w:rsidRDefault="1E0C63F7" w:rsidP="002B251D">
      <w:pPr>
        <w:pStyle w:val="Heading2"/>
        <w:numPr>
          <w:ilvl w:val="1"/>
          <w:numId w:val="23"/>
        </w:numPr>
        <w:tabs>
          <w:tab w:val="left" w:pos="900"/>
        </w:tabs>
        <w:rPr>
          <w:rFonts w:ascii="Calibri" w:hAnsi="Calibri" w:cs="Calibri"/>
          <w:color w:val="auto"/>
          <w:sz w:val="22"/>
          <w:szCs w:val="22"/>
        </w:rPr>
      </w:pPr>
      <w:bookmarkStart w:id="344" w:name="_Toc96007324"/>
      <w:bookmarkStart w:id="345" w:name="_Toc95915277"/>
      <w:bookmarkStart w:id="346" w:name="_Toc74661321"/>
      <w:bookmarkStart w:id="347" w:name="_Toc110524016"/>
      <w:bookmarkStart w:id="348" w:name="_Toc96005627"/>
      <w:bookmarkStart w:id="349" w:name="_Toc112917664"/>
      <w:r w:rsidRPr="001C0C4B">
        <w:rPr>
          <w:rFonts w:ascii="Calibri" w:hAnsi="Calibri" w:cs="Calibri"/>
          <w:color w:val="auto"/>
          <w:sz w:val="22"/>
          <w:szCs w:val="22"/>
        </w:rPr>
        <w:t>F</w:t>
      </w:r>
      <w:r w:rsidR="00B62D6B" w:rsidRPr="001C0C4B">
        <w:rPr>
          <w:rFonts w:ascii="Calibri" w:hAnsi="Calibri" w:cs="Calibri"/>
          <w:color w:val="auto"/>
          <w:sz w:val="22"/>
          <w:szCs w:val="22"/>
        </w:rPr>
        <w:t>inance and insurance</w:t>
      </w:r>
      <w:bookmarkEnd w:id="344"/>
      <w:bookmarkEnd w:id="345"/>
      <w:bookmarkEnd w:id="346"/>
      <w:bookmarkEnd w:id="347"/>
      <w:bookmarkEnd w:id="348"/>
      <w:bookmarkEnd w:id="349"/>
    </w:p>
    <w:p w14:paraId="5E7AEAEC" w14:textId="002BE929" w:rsidR="00751241" w:rsidRPr="001C0C4B" w:rsidRDefault="003E0DDB" w:rsidP="00BF2FEE">
      <w:pPr>
        <w:pStyle w:val="Table"/>
        <w:ind w:firstLine="630"/>
        <w:jc w:val="left"/>
      </w:pPr>
      <w:r w:rsidRPr="001C0C4B">
        <w:t xml:space="preserve">13.9.1 </w:t>
      </w:r>
      <w:r w:rsidR="1E0C63F7" w:rsidRPr="001C0C4B">
        <w:t>Funding</w:t>
      </w:r>
      <w:r w:rsidR="00AE76F5" w:rsidRPr="001C0C4B">
        <w:t xml:space="preserve">: </w:t>
      </w:r>
      <w:r w:rsidR="00DF2EBB" w:rsidRPr="001C0C4B">
        <w:t>ACT- Accelerator</w:t>
      </w:r>
    </w:p>
    <w:p w14:paraId="051005DB" w14:textId="63E7E0B0" w:rsidR="00EA1F4B" w:rsidRPr="001C0C4B" w:rsidRDefault="00751241" w:rsidP="00E55C14">
      <w:pPr>
        <w:pStyle w:val="NoSpacing"/>
        <w:spacing w:line="276" w:lineRule="auto"/>
        <w:jc w:val="thaiDistribute"/>
        <w:rPr>
          <w:rFonts w:ascii="Calibri" w:hAnsi="Calibri" w:cs="Calibri"/>
        </w:rPr>
      </w:pPr>
      <w:r w:rsidRPr="001C0C4B">
        <w:rPr>
          <w:shd w:val="clear" w:color="auto" w:fill="FFFFFF"/>
        </w:rPr>
        <w:t>This trial is funded by the COVID-19 Therapeutics Accelerator (CTA), managed with MORU through the Wellcome Trust. CTA is a philanthropic collaboration supporting efforts to research, develop and bring effective treatments against COVID-19 to market quickly and accessibly. CTA and Wellcome Trust</w:t>
      </w:r>
      <w:r w:rsidRPr="001C0C4B">
        <w:t xml:space="preserve"> have had no </w:t>
      </w:r>
      <w:r w:rsidRPr="001C0C4B">
        <w:lastRenderedPageBreak/>
        <w:t>role in the design of this study and will not have any role during its execution, analyses, interpretation of the data, or decision to submit the results.</w:t>
      </w:r>
      <w:r w:rsidRPr="001C0C4B" w:rsidDel="00751241">
        <w:rPr>
          <w:rFonts w:ascii="Calibri" w:hAnsi="Calibri" w:cs="Calibri"/>
        </w:rPr>
        <w:t xml:space="preserve"> </w:t>
      </w:r>
    </w:p>
    <w:p w14:paraId="51A3B5A6" w14:textId="77777777" w:rsidR="002B251D" w:rsidRPr="001C0C4B" w:rsidRDefault="002B251D" w:rsidP="00E55C14">
      <w:pPr>
        <w:pStyle w:val="NoSpacing"/>
        <w:spacing w:line="276" w:lineRule="auto"/>
        <w:jc w:val="thaiDistribute"/>
        <w:rPr>
          <w:rFonts w:ascii="Calibri" w:hAnsi="Calibri" w:cs="Calibri"/>
        </w:rPr>
      </w:pPr>
    </w:p>
    <w:p w14:paraId="20FDDC6B" w14:textId="27180FFF" w:rsidR="005F0BDF" w:rsidRPr="001C0C4B" w:rsidRDefault="003E0DDB" w:rsidP="00BF2FEE">
      <w:pPr>
        <w:pStyle w:val="Table"/>
        <w:ind w:firstLine="630"/>
        <w:jc w:val="left"/>
      </w:pPr>
      <w:r w:rsidRPr="001C0C4B">
        <w:t xml:space="preserve">13.9.2 </w:t>
      </w:r>
      <w:r w:rsidR="1E0C63F7" w:rsidRPr="001C0C4B">
        <w:t>Insurance</w:t>
      </w:r>
      <w:r w:rsidR="00AE76F5" w:rsidRPr="001C0C4B">
        <w:t xml:space="preserve">: </w:t>
      </w:r>
    </w:p>
    <w:p w14:paraId="64FD2F82" w14:textId="67505B17" w:rsidR="00EA1F4B" w:rsidRPr="001C0C4B" w:rsidRDefault="1E0C63F7" w:rsidP="00AA6653">
      <w:pPr>
        <w:spacing w:after="200" w:line="276" w:lineRule="auto"/>
        <w:jc w:val="thaiDistribute"/>
        <w:rPr>
          <w:rFonts w:ascii="Calibri" w:eastAsia="Arial" w:hAnsi="Calibri" w:cs="Calibri"/>
          <w:lang w:val="en-GB"/>
        </w:rPr>
      </w:pPr>
      <w:r w:rsidRPr="001C0C4B">
        <w:rPr>
          <w:rFonts w:ascii="Calibri" w:eastAsia="Calibri" w:hAnsi="Calibri" w:cs="Calibri"/>
          <w:lang w:val="en-GB"/>
        </w:rPr>
        <w:t xml:space="preserve">The University has a specialist insurance policy in place which would operate in the event of any </w:t>
      </w:r>
      <w:r w:rsidR="000C621F" w:rsidRPr="001C0C4B">
        <w:rPr>
          <w:rFonts w:ascii="Calibri" w:eastAsia="Calibri" w:hAnsi="Calibri" w:cs="Calibri"/>
          <w:lang w:val="en-GB"/>
        </w:rPr>
        <w:t>patient</w:t>
      </w:r>
      <w:r w:rsidRPr="001C0C4B">
        <w:rPr>
          <w:rFonts w:ascii="Calibri" w:eastAsia="Calibri" w:hAnsi="Calibri" w:cs="Calibri"/>
          <w:lang w:val="en-GB"/>
        </w:rPr>
        <w:t xml:space="preserve"> suffering harm as a result of their involvement in the research (Newline Underwriting Management Ltd, at Lloyd’s of London). </w:t>
      </w:r>
      <w:r w:rsidRPr="001C0C4B">
        <w:rPr>
          <w:rFonts w:ascii="Calibri" w:eastAsia="Arial" w:hAnsi="Calibri" w:cs="Calibri"/>
          <w:lang w:val="en-GB"/>
        </w:rPr>
        <w:t xml:space="preserve"> </w:t>
      </w:r>
    </w:p>
    <w:p w14:paraId="7F7BC984" w14:textId="77777777" w:rsidR="00E87883" w:rsidRPr="001C0C4B" w:rsidRDefault="00E87883" w:rsidP="002B251D">
      <w:pPr>
        <w:pStyle w:val="Heading2"/>
        <w:numPr>
          <w:ilvl w:val="1"/>
          <w:numId w:val="23"/>
        </w:numPr>
        <w:tabs>
          <w:tab w:val="left" w:pos="990"/>
        </w:tabs>
        <w:jc w:val="thaiDistribute"/>
        <w:rPr>
          <w:rFonts w:ascii="Calibri" w:hAnsi="Calibri" w:cs="Calibri"/>
          <w:color w:val="auto"/>
          <w:sz w:val="22"/>
          <w:szCs w:val="22"/>
        </w:rPr>
      </w:pPr>
      <w:bookmarkStart w:id="350" w:name="_Toc96007325"/>
      <w:bookmarkStart w:id="351" w:name="_Toc95915278"/>
      <w:bookmarkStart w:id="352" w:name="_Toc74661322"/>
      <w:bookmarkStart w:id="353" w:name="_Toc110524017"/>
      <w:bookmarkStart w:id="354" w:name="_Toc96005628"/>
      <w:bookmarkStart w:id="355" w:name="_Toc112917665"/>
      <w:r w:rsidRPr="001C0C4B">
        <w:rPr>
          <w:rFonts w:ascii="Calibri" w:hAnsi="Calibri" w:cs="Calibri"/>
          <w:color w:val="auto"/>
          <w:sz w:val="22"/>
          <w:szCs w:val="22"/>
        </w:rPr>
        <w:t>Data ownership</w:t>
      </w:r>
      <w:bookmarkEnd w:id="350"/>
      <w:bookmarkEnd w:id="351"/>
      <w:bookmarkEnd w:id="352"/>
      <w:bookmarkEnd w:id="353"/>
      <w:bookmarkEnd w:id="354"/>
      <w:bookmarkEnd w:id="355"/>
    </w:p>
    <w:p w14:paraId="4777BB50" w14:textId="77777777" w:rsidR="00E87883" w:rsidRPr="001C0C4B" w:rsidRDefault="00E87883" w:rsidP="00AA6653">
      <w:pPr>
        <w:jc w:val="thaiDistribute"/>
        <w:rPr>
          <w:lang w:val="en-GB"/>
        </w:rPr>
      </w:pPr>
      <w:r w:rsidRPr="001C0C4B">
        <w:rPr>
          <w:lang w:val="en-GB"/>
        </w:rPr>
        <w:t xml:space="preserve">The data generated in this study belongs to the study group as a whole. The final database will be shared amongst the site PI and key members of the research team. </w:t>
      </w:r>
    </w:p>
    <w:p w14:paraId="10C37E30" w14:textId="46A315EF" w:rsidR="00E87883" w:rsidRPr="001C0C4B" w:rsidRDefault="00E87883" w:rsidP="00E55C14">
      <w:pPr>
        <w:jc w:val="thaiDistribute"/>
        <w:rPr>
          <w:rFonts w:ascii="Calibri" w:eastAsia="Arial" w:hAnsi="Calibri" w:cs="Calibri"/>
          <w:lang w:val="en-GB"/>
        </w:rPr>
      </w:pPr>
      <w:r w:rsidRPr="001C0C4B">
        <w:rPr>
          <w:lang w:val="en-GB"/>
        </w:rPr>
        <w:t>The database may be shared with researchers not directly involved in this study but only after the main paper has been published and in accordance with MORU guidelines on data sharing. The database will only be shared if future publications are not compromised. The criteria for authorship will be consistent with the international guidelines (</w:t>
      </w:r>
      <w:hyperlink r:id="rId24" w:anchor="author" w:history="1">
        <w:r w:rsidRPr="001C0C4B">
          <w:rPr>
            <w:rStyle w:val="Hyperlink"/>
            <w:color w:val="auto"/>
            <w:lang w:val="en-GB"/>
          </w:rPr>
          <w:t>http://www.icmje.org/#author</w:t>
        </w:r>
      </w:hyperlink>
      <w:r w:rsidRPr="001C0C4B">
        <w:rPr>
          <w:lang w:val="en-GB"/>
        </w:rPr>
        <w:t>).</w:t>
      </w:r>
    </w:p>
    <w:p w14:paraId="3F8CB924" w14:textId="51D2D581" w:rsidR="00EA1F4B" w:rsidRPr="001C0C4B" w:rsidRDefault="008E1490" w:rsidP="002B251D">
      <w:pPr>
        <w:pStyle w:val="Heading2"/>
        <w:numPr>
          <w:ilvl w:val="1"/>
          <w:numId w:val="23"/>
        </w:numPr>
        <w:tabs>
          <w:tab w:val="left" w:pos="900"/>
        </w:tabs>
        <w:rPr>
          <w:rFonts w:ascii="Calibri" w:hAnsi="Calibri" w:cs="Calibri"/>
          <w:color w:val="auto"/>
          <w:sz w:val="22"/>
          <w:szCs w:val="22"/>
        </w:rPr>
      </w:pPr>
      <w:bookmarkStart w:id="356" w:name="_Toc96007326"/>
      <w:bookmarkStart w:id="357" w:name="_Toc95915279"/>
      <w:bookmarkStart w:id="358" w:name="_Toc74661323"/>
      <w:bookmarkStart w:id="359" w:name="_Toc110524018"/>
      <w:bookmarkStart w:id="360" w:name="_Toc96005629"/>
      <w:bookmarkStart w:id="361" w:name="_Toc112917666"/>
      <w:r w:rsidRPr="001C0C4B">
        <w:rPr>
          <w:rFonts w:ascii="Calibri" w:hAnsi="Calibri" w:cs="Calibri"/>
          <w:color w:val="auto"/>
          <w:sz w:val="22"/>
          <w:szCs w:val="22"/>
        </w:rPr>
        <w:t>Publication policy</w:t>
      </w:r>
      <w:bookmarkEnd w:id="356"/>
      <w:bookmarkEnd w:id="357"/>
      <w:bookmarkEnd w:id="358"/>
      <w:bookmarkEnd w:id="359"/>
      <w:bookmarkEnd w:id="360"/>
      <w:bookmarkEnd w:id="361"/>
    </w:p>
    <w:p w14:paraId="28C568F6" w14:textId="604DB017" w:rsidR="004F5F01" w:rsidRPr="001C0C4B" w:rsidRDefault="00BC0A18" w:rsidP="004F5F01">
      <w:pPr>
        <w:tabs>
          <w:tab w:val="left" w:pos="709"/>
        </w:tabs>
        <w:spacing w:line="240" w:lineRule="auto"/>
        <w:jc w:val="both"/>
        <w:rPr>
          <w:rFonts w:ascii="Calibri" w:hAnsi="Calibri" w:cs="Calibri"/>
        </w:rPr>
      </w:pPr>
      <w:r w:rsidRPr="001C0C4B">
        <w:rPr>
          <w:rFonts w:ascii="Calibri" w:hAnsi="Calibri" w:cs="Calibri"/>
        </w:rPr>
        <w:t>The Investigators will be involved in reviewing drafts of the manuscripts, abstracts, press releases and any other publications arising from the study.  Authors will acknowledge that the study was funded by &lt;</w:t>
      </w:r>
      <w:r w:rsidRPr="001C0C4B">
        <w:rPr>
          <w:rFonts w:ascii="Calibri" w:hAnsi="Calibri" w:cs="Calibri"/>
          <w:i/>
          <w:iCs/>
        </w:rPr>
        <w:t>insert name</w:t>
      </w:r>
      <w:r w:rsidRPr="001C0C4B">
        <w:rPr>
          <w:rFonts w:ascii="Calibri" w:hAnsi="Calibri" w:cs="Calibri"/>
        </w:rPr>
        <w:t xml:space="preserve">&gt;. Authorship will be determined in accordance with the International Committee of Medical Journal Editors (ICMJE) guidelines and other contributors will be acknowledged. </w:t>
      </w:r>
    </w:p>
    <w:p w14:paraId="735C953E" w14:textId="684566C0" w:rsidR="008E4C2F" w:rsidRPr="001C0C4B" w:rsidRDefault="004F5F01" w:rsidP="00B62D6B">
      <w:pPr>
        <w:tabs>
          <w:tab w:val="left" w:pos="709"/>
        </w:tabs>
        <w:spacing w:line="240" w:lineRule="auto"/>
        <w:jc w:val="both"/>
        <w:rPr>
          <w:rFonts w:ascii="Calibri" w:hAnsi="Calibri" w:cs="Calibri"/>
        </w:rPr>
      </w:pPr>
      <w:r w:rsidRPr="001C0C4B">
        <w:rPr>
          <w:rFonts w:ascii="Calibri" w:hAnsi="Calibri" w:cs="Calibri"/>
        </w:rPr>
        <w:t xml:space="preserve">The results of the study will be summarised in lay language, in both English and the language(s) commonly spoken at the study sites, and disseminated to key stakeholders, user communities and </w:t>
      </w:r>
      <w:r w:rsidR="000C621F" w:rsidRPr="001C0C4B">
        <w:rPr>
          <w:rFonts w:ascii="Calibri" w:hAnsi="Calibri" w:cs="Calibri"/>
        </w:rPr>
        <w:t>patient</w:t>
      </w:r>
      <w:r w:rsidRPr="001C0C4B">
        <w:rPr>
          <w:rFonts w:ascii="Calibri" w:hAnsi="Calibri" w:cs="Calibri"/>
        </w:rPr>
        <w:t>s.</w:t>
      </w:r>
    </w:p>
    <w:p w14:paraId="73E72FC9" w14:textId="220C16E3" w:rsidR="008F605A" w:rsidRPr="001C0C4B" w:rsidRDefault="00016FAC" w:rsidP="00B62D6B">
      <w:pPr>
        <w:tabs>
          <w:tab w:val="left" w:pos="709"/>
        </w:tabs>
        <w:spacing w:line="240" w:lineRule="auto"/>
        <w:jc w:val="both"/>
        <w:rPr>
          <w:rFonts w:ascii="Calibri" w:hAnsi="Calibri" w:cs="Calibri"/>
        </w:rPr>
      </w:pPr>
      <w:r w:rsidRPr="001C0C4B">
        <w:rPr>
          <w:rFonts w:ascii="Calibri" w:hAnsi="Calibri" w:cs="Calibri"/>
        </w:rPr>
        <w:br w:type="page"/>
      </w:r>
    </w:p>
    <w:p w14:paraId="6C3D2285" w14:textId="44D6D0D7" w:rsidR="00B803C5" w:rsidRPr="001C0C4B" w:rsidRDefault="00B803C5" w:rsidP="00E142CD">
      <w:pPr>
        <w:pStyle w:val="Heading1"/>
        <w:numPr>
          <w:ilvl w:val="0"/>
          <w:numId w:val="23"/>
        </w:numPr>
        <w:rPr>
          <w:rFonts w:ascii="Calibri" w:hAnsi="Calibri" w:cs="Calibri"/>
          <w:color w:val="auto"/>
          <w:sz w:val="22"/>
          <w:szCs w:val="22"/>
          <w:lang w:val="en-GB"/>
        </w:rPr>
      </w:pPr>
      <w:bookmarkStart w:id="362" w:name="_Toc96007327"/>
      <w:bookmarkStart w:id="363" w:name="_Toc95915280"/>
      <w:bookmarkStart w:id="364" w:name="_Toc110524019"/>
      <w:bookmarkStart w:id="365" w:name="_Toc96005630"/>
      <w:bookmarkStart w:id="366" w:name="_Toc112917667"/>
      <w:bookmarkStart w:id="367" w:name="_Hlk104541633"/>
      <w:r w:rsidRPr="001C0C4B">
        <w:rPr>
          <w:rFonts w:ascii="Calibri" w:hAnsi="Calibri" w:cs="Calibri"/>
          <w:color w:val="auto"/>
          <w:sz w:val="22"/>
          <w:szCs w:val="22"/>
          <w:lang w:val="en-GB"/>
        </w:rPr>
        <w:lastRenderedPageBreak/>
        <w:t>R</w:t>
      </w:r>
      <w:r w:rsidR="0062001B" w:rsidRPr="001C0C4B">
        <w:rPr>
          <w:rFonts w:ascii="Calibri" w:hAnsi="Calibri" w:cs="Calibri"/>
          <w:color w:val="auto"/>
          <w:sz w:val="22"/>
          <w:szCs w:val="22"/>
          <w:lang w:val="en-GB"/>
        </w:rPr>
        <w:t>EFERENCES</w:t>
      </w:r>
      <w:bookmarkEnd w:id="362"/>
      <w:bookmarkEnd w:id="363"/>
      <w:bookmarkEnd w:id="364"/>
      <w:bookmarkEnd w:id="365"/>
      <w:bookmarkEnd w:id="366"/>
    </w:p>
    <w:p w14:paraId="4B6F166D" w14:textId="125FC4D2" w:rsidR="00CA4C0D" w:rsidRPr="001C0C4B" w:rsidRDefault="00CA4C0D" w:rsidP="00E142CD">
      <w:pPr>
        <w:pStyle w:val="EndNoteBibliography"/>
        <w:numPr>
          <w:ilvl w:val="0"/>
          <w:numId w:val="17"/>
        </w:numPr>
        <w:spacing w:after="0"/>
        <w:ind w:left="450" w:hanging="450"/>
        <w:jc w:val="both"/>
        <w:rPr>
          <w:noProof/>
        </w:rPr>
      </w:pPr>
      <w:r w:rsidRPr="001C0C4B">
        <w:rPr>
          <w:noProof/>
        </w:rPr>
        <w:t>Organisation WH. COVAX delivers its 1 billionth COVID-19 vaccine dose 2022 [Available from: COVAX delivers its 1 billionth COVID-19 vaccine dose (who.int).</w:t>
      </w:r>
    </w:p>
    <w:p w14:paraId="34BF7BCC" w14:textId="77777777" w:rsidR="00EA639D" w:rsidRPr="001C0C4B" w:rsidRDefault="00B803C5" w:rsidP="00E142CD">
      <w:pPr>
        <w:pStyle w:val="EndNoteBibliography"/>
        <w:numPr>
          <w:ilvl w:val="0"/>
          <w:numId w:val="17"/>
        </w:numPr>
        <w:spacing w:after="0"/>
        <w:ind w:left="450" w:hanging="450"/>
        <w:jc w:val="both"/>
        <w:rPr>
          <w:noProof/>
        </w:rPr>
      </w:pPr>
      <w:r w:rsidRPr="001C0C4B">
        <w:rPr>
          <w:noProof/>
        </w:rPr>
        <w:t>He X, Lau EHY, Wu P, Deng X, Wang J, Hao X, et al. Temporal dynamics in viral shedding and transmissibility of COVID-19. Nat Med. 2020;26(5):672-5.</w:t>
      </w:r>
    </w:p>
    <w:p w14:paraId="301844C4" w14:textId="77777777" w:rsidR="00EA639D" w:rsidRPr="001C0C4B" w:rsidRDefault="00EA639D" w:rsidP="00E142CD">
      <w:pPr>
        <w:pStyle w:val="EndNoteBibliography"/>
        <w:numPr>
          <w:ilvl w:val="0"/>
          <w:numId w:val="17"/>
        </w:numPr>
        <w:spacing w:after="0"/>
        <w:ind w:left="450" w:hanging="450"/>
        <w:jc w:val="both"/>
        <w:rPr>
          <w:noProof/>
        </w:rPr>
      </w:pPr>
      <w:r w:rsidRPr="001C0C4B">
        <w:t xml:space="preserve">Wölfel R, Corman VM, Guggemos W, Seilmaier M, Zange S, Müller MA, Niemeyer D, Jones TC, Vollmar P, Rothe C, Hoelscher M, Bleicker T, Brünink S, Schneider J, Ehmann R, Zwirglmaier K, Drosten C, Wendtner C. Virological assessment of hospitalized patients with COVID-2019. Nature. 2020; 588 (7839):E35.  May;581(7809):465-469. </w:t>
      </w:r>
    </w:p>
    <w:p w14:paraId="79BF024B" w14:textId="459995E5" w:rsidR="00EA639D" w:rsidRPr="001C0C4B" w:rsidRDefault="00EA639D" w:rsidP="00E142CD">
      <w:pPr>
        <w:pStyle w:val="EndNoteBibliography"/>
        <w:numPr>
          <w:ilvl w:val="0"/>
          <w:numId w:val="17"/>
        </w:numPr>
        <w:spacing w:after="0"/>
        <w:ind w:left="450" w:hanging="450"/>
        <w:jc w:val="both"/>
        <w:rPr>
          <w:noProof/>
        </w:rPr>
      </w:pPr>
      <w:r w:rsidRPr="001C0C4B">
        <w:t xml:space="preserve">Hillen T, Contreras C, Newby JM. Personalized Virus Load Curves of SARS-CoV-2 Infection medRxiv preprint doi: </w:t>
      </w:r>
      <w:hyperlink r:id="rId25" w:history="1">
        <w:r w:rsidRPr="001C0C4B">
          <w:rPr>
            <w:rStyle w:val="Hyperlink"/>
            <w:color w:val="auto"/>
          </w:rPr>
          <w:t>https://doi.org/10.1101/2021.01.21.21250268</w:t>
        </w:r>
      </w:hyperlink>
    </w:p>
    <w:p w14:paraId="73C36C50" w14:textId="26A570C3" w:rsidR="00EA639D" w:rsidRPr="001C0C4B" w:rsidRDefault="00EA639D" w:rsidP="00E142CD">
      <w:pPr>
        <w:pStyle w:val="ListParagraph"/>
        <w:numPr>
          <w:ilvl w:val="0"/>
          <w:numId w:val="17"/>
        </w:numPr>
        <w:autoSpaceDE w:val="0"/>
        <w:autoSpaceDN w:val="0"/>
        <w:adjustRightInd w:val="0"/>
        <w:spacing w:after="0" w:line="240" w:lineRule="auto"/>
        <w:ind w:left="450" w:hanging="450"/>
        <w:rPr>
          <w:rFonts w:ascii="Calibri" w:hAnsi="Calibri" w:cs="Calibri"/>
        </w:rPr>
      </w:pPr>
      <w:r w:rsidRPr="001C0C4B">
        <w:rPr>
          <w:rFonts w:ascii="Calibri" w:hAnsi="Calibri" w:cs="Calibri"/>
        </w:rPr>
        <w:t>Watson JA, Kissler S</w:t>
      </w:r>
      <w:r w:rsidR="002A65BA" w:rsidRPr="001C0C4B">
        <w:rPr>
          <w:rFonts w:ascii="Calibri" w:hAnsi="Calibri" w:cs="Calibri"/>
        </w:rPr>
        <w:t>M</w:t>
      </w:r>
      <w:r w:rsidRPr="001C0C4B">
        <w:rPr>
          <w:rFonts w:ascii="Calibri" w:hAnsi="Calibri" w:cs="Calibri"/>
        </w:rPr>
        <w:t xml:space="preserve"> , Day NPJ, Grad Y, White NJ. Optimal design for phase 2 studies of SARS-CoV-2 antiviral drugs medRxiv preprint doi:  </w:t>
      </w:r>
      <w:hyperlink r:id="rId26" w:history="1">
        <w:r w:rsidRPr="001C0C4B">
          <w:rPr>
            <w:rStyle w:val="Hyperlink"/>
            <w:rFonts w:ascii="Calibri" w:hAnsi="Calibri" w:cs="Calibri"/>
            <w:color w:val="auto"/>
          </w:rPr>
          <w:t>https://www.medrxiv.org/content/10.1101/2021.01.06.21249368v1.full.pdf</w:t>
        </w:r>
      </w:hyperlink>
    </w:p>
    <w:p w14:paraId="68D62C96" w14:textId="77777777" w:rsidR="00EA639D" w:rsidRPr="001C0C4B" w:rsidRDefault="00EA639D" w:rsidP="00E142CD">
      <w:pPr>
        <w:pStyle w:val="ListParagraph"/>
        <w:numPr>
          <w:ilvl w:val="0"/>
          <w:numId w:val="17"/>
        </w:numPr>
        <w:autoSpaceDE w:val="0"/>
        <w:autoSpaceDN w:val="0"/>
        <w:adjustRightInd w:val="0"/>
        <w:spacing w:after="0" w:line="240" w:lineRule="auto"/>
        <w:ind w:left="450" w:hanging="450"/>
        <w:jc w:val="both"/>
        <w:rPr>
          <w:rFonts w:ascii="Calibri" w:hAnsi="Calibri" w:cs="Calibri"/>
        </w:rPr>
      </w:pPr>
      <w:r w:rsidRPr="001C0C4B">
        <w:rPr>
          <w:rFonts w:ascii="Calibri" w:eastAsia="CIDFont+F1" w:hAnsi="Calibri" w:cs="Calibri"/>
        </w:rPr>
        <w:t xml:space="preserve">Gastine S, Pang J, Boshier FAT 2, Carter SJ, Lonsdale DO, Cortina-Borja M, Hung IFN, Breuer J, Kloprogge F, Standing JF. </w:t>
      </w:r>
      <w:r w:rsidRPr="001C0C4B">
        <w:rPr>
          <w:rFonts w:ascii="Calibri" w:hAnsi="Calibri" w:cs="Calibri"/>
        </w:rPr>
        <w:t>Systematic review and patient-level meta-analysis of SARS-CoV-2 viral dynamics to model response to antiviral therapies. medRxiv preprint doi: https://doi.org/10.1101/2020.08.20.20178699</w:t>
      </w:r>
    </w:p>
    <w:p w14:paraId="690B253D" w14:textId="53BE7564" w:rsidR="00EA639D" w:rsidRPr="001C0C4B" w:rsidRDefault="00B803C5" w:rsidP="00E142CD">
      <w:pPr>
        <w:pStyle w:val="EndNoteBibliography"/>
        <w:numPr>
          <w:ilvl w:val="0"/>
          <w:numId w:val="17"/>
        </w:numPr>
        <w:spacing w:after="0"/>
        <w:ind w:left="450" w:hanging="450"/>
        <w:jc w:val="both"/>
        <w:rPr>
          <w:noProof/>
        </w:rPr>
      </w:pPr>
      <w:r w:rsidRPr="001C0C4B">
        <w:rPr>
          <w:lang w:val="de-DE"/>
        </w:rPr>
        <w:t xml:space="preserve">Wang D, Hu B, Hu C, Zhu F, Liu X, Zhang J, et al. </w:t>
      </w:r>
      <w:r w:rsidRPr="001C0C4B">
        <w:rPr>
          <w:noProof/>
        </w:rPr>
        <w:t>Clinical Characteristics of 138 Hospitalized Patients With 2019 Novel Coronavirus-Infected Pneumonia in Wuhan, China. JAMA. 2020.</w:t>
      </w:r>
      <w:r w:rsidR="00EA639D" w:rsidRPr="001C0C4B">
        <w:rPr>
          <w:shd w:val="clear" w:color="auto" w:fill="FFFFFF"/>
        </w:rPr>
        <w:t xml:space="preserve"> 323(11):1061-1069.</w:t>
      </w:r>
    </w:p>
    <w:p w14:paraId="4CAA707E" w14:textId="2DF0AABC" w:rsidR="00EA639D" w:rsidRPr="001C0C4B" w:rsidRDefault="00EA639D" w:rsidP="00E142CD">
      <w:pPr>
        <w:pStyle w:val="EndNoteBibliography"/>
        <w:numPr>
          <w:ilvl w:val="0"/>
          <w:numId w:val="17"/>
        </w:numPr>
        <w:spacing w:after="0"/>
        <w:ind w:left="450" w:hanging="450"/>
        <w:jc w:val="both"/>
        <w:rPr>
          <w:noProof/>
        </w:rPr>
      </w:pPr>
      <w:r w:rsidRPr="001C0C4B">
        <w:rPr>
          <w:noProof/>
        </w:rPr>
        <w:t>RECOVERY Collaborative Group, Horby P, Lim WS, Emberson JR, Mafham M, Bell JL, Linsell L, Staplin N, Brightling C, Ustianowski A, Elmahi E, Prudon B, Green C, Felton T, Chadwick D, Rege K, Fegan C, Chappell LC, Faust SN, Jaki T, Jeffery K, Montgomery A, Rowan K, Juszczak E, Baillie JK, Haynes R, Landray MJ.</w:t>
      </w:r>
      <w:r w:rsidR="003231C4" w:rsidRPr="001C0C4B">
        <w:rPr>
          <w:noProof/>
        </w:rPr>
        <w:t xml:space="preserve"> </w:t>
      </w:r>
      <w:r w:rsidRPr="001C0C4B">
        <w:rPr>
          <w:noProof/>
        </w:rPr>
        <w:t>Dexamethasone in Hospitalized Patients with Covid-19 - Preliminary Report. N</w:t>
      </w:r>
      <w:r w:rsidR="003231C4" w:rsidRPr="001C0C4B">
        <w:rPr>
          <w:noProof/>
        </w:rPr>
        <w:t xml:space="preserve"> </w:t>
      </w:r>
      <w:r w:rsidRPr="001C0C4B">
        <w:rPr>
          <w:noProof/>
        </w:rPr>
        <w:t>Engl J Med. 2020 NEJMoa2021436. doi: 10.1056/NEJMoa2021436.</w:t>
      </w:r>
    </w:p>
    <w:p w14:paraId="1167168F" w14:textId="31A494AD" w:rsidR="00EC20C7" w:rsidRPr="001C0C4B" w:rsidRDefault="00EC20C7" w:rsidP="00E142CD">
      <w:pPr>
        <w:pStyle w:val="EndNoteBibliography"/>
        <w:numPr>
          <w:ilvl w:val="0"/>
          <w:numId w:val="17"/>
        </w:numPr>
        <w:spacing w:after="0"/>
        <w:ind w:left="450" w:hanging="450"/>
        <w:jc w:val="both"/>
        <w:rPr>
          <w:noProof/>
        </w:rPr>
      </w:pPr>
      <w:r w:rsidRPr="001C0C4B">
        <w:rPr>
          <w:noProof/>
        </w:rPr>
        <w:t>Abani O, Abbas A, Abbas F, Abbas M, Abbasi S, Abbass H, et al. Casirivimab and imdevimab in patients admitted to hospital with COVID-19 (RECOVERY): a randomised, controlled, open-label, platform trial. The Lancet. 2022;399(10325):665-76.</w:t>
      </w:r>
    </w:p>
    <w:p w14:paraId="18D599C7" w14:textId="77777777" w:rsidR="003231C4" w:rsidRPr="001C0C4B" w:rsidRDefault="00B803C5" w:rsidP="00E142CD">
      <w:pPr>
        <w:pStyle w:val="EndNoteBibliography"/>
        <w:numPr>
          <w:ilvl w:val="0"/>
          <w:numId w:val="17"/>
        </w:numPr>
        <w:spacing w:after="0"/>
        <w:ind w:left="450" w:hanging="450"/>
        <w:jc w:val="both"/>
        <w:rPr>
          <w:noProof/>
        </w:rPr>
      </w:pPr>
      <w:r w:rsidRPr="001C0C4B">
        <w:rPr>
          <w:noProof/>
        </w:rPr>
        <w:t>Weinreich DM, Sivapalasingam S, Norton T, Ali S, Gao H, Bhore R, et al. REGN-COV2, a Neutralizing Antibody Cocktail, in Outpatients with Covid-19. New England Journal of Medicine. 2020;384(3):238-51</w:t>
      </w:r>
      <w:r w:rsidR="003231C4" w:rsidRPr="001C0C4B">
        <w:rPr>
          <w:noProof/>
        </w:rPr>
        <w:t>.</w:t>
      </w:r>
    </w:p>
    <w:p w14:paraId="759FCA18" w14:textId="105A760E" w:rsidR="00857C7C" w:rsidRPr="001C0C4B" w:rsidRDefault="00857C7C" w:rsidP="00E142CD">
      <w:pPr>
        <w:pStyle w:val="EndNoteBibliography"/>
        <w:numPr>
          <w:ilvl w:val="0"/>
          <w:numId w:val="17"/>
        </w:numPr>
        <w:spacing w:after="0"/>
        <w:ind w:left="450" w:hanging="450"/>
        <w:jc w:val="both"/>
        <w:rPr>
          <w:noProof/>
        </w:rPr>
      </w:pPr>
      <w:r w:rsidRPr="001C0C4B">
        <w:rPr>
          <w:noProof/>
        </w:rPr>
        <w:t>Néant N, Lingas G, Le Hingrat Q, Ghosn J, Engelmann I, Lepiller Q, Gaymard A, Ferré V, Hartard C, Plantier JC, Thibault V, Marlet J, Montes B, Bouiller K, Lescure FX, Timsit JF, Faure E, Poissy J, Chidiac C, Raffi F, Kimmoun A, Etienne M, Richard JC, Tattevin P, Garot D, Le Moing V, Bachelet D, Tardivon C, Duval X, Yazdanpanah Y, Mentré F, Laouénan C, Visseaux B, Guedj J; French COVID Cohort Investigators and French Cohort Study groups. Modeling SARS-CoV-2 viral kinetics and association with mortality in hospitalized patients from the French COVID cohort. Proc Natl Acad Sci U S A. 2021 Feb 23;118(8):e2017962118. doi:10.1073/pnas.2017962118. PMID: 33536313.</w:t>
      </w:r>
    </w:p>
    <w:p w14:paraId="5B957C9E" w14:textId="77777777" w:rsidR="00EC20C7" w:rsidRPr="001C0C4B" w:rsidRDefault="00EC20C7" w:rsidP="00EC20C7">
      <w:pPr>
        <w:pStyle w:val="ListParagraph"/>
        <w:numPr>
          <w:ilvl w:val="0"/>
          <w:numId w:val="17"/>
        </w:numPr>
        <w:autoSpaceDE w:val="0"/>
        <w:autoSpaceDN w:val="0"/>
        <w:adjustRightInd w:val="0"/>
        <w:spacing w:after="0" w:line="240" w:lineRule="auto"/>
        <w:ind w:left="450" w:hanging="450"/>
        <w:jc w:val="both"/>
        <w:rPr>
          <w:rFonts w:ascii="Calibri" w:hAnsi="Calibri" w:cs="Calibri"/>
        </w:rPr>
      </w:pPr>
      <w:r w:rsidRPr="001C0C4B">
        <w:rPr>
          <w:rFonts w:ascii="Calibri" w:hAnsi="Calibri" w:cs="Calibri"/>
        </w:rPr>
        <w:t>Boschi C, Colson P, Bancod A, Moal V, La Scola B. Omicron Variant Escapes Therapeutic Monoclonal Antibodies (mAbs) Including Recently Released Evusheld®, Contrary to 8 Prior Main Variant of Concern (VOC). Clinical Infectious Diseases. 2022.</w:t>
      </w:r>
    </w:p>
    <w:p w14:paraId="4B09CE96" w14:textId="57061B77" w:rsidR="00EC20C7" w:rsidRPr="001C0C4B" w:rsidRDefault="00EC20C7" w:rsidP="000028F0">
      <w:pPr>
        <w:pStyle w:val="ListParagraph"/>
        <w:numPr>
          <w:ilvl w:val="0"/>
          <w:numId w:val="17"/>
        </w:numPr>
        <w:autoSpaceDE w:val="0"/>
        <w:autoSpaceDN w:val="0"/>
        <w:adjustRightInd w:val="0"/>
        <w:spacing w:after="0" w:line="240" w:lineRule="auto"/>
        <w:ind w:left="450" w:hanging="450"/>
        <w:jc w:val="both"/>
        <w:rPr>
          <w:noProof/>
        </w:rPr>
      </w:pPr>
      <w:r w:rsidRPr="001C0C4B">
        <w:rPr>
          <w:rFonts w:ascii="Calibri" w:hAnsi="Calibri" w:cs="Calibri"/>
        </w:rPr>
        <w:t>Zhou H, Tada T, Dcosta BM, Landau NR. Neutralization of SARS-CoV-2 Omicron BA. 2 by therapeutic monoclonal antibodies. Biorxiv. 2022.</w:t>
      </w:r>
    </w:p>
    <w:p w14:paraId="796FA1B8" w14:textId="36A018D9" w:rsidR="00857C7C" w:rsidRPr="001C0C4B" w:rsidRDefault="00857C7C" w:rsidP="00E142CD">
      <w:pPr>
        <w:pStyle w:val="EndNoteBibliography"/>
        <w:numPr>
          <w:ilvl w:val="0"/>
          <w:numId w:val="17"/>
        </w:numPr>
        <w:spacing w:after="0"/>
        <w:ind w:left="450" w:hanging="450"/>
        <w:jc w:val="both"/>
        <w:rPr>
          <w:noProof/>
        </w:rPr>
      </w:pPr>
      <w:r w:rsidRPr="001C0C4B">
        <w:rPr>
          <w:noProof/>
        </w:rPr>
        <w:t>Feld JJ, Kandel C, Biondi MJ, Kozak RA, Zahoor MA, Lemieux C, Borgia SM, Boggild AK, Powis J, McCready J, Tan DHS, Chan T, Coburn B, Kumar D, Humar A, Chan A, O'Neil B, Noureldin S, Booth J, Hong R, Smookler D, Aleyadeh W, Patel A, Barber B, Casey J, Hiebert R, Mistry H, Choong I, Hislop C, Santer DM, Lorne Tyrrell D, Glenn JS, Gehring AJ, Janssen HLA, Hansen BE. Peginterferon lambda for the treatment of outpatients with COVID-19: a phase 2, placebo-controlled randomised trial. Lancet Respir Med. 2021 Feb 5:S2213-2600(20)30566-X. doi: 10.1016/S2213-2600(20)30566-X. Epub ahead of print. PMID: 33556319.</w:t>
      </w:r>
    </w:p>
    <w:p w14:paraId="541DA547" w14:textId="77777777" w:rsidR="00857C7C" w:rsidRPr="001C0C4B" w:rsidRDefault="00857C7C" w:rsidP="00E142CD">
      <w:pPr>
        <w:pStyle w:val="EndNoteBibliography"/>
        <w:numPr>
          <w:ilvl w:val="0"/>
          <w:numId w:val="17"/>
        </w:numPr>
        <w:spacing w:after="0"/>
        <w:ind w:left="450" w:hanging="450"/>
        <w:jc w:val="both"/>
        <w:rPr>
          <w:noProof/>
        </w:rPr>
      </w:pPr>
      <w:r w:rsidRPr="001C0C4B">
        <w:rPr>
          <w:lang w:val="de-DE"/>
        </w:rPr>
        <w:t xml:space="preserve">Kissler SM, Fauver JR, Mack C, Tai C, Shiue KY, Kalinich CC, et al. </w:t>
      </w:r>
      <w:r w:rsidRPr="001C0C4B">
        <w:rPr>
          <w:noProof/>
        </w:rPr>
        <w:t>Viral dynamics of SARS-CoV-2 infection and the predictive value of repeat testing. medRxiv. 2020:2020.10.21.20217042.</w:t>
      </w:r>
    </w:p>
    <w:p w14:paraId="3E5DAD7B" w14:textId="4269F9DE" w:rsidR="00B803C5" w:rsidRPr="001C0C4B" w:rsidRDefault="00B803C5" w:rsidP="00E142CD">
      <w:pPr>
        <w:pStyle w:val="EndNoteBibliography"/>
        <w:numPr>
          <w:ilvl w:val="0"/>
          <w:numId w:val="17"/>
        </w:numPr>
        <w:spacing w:after="0"/>
        <w:ind w:left="450" w:hanging="450"/>
        <w:jc w:val="both"/>
        <w:rPr>
          <w:noProof/>
        </w:rPr>
      </w:pPr>
      <w:r w:rsidRPr="001C0C4B">
        <w:rPr>
          <w:noProof/>
        </w:rPr>
        <w:t xml:space="preserve">Chaccour C, Casellas A, Blanco-Di Matteo A, Pineda I, Fernandez-Montero A, Ruiz-Castillo P, et al. The effect of early treatment with ivermectin on viral load, symptoms and humoral response in patients with </w:t>
      </w:r>
      <w:r w:rsidRPr="001C0C4B">
        <w:rPr>
          <w:noProof/>
        </w:rPr>
        <w:lastRenderedPageBreak/>
        <w:t>non-severe COVID-19: A pilot, double-blind, placebo-controlled, randomized clinical trial. EClinicalMedicine.</w:t>
      </w:r>
      <w:r w:rsidR="00024764" w:rsidRPr="001C0C4B">
        <w:rPr>
          <w:shd w:val="clear" w:color="auto" w:fill="FFFFFF"/>
        </w:rPr>
        <w:t xml:space="preserve"> 100720. doi: 10.1016/j.eclinm.2020.100720.</w:t>
      </w:r>
    </w:p>
    <w:p w14:paraId="502E8FC5" w14:textId="7CB012F7" w:rsidR="00015CC4" w:rsidRPr="001C0C4B" w:rsidRDefault="00015CC4" w:rsidP="00E142CD">
      <w:pPr>
        <w:pStyle w:val="EndNoteBibliography"/>
        <w:numPr>
          <w:ilvl w:val="0"/>
          <w:numId w:val="17"/>
        </w:numPr>
        <w:spacing w:after="0"/>
        <w:ind w:left="450" w:hanging="450"/>
        <w:jc w:val="both"/>
        <w:rPr>
          <w:noProof/>
        </w:rPr>
      </w:pPr>
      <w:r w:rsidRPr="001C0C4B">
        <w:rPr>
          <w:noProof/>
        </w:rPr>
        <w:t>Pekosz A, Parvu V, Li M, Andrews JC, Manabe YC, Kodsi S, Gary DS, Roger-Dalbert C, Leitch J, Cooper CK. Antigen-Based Testing but Not Real-Time Polymerase Chain Reaction Correlates With Severe Acute Respiratory Syndrome Coronavirus 2 Viral Culture. Clin Infect Dis. 2021 Jan 20: ciaa1706. doi: 10.1093/cid/ciaa1706. Epub ahead of print. PMID: 33479756.</w:t>
      </w:r>
    </w:p>
    <w:p w14:paraId="5DA6D0A3" w14:textId="115F6E48" w:rsidR="00015CC4" w:rsidRPr="001C0C4B" w:rsidRDefault="00015CC4" w:rsidP="00E142CD">
      <w:pPr>
        <w:pStyle w:val="EndNoteBibliography"/>
        <w:numPr>
          <w:ilvl w:val="0"/>
          <w:numId w:val="17"/>
        </w:numPr>
        <w:spacing w:after="0"/>
        <w:ind w:left="450" w:hanging="450"/>
        <w:jc w:val="both"/>
        <w:rPr>
          <w:noProof/>
        </w:rPr>
      </w:pPr>
      <w:r w:rsidRPr="001C0C4B">
        <w:rPr>
          <w:noProof/>
        </w:rPr>
        <w:t>Kohmer N, Toptan T, Pallas C, Karaca O, Pfeiffer A, Westhaus S, Widera M, Berger A, Hoehl S, Kammel M, Ciesek S, Rabenau HF. The Comparative Clinical Performance of Four SARS-CoV-2 Rapid Antigen Tests and Their Correlation to Infectivity In Vitro. J Clin Med. 2021;10(2):E328. doi: 10.3390/jcm10020328. PMID: 33477365.</w:t>
      </w:r>
    </w:p>
    <w:p w14:paraId="5844219A" w14:textId="77777777" w:rsidR="00015CC4" w:rsidRPr="001C0C4B" w:rsidRDefault="00015CC4" w:rsidP="00E142CD">
      <w:pPr>
        <w:pStyle w:val="EndNoteBibliography"/>
        <w:numPr>
          <w:ilvl w:val="0"/>
          <w:numId w:val="17"/>
        </w:numPr>
        <w:spacing w:after="0"/>
        <w:ind w:left="450" w:hanging="450"/>
        <w:jc w:val="both"/>
        <w:rPr>
          <w:noProof/>
        </w:rPr>
      </w:pPr>
      <w:r w:rsidRPr="001C0C4B">
        <w:rPr>
          <w:noProof/>
        </w:rPr>
        <w:t xml:space="preserve">Rastawicki W, Gierczyński R, Juszczyk G, Mitura K, Henry BM. Evaluation of PCL rapid point of care antigen test for detection of SARS-CoV-2 in nasopharyngeal swabs. J Med Virol. 2021 Jan 6. doi: 10.1002/jmv.26765. </w:t>
      </w:r>
    </w:p>
    <w:p w14:paraId="37383507" w14:textId="77777777" w:rsidR="00C85DC4" w:rsidRPr="001C0C4B" w:rsidRDefault="00B803C5" w:rsidP="00E142CD">
      <w:pPr>
        <w:pStyle w:val="EndNoteBibliography"/>
        <w:numPr>
          <w:ilvl w:val="0"/>
          <w:numId w:val="17"/>
        </w:numPr>
        <w:spacing w:after="0"/>
        <w:ind w:left="450" w:hanging="450"/>
        <w:jc w:val="both"/>
        <w:rPr>
          <w:noProof/>
        </w:rPr>
      </w:pPr>
      <w:r w:rsidRPr="001C0C4B">
        <w:rPr>
          <w:noProof/>
        </w:rPr>
        <w:t>To KK, Tsang OT, Leung WS, Tam AR, Wu TC, Lung DC, et al. Temporal profiles of viral load in posterior oropharyngeal saliva samples and serum antibody responses during infection by SARS-CoV-2: an observational cohort study. Lancet Infect Dis. 2020;20(5):565-74.</w:t>
      </w:r>
    </w:p>
    <w:p w14:paraId="75E0DD3F" w14:textId="77777777" w:rsidR="00C85DC4" w:rsidRPr="001C0C4B" w:rsidRDefault="00B803C5" w:rsidP="00E142CD">
      <w:pPr>
        <w:pStyle w:val="EndNoteBibliography"/>
        <w:numPr>
          <w:ilvl w:val="0"/>
          <w:numId w:val="17"/>
        </w:numPr>
        <w:spacing w:after="0"/>
        <w:ind w:left="450" w:hanging="450"/>
        <w:jc w:val="both"/>
        <w:rPr>
          <w:noProof/>
        </w:rPr>
      </w:pPr>
      <w:r w:rsidRPr="001C0C4B">
        <w:rPr>
          <w:noProof/>
        </w:rPr>
        <w:t>Sri Santosh T, Parmar R, Anand H, Srikanth K, Saritha M. A Review of Salivary Diagnostics and Its Potential Implication in Detection of Covid-19. Cureus. 2020;12(4):e7708.</w:t>
      </w:r>
    </w:p>
    <w:p w14:paraId="418DA8F0" w14:textId="77777777" w:rsidR="00C85DC4" w:rsidRPr="001C0C4B" w:rsidRDefault="00B803C5" w:rsidP="00E142CD">
      <w:pPr>
        <w:pStyle w:val="EndNoteBibliography"/>
        <w:numPr>
          <w:ilvl w:val="0"/>
          <w:numId w:val="17"/>
        </w:numPr>
        <w:spacing w:after="0"/>
        <w:ind w:left="450" w:hanging="450"/>
        <w:jc w:val="both"/>
        <w:rPr>
          <w:noProof/>
        </w:rPr>
      </w:pPr>
      <w:r w:rsidRPr="001C0C4B">
        <w:rPr>
          <w:noProof/>
        </w:rPr>
        <w:t>Williams E, Bond K, Zhang B, Putland M, Williamson DA. Saliva as a Noninvasive Specimen for Detection of SARS-CoV-2. J Clin Microbiol. 2020;58(8).</w:t>
      </w:r>
    </w:p>
    <w:p w14:paraId="30F5F0E1" w14:textId="77777777" w:rsidR="0080447C" w:rsidRPr="001C0C4B" w:rsidRDefault="00B803C5" w:rsidP="00E142CD">
      <w:pPr>
        <w:pStyle w:val="EndNoteBibliography"/>
        <w:numPr>
          <w:ilvl w:val="0"/>
          <w:numId w:val="17"/>
        </w:numPr>
        <w:spacing w:after="0"/>
        <w:ind w:left="450" w:hanging="450"/>
        <w:jc w:val="both"/>
        <w:rPr>
          <w:noProof/>
        </w:rPr>
      </w:pPr>
      <w:r w:rsidRPr="001C0C4B">
        <w:rPr>
          <w:noProof/>
        </w:rPr>
        <w:t>Thompson MG, Ferber JR, Odouli R, David D, Shifflett P, Meece JK, et al. Results of a pilot study using self-collected mid-turbinate nasal swabs for detection of influenza virus infection among pregnant women. Influenza Other Respir Viruses. 2015;9(3):155-60.</w:t>
      </w:r>
      <w:r w:rsidR="0080447C" w:rsidRPr="001C0C4B">
        <w:rPr>
          <w:noProof/>
        </w:rPr>
        <w:t xml:space="preserve"> </w:t>
      </w:r>
    </w:p>
    <w:p w14:paraId="18B5DBF1" w14:textId="77777777" w:rsidR="0080447C" w:rsidRPr="001C0C4B" w:rsidRDefault="0080447C" w:rsidP="00E142CD">
      <w:pPr>
        <w:pStyle w:val="EndNoteBibliography"/>
        <w:numPr>
          <w:ilvl w:val="0"/>
          <w:numId w:val="17"/>
        </w:numPr>
        <w:spacing w:after="0"/>
        <w:ind w:left="450" w:hanging="450"/>
        <w:jc w:val="both"/>
        <w:rPr>
          <w:noProof/>
        </w:rPr>
      </w:pPr>
      <w:r w:rsidRPr="001C0C4B">
        <w:rPr>
          <w:noProof/>
        </w:rPr>
        <w:t>v</w:t>
      </w:r>
      <w:r w:rsidR="00B803C5" w:rsidRPr="001C0C4B">
        <w:rPr>
          <w:noProof/>
        </w:rPr>
        <w:t>an Wesenbeeck L, Meeuws H, D'Haese D, Ispas G, Houspie L, Van Ranst M, et al. Sampling variability between two mid-turbinate swabs of the same patient has implications for influenza viral load monitoring. Virol J. 2014;11:233.</w:t>
      </w:r>
    </w:p>
    <w:p w14:paraId="7F1B441C" w14:textId="77777777" w:rsidR="0080447C" w:rsidRPr="001C0C4B" w:rsidRDefault="00B803C5" w:rsidP="00E142CD">
      <w:pPr>
        <w:pStyle w:val="EndNoteBibliography"/>
        <w:numPr>
          <w:ilvl w:val="0"/>
          <w:numId w:val="17"/>
        </w:numPr>
        <w:spacing w:after="0"/>
        <w:ind w:left="450" w:hanging="450"/>
        <w:jc w:val="both"/>
        <w:rPr>
          <w:noProof/>
        </w:rPr>
      </w:pPr>
      <w:r w:rsidRPr="001C0C4B">
        <w:rPr>
          <w:noProof/>
        </w:rPr>
        <w:t>Corman VM, Landt O, Kaiser M, Molenkamp R, Meijer A, Chu DK, et al. Detection of 2019 novel coronavirus (2019-nCoV) by real-time RT-PCR. Euro Surveill. 2020;25(3).</w:t>
      </w:r>
    </w:p>
    <w:p w14:paraId="7003B402" w14:textId="77777777" w:rsidR="0080447C" w:rsidRPr="001C0C4B" w:rsidRDefault="00B803C5" w:rsidP="00E142CD">
      <w:pPr>
        <w:pStyle w:val="EndNoteBibliography"/>
        <w:numPr>
          <w:ilvl w:val="0"/>
          <w:numId w:val="17"/>
        </w:numPr>
        <w:spacing w:after="0"/>
        <w:ind w:left="450" w:hanging="450"/>
        <w:jc w:val="both"/>
        <w:rPr>
          <w:noProof/>
        </w:rPr>
      </w:pPr>
      <w:bookmarkStart w:id="368" w:name="_Hlk95999955"/>
      <w:r w:rsidRPr="001C0C4B">
        <w:rPr>
          <w:noProof/>
        </w:rPr>
        <w:t>Grein J, Ohmagari N, Shin D, Diaz G, Asperges E, Castagna A, et al. Compassionate Use of Remdesivir for Patients with Severe Covid-19. N Engl J Med. 2020;382(24):2327-36.</w:t>
      </w:r>
    </w:p>
    <w:p w14:paraId="34CE3A4C" w14:textId="77777777" w:rsidR="0080447C" w:rsidRPr="001C0C4B" w:rsidRDefault="00B803C5" w:rsidP="00E142CD">
      <w:pPr>
        <w:pStyle w:val="EndNoteBibliography"/>
        <w:numPr>
          <w:ilvl w:val="0"/>
          <w:numId w:val="17"/>
        </w:numPr>
        <w:spacing w:after="0"/>
        <w:ind w:left="450" w:hanging="450"/>
        <w:jc w:val="both"/>
        <w:rPr>
          <w:noProof/>
        </w:rPr>
      </w:pPr>
      <w:r w:rsidRPr="001C0C4B">
        <w:rPr>
          <w:noProof/>
        </w:rPr>
        <w:t>Piralla A, Daleno C, Pariani E, Conaldi P, Esposito S, Zanetti A, et al. Virtual quantification of influenza A virus load by real-time RT-PCR. J Clin Virol. 2013;56(1):65-8.</w:t>
      </w:r>
    </w:p>
    <w:bookmarkEnd w:id="368"/>
    <w:p w14:paraId="126B4402" w14:textId="77777777" w:rsidR="0080447C" w:rsidRPr="001C0C4B" w:rsidRDefault="00B803C5" w:rsidP="00E142CD">
      <w:pPr>
        <w:pStyle w:val="EndNoteBibliography"/>
        <w:numPr>
          <w:ilvl w:val="0"/>
          <w:numId w:val="17"/>
        </w:numPr>
        <w:spacing w:after="0"/>
        <w:ind w:left="450" w:hanging="450"/>
        <w:jc w:val="both"/>
        <w:rPr>
          <w:noProof/>
        </w:rPr>
      </w:pPr>
      <w:r w:rsidRPr="001C0C4B">
        <w:rPr>
          <w:lang w:val="de-DE"/>
        </w:rPr>
        <w:t xml:space="preserve">Kaulbach HC, White MV, Igarashi Y, Hahn BK, Kaliner MA. </w:t>
      </w:r>
      <w:r w:rsidRPr="001C0C4B">
        <w:rPr>
          <w:noProof/>
        </w:rPr>
        <w:t>Estimation of nasal epithelial lining fluid using urea as a marker. J Allergy Clin Immunol. 1993;92(3):457-65.</w:t>
      </w:r>
    </w:p>
    <w:bookmarkEnd w:id="367"/>
    <w:p w14:paraId="385B2A47" w14:textId="7669E904" w:rsidR="00C73DF6" w:rsidRPr="001C0C4B" w:rsidRDefault="00C73DF6" w:rsidP="00D852E4">
      <w:pPr>
        <w:jc w:val="center"/>
        <w:rPr>
          <w:rFonts w:ascii="Calibri" w:hAnsi="Calibri" w:cs="Calibri"/>
          <w:b/>
          <w:sz w:val="28"/>
          <w:szCs w:val="28"/>
        </w:rPr>
      </w:pPr>
      <w:r w:rsidRPr="001C0C4B">
        <w:rPr>
          <w:rFonts w:ascii="Calibri" w:hAnsi="Calibri" w:cs="Calibri"/>
          <w:noProof/>
        </w:rPr>
        <w:br w:type="page"/>
      </w:r>
      <w:r w:rsidRPr="001C0C4B">
        <w:rPr>
          <w:rFonts w:ascii="Calibri" w:hAnsi="Calibri" w:cs="Calibri"/>
          <w:b/>
          <w:sz w:val="28"/>
          <w:szCs w:val="28"/>
        </w:rPr>
        <w:lastRenderedPageBreak/>
        <w:t>Appendices</w:t>
      </w:r>
    </w:p>
    <w:p w14:paraId="1C71C1A8" w14:textId="77777777" w:rsidR="00C73DF6" w:rsidRPr="001C0C4B" w:rsidRDefault="00C73DF6" w:rsidP="00E142CD">
      <w:pPr>
        <w:pStyle w:val="Heading1"/>
        <w:numPr>
          <w:ilvl w:val="0"/>
          <w:numId w:val="23"/>
        </w:numPr>
        <w:rPr>
          <w:rFonts w:ascii="Calibri" w:hAnsi="Calibri" w:cs="Calibri"/>
          <w:color w:val="auto"/>
          <w:sz w:val="22"/>
          <w:szCs w:val="22"/>
          <w:lang w:val="en-GB"/>
        </w:rPr>
      </w:pPr>
      <w:bookmarkStart w:id="369" w:name="_Toc96007328"/>
      <w:bookmarkStart w:id="370" w:name="_Toc95915281"/>
      <w:bookmarkStart w:id="371" w:name="_Toc74661325"/>
      <w:bookmarkStart w:id="372" w:name="_Toc110524020"/>
      <w:bookmarkStart w:id="373" w:name="_Toc96005631"/>
      <w:bookmarkStart w:id="374" w:name="_Toc112917668"/>
      <w:r w:rsidRPr="001C0C4B">
        <w:rPr>
          <w:rFonts w:ascii="Calibri" w:hAnsi="Calibri" w:cs="Calibri"/>
          <w:color w:val="auto"/>
          <w:sz w:val="22"/>
          <w:szCs w:val="22"/>
          <w:lang w:val="en-GB"/>
        </w:rPr>
        <w:t>Appendix 1: Schedule of activities</w:t>
      </w:r>
      <w:bookmarkEnd w:id="369"/>
      <w:bookmarkEnd w:id="370"/>
      <w:bookmarkEnd w:id="371"/>
      <w:bookmarkEnd w:id="372"/>
      <w:bookmarkEnd w:id="373"/>
      <w:bookmarkEnd w:id="374"/>
      <w:r w:rsidRPr="001C0C4B">
        <w:rPr>
          <w:rFonts w:ascii="Calibri" w:hAnsi="Calibri" w:cs="Calibri"/>
          <w:color w:val="auto"/>
          <w:sz w:val="22"/>
          <w:szCs w:val="22"/>
          <w:lang w:val="en-GB"/>
        </w:rPr>
        <w:t xml:space="preserve"> </w:t>
      </w:r>
    </w:p>
    <w:p w14:paraId="531F1808" w14:textId="77777777" w:rsidR="00C73DF6" w:rsidRPr="001C0C4B" w:rsidRDefault="00C73DF6" w:rsidP="00C73DF6">
      <w:pPr>
        <w:pStyle w:val="paragraph"/>
        <w:spacing w:before="0" w:beforeAutospacing="0" w:after="120" w:afterAutospacing="0" w:line="276" w:lineRule="auto"/>
        <w:jc w:val="both"/>
        <w:rPr>
          <w:rStyle w:val="eop"/>
          <w:rFonts w:ascii="Calibri" w:eastAsiaTheme="majorEastAsia" w:hAnsi="Calibri" w:cs="Calibri"/>
          <w:b/>
          <w:bCs/>
          <w:lang w:val="en-US" w:eastAsia="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737"/>
        <w:gridCol w:w="651"/>
        <w:gridCol w:w="467"/>
        <w:gridCol w:w="467"/>
        <w:gridCol w:w="509"/>
        <w:gridCol w:w="532"/>
        <w:gridCol w:w="532"/>
        <w:gridCol w:w="534"/>
        <w:gridCol w:w="534"/>
        <w:gridCol w:w="534"/>
        <w:gridCol w:w="534"/>
        <w:gridCol w:w="578"/>
        <w:gridCol w:w="674"/>
        <w:gridCol w:w="578"/>
        <w:gridCol w:w="1174"/>
      </w:tblGrid>
      <w:tr w:rsidR="005B0344" w:rsidRPr="001C0C4B" w14:paraId="14CFAF15" w14:textId="3538D24F" w:rsidTr="00B475D8">
        <w:trPr>
          <w:trHeight w:val="595"/>
        </w:trPr>
        <w:tc>
          <w:tcPr>
            <w:tcW w:w="739" w:type="pct"/>
            <w:gridSpan w:val="2"/>
            <w:vMerge w:val="restart"/>
            <w:tcBorders>
              <w:bottom w:val="single" w:sz="4" w:space="0" w:color="auto"/>
            </w:tcBorders>
            <w:vAlign w:val="center"/>
          </w:tcPr>
          <w:p w14:paraId="6AE9C81D" w14:textId="495FF40C" w:rsidR="00A00025" w:rsidRPr="001C0C4B" w:rsidRDefault="00A00025" w:rsidP="00A00025">
            <w:pPr>
              <w:jc w:val="center"/>
              <w:rPr>
                <w:rFonts w:ascii="Calibri" w:hAnsi="Calibri" w:cs="Calibri"/>
              </w:rPr>
            </w:pPr>
            <w:r w:rsidRPr="001C0C4B">
              <w:rPr>
                <w:rFonts w:ascii="Calibri" w:eastAsia="Calibri" w:hAnsi="Calibri" w:cs="Calibri"/>
                <w:b/>
                <w:bCs/>
                <w:i/>
                <w:iCs/>
                <w:sz w:val="20"/>
                <w:szCs w:val="20"/>
              </w:rPr>
              <w:t>Procedures</w:t>
            </w:r>
          </w:p>
        </w:tc>
        <w:tc>
          <w:tcPr>
            <w:tcW w:w="814" w:type="pct"/>
            <w:gridSpan w:val="3"/>
            <w:tcBorders>
              <w:bottom w:val="single" w:sz="4" w:space="0" w:color="auto"/>
            </w:tcBorders>
            <w:vAlign w:val="center"/>
          </w:tcPr>
          <w:p w14:paraId="593323F2" w14:textId="4A7EA4AB" w:rsidR="00A00025" w:rsidRPr="001C0C4B" w:rsidRDefault="00A00025" w:rsidP="00A00025">
            <w:pPr>
              <w:spacing w:after="120" w:line="276" w:lineRule="auto"/>
              <w:jc w:val="center"/>
              <w:rPr>
                <w:rFonts w:ascii="Calibri" w:eastAsia="Calibri" w:hAnsi="Calibri" w:cs="Calibri"/>
                <w:b/>
                <w:bCs/>
              </w:rPr>
            </w:pPr>
            <w:r w:rsidRPr="001C0C4B">
              <w:rPr>
                <w:rFonts w:ascii="Calibri" w:eastAsia="Calibri" w:hAnsi="Calibri" w:cs="Calibri"/>
                <w:b/>
                <w:bCs/>
              </w:rPr>
              <w:t>D0</w:t>
            </w:r>
          </w:p>
        </w:tc>
        <w:tc>
          <w:tcPr>
            <w:tcW w:w="262" w:type="pct"/>
            <w:vMerge w:val="restart"/>
            <w:tcBorders>
              <w:bottom w:val="single" w:sz="4" w:space="0" w:color="auto"/>
            </w:tcBorders>
            <w:vAlign w:val="center"/>
          </w:tcPr>
          <w:p w14:paraId="4582A6FE" w14:textId="77800065" w:rsidR="00A00025" w:rsidRPr="001C0C4B" w:rsidRDefault="00A00025" w:rsidP="00A00025">
            <w:pPr>
              <w:spacing w:after="120" w:line="276" w:lineRule="auto"/>
              <w:jc w:val="center"/>
              <w:rPr>
                <w:rFonts w:ascii="Calibri" w:hAnsi="Calibri" w:cs="Calibri"/>
              </w:rPr>
            </w:pPr>
            <w:r w:rsidRPr="001C0C4B">
              <w:rPr>
                <w:rFonts w:ascii="Calibri" w:eastAsia="Calibri" w:hAnsi="Calibri" w:cs="Calibri"/>
                <w:b/>
                <w:bCs/>
              </w:rPr>
              <w:t>D1</w:t>
            </w:r>
          </w:p>
        </w:tc>
        <w:tc>
          <w:tcPr>
            <w:tcW w:w="273" w:type="pct"/>
            <w:vMerge w:val="restart"/>
            <w:tcBorders>
              <w:bottom w:val="single" w:sz="4" w:space="0" w:color="auto"/>
            </w:tcBorders>
            <w:vAlign w:val="center"/>
          </w:tcPr>
          <w:p w14:paraId="404D4453" w14:textId="049C1F73" w:rsidR="00A00025" w:rsidRPr="001C0C4B" w:rsidRDefault="00A00025" w:rsidP="00A00025">
            <w:pPr>
              <w:spacing w:after="120" w:line="276" w:lineRule="auto"/>
              <w:jc w:val="center"/>
              <w:rPr>
                <w:rFonts w:ascii="Calibri" w:hAnsi="Calibri" w:cs="Calibri"/>
              </w:rPr>
            </w:pPr>
            <w:r w:rsidRPr="001C0C4B">
              <w:rPr>
                <w:rFonts w:ascii="Calibri" w:eastAsia="Calibri" w:hAnsi="Calibri" w:cs="Calibri"/>
                <w:b/>
                <w:bCs/>
              </w:rPr>
              <w:t>D2</w:t>
            </w:r>
          </w:p>
        </w:tc>
        <w:tc>
          <w:tcPr>
            <w:tcW w:w="273" w:type="pct"/>
            <w:vMerge w:val="restart"/>
            <w:tcBorders>
              <w:bottom w:val="single" w:sz="4" w:space="0" w:color="auto"/>
            </w:tcBorders>
            <w:vAlign w:val="center"/>
          </w:tcPr>
          <w:p w14:paraId="6F430D20" w14:textId="746F42E2" w:rsidR="00A00025" w:rsidRPr="001C0C4B" w:rsidRDefault="00A00025" w:rsidP="00A00025">
            <w:pPr>
              <w:spacing w:after="120" w:line="276" w:lineRule="auto"/>
              <w:jc w:val="center"/>
              <w:rPr>
                <w:rFonts w:ascii="Calibri" w:hAnsi="Calibri" w:cs="Calibri"/>
              </w:rPr>
            </w:pPr>
            <w:r w:rsidRPr="001C0C4B">
              <w:rPr>
                <w:rFonts w:ascii="Calibri" w:eastAsia="Calibri" w:hAnsi="Calibri" w:cs="Calibri"/>
                <w:b/>
                <w:bCs/>
              </w:rPr>
              <w:t>D3</w:t>
            </w:r>
          </w:p>
        </w:tc>
        <w:tc>
          <w:tcPr>
            <w:tcW w:w="274" w:type="pct"/>
            <w:vMerge w:val="restart"/>
            <w:tcBorders>
              <w:bottom w:val="single" w:sz="4" w:space="0" w:color="auto"/>
            </w:tcBorders>
            <w:vAlign w:val="center"/>
          </w:tcPr>
          <w:p w14:paraId="7A5B70D1" w14:textId="6B65DC93" w:rsidR="00A00025" w:rsidRPr="001C0C4B" w:rsidRDefault="00A00025" w:rsidP="00A00025">
            <w:pPr>
              <w:spacing w:after="120" w:line="276" w:lineRule="auto"/>
              <w:jc w:val="center"/>
              <w:rPr>
                <w:rFonts w:ascii="Calibri" w:hAnsi="Calibri" w:cs="Calibri"/>
              </w:rPr>
            </w:pPr>
            <w:r w:rsidRPr="001C0C4B">
              <w:rPr>
                <w:rFonts w:ascii="Calibri" w:eastAsia="Calibri" w:hAnsi="Calibri" w:cs="Calibri"/>
                <w:b/>
                <w:bCs/>
              </w:rPr>
              <w:t>D4</w:t>
            </w:r>
          </w:p>
        </w:tc>
        <w:tc>
          <w:tcPr>
            <w:tcW w:w="274" w:type="pct"/>
            <w:vMerge w:val="restart"/>
            <w:tcBorders>
              <w:bottom w:val="single" w:sz="4" w:space="0" w:color="auto"/>
            </w:tcBorders>
            <w:vAlign w:val="center"/>
          </w:tcPr>
          <w:p w14:paraId="21040D38" w14:textId="3DCBD2A3" w:rsidR="00A00025" w:rsidRPr="001C0C4B" w:rsidRDefault="00A00025" w:rsidP="00A00025">
            <w:pPr>
              <w:spacing w:after="120" w:line="276" w:lineRule="auto"/>
              <w:jc w:val="center"/>
              <w:rPr>
                <w:rFonts w:ascii="Calibri" w:hAnsi="Calibri" w:cs="Calibri"/>
              </w:rPr>
            </w:pPr>
            <w:r w:rsidRPr="001C0C4B">
              <w:rPr>
                <w:rFonts w:ascii="Calibri" w:eastAsia="Calibri" w:hAnsi="Calibri" w:cs="Calibri"/>
                <w:b/>
                <w:bCs/>
              </w:rPr>
              <w:t>D5</w:t>
            </w:r>
          </w:p>
        </w:tc>
        <w:tc>
          <w:tcPr>
            <w:tcW w:w="274" w:type="pct"/>
            <w:vMerge w:val="restart"/>
            <w:tcBorders>
              <w:bottom w:val="single" w:sz="4" w:space="0" w:color="auto"/>
            </w:tcBorders>
            <w:vAlign w:val="center"/>
          </w:tcPr>
          <w:p w14:paraId="337BEA99" w14:textId="4F5C8BF5" w:rsidR="00A00025" w:rsidRPr="001C0C4B" w:rsidRDefault="00A00025" w:rsidP="00A00025">
            <w:pPr>
              <w:spacing w:after="120" w:line="276" w:lineRule="auto"/>
              <w:jc w:val="center"/>
              <w:rPr>
                <w:rFonts w:ascii="Calibri" w:hAnsi="Calibri" w:cs="Calibri"/>
              </w:rPr>
            </w:pPr>
            <w:r w:rsidRPr="001C0C4B">
              <w:rPr>
                <w:rFonts w:ascii="Calibri" w:eastAsia="Calibri" w:hAnsi="Calibri" w:cs="Calibri"/>
                <w:b/>
                <w:bCs/>
              </w:rPr>
              <w:t>D6</w:t>
            </w:r>
          </w:p>
        </w:tc>
        <w:tc>
          <w:tcPr>
            <w:tcW w:w="274" w:type="pct"/>
            <w:vMerge w:val="restart"/>
            <w:tcBorders>
              <w:bottom w:val="single" w:sz="4" w:space="0" w:color="auto"/>
            </w:tcBorders>
            <w:vAlign w:val="center"/>
          </w:tcPr>
          <w:p w14:paraId="33E3AD79" w14:textId="2C72208E" w:rsidR="00A00025" w:rsidRPr="001C0C4B" w:rsidRDefault="00A00025" w:rsidP="00A00025">
            <w:pPr>
              <w:spacing w:after="120" w:line="276" w:lineRule="auto"/>
              <w:jc w:val="center"/>
              <w:rPr>
                <w:rFonts w:ascii="Calibri" w:hAnsi="Calibri" w:cs="Calibri"/>
              </w:rPr>
            </w:pPr>
            <w:r w:rsidRPr="001C0C4B">
              <w:rPr>
                <w:rFonts w:ascii="Calibri" w:eastAsia="Calibri" w:hAnsi="Calibri" w:cs="Calibri"/>
                <w:b/>
                <w:bCs/>
              </w:rPr>
              <w:t>D7</w:t>
            </w:r>
          </w:p>
        </w:tc>
        <w:tc>
          <w:tcPr>
            <w:tcW w:w="297" w:type="pct"/>
            <w:vMerge w:val="restart"/>
            <w:vAlign w:val="center"/>
          </w:tcPr>
          <w:p w14:paraId="48A7319A" w14:textId="4F5F3EFA" w:rsidR="00A00025" w:rsidRPr="001C0C4B" w:rsidRDefault="00A00025" w:rsidP="00A00025">
            <w:pPr>
              <w:spacing w:after="120" w:line="276" w:lineRule="auto"/>
              <w:jc w:val="center"/>
              <w:rPr>
                <w:rFonts w:ascii="Calibri" w:eastAsia="Calibri" w:hAnsi="Calibri" w:cs="Calibri"/>
                <w:b/>
                <w:bCs/>
              </w:rPr>
            </w:pPr>
            <w:r w:rsidRPr="001C0C4B">
              <w:rPr>
                <w:rFonts w:ascii="Calibri" w:eastAsia="Calibri" w:hAnsi="Calibri" w:cs="Calibri"/>
                <w:b/>
                <w:bCs/>
              </w:rPr>
              <w:t>D10</w:t>
            </w:r>
          </w:p>
        </w:tc>
        <w:tc>
          <w:tcPr>
            <w:tcW w:w="346" w:type="pct"/>
            <w:vMerge w:val="restart"/>
            <w:tcBorders>
              <w:bottom w:val="single" w:sz="4" w:space="0" w:color="auto"/>
            </w:tcBorders>
            <w:vAlign w:val="center"/>
          </w:tcPr>
          <w:p w14:paraId="4082D625" w14:textId="0858905F" w:rsidR="00A00025" w:rsidRPr="001C0C4B" w:rsidRDefault="00A00025" w:rsidP="00A00025">
            <w:pPr>
              <w:spacing w:after="120" w:line="276" w:lineRule="auto"/>
              <w:jc w:val="center"/>
              <w:rPr>
                <w:rFonts w:ascii="Calibri" w:hAnsi="Calibri" w:cs="Calibri"/>
              </w:rPr>
            </w:pPr>
            <w:r w:rsidRPr="001C0C4B">
              <w:rPr>
                <w:rFonts w:ascii="Calibri" w:eastAsia="Calibri" w:hAnsi="Calibri" w:cs="Calibri"/>
                <w:b/>
                <w:bCs/>
              </w:rPr>
              <w:t>D14</w:t>
            </w:r>
          </w:p>
        </w:tc>
        <w:tc>
          <w:tcPr>
            <w:tcW w:w="297" w:type="pct"/>
            <w:vMerge w:val="restart"/>
            <w:tcBorders>
              <w:bottom w:val="single" w:sz="4" w:space="0" w:color="auto"/>
            </w:tcBorders>
            <w:vAlign w:val="center"/>
          </w:tcPr>
          <w:p w14:paraId="765E2573" w14:textId="45640EF4" w:rsidR="00A00025" w:rsidRPr="001C0C4B" w:rsidRDefault="00A00025" w:rsidP="00A00025">
            <w:pPr>
              <w:spacing w:after="120" w:line="276" w:lineRule="auto"/>
              <w:jc w:val="center"/>
              <w:rPr>
                <w:rFonts w:ascii="Calibri" w:hAnsi="Calibri" w:cs="Calibri"/>
              </w:rPr>
            </w:pPr>
            <w:r w:rsidRPr="001C0C4B">
              <w:rPr>
                <w:rFonts w:ascii="Calibri" w:eastAsia="Calibri" w:hAnsi="Calibri" w:cs="Calibri"/>
                <w:b/>
                <w:bCs/>
              </w:rPr>
              <w:t>D28 (-2/ +7)</w:t>
            </w:r>
          </w:p>
        </w:tc>
        <w:tc>
          <w:tcPr>
            <w:tcW w:w="602" w:type="pct"/>
            <w:vMerge w:val="restart"/>
          </w:tcPr>
          <w:p w14:paraId="5FE8F6A4" w14:textId="575B09CD" w:rsidR="00A00025" w:rsidRPr="001C0C4B" w:rsidRDefault="00A00025" w:rsidP="00A00025">
            <w:pPr>
              <w:spacing w:before="120" w:after="120" w:line="276" w:lineRule="auto"/>
              <w:jc w:val="center"/>
              <w:rPr>
                <w:rFonts w:ascii="Calibri" w:eastAsia="Calibri" w:hAnsi="Calibri" w:cs="Calibri"/>
                <w:b/>
                <w:bCs/>
              </w:rPr>
            </w:pPr>
            <w:r w:rsidRPr="001C0C4B">
              <w:rPr>
                <w:rFonts w:ascii="Calibri" w:eastAsia="Calibri" w:hAnsi="Calibri" w:cs="Calibri"/>
                <w:b/>
                <w:bCs/>
              </w:rPr>
              <w:t xml:space="preserve">If </w:t>
            </w:r>
            <w:r w:rsidRPr="001C0C4B">
              <w:rPr>
                <w:rFonts w:ascii="Calibri" w:hAnsi="Calibri"/>
                <w:b/>
                <w:sz w:val="20"/>
              </w:rPr>
              <w:t xml:space="preserve">new </w:t>
            </w:r>
            <w:r w:rsidRPr="001C0C4B">
              <w:rPr>
                <w:rFonts w:ascii="Calibri" w:eastAsia="Calibri" w:hAnsi="Calibri" w:cs="Calibri"/>
                <w:b/>
                <w:bCs/>
              </w:rPr>
              <w:t xml:space="preserve">Tx/ </w:t>
            </w:r>
            <w:r w:rsidR="005B0344" w:rsidRPr="001C0C4B">
              <w:rPr>
                <w:rFonts w:ascii="Calibri" w:eastAsia="Calibri" w:hAnsi="Calibri" w:cs="Calibri"/>
                <w:b/>
                <w:bCs/>
              </w:rPr>
              <w:t>symptoms</w:t>
            </w:r>
            <w:r w:rsidRPr="001C0C4B">
              <w:rPr>
                <w:rFonts w:ascii="Calibri" w:eastAsia="Calibri" w:hAnsi="Calibri" w:cs="Calibri"/>
                <w:b/>
                <w:bCs/>
              </w:rPr>
              <w:t xml:space="preserve"> </w:t>
            </w:r>
          </w:p>
        </w:tc>
      </w:tr>
      <w:tr w:rsidR="005B0344" w:rsidRPr="001C0C4B" w14:paraId="3AA778D2" w14:textId="074AD889" w:rsidTr="00B475D8">
        <w:trPr>
          <w:trHeight w:val="315"/>
        </w:trPr>
        <w:tc>
          <w:tcPr>
            <w:tcW w:w="739" w:type="pct"/>
            <w:gridSpan w:val="2"/>
            <w:vMerge/>
            <w:vAlign w:val="center"/>
          </w:tcPr>
          <w:p w14:paraId="16663BA5" w14:textId="7415E1BA" w:rsidR="00A00025" w:rsidRPr="001C0C4B" w:rsidRDefault="00A00025" w:rsidP="00A00025">
            <w:pPr>
              <w:jc w:val="both"/>
              <w:rPr>
                <w:rFonts w:ascii="Calibri" w:hAnsi="Calibri" w:cs="Calibri"/>
              </w:rPr>
            </w:pPr>
          </w:p>
        </w:tc>
        <w:tc>
          <w:tcPr>
            <w:tcW w:w="334" w:type="pct"/>
            <w:shd w:val="clear" w:color="auto" w:fill="7030A0"/>
            <w:vAlign w:val="center"/>
          </w:tcPr>
          <w:p w14:paraId="6B0AE57B"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b/>
                <w:bCs/>
              </w:rPr>
              <w:t>Pre-1</w:t>
            </w:r>
            <w:r w:rsidRPr="001C0C4B">
              <w:rPr>
                <w:rFonts w:ascii="Calibri" w:eastAsia="Calibri" w:hAnsi="Calibri" w:cs="Calibri"/>
                <w:b/>
                <w:bCs/>
                <w:vertAlign w:val="superscript"/>
              </w:rPr>
              <w:t>st</w:t>
            </w:r>
            <w:r w:rsidRPr="001C0C4B">
              <w:rPr>
                <w:rFonts w:ascii="Calibri" w:eastAsia="Calibri" w:hAnsi="Calibri" w:cs="Calibri"/>
                <w:b/>
                <w:bCs/>
              </w:rPr>
              <w:t xml:space="preserve"> dose</w:t>
            </w:r>
          </w:p>
        </w:tc>
        <w:tc>
          <w:tcPr>
            <w:tcW w:w="240" w:type="pct"/>
            <w:shd w:val="clear" w:color="auto" w:fill="990099"/>
            <w:vAlign w:val="center"/>
          </w:tcPr>
          <w:p w14:paraId="1C1296E6" w14:textId="769593EA" w:rsidR="00A00025" w:rsidRPr="001C0C4B" w:rsidRDefault="00A00025" w:rsidP="00A00025">
            <w:pPr>
              <w:spacing w:after="120" w:line="276" w:lineRule="auto"/>
              <w:jc w:val="both"/>
              <w:rPr>
                <w:rFonts w:ascii="Calibri" w:hAnsi="Calibri" w:cs="Calibri"/>
                <w:b/>
                <w:bCs/>
              </w:rPr>
            </w:pPr>
            <w:r w:rsidRPr="001C0C4B">
              <w:rPr>
                <w:rFonts w:ascii="Calibri" w:eastAsia="Calibri" w:hAnsi="Calibri" w:cs="Calibri"/>
                <w:b/>
                <w:bCs/>
              </w:rPr>
              <w:t>H0</w:t>
            </w:r>
          </w:p>
        </w:tc>
        <w:tc>
          <w:tcPr>
            <w:tcW w:w="240" w:type="pct"/>
            <w:shd w:val="clear" w:color="auto" w:fill="00B0F0"/>
            <w:vAlign w:val="center"/>
          </w:tcPr>
          <w:p w14:paraId="08CA59F0" w14:textId="476824CE" w:rsidR="00A00025" w:rsidRPr="001C0C4B" w:rsidRDefault="00A00025" w:rsidP="00A00025">
            <w:pPr>
              <w:spacing w:after="120" w:line="276" w:lineRule="auto"/>
              <w:rPr>
                <w:rFonts w:ascii="Calibri" w:hAnsi="Calibri" w:cs="Calibri"/>
                <w:b/>
                <w:bCs/>
              </w:rPr>
            </w:pPr>
            <w:r w:rsidRPr="001C0C4B">
              <w:rPr>
                <w:rFonts w:ascii="Calibri" w:hAnsi="Calibri" w:cs="Calibri"/>
                <w:b/>
                <w:bCs/>
              </w:rPr>
              <w:t>H1</w:t>
            </w:r>
          </w:p>
        </w:tc>
        <w:tc>
          <w:tcPr>
            <w:tcW w:w="262" w:type="pct"/>
            <w:vMerge/>
            <w:vAlign w:val="center"/>
          </w:tcPr>
          <w:p w14:paraId="1033A8BC" w14:textId="60466CD7" w:rsidR="00A00025" w:rsidRPr="001C0C4B" w:rsidRDefault="00A00025" w:rsidP="00A00025">
            <w:pPr>
              <w:spacing w:after="120" w:line="276" w:lineRule="auto"/>
              <w:jc w:val="both"/>
              <w:rPr>
                <w:rFonts w:ascii="Calibri" w:hAnsi="Calibri" w:cs="Calibri"/>
              </w:rPr>
            </w:pPr>
          </w:p>
        </w:tc>
        <w:tc>
          <w:tcPr>
            <w:tcW w:w="273" w:type="pct"/>
            <w:vMerge/>
            <w:vAlign w:val="center"/>
          </w:tcPr>
          <w:p w14:paraId="28DCEA19" w14:textId="77777777" w:rsidR="00A00025" w:rsidRPr="001C0C4B" w:rsidRDefault="00A00025" w:rsidP="00A00025">
            <w:pPr>
              <w:spacing w:after="120" w:line="276" w:lineRule="auto"/>
              <w:jc w:val="both"/>
              <w:rPr>
                <w:rFonts w:ascii="Calibri" w:hAnsi="Calibri" w:cs="Calibri"/>
              </w:rPr>
            </w:pPr>
          </w:p>
        </w:tc>
        <w:tc>
          <w:tcPr>
            <w:tcW w:w="273" w:type="pct"/>
            <w:vMerge/>
            <w:vAlign w:val="center"/>
          </w:tcPr>
          <w:p w14:paraId="3E0D8498" w14:textId="77777777" w:rsidR="00A00025" w:rsidRPr="001C0C4B" w:rsidRDefault="00A00025" w:rsidP="00A00025">
            <w:pPr>
              <w:spacing w:after="120" w:line="276" w:lineRule="auto"/>
              <w:jc w:val="both"/>
              <w:rPr>
                <w:rFonts w:ascii="Calibri" w:hAnsi="Calibri" w:cs="Calibri"/>
              </w:rPr>
            </w:pPr>
          </w:p>
        </w:tc>
        <w:tc>
          <w:tcPr>
            <w:tcW w:w="274" w:type="pct"/>
            <w:vMerge/>
            <w:vAlign w:val="center"/>
          </w:tcPr>
          <w:p w14:paraId="27A487F2" w14:textId="77777777" w:rsidR="00A00025" w:rsidRPr="001C0C4B" w:rsidRDefault="00A00025" w:rsidP="00A00025">
            <w:pPr>
              <w:spacing w:after="120" w:line="276" w:lineRule="auto"/>
              <w:jc w:val="both"/>
              <w:rPr>
                <w:rFonts w:ascii="Calibri" w:hAnsi="Calibri" w:cs="Calibri"/>
              </w:rPr>
            </w:pPr>
          </w:p>
        </w:tc>
        <w:tc>
          <w:tcPr>
            <w:tcW w:w="274" w:type="pct"/>
            <w:vMerge/>
            <w:vAlign w:val="center"/>
          </w:tcPr>
          <w:p w14:paraId="6E0028C0" w14:textId="77777777" w:rsidR="00A00025" w:rsidRPr="001C0C4B" w:rsidRDefault="00A00025" w:rsidP="00A00025">
            <w:pPr>
              <w:spacing w:after="120" w:line="276" w:lineRule="auto"/>
              <w:jc w:val="both"/>
              <w:rPr>
                <w:rFonts w:ascii="Calibri" w:hAnsi="Calibri" w:cs="Calibri"/>
              </w:rPr>
            </w:pPr>
          </w:p>
        </w:tc>
        <w:tc>
          <w:tcPr>
            <w:tcW w:w="274" w:type="pct"/>
            <w:vMerge/>
            <w:vAlign w:val="center"/>
          </w:tcPr>
          <w:p w14:paraId="172845CA" w14:textId="77777777" w:rsidR="00A00025" w:rsidRPr="001C0C4B" w:rsidRDefault="00A00025" w:rsidP="00A00025">
            <w:pPr>
              <w:spacing w:after="120" w:line="276" w:lineRule="auto"/>
              <w:jc w:val="both"/>
              <w:rPr>
                <w:rFonts w:ascii="Calibri" w:hAnsi="Calibri" w:cs="Calibri"/>
              </w:rPr>
            </w:pPr>
          </w:p>
        </w:tc>
        <w:tc>
          <w:tcPr>
            <w:tcW w:w="274" w:type="pct"/>
            <w:vMerge/>
            <w:vAlign w:val="center"/>
          </w:tcPr>
          <w:p w14:paraId="7F0A098E" w14:textId="77777777" w:rsidR="00A00025" w:rsidRPr="001C0C4B" w:rsidRDefault="00A00025" w:rsidP="00A00025">
            <w:pPr>
              <w:spacing w:after="120" w:line="276" w:lineRule="auto"/>
              <w:jc w:val="both"/>
              <w:rPr>
                <w:rFonts w:ascii="Calibri" w:hAnsi="Calibri" w:cs="Calibri"/>
              </w:rPr>
            </w:pPr>
          </w:p>
        </w:tc>
        <w:tc>
          <w:tcPr>
            <w:tcW w:w="297" w:type="pct"/>
            <w:vMerge/>
          </w:tcPr>
          <w:p w14:paraId="55572883" w14:textId="77777777" w:rsidR="00A00025" w:rsidRPr="001C0C4B" w:rsidRDefault="00A00025" w:rsidP="00A00025">
            <w:pPr>
              <w:spacing w:after="120" w:line="276" w:lineRule="auto"/>
              <w:jc w:val="both"/>
              <w:rPr>
                <w:rFonts w:ascii="Calibri" w:hAnsi="Calibri" w:cs="Calibri"/>
              </w:rPr>
            </w:pPr>
          </w:p>
        </w:tc>
        <w:tc>
          <w:tcPr>
            <w:tcW w:w="346" w:type="pct"/>
            <w:vMerge/>
            <w:vAlign w:val="center"/>
          </w:tcPr>
          <w:p w14:paraId="3F1D8F1D" w14:textId="5126B769" w:rsidR="00A00025" w:rsidRPr="001C0C4B" w:rsidRDefault="00A00025" w:rsidP="00A00025">
            <w:pPr>
              <w:spacing w:after="120" w:line="276" w:lineRule="auto"/>
              <w:jc w:val="both"/>
              <w:rPr>
                <w:rFonts w:ascii="Calibri" w:hAnsi="Calibri" w:cs="Calibri"/>
              </w:rPr>
            </w:pPr>
          </w:p>
        </w:tc>
        <w:tc>
          <w:tcPr>
            <w:tcW w:w="297" w:type="pct"/>
            <w:vMerge/>
            <w:vAlign w:val="center"/>
          </w:tcPr>
          <w:p w14:paraId="6C080F31" w14:textId="77777777" w:rsidR="00A00025" w:rsidRPr="001C0C4B" w:rsidRDefault="00A00025" w:rsidP="00A00025">
            <w:pPr>
              <w:spacing w:after="120" w:line="276" w:lineRule="auto"/>
              <w:jc w:val="both"/>
              <w:rPr>
                <w:rFonts w:ascii="Calibri" w:hAnsi="Calibri" w:cs="Calibri"/>
              </w:rPr>
            </w:pPr>
          </w:p>
        </w:tc>
        <w:tc>
          <w:tcPr>
            <w:tcW w:w="602" w:type="pct"/>
            <w:vMerge/>
          </w:tcPr>
          <w:p w14:paraId="5D61A2E9" w14:textId="77777777" w:rsidR="00A00025" w:rsidRPr="001C0C4B" w:rsidRDefault="00A00025" w:rsidP="00A00025">
            <w:pPr>
              <w:spacing w:after="120" w:line="276" w:lineRule="auto"/>
              <w:jc w:val="both"/>
              <w:rPr>
                <w:rFonts w:ascii="Calibri" w:hAnsi="Calibri" w:cs="Calibri"/>
              </w:rPr>
            </w:pPr>
          </w:p>
        </w:tc>
      </w:tr>
      <w:tr w:rsidR="005B0344" w:rsidRPr="001C0C4B" w14:paraId="728CD709" w14:textId="05B3A5C1" w:rsidTr="00B475D8">
        <w:trPr>
          <w:trHeight w:val="525"/>
        </w:trPr>
        <w:tc>
          <w:tcPr>
            <w:tcW w:w="739" w:type="pct"/>
            <w:gridSpan w:val="2"/>
            <w:vAlign w:val="center"/>
          </w:tcPr>
          <w:p w14:paraId="6D0755C3" w14:textId="0D28B05D" w:rsidR="00A00025" w:rsidRPr="001C0C4B" w:rsidRDefault="00A00025" w:rsidP="00A00025">
            <w:pPr>
              <w:jc w:val="both"/>
              <w:rPr>
                <w:rFonts w:ascii="Calibri" w:eastAsia="Calibri" w:hAnsi="Calibri" w:cs="Calibri"/>
                <w:i/>
                <w:iCs/>
                <w:sz w:val="20"/>
                <w:szCs w:val="20"/>
              </w:rPr>
            </w:pPr>
            <w:r w:rsidRPr="001C0C4B">
              <w:rPr>
                <w:rFonts w:ascii="Calibri" w:hAnsi="Calibri" w:cs="Calibri"/>
                <w:i/>
                <w:iCs/>
                <w:sz w:val="20"/>
                <w:szCs w:val="20"/>
              </w:rPr>
              <w:t>Screening incl. Lateral Flow Ag test and urine pregnancy test</w:t>
            </w:r>
          </w:p>
        </w:tc>
        <w:tc>
          <w:tcPr>
            <w:tcW w:w="334" w:type="pct"/>
            <w:vAlign w:val="center"/>
          </w:tcPr>
          <w:p w14:paraId="4D71FA32" w14:textId="77777777"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p>
        </w:tc>
        <w:tc>
          <w:tcPr>
            <w:tcW w:w="240" w:type="pct"/>
            <w:vAlign w:val="center"/>
          </w:tcPr>
          <w:p w14:paraId="289840C8" w14:textId="77777777" w:rsidR="00A00025" w:rsidRPr="001C0C4B" w:rsidRDefault="00A00025" w:rsidP="00A00025">
            <w:pPr>
              <w:spacing w:after="120" w:line="276" w:lineRule="auto"/>
              <w:jc w:val="both"/>
              <w:rPr>
                <w:rFonts w:ascii="Calibri" w:eastAsia="Calibri" w:hAnsi="Calibri" w:cs="Calibri"/>
                <w:sz w:val="20"/>
                <w:szCs w:val="20"/>
              </w:rPr>
            </w:pPr>
          </w:p>
        </w:tc>
        <w:tc>
          <w:tcPr>
            <w:tcW w:w="240" w:type="pct"/>
          </w:tcPr>
          <w:p w14:paraId="3EA0EA4F"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73FA12B8" w14:textId="352DF1C5"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5BAD036B" w14:textId="7777777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17691357"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3517A090"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66777161"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0F457181"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76201E7A" w14:textId="77777777" w:rsidR="00A00025" w:rsidRPr="001C0C4B" w:rsidRDefault="00A00025" w:rsidP="00A00025">
            <w:pPr>
              <w:spacing w:after="120" w:line="276" w:lineRule="auto"/>
              <w:jc w:val="both"/>
              <w:rPr>
                <w:rFonts w:ascii="Calibri" w:eastAsia="Calibri" w:hAnsi="Calibri" w:cs="Calibri"/>
                <w:sz w:val="20"/>
                <w:szCs w:val="20"/>
              </w:rPr>
            </w:pPr>
          </w:p>
        </w:tc>
        <w:tc>
          <w:tcPr>
            <w:tcW w:w="297" w:type="pct"/>
          </w:tcPr>
          <w:p w14:paraId="791CD066" w14:textId="77777777" w:rsidR="00A00025" w:rsidRPr="001C0C4B" w:rsidRDefault="00A00025" w:rsidP="00A00025">
            <w:pPr>
              <w:spacing w:after="120" w:line="276" w:lineRule="auto"/>
              <w:jc w:val="both"/>
              <w:rPr>
                <w:rFonts w:ascii="Calibri" w:eastAsia="Calibri" w:hAnsi="Calibri" w:cs="Calibri"/>
                <w:sz w:val="20"/>
                <w:szCs w:val="20"/>
              </w:rPr>
            </w:pPr>
          </w:p>
        </w:tc>
        <w:tc>
          <w:tcPr>
            <w:tcW w:w="346" w:type="pct"/>
            <w:vAlign w:val="center"/>
          </w:tcPr>
          <w:p w14:paraId="493E2C80" w14:textId="0BB9FC9D" w:rsidR="00A00025" w:rsidRPr="001C0C4B" w:rsidRDefault="00A00025" w:rsidP="00A00025">
            <w:pPr>
              <w:spacing w:after="120" w:line="276" w:lineRule="auto"/>
              <w:jc w:val="both"/>
              <w:rPr>
                <w:rFonts w:ascii="Calibri" w:eastAsia="Calibri" w:hAnsi="Calibri" w:cs="Calibri"/>
                <w:sz w:val="20"/>
                <w:szCs w:val="20"/>
              </w:rPr>
            </w:pPr>
          </w:p>
        </w:tc>
        <w:tc>
          <w:tcPr>
            <w:tcW w:w="297" w:type="pct"/>
            <w:vAlign w:val="center"/>
          </w:tcPr>
          <w:p w14:paraId="713DFFD7" w14:textId="77777777" w:rsidR="00A00025" w:rsidRPr="001C0C4B" w:rsidRDefault="00A00025" w:rsidP="00A00025">
            <w:pPr>
              <w:spacing w:after="120" w:line="276" w:lineRule="auto"/>
              <w:jc w:val="both"/>
              <w:rPr>
                <w:rFonts w:ascii="Calibri" w:eastAsia="Calibri" w:hAnsi="Calibri" w:cs="Calibri"/>
                <w:sz w:val="20"/>
                <w:szCs w:val="20"/>
              </w:rPr>
            </w:pPr>
          </w:p>
        </w:tc>
        <w:tc>
          <w:tcPr>
            <w:tcW w:w="602" w:type="pct"/>
          </w:tcPr>
          <w:p w14:paraId="57EAA02C"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442540C9" w14:textId="5F0FA7A0" w:rsidTr="00B475D8">
        <w:trPr>
          <w:trHeight w:val="525"/>
        </w:trPr>
        <w:tc>
          <w:tcPr>
            <w:tcW w:w="739" w:type="pct"/>
            <w:gridSpan w:val="2"/>
            <w:vAlign w:val="center"/>
          </w:tcPr>
          <w:p w14:paraId="20225EE5" w14:textId="77777777" w:rsidR="00A00025" w:rsidRPr="001C0C4B" w:rsidRDefault="00A00025" w:rsidP="00A00025">
            <w:pPr>
              <w:jc w:val="both"/>
              <w:rPr>
                <w:rFonts w:ascii="Calibri" w:eastAsia="Calibri" w:hAnsi="Calibri" w:cs="Calibri"/>
                <w:i/>
                <w:iCs/>
                <w:sz w:val="20"/>
                <w:szCs w:val="20"/>
              </w:rPr>
            </w:pPr>
            <w:r w:rsidRPr="001C0C4B">
              <w:rPr>
                <w:rFonts w:ascii="Calibri" w:hAnsi="Calibri" w:cs="Calibri"/>
                <w:i/>
                <w:iCs/>
                <w:sz w:val="20"/>
                <w:szCs w:val="20"/>
              </w:rPr>
              <w:t>Eligibility assessment</w:t>
            </w:r>
          </w:p>
        </w:tc>
        <w:tc>
          <w:tcPr>
            <w:tcW w:w="334" w:type="pct"/>
            <w:vAlign w:val="center"/>
          </w:tcPr>
          <w:p w14:paraId="619F3CF3" w14:textId="77777777"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p>
        </w:tc>
        <w:tc>
          <w:tcPr>
            <w:tcW w:w="240" w:type="pct"/>
            <w:vAlign w:val="center"/>
          </w:tcPr>
          <w:p w14:paraId="34F2143D" w14:textId="77777777" w:rsidR="00A00025" w:rsidRPr="001C0C4B" w:rsidRDefault="00A00025" w:rsidP="00A00025">
            <w:pPr>
              <w:spacing w:after="120" w:line="276" w:lineRule="auto"/>
              <w:jc w:val="both"/>
              <w:rPr>
                <w:rFonts w:ascii="Calibri" w:eastAsia="Calibri" w:hAnsi="Calibri" w:cs="Calibri"/>
                <w:sz w:val="20"/>
                <w:szCs w:val="20"/>
              </w:rPr>
            </w:pPr>
          </w:p>
        </w:tc>
        <w:tc>
          <w:tcPr>
            <w:tcW w:w="240" w:type="pct"/>
          </w:tcPr>
          <w:p w14:paraId="483B9946"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45FF3975" w14:textId="256253F5"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6B4C1A6A" w14:textId="7777777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619E3756"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0DBDCE90"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45AA2881"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2BE0AD90"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656F38D7" w14:textId="77777777" w:rsidR="00A00025" w:rsidRPr="001C0C4B" w:rsidRDefault="00A00025" w:rsidP="00A00025">
            <w:pPr>
              <w:spacing w:after="120" w:line="276" w:lineRule="auto"/>
              <w:jc w:val="both"/>
              <w:rPr>
                <w:rFonts w:ascii="Calibri" w:eastAsia="Calibri" w:hAnsi="Calibri" w:cs="Calibri"/>
                <w:sz w:val="20"/>
                <w:szCs w:val="20"/>
              </w:rPr>
            </w:pPr>
          </w:p>
        </w:tc>
        <w:tc>
          <w:tcPr>
            <w:tcW w:w="297" w:type="pct"/>
          </w:tcPr>
          <w:p w14:paraId="3306BA73" w14:textId="77777777" w:rsidR="00A00025" w:rsidRPr="001C0C4B" w:rsidRDefault="00A00025" w:rsidP="00A00025">
            <w:pPr>
              <w:spacing w:after="120" w:line="276" w:lineRule="auto"/>
              <w:jc w:val="both"/>
              <w:rPr>
                <w:rFonts w:ascii="Calibri" w:eastAsia="Calibri" w:hAnsi="Calibri" w:cs="Calibri"/>
                <w:sz w:val="20"/>
                <w:szCs w:val="20"/>
              </w:rPr>
            </w:pPr>
          </w:p>
        </w:tc>
        <w:tc>
          <w:tcPr>
            <w:tcW w:w="346" w:type="pct"/>
            <w:vAlign w:val="center"/>
          </w:tcPr>
          <w:p w14:paraId="76E46D8A" w14:textId="6173D030" w:rsidR="00A00025" w:rsidRPr="001C0C4B" w:rsidRDefault="00A00025" w:rsidP="00A00025">
            <w:pPr>
              <w:spacing w:after="120" w:line="276" w:lineRule="auto"/>
              <w:jc w:val="both"/>
              <w:rPr>
                <w:rFonts w:ascii="Calibri" w:eastAsia="Calibri" w:hAnsi="Calibri" w:cs="Calibri"/>
                <w:sz w:val="20"/>
                <w:szCs w:val="20"/>
              </w:rPr>
            </w:pPr>
          </w:p>
        </w:tc>
        <w:tc>
          <w:tcPr>
            <w:tcW w:w="297" w:type="pct"/>
            <w:vAlign w:val="center"/>
          </w:tcPr>
          <w:p w14:paraId="344B3461" w14:textId="77777777" w:rsidR="00A00025" w:rsidRPr="001C0C4B" w:rsidRDefault="00A00025" w:rsidP="00A00025">
            <w:pPr>
              <w:spacing w:after="120" w:line="276" w:lineRule="auto"/>
              <w:jc w:val="both"/>
              <w:rPr>
                <w:rFonts w:ascii="Calibri" w:eastAsia="Calibri" w:hAnsi="Calibri" w:cs="Calibri"/>
                <w:sz w:val="20"/>
                <w:szCs w:val="20"/>
              </w:rPr>
            </w:pPr>
          </w:p>
        </w:tc>
        <w:tc>
          <w:tcPr>
            <w:tcW w:w="602" w:type="pct"/>
          </w:tcPr>
          <w:p w14:paraId="769E97B0"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5803D6F8" w14:textId="3D2E30BA" w:rsidTr="00B475D8">
        <w:trPr>
          <w:trHeight w:val="525"/>
        </w:trPr>
        <w:tc>
          <w:tcPr>
            <w:tcW w:w="739" w:type="pct"/>
            <w:gridSpan w:val="2"/>
            <w:vAlign w:val="center"/>
          </w:tcPr>
          <w:p w14:paraId="643326CD" w14:textId="77777777" w:rsidR="00A00025" w:rsidRPr="001C0C4B" w:rsidRDefault="00A00025" w:rsidP="00A00025">
            <w:pPr>
              <w:jc w:val="both"/>
              <w:rPr>
                <w:rFonts w:ascii="Calibri" w:eastAsia="Calibri" w:hAnsi="Calibri" w:cs="Calibri"/>
                <w:i/>
                <w:iCs/>
                <w:sz w:val="20"/>
                <w:szCs w:val="20"/>
              </w:rPr>
            </w:pPr>
            <w:r w:rsidRPr="001C0C4B">
              <w:rPr>
                <w:rFonts w:ascii="Calibri" w:hAnsi="Calibri" w:cs="Calibri"/>
                <w:i/>
                <w:iCs/>
                <w:sz w:val="20"/>
                <w:szCs w:val="20"/>
              </w:rPr>
              <w:t>Informed consent</w:t>
            </w:r>
          </w:p>
        </w:tc>
        <w:tc>
          <w:tcPr>
            <w:tcW w:w="334" w:type="pct"/>
            <w:vAlign w:val="center"/>
          </w:tcPr>
          <w:p w14:paraId="196460C4" w14:textId="77777777"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p>
        </w:tc>
        <w:tc>
          <w:tcPr>
            <w:tcW w:w="240" w:type="pct"/>
            <w:vAlign w:val="center"/>
          </w:tcPr>
          <w:p w14:paraId="3AE0EDF6" w14:textId="77777777" w:rsidR="00A00025" w:rsidRPr="001C0C4B" w:rsidRDefault="00A00025" w:rsidP="00A00025">
            <w:pPr>
              <w:spacing w:after="120" w:line="276" w:lineRule="auto"/>
              <w:jc w:val="both"/>
              <w:rPr>
                <w:rFonts w:ascii="Calibri" w:eastAsia="Calibri" w:hAnsi="Calibri" w:cs="Calibri"/>
                <w:sz w:val="20"/>
                <w:szCs w:val="20"/>
              </w:rPr>
            </w:pPr>
          </w:p>
        </w:tc>
        <w:tc>
          <w:tcPr>
            <w:tcW w:w="240" w:type="pct"/>
          </w:tcPr>
          <w:p w14:paraId="36B60F7E"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6215B707" w14:textId="4C60C01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761B7E60" w14:textId="7777777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17CC2C3A"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0EC97096"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60F0D0DB"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11893B67"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58B889BA" w14:textId="77777777" w:rsidR="00A00025" w:rsidRPr="001C0C4B" w:rsidRDefault="00A00025" w:rsidP="00A00025">
            <w:pPr>
              <w:spacing w:after="120" w:line="276" w:lineRule="auto"/>
              <w:jc w:val="both"/>
              <w:rPr>
                <w:rFonts w:ascii="Calibri" w:eastAsia="Calibri" w:hAnsi="Calibri" w:cs="Calibri"/>
                <w:sz w:val="20"/>
                <w:szCs w:val="20"/>
              </w:rPr>
            </w:pPr>
          </w:p>
        </w:tc>
        <w:tc>
          <w:tcPr>
            <w:tcW w:w="297" w:type="pct"/>
          </w:tcPr>
          <w:p w14:paraId="360CF523" w14:textId="77777777" w:rsidR="00A00025" w:rsidRPr="001C0C4B" w:rsidRDefault="00A00025" w:rsidP="00A00025">
            <w:pPr>
              <w:spacing w:after="120" w:line="276" w:lineRule="auto"/>
              <w:jc w:val="both"/>
              <w:rPr>
                <w:rFonts w:ascii="Calibri" w:eastAsia="Calibri" w:hAnsi="Calibri" w:cs="Calibri"/>
                <w:sz w:val="20"/>
                <w:szCs w:val="20"/>
              </w:rPr>
            </w:pPr>
          </w:p>
        </w:tc>
        <w:tc>
          <w:tcPr>
            <w:tcW w:w="346" w:type="pct"/>
            <w:vAlign w:val="center"/>
          </w:tcPr>
          <w:p w14:paraId="3A887DF6" w14:textId="242B8EAB" w:rsidR="00A00025" w:rsidRPr="001C0C4B" w:rsidRDefault="00A00025" w:rsidP="00A00025">
            <w:pPr>
              <w:spacing w:after="120" w:line="276" w:lineRule="auto"/>
              <w:jc w:val="both"/>
              <w:rPr>
                <w:rFonts w:ascii="Calibri" w:eastAsia="Calibri" w:hAnsi="Calibri" w:cs="Calibri"/>
                <w:sz w:val="20"/>
                <w:szCs w:val="20"/>
              </w:rPr>
            </w:pPr>
          </w:p>
        </w:tc>
        <w:tc>
          <w:tcPr>
            <w:tcW w:w="297" w:type="pct"/>
            <w:vAlign w:val="center"/>
          </w:tcPr>
          <w:p w14:paraId="21551498" w14:textId="77777777" w:rsidR="00A00025" w:rsidRPr="001C0C4B" w:rsidRDefault="00A00025" w:rsidP="00A00025">
            <w:pPr>
              <w:spacing w:after="120" w:line="276" w:lineRule="auto"/>
              <w:jc w:val="both"/>
              <w:rPr>
                <w:rFonts w:ascii="Calibri" w:eastAsia="Calibri" w:hAnsi="Calibri" w:cs="Calibri"/>
                <w:sz w:val="20"/>
                <w:szCs w:val="20"/>
              </w:rPr>
            </w:pPr>
          </w:p>
        </w:tc>
        <w:tc>
          <w:tcPr>
            <w:tcW w:w="602" w:type="pct"/>
          </w:tcPr>
          <w:p w14:paraId="301017BA"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6892D9CD" w14:textId="746B1156" w:rsidTr="00B475D8">
        <w:trPr>
          <w:trHeight w:val="525"/>
        </w:trPr>
        <w:tc>
          <w:tcPr>
            <w:tcW w:w="739" w:type="pct"/>
            <w:gridSpan w:val="2"/>
            <w:vAlign w:val="center"/>
          </w:tcPr>
          <w:p w14:paraId="7B546079" w14:textId="0BCB8FDD" w:rsidR="00A00025" w:rsidRPr="001C0C4B" w:rsidRDefault="00A00025" w:rsidP="00A00025">
            <w:pPr>
              <w:jc w:val="both"/>
              <w:rPr>
                <w:rFonts w:ascii="Calibri" w:hAnsi="Calibri" w:cs="Calibri"/>
                <w:i/>
                <w:iCs/>
                <w:sz w:val="20"/>
                <w:szCs w:val="20"/>
              </w:rPr>
            </w:pPr>
            <w:r w:rsidRPr="001C0C4B">
              <w:rPr>
                <w:rFonts w:ascii="Calibri" w:hAnsi="Calibri" w:cs="Calibri"/>
                <w:i/>
                <w:iCs/>
                <w:sz w:val="20"/>
                <w:szCs w:val="20"/>
              </w:rPr>
              <w:t>Randomisation</w:t>
            </w:r>
          </w:p>
        </w:tc>
        <w:tc>
          <w:tcPr>
            <w:tcW w:w="334" w:type="pct"/>
            <w:vAlign w:val="center"/>
          </w:tcPr>
          <w:p w14:paraId="6F05F26C" w14:textId="1B5ACE34"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p>
        </w:tc>
        <w:tc>
          <w:tcPr>
            <w:tcW w:w="240" w:type="pct"/>
            <w:vAlign w:val="center"/>
          </w:tcPr>
          <w:p w14:paraId="52320BCD" w14:textId="77777777" w:rsidR="00A00025" w:rsidRPr="001C0C4B" w:rsidRDefault="00A00025" w:rsidP="00A00025">
            <w:pPr>
              <w:spacing w:after="120" w:line="276" w:lineRule="auto"/>
              <w:jc w:val="both"/>
              <w:rPr>
                <w:rFonts w:ascii="Calibri" w:eastAsia="Calibri" w:hAnsi="Calibri" w:cs="Calibri"/>
                <w:sz w:val="20"/>
                <w:szCs w:val="20"/>
              </w:rPr>
            </w:pPr>
          </w:p>
        </w:tc>
        <w:tc>
          <w:tcPr>
            <w:tcW w:w="240" w:type="pct"/>
          </w:tcPr>
          <w:p w14:paraId="64FB86F8"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2075CD95" w14:textId="7777777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625C9FC6" w14:textId="7777777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166A562F"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08790818"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26382AFB"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53D5A3BE"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45F79194" w14:textId="77777777" w:rsidR="00A00025" w:rsidRPr="001C0C4B" w:rsidRDefault="00A00025" w:rsidP="00A00025">
            <w:pPr>
              <w:spacing w:after="120" w:line="276" w:lineRule="auto"/>
              <w:jc w:val="both"/>
              <w:rPr>
                <w:rFonts w:ascii="Calibri" w:eastAsia="Calibri" w:hAnsi="Calibri" w:cs="Calibri"/>
                <w:sz w:val="20"/>
                <w:szCs w:val="20"/>
              </w:rPr>
            </w:pPr>
          </w:p>
        </w:tc>
        <w:tc>
          <w:tcPr>
            <w:tcW w:w="297" w:type="pct"/>
          </w:tcPr>
          <w:p w14:paraId="6AF09E2A" w14:textId="77777777" w:rsidR="00A00025" w:rsidRPr="001C0C4B" w:rsidRDefault="00A00025" w:rsidP="00A00025">
            <w:pPr>
              <w:spacing w:after="120" w:line="276" w:lineRule="auto"/>
              <w:jc w:val="both"/>
              <w:rPr>
                <w:rFonts w:ascii="Calibri" w:eastAsia="Calibri" w:hAnsi="Calibri" w:cs="Calibri"/>
                <w:sz w:val="20"/>
                <w:szCs w:val="20"/>
              </w:rPr>
            </w:pPr>
          </w:p>
        </w:tc>
        <w:tc>
          <w:tcPr>
            <w:tcW w:w="346" w:type="pct"/>
            <w:vAlign w:val="center"/>
          </w:tcPr>
          <w:p w14:paraId="4598C7A3" w14:textId="2A251057" w:rsidR="00A00025" w:rsidRPr="001C0C4B" w:rsidRDefault="00A00025" w:rsidP="00A00025">
            <w:pPr>
              <w:spacing w:after="120" w:line="276" w:lineRule="auto"/>
              <w:jc w:val="both"/>
              <w:rPr>
                <w:rFonts w:ascii="Calibri" w:eastAsia="Calibri" w:hAnsi="Calibri" w:cs="Calibri"/>
                <w:sz w:val="20"/>
                <w:szCs w:val="20"/>
              </w:rPr>
            </w:pPr>
          </w:p>
        </w:tc>
        <w:tc>
          <w:tcPr>
            <w:tcW w:w="297" w:type="pct"/>
            <w:vAlign w:val="center"/>
          </w:tcPr>
          <w:p w14:paraId="112F8F23" w14:textId="77777777" w:rsidR="00A00025" w:rsidRPr="001C0C4B" w:rsidRDefault="00A00025" w:rsidP="00A00025">
            <w:pPr>
              <w:spacing w:after="120" w:line="276" w:lineRule="auto"/>
              <w:jc w:val="both"/>
              <w:rPr>
                <w:rFonts w:ascii="Calibri" w:eastAsia="Calibri" w:hAnsi="Calibri" w:cs="Calibri"/>
                <w:sz w:val="20"/>
                <w:szCs w:val="20"/>
              </w:rPr>
            </w:pPr>
          </w:p>
        </w:tc>
        <w:tc>
          <w:tcPr>
            <w:tcW w:w="602" w:type="pct"/>
          </w:tcPr>
          <w:p w14:paraId="4A84F71E"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4DCFD93E" w14:textId="6A0922DF" w:rsidTr="00B475D8">
        <w:trPr>
          <w:trHeight w:val="525"/>
        </w:trPr>
        <w:tc>
          <w:tcPr>
            <w:tcW w:w="739" w:type="pct"/>
            <w:gridSpan w:val="2"/>
            <w:vAlign w:val="center"/>
          </w:tcPr>
          <w:p w14:paraId="265ADA70" w14:textId="6AF0C8DC" w:rsidR="00A00025" w:rsidRPr="001C0C4B" w:rsidRDefault="00A00025" w:rsidP="00A00025">
            <w:pPr>
              <w:rPr>
                <w:rFonts w:ascii="Calibri" w:eastAsia="Calibri" w:hAnsi="Calibri" w:cs="Calibri"/>
                <w:i/>
                <w:iCs/>
                <w:sz w:val="20"/>
                <w:szCs w:val="20"/>
              </w:rPr>
            </w:pPr>
            <w:r w:rsidRPr="001C0C4B">
              <w:rPr>
                <w:rFonts w:ascii="Calibri" w:eastAsia="Calibri" w:hAnsi="Calibri" w:cs="Calibri"/>
                <w:i/>
                <w:iCs/>
                <w:sz w:val="20"/>
                <w:szCs w:val="20"/>
              </w:rPr>
              <w:t>Baseline information captured (inc symptoms, physical exam, vital signs, ECG and POC antibody test)</w:t>
            </w:r>
          </w:p>
        </w:tc>
        <w:tc>
          <w:tcPr>
            <w:tcW w:w="334" w:type="pct"/>
            <w:vAlign w:val="center"/>
          </w:tcPr>
          <w:p w14:paraId="067AB536" w14:textId="77777777"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p>
        </w:tc>
        <w:tc>
          <w:tcPr>
            <w:tcW w:w="240" w:type="pct"/>
            <w:vAlign w:val="center"/>
          </w:tcPr>
          <w:p w14:paraId="2C8686C6" w14:textId="77777777" w:rsidR="00A00025" w:rsidRPr="001C0C4B" w:rsidRDefault="00A00025" w:rsidP="00A00025">
            <w:pPr>
              <w:spacing w:after="120" w:line="276" w:lineRule="auto"/>
              <w:jc w:val="both"/>
              <w:rPr>
                <w:rFonts w:ascii="Calibri" w:eastAsia="Calibri" w:hAnsi="Calibri" w:cs="Calibri"/>
                <w:sz w:val="20"/>
                <w:szCs w:val="20"/>
              </w:rPr>
            </w:pPr>
          </w:p>
        </w:tc>
        <w:tc>
          <w:tcPr>
            <w:tcW w:w="240" w:type="pct"/>
          </w:tcPr>
          <w:p w14:paraId="7CC17137"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3FED2F93" w14:textId="17965181"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0946E57C" w14:textId="7777777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7FDE79AB"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14EE9B19"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20C0B8DE"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1C80EBA0"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18DC1DD6" w14:textId="77777777" w:rsidR="00A00025" w:rsidRPr="001C0C4B" w:rsidRDefault="00A00025" w:rsidP="00A00025">
            <w:pPr>
              <w:spacing w:after="120" w:line="276" w:lineRule="auto"/>
              <w:jc w:val="both"/>
              <w:rPr>
                <w:rFonts w:ascii="Calibri" w:eastAsia="Calibri" w:hAnsi="Calibri" w:cs="Calibri"/>
                <w:sz w:val="20"/>
                <w:szCs w:val="20"/>
              </w:rPr>
            </w:pPr>
          </w:p>
        </w:tc>
        <w:tc>
          <w:tcPr>
            <w:tcW w:w="297" w:type="pct"/>
          </w:tcPr>
          <w:p w14:paraId="473D2295" w14:textId="77777777" w:rsidR="00A00025" w:rsidRPr="001C0C4B" w:rsidRDefault="00A00025" w:rsidP="00A00025">
            <w:pPr>
              <w:spacing w:after="120" w:line="276" w:lineRule="auto"/>
              <w:jc w:val="both"/>
              <w:rPr>
                <w:rFonts w:ascii="Calibri" w:eastAsia="Calibri" w:hAnsi="Calibri" w:cs="Calibri"/>
                <w:sz w:val="20"/>
                <w:szCs w:val="20"/>
              </w:rPr>
            </w:pPr>
          </w:p>
        </w:tc>
        <w:tc>
          <w:tcPr>
            <w:tcW w:w="346" w:type="pct"/>
            <w:vAlign w:val="center"/>
          </w:tcPr>
          <w:p w14:paraId="4F7163DF" w14:textId="2BF092D1" w:rsidR="00A00025" w:rsidRPr="001C0C4B" w:rsidRDefault="00A00025" w:rsidP="00A00025">
            <w:pPr>
              <w:spacing w:after="120" w:line="276" w:lineRule="auto"/>
              <w:jc w:val="both"/>
              <w:rPr>
                <w:rFonts w:ascii="Calibri" w:eastAsia="Calibri" w:hAnsi="Calibri" w:cs="Calibri"/>
                <w:sz w:val="20"/>
                <w:szCs w:val="20"/>
              </w:rPr>
            </w:pPr>
          </w:p>
        </w:tc>
        <w:tc>
          <w:tcPr>
            <w:tcW w:w="297" w:type="pct"/>
            <w:vAlign w:val="center"/>
          </w:tcPr>
          <w:p w14:paraId="4C1146A4" w14:textId="77777777" w:rsidR="00A00025" w:rsidRPr="001C0C4B" w:rsidRDefault="00A00025" w:rsidP="00A00025">
            <w:pPr>
              <w:spacing w:after="120" w:line="276" w:lineRule="auto"/>
              <w:jc w:val="both"/>
              <w:rPr>
                <w:rFonts w:ascii="Calibri" w:eastAsia="Calibri" w:hAnsi="Calibri" w:cs="Calibri"/>
                <w:sz w:val="20"/>
                <w:szCs w:val="20"/>
              </w:rPr>
            </w:pPr>
          </w:p>
        </w:tc>
        <w:tc>
          <w:tcPr>
            <w:tcW w:w="602" w:type="pct"/>
          </w:tcPr>
          <w:p w14:paraId="7B8BB134"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590A5872" w14:textId="391A232F" w:rsidTr="00B475D8">
        <w:trPr>
          <w:trHeight w:val="525"/>
        </w:trPr>
        <w:tc>
          <w:tcPr>
            <w:tcW w:w="739" w:type="pct"/>
            <w:gridSpan w:val="2"/>
            <w:vAlign w:val="center"/>
          </w:tcPr>
          <w:p w14:paraId="503D6205" w14:textId="77777777" w:rsidR="00A00025" w:rsidRPr="001C0C4B" w:rsidRDefault="00A00025" w:rsidP="00A00025">
            <w:pPr>
              <w:jc w:val="both"/>
              <w:rPr>
                <w:rFonts w:ascii="Calibri" w:hAnsi="Calibri" w:cs="Calibri"/>
              </w:rPr>
            </w:pPr>
            <w:r w:rsidRPr="001C0C4B">
              <w:rPr>
                <w:rFonts w:ascii="Calibri" w:eastAsia="Calibri" w:hAnsi="Calibri" w:cs="Calibri"/>
                <w:i/>
                <w:iCs/>
                <w:sz w:val="20"/>
                <w:szCs w:val="20"/>
              </w:rPr>
              <w:t>Symptom checklist</w:t>
            </w:r>
          </w:p>
        </w:tc>
        <w:tc>
          <w:tcPr>
            <w:tcW w:w="334" w:type="pct"/>
            <w:vAlign w:val="center"/>
          </w:tcPr>
          <w:p w14:paraId="5DE637A0" w14:textId="6D0295F5" w:rsidR="00A00025" w:rsidRPr="001C0C4B" w:rsidRDefault="00A00025" w:rsidP="00A00025">
            <w:pPr>
              <w:spacing w:after="120" w:line="276" w:lineRule="auto"/>
              <w:jc w:val="both"/>
              <w:rPr>
                <w:rFonts w:ascii="Calibri" w:hAnsi="Calibri" w:cs="Calibri"/>
              </w:rPr>
            </w:pPr>
          </w:p>
        </w:tc>
        <w:tc>
          <w:tcPr>
            <w:tcW w:w="240" w:type="pct"/>
            <w:vAlign w:val="center"/>
          </w:tcPr>
          <w:p w14:paraId="63F0DED9" w14:textId="173FBE5C" w:rsidR="00A00025" w:rsidRPr="001C0C4B" w:rsidRDefault="00A00025" w:rsidP="00A00025">
            <w:pPr>
              <w:spacing w:after="120" w:line="276" w:lineRule="auto"/>
              <w:jc w:val="both"/>
              <w:rPr>
                <w:rFonts w:ascii="Calibri" w:hAnsi="Calibri" w:cs="Calibri"/>
              </w:rPr>
            </w:pPr>
          </w:p>
        </w:tc>
        <w:tc>
          <w:tcPr>
            <w:tcW w:w="240" w:type="pct"/>
            <w:vAlign w:val="center"/>
          </w:tcPr>
          <w:p w14:paraId="3561A99E" w14:textId="3B2E961D"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1</w:t>
            </w:r>
          </w:p>
        </w:tc>
        <w:tc>
          <w:tcPr>
            <w:tcW w:w="262" w:type="pct"/>
            <w:vAlign w:val="center"/>
          </w:tcPr>
          <w:p w14:paraId="2AA20FFD" w14:textId="79D32C91"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3" w:type="pct"/>
            <w:vAlign w:val="center"/>
          </w:tcPr>
          <w:p w14:paraId="264C18A1"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3" w:type="pct"/>
            <w:vAlign w:val="center"/>
          </w:tcPr>
          <w:p w14:paraId="5059A969"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1AC50194"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12DA5BD7"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5E020F1C"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100A945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vAlign w:val="center"/>
          </w:tcPr>
          <w:p w14:paraId="206793C2" w14:textId="043955A4" w:rsidR="00A00025" w:rsidRPr="001C0C4B" w:rsidRDefault="00355951"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p>
        </w:tc>
        <w:tc>
          <w:tcPr>
            <w:tcW w:w="346" w:type="pct"/>
            <w:vAlign w:val="center"/>
          </w:tcPr>
          <w:p w14:paraId="00EAA2E8" w14:textId="0F6492FC"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vAlign w:val="center"/>
          </w:tcPr>
          <w:p w14:paraId="44786011"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602" w:type="pct"/>
          </w:tcPr>
          <w:p w14:paraId="3AC48F53"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6C716753" w14:textId="21BB4769" w:rsidTr="00B475D8">
        <w:trPr>
          <w:trHeight w:val="525"/>
        </w:trPr>
        <w:tc>
          <w:tcPr>
            <w:tcW w:w="739" w:type="pct"/>
            <w:gridSpan w:val="2"/>
            <w:vAlign w:val="center"/>
          </w:tcPr>
          <w:p w14:paraId="7CF004C5" w14:textId="77777777" w:rsidR="00A00025" w:rsidRPr="001C0C4B" w:rsidRDefault="00A00025" w:rsidP="00A00025">
            <w:pPr>
              <w:jc w:val="both"/>
              <w:rPr>
                <w:rFonts w:ascii="Calibri" w:eastAsia="Calibri" w:hAnsi="Calibri" w:cs="Calibri"/>
                <w:i/>
                <w:iCs/>
                <w:sz w:val="20"/>
                <w:szCs w:val="20"/>
              </w:rPr>
            </w:pPr>
            <w:r w:rsidRPr="001C0C4B">
              <w:rPr>
                <w:rFonts w:ascii="Calibri" w:eastAsia="Calibri" w:hAnsi="Calibri" w:cs="Calibri"/>
                <w:i/>
                <w:iCs/>
                <w:sz w:val="20"/>
                <w:szCs w:val="20"/>
              </w:rPr>
              <w:t>Observed dose</w:t>
            </w:r>
          </w:p>
        </w:tc>
        <w:tc>
          <w:tcPr>
            <w:tcW w:w="334" w:type="pct"/>
            <w:vAlign w:val="center"/>
          </w:tcPr>
          <w:p w14:paraId="1EF40755" w14:textId="77777777" w:rsidR="00A00025" w:rsidRPr="001C0C4B" w:rsidRDefault="00A00025" w:rsidP="00A00025">
            <w:pPr>
              <w:spacing w:after="120" w:line="276" w:lineRule="auto"/>
              <w:jc w:val="both"/>
              <w:rPr>
                <w:rFonts w:ascii="Calibri" w:eastAsia="Calibri" w:hAnsi="Calibri" w:cs="Calibri"/>
                <w:sz w:val="20"/>
                <w:szCs w:val="20"/>
              </w:rPr>
            </w:pPr>
          </w:p>
        </w:tc>
        <w:tc>
          <w:tcPr>
            <w:tcW w:w="240" w:type="pct"/>
            <w:vAlign w:val="center"/>
          </w:tcPr>
          <w:p w14:paraId="12CA14D5" w14:textId="697F61A6"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1</w:t>
            </w:r>
          </w:p>
        </w:tc>
        <w:tc>
          <w:tcPr>
            <w:tcW w:w="240" w:type="pct"/>
          </w:tcPr>
          <w:p w14:paraId="5BB89B4C"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6D8DF7C2" w14:textId="37D5F75B"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1</w:t>
            </w:r>
          </w:p>
        </w:tc>
        <w:tc>
          <w:tcPr>
            <w:tcW w:w="273" w:type="pct"/>
            <w:vAlign w:val="center"/>
          </w:tcPr>
          <w:p w14:paraId="7A66B925" w14:textId="7828F464"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1</w:t>
            </w:r>
          </w:p>
        </w:tc>
        <w:tc>
          <w:tcPr>
            <w:tcW w:w="273" w:type="pct"/>
            <w:vAlign w:val="center"/>
          </w:tcPr>
          <w:p w14:paraId="51D9C164" w14:textId="38A3D9BF"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1</w:t>
            </w:r>
          </w:p>
        </w:tc>
        <w:tc>
          <w:tcPr>
            <w:tcW w:w="274" w:type="pct"/>
            <w:vAlign w:val="center"/>
          </w:tcPr>
          <w:p w14:paraId="29DD0A66" w14:textId="7894F1A0"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1</w:t>
            </w:r>
          </w:p>
        </w:tc>
        <w:tc>
          <w:tcPr>
            <w:tcW w:w="274" w:type="pct"/>
            <w:vAlign w:val="center"/>
          </w:tcPr>
          <w:p w14:paraId="1FE4A234" w14:textId="66F8596C"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1</w:t>
            </w:r>
          </w:p>
        </w:tc>
        <w:tc>
          <w:tcPr>
            <w:tcW w:w="274" w:type="pct"/>
            <w:vAlign w:val="center"/>
          </w:tcPr>
          <w:p w14:paraId="212F72BE" w14:textId="60D80BB7"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1</w:t>
            </w:r>
          </w:p>
        </w:tc>
        <w:tc>
          <w:tcPr>
            <w:tcW w:w="274" w:type="pct"/>
            <w:vAlign w:val="center"/>
          </w:tcPr>
          <w:p w14:paraId="3451B24C" w14:textId="77777777" w:rsidR="00A00025" w:rsidRPr="001C0C4B" w:rsidRDefault="00A00025" w:rsidP="00A00025">
            <w:pPr>
              <w:spacing w:after="120" w:line="276" w:lineRule="auto"/>
              <w:jc w:val="both"/>
              <w:rPr>
                <w:rFonts w:ascii="Calibri" w:eastAsia="Calibri" w:hAnsi="Calibri" w:cs="Calibri"/>
                <w:sz w:val="20"/>
                <w:szCs w:val="20"/>
              </w:rPr>
            </w:pPr>
          </w:p>
        </w:tc>
        <w:tc>
          <w:tcPr>
            <w:tcW w:w="297" w:type="pct"/>
          </w:tcPr>
          <w:p w14:paraId="4397B140" w14:textId="77777777" w:rsidR="00A00025" w:rsidRPr="001C0C4B" w:rsidRDefault="00A00025" w:rsidP="00A00025">
            <w:pPr>
              <w:spacing w:after="120" w:line="276" w:lineRule="auto"/>
              <w:jc w:val="both"/>
              <w:rPr>
                <w:rFonts w:ascii="Calibri" w:eastAsia="Calibri" w:hAnsi="Calibri" w:cs="Calibri"/>
                <w:sz w:val="20"/>
                <w:szCs w:val="20"/>
              </w:rPr>
            </w:pPr>
          </w:p>
        </w:tc>
        <w:tc>
          <w:tcPr>
            <w:tcW w:w="346" w:type="pct"/>
            <w:vAlign w:val="center"/>
          </w:tcPr>
          <w:p w14:paraId="3D31EE31" w14:textId="409C3485" w:rsidR="00A00025" w:rsidRPr="001C0C4B" w:rsidRDefault="00A00025" w:rsidP="00A00025">
            <w:pPr>
              <w:spacing w:after="120" w:line="276" w:lineRule="auto"/>
              <w:jc w:val="both"/>
              <w:rPr>
                <w:rFonts w:ascii="Calibri" w:eastAsia="Calibri" w:hAnsi="Calibri" w:cs="Calibri"/>
                <w:sz w:val="20"/>
                <w:szCs w:val="20"/>
              </w:rPr>
            </w:pPr>
          </w:p>
        </w:tc>
        <w:tc>
          <w:tcPr>
            <w:tcW w:w="297" w:type="pct"/>
            <w:vAlign w:val="center"/>
          </w:tcPr>
          <w:p w14:paraId="3F8BACCF" w14:textId="77777777" w:rsidR="00A00025" w:rsidRPr="001C0C4B" w:rsidRDefault="00A00025" w:rsidP="00A00025">
            <w:pPr>
              <w:spacing w:after="120" w:line="276" w:lineRule="auto"/>
              <w:jc w:val="both"/>
              <w:rPr>
                <w:rFonts w:ascii="Calibri" w:eastAsia="Calibri" w:hAnsi="Calibri" w:cs="Calibri"/>
                <w:sz w:val="20"/>
                <w:szCs w:val="20"/>
              </w:rPr>
            </w:pPr>
          </w:p>
        </w:tc>
        <w:tc>
          <w:tcPr>
            <w:tcW w:w="602" w:type="pct"/>
          </w:tcPr>
          <w:p w14:paraId="28AF3BF9"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35A62D28" w14:textId="659C751B" w:rsidTr="00B475D8">
        <w:trPr>
          <w:trHeight w:val="525"/>
        </w:trPr>
        <w:tc>
          <w:tcPr>
            <w:tcW w:w="739" w:type="pct"/>
            <w:gridSpan w:val="2"/>
            <w:vAlign w:val="center"/>
          </w:tcPr>
          <w:p w14:paraId="5041738F" w14:textId="2B808C48" w:rsidR="00A00025" w:rsidRPr="001C0C4B" w:rsidRDefault="00A00025" w:rsidP="00A00025">
            <w:pPr>
              <w:jc w:val="both"/>
              <w:rPr>
                <w:rFonts w:ascii="Calibri" w:eastAsia="Calibri" w:hAnsi="Calibri" w:cs="Calibri"/>
                <w:i/>
                <w:iCs/>
                <w:sz w:val="20"/>
                <w:szCs w:val="20"/>
              </w:rPr>
            </w:pPr>
            <w:r w:rsidRPr="001C0C4B">
              <w:rPr>
                <w:rFonts w:ascii="Calibri" w:eastAsia="Calibri" w:hAnsi="Calibri" w:cs="Calibri"/>
                <w:i/>
                <w:iCs/>
                <w:sz w:val="20"/>
                <w:szCs w:val="20"/>
              </w:rPr>
              <w:t>Observation post dose</w:t>
            </w:r>
          </w:p>
        </w:tc>
        <w:tc>
          <w:tcPr>
            <w:tcW w:w="334" w:type="pct"/>
            <w:vAlign w:val="center"/>
          </w:tcPr>
          <w:p w14:paraId="79FB1514" w14:textId="77777777" w:rsidR="00A00025" w:rsidRPr="001C0C4B" w:rsidRDefault="00A00025" w:rsidP="00A00025">
            <w:pPr>
              <w:spacing w:after="120" w:line="276" w:lineRule="auto"/>
              <w:jc w:val="both"/>
              <w:rPr>
                <w:rFonts w:ascii="Calibri" w:eastAsia="Calibri" w:hAnsi="Calibri" w:cs="Calibri"/>
                <w:sz w:val="20"/>
                <w:szCs w:val="20"/>
              </w:rPr>
            </w:pPr>
          </w:p>
        </w:tc>
        <w:tc>
          <w:tcPr>
            <w:tcW w:w="240" w:type="pct"/>
            <w:vAlign w:val="center"/>
          </w:tcPr>
          <w:p w14:paraId="3064A231" w14:textId="77777777" w:rsidR="00A00025" w:rsidRPr="001C0C4B" w:rsidRDefault="00A00025" w:rsidP="00A00025">
            <w:pPr>
              <w:spacing w:after="120" w:line="276" w:lineRule="auto"/>
              <w:jc w:val="both"/>
              <w:rPr>
                <w:rFonts w:ascii="Calibri" w:eastAsia="Calibri" w:hAnsi="Calibri" w:cs="Calibri"/>
                <w:sz w:val="20"/>
                <w:szCs w:val="20"/>
              </w:rPr>
            </w:pPr>
          </w:p>
        </w:tc>
        <w:tc>
          <w:tcPr>
            <w:tcW w:w="240" w:type="pct"/>
            <w:vAlign w:val="center"/>
          </w:tcPr>
          <w:p w14:paraId="1FAF0A71" w14:textId="714BDBE9"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1</w:t>
            </w:r>
          </w:p>
        </w:tc>
        <w:tc>
          <w:tcPr>
            <w:tcW w:w="262" w:type="pct"/>
            <w:vAlign w:val="center"/>
          </w:tcPr>
          <w:p w14:paraId="19306652" w14:textId="7777777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70D22663" w14:textId="7777777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4917928F"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285E55B0"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4609FD54"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084868CB"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5CE8EF16" w14:textId="77777777" w:rsidR="00A00025" w:rsidRPr="001C0C4B" w:rsidRDefault="00A00025" w:rsidP="00A00025">
            <w:pPr>
              <w:spacing w:after="120" w:line="276" w:lineRule="auto"/>
              <w:jc w:val="both"/>
              <w:rPr>
                <w:rFonts w:ascii="Calibri" w:eastAsia="Calibri" w:hAnsi="Calibri" w:cs="Calibri"/>
                <w:sz w:val="20"/>
                <w:szCs w:val="20"/>
              </w:rPr>
            </w:pPr>
          </w:p>
        </w:tc>
        <w:tc>
          <w:tcPr>
            <w:tcW w:w="297" w:type="pct"/>
          </w:tcPr>
          <w:p w14:paraId="669060D8" w14:textId="77777777" w:rsidR="00A00025" w:rsidRPr="001C0C4B" w:rsidRDefault="00A00025" w:rsidP="00A00025">
            <w:pPr>
              <w:spacing w:after="120" w:line="276" w:lineRule="auto"/>
              <w:jc w:val="both"/>
              <w:rPr>
                <w:rFonts w:ascii="Calibri" w:eastAsia="Calibri" w:hAnsi="Calibri" w:cs="Calibri"/>
                <w:sz w:val="20"/>
                <w:szCs w:val="20"/>
              </w:rPr>
            </w:pPr>
          </w:p>
        </w:tc>
        <w:tc>
          <w:tcPr>
            <w:tcW w:w="346" w:type="pct"/>
            <w:vAlign w:val="center"/>
          </w:tcPr>
          <w:p w14:paraId="6F2919CC" w14:textId="2D77C369" w:rsidR="00A00025" w:rsidRPr="001C0C4B" w:rsidRDefault="00A00025" w:rsidP="00A00025">
            <w:pPr>
              <w:spacing w:after="120" w:line="276" w:lineRule="auto"/>
              <w:jc w:val="both"/>
              <w:rPr>
                <w:rFonts w:ascii="Calibri" w:eastAsia="Calibri" w:hAnsi="Calibri" w:cs="Calibri"/>
                <w:sz w:val="20"/>
                <w:szCs w:val="20"/>
              </w:rPr>
            </w:pPr>
          </w:p>
        </w:tc>
        <w:tc>
          <w:tcPr>
            <w:tcW w:w="297" w:type="pct"/>
            <w:vAlign w:val="center"/>
          </w:tcPr>
          <w:p w14:paraId="16CF9C26" w14:textId="77777777" w:rsidR="00A00025" w:rsidRPr="001C0C4B" w:rsidRDefault="00A00025" w:rsidP="00A00025">
            <w:pPr>
              <w:spacing w:after="120" w:line="276" w:lineRule="auto"/>
              <w:jc w:val="both"/>
              <w:rPr>
                <w:rFonts w:ascii="Calibri" w:eastAsia="Calibri" w:hAnsi="Calibri" w:cs="Calibri"/>
                <w:sz w:val="20"/>
                <w:szCs w:val="20"/>
              </w:rPr>
            </w:pPr>
          </w:p>
        </w:tc>
        <w:tc>
          <w:tcPr>
            <w:tcW w:w="602" w:type="pct"/>
          </w:tcPr>
          <w:p w14:paraId="3E4568BF"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1F60A9C7" w14:textId="07D03C5C" w:rsidTr="00B475D8">
        <w:trPr>
          <w:trHeight w:val="525"/>
        </w:trPr>
        <w:tc>
          <w:tcPr>
            <w:tcW w:w="739" w:type="pct"/>
            <w:gridSpan w:val="2"/>
            <w:vAlign w:val="center"/>
          </w:tcPr>
          <w:p w14:paraId="5595CB18" w14:textId="77777777" w:rsidR="00A00025" w:rsidRPr="001C0C4B" w:rsidRDefault="00A00025" w:rsidP="00A00025">
            <w:pPr>
              <w:jc w:val="both"/>
              <w:rPr>
                <w:rFonts w:ascii="Calibri" w:hAnsi="Calibri" w:cs="Calibri"/>
              </w:rPr>
            </w:pPr>
            <w:r w:rsidRPr="001C0C4B">
              <w:rPr>
                <w:rFonts w:ascii="Calibri" w:eastAsia="Calibri" w:hAnsi="Calibri" w:cs="Calibri"/>
                <w:i/>
                <w:iCs/>
                <w:sz w:val="20"/>
                <w:szCs w:val="20"/>
              </w:rPr>
              <w:t>Temperature*</w:t>
            </w:r>
            <w:r w:rsidRPr="001C0C4B">
              <w:rPr>
                <w:rFonts w:ascii="Calibri" w:eastAsia="Calibri" w:hAnsi="Calibri" w:cs="Calibri"/>
                <w:sz w:val="20"/>
                <w:szCs w:val="20"/>
              </w:rPr>
              <w:t xml:space="preserve"> </w:t>
            </w:r>
          </w:p>
        </w:tc>
        <w:tc>
          <w:tcPr>
            <w:tcW w:w="334" w:type="pct"/>
            <w:vAlign w:val="center"/>
          </w:tcPr>
          <w:p w14:paraId="6E9D3FF1" w14:textId="037687B2" w:rsidR="00A00025" w:rsidRPr="001C0C4B" w:rsidRDefault="00A00025" w:rsidP="00A00025">
            <w:pPr>
              <w:spacing w:after="120" w:line="276" w:lineRule="auto"/>
              <w:jc w:val="both"/>
              <w:rPr>
                <w:rFonts w:ascii="Calibri" w:hAnsi="Calibri" w:cs="Calibri"/>
              </w:rPr>
            </w:pPr>
          </w:p>
        </w:tc>
        <w:tc>
          <w:tcPr>
            <w:tcW w:w="240" w:type="pct"/>
            <w:vAlign w:val="center"/>
          </w:tcPr>
          <w:p w14:paraId="21AAF3CB" w14:textId="75407AF2" w:rsidR="00A00025" w:rsidRPr="001C0C4B" w:rsidRDefault="00A00025" w:rsidP="00A00025">
            <w:pPr>
              <w:spacing w:after="120" w:line="276" w:lineRule="auto"/>
              <w:jc w:val="both"/>
              <w:rPr>
                <w:rFonts w:ascii="Calibri" w:hAnsi="Calibri" w:cs="Calibri"/>
              </w:rPr>
            </w:pPr>
          </w:p>
        </w:tc>
        <w:tc>
          <w:tcPr>
            <w:tcW w:w="240" w:type="pct"/>
          </w:tcPr>
          <w:p w14:paraId="1B5774BF" w14:textId="4A1AF78C" w:rsidR="00A00025" w:rsidRPr="001C0C4B" w:rsidRDefault="00A00025" w:rsidP="00A00025">
            <w:pPr>
              <w:spacing w:after="120" w:line="276" w:lineRule="auto"/>
              <w:rPr>
                <w:rFonts w:ascii="Calibri" w:eastAsia="Calibri" w:hAnsi="Calibri" w:cs="Calibri"/>
                <w:sz w:val="20"/>
                <w:szCs w:val="20"/>
              </w:rPr>
            </w:pPr>
            <w:r w:rsidRPr="001C0C4B">
              <w:rPr>
                <w:rFonts w:ascii="Calibri" w:eastAsia="Calibri" w:hAnsi="Calibri" w:cs="Calibri"/>
                <w:sz w:val="20"/>
                <w:szCs w:val="20"/>
              </w:rPr>
              <w:t>X</w:t>
            </w:r>
          </w:p>
        </w:tc>
        <w:tc>
          <w:tcPr>
            <w:tcW w:w="262" w:type="pct"/>
            <w:vAlign w:val="center"/>
          </w:tcPr>
          <w:p w14:paraId="3657744F" w14:textId="7CC48CB8"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3" w:type="pct"/>
            <w:vAlign w:val="center"/>
          </w:tcPr>
          <w:p w14:paraId="5415D211"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3" w:type="pct"/>
            <w:vAlign w:val="center"/>
          </w:tcPr>
          <w:p w14:paraId="6428A812"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06C4A8D6"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418DDB9B"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7A2E962F"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684470D9"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tcPr>
          <w:p w14:paraId="71252871" w14:textId="07784154" w:rsidR="00A00025" w:rsidRPr="001C0C4B" w:rsidRDefault="00A00025" w:rsidP="00A00025">
            <w:pPr>
              <w:spacing w:after="120" w:line="276" w:lineRule="auto"/>
              <w:jc w:val="both"/>
              <w:rPr>
                <w:rFonts w:ascii="Calibri" w:eastAsia="Calibri" w:hAnsi="Calibri" w:cs="Calibri"/>
                <w:sz w:val="20"/>
                <w:szCs w:val="20"/>
              </w:rPr>
            </w:pPr>
          </w:p>
        </w:tc>
        <w:tc>
          <w:tcPr>
            <w:tcW w:w="346" w:type="pct"/>
            <w:vAlign w:val="center"/>
          </w:tcPr>
          <w:p w14:paraId="24AA24B4" w14:textId="4BE0262B"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vAlign w:val="center"/>
          </w:tcPr>
          <w:p w14:paraId="2E4EC823"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602" w:type="pct"/>
          </w:tcPr>
          <w:p w14:paraId="5AA84826" w14:textId="77777777" w:rsidR="00A00025" w:rsidRPr="001C0C4B" w:rsidRDefault="00A00025" w:rsidP="00A00025">
            <w:pPr>
              <w:spacing w:after="120" w:line="276" w:lineRule="auto"/>
              <w:jc w:val="both"/>
              <w:rPr>
                <w:rFonts w:ascii="Calibri" w:eastAsia="Calibri" w:hAnsi="Calibri" w:cs="Calibri"/>
                <w:sz w:val="20"/>
                <w:szCs w:val="20"/>
              </w:rPr>
            </w:pPr>
          </w:p>
        </w:tc>
      </w:tr>
      <w:tr w:rsidR="001728D2" w:rsidRPr="001C0C4B" w14:paraId="7BEAB0BB" w14:textId="04E4B286" w:rsidTr="00D635DD">
        <w:trPr>
          <w:trHeight w:val="300"/>
        </w:trPr>
        <w:tc>
          <w:tcPr>
            <w:tcW w:w="739" w:type="pct"/>
            <w:gridSpan w:val="2"/>
            <w:vAlign w:val="center"/>
          </w:tcPr>
          <w:p w14:paraId="5A5E0092" w14:textId="77777777" w:rsidR="001728D2" w:rsidRPr="001C0C4B" w:rsidRDefault="001728D2" w:rsidP="00A00025">
            <w:pPr>
              <w:jc w:val="both"/>
              <w:rPr>
                <w:rFonts w:ascii="Calibri" w:hAnsi="Calibri" w:cs="Calibri"/>
              </w:rPr>
            </w:pPr>
            <w:r w:rsidRPr="001C0C4B">
              <w:rPr>
                <w:rFonts w:ascii="Calibri" w:eastAsia="Calibri" w:hAnsi="Calibri" w:cs="Calibri"/>
                <w:b/>
                <w:bCs/>
                <w:i/>
                <w:iCs/>
                <w:sz w:val="20"/>
                <w:szCs w:val="20"/>
              </w:rPr>
              <w:t>Virology</w:t>
            </w:r>
            <w:r w:rsidRPr="001C0C4B">
              <w:rPr>
                <w:rFonts w:ascii="Calibri" w:eastAsia="Calibri" w:hAnsi="Calibri" w:cs="Calibri"/>
                <w:sz w:val="20"/>
                <w:szCs w:val="20"/>
              </w:rPr>
              <w:t xml:space="preserve"> </w:t>
            </w:r>
          </w:p>
        </w:tc>
        <w:tc>
          <w:tcPr>
            <w:tcW w:w="4261" w:type="pct"/>
            <w:gridSpan w:val="14"/>
          </w:tcPr>
          <w:p w14:paraId="54A1748D" w14:textId="398D7BAD" w:rsidR="001728D2" w:rsidRPr="001C0C4B" w:rsidRDefault="001728D2" w:rsidP="00A00025">
            <w:pPr>
              <w:spacing w:after="120" w:line="276" w:lineRule="auto"/>
              <w:rPr>
                <w:rFonts w:ascii="Calibri" w:eastAsia="Calibri" w:hAnsi="Calibri" w:cs="Calibri"/>
              </w:rPr>
            </w:pPr>
            <w:r w:rsidRPr="001C0C4B">
              <w:rPr>
                <w:rFonts w:ascii="Calibri" w:eastAsia="Calibri" w:hAnsi="Calibri" w:cs="Calibri"/>
              </w:rPr>
              <w:t xml:space="preserve">  </w:t>
            </w:r>
          </w:p>
        </w:tc>
      </w:tr>
      <w:tr w:rsidR="00B475D8" w:rsidRPr="001C0C4B" w14:paraId="2ABC185B" w14:textId="51013610" w:rsidTr="00B475D8">
        <w:trPr>
          <w:trHeight w:val="525"/>
        </w:trPr>
        <w:tc>
          <w:tcPr>
            <w:tcW w:w="739" w:type="pct"/>
            <w:gridSpan w:val="2"/>
            <w:vAlign w:val="center"/>
          </w:tcPr>
          <w:p w14:paraId="758AE473" w14:textId="77777777" w:rsidR="00B475D8" w:rsidRPr="001C0C4B" w:rsidRDefault="00B475D8" w:rsidP="00B475D8">
            <w:pPr>
              <w:jc w:val="both"/>
              <w:rPr>
                <w:rFonts w:ascii="Calibri" w:hAnsi="Calibri" w:cs="Calibri"/>
              </w:rPr>
            </w:pPr>
            <w:r w:rsidRPr="001C0C4B">
              <w:rPr>
                <w:rFonts w:ascii="Calibri" w:eastAsia="Calibri" w:hAnsi="Calibri" w:cs="Calibri"/>
                <w:i/>
                <w:iCs/>
                <w:sz w:val="20"/>
                <w:szCs w:val="20"/>
              </w:rPr>
              <w:t>Oropharyngeal swabs**</w:t>
            </w:r>
            <w:r w:rsidRPr="001C0C4B">
              <w:rPr>
                <w:rFonts w:ascii="Calibri" w:eastAsia="Calibri" w:hAnsi="Calibri" w:cs="Calibri"/>
                <w:sz w:val="20"/>
                <w:szCs w:val="20"/>
              </w:rPr>
              <w:t xml:space="preserve"> </w:t>
            </w:r>
          </w:p>
        </w:tc>
        <w:tc>
          <w:tcPr>
            <w:tcW w:w="334" w:type="pct"/>
            <w:vAlign w:val="center"/>
          </w:tcPr>
          <w:p w14:paraId="6C6B0CFB" w14:textId="77777777"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40" w:type="pct"/>
            <w:vAlign w:val="center"/>
          </w:tcPr>
          <w:p w14:paraId="61DDE71A" w14:textId="77777777"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40" w:type="pct"/>
          </w:tcPr>
          <w:p w14:paraId="3ADEF37B" w14:textId="0158DAB1" w:rsidR="00B475D8" w:rsidRPr="001C0C4B" w:rsidRDefault="00B475D8" w:rsidP="00B475D8">
            <w:pPr>
              <w:spacing w:after="120" w:line="276" w:lineRule="auto"/>
              <w:jc w:val="both"/>
              <w:rPr>
                <w:rFonts w:ascii="Calibri" w:eastAsia="Calibri" w:hAnsi="Calibri" w:cs="Calibri"/>
                <w:sz w:val="20"/>
                <w:szCs w:val="20"/>
              </w:rPr>
            </w:pPr>
          </w:p>
        </w:tc>
        <w:tc>
          <w:tcPr>
            <w:tcW w:w="262" w:type="pct"/>
            <w:vAlign w:val="center"/>
          </w:tcPr>
          <w:p w14:paraId="18F7BC45" w14:textId="447796BF"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3" w:type="pct"/>
            <w:vAlign w:val="center"/>
          </w:tcPr>
          <w:p w14:paraId="72FE6526" w14:textId="77777777"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3" w:type="pct"/>
            <w:vAlign w:val="center"/>
          </w:tcPr>
          <w:p w14:paraId="247B6AF4" w14:textId="77777777"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2DC2C7C4" w14:textId="77777777"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24767BBA" w14:textId="77777777"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70755A05" w14:textId="77777777"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610B6EA5" w14:textId="77777777"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vAlign w:val="center"/>
          </w:tcPr>
          <w:p w14:paraId="70D1A79D" w14:textId="01096472" w:rsidR="00B475D8" w:rsidRPr="001C0C4B" w:rsidRDefault="00B475D8" w:rsidP="00B475D8">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 xml:space="preserve">X </w:t>
            </w:r>
          </w:p>
        </w:tc>
        <w:tc>
          <w:tcPr>
            <w:tcW w:w="346" w:type="pct"/>
            <w:vAlign w:val="center"/>
          </w:tcPr>
          <w:p w14:paraId="0EA0A176" w14:textId="1FB15334"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 X</w:t>
            </w:r>
          </w:p>
        </w:tc>
        <w:tc>
          <w:tcPr>
            <w:tcW w:w="297" w:type="pct"/>
            <w:vAlign w:val="center"/>
          </w:tcPr>
          <w:p w14:paraId="435EE676" w14:textId="77777777" w:rsidR="00B475D8" w:rsidRPr="001C0C4B" w:rsidRDefault="00B475D8" w:rsidP="00B475D8">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602" w:type="pct"/>
          </w:tcPr>
          <w:p w14:paraId="3683F2C8" w14:textId="1BE66B26" w:rsidR="00B475D8" w:rsidRPr="001C0C4B" w:rsidRDefault="00B475D8" w:rsidP="00B475D8">
            <w:pPr>
              <w:spacing w:before="60" w:after="120" w:line="276" w:lineRule="auto"/>
              <w:jc w:val="both"/>
              <w:rPr>
                <w:rFonts w:ascii="Calibri" w:eastAsia="Calibri" w:hAnsi="Calibri" w:cs="Calibri"/>
                <w:sz w:val="20"/>
                <w:szCs w:val="20"/>
              </w:rPr>
            </w:pPr>
            <w:r w:rsidRPr="001C0C4B">
              <w:rPr>
                <w:rFonts w:ascii="Calibri" w:eastAsia="Calibri" w:hAnsi="Calibri" w:cs="Calibri"/>
                <w:sz w:val="20"/>
                <w:szCs w:val="20"/>
              </w:rPr>
              <w:t>X</w:t>
            </w:r>
          </w:p>
        </w:tc>
      </w:tr>
      <w:tr w:rsidR="001728D2" w:rsidRPr="001C0C4B" w14:paraId="1954F999" w14:textId="7F05BCDE" w:rsidTr="00D635DD">
        <w:trPr>
          <w:trHeight w:val="300"/>
        </w:trPr>
        <w:tc>
          <w:tcPr>
            <w:tcW w:w="739" w:type="pct"/>
            <w:gridSpan w:val="2"/>
            <w:vAlign w:val="center"/>
          </w:tcPr>
          <w:p w14:paraId="0CFF2C96" w14:textId="77777777" w:rsidR="001728D2" w:rsidRPr="001C0C4B" w:rsidRDefault="001728D2" w:rsidP="00A00025">
            <w:pPr>
              <w:jc w:val="both"/>
              <w:rPr>
                <w:rFonts w:ascii="Calibri" w:hAnsi="Calibri" w:cs="Calibri"/>
              </w:rPr>
            </w:pPr>
            <w:r w:rsidRPr="001C0C4B">
              <w:rPr>
                <w:rFonts w:ascii="Calibri" w:eastAsia="Calibri" w:hAnsi="Calibri" w:cs="Calibri"/>
                <w:b/>
                <w:bCs/>
                <w:i/>
                <w:iCs/>
                <w:sz w:val="20"/>
                <w:szCs w:val="20"/>
              </w:rPr>
              <w:t>Bloods</w:t>
            </w:r>
            <w:r w:rsidRPr="001C0C4B">
              <w:rPr>
                <w:rFonts w:ascii="Calibri" w:eastAsia="Calibri" w:hAnsi="Calibri" w:cs="Calibri"/>
                <w:sz w:val="20"/>
                <w:szCs w:val="20"/>
              </w:rPr>
              <w:t xml:space="preserve"> </w:t>
            </w:r>
          </w:p>
        </w:tc>
        <w:tc>
          <w:tcPr>
            <w:tcW w:w="4261" w:type="pct"/>
            <w:gridSpan w:val="14"/>
          </w:tcPr>
          <w:p w14:paraId="1A2B852A" w14:textId="361814F1" w:rsidR="001728D2" w:rsidRPr="001C0C4B" w:rsidRDefault="001728D2" w:rsidP="00A00025">
            <w:pPr>
              <w:spacing w:after="120" w:line="276" w:lineRule="auto"/>
              <w:jc w:val="both"/>
              <w:rPr>
                <w:rFonts w:ascii="Calibri" w:eastAsia="Calibri" w:hAnsi="Calibri" w:cs="Calibri"/>
              </w:rPr>
            </w:pPr>
            <w:r w:rsidRPr="001C0C4B">
              <w:rPr>
                <w:rFonts w:ascii="Calibri" w:eastAsia="Calibri" w:hAnsi="Calibri" w:cs="Calibri"/>
              </w:rPr>
              <w:t xml:space="preserve">  </w:t>
            </w:r>
          </w:p>
        </w:tc>
      </w:tr>
      <w:tr w:rsidR="005B0344" w:rsidRPr="001C0C4B" w14:paraId="02F037C5" w14:textId="12A0611F" w:rsidTr="00B475D8">
        <w:trPr>
          <w:trHeight w:val="375"/>
        </w:trPr>
        <w:tc>
          <w:tcPr>
            <w:tcW w:w="739" w:type="pct"/>
            <w:gridSpan w:val="2"/>
            <w:vAlign w:val="center"/>
          </w:tcPr>
          <w:p w14:paraId="6BF82D95" w14:textId="77777777" w:rsidR="00A00025" w:rsidRPr="001C0C4B" w:rsidRDefault="00A00025" w:rsidP="00A00025">
            <w:pPr>
              <w:jc w:val="both"/>
              <w:rPr>
                <w:rFonts w:ascii="Calibri" w:hAnsi="Calibri" w:cs="Calibri"/>
              </w:rPr>
            </w:pPr>
            <w:r w:rsidRPr="001C0C4B">
              <w:rPr>
                <w:rFonts w:ascii="Calibri" w:eastAsia="Calibri" w:hAnsi="Calibri" w:cs="Calibri"/>
                <w:i/>
                <w:iCs/>
                <w:sz w:val="20"/>
                <w:szCs w:val="20"/>
              </w:rPr>
              <w:t>FBC+diff</w:t>
            </w:r>
            <w:r w:rsidRPr="001C0C4B">
              <w:rPr>
                <w:rFonts w:ascii="Calibri" w:eastAsia="Calibri" w:hAnsi="Calibri" w:cs="Calibri"/>
                <w:sz w:val="20"/>
                <w:szCs w:val="20"/>
              </w:rPr>
              <w:t xml:space="preserve"> </w:t>
            </w:r>
          </w:p>
        </w:tc>
        <w:tc>
          <w:tcPr>
            <w:tcW w:w="334" w:type="pct"/>
            <w:vAlign w:val="center"/>
          </w:tcPr>
          <w:p w14:paraId="2AF9A684" w14:textId="0FF1D40E"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X</w:t>
            </w:r>
            <w:r w:rsidRPr="001C0C4B">
              <w:rPr>
                <w:rFonts w:ascii="Calibri" w:eastAsia="Calibri" w:hAnsi="Calibri" w:cs="Calibri"/>
                <w:sz w:val="20"/>
                <w:szCs w:val="20"/>
                <w:vertAlign w:val="superscript"/>
              </w:rPr>
              <w:t>2</w:t>
            </w:r>
          </w:p>
        </w:tc>
        <w:tc>
          <w:tcPr>
            <w:tcW w:w="240" w:type="pct"/>
            <w:vAlign w:val="center"/>
          </w:tcPr>
          <w:p w14:paraId="4675D352"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40" w:type="pct"/>
          </w:tcPr>
          <w:p w14:paraId="4BE24E02"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3138C190" w14:textId="3A759502"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696683C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1CDB7584"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X </w:t>
            </w:r>
          </w:p>
        </w:tc>
        <w:tc>
          <w:tcPr>
            <w:tcW w:w="274" w:type="pct"/>
            <w:vAlign w:val="center"/>
          </w:tcPr>
          <w:p w14:paraId="2A381036"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43D2B77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05D62861"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03D7CF48"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tcPr>
          <w:p w14:paraId="069E5F84" w14:textId="77777777" w:rsidR="00A00025" w:rsidRPr="001C0C4B" w:rsidRDefault="00A00025" w:rsidP="00A00025">
            <w:pPr>
              <w:spacing w:after="120" w:line="276" w:lineRule="auto"/>
              <w:jc w:val="both"/>
              <w:rPr>
                <w:rFonts w:ascii="Calibri" w:hAnsi="Calibri" w:cs="Calibri"/>
                <w:sz w:val="20"/>
                <w:szCs w:val="20"/>
              </w:rPr>
            </w:pPr>
          </w:p>
        </w:tc>
        <w:tc>
          <w:tcPr>
            <w:tcW w:w="346" w:type="pct"/>
            <w:vAlign w:val="center"/>
          </w:tcPr>
          <w:p w14:paraId="0937BFEC" w14:textId="6AE24C84" w:rsidR="00A00025" w:rsidRPr="001C0C4B" w:rsidRDefault="00A00025" w:rsidP="00A00025">
            <w:pPr>
              <w:spacing w:after="120" w:line="276" w:lineRule="auto"/>
              <w:jc w:val="both"/>
              <w:rPr>
                <w:rFonts w:ascii="Calibri" w:hAnsi="Calibri" w:cs="Calibri"/>
                <w:sz w:val="20"/>
                <w:szCs w:val="20"/>
              </w:rPr>
            </w:pPr>
            <w:r w:rsidRPr="001C0C4B">
              <w:rPr>
                <w:rFonts w:ascii="Calibri" w:hAnsi="Calibri" w:cs="Calibri"/>
                <w:sz w:val="20"/>
                <w:szCs w:val="20"/>
              </w:rPr>
              <w:t>X</w:t>
            </w:r>
          </w:p>
        </w:tc>
        <w:tc>
          <w:tcPr>
            <w:tcW w:w="297" w:type="pct"/>
            <w:vAlign w:val="center"/>
          </w:tcPr>
          <w:p w14:paraId="3ACA6E24"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602" w:type="pct"/>
          </w:tcPr>
          <w:p w14:paraId="2DBA92F7"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03D78E7F" w14:textId="69A4EA1D" w:rsidTr="00B475D8">
        <w:trPr>
          <w:trHeight w:val="795"/>
        </w:trPr>
        <w:tc>
          <w:tcPr>
            <w:tcW w:w="739" w:type="pct"/>
            <w:gridSpan w:val="2"/>
            <w:vAlign w:val="center"/>
          </w:tcPr>
          <w:p w14:paraId="54982821" w14:textId="77777777" w:rsidR="00A00025" w:rsidRPr="001C0C4B" w:rsidRDefault="00A00025" w:rsidP="00A00025">
            <w:pPr>
              <w:jc w:val="both"/>
              <w:rPr>
                <w:rFonts w:ascii="Calibri" w:hAnsi="Calibri" w:cs="Calibri"/>
              </w:rPr>
            </w:pPr>
            <w:r w:rsidRPr="001C0C4B">
              <w:rPr>
                <w:rFonts w:ascii="Calibri" w:eastAsia="Calibri" w:hAnsi="Calibri" w:cs="Calibri"/>
                <w:i/>
                <w:iCs/>
                <w:sz w:val="20"/>
                <w:szCs w:val="20"/>
              </w:rPr>
              <w:lastRenderedPageBreak/>
              <w:t>Biochemistry (including U&amp;Es, LFTs LDH)</w:t>
            </w:r>
            <w:r w:rsidRPr="001C0C4B">
              <w:rPr>
                <w:rFonts w:ascii="Calibri" w:eastAsia="Calibri" w:hAnsi="Calibri" w:cs="Calibri"/>
                <w:sz w:val="20"/>
                <w:szCs w:val="20"/>
              </w:rPr>
              <w:t xml:space="preserve"> </w:t>
            </w:r>
          </w:p>
        </w:tc>
        <w:tc>
          <w:tcPr>
            <w:tcW w:w="334" w:type="pct"/>
            <w:vAlign w:val="center"/>
          </w:tcPr>
          <w:p w14:paraId="6C48503B" w14:textId="593C8F44"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2</w:t>
            </w:r>
          </w:p>
        </w:tc>
        <w:tc>
          <w:tcPr>
            <w:tcW w:w="240" w:type="pct"/>
            <w:vAlign w:val="center"/>
          </w:tcPr>
          <w:p w14:paraId="2D3ADAE6"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40" w:type="pct"/>
          </w:tcPr>
          <w:p w14:paraId="2B846CD0"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45EC7FF2" w14:textId="7DA7DADE"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1CF55151"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0A3D4135"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6AFB4B3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4582842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3B15BFE3"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4C6F45E0"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tcPr>
          <w:p w14:paraId="44EFF2EE" w14:textId="77777777" w:rsidR="00A00025" w:rsidRPr="001C0C4B" w:rsidRDefault="00A00025" w:rsidP="00A00025">
            <w:pPr>
              <w:spacing w:after="120" w:line="276" w:lineRule="auto"/>
              <w:jc w:val="both"/>
              <w:rPr>
                <w:rFonts w:ascii="Calibri" w:hAnsi="Calibri" w:cs="Calibri"/>
                <w:sz w:val="20"/>
                <w:szCs w:val="20"/>
              </w:rPr>
            </w:pPr>
          </w:p>
        </w:tc>
        <w:tc>
          <w:tcPr>
            <w:tcW w:w="346" w:type="pct"/>
            <w:vAlign w:val="center"/>
          </w:tcPr>
          <w:p w14:paraId="63D8771E" w14:textId="04C2EC4D" w:rsidR="00A00025" w:rsidRPr="001C0C4B" w:rsidRDefault="00A00025" w:rsidP="00A00025">
            <w:pPr>
              <w:spacing w:after="120" w:line="276" w:lineRule="auto"/>
              <w:jc w:val="both"/>
              <w:rPr>
                <w:rFonts w:ascii="Calibri" w:hAnsi="Calibri" w:cs="Calibri"/>
                <w:sz w:val="20"/>
                <w:szCs w:val="20"/>
              </w:rPr>
            </w:pPr>
            <w:r w:rsidRPr="001C0C4B">
              <w:rPr>
                <w:rFonts w:ascii="Calibri" w:hAnsi="Calibri" w:cs="Calibri"/>
                <w:sz w:val="20"/>
                <w:szCs w:val="20"/>
              </w:rPr>
              <w:t>X</w:t>
            </w:r>
          </w:p>
        </w:tc>
        <w:tc>
          <w:tcPr>
            <w:tcW w:w="297" w:type="pct"/>
            <w:vAlign w:val="center"/>
          </w:tcPr>
          <w:p w14:paraId="025EA473"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602" w:type="pct"/>
          </w:tcPr>
          <w:p w14:paraId="76B65950"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466D262C" w14:textId="4C8D38CA" w:rsidTr="00B475D8">
        <w:trPr>
          <w:trHeight w:val="375"/>
        </w:trPr>
        <w:tc>
          <w:tcPr>
            <w:tcW w:w="739" w:type="pct"/>
            <w:gridSpan w:val="2"/>
            <w:vAlign w:val="center"/>
          </w:tcPr>
          <w:p w14:paraId="7F8252E3" w14:textId="77777777" w:rsidR="00A00025" w:rsidRPr="001C0C4B" w:rsidRDefault="00A00025" w:rsidP="00A00025">
            <w:pPr>
              <w:jc w:val="both"/>
              <w:rPr>
                <w:rFonts w:ascii="Calibri" w:eastAsia="Calibri" w:hAnsi="Calibri" w:cs="Calibri"/>
                <w:i/>
                <w:iCs/>
                <w:sz w:val="20"/>
                <w:szCs w:val="20"/>
              </w:rPr>
            </w:pPr>
            <w:r w:rsidRPr="001C0C4B">
              <w:rPr>
                <w:rFonts w:ascii="Calibri" w:eastAsia="Calibri" w:hAnsi="Calibri" w:cs="Calibri"/>
                <w:i/>
                <w:iCs/>
                <w:sz w:val="20"/>
                <w:szCs w:val="20"/>
              </w:rPr>
              <w:t>Fibrinogen/</w:t>
            </w:r>
          </w:p>
          <w:p w14:paraId="45B2BA81" w14:textId="77777777" w:rsidR="00A00025" w:rsidRPr="001C0C4B" w:rsidRDefault="00A00025" w:rsidP="00A00025">
            <w:pPr>
              <w:jc w:val="both"/>
              <w:rPr>
                <w:rFonts w:ascii="Calibri" w:hAnsi="Calibri" w:cs="Calibri"/>
              </w:rPr>
            </w:pPr>
            <w:r w:rsidRPr="001C0C4B">
              <w:rPr>
                <w:rFonts w:ascii="Calibri" w:eastAsia="Calibri" w:hAnsi="Calibri" w:cs="Calibri"/>
                <w:i/>
                <w:iCs/>
                <w:sz w:val="20"/>
                <w:szCs w:val="20"/>
              </w:rPr>
              <w:t>FDP</w:t>
            </w:r>
            <w:r w:rsidRPr="001C0C4B">
              <w:rPr>
                <w:rFonts w:ascii="Calibri" w:eastAsia="Calibri" w:hAnsi="Calibri" w:cs="Calibri"/>
                <w:sz w:val="20"/>
                <w:szCs w:val="20"/>
              </w:rPr>
              <w:t xml:space="preserve"> </w:t>
            </w:r>
          </w:p>
        </w:tc>
        <w:tc>
          <w:tcPr>
            <w:tcW w:w="334" w:type="pct"/>
            <w:vAlign w:val="center"/>
          </w:tcPr>
          <w:p w14:paraId="74A9AEB7"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X </w:t>
            </w:r>
          </w:p>
        </w:tc>
        <w:tc>
          <w:tcPr>
            <w:tcW w:w="240" w:type="pct"/>
            <w:vAlign w:val="center"/>
          </w:tcPr>
          <w:p w14:paraId="2CA0AA1A"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40" w:type="pct"/>
          </w:tcPr>
          <w:p w14:paraId="36A6A16F"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2AAA7898" w14:textId="0EA04C95"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68E12E31"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21B5F8E0"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X </w:t>
            </w:r>
          </w:p>
        </w:tc>
        <w:tc>
          <w:tcPr>
            <w:tcW w:w="274" w:type="pct"/>
            <w:vAlign w:val="center"/>
          </w:tcPr>
          <w:p w14:paraId="5D197281"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344AA37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2E6EF071"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710AE674"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tcPr>
          <w:p w14:paraId="034852AF" w14:textId="77777777" w:rsidR="00A00025" w:rsidRPr="001C0C4B" w:rsidRDefault="00A00025" w:rsidP="00A00025">
            <w:pPr>
              <w:spacing w:after="120" w:line="276" w:lineRule="auto"/>
              <w:jc w:val="both"/>
              <w:rPr>
                <w:rFonts w:ascii="Calibri" w:hAnsi="Calibri" w:cs="Calibri"/>
                <w:sz w:val="20"/>
                <w:szCs w:val="20"/>
              </w:rPr>
            </w:pPr>
          </w:p>
        </w:tc>
        <w:tc>
          <w:tcPr>
            <w:tcW w:w="346" w:type="pct"/>
            <w:vAlign w:val="center"/>
          </w:tcPr>
          <w:p w14:paraId="4A37F450" w14:textId="44476DB3" w:rsidR="00A00025" w:rsidRPr="001C0C4B" w:rsidRDefault="00A00025" w:rsidP="00A00025">
            <w:pPr>
              <w:spacing w:after="120" w:line="276" w:lineRule="auto"/>
              <w:jc w:val="both"/>
              <w:rPr>
                <w:rFonts w:ascii="Calibri" w:hAnsi="Calibri" w:cs="Calibri"/>
                <w:sz w:val="20"/>
                <w:szCs w:val="20"/>
              </w:rPr>
            </w:pPr>
            <w:r w:rsidRPr="001C0C4B">
              <w:rPr>
                <w:rFonts w:ascii="Calibri" w:hAnsi="Calibri" w:cs="Calibri"/>
                <w:sz w:val="20"/>
                <w:szCs w:val="20"/>
              </w:rPr>
              <w:t>X</w:t>
            </w:r>
          </w:p>
        </w:tc>
        <w:tc>
          <w:tcPr>
            <w:tcW w:w="297" w:type="pct"/>
            <w:vAlign w:val="center"/>
          </w:tcPr>
          <w:p w14:paraId="5FA48AC9"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602" w:type="pct"/>
          </w:tcPr>
          <w:p w14:paraId="60C8786B"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4C801573" w14:textId="05C09550" w:rsidTr="00B475D8">
        <w:trPr>
          <w:trHeight w:val="375"/>
        </w:trPr>
        <w:tc>
          <w:tcPr>
            <w:tcW w:w="739" w:type="pct"/>
            <w:gridSpan w:val="2"/>
            <w:vAlign w:val="center"/>
          </w:tcPr>
          <w:p w14:paraId="645E4810" w14:textId="77777777" w:rsidR="00A00025" w:rsidRPr="001C0C4B" w:rsidRDefault="00A00025" w:rsidP="00A00025">
            <w:pPr>
              <w:jc w:val="both"/>
              <w:rPr>
                <w:rFonts w:ascii="Calibri" w:hAnsi="Calibri" w:cs="Calibri"/>
              </w:rPr>
            </w:pPr>
            <w:r w:rsidRPr="001C0C4B">
              <w:rPr>
                <w:rFonts w:ascii="Calibri" w:eastAsia="Calibri" w:hAnsi="Calibri" w:cs="Calibri"/>
                <w:i/>
                <w:iCs/>
                <w:sz w:val="20"/>
                <w:szCs w:val="20"/>
              </w:rPr>
              <w:t>Ferritin</w:t>
            </w:r>
            <w:r w:rsidRPr="001C0C4B">
              <w:rPr>
                <w:rFonts w:ascii="Calibri" w:eastAsia="Calibri" w:hAnsi="Calibri" w:cs="Calibri"/>
                <w:sz w:val="20"/>
                <w:szCs w:val="20"/>
              </w:rPr>
              <w:t xml:space="preserve"> </w:t>
            </w:r>
          </w:p>
        </w:tc>
        <w:tc>
          <w:tcPr>
            <w:tcW w:w="334" w:type="pct"/>
            <w:vAlign w:val="center"/>
          </w:tcPr>
          <w:p w14:paraId="0FFF851A"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X </w:t>
            </w:r>
          </w:p>
        </w:tc>
        <w:tc>
          <w:tcPr>
            <w:tcW w:w="240" w:type="pct"/>
            <w:vAlign w:val="center"/>
          </w:tcPr>
          <w:p w14:paraId="58A1F083"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40" w:type="pct"/>
          </w:tcPr>
          <w:p w14:paraId="475F05CA"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5794C906" w14:textId="12CC6C2F"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01F0D98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0FD6BF0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X </w:t>
            </w:r>
          </w:p>
        </w:tc>
        <w:tc>
          <w:tcPr>
            <w:tcW w:w="274" w:type="pct"/>
            <w:vAlign w:val="center"/>
          </w:tcPr>
          <w:p w14:paraId="3C6C44D8"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2099EB43"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4BE3262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643C9F6E"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tcPr>
          <w:p w14:paraId="64D3097B" w14:textId="77777777" w:rsidR="00A00025" w:rsidRPr="001C0C4B" w:rsidRDefault="00A00025" w:rsidP="00A00025">
            <w:pPr>
              <w:spacing w:after="120" w:line="276" w:lineRule="auto"/>
              <w:jc w:val="both"/>
              <w:rPr>
                <w:rFonts w:ascii="Calibri" w:hAnsi="Calibri" w:cs="Calibri"/>
                <w:sz w:val="20"/>
                <w:szCs w:val="20"/>
              </w:rPr>
            </w:pPr>
          </w:p>
        </w:tc>
        <w:tc>
          <w:tcPr>
            <w:tcW w:w="346" w:type="pct"/>
            <w:vAlign w:val="center"/>
          </w:tcPr>
          <w:p w14:paraId="04BD2E4F" w14:textId="0898B136" w:rsidR="00A00025" w:rsidRPr="001C0C4B" w:rsidRDefault="00A00025" w:rsidP="00A00025">
            <w:pPr>
              <w:spacing w:after="120" w:line="276" w:lineRule="auto"/>
              <w:jc w:val="both"/>
              <w:rPr>
                <w:rFonts w:ascii="Calibri" w:hAnsi="Calibri" w:cs="Calibri"/>
                <w:sz w:val="20"/>
                <w:szCs w:val="20"/>
              </w:rPr>
            </w:pPr>
            <w:r w:rsidRPr="001C0C4B">
              <w:rPr>
                <w:rFonts w:ascii="Calibri" w:hAnsi="Calibri" w:cs="Calibri"/>
                <w:sz w:val="20"/>
                <w:szCs w:val="20"/>
              </w:rPr>
              <w:t>X</w:t>
            </w:r>
          </w:p>
        </w:tc>
        <w:tc>
          <w:tcPr>
            <w:tcW w:w="297" w:type="pct"/>
            <w:vAlign w:val="center"/>
          </w:tcPr>
          <w:p w14:paraId="68A63D07"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602" w:type="pct"/>
          </w:tcPr>
          <w:p w14:paraId="482CDBE1"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5C217016" w14:textId="7BFC1AF4" w:rsidTr="00B475D8">
        <w:trPr>
          <w:trHeight w:val="525"/>
        </w:trPr>
        <w:tc>
          <w:tcPr>
            <w:tcW w:w="739" w:type="pct"/>
            <w:gridSpan w:val="2"/>
            <w:vAlign w:val="center"/>
          </w:tcPr>
          <w:p w14:paraId="0A15277D" w14:textId="77777777" w:rsidR="00A00025" w:rsidRPr="001C0C4B" w:rsidRDefault="00A00025" w:rsidP="00A00025">
            <w:pPr>
              <w:jc w:val="both"/>
              <w:rPr>
                <w:rFonts w:ascii="Calibri" w:hAnsi="Calibri" w:cs="Calibri"/>
              </w:rPr>
            </w:pPr>
            <w:r w:rsidRPr="001C0C4B">
              <w:rPr>
                <w:rFonts w:ascii="Calibri" w:eastAsia="Calibri" w:hAnsi="Calibri" w:cs="Calibri"/>
                <w:i/>
                <w:iCs/>
                <w:sz w:val="20"/>
                <w:szCs w:val="20"/>
              </w:rPr>
              <w:t>TNF/IL-6/IL-1</w:t>
            </w:r>
            <w:r w:rsidRPr="001C0C4B">
              <w:rPr>
                <w:rFonts w:ascii="Calibri" w:eastAsia="Calibri" w:hAnsi="Calibri" w:cs="Calibri"/>
                <w:sz w:val="20"/>
                <w:szCs w:val="20"/>
              </w:rPr>
              <w:t xml:space="preserve"> </w:t>
            </w:r>
          </w:p>
        </w:tc>
        <w:tc>
          <w:tcPr>
            <w:tcW w:w="334" w:type="pct"/>
            <w:vAlign w:val="center"/>
          </w:tcPr>
          <w:p w14:paraId="6898A846"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X </w:t>
            </w:r>
          </w:p>
        </w:tc>
        <w:tc>
          <w:tcPr>
            <w:tcW w:w="240" w:type="pct"/>
            <w:vAlign w:val="center"/>
          </w:tcPr>
          <w:p w14:paraId="437C694D"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40" w:type="pct"/>
          </w:tcPr>
          <w:p w14:paraId="6BED450D"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16E07E66" w14:textId="4901FA54"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3D5DD736"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54160962"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X </w:t>
            </w:r>
          </w:p>
        </w:tc>
        <w:tc>
          <w:tcPr>
            <w:tcW w:w="274" w:type="pct"/>
            <w:vAlign w:val="center"/>
          </w:tcPr>
          <w:p w14:paraId="6C72DB7A"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0D5AC039"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6D8D0992"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56B50F16"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tcPr>
          <w:p w14:paraId="4E13A353" w14:textId="77777777" w:rsidR="00A00025" w:rsidRPr="001C0C4B" w:rsidRDefault="00A00025" w:rsidP="00A00025">
            <w:pPr>
              <w:spacing w:after="120" w:line="276" w:lineRule="auto"/>
              <w:jc w:val="both"/>
              <w:rPr>
                <w:rFonts w:ascii="Calibri" w:hAnsi="Calibri" w:cs="Calibri"/>
                <w:sz w:val="20"/>
                <w:szCs w:val="20"/>
              </w:rPr>
            </w:pPr>
          </w:p>
        </w:tc>
        <w:tc>
          <w:tcPr>
            <w:tcW w:w="346" w:type="pct"/>
            <w:vAlign w:val="center"/>
          </w:tcPr>
          <w:p w14:paraId="7B10B24E" w14:textId="0F1FB29B" w:rsidR="00A00025" w:rsidRPr="001C0C4B" w:rsidRDefault="00A00025" w:rsidP="00A00025">
            <w:pPr>
              <w:spacing w:after="120" w:line="276" w:lineRule="auto"/>
              <w:jc w:val="both"/>
              <w:rPr>
                <w:rFonts w:ascii="Calibri" w:hAnsi="Calibri" w:cs="Calibri"/>
                <w:sz w:val="20"/>
                <w:szCs w:val="20"/>
              </w:rPr>
            </w:pPr>
            <w:r w:rsidRPr="001C0C4B">
              <w:rPr>
                <w:rFonts w:ascii="Calibri" w:hAnsi="Calibri" w:cs="Calibri"/>
                <w:sz w:val="20"/>
                <w:szCs w:val="20"/>
              </w:rPr>
              <w:t>X</w:t>
            </w:r>
          </w:p>
        </w:tc>
        <w:tc>
          <w:tcPr>
            <w:tcW w:w="297" w:type="pct"/>
            <w:vAlign w:val="center"/>
          </w:tcPr>
          <w:p w14:paraId="4A954914"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602" w:type="pct"/>
          </w:tcPr>
          <w:p w14:paraId="11A30924"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3EBC2F4E" w14:textId="36A25F5A" w:rsidTr="00B475D8">
        <w:trPr>
          <w:trHeight w:val="525"/>
        </w:trPr>
        <w:tc>
          <w:tcPr>
            <w:tcW w:w="739" w:type="pct"/>
            <w:gridSpan w:val="2"/>
            <w:vAlign w:val="center"/>
          </w:tcPr>
          <w:p w14:paraId="09D5E472" w14:textId="1F1D317D" w:rsidR="00A00025" w:rsidRPr="001C0C4B" w:rsidRDefault="00A00025" w:rsidP="00A00025">
            <w:pPr>
              <w:jc w:val="both"/>
              <w:rPr>
                <w:rFonts w:ascii="Calibri" w:hAnsi="Calibri" w:cs="Calibri"/>
              </w:rPr>
            </w:pPr>
            <w:r w:rsidRPr="001C0C4B">
              <w:rPr>
                <w:rFonts w:ascii="Calibri" w:eastAsia="Calibri" w:hAnsi="Calibri" w:cs="Calibri"/>
                <w:i/>
                <w:iCs/>
                <w:sz w:val="20"/>
                <w:szCs w:val="20"/>
              </w:rPr>
              <w:t>Serology and stored sample</w:t>
            </w:r>
          </w:p>
        </w:tc>
        <w:tc>
          <w:tcPr>
            <w:tcW w:w="334" w:type="pct"/>
            <w:vAlign w:val="center"/>
          </w:tcPr>
          <w:p w14:paraId="6DA9A4D4"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40" w:type="pct"/>
            <w:vAlign w:val="center"/>
          </w:tcPr>
          <w:p w14:paraId="20255ACB"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40" w:type="pct"/>
          </w:tcPr>
          <w:p w14:paraId="7EC5350D"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5418E84D" w14:textId="3968A66B"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5A94A18C"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13064DF4"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X </w:t>
            </w:r>
          </w:p>
        </w:tc>
        <w:tc>
          <w:tcPr>
            <w:tcW w:w="274" w:type="pct"/>
            <w:vAlign w:val="center"/>
          </w:tcPr>
          <w:p w14:paraId="73E9582A"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59E82AE2"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3AC20209"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3FD4D641"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tcPr>
          <w:p w14:paraId="1C98D1DB" w14:textId="2B6EE498" w:rsidR="00A00025" w:rsidRPr="001C0C4B" w:rsidRDefault="00A00025" w:rsidP="00A00025">
            <w:pPr>
              <w:spacing w:after="120" w:line="276" w:lineRule="auto"/>
              <w:jc w:val="both"/>
              <w:rPr>
                <w:rFonts w:ascii="Calibri" w:hAnsi="Calibri" w:cs="Calibri"/>
                <w:sz w:val="20"/>
                <w:szCs w:val="20"/>
              </w:rPr>
            </w:pPr>
          </w:p>
        </w:tc>
        <w:tc>
          <w:tcPr>
            <w:tcW w:w="346" w:type="pct"/>
            <w:vAlign w:val="center"/>
          </w:tcPr>
          <w:p w14:paraId="632C6449" w14:textId="626D77C6" w:rsidR="00A00025" w:rsidRPr="001C0C4B" w:rsidRDefault="00A00025" w:rsidP="00A00025">
            <w:pPr>
              <w:spacing w:after="120" w:line="276" w:lineRule="auto"/>
              <w:jc w:val="both"/>
              <w:rPr>
                <w:rFonts w:ascii="Calibri" w:hAnsi="Calibri" w:cs="Calibri"/>
                <w:sz w:val="20"/>
                <w:szCs w:val="20"/>
              </w:rPr>
            </w:pPr>
            <w:r w:rsidRPr="001C0C4B">
              <w:rPr>
                <w:rFonts w:ascii="Calibri" w:hAnsi="Calibri" w:cs="Calibri"/>
                <w:sz w:val="20"/>
                <w:szCs w:val="20"/>
              </w:rPr>
              <w:t>X</w:t>
            </w:r>
          </w:p>
        </w:tc>
        <w:tc>
          <w:tcPr>
            <w:tcW w:w="297" w:type="pct"/>
            <w:vAlign w:val="center"/>
          </w:tcPr>
          <w:p w14:paraId="39103B35"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602" w:type="pct"/>
          </w:tcPr>
          <w:p w14:paraId="0E30DF28"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200CAF11" w14:textId="03EDC4BF" w:rsidTr="00B475D8">
        <w:trPr>
          <w:trHeight w:val="375"/>
        </w:trPr>
        <w:tc>
          <w:tcPr>
            <w:tcW w:w="739" w:type="pct"/>
            <w:gridSpan w:val="2"/>
            <w:vAlign w:val="center"/>
          </w:tcPr>
          <w:p w14:paraId="546F8F03" w14:textId="77777777" w:rsidR="00A00025" w:rsidRPr="001C0C4B" w:rsidRDefault="00A00025" w:rsidP="00A00025">
            <w:pPr>
              <w:jc w:val="both"/>
              <w:rPr>
                <w:rFonts w:ascii="Calibri" w:hAnsi="Calibri" w:cs="Calibri"/>
              </w:rPr>
            </w:pPr>
            <w:r w:rsidRPr="001C0C4B">
              <w:rPr>
                <w:rFonts w:ascii="Calibri" w:eastAsia="Calibri" w:hAnsi="Calibri" w:cs="Calibri"/>
                <w:i/>
                <w:iCs/>
                <w:sz w:val="20"/>
                <w:szCs w:val="20"/>
              </w:rPr>
              <w:t>Drug level</w:t>
            </w:r>
            <w:r w:rsidRPr="001C0C4B">
              <w:rPr>
                <w:rFonts w:ascii="Calibri" w:eastAsia="Calibri" w:hAnsi="Calibri" w:cs="Calibri"/>
                <w:sz w:val="20"/>
                <w:szCs w:val="20"/>
              </w:rPr>
              <w:t xml:space="preserve"> </w:t>
            </w:r>
          </w:p>
        </w:tc>
        <w:tc>
          <w:tcPr>
            <w:tcW w:w="334" w:type="pct"/>
            <w:vAlign w:val="center"/>
          </w:tcPr>
          <w:p w14:paraId="56CE5176"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40" w:type="pct"/>
            <w:vAlign w:val="center"/>
          </w:tcPr>
          <w:p w14:paraId="441800DF"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40" w:type="pct"/>
          </w:tcPr>
          <w:p w14:paraId="781DF88E"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67E63F27" w14:textId="4B618AFD"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0711BAB3"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3" w:type="pct"/>
            <w:vAlign w:val="center"/>
          </w:tcPr>
          <w:p w14:paraId="4E341E59"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74" w:type="pct"/>
            <w:vAlign w:val="center"/>
          </w:tcPr>
          <w:p w14:paraId="407D1473"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19864AA2"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4FE9EDEF"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274" w:type="pct"/>
            <w:vAlign w:val="center"/>
          </w:tcPr>
          <w:p w14:paraId="5C59D5CB"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X </w:t>
            </w:r>
          </w:p>
        </w:tc>
        <w:tc>
          <w:tcPr>
            <w:tcW w:w="297" w:type="pct"/>
          </w:tcPr>
          <w:p w14:paraId="72C6A79E" w14:textId="58447415" w:rsidR="00A00025" w:rsidRPr="001C0C4B" w:rsidRDefault="00A00025" w:rsidP="00A00025">
            <w:pPr>
              <w:spacing w:after="120" w:line="276" w:lineRule="auto"/>
              <w:jc w:val="both"/>
              <w:rPr>
                <w:rFonts w:ascii="Calibri" w:hAnsi="Calibri" w:cs="Calibri"/>
                <w:sz w:val="20"/>
                <w:szCs w:val="20"/>
              </w:rPr>
            </w:pPr>
          </w:p>
        </w:tc>
        <w:tc>
          <w:tcPr>
            <w:tcW w:w="346" w:type="pct"/>
            <w:vAlign w:val="center"/>
          </w:tcPr>
          <w:p w14:paraId="7D6BC321" w14:textId="2DB779C1" w:rsidR="00A00025" w:rsidRPr="001C0C4B" w:rsidRDefault="00A00025" w:rsidP="00A00025">
            <w:pPr>
              <w:spacing w:after="120" w:line="276" w:lineRule="auto"/>
              <w:jc w:val="both"/>
              <w:rPr>
                <w:rFonts w:ascii="Calibri" w:hAnsi="Calibri" w:cs="Calibri"/>
                <w:sz w:val="20"/>
                <w:szCs w:val="20"/>
              </w:rPr>
            </w:pPr>
            <w:r w:rsidRPr="001C0C4B">
              <w:rPr>
                <w:rFonts w:ascii="Calibri" w:hAnsi="Calibri" w:cs="Calibri"/>
                <w:sz w:val="20"/>
                <w:szCs w:val="20"/>
              </w:rPr>
              <w:t>X</w:t>
            </w:r>
          </w:p>
        </w:tc>
        <w:tc>
          <w:tcPr>
            <w:tcW w:w="297" w:type="pct"/>
            <w:vAlign w:val="center"/>
          </w:tcPr>
          <w:p w14:paraId="2A29C8E4" w14:textId="77777777" w:rsidR="00A00025" w:rsidRPr="001C0C4B" w:rsidRDefault="00A00025" w:rsidP="00A00025">
            <w:pPr>
              <w:spacing w:after="120" w:line="276" w:lineRule="auto"/>
              <w:jc w:val="both"/>
              <w:rPr>
                <w:rFonts w:ascii="Calibri" w:hAnsi="Calibri" w:cs="Calibri"/>
              </w:rPr>
            </w:pPr>
            <w:r w:rsidRPr="001C0C4B">
              <w:rPr>
                <w:rFonts w:ascii="Calibri" w:eastAsia="Calibri" w:hAnsi="Calibri" w:cs="Calibri"/>
                <w:sz w:val="20"/>
                <w:szCs w:val="20"/>
              </w:rPr>
              <w:t xml:space="preserve"> </w:t>
            </w:r>
          </w:p>
        </w:tc>
        <w:tc>
          <w:tcPr>
            <w:tcW w:w="602" w:type="pct"/>
          </w:tcPr>
          <w:p w14:paraId="53A1843D" w14:textId="77777777" w:rsidR="00A00025" w:rsidRPr="001C0C4B" w:rsidRDefault="00A00025" w:rsidP="00A00025">
            <w:pPr>
              <w:spacing w:after="120" w:line="276" w:lineRule="auto"/>
              <w:jc w:val="both"/>
              <w:rPr>
                <w:rFonts w:ascii="Calibri" w:eastAsia="Calibri" w:hAnsi="Calibri" w:cs="Calibri"/>
                <w:sz w:val="20"/>
                <w:szCs w:val="20"/>
              </w:rPr>
            </w:pPr>
          </w:p>
        </w:tc>
      </w:tr>
      <w:tr w:rsidR="005B0344" w:rsidRPr="001C0C4B" w14:paraId="3DE98FFB" w14:textId="765B027B" w:rsidTr="00B475D8">
        <w:trPr>
          <w:trHeight w:val="375"/>
        </w:trPr>
        <w:tc>
          <w:tcPr>
            <w:tcW w:w="739" w:type="pct"/>
            <w:gridSpan w:val="2"/>
            <w:vAlign w:val="center"/>
          </w:tcPr>
          <w:p w14:paraId="21A4E9A8" w14:textId="77777777" w:rsidR="00A00025" w:rsidRPr="001C0C4B" w:rsidRDefault="00A00025" w:rsidP="00A00025">
            <w:pPr>
              <w:jc w:val="both"/>
              <w:rPr>
                <w:rFonts w:ascii="Calibri" w:eastAsia="Calibri" w:hAnsi="Calibri" w:cs="Calibri"/>
                <w:i/>
                <w:iCs/>
                <w:sz w:val="20"/>
                <w:szCs w:val="20"/>
              </w:rPr>
            </w:pPr>
            <w:r w:rsidRPr="001C0C4B">
              <w:rPr>
                <w:rFonts w:ascii="Calibri" w:eastAsia="Calibri" w:hAnsi="Calibri" w:cs="Calibri"/>
                <w:i/>
                <w:iCs/>
                <w:sz w:val="20"/>
                <w:szCs w:val="20"/>
              </w:rPr>
              <w:t>Host genotyping</w:t>
            </w:r>
          </w:p>
        </w:tc>
        <w:tc>
          <w:tcPr>
            <w:tcW w:w="334" w:type="pct"/>
            <w:vAlign w:val="center"/>
          </w:tcPr>
          <w:p w14:paraId="4EA49AA3" w14:textId="77777777" w:rsidR="00A00025" w:rsidRPr="001C0C4B" w:rsidRDefault="00A00025" w:rsidP="00A00025">
            <w:pPr>
              <w:spacing w:after="120" w:line="276" w:lineRule="auto"/>
              <w:jc w:val="both"/>
              <w:rPr>
                <w:rFonts w:ascii="Calibri" w:eastAsia="Calibri" w:hAnsi="Calibri" w:cs="Calibri"/>
                <w:sz w:val="20"/>
                <w:szCs w:val="20"/>
              </w:rPr>
            </w:pPr>
            <w:r w:rsidRPr="001C0C4B">
              <w:rPr>
                <w:rFonts w:ascii="Calibri" w:eastAsia="Calibri" w:hAnsi="Calibri" w:cs="Calibri"/>
                <w:sz w:val="20"/>
                <w:szCs w:val="20"/>
              </w:rPr>
              <w:t>X</w:t>
            </w:r>
          </w:p>
        </w:tc>
        <w:tc>
          <w:tcPr>
            <w:tcW w:w="240" w:type="pct"/>
            <w:vAlign w:val="center"/>
          </w:tcPr>
          <w:p w14:paraId="1BCD396E" w14:textId="77777777" w:rsidR="00A00025" w:rsidRPr="001C0C4B" w:rsidRDefault="00A00025" w:rsidP="00A00025">
            <w:pPr>
              <w:spacing w:after="120" w:line="276" w:lineRule="auto"/>
              <w:jc w:val="both"/>
              <w:rPr>
                <w:rFonts w:ascii="Calibri" w:eastAsia="Calibri" w:hAnsi="Calibri" w:cs="Calibri"/>
                <w:sz w:val="20"/>
                <w:szCs w:val="20"/>
              </w:rPr>
            </w:pPr>
          </w:p>
        </w:tc>
        <w:tc>
          <w:tcPr>
            <w:tcW w:w="240" w:type="pct"/>
          </w:tcPr>
          <w:p w14:paraId="3E26B3F5" w14:textId="77777777" w:rsidR="00A00025" w:rsidRPr="001C0C4B" w:rsidRDefault="00A00025" w:rsidP="00A00025">
            <w:pPr>
              <w:spacing w:after="120" w:line="276" w:lineRule="auto"/>
              <w:jc w:val="both"/>
              <w:rPr>
                <w:rFonts w:ascii="Calibri" w:eastAsia="Calibri" w:hAnsi="Calibri" w:cs="Calibri"/>
                <w:sz w:val="20"/>
                <w:szCs w:val="20"/>
              </w:rPr>
            </w:pPr>
          </w:p>
        </w:tc>
        <w:tc>
          <w:tcPr>
            <w:tcW w:w="262" w:type="pct"/>
            <w:vAlign w:val="center"/>
          </w:tcPr>
          <w:p w14:paraId="2B20FF1D" w14:textId="23563B1E"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2BE7C052" w14:textId="77777777" w:rsidR="00A00025" w:rsidRPr="001C0C4B" w:rsidRDefault="00A00025" w:rsidP="00A00025">
            <w:pPr>
              <w:spacing w:after="120" w:line="276" w:lineRule="auto"/>
              <w:jc w:val="both"/>
              <w:rPr>
                <w:rFonts w:ascii="Calibri" w:eastAsia="Calibri" w:hAnsi="Calibri" w:cs="Calibri"/>
                <w:sz w:val="20"/>
                <w:szCs w:val="20"/>
              </w:rPr>
            </w:pPr>
          </w:p>
        </w:tc>
        <w:tc>
          <w:tcPr>
            <w:tcW w:w="273" w:type="pct"/>
            <w:vAlign w:val="center"/>
          </w:tcPr>
          <w:p w14:paraId="74C9D9E2" w14:textId="172B5344"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7EB8B9F8"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0FC35D80"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54E6BB76" w14:textId="77777777" w:rsidR="00A00025" w:rsidRPr="001C0C4B" w:rsidRDefault="00A00025" w:rsidP="00A00025">
            <w:pPr>
              <w:spacing w:after="120" w:line="276" w:lineRule="auto"/>
              <w:jc w:val="both"/>
              <w:rPr>
                <w:rFonts w:ascii="Calibri" w:eastAsia="Calibri" w:hAnsi="Calibri" w:cs="Calibri"/>
                <w:sz w:val="20"/>
                <w:szCs w:val="20"/>
              </w:rPr>
            </w:pPr>
          </w:p>
        </w:tc>
        <w:tc>
          <w:tcPr>
            <w:tcW w:w="274" w:type="pct"/>
            <w:vAlign w:val="center"/>
          </w:tcPr>
          <w:p w14:paraId="32B26E0B" w14:textId="7426045C" w:rsidR="00A00025" w:rsidRPr="001C0C4B" w:rsidRDefault="00A00025" w:rsidP="00A00025">
            <w:pPr>
              <w:spacing w:after="120" w:line="276" w:lineRule="auto"/>
              <w:jc w:val="both"/>
              <w:rPr>
                <w:rFonts w:ascii="Calibri" w:eastAsia="Calibri" w:hAnsi="Calibri" w:cs="Calibri"/>
                <w:sz w:val="20"/>
                <w:szCs w:val="20"/>
              </w:rPr>
            </w:pPr>
          </w:p>
        </w:tc>
        <w:tc>
          <w:tcPr>
            <w:tcW w:w="297" w:type="pct"/>
          </w:tcPr>
          <w:p w14:paraId="48F8C2A9" w14:textId="77777777" w:rsidR="00A00025" w:rsidRPr="001C0C4B" w:rsidRDefault="00A00025" w:rsidP="00A00025">
            <w:pPr>
              <w:spacing w:after="120" w:line="276" w:lineRule="auto"/>
              <w:jc w:val="both"/>
              <w:rPr>
                <w:rFonts w:ascii="Calibri" w:eastAsia="Calibri" w:hAnsi="Calibri" w:cs="Calibri"/>
                <w:sz w:val="28"/>
                <w:szCs w:val="28"/>
              </w:rPr>
            </w:pPr>
          </w:p>
        </w:tc>
        <w:tc>
          <w:tcPr>
            <w:tcW w:w="346" w:type="pct"/>
            <w:vAlign w:val="center"/>
          </w:tcPr>
          <w:p w14:paraId="02345D1D" w14:textId="4A1955AE" w:rsidR="00A00025" w:rsidRPr="001C0C4B" w:rsidRDefault="00A00025" w:rsidP="00A00025">
            <w:pPr>
              <w:spacing w:after="120" w:line="276" w:lineRule="auto"/>
              <w:jc w:val="both"/>
              <w:rPr>
                <w:rFonts w:ascii="Calibri" w:eastAsia="Calibri" w:hAnsi="Calibri" w:cs="Calibri"/>
                <w:sz w:val="28"/>
                <w:szCs w:val="28"/>
              </w:rPr>
            </w:pPr>
          </w:p>
        </w:tc>
        <w:tc>
          <w:tcPr>
            <w:tcW w:w="297" w:type="pct"/>
            <w:vAlign w:val="center"/>
          </w:tcPr>
          <w:p w14:paraId="2DE4CF18" w14:textId="77777777" w:rsidR="00A00025" w:rsidRPr="001C0C4B" w:rsidRDefault="00A00025" w:rsidP="00A00025">
            <w:pPr>
              <w:spacing w:after="120" w:line="276" w:lineRule="auto"/>
              <w:jc w:val="both"/>
              <w:rPr>
                <w:rFonts w:ascii="Calibri" w:eastAsia="Calibri" w:hAnsi="Calibri" w:cs="Calibri"/>
                <w:sz w:val="20"/>
                <w:szCs w:val="20"/>
              </w:rPr>
            </w:pPr>
          </w:p>
        </w:tc>
        <w:tc>
          <w:tcPr>
            <w:tcW w:w="602" w:type="pct"/>
          </w:tcPr>
          <w:p w14:paraId="1C7B1F39" w14:textId="77777777" w:rsidR="00A00025" w:rsidRPr="001C0C4B" w:rsidRDefault="00A00025" w:rsidP="00A00025">
            <w:pPr>
              <w:spacing w:after="120" w:line="276" w:lineRule="auto"/>
              <w:jc w:val="both"/>
              <w:rPr>
                <w:rFonts w:ascii="Calibri" w:eastAsia="Calibri" w:hAnsi="Calibri" w:cs="Calibri"/>
                <w:sz w:val="20"/>
                <w:szCs w:val="20"/>
              </w:rPr>
            </w:pPr>
          </w:p>
        </w:tc>
      </w:tr>
      <w:tr w:rsidR="00EF27AA" w:rsidRPr="001C0C4B" w14:paraId="4202A5B2" w14:textId="3A698EF8" w:rsidTr="00EF27AA">
        <w:trPr>
          <w:trHeight w:val="315"/>
        </w:trPr>
        <w:tc>
          <w:tcPr>
            <w:tcW w:w="361" w:type="pct"/>
          </w:tcPr>
          <w:p w14:paraId="6ED86D30" w14:textId="77777777" w:rsidR="00EF27AA" w:rsidRPr="001C0C4B" w:rsidRDefault="00EF27AA" w:rsidP="00A00025">
            <w:pPr>
              <w:jc w:val="both"/>
              <w:rPr>
                <w:rFonts w:ascii="Calibri" w:eastAsia="Calibri" w:hAnsi="Calibri" w:cs="Calibri"/>
              </w:rPr>
            </w:pPr>
          </w:p>
        </w:tc>
        <w:tc>
          <w:tcPr>
            <w:tcW w:w="4639" w:type="pct"/>
            <w:gridSpan w:val="15"/>
          </w:tcPr>
          <w:p w14:paraId="27F10D96" w14:textId="0A50AE0E" w:rsidR="00EF27AA" w:rsidRPr="001C0C4B" w:rsidRDefault="00EF27AA" w:rsidP="00A00025">
            <w:pPr>
              <w:jc w:val="both"/>
              <w:rPr>
                <w:rFonts w:ascii="Calibri" w:eastAsia="Calibri" w:hAnsi="Calibri" w:cs="Calibri"/>
              </w:rPr>
            </w:pPr>
            <w:r w:rsidRPr="001C0C4B">
              <w:rPr>
                <w:rFonts w:ascii="Calibri" w:eastAsia="Calibri" w:hAnsi="Calibri" w:cs="Calibri"/>
              </w:rPr>
              <w:t>* Performed twice a day. For those taking drugs which are more than once per day, the patient will also record the time the dose was taken for any non-observed doses.</w:t>
            </w:r>
          </w:p>
          <w:p w14:paraId="65A2ECCF" w14:textId="77777777" w:rsidR="00EF27AA" w:rsidRPr="001C0C4B" w:rsidRDefault="00EF27AA" w:rsidP="00A00025">
            <w:pPr>
              <w:jc w:val="both"/>
              <w:rPr>
                <w:rFonts w:ascii="Calibri" w:eastAsia="Calibri" w:hAnsi="Calibri" w:cs="Calibri"/>
              </w:rPr>
            </w:pPr>
            <w:r w:rsidRPr="001C0C4B">
              <w:rPr>
                <w:rFonts w:ascii="Calibri" w:eastAsia="Calibri" w:hAnsi="Calibri" w:cs="Calibri"/>
              </w:rPr>
              <w:t>** Taken in duplicate. Time swab done recorded. Some patients may be asked to give a saliva sample as well (see section 7.1)</w:t>
            </w:r>
          </w:p>
          <w:p w14:paraId="3663BFAE" w14:textId="77777777" w:rsidR="00EF27AA" w:rsidRPr="001C0C4B" w:rsidRDefault="00EF27AA" w:rsidP="00A00025">
            <w:pPr>
              <w:jc w:val="both"/>
              <w:rPr>
                <w:rFonts w:ascii="Calibri" w:eastAsia="Calibri" w:hAnsi="Calibri" w:cs="Calibri"/>
              </w:rPr>
            </w:pPr>
          </w:p>
          <w:p w14:paraId="2BBD4111" w14:textId="77777777" w:rsidR="00EF27AA" w:rsidRPr="001C0C4B" w:rsidRDefault="00EF27AA" w:rsidP="00A00025">
            <w:pPr>
              <w:jc w:val="both"/>
              <w:rPr>
                <w:rFonts w:ascii="Calibri" w:eastAsia="Calibri" w:hAnsi="Calibri" w:cs="Calibri"/>
              </w:rPr>
            </w:pPr>
            <w:r w:rsidRPr="001C0C4B">
              <w:rPr>
                <w:rFonts w:ascii="Calibri" w:eastAsia="Calibri" w:hAnsi="Calibri" w:cs="Calibri"/>
              </w:rPr>
              <w:t>X</w:t>
            </w:r>
            <w:r w:rsidRPr="001C0C4B">
              <w:rPr>
                <w:rFonts w:ascii="Calibri" w:eastAsia="Calibri" w:hAnsi="Calibri" w:cs="Calibri"/>
                <w:vertAlign w:val="superscript"/>
              </w:rPr>
              <w:t>1</w:t>
            </w:r>
            <w:r w:rsidRPr="001C0C4B">
              <w:rPr>
                <w:rFonts w:ascii="Calibri" w:eastAsia="Calibri" w:hAnsi="Calibri" w:cs="Calibri"/>
              </w:rPr>
              <w:t>Depends on dosing schedule of the drug (see appendix 2). The first dose will be given at the designated trial facility. For drugs where further doses are required, at least one dose per day will be observed by the study team. The time the drug is taken will be recorded by the study team.</w:t>
            </w:r>
          </w:p>
          <w:p w14:paraId="1675EE43" w14:textId="77777777" w:rsidR="00EF27AA" w:rsidRPr="001C0C4B" w:rsidRDefault="00EF27AA" w:rsidP="00A00025">
            <w:pPr>
              <w:jc w:val="both"/>
              <w:rPr>
                <w:rFonts w:ascii="Calibri" w:eastAsia="Calibri" w:hAnsi="Calibri" w:cs="Calibri"/>
              </w:rPr>
            </w:pPr>
          </w:p>
          <w:p w14:paraId="454245F3" w14:textId="612B8382" w:rsidR="00EF27AA" w:rsidRPr="001C0C4B" w:rsidRDefault="00EF27AA" w:rsidP="00A00025">
            <w:pPr>
              <w:jc w:val="both"/>
              <w:rPr>
                <w:rFonts w:ascii="Calibri" w:hAnsi="Calibri" w:cs="Calibri"/>
              </w:rPr>
            </w:pPr>
            <w:r w:rsidRPr="001C0C4B">
              <w:rPr>
                <w:rFonts w:ascii="Calibri" w:eastAsia="Calibri" w:hAnsi="Calibri" w:cs="Calibri"/>
                <w:sz w:val="20"/>
                <w:szCs w:val="20"/>
              </w:rPr>
              <w:t>X</w:t>
            </w:r>
            <w:r w:rsidRPr="001C0C4B">
              <w:rPr>
                <w:rFonts w:ascii="Calibri" w:eastAsia="Calibri" w:hAnsi="Calibri" w:cs="Calibri"/>
                <w:sz w:val="20"/>
                <w:szCs w:val="20"/>
                <w:vertAlign w:val="superscript"/>
              </w:rPr>
              <w:t>2</w:t>
            </w:r>
            <w:r w:rsidRPr="001C0C4B">
              <w:rPr>
                <w:rFonts w:ascii="Calibri" w:hAnsi="Calibri" w:cs="Calibri"/>
              </w:rPr>
              <w:t xml:space="preserve"> Results will be used to detect laboratory abnormalities included in the exclusion criteria (see appendix 4 exclusion criteria)</w:t>
            </w:r>
          </w:p>
          <w:p w14:paraId="5D610B76" w14:textId="6F0183A8" w:rsidR="00EF27AA" w:rsidRPr="001C0C4B" w:rsidRDefault="00EF27AA" w:rsidP="00A00025">
            <w:pPr>
              <w:jc w:val="both"/>
              <w:rPr>
                <w:rFonts w:ascii="Calibri" w:hAnsi="Calibri" w:cs="Calibri"/>
              </w:rPr>
            </w:pPr>
          </w:p>
          <w:p w14:paraId="2824C369" w14:textId="552633CD" w:rsidR="00EF27AA" w:rsidRPr="001C0C4B" w:rsidRDefault="00EF27AA" w:rsidP="00A00025">
            <w:pPr>
              <w:jc w:val="both"/>
              <w:rPr>
                <w:rFonts w:ascii="Calibri" w:hAnsi="Calibri" w:cs="Calibri"/>
              </w:rPr>
            </w:pPr>
            <w:r w:rsidRPr="001C0C4B">
              <w:rPr>
                <w:rFonts w:ascii="Calibri" w:hAnsi="Calibri" w:cs="Calibri"/>
              </w:rPr>
              <w:t>The final column, If new Tx/symptoms, refers to if the treatment is changed while the patient is within the 1</w:t>
            </w:r>
            <w:r w:rsidRPr="001C0C4B">
              <w:rPr>
                <w:rFonts w:ascii="Calibri" w:hAnsi="Calibri" w:cs="Calibri"/>
                <w:vertAlign w:val="superscript"/>
              </w:rPr>
              <w:t>st</w:t>
            </w:r>
            <w:r w:rsidRPr="001C0C4B">
              <w:rPr>
                <w:rFonts w:ascii="Calibri" w:hAnsi="Calibri" w:cs="Calibri"/>
              </w:rPr>
              <w:t xml:space="preserve"> 7 days of the study, or if new symptoms develop between day 7 and day 28</w:t>
            </w:r>
            <w:r w:rsidR="00CE357C" w:rsidRPr="001C0C4B">
              <w:rPr>
                <w:rFonts w:ascii="Calibri" w:hAnsi="Calibri" w:cs="Calibri"/>
              </w:rPr>
              <w:t xml:space="preserve"> (see section 7.8 Management of patients who become ill)</w:t>
            </w:r>
            <w:r w:rsidRPr="001C0C4B">
              <w:rPr>
                <w:rFonts w:ascii="Calibri" w:hAnsi="Calibri" w:cs="Calibri"/>
              </w:rPr>
              <w:t>.</w:t>
            </w:r>
          </w:p>
          <w:p w14:paraId="1A824B4E" w14:textId="77777777" w:rsidR="00EF27AA" w:rsidRPr="001C0C4B" w:rsidRDefault="00EF27AA" w:rsidP="00A00025">
            <w:pPr>
              <w:jc w:val="both"/>
              <w:rPr>
                <w:rFonts w:ascii="Calibri" w:eastAsia="Calibri" w:hAnsi="Calibri" w:cs="Calibri"/>
              </w:rPr>
            </w:pPr>
          </w:p>
          <w:p w14:paraId="7E9EA1F2" w14:textId="138FA284" w:rsidR="00EF27AA" w:rsidRPr="001C0C4B" w:rsidRDefault="00EF27AA" w:rsidP="00A00025">
            <w:pPr>
              <w:jc w:val="both"/>
              <w:rPr>
                <w:rFonts w:ascii="Calibri" w:eastAsia="Calibri" w:hAnsi="Calibri" w:cs="Calibri"/>
              </w:rPr>
            </w:pPr>
            <w:r w:rsidRPr="001C0C4B">
              <w:rPr>
                <w:rFonts w:ascii="Calibri" w:hAnsi="Calibri" w:cs="Calibri"/>
                <w:b/>
                <w:bCs/>
              </w:rPr>
              <w:t>Note</w:t>
            </w:r>
            <w:r w:rsidRPr="001C0C4B">
              <w:rPr>
                <w:rFonts w:ascii="Calibri" w:hAnsi="Calibri" w:cs="Calibri"/>
              </w:rPr>
              <w:t>: PK sampling schedules for determination of antiviral drug level are mentioned in Appendix 2.</w:t>
            </w:r>
          </w:p>
        </w:tc>
      </w:tr>
    </w:tbl>
    <w:p w14:paraId="7A9B6631" w14:textId="77777777" w:rsidR="00C73DF6" w:rsidRPr="001C0C4B" w:rsidRDefault="00C73DF6" w:rsidP="00C73DF6">
      <w:pPr>
        <w:pStyle w:val="paragraph"/>
        <w:spacing w:before="0" w:beforeAutospacing="0" w:after="120" w:afterAutospacing="0" w:line="276" w:lineRule="auto"/>
        <w:jc w:val="both"/>
        <w:rPr>
          <w:rFonts w:ascii="Calibri" w:hAnsi="Calibri" w:cs="Calibri"/>
        </w:rPr>
      </w:pPr>
    </w:p>
    <w:p w14:paraId="0DD5117E" w14:textId="001B579D" w:rsidR="00C73DF6" w:rsidRPr="001C0C4B" w:rsidRDefault="004B56E9" w:rsidP="00E142CD">
      <w:pPr>
        <w:pStyle w:val="Heading1"/>
        <w:numPr>
          <w:ilvl w:val="0"/>
          <w:numId w:val="23"/>
        </w:numPr>
        <w:rPr>
          <w:rFonts w:ascii="Calibri" w:hAnsi="Calibri"/>
          <w:color w:val="auto"/>
          <w:sz w:val="22"/>
          <w:szCs w:val="22"/>
          <w:lang w:val="en-GB"/>
        </w:rPr>
      </w:pPr>
      <w:r w:rsidRPr="001C0C4B">
        <w:rPr>
          <w:rFonts w:ascii="Calibri" w:hAnsi="Calibri" w:cs="Calibri"/>
          <w:color w:val="auto"/>
          <w:sz w:val="28"/>
        </w:rPr>
        <w:br w:type="page"/>
      </w:r>
      <w:bookmarkStart w:id="375" w:name="_Toc96007329"/>
      <w:bookmarkStart w:id="376" w:name="_Toc95915282"/>
      <w:bookmarkStart w:id="377" w:name="_Toc74661326"/>
      <w:bookmarkStart w:id="378" w:name="_Toc110524021"/>
      <w:bookmarkStart w:id="379" w:name="_Toc96005632"/>
      <w:bookmarkStart w:id="380" w:name="_Toc112917669"/>
      <w:r w:rsidR="00C73DF6" w:rsidRPr="001C0C4B">
        <w:rPr>
          <w:rFonts w:ascii="Calibri" w:hAnsi="Calibri"/>
          <w:color w:val="auto"/>
          <w:sz w:val="22"/>
          <w:szCs w:val="22"/>
          <w:lang w:val="en-GB"/>
        </w:rPr>
        <w:lastRenderedPageBreak/>
        <w:t>Appendix 2: Study drugs</w:t>
      </w:r>
      <w:bookmarkEnd w:id="375"/>
      <w:bookmarkEnd w:id="376"/>
      <w:bookmarkEnd w:id="377"/>
      <w:bookmarkEnd w:id="378"/>
      <w:bookmarkEnd w:id="379"/>
      <w:bookmarkEnd w:id="380"/>
      <w:r w:rsidR="00C73DF6" w:rsidRPr="001C0C4B">
        <w:rPr>
          <w:rFonts w:ascii="Calibri" w:hAnsi="Calibri"/>
          <w:color w:val="auto"/>
          <w:sz w:val="22"/>
          <w:szCs w:val="22"/>
          <w:lang w:val="en-GB"/>
        </w:rPr>
        <w:t xml:space="preserve"> </w:t>
      </w:r>
      <w:bookmarkStart w:id="381" w:name="_Hlk62311631"/>
    </w:p>
    <w:p w14:paraId="0219D9AC" w14:textId="55F222C3" w:rsidR="00C73DF6" w:rsidRPr="001C0C4B" w:rsidRDefault="00C73DF6" w:rsidP="00C73DF6">
      <w:pPr>
        <w:rPr>
          <w:rFonts w:ascii="Calibri" w:hAnsi="Calibri" w:cs="Calibri"/>
        </w:rPr>
      </w:pPr>
      <w:r w:rsidRPr="001C0C4B">
        <w:rPr>
          <w:rFonts w:ascii="Calibri" w:hAnsi="Calibri" w:cs="Calibri"/>
        </w:rPr>
        <w:t>The maximum duration of treatment is 7 days so many of the toxicity concerns related to chronic dosing are not relevant to this short course treatment</w:t>
      </w:r>
    </w:p>
    <w:p w14:paraId="34C0443F" w14:textId="32D8E4DB" w:rsidR="00C73DF6" w:rsidRPr="001C0C4B" w:rsidRDefault="00C73DF6" w:rsidP="00BF2FEE">
      <w:pPr>
        <w:pStyle w:val="Heading2"/>
        <w:numPr>
          <w:ilvl w:val="1"/>
          <w:numId w:val="23"/>
        </w:numPr>
        <w:tabs>
          <w:tab w:val="left" w:pos="990"/>
        </w:tabs>
        <w:rPr>
          <w:rFonts w:ascii="Calibri" w:hAnsi="Calibri"/>
          <w:color w:val="auto"/>
          <w:u w:val="single"/>
        </w:rPr>
      </w:pPr>
      <w:bookmarkStart w:id="382" w:name="_Toc96007330"/>
      <w:bookmarkStart w:id="383" w:name="_Toc95915283"/>
      <w:bookmarkStart w:id="384" w:name="_Toc96515786"/>
      <w:bookmarkStart w:id="385" w:name="_Toc74661327"/>
      <w:bookmarkStart w:id="386" w:name="_Toc110524022"/>
      <w:bookmarkStart w:id="387" w:name="_Toc96005633"/>
      <w:bookmarkStart w:id="388" w:name="_Toc112917670"/>
      <w:r w:rsidRPr="001C0C4B">
        <w:rPr>
          <w:rFonts w:ascii="Calibri" w:hAnsi="Calibri"/>
          <w:color w:val="auto"/>
          <w:u w:val="single"/>
        </w:rPr>
        <w:t>Hydroxychloroquine</w:t>
      </w:r>
      <w:bookmarkEnd w:id="382"/>
      <w:bookmarkEnd w:id="383"/>
      <w:bookmarkEnd w:id="384"/>
      <w:bookmarkEnd w:id="385"/>
      <w:bookmarkEnd w:id="386"/>
      <w:bookmarkEnd w:id="387"/>
      <w:bookmarkEnd w:id="388"/>
    </w:p>
    <w:p w14:paraId="4F06F789" w14:textId="77777777" w:rsidR="00C73DF6" w:rsidRPr="001C0C4B" w:rsidRDefault="00C73DF6" w:rsidP="00C966A5">
      <w:pPr>
        <w:rPr>
          <w:lang w:val="en-GB"/>
        </w:rPr>
      </w:pPr>
      <w:r w:rsidRPr="001C0C4B">
        <w:rPr>
          <w:lang w:val="en-GB"/>
        </w:rPr>
        <w:t>Rationale</w:t>
      </w:r>
    </w:p>
    <w:p w14:paraId="59531AA9" w14:textId="10888F54"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Although hydroxychloroquine and chloroquine have shown </w:t>
      </w:r>
      <w:r w:rsidRPr="001C0C4B">
        <w:rPr>
          <w:rFonts w:ascii="Calibri" w:hAnsi="Calibri"/>
        </w:rPr>
        <w:t>anti-SARS-CoV-2</w:t>
      </w:r>
      <w:r w:rsidRPr="001C0C4B">
        <w:rPr>
          <w:rFonts w:ascii="Calibri" w:hAnsi="Calibri" w:cs="Calibri"/>
        </w:rPr>
        <w:t xml:space="preserve"> activity </w:t>
      </w:r>
      <w:r w:rsidRPr="001C0C4B">
        <w:rPr>
          <w:rFonts w:ascii="Calibri" w:hAnsi="Calibri" w:cs="Calibri"/>
          <w:i/>
          <w:iCs/>
        </w:rPr>
        <w:t>in vitro</w:t>
      </w:r>
      <w:r w:rsidRPr="001C0C4B">
        <w:rPr>
          <w:rFonts w:ascii="Calibri" w:hAnsi="Calibri" w:cs="Calibri"/>
        </w:rPr>
        <w:t xml:space="preserve"> </w:t>
      </w:r>
      <w:r w:rsidRPr="001C0C4B">
        <w:rPr>
          <w:rFonts w:ascii="Calibri" w:hAnsi="Calibri" w:cs="Calibri"/>
          <w:noProof/>
        </w:rPr>
        <w:t>(</w:t>
      </w:r>
      <w:r w:rsidR="00834738" w:rsidRPr="001C0C4B">
        <w:rPr>
          <w:rFonts w:ascii="Calibri" w:hAnsi="Calibri"/>
        </w:rPr>
        <w:t>1</w:t>
      </w:r>
      <w:r w:rsidRPr="001C0C4B">
        <w:rPr>
          <w:rFonts w:ascii="Calibri" w:hAnsi="Calibri"/>
        </w:rPr>
        <w:t>-</w:t>
      </w:r>
      <w:r w:rsidR="00834738" w:rsidRPr="001C0C4B">
        <w:rPr>
          <w:rFonts w:ascii="Calibri" w:hAnsi="Calibri"/>
        </w:rPr>
        <w:t>4</w:t>
      </w:r>
      <w:r w:rsidRPr="001C0C4B">
        <w:rPr>
          <w:rFonts w:ascii="Calibri" w:hAnsi="Calibri"/>
        </w:rPr>
        <w:t>)</w:t>
      </w:r>
      <w:r w:rsidRPr="001C0C4B">
        <w:rPr>
          <w:rFonts w:ascii="Calibri" w:hAnsi="Calibri" w:cs="Calibri"/>
        </w:rPr>
        <w:t xml:space="preserve">, hydroxychloroquine in hospitalised patients did not result in clinical benefit in two large randomised controlled trials </w:t>
      </w:r>
      <w:r w:rsidRPr="001C0C4B">
        <w:rPr>
          <w:rFonts w:ascii="Calibri" w:hAnsi="Calibri"/>
        </w:rPr>
        <w:t>(</w:t>
      </w:r>
      <w:r w:rsidR="00834738" w:rsidRPr="001C0C4B">
        <w:rPr>
          <w:rFonts w:ascii="Calibri" w:hAnsi="Calibri"/>
        </w:rPr>
        <w:t>5</w:t>
      </w:r>
      <w:r w:rsidRPr="001C0C4B">
        <w:rPr>
          <w:rFonts w:ascii="Calibri" w:hAnsi="Calibri"/>
        </w:rPr>
        <w:t>,</w:t>
      </w:r>
      <w:r w:rsidR="00834738" w:rsidRPr="001C0C4B">
        <w:rPr>
          <w:rFonts w:ascii="Calibri" w:hAnsi="Calibri"/>
        </w:rPr>
        <w:t>6</w:t>
      </w:r>
      <w:r w:rsidRPr="001C0C4B">
        <w:rPr>
          <w:rFonts w:ascii="Calibri" w:hAnsi="Calibri"/>
        </w:rPr>
        <w:t>)</w:t>
      </w:r>
      <w:r w:rsidRPr="001C0C4B">
        <w:rPr>
          <w:rFonts w:ascii="Calibri" w:hAnsi="Calibri" w:cs="Calibri"/>
        </w:rPr>
        <w:t>. Although this is strong evidence that it is ineffective in late stage disease, the evidence earlier in the disease process is equivocal including in early treatment. Meta-analysis of RCTs in pre-exposure prophylaxis is in the direction of benefit. There is therefore substantial uncertainty whether hydroxychloroquine has significant antiviral activity against SARS-CoV-2 in humans.</w:t>
      </w:r>
    </w:p>
    <w:p w14:paraId="6432A1B4"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noProof/>
          <w:lang w:bidi="th-TH"/>
        </w:rPr>
        <w:drawing>
          <wp:anchor distT="0" distB="0" distL="114300" distR="114300" simplePos="0" relativeHeight="251658243" behindDoc="0" locked="0" layoutInCell="1" allowOverlap="1" wp14:anchorId="12B3975A" wp14:editId="0EC21F8E">
            <wp:simplePos x="0" y="0"/>
            <wp:positionH relativeFrom="margin">
              <wp:align>left</wp:align>
            </wp:positionH>
            <wp:positionV relativeFrom="paragraph">
              <wp:posOffset>-1905</wp:posOffset>
            </wp:positionV>
            <wp:extent cx="3644900" cy="1499235"/>
            <wp:effectExtent l="0" t="0" r="0" b="5715"/>
            <wp:wrapSquare wrapText="bothSides"/>
            <wp:docPr id="40" name="Picture 39">
              <a:extLst xmlns:a="http://schemas.openxmlformats.org/drawingml/2006/main">
                <a:ext uri="{FF2B5EF4-FFF2-40B4-BE49-F238E27FC236}">
                  <a16:creationId xmlns:a16="http://schemas.microsoft.com/office/drawing/2014/main" id="{3288AB7A-BE6A-47CC-B5BA-7978881B3B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3288AB7A-BE6A-47CC-B5BA-7978881B3BC3}"/>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44900" cy="1499235"/>
                    </a:xfrm>
                    <a:prstGeom prst="rect">
                      <a:avLst/>
                    </a:prstGeom>
                  </pic:spPr>
                </pic:pic>
              </a:graphicData>
            </a:graphic>
            <wp14:sizeRelH relativeFrom="margin">
              <wp14:pctWidth>0</wp14:pctWidth>
            </wp14:sizeRelH>
            <wp14:sizeRelV relativeFrom="margin">
              <wp14:pctHeight>0</wp14:pctHeight>
            </wp14:sizeRelV>
          </wp:anchor>
        </w:drawing>
      </w:r>
    </w:p>
    <w:p w14:paraId="05726E34" w14:textId="77777777" w:rsidR="00C73DF6" w:rsidRPr="001C0C4B" w:rsidRDefault="00C73DF6" w:rsidP="00C966A5">
      <w:pPr>
        <w:rPr>
          <w:lang w:val="en-GB"/>
        </w:rPr>
      </w:pPr>
      <w:r w:rsidRPr="001C0C4B">
        <w:rPr>
          <w:lang w:val="en-GB"/>
        </w:rPr>
        <w:t>Composition and dose</w:t>
      </w:r>
    </w:p>
    <w:p w14:paraId="11FA8561"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The reference form of hydroxychloroquine is the Sanofi product, Plaquenil® (</w:t>
      </w:r>
      <w:hyperlink r:id="rId28" w:history="1">
        <w:r w:rsidRPr="001C0C4B">
          <w:rPr>
            <w:rStyle w:val="Hyperlink"/>
            <w:rFonts w:ascii="Calibri" w:hAnsi="Calibri" w:cs="Calibri"/>
            <w:color w:val="auto"/>
          </w:rPr>
          <w:t>https://www.medicines.org.uk/emc/product/1764/smpc</w:t>
        </w:r>
      </w:hyperlink>
      <w:r w:rsidRPr="001C0C4B">
        <w:rPr>
          <w:rFonts w:ascii="Calibri" w:hAnsi="Calibri" w:cs="Calibri"/>
        </w:rPr>
        <w:t>).</w:t>
      </w:r>
    </w:p>
    <w:p w14:paraId="52DB8E76"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Hydroxychloroquine will either be obtained by the sponsor or the local teams from a reliable manufacturer.  One tablet of hydroxychloroquine sulphate contains 200 mg of hydroxychloroquine sulphate which is equivalent to 155 mg hydroxychloroquine base. Hydroxychloroquine will be given for 7 days.</w:t>
      </w:r>
    </w:p>
    <w:p w14:paraId="4BF535DC" w14:textId="77777777" w:rsidR="00C73DF6" w:rsidRPr="001C0C4B" w:rsidRDefault="00C73DF6" w:rsidP="00C73DF6">
      <w:pPr>
        <w:spacing w:after="120" w:line="276" w:lineRule="auto"/>
        <w:jc w:val="both"/>
        <w:rPr>
          <w:rFonts w:ascii="Calibri" w:hAnsi="Calibri" w:cs="Calibri"/>
          <w:b/>
          <w:bCs/>
        </w:rPr>
      </w:pPr>
      <w:r w:rsidRPr="001C0C4B">
        <w:rPr>
          <w:rFonts w:ascii="Calibri" w:hAnsi="Calibri" w:cs="Calibri"/>
          <w:b/>
          <w:bCs/>
        </w:rPr>
        <w:t>The dosing schedule of hydroxychloroquine is:</w:t>
      </w:r>
    </w:p>
    <w:p w14:paraId="19200F77"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Day 0</w:t>
      </w:r>
    </w:p>
    <w:p w14:paraId="7DFE1A33"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2 tablets at time 0</w:t>
      </w:r>
    </w:p>
    <w:p w14:paraId="18400BCB"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2 tablets 12 hours later, then</w:t>
      </w:r>
    </w:p>
    <w:p w14:paraId="6C11288F"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Days 1 – 6</w:t>
      </w:r>
    </w:p>
    <w:p w14:paraId="694DF088" w14:textId="77777777" w:rsidR="00C73DF6" w:rsidRPr="001C0C4B" w:rsidRDefault="00C73DF6" w:rsidP="00255A69">
      <w:pPr>
        <w:pStyle w:val="bullet10"/>
      </w:pPr>
      <w:r w:rsidRPr="001C0C4B">
        <w:t>2 tablets per day</w:t>
      </w:r>
    </w:p>
    <w:p w14:paraId="6E117189" w14:textId="21FADC59"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That is a total of 800 mg of hydroxychloroquine sulphate </w:t>
      </w:r>
      <w:r w:rsidR="0017778A" w:rsidRPr="001C0C4B">
        <w:rPr>
          <w:rFonts w:ascii="Calibri" w:hAnsi="Calibri" w:cs="Calibri"/>
        </w:rPr>
        <w:t xml:space="preserve">(salt) </w:t>
      </w:r>
      <w:r w:rsidRPr="001C0C4B">
        <w:rPr>
          <w:rFonts w:ascii="Calibri" w:hAnsi="Calibri" w:cs="Calibri"/>
        </w:rPr>
        <w:t>on the first day of treatment and 400 mg of hydroxychloroquine sulphate as a maintenance dose. The doses will be given with food to reduce gastric upset.</w:t>
      </w:r>
    </w:p>
    <w:p w14:paraId="2E3D96B2" w14:textId="77777777" w:rsidR="00C73DF6" w:rsidRPr="001C0C4B" w:rsidRDefault="00C73DF6" w:rsidP="00C966A5">
      <w:pPr>
        <w:rPr>
          <w:lang w:val="en-GB"/>
        </w:rPr>
      </w:pPr>
      <w:r w:rsidRPr="001C0C4B">
        <w:rPr>
          <w:lang w:val="en-GB"/>
        </w:rPr>
        <w:t>Pharmacokinetic characteristics</w:t>
      </w:r>
    </w:p>
    <w:p w14:paraId="0BCB034F" w14:textId="32096DB0"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Hydroxychloroquine is generally well-absorbed, reaches a Cmax at a mean of ~2-3 hours, and following distribution and a multiexponential disposition profile, has a long terminal elimination half-life of ~54 days </w:t>
      </w:r>
      <w:r w:rsidRPr="001C0C4B">
        <w:rPr>
          <w:rFonts w:ascii="Calibri" w:hAnsi="Calibri"/>
        </w:rPr>
        <w:t>(</w:t>
      </w:r>
      <w:r w:rsidR="00834738" w:rsidRPr="001C0C4B">
        <w:rPr>
          <w:rFonts w:ascii="Calibri" w:hAnsi="Calibri"/>
        </w:rPr>
        <w:t>5</w:t>
      </w:r>
      <w:r w:rsidRPr="001C0C4B">
        <w:rPr>
          <w:rFonts w:ascii="Calibri" w:hAnsi="Calibri"/>
        </w:rPr>
        <w:t>).</w:t>
      </w:r>
      <w:r w:rsidRPr="001C0C4B">
        <w:rPr>
          <w:rFonts w:ascii="Calibri" w:hAnsi="Calibri" w:cs="Calibri"/>
        </w:rPr>
        <w:t xml:space="preserve"> The disposition of hydroxychloroquine in healthy volunteers is shown in Figure 3 </w:t>
      </w:r>
      <w:r w:rsidRPr="001C0C4B">
        <w:rPr>
          <w:rFonts w:ascii="Calibri" w:hAnsi="Calibri"/>
        </w:rPr>
        <w:t>(</w:t>
      </w:r>
      <w:r w:rsidR="00834738" w:rsidRPr="001C0C4B">
        <w:rPr>
          <w:rFonts w:ascii="Calibri" w:hAnsi="Calibri"/>
        </w:rPr>
        <w:t>6</w:t>
      </w:r>
      <w:r w:rsidRPr="001C0C4B">
        <w:rPr>
          <w:rFonts w:ascii="Calibri" w:hAnsi="Calibri"/>
        </w:rPr>
        <w:t>).</w:t>
      </w:r>
      <w:r w:rsidRPr="001C0C4B">
        <w:rPr>
          <w:rFonts w:ascii="Calibri" w:hAnsi="Calibri" w:cs="Calibri"/>
        </w:rPr>
        <w:t xml:space="preserve"> </w:t>
      </w:r>
    </w:p>
    <w:p w14:paraId="064A9C9C" w14:textId="77777777" w:rsidR="00C73DF6" w:rsidRPr="001C0C4B" w:rsidRDefault="00C73DF6" w:rsidP="00C966A5">
      <w:pPr>
        <w:rPr>
          <w:lang w:val="en-GB"/>
        </w:rPr>
      </w:pPr>
      <w:r w:rsidRPr="001C0C4B">
        <w:rPr>
          <w:lang w:val="en-GB"/>
        </w:rPr>
        <w:t>Pharmacokinetic sampling schedule: (only if there is evidence of accelerated viral clearance)</w:t>
      </w:r>
    </w:p>
    <w:p w14:paraId="7766B4E8" w14:textId="798D5E51"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All patients will need to be admitted for 12 hours for intense venous blood sampling around the </w:t>
      </w:r>
      <w:r w:rsidRPr="001C0C4B">
        <w:rPr>
          <w:rFonts w:ascii="Calibri" w:hAnsi="Calibri" w:cs="Calibri"/>
          <w:b/>
        </w:rPr>
        <w:t>loading dose</w:t>
      </w:r>
      <w:r w:rsidRPr="001C0C4B">
        <w:rPr>
          <w:rFonts w:ascii="Calibri" w:hAnsi="Calibri" w:cs="Calibri"/>
        </w:rPr>
        <w:t xml:space="preserve">. </w:t>
      </w:r>
    </w:p>
    <w:p w14:paraId="3A3716E0"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timings are: </w:t>
      </w:r>
    </w:p>
    <w:p w14:paraId="6E756D1C"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Pre-dose D0H0, then</w:t>
      </w:r>
    </w:p>
    <w:p w14:paraId="29E7ADEE"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lastRenderedPageBreak/>
        <w:t>1, 2, 3, 4, 6, 9, 12 and 24h post dose</w:t>
      </w:r>
    </w:p>
    <w:p w14:paraId="38084686" w14:textId="540CB9D1" w:rsidR="00C73DF6" w:rsidRPr="001C0C4B" w:rsidRDefault="00797BA1" w:rsidP="00C73DF6">
      <w:pPr>
        <w:spacing w:after="120" w:line="276" w:lineRule="auto"/>
        <w:jc w:val="both"/>
        <w:rPr>
          <w:rFonts w:ascii="Calibri" w:hAnsi="Calibri" w:cs="Calibri"/>
        </w:rPr>
      </w:pPr>
      <w:r w:rsidRPr="001C0C4B">
        <w:rPr>
          <w:rFonts w:ascii="Calibri" w:hAnsi="Calibri" w:cs="Calibri"/>
          <w:noProof/>
          <w:lang w:bidi="th-TH"/>
        </w:rPr>
        <w:drawing>
          <wp:anchor distT="0" distB="0" distL="114300" distR="114300" simplePos="0" relativeHeight="251658244" behindDoc="0" locked="0" layoutInCell="1" allowOverlap="1" wp14:anchorId="4841457B" wp14:editId="5203A97F">
            <wp:simplePos x="0" y="0"/>
            <wp:positionH relativeFrom="margin">
              <wp:posOffset>-279400</wp:posOffset>
            </wp:positionH>
            <wp:positionV relativeFrom="paragraph">
              <wp:posOffset>509270</wp:posOffset>
            </wp:positionV>
            <wp:extent cx="3364230" cy="3169920"/>
            <wp:effectExtent l="0" t="0" r="762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364230" cy="3169920"/>
                    </a:xfrm>
                    <a:prstGeom prst="rect">
                      <a:avLst/>
                    </a:prstGeom>
                  </pic:spPr>
                </pic:pic>
              </a:graphicData>
            </a:graphic>
            <wp14:sizeRelH relativeFrom="margin">
              <wp14:pctWidth>0</wp14:pctWidth>
            </wp14:sizeRelH>
            <wp14:sizeRelV relativeFrom="margin">
              <wp14:pctHeight>0</wp14:pctHeight>
            </wp14:sizeRelV>
          </wp:anchor>
        </w:drawing>
      </w:r>
      <w:r w:rsidR="00C73DF6" w:rsidRPr="001C0C4B">
        <w:rPr>
          <w:rFonts w:ascii="Calibri" w:hAnsi="Calibri" w:cs="Calibri"/>
        </w:rPr>
        <w:t xml:space="preserve">Note that blood will be taken on D3 and D7 for routine haematology and biochemistry. The EDTA sample will be used to measure the drug concentrations. </w:t>
      </w:r>
    </w:p>
    <w:p w14:paraId="30864BF6" w14:textId="3584E827" w:rsidR="00C73DF6" w:rsidRPr="001C0C4B" w:rsidRDefault="00C73DF6" w:rsidP="00C966A5">
      <w:pPr>
        <w:rPr>
          <w:lang w:val="en-GB"/>
        </w:rPr>
      </w:pPr>
      <w:r w:rsidRPr="001C0C4B">
        <w:rPr>
          <w:lang w:val="en-GB"/>
        </w:rPr>
        <w:t xml:space="preserve">Toxicity </w:t>
      </w:r>
    </w:p>
    <w:p w14:paraId="2B1CE892" w14:textId="4EA96822" w:rsidR="00C73DF6" w:rsidRPr="001C0C4B" w:rsidRDefault="00C73DF6" w:rsidP="00C73DF6">
      <w:pPr>
        <w:spacing w:after="120" w:line="276" w:lineRule="auto"/>
        <w:jc w:val="both"/>
        <w:rPr>
          <w:rFonts w:ascii="Calibri" w:hAnsi="Calibri" w:cs="Calibri"/>
        </w:rPr>
      </w:pPr>
      <w:r w:rsidRPr="001C0C4B">
        <w:rPr>
          <w:rFonts w:ascii="Calibri" w:hAnsi="Calibri" w:cs="Calibri"/>
        </w:rPr>
        <w:t>Hydroxychloroquine is well-tolerated and has been used for many years to treat patients with rheumatological diseases. The toxicity associated with long term use e.g. retinal disease, myopathy is not seen with short term use.</w:t>
      </w:r>
    </w:p>
    <w:p w14:paraId="0F12F877"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The most common side effects include dyspepsia, nausea, vomiting, headache and blurred vision; the latter is dose related and usually transient but patients should be warned about driving and operating machinery. Postural hypotension may occur in patients with a fever.</w:t>
      </w:r>
    </w:p>
    <w:p w14:paraId="65D2B562" w14:textId="77777777" w:rsidR="00C73DF6" w:rsidRPr="001C0C4B" w:rsidRDefault="00C73DF6" w:rsidP="00C966A5">
      <w:pPr>
        <w:rPr>
          <w:lang w:val="en-GB"/>
        </w:rPr>
      </w:pPr>
      <w:r w:rsidRPr="001C0C4B">
        <w:rPr>
          <w:lang w:val="en-GB"/>
        </w:rPr>
        <w:t>Cardiac toxicity</w:t>
      </w:r>
    </w:p>
    <w:p w14:paraId="5F856DBB" w14:textId="77777777" w:rsidR="00C73DF6" w:rsidRPr="001C0C4B" w:rsidRDefault="00C73DF6" w:rsidP="00C73DF6">
      <w:pPr>
        <w:spacing w:after="120" w:line="276" w:lineRule="auto"/>
        <w:jc w:val="both"/>
        <w:rPr>
          <w:rFonts w:ascii="Calibri" w:hAnsi="Calibri" w:cs="Calibri"/>
          <w:lang w:eastAsia="fr-BE"/>
        </w:rPr>
      </w:pPr>
      <w:r w:rsidRPr="001C0C4B">
        <w:rPr>
          <w:rFonts w:ascii="Calibri" w:hAnsi="Calibri" w:cs="Calibri"/>
          <w:lang w:eastAsia="fr-BE"/>
        </w:rPr>
        <w:t>Hydroxychloroquine (and chloroquine) cause dose related QRS and QT prolongation but these are only clinically important in:</w:t>
      </w:r>
    </w:p>
    <w:p w14:paraId="1CCF85D0" w14:textId="2EC1CA16" w:rsidR="00C73DF6" w:rsidRPr="001C0C4B" w:rsidRDefault="00C73DF6" w:rsidP="009E06F8">
      <w:pPr>
        <w:pStyle w:val="bullet1"/>
        <w:numPr>
          <w:ilvl w:val="0"/>
          <w:numId w:val="11"/>
        </w:numPr>
        <w:spacing w:line="276" w:lineRule="auto"/>
        <w:ind w:left="0" w:firstLine="0"/>
        <w:jc w:val="both"/>
        <w:rPr>
          <w:rFonts w:ascii="Calibri" w:hAnsi="Calibri" w:cs="Calibri"/>
          <w:lang w:val="en-GB" w:eastAsia="fr-BE"/>
        </w:rPr>
      </w:pPr>
      <w:r w:rsidRPr="001C0C4B">
        <w:rPr>
          <w:rFonts w:ascii="Calibri" w:hAnsi="Calibri" w:cs="Calibri"/>
          <w:lang w:val="en-GB" w:eastAsia="fr-BE"/>
        </w:rPr>
        <w:t xml:space="preserve">Overdose </w:t>
      </w:r>
      <w:r w:rsidRPr="001C0C4B">
        <w:rPr>
          <w:rFonts w:ascii="Calibri" w:hAnsi="Calibri"/>
          <w:lang w:val="en-GB"/>
        </w:rPr>
        <w:t>(</w:t>
      </w:r>
      <w:r w:rsidR="00834738" w:rsidRPr="001C0C4B">
        <w:rPr>
          <w:rFonts w:ascii="Calibri" w:hAnsi="Calibri"/>
          <w:lang w:val="en-GB"/>
        </w:rPr>
        <w:t>4</w:t>
      </w:r>
      <w:r w:rsidRPr="001C0C4B">
        <w:rPr>
          <w:rFonts w:ascii="Calibri" w:hAnsi="Calibri"/>
          <w:lang w:val="en-GB"/>
        </w:rPr>
        <w:t>)</w:t>
      </w:r>
    </w:p>
    <w:p w14:paraId="604D3F19" w14:textId="77777777" w:rsidR="00C73DF6" w:rsidRPr="001C0C4B" w:rsidRDefault="00C73DF6" w:rsidP="009E06F8">
      <w:pPr>
        <w:pStyle w:val="bullet1"/>
        <w:numPr>
          <w:ilvl w:val="0"/>
          <w:numId w:val="11"/>
        </w:numPr>
        <w:spacing w:line="276" w:lineRule="auto"/>
        <w:ind w:left="0" w:firstLine="0"/>
        <w:jc w:val="both"/>
        <w:rPr>
          <w:rFonts w:ascii="Calibri" w:hAnsi="Calibri" w:cs="Calibri"/>
          <w:lang w:val="en-GB" w:eastAsia="fr-BE"/>
        </w:rPr>
      </w:pPr>
      <w:r w:rsidRPr="001C0C4B">
        <w:rPr>
          <w:rFonts w:ascii="Calibri" w:hAnsi="Calibri" w:cs="Calibri"/>
          <w:lang w:val="en-GB" w:eastAsia="fr-BE"/>
        </w:rPr>
        <w:t>those with pre-existing QT prolongation</w:t>
      </w:r>
    </w:p>
    <w:p w14:paraId="0E7A8750" w14:textId="77777777" w:rsidR="00C73DF6" w:rsidRPr="001C0C4B" w:rsidRDefault="00C73DF6" w:rsidP="009E06F8">
      <w:pPr>
        <w:pStyle w:val="bullet1"/>
        <w:numPr>
          <w:ilvl w:val="0"/>
          <w:numId w:val="11"/>
        </w:numPr>
        <w:spacing w:line="276" w:lineRule="auto"/>
        <w:ind w:left="0" w:firstLine="0"/>
        <w:jc w:val="both"/>
        <w:rPr>
          <w:rFonts w:ascii="Calibri" w:hAnsi="Calibri" w:cs="Calibri"/>
          <w:lang w:val="en-GB" w:eastAsia="fr-BE"/>
        </w:rPr>
      </w:pPr>
      <w:r w:rsidRPr="001C0C4B">
        <w:rPr>
          <w:rFonts w:ascii="Calibri" w:hAnsi="Calibri" w:cs="Calibri"/>
          <w:lang w:val="en-GB" w:eastAsia="fr-BE"/>
        </w:rPr>
        <w:t>patients with QT prolonging diseases e.g. myxoedema, ischaemic heart disease, hypokalaemia</w:t>
      </w:r>
    </w:p>
    <w:p w14:paraId="0DA5CAC1" w14:textId="77777777" w:rsidR="00C73DF6" w:rsidRPr="001C0C4B" w:rsidRDefault="00C73DF6" w:rsidP="009E06F8">
      <w:pPr>
        <w:pStyle w:val="bullet1"/>
        <w:numPr>
          <w:ilvl w:val="0"/>
          <w:numId w:val="11"/>
        </w:numPr>
        <w:spacing w:line="276" w:lineRule="auto"/>
        <w:ind w:left="0" w:firstLine="0"/>
        <w:jc w:val="both"/>
        <w:rPr>
          <w:rFonts w:ascii="Calibri" w:hAnsi="Calibri" w:cs="Calibri"/>
          <w:lang w:val="en-GB" w:eastAsia="fr-BE"/>
        </w:rPr>
      </w:pPr>
      <w:r w:rsidRPr="001C0C4B">
        <w:rPr>
          <w:rFonts w:ascii="Calibri" w:hAnsi="Calibri" w:cs="Calibri"/>
          <w:lang w:val="en-GB" w:eastAsia="fr-BE"/>
        </w:rPr>
        <w:t>patients on QT prolonging drugs.</w:t>
      </w:r>
    </w:p>
    <w:p w14:paraId="2C5FF48E" w14:textId="77777777" w:rsidR="00C73DF6" w:rsidRPr="001C0C4B" w:rsidRDefault="00C73DF6" w:rsidP="00EB606D">
      <w:pPr>
        <w:spacing w:after="120" w:line="276" w:lineRule="auto"/>
        <w:jc w:val="both"/>
        <w:rPr>
          <w:rFonts w:ascii="Calibri" w:hAnsi="Calibri" w:cs="Calibri"/>
        </w:rPr>
      </w:pPr>
      <w:r w:rsidRPr="001C0C4B">
        <w:rPr>
          <w:rFonts w:ascii="Calibri" w:hAnsi="Calibri" w:cs="Calibri"/>
        </w:rPr>
        <w:t>The large randomised controlled trials in COVID-19 (RECOVERY and SOLIDARITY)  did not find an excess of arrhythmias in patients receiving high dose hydroxychloroquine.</w:t>
      </w:r>
    </w:p>
    <w:p w14:paraId="7835A607" w14:textId="77777777" w:rsidR="00C73DF6" w:rsidRPr="001C0C4B" w:rsidRDefault="00C73DF6" w:rsidP="00F27331">
      <w:pPr>
        <w:spacing w:after="120" w:line="276" w:lineRule="auto"/>
        <w:jc w:val="both"/>
        <w:rPr>
          <w:rFonts w:ascii="Calibri" w:hAnsi="Calibri" w:cs="Calibri"/>
          <w:iCs/>
        </w:rPr>
      </w:pPr>
      <w:r w:rsidRPr="001C0C4B">
        <w:rPr>
          <w:rFonts w:ascii="Calibri" w:hAnsi="Calibri" w:cs="Calibri"/>
        </w:rPr>
        <w:t>More details regarding concomitant medication can be found at:</w:t>
      </w:r>
    </w:p>
    <w:p w14:paraId="3D2F4E75" w14:textId="77777777" w:rsidR="00C73DF6" w:rsidRPr="001C0C4B" w:rsidRDefault="00000000" w:rsidP="009E06F8">
      <w:pPr>
        <w:pStyle w:val="bullet1"/>
        <w:numPr>
          <w:ilvl w:val="0"/>
          <w:numId w:val="11"/>
        </w:numPr>
        <w:spacing w:line="276" w:lineRule="auto"/>
        <w:ind w:left="0" w:firstLine="0"/>
        <w:jc w:val="both"/>
        <w:rPr>
          <w:rFonts w:ascii="Calibri" w:hAnsi="Calibri" w:cs="Calibri"/>
          <w:iCs/>
          <w:lang w:val="en-GB"/>
        </w:rPr>
      </w:pPr>
      <w:hyperlink r:id="rId30" w:history="1">
        <w:r w:rsidR="00C73DF6" w:rsidRPr="001C0C4B">
          <w:rPr>
            <w:rStyle w:val="Hyperlink"/>
            <w:rFonts w:ascii="Calibri" w:hAnsi="Calibri" w:cs="Calibri"/>
            <w:color w:val="auto"/>
            <w:lang w:val="en-GB"/>
          </w:rPr>
          <w:t>https://www.bnf.org/products/bnf-online/</w:t>
        </w:r>
      </w:hyperlink>
      <w:r w:rsidR="00C73DF6" w:rsidRPr="001C0C4B">
        <w:rPr>
          <w:rFonts w:ascii="Calibri" w:hAnsi="Calibri" w:cs="Calibri"/>
          <w:lang w:val="en-GB"/>
        </w:rPr>
        <w:t xml:space="preserve"> - available in the UK</w:t>
      </w:r>
    </w:p>
    <w:p w14:paraId="5AE1B857" w14:textId="77777777" w:rsidR="00C73DF6" w:rsidRPr="001C0C4B" w:rsidRDefault="00000000" w:rsidP="009E06F8">
      <w:pPr>
        <w:pStyle w:val="bullet1"/>
        <w:numPr>
          <w:ilvl w:val="0"/>
          <w:numId w:val="11"/>
        </w:numPr>
        <w:spacing w:line="276" w:lineRule="auto"/>
        <w:ind w:left="0" w:firstLine="0"/>
        <w:jc w:val="both"/>
        <w:rPr>
          <w:rFonts w:ascii="Calibri" w:hAnsi="Calibri" w:cs="Calibri"/>
          <w:iCs/>
          <w:lang w:val="en-GB"/>
        </w:rPr>
      </w:pPr>
      <w:hyperlink r:id="rId31" w:anchor="di-druglist" w:history="1">
        <w:r w:rsidR="00C73DF6" w:rsidRPr="001C0C4B">
          <w:rPr>
            <w:rStyle w:val="Hyperlink"/>
            <w:rFonts w:ascii="Calibri" w:hAnsi="Calibri" w:cs="Calibri"/>
            <w:color w:val="auto"/>
            <w:lang w:val="en-GB"/>
          </w:rPr>
          <w:t>https://www.uptodate.com/drug-interactions/?source=responsive_home#di-druglist</w:t>
        </w:r>
      </w:hyperlink>
      <w:r w:rsidR="00C73DF6" w:rsidRPr="001C0C4B">
        <w:rPr>
          <w:rFonts w:ascii="Calibri" w:hAnsi="Calibri" w:cs="Calibri"/>
          <w:lang w:val="en-GB"/>
        </w:rPr>
        <w:t xml:space="preserve"> – this requires a subscription</w:t>
      </w:r>
    </w:p>
    <w:p w14:paraId="2069D9A5" w14:textId="77777777" w:rsidR="00C73DF6" w:rsidRPr="001C0C4B" w:rsidRDefault="00000000" w:rsidP="009E06F8">
      <w:pPr>
        <w:pStyle w:val="bullet1"/>
        <w:numPr>
          <w:ilvl w:val="0"/>
          <w:numId w:val="11"/>
        </w:numPr>
        <w:spacing w:line="276" w:lineRule="auto"/>
        <w:ind w:left="0" w:firstLine="0"/>
        <w:jc w:val="both"/>
        <w:rPr>
          <w:rFonts w:ascii="Calibri" w:hAnsi="Calibri" w:cs="Calibri"/>
          <w:iCs/>
          <w:lang w:val="en-GB"/>
        </w:rPr>
      </w:pPr>
      <w:hyperlink r:id="rId32" w:history="1">
        <w:r w:rsidR="00C73DF6" w:rsidRPr="001C0C4B">
          <w:rPr>
            <w:rStyle w:val="Hyperlink"/>
            <w:rFonts w:ascii="Calibri" w:hAnsi="Calibri" w:cs="Calibri"/>
            <w:color w:val="auto"/>
            <w:lang w:val="en-GB"/>
          </w:rPr>
          <w:t>https://compendium.ch/fr/Patient</w:t>
        </w:r>
      </w:hyperlink>
      <w:r w:rsidR="00C73DF6" w:rsidRPr="001C0C4B">
        <w:rPr>
          <w:rFonts w:ascii="Calibri" w:hAnsi="Calibri" w:cs="Calibri"/>
          <w:lang w:val="en-GB"/>
        </w:rPr>
        <w:t xml:space="preserve"> - A Swiss website which deals with drug interactions</w:t>
      </w:r>
    </w:p>
    <w:p w14:paraId="17CF41F8" w14:textId="77777777" w:rsidR="00C73DF6" w:rsidRPr="001C0C4B" w:rsidRDefault="00000000" w:rsidP="009E06F8">
      <w:pPr>
        <w:pStyle w:val="bullet1"/>
        <w:numPr>
          <w:ilvl w:val="0"/>
          <w:numId w:val="11"/>
        </w:numPr>
        <w:spacing w:line="276" w:lineRule="auto"/>
        <w:ind w:left="0" w:firstLine="0"/>
        <w:jc w:val="both"/>
        <w:rPr>
          <w:rFonts w:ascii="Calibri" w:hAnsi="Calibri" w:cs="Calibri"/>
          <w:iCs/>
          <w:lang w:val="en-GB"/>
        </w:rPr>
      </w:pPr>
      <w:hyperlink r:id="rId33" w:history="1">
        <w:r w:rsidR="00C73DF6" w:rsidRPr="001C0C4B">
          <w:rPr>
            <w:rStyle w:val="Hyperlink"/>
            <w:rFonts w:ascii="Calibri" w:hAnsi="Calibri" w:cs="Calibri"/>
            <w:iCs/>
            <w:color w:val="auto"/>
            <w:lang w:val="en-GB"/>
          </w:rPr>
          <w:t>https://crediblemeds.org/</w:t>
        </w:r>
      </w:hyperlink>
    </w:p>
    <w:p w14:paraId="05229553" w14:textId="77777777" w:rsidR="00C73DF6" w:rsidRPr="001C0C4B" w:rsidRDefault="00C73DF6" w:rsidP="003E0DDB">
      <w:pPr>
        <w:pStyle w:val="NoSpacing"/>
        <w:rPr>
          <w:lang w:val="en-GB"/>
        </w:rPr>
      </w:pPr>
      <w:r w:rsidRPr="001C0C4B">
        <w:rPr>
          <w:lang w:val="en-GB"/>
        </w:rPr>
        <w:t xml:space="preserve">Skin </w:t>
      </w:r>
    </w:p>
    <w:p w14:paraId="1AC7368B"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These include:</w:t>
      </w:r>
    </w:p>
    <w:p w14:paraId="67843E79" w14:textId="77777777" w:rsidR="00C73DF6" w:rsidRPr="001C0C4B" w:rsidRDefault="00C73DF6" w:rsidP="00255A69">
      <w:pPr>
        <w:pStyle w:val="bullet10"/>
      </w:pPr>
      <w:r w:rsidRPr="001C0C4B">
        <w:t>exacerbation of psoriasis (case reports)</w:t>
      </w:r>
    </w:p>
    <w:p w14:paraId="575D88D7" w14:textId="77777777" w:rsidR="00C73DF6" w:rsidRPr="001C0C4B" w:rsidRDefault="00C73DF6" w:rsidP="00255A69">
      <w:pPr>
        <w:pStyle w:val="bullet10"/>
        <w:rPr>
          <w:iCs/>
        </w:rPr>
      </w:pPr>
      <w:r w:rsidRPr="001C0C4B">
        <w:t>acute generalised exanthematous pustulosis (AGEP) that may be associated with fever and neutrophilia and resolves with discontinuation of the offending drug</w:t>
      </w:r>
    </w:p>
    <w:p w14:paraId="3A5774A0" w14:textId="77777777" w:rsidR="00C73DF6" w:rsidRPr="001C0C4B" w:rsidRDefault="00C73DF6" w:rsidP="00255A69">
      <w:pPr>
        <w:pStyle w:val="bullet10"/>
        <w:rPr>
          <w:rStyle w:val="Emphasis"/>
          <w:rFonts w:asciiTheme="minorHAnsi" w:hAnsiTheme="minorHAnsi"/>
          <w:b/>
          <w:i w:val="0"/>
          <w:lang w:val="en-US"/>
        </w:rPr>
      </w:pPr>
      <w:r w:rsidRPr="001C0C4B">
        <w:rPr>
          <w:rStyle w:val="Emphasis"/>
          <w:rFonts w:cs="Calibri"/>
          <w:i w:val="0"/>
        </w:rPr>
        <w:t>itching / prickly sensation that is more common in dark skinned individuals</w:t>
      </w:r>
    </w:p>
    <w:p w14:paraId="4821F3C5" w14:textId="77777777" w:rsidR="00C73DF6" w:rsidRPr="001C0C4B" w:rsidRDefault="00C73DF6" w:rsidP="00C966A5">
      <w:pPr>
        <w:rPr>
          <w:lang w:val="en-GB"/>
        </w:rPr>
      </w:pPr>
      <w:r w:rsidRPr="001C0C4B">
        <w:rPr>
          <w:lang w:val="en-GB"/>
        </w:rPr>
        <w:t>Contraindications</w:t>
      </w:r>
    </w:p>
    <w:p w14:paraId="599197A5" w14:textId="77777777" w:rsidR="00C73DF6" w:rsidRPr="001C0C4B" w:rsidRDefault="00C73DF6" w:rsidP="00C73DF6">
      <w:pPr>
        <w:spacing w:after="120" w:line="276" w:lineRule="auto"/>
        <w:jc w:val="both"/>
        <w:rPr>
          <w:rFonts w:ascii="Calibri" w:hAnsi="Calibri" w:cs="Calibri"/>
          <w:lang w:eastAsia="fr-BE"/>
        </w:rPr>
      </w:pPr>
      <w:r w:rsidRPr="001C0C4B">
        <w:rPr>
          <w:rFonts w:ascii="Calibri" w:hAnsi="Calibri" w:cs="Calibri"/>
          <w:lang w:eastAsia="fr-BE"/>
        </w:rPr>
        <w:t xml:space="preserve">In our study, hydroxychloroquine is contraindicated in: </w:t>
      </w:r>
    </w:p>
    <w:p w14:paraId="41736EEE" w14:textId="77777777" w:rsidR="00C73DF6" w:rsidRPr="001C0C4B" w:rsidRDefault="00C73DF6" w:rsidP="00255A69">
      <w:pPr>
        <w:pStyle w:val="bullet10"/>
        <w:rPr>
          <w:lang w:eastAsia="fr-BE"/>
        </w:rPr>
      </w:pPr>
      <w:r w:rsidRPr="001C0C4B">
        <w:rPr>
          <w:lang w:eastAsia="fr-BE"/>
        </w:rPr>
        <w:lastRenderedPageBreak/>
        <w:t>those with known hypersensitivity to hydroxychloroquine or other 4-aminoquinolines (e.g. amodiaquine)</w:t>
      </w:r>
    </w:p>
    <w:p w14:paraId="04738013" w14:textId="77777777" w:rsidR="00C73DF6" w:rsidRPr="001C0C4B" w:rsidRDefault="00C73DF6" w:rsidP="00255A69">
      <w:pPr>
        <w:pStyle w:val="bullet10"/>
        <w:rPr>
          <w:lang w:eastAsia="fr-BE"/>
        </w:rPr>
      </w:pPr>
      <w:r w:rsidRPr="001C0C4B">
        <w:rPr>
          <w:lang w:eastAsia="fr-BE"/>
        </w:rPr>
        <w:t xml:space="preserve">patients with pre-existing retinopathy of the eye </w:t>
      </w:r>
    </w:p>
    <w:p w14:paraId="5E0503AF" w14:textId="77777777" w:rsidR="00C73DF6" w:rsidRPr="001C0C4B" w:rsidRDefault="00C73DF6" w:rsidP="00255A69">
      <w:pPr>
        <w:pStyle w:val="bullet10"/>
        <w:rPr>
          <w:lang w:eastAsia="fr-BE"/>
        </w:rPr>
      </w:pPr>
      <w:r w:rsidRPr="001C0C4B">
        <w:rPr>
          <w:lang w:eastAsia="fr-BE"/>
        </w:rPr>
        <w:t>severe liver disease, severe renal disease, epilepsy, porphyria and myasthenia gravis are relative contraindications but such patients would not be enrolled in this trial</w:t>
      </w:r>
    </w:p>
    <w:p w14:paraId="016B45EB" w14:textId="77777777" w:rsidR="00C73DF6" w:rsidRPr="001C0C4B" w:rsidRDefault="00C73DF6" w:rsidP="00C966A5">
      <w:pPr>
        <w:rPr>
          <w:lang w:val="en-GB"/>
        </w:rPr>
      </w:pPr>
      <w:r w:rsidRPr="001C0C4B">
        <w:rPr>
          <w:lang w:val="en-GB"/>
        </w:rPr>
        <w:t>Cautions</w:t>
      </w:r>
    </w:p>
    <w:p w14:paraId="0B65E6B8"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Long term use of hydroxychloroquine has caused hypoglycaemia in type II diabetes. Diabetic individuals will not be recruited.</w:t>
      </w:r>
    </w:p>
    <w:p w14:paraId="5F50E9F9"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Patients with a history of unexplained syncope and/ or family history of sudden unexplained cardiac death, should have an ECG is performed and should be enrolled only if the Bazett QTc &lt;430 ms in males and &lt;450 ms in females.</w:t>
      </w:r>
    </w:p>
    <w:p w14:paraId="3E2CE596" w14:textId="77777777" w:rsidR="00C73DF6" w:rsidRPr="001C0C4B" w:rsidRDefault="00C73DF6" w:rsidP="00C966A5">
      <w:pPr>
        <w:rPr>
          <w:lang w:val="en-GB"/>
        </w:rPr>
      </w:pPr>
      <w:r w:rsidRPr="001C0C4B">
        <w:rPr>
          <w:lang w:val="en-GB"/>
        </w:rPr>
        <w:t>Relevant drug interactions</w:t>
      </w:r>
    </w:p>
    <w:p w14:paraId="5B7091D8" w14:textId="78A8C797" w:rsidR="00C73DF6" w:rsidRPr="001C0C4B" w:rsidRDefault="00EB606D" w:rsidP="00255A69">
      <w:pPr>
        <w:pStyle w:val="bullet10"/>
      </w:pPr>
      <w:r w:rsidRPr="001C0C4B">
        <w:t>A</w:t>
      </w:r>
      <w:r w:rsidR="00C73DF6" w:rsidRPr="001C0C4B">
        <w:t>ntacids may reduce absorption of hydroxychloroquine so it is advised that a 4-hour interval be observed between hydroxychloroquine sulphate and antacid dosing</w:t>
      </w:r>
    </w:p>
    <w:p w14:paraId="7DFDEE01" w14:textId="2EA330D0" w:rsidR="00834738" w:rsidRPr="001C0C4B" w:rsidRDefault="00834738" w:rsidP="00255A69">
      <w:pPr>
        <w:pStyle w:val="bullet10"/>
        <w:rPr>
          <w:u w:val="single"/>
        </w:rPr>
      </w:pPr>
      <w:bookmarkStart w:id="389" w:name="_Toc74661328"/>
      <w:r w:rsidRPr="001C0C4B">
        <w:rPr>
          <w:u w:val="single"/>
        </w:rPr>
        <w:t>References</w:t>
      </w:r>
    </w:p>
    <w:p w14:paraId="6762AE94" w14:textId="77777777" w:rsidR="00834738" w:rsidRPr="001C0C4B" w:rsidRDefault="00834738" w:rsidP="00AC0E3F">
      <w:pPr>
        <w:pStyle w:val="EndNoteBibliography"/>
        <w:numPr>
          <w:ilvl w:val="0"/>
          <w:numId w:val="49"/>
        </w:numPr>
        <w:spacing w:after="0"/>
        <w:jc w:val="both"/>
        <w:rPr>
          <w:sz w:val="20"/>
        </w:rPr>
      </w:pPr>
      <w:bookmarkStart w:id="390" w:name="_Hlk96000968"/>
      <w:r w:rsidRPr="001C0C4B">
        <w:rPr>
          <w:sz w:val="20"/>
          <w:lang w:val="de-DE"/>
        </w:rPr>
        <w:t xml:space="preserve">Liu J, Cao R, Xu M, Wang X, Zhang H, Hu H, et al. </w:t>
      </w:r>
      <w:r w:rsidRPr="001C0C4B">
        <w:rPr>
          <w:sz w:val="20"/>
        </w:rPr>
        <w:t>Hydroxychloroquine, a less toxic derivative of chloroquine, is effective in inhibiting SARS-CoV-2 infection in vitro. Cell Discov. 2020;6:16.</w:t>
      </w:r>
    </w:p>
    <w:p w14:paraId="4FD05B5A" w14:textId="77777777" w:rsidR="00834738" w:rsidRPr="001C0C4B" w:rsidRDefault="00834738" w:rsidP="00AC0E3F">
      <w:pPr>
        <w:pStyle w:val="EndNoteBibliography"/>
        <w:numPr>
          <w:ilvl w:val="0"/>
          <w:numId w:val="49"/>
        </w:numPr>
        <w:spacing w:after="0"/>
        <w:jc w:val="both"/>
        <w:rPr>
          <w:sz w:val="20"/>
        </w:rPr>
      </w:pPr>
      <w:r w:rsidRPr="001C0C4B">
        <w:rPr>
          <w:sz w:val="20"/>
        </w:rPr>
        <w:t>Yao X, Ye F, Zhang M, Cui C, Huang B, Niu P, et al. In Vitro Antiviral Activity and Projection of Optimized Dosing Design of Hydroxychloroquine for the Treatment of Severe Acute Respiratory Syndrome Coronavirus 2 (SARS-CoV-2). Clin Infect Dis. 2020.</w:t>
      </w:r>
      <w:r w:rsidRPr="001C0C4B">
        <w:rPr>
          <w:sz w:val="20"/>
        </w:rPr>
        <w:tab/>
      </w:r>
    </w:p>
    <w:p w14:paraId="074D61A4" w14:textId="77777777" w:rsidR="00834738" w:rsidRPr="001C0C4B" w:rsidRDefault="00834738" w:rsidP="00AC0E3F">
      <w:pPr>
        <w:pStyle w:val="EndNoteBibliography"/>
        <w:numPr>
          <w:ilvl w:val="0"/>
          <w:numId w:val="49"/>
        </w:numPr>
        <w:spacing w:after="0"/>
        <w:jc w:val="both"/>
        <w:rPr>
          <w:sz w:val="20"/>
        </w:rPr>
      </w:pPr>
      <w:r w:rsidRPr="001C0C4B">
        <w:rPr>
          <w:sz w:val="20"/>
          <w:lang w:val="de-DE"/>
        </w:rPr>
        <w:t xml:space="preserve">Wang M, Cao R, Zhang L, Yang X, Liu J, Xu M, et al. </w:t>
      </w:r>
      <w:r w:rsidRPr="001C0C4B">
        <w:rPr>
          <w:sz w:val="20"/>
        </w:rPr>
        <w:t>Remdesivir and chloroquine effectively inhibit the recently emerged novel coronavirus (2019-nCoV) in vitro. Cell Res. 2020;30(3):269-71.</w:t>
      </w:r>
    </w:p>
    <w:p w14:paraId="3EA7912B" w14:textId="77777777" w:rsidR="00834738" w:rsidRPr="001C0C4B" w:rsidRDefault="00834738" w:rsidP="00AC0E3F">
      <w:pPr>
        <w:pStyle w:val="ListParagraph"/>
        <w:numPr>
          <w:ilvl w:val="0"/>
          <w:numId w:val="49"/>
        </w:numPr>
        <w:tabs>
          <w:tab w:val="left" w:pos="45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Calibri" w:hAnsi="Calibri"/>
          <w:sz w:val="20"/>
        </w:rPr>
      </w:pPr>
      <w:r w:rsidRPr="001C0C4B">
        <w:rPr>
          <w:rFonts w:ascii="Calibri" w:hAnsi="Calibri"/>
          <w:sz w:val="20"/>
        </w:rPr>
        <w:t>White NJ, Watson JA, Hoglund RM, Chan XHS, Cheah PY, Tarning J. COVID-19 prevention and treatment: A critical analysis of chloroquine andhydroxychloroquine clinical pharmacology. PLoS Med 2020; 17: e1003252.</w:t>
      </w:r>
    </w:p>
    <w:p w14:paraId="3D78E820" w14:textId="77777777" w:rsidR="00834738" w:rsidRPr="001C0C4B" w:rsidRDefault="00834738" w:rsidP="00AC0E3F">
      <w:pPr>
        <w:pStyle w:val="EndNoteBibliography"/>
        <w:numPr>
          <w:ilvl w:val="0"/>
          <w:numId w:val="49"/>
        </w:numPr>
        <w:spacing w:after="0"/>
        <w:jc w:val="both"/>
        <w:rPr>
          <w:sz w:val="20"/>
        </w:rPr>
      </w:pPr>
      <w:r w:rsidRPr="001C0C4B">
        <w:rPr>
          <w:sz w:val="20"/>
        </w:rPr>
        <w:t>RECOVERY group, Horby P, Mafham M, Linsell L, Bell JL, Staplin N, et al. Effect of Hydroxychloroquine in Hospitalized Patients with Covid-19. N Engl J Med. 2020;383(21):2030-40.</w:t>
      </w:r>
    </w:p>
    <w:p w14:paraId="626DF4BB" w14:textId="77777777" w:rsidR="00834738" w:rsidRPr="001C0C4B" w:rsidRDefault="00834738" w:rsidP="00AC0E3F">
      <w:pPr>
        <w:pStyle w:val="EndNoteBibliography"/>
        <w:numPr>
          <w:ilvl w:val="0"/>
          <w:numId w:val="49"/>
        </w:numPr>
        <w:spacing w:after="0"/>
        <w:jc w:val="both"/>
        <w:rPr>
          <w:sz w:val="20"/>
        </w:rPr>
      </w:pPr>
      <w:r w:rsidRPr="001C0C4B">
        <w:rPr>
          <w:sz w:val="20"/>
        </w:rPr>
        <w:t xml:space="preserve">Consortium WHO Solidarity Trial, Pan H, Peto R, Henao-Restrepo AM, Preziosi MP, Sathiyamoorthy V, et al. Repurposed Antiviral Drugs for Covid-19 - Interim WHO Solidarity Trial Results. N Engl J Med. 2020; </w:t>
      </w:r>
      <w:r w:rsidRPr="001C0C4B">
        <w:rPr>
          <w:sz w:val="20"/>
          <w:shd w:val="clear" w:color="auto" w:fill="FFFFFF"/>
        </w:rPr>
        <w:t>384(6):497-511.</w:t>
      </w:r>
    </w:p>
    <w:bookmarkEnd w:id="390"/>
    <w:p w14:paraId="0897E9F5" w14:textId="5B727CF7" w:rsidR="00C73DF6" w:rsidRPr="001C0C4B" w:rsidRDefault="00C73DF6" w:rsidP="00123485">
      <w:pPr>
        <w:rPr>
          <w:rFonts w:ascii="Calibri" w:hAnsi="Calibri" w:cs="Calibri"/>
          <w:lang w:val="en-GB"/>
        </w:rPr>
      </w:pPr>
    </w:p>
    <w:p w14:paraId="6E112122" w14:textId="7EDC38C4" w:rsidR="00326719" w:rsidRPr="001C0C4B" w:rsidRDefault="00326719" w:rsidP="00123485">
      <w:pPr>
        <w:rPr>
          <w:rFonts w:ascii="Calibri" w:hAnsi="Calibri" w:cs="Calibri"/>
          <w:lang w:val="en-GB"/>
        </w:rPr>
      </w:pPr>
      <w:r w:rsidRPr="001C0C4B">
        <w:rPr>
          <w:rFonts w:ascii="Calibri" w:hAnsi="Calibri" w:cs="Calibri"/>
          <w:lang w:val="en-GB"/>
        </w:rPr>
        <w:br w:type="page"/>
      </w:r>
    </w:p>
    <w:p w14:paraId="46F7115A" w14:textId="48CE4C46" w:rsidR="00C73DF6" w:rsidRPr="001C0C4B" w:rsidRDefault="00C73DF6" w:rsidP="00BF2FEE">
      <w:pPr>
        <w:pStyle w:val="Heading2"/>
        <w:numPr>
          <w:ilvl w:val="1"/>
          <w:numId w:val="23"/>
        </w:numPr>
        <w:tabs>
          <w:tab w:val="left" w:pos="900"/>
        </w:tabs>
        <w:rPr>
          <w:rFonts w:ascii="Calibri" w:hAnsi="Calibri"/>
          <w:color w:val="auto"/>
          <w:u w:val="single"/>
        </w:rPr>
      </w:pPr>
      <w:bookmarkStart w:id="391" w:name="_Toc96007331"/>
      <w:bookmarkStart w:id="392" w:name="_Toc95915284"/>
      <w:bookmarkStart w:id="393" w:name="_Toc110524023"/>
      <w:bookmarkStart w:id="394" w:name="_Toc96005634"/>
      <w:bookmarkStart w:id="395" w:name="_Toc112917671"/>
      <w:bookmarkEnd w:id="381"/>
      <w:r w:rsidRPr="001C0C4B">
        <w:rPr>
          <w:rFonts w:ascii="Calibri" w:hAnsi="Calibri"/>
          <w:color w:val="auto"/>
          <w:u w:val="single"/>
        </w:rPr>
        <w:lastRenderedPageBreak/>
        <w:t>Remdesivir</w:t>
      </w:r>
      <w:bookmarkEnd w:id="389"/>
      <w:bookmarkEnd w:id="391"/>
      <w:bookmarkEnd w:id="392"/>
      <w:bookmarkEnd w:id="393"/>
      <w:bookmarkEnd w:id="394"/>
      <w:bookmarkEnd w:id="395"/>
    </w:p>
    <w:p w14:paraId="0F619020" w14:textId="77777777" w:rsidR="00C73DF6" w:rsidRPr="001C0C4B" w:rsidRDefault="00C73DF6" w:rsidP="00C966A5">
      <w:pPr>
        <w:rPr>
          <w:lang w:val="en-GB"/>
        </w:rPr>
      </w:pPr>
      <w:r w:rsidRPr="001C0C4B">
        <w:rPr>
          <w:lang w:val="en-GB"/>
        </w:rPr>
        <w:t>Rationale</w:t>
      </w:r>
    </w:p>
    <w:p w14:paraId="2CE2DAB7" w14:textId="034BAF4C" w:rsidR="00C73DF6" w:rsidRPr="001C0C4B" w:rsidRDefault="00C73DF6" w:rsidP="00C73DF6">
      <w:pPr>
        <w:spacing w:after="120" w:line="276" w:lineRule="auto"/>
        <w:jc w:val="both"/>
        <w:rPr>
          <w:rFonts w:ascii="Calibri" w:hAnsi="Calibri" w:cs="Calibri"/>
        </w:rPr>
      </w:pPr>
      <w:r w:rsidRPr="001C0C4B">
        <w:rPr>
          <w:rFonts w:ascii="Calibri" w:hAnsi="Calibri" w:cs="Calibri"/>
        </w:rPr>
        <w:t>Remdesivir is a nucleo</w:t>
      </w:r>
      <w:r w:rsidR="0017778A" w:rsidRPr="001C0C4B">
        <w:rPr>
          <w:rFonts w:ascii="Calibri" w:hAnsi="Calibri" w:cs="Calibri"/>
        </w:rPr>
        <w:t>s</w:t>
      </w:r>
      <w:r w:rsidRPr="001C0C4B">
        <w:rPr>
          <w:rFonts w:ascii="Calibri" w:hAnsi="Calibri" w:cs="Calibri"/>
        </w:rPr>
        <w:t>ide analogue prodrug that show</w:t>
      </w:r>
      <w:r w:rsidR="0017778A" w:rsidRPr="001C0C4B">
        <w:rPr>
          <w:rFonts w:ascii="Calibri" w:hAnsi="Calibri" w:cs="Calibri"/>
        </w:rPr>
        <w:t>s</w:t>
      </w:r>
      <w:r w:rsidRPr="001C0C4B">
        <w:rPr>
          <w:rFonts w:ascii="Calibri" w:hAnsi="Calibri" w:cs="Calibri"/>
        </w:rPr>
        <w:t xml:space="preserve"> </w:t>
      </w:r>
      <w:r w:rsidRPr="001C0C4B">
        <w:rPr>
          <w:rFonts w:ascii="Calibri" w:hAnsi="Calibri" w:cs="Calibri"/>
          <w:i/>
          <w:iCs/>
        </w:rPr>
        <w:t>in vitro</w:t>
      </w:r>
      <w:r w:rsidRPr="001C0C4B">
        <w:rPr>
          <w:rFonts w:ascii="Calibri" w:hAnsi="Calibri" w:cs="Calibri"/>
        </w:rPr>
        <w:t xml:space="preserve"> inhibition of the viral RNA polymerase of SARS-CoV </w:t>
      </w:r>
      <w:r w:rsidRPr="001C0C4B">
        <w:rPr>
          <w:rFonts w:ascii="Calibri" w:hAnsi="Calibri" w:cs="Calibri"/>
          <w:noProof/>
        </w:rPr>
        <w:t>(</w:t>
      </w:r>
      <w:r w:rsidRPr="001C0C4B">
        <w:rPr>
          <w:rFonts w:ascii="Calibri" w:hAnsi="Calibri"/>
        </w:rPr>
        <w:t>1)</w:t>
      </w:r>
      <w:r w:rsidRPr="001C0C4B">
        <w:rPr>
          <w:rFonts w:ascii="Calibri" w:hAnsi="Calibri" w:cs="Calibri"/>
        </w:rPr>
        <w:t xml:space="preserve"> and the Middle East Respiratory Syndrome (MERS-CoV) </w:t>
      </w:r>
      <w:r w:rsidRPr="001C0C4B">
        <w:rPr>
          <w:rFonts w:ascii="Calibri" w:hAnsi="Calibri" w:cs="Calibri"/>
          <w:noProof/>
        </w:rPr>
        <w:t>(</w:t>
      </w:r>
      <w:r w:rsidR="00326719" w:rsidRPr="001C0C4B">
        <w:rPr>
          <w:rFonts w:ascii="Calibri" w:hAnsi="Calibri"/>
        </w:rPr>
        <w:t>2</w:t>
      </w:r>
      <w:r w:rsidRPr="001C0C4B">
        <w:rPr>
          <w:rFonts w:ascii="Calibri" w:hAnsi="Calibri" w:cs="Calibri"/>
          <w:noProof/>
        </w:rPr>
        <w:t>)</w:t>
      </w:r>
      <w:r w:rsidRPr="001C0C4B">
        <w:rPr>
          <w:rFonts w:ascii="Calibri" w:hAnsi="Calibri" w:cs="Calibri"/>
        </w:rPr>
        <w:t xml:space="preserve"> and SARS-CoV-2 </w:t>
      </w:r>
      <w:r w:rsidRPr="001C0C4B">
        <w:rPr>
          <w:rFonts w:ascii="Calibri" w:hAnsi="Calibri"/>
        </w:rPr>
        <w:t>(1).</w:t>
      </w:r>
      <w:r w:rsidRPr="001C0C4B">
        <w:rPr>
          <w:rFonts w:ascii="Calibri" w:hAnsi="Calibri" w:cs="Calibri"/>
        </w:rPr>
        <w:t xml:space="preserve"> In clinical trials, remdesivir </w:t>
      </w:r>
      <w:r w:rsidR="000A02AB" w:rsidRPr="001C0C4B">
        <w:rPr>
          <w:rFonts w:ascii="Calibri" w:hAnsi="Calibri" w:cs="Calibri"/>
        </w:rPr>
        <w:t>has been</w:t>
      </w:r>
      <w:r w:rsidRPr="001C0C4B">
        <w:rPr>
          <w:rFonts w:ascii="Calibri" w:hAnsi="Calibri" w:cs="Calibri"/>
        </w:rPr>
        <w:t xml:space="preserve"> associated with earlier clinical improvement</w:t>
      </w:r>
      <w:r w:rsidR="000A02AB" w:rsidRPr="001C0C4B">
        <w:rPr>
          <w:rFonts w:ascii="Calibri" w:hAnsi="Calibri" w:cs="Calibri"/>
        </w:rPr>
        <w:t>,</w:t>
      </w:r>
      <w:r w:rsidRPr="001C0C4B">
        <w:rPr>
          <w:rFonts w:ascii="Calibri" w:hAnsi="Calibri" w:cs="Calibri"/>
        </w:rPr>
        <w:t xml:space="preserve">hospital discharge </w:t>
      </w:r>
      <w:r w:rsidR="000A02AB" w:rsidRPr="001C0C4B">
        <w:rPr>
          <w:rFonts w:ascii="Calibri" w:hAnsi="Calibri" w:cs="Calibri"/>
        </w:rPr>
        <w:t>and reduced</w:t>
      </w:r>
      <w:r w:rsidRPr="001C0C4B">
        <w:rPr>
          <w:rFonts w:ascii="Calibri" w:hAnsi="Calibri" w:cs="Calibri"/>
        </w:rPr>
        <w:t xml:space="preserve"> mortality </w:t>
      </w:r>
      <w:r w:rsidRPr="001C0C4B">
        <w:rPr>
          <w:rFonts w:ascii="Calibri" w:hAnsi="Calibri"/>
        </w:rPr>
        <w:t>(</w:t>
      </w:r>
      <w:r w:rsidR="00326719" w:rsidRPr="001C0C4B">
        <w:rPr>
          <w:rFonts w:ascii="Calibri" w:hAnsi="Calibri"/>
        </w:rPr>
        <w:t>2-</w:t>
      </w:r>
      <w:r w:rsidR="000A02AB" w:rsidRPr="001C0C4B">
        <w:rPr>
          <w:rFonts w:ascii="Calibri" w:hAnsi="Calibri" w:cs="Calibri"/>
          <w:noProof/>
        </w:rPr>
        <w:t>7)</w:t>
      </w:r>
      <w:r w:rsidR="000A02AB" w:rsidRPr="001C0C4B">
        <w:rPr>
          <w:rFonts w:ascii="Calibri" w:hAnsi="Calibri" w:cs="Calibri"/>
        </w:rPr>
        <w:t>. A retrospective study showed that administration of remdesivir</w:t>
      </w:r>
      <w:r w:rsidRPr="001C0C4B">
        <w:rPr>
          <w:rFonts w:ascii="Calibri" w:hAnsi="Calibri" w:cs="Calibri"/>
        </w:rPr>
        <w:t xml:space="preserve"> in </w:t>
      </w:r>
      <w:r w:rsidR="000A02AB" w:rsidRPr="001C0C4B">
        <w:rPr>
          <w:rFonts w:ascii="Calibri" w:hAnsi="Calibri" w:cs="Calibri"/>
        </w:rPr>
        <w:t>hospitalized patients significantly reduced viral load (8).</w:t>
      </w:r>
      <w:r w:rsidRPr="001C0C4B">
        <w:rPr>
          <w:rFonts w:ascii="Calibri" w:hAnsi="Calibri" w:cs="Calibri"/>
        </w:rPr>
        <w:t xml:space="preserve"> </w:t>
      </w:r>
    </w:p>
    <w:p w14:paraId="15ED7613" w14:textId="77777777" w:rsidR="00C73DF6" w:rsidRPr="001C0C4B" w:rsidRDefault="00C73DF6" w:rsidP="00C966A5">
      <w:pPr>
        <w:rPr>
          <w:lang w:val="en-GB"/>
        </w:rPr>
      </w:pPr>
      <w:r w:rsidRPr="001C0C4B">
        <w:rPr>
          <w:lang w:val="en-GB"/>
        </w:rPr>
        <w:t>Composition and dose</w:t>
      </w:r>
    </w:p>
    <w:p w14:paraId="51D77757" w14:textId="77777777" w:rsidR="00C73DF6" w:rsidRPr="001C0C4B" w:rsidRDefault="00C73DF6" w:rsidP="00E31D55">
      <w:pPr>
        <w:spacing w:after="120" w:line="276" w:lineRule="auto"/>
        <w:rPr>
          <w:rFonts w:ascii="Calibri" w:hAnsi="Calibri" w:cs="Calibri"/>
        </w:rPr>
      </w:pPr>
      <w:r w:rsidRPr="001C0C4B">
        <w:rPr>
          <w:rFonts w:ascii="Calibri" w:hAnsi="Calibri" w:cs="Calibri"/>
        </w:rPr>
        <w:t>Remdesivir will be either be obtained by the sponsor or the local teams. Much of the following is taken from the Gilead summary of product characteristics (SPC) (</w:t>
      </w:r>
      <w:hyperlink r:id="rId34" w:history="1">
        <w:r w:rsidRPr="001C0C4B">
          <w:rPr>
            <w:rStyle w:val="Hyperlink"/>
            <w:rFonts w:ascii="Calibri" w:hAnsi="Calibri"/>
          </w:rPr>
          <w:t>https://www.medicines.org.uk/emc/product/11597/smpc/print</w:t>
        </w:r>
      </w:hyperlink>
      <w:r w:rsidRPr="001C0C4B">
        <w:rPr>
          <w:rFonts w:ascii="Calibri" w:hAnsi="Calibri" w:cs="Calibri"/>
        </w:rPr>
        <w:t>).</w:t>
      </w:r>
    </w:p>
    <w:p w14:paraId="520A2689"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Each vial contains remdesivir 100 mg of remdesivir concentrate for solution for infusion. After reconstitution, each vial contains 5 mg/mL of remdesivir solution. The recommended dosage of remdesivir in patients 12 years of age and older and weighing at least 40 kg is:</w:t>
      </w:r>
    </w:p>
    <w:p w14:paraId="6A753F1E"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Day 1 – single loading dose of remdesivir 200 mg given by intravenous infusion</w:t>
      </w:r>
    </w:p>
    <w:p w14:paraId="2F034A93" w14:textId="35DF12D5"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Day 2 onwards – 100 mg given once daily by intravenous infusion</w:t>
      </w:r>
    </w:p>
    <w:p w14:paraId="2C50B9BA"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SPC says “The total duration of treatment should be at least 5 days and not more than 10 days.” In our trial we will give remdesivir </w:t>
      </w:r>
      <w:r w:rsidRPr="001C0C4B">
        <w:rPr>
          <w:rFonts w:ascii="Calibri" w:hAnsi="Calibri" w:cs="Calibri"/>
          <w:b/>
        </w:rPr>
        <w:t>for 5 days</w:t>
      </w:r>
      <w:r w:rsidRPr="001C0C4B">
        <w:rPr>
          <w:rFonts w:ascii="Calibri" w:hAnsi="Calibri" w:cs="Calibri"/>
        </w:rPr>
        <w:t>.</w:t>
      </w:r>
    </w:p>
    <w:p w14:paraId="2FF1E39F"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Remdesivir is given by intravenous infusion in 0.9% saline; there are several options.  </w:t>
      </w:r>
    </w:p>
    <w:tbl>
      <w:tblPr>
        <w:tblW w:w="9712" w:type="dxa"/>
        <w:tblBorders>
          <w:top w:val="outset" w:sz="6" w:space="0" w:color="7B7B7B"/>
          <w:left w:val="outset" w:sz="6" w:space="0" w:color="7B7B7B"/>
          <w:bottom w:val="outset" w:sz="6" w:space="0" w:color="7B7B7B"/>
          <w:right w:val="outset" w:sz="6" w:space="0" w:color="7B7B7B"/>
        </w:tblBorders>
        <w:tblCellMar>
          <w:top w:w="30" w:type="dxa"/>
          <w:left w:w="30" w:type="dxa"/>
          <w:bottom w:w="30" w:type="dxa"/>
          <w:right w:w="30" w:type="dxa"/>
        </w:tblCellMar>
        <w:tblLook w:val="04A0" w:firstRow="1" w:lastRow="0" w:firstColumn="1" w:lastColumn="0" w:noHBand="0" w:noVBand="1"/>
      </w:tblPr>
      <w:tblGrid>
        <w:gridCol w:w="3051"/>
        <w:gridCol w:w="3421"/>
        <w:gridCol w:w="3240"/>
      </w:tblGrid>
      <w:tr w:rsidR="00D23D22" w:rsidRPr="001C0C4B" w14:paraId="3AEDEC3B" w14:textId="77777777" w:rsidTr="002A0CD0">
        <w:tc>
          <w:tcPr>
            <w:tcW w:w="1571" w:type="pct"/>
            <w:tcBorders>
              <w:top w:val="outset" w:sz="6" w:space="0" w:color="7B7B7B"/>
              <w:left w:val="outset" w:sz="6" w:space="0" w:color="7B7B7B"/>
              <w:bottom w:val="outset" w:sz="6" w:space="0" w:color="7B7B7B"/>
              <w:right w:val="outset" w:sz="6" w:space="0" w:color="7B7B7B"/>
            </w:tcBorders>
            <w:vAlign w:val="center"/>
            <w:hideMark/>
          </w:tcPr>
          <w:p w14:paraId="6DB61670" w14:textId="77777777" w:rsidR="00C73DF6" w:rsidRPr="001C0C4B" w:rsidRDefault="00C73DF6" w:rsidP="00024E71">
            <w:pPr>
              <w:pStyle w:val="Table"/>
              <w:rPr>
                <w:lang w:val="en-GB"/>
              </w:rPr>
            </w:pPr>
            <w:r w:rsidRPr="001C0C4B">
              <w:rPr>
                <w:lang w:val="en-GB"/>
              </w:rPr>
              <w:t xml:space="preserve">Infusion Bag Volume </w:t>
            </w:r>
          </w:p>
        </w:tc>
        <w:tc>
          <w:tcPr>
            <w:tcW w:w="1761" w:type="pct"/>
            <w:tcBorders>
              <w:top w:val="outset" w:sz="6" w:space="0" w:color="7B7B7B"/>
              <w:left w:val="outset" w:sz="6" w:space="0" w:color="7B7B7B"/>
              <w:bottom w:val="outset" w:sz="6" w:space="0" w:color="7B7B7B"/>
              <w:right w:val="outset" w:sz="6" w:space="0" w:color="7B7B7B"/>
            </w:tcBorders>
            <w:vAlign w:val="center"/>
            <w:hideMark/>
          </w:tcPr>
          <w:p w14:paraId="7D87B20E" w14:textId="77777777" w:rsidR="00C73DF6" w:rsidRPr="001C0C4B" w:rsidRDefault="00C73DF6" w:rsidP="00024E71">
            <w:pPr>
              <w:pStyle w:val="Table"/>
              <w:rPr>
                <w:lang w:val="en-GB"/>
              </w:rPr>
            </w:pPr>
            <w:r w:rsidRPr="001C0C4B">
              <w:rPr>
                <w:lang w:val="en-GB"/>
              </w:rPr>
              <w:t xml:space="preserve">Infusion Time </w:t>
            </w:r>
          </w:p>
        </w:tc>
        <w:tc>
          <w:tcPr>
            <w:tcW w:w="1668" w:type="pct"/>
            <w:tcBorders>
              <w:top w:val="outset" w:sz="6" w:space="0" w:color="7B7B7B"/>
              <w:left w:val="outset" w:sz="6" w:space="0" w:color="7B7B7B"/>
              <w:bottom w:val="outset" w:sz="6" w:space="0" w:color="7B7B7B"/>
              <w:right w:val="outset" w:sz="6" w:space="0" w:color="7B7B7B"/>
            </w:tcBorders>
            <w:vAlign w:val="center"/>
            <w:hideMark/>
          </w:tcPr>
          <w:p w14:paraId="59C6CE87" w14:textId="77777777" w:rsidR="00C73DF6" w:rsidRPr="001C0C4B" w:rsidRDefault="00C73DF6" w:rsidP="00024E71">
            <w:pPr>
              <w:pStyle w:val="Table"/>
              <w:rPr>
                <w:lang w:val="en-GB"/>
              </w:rPr>
            </w:pPr>
            <w:r w:rsidRPr="001C0C4B">
              <w:rPr>
                <w:lang w:val="en-GB"/>
              </w:rPr>
              <w:t xml:space="preserve">Rate of Infusion </w:t>
            </w:r>
          </w:p>
        </w:tc>
      </w:tr>
      <w:tr w:rsidR="00D23D22" w:rsidRPr="001C0C4B" w14:paraId="6AA123D8" w14:textId="77777777" w:rsidTr="002A0CD0">
        <w:tc>
          <w:tcPr>
            <w:tcW w:w="1571" w:type="pct"/>
            <w:vMerge w:val="restart"/>
            <w:tcBorders>
              <w:top w:val="outset" w:sz="6" w:space="0" w:color="7B7B7B"/>
              <w:left w:val="outset" w:sz="6" w:space="0" w:color="7B7B7B"/>
              <w:bottom w:val="outset" w:sz="6" w:space="0" w:color="7B7B7B"/>
              <w:right w:val="outset" w:sz="6" w:space="0" w:color="7B7B7B"/>
            </w:tcBorders>
            <w:vAlign w:val="center"/>
            <w:hideMark/>
          </w:tcPr>
          <w:p w14:paraId="548C6F72"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250 mL</w:t>
            </w:r>
          </w:p>
        </w:tc>
        <w:tc>
          <w:tcPr>
            <w:tcW w:w="1761" w:type="pct"/>
            <w:tcBorders>
              <w:top w:val="outset" w:sz="6" w:space="0" w:color="7B7B7B"/>
              <w:left w:val="outset" w:sz="6" w:space="0" w:color="7B7B7B"/>
              <w:bottom w:val="outset" w:sz="6" w:space="0" w:color="7B7B7B"/>
              <w:right w:val="outset" w:sz="6" w:space="0" w:color="7B7B7B"/>
            </w:tcBorders>
            <w:vAlign w:val="center"/>
            <w:hideMark/>
          </w:tcPr>
          <w:p w14:paraId="2A9C445A"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30 min</w:t>
            </w:r>
          </w:p>
        </w:tc>
        <w:tc>
          <w:tcPr>
            <w:tcW w:w="1668" w:type="pct"/>
            <w:tcBorders>
              <w:top w:val="outset" w:sz="6" w:space="0" w:color="7B7B7B"/>
              <w:left w:val="outset" w:sz="6" w:space="0" w:color="7B7B7B"/>
              <w:bottom w:val="outset" w:sz="6" w:space="0" w:color="7B7B7B"/>
              <w:right w:val="outset" w:sz="6" w:space="0" w:color="7B7B7B"/>
            </w:tcBorders>
            <w:vAlign w:val="center"/>
            <w:hideMark/>
          </w:tcPr>
          <w:p w14:paraId="47F705AA"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8.33 mL/min</w:t>
            </w:r>
          </w:p>
        </w:tc>
      </w:tr>
      <w:tr w:rsidR="00D23D22" w:rsidRPr="001C0C4B" w14:paraId="78F454EB" w14:textId="77777777" w:rsidTr="002A0CD0">
        <w:tc>
          <w:tcPr>
            <w:tcW w:w="1571" w:type="pct"/>
            <w:vMerge/>
            <w:tcBorders>
              <w:top w:val="outset" w:sz="6" w:space="0" w:color="7B7B7B"/>
              <w:left w:val="outset" w:sz="6" w:space="0" w:color="7B7B7B"/>
              <w:bottom w:val="outset" w:sz="6" w:space="0" w:color="7B7B7B"/>
              <w:right w:val="outset" w:sz="6" w:space="0" w:color="7B7B7B"/>
            </w:tcBorders>
            <w:vAlign w:val="center"/>
            <w:hideMark/>
          </w:tcPr>
          <w:p w14:paraId="42E9148C" w14:textId="77777777" w:rsidR="00C73DF6" w:rsidRPr="001C0C4B" w:rsidRDefault="00C73DF6" w:rsidP="00BF2FEE">
            <w:pPr>
              <w:spacing w:after="0"/>
              <w:rPr>
                <w:rFonts w:ascii="Calibri" w:hAnsi="Calibri"/>
                <w:lang w:val="en-GB"/>
              </w:rPr>
            </w:pPr>
          </w:p>
        </w:tc>
        <w:tc>
          <w:tcPr>
            <w:tcW w:w="1761" w:type="pct"/>
            <w:tcBorders>
              <w:top w:val="outset" w:sz="6" w:space="0" w:color="7B7B7B"/>
              <w:left w:val="outset" w:sz="6" w:space="0" w:color="7B7B7B"/>
              <w:bottom w:val="outset" w:sz="6" w:space="0" w:color="7B7B7B"/>
              <w:right w:val="outset" w:sz="6" w:space="0" w:color="7B7B7B"/>
            </w:tcBorders>
            <w:vAlign w:val="center"/>
            <w:hideMark/>
          </w:tcPr>
          <w:p w14:paraId="02C61B1A"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60 min</w:t>
            </w:r>
          </w:p>
        </w:tc>
        <w:tc>
          <w:tcPr>
            <w:tcW w:w="1668" w:type="pct"/>
            <w:tcBorders>
              <w:top w:val="outset" w:sz="6" w:space="0" w:color="7B7B7B"/>
              <w:left w:val="outset" w:sz="6" w:space="0" w:color="7B7B7B"/>
              <w:bottom w:val="outset" w:sz="6" w:space="0" w:color="7B7B7B"/>
              <w:right w:val="outset" w:sz="6" w:space="0" w:color="7B7B7B"/>
            </w:tcBorders>
            <w:vAlign w:val="center"/>
            <w:hideMark/>
          </w:tcPr>
          <w:p w14:paraId="050A5891"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4.17 mL/min</w:t>
            </w:r>
          </w:p>
        </w:tc>
      </w:tr>
      <w:tr w:rsidR="00D23D22" w:rsidRPr="001C0C4B" w14:paraId="29DA8D13" w14:textId="77777777" w:rsidTr="002A0CD0">
        <w:tc>
          <w:tcPr>
            <w:tcW w:w="1571" w:type="pct"/>
            <w:vMerge/>
            <w:tcBorders>
              <w:top w:val="outset" w:sz="6" w:space="0" w:color="7B7B7B"/>
              <w:left w:val="outset" w:sz="6" w:space="0" w:color="7B7B7B"/>
              <w:bottom w:val="outset" w:sz="6" w:space="0" w:color="7B7B7B"/>
              <w:right w:val="outset" w:sz="6" w:space="0" w:color="7B7B7B"/>
            </w:tcBorders>
            <w:vAlign w:val="center"/>
            <w:hideMark/>
          </w:tcPr>
          <w:p w14:paraId="506AAC94" w14:textId="77777777" w:rsidR="00C73DF6" w:rsidRPr="001C0C4B" w:rsidRDefault="00C73DF6" w:rsidP="00BF2FEE">
            <w:pPr>
              <w:spacing w:after="0"/>
              <w:rPr>
                <w:rFonts w:ascii="Calibri" w:hAnsi="Calibri"/>
                <w:lang w:val="en-GB"/>
              </w:rPr>
            </w:pPr>
          </w:p>
        </w:tc>
        <w:tc>
          <w:tcPr>
            <w:tcW w:w="1761" w:type="pct"/>
            <w:tcBorders>
              <w:top w:val="outset" w:sz="6" w:space="0" w:color="7B7B7B"/>
              <w:left w:val="outset" w:sz="6" w:space="0" w:color="7B7B7B"/>
              <w:bottom w:val="outset" w:sz="6" w:space="0" w:color="7B7B7B"/>
              <w:right w:val="outset" w:sz="6" w:space="0" w:color="7B7B7B"/>
            </w:tcBorders>
            <w:vAlign w:val="center"/>
            <w:hideMark/>
          </w:tcPr>
          <w:p w14:paraId="276B8601"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120 min</w:t>
            </w:r>
          </w:p>
        </w:tc>
        <w:tc>
          <w:tcPr>
            <w:tcW w:w="1668" w:type="pct"/>
            <w:tcBorders>
              <w:top w:val="outset" w:sz="6" w:space="0" w:color="7B7B7B"/>
              <w:left w:val="outset" w:sz="6" w:space="0" w:color="7B7B7B"/>
              <w:bottom w:val="outset" w:sz="6" w:space="0" w:color="7B7B7B"/>
              <w:right w:val="outset" w:sz="6" w:space="0" w:color="7B7B7B"/>
            </w:tcBorders>
            <w:vAlign w:val="center"/>
            <w:hideMark/>
          </w:tcPr>
          <w:p w14:paraId="63009ED7"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2.08 mL/min</w:t>
            </w:r>
          </w:p>
        </w:tc>
      </w:tr>
      <w:tr w:rsidR="00D23D22" w:rsidRPr="001C0C4B" w14:paraId="265FD754" w14:textId="77777777" w:rsidTr="002A0CD0">
        <w:tc>
          <w:tcPr>
            <w:tcW w:w="1571" w:type="pct"/>
            <w:vMerge w:val="restart"/>
            <w:tcBorders>
              <w:top w:val="outset" w:sz="6" w:space="0" w:color="7B7B7B"/>
              <w:left w:val="outset" w:sz="6" w:space="0" w:color="7B7B7B"/>
              <w:bottom w:val="outset" w:sz="6" w:space="0" w:color="7B7B7B"/>
              <w:right w:val="outset" w:sz="6" w:space="0" w:color="7B7B7B"/>
            </w:tcBorders>
            <w:vAlign w:val="center"/>
            <w:hideMark/>
          </w:tcPr>
          <w:p w14:paraId="4062EC1E"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100 mL</w:t>
            </w:r>
          </w:p>
        </w:tc>
        <w:tc>
          <w:tcPr>
            <w:tcW w:w="1761" w:type="pct"/>
            <w:tcBorders>
              <w:top w:val="outset" w:sz="6" w:space="0" w:color="7B7B7B"/>
              <w:left w:val="outset" w:sz="6" w:space="0" w:color="7B7B7B"/>
              <w:bottom w:val="outset" w:sz="6" w:space="0" w:color="7B7B7B"/>
              <w:right w:val="outset" w:sz="6" w:space="0" w:color="7B7B7B"/>
            </w:tcBorders>
            <w:vAlign w:val="center"/>
            <w:hideMark/>
          </w:tcPr>
          <w:p w14:paraId="2E09090D"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30 min</w:t>
            </w:r>
          </w:p>
        </w:tc>
        <w:tc>
          <w:tcPr>
            <w:tcW w:w="1668" w:type="pct"/>
            <w:tcBorders>
              <w:top w:val="outset" w:sz="6" w:space="0" w:color="7B7B7B"/>
              <w:left w:val="outset" w:sz="6" w:space="0" w:color="7B7B7B"/>
              <w:bottom w:val="outset" w:sz="6" w:space="0" w:color="7B7B7B"/>
              <w:right w:val="outset" w:sz="6" w:space="0" w:color="7B7B7B"/>
            </w:tcBorders>
            <w:vAlign w:val="center"/>
            <w:hideMark/>
          </w:tcPr>
          <w:p w14:paraId="2BACFC82"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3.33 mL/min</w:t>
            </w:r>
          </w:p>
        </w:tc>
      </w:tr>
      <w:tr w:rsidR="00D23D22" w:rsidRPr="001C0C4B" w14:paraId="6D1B869B" w14:textId="77777777" w:rsidTr="002A0CD0">
        <w:tc>
          <w:tcPr>
            <w:tcW w:w="1571" w:type="pct"/>
            <w:vMerge/>
            <w:tcBorders>
              <w:top w:val="outset" w:sz="6" w:space="0" w:color="7B7B7B"/>
              <w:left w:val="outset" w:sz="6" w:space="0" w:color="7B7B7B"/>
              <w:bottom w:val="outset" w:sz="6" w:space="0" w:color="7B7B7B"/>
              <w:right w:val="outset" w:sz="6" w:space="0" w:color="7B7B7B"/>
            </w:tcBorders>
            <w:vAlign w:val="center"/>
            <w:hideMark/>
          </w:tcPr>
          <w:p w14:paraId="45D46BA9" w14:textId="77777777" w:rsidR="00C73DF6" w:rsidRPr="001C0C4B" w:rsidRDefault="00C73DF6" w:rsidP="00BF2FEE">
            <w:pPr>
              <w:spacing w:after="0"/>
              <w:rPr>
                <w:rFonts w:ascii="Calibri" w:hAnsi="Calibri"/>
                <w:lang w:val="en-GB"/>
              </w:rPr>
            </w:pPr>
          </w:p>
        </w:tc>
        <w:tc>
          <w:tcPr>
            <w:tcW w:w="1761" w:type="pct"/>
            <w:tcBorders>
              <w:top w:val="outset" w:sz="6" w:space="0" w:color="7B7B7B"/>
              <w:left w:val="outset" w:sz="6" w:space="0" w:color="7B7B7B"/>
              <w:bottom w:val="outset" w:sz="6" w:space="0" w:color="7B7B7B"/>
              <w:right w:val="outset" w:sz="6" w:space="0" w:color="7B7B7B"/>
            </w:tcBorders>
            <w:vAlign w:val="center"/>
            <w:hideMark/>
          </w:tcPr>
          <w:p w14:paraId="01330A70"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60 min</w:t>
            </w:r>
          </w:p>
        </w:tc>
        <w:tc>
          <w:tcPr>
            <w:tcW w:w="1668" w:type="pct"/>
            <w:tcBorders>
              <w:top w:val="outset" w:sz="6" w:space="0" w:color="7B7B7B"/>
              <w:left w:val="outset" w:sz="6" w:space="0" w:color="7B7B7B"/>
              <w:bottom w:val="outset" w:sz="6" w:space="0" w:color="7B7B7B"/>
              <w:right w:val="outset" w:sz="6" w:space="0" w:color="7B7B7B"/>
            </w:tcBorders>
            <w:vAlign w:val="center"/>
            <w:hideMark/>
          </w:tcPr>
          <w:p w14:paraId="1E242E93"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1.67 mL/min</w:t>
            </w:r>
          </w:p>
        </w:tc>
      </w:tr>
      <w:tr w:rsidR="00C73DF6" w:rsidRPr="001C0C4B" w14:paraId="565F4278" w14:textId="77777777" w:rsidTr="002A0CD0">
        <w:tc>
          <w:tcPr>
            <w:tcW w:w="1571" w:type="pct"/>
            <w:vMerge/>
            <w:tcBorders>
              <w:top w:val="outset" w:sz="6" w:space="0" w:color="7B7B7B"/>
              <w:left w:val="outset" w:sz="6" w:space="0" w:color="7B7B7B"/>
              <w:bottom w:val="outset" w:sz="6" w:space="0" w:color="7B7B7B"/>
              <w:right w:val="outset" w:sz="6" w:space="0" w:color="7B7B7B"/>
            </w:tcBorders>
            <w:vAlign w:val="center"/>
            <w:hideMark/>
          </w:tcPr>
          <w:p w14:paraId="5407DF68" w14:textId="77777777" w:rsidR="00C73DF6" w:rsidRPr="001C0C4B" w:rsidRDefault="00C73DF6" w:rsidP="00BF2FEE">
            <w:pPr>
              <w:spacing w:after="0"/>
              <w:rPr>
                <w:rFonts w:ascii="Calibri" w:hAnsi="Calibri"/>
                <w:lang w:val="en-GB"/>
              </w:rPr>
            </w:pPr>
          </w:p>
        </w:tc>
        <w:tc>
          <w:tcPr>
            <w:tcW w:w="1761" w:type="pct"/>
            <w:tcBorders>
              <w:top w:val="outset" w:sz="6" w:space="0" w:color="7B7B7B"/>
              <w:left w:val="outset" w:sz="6" w:space="0" w:color="7B7B7B"/>
              <w:bottom w:val="outset" w:sz="6" w:space="0" w:color="7B7B7B"/>
              <w:right w:val="outset" w:sz="6" w:space="0" w:color="7B7B7B"/>
            </w:tcBorders>
            <w:vAlign w:val="center"/>
            <w:hideMark/>
          </w:tcPr>
          <w:p w14:paraId="4D127B03"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120 min</w:t>
            </w:r>
          </w:p>
        </w:tc>
        <w:tc>
          <w:tcPr>
            <w:tcW w:w="1668" w:type="pct"/>
            <w:tcBorders>
              <w:top w:val="outset" w:sz="6" w:space="0" w:color="7B7B7B"/>
              <w:left w:val="outset" w:sz="6" w:space="0" w:color="7B7B7B"/>
              <w:bottom w:val="outset" w:sz="6" w:space="0" w:color="7B7B7B"/>
              <w:right w:val="outset" w:sz="6" w:space="0" w:color="7B7B7B"/>
            </w:tcBorders>
            <w:vAlign w:val="center"/>
            <w:hideMark/>
          </w:tcPr>
          <w:p w14:paraId="590600F3"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0.83 mL/min</w:t>
            </w:r>
          </w:p>
        </w:tc>
      </w:tr>
    </w:tbl>
    <w:p w14:paraId="1F85C76B" w14:textId="77777777" w:rsidR="00C73DF6" w:rsidRPr="001C0C4B" w:rsidRDefault="00C73DF6" w:rsidP="00C73DF6">
      <w:pPr>
        <w:spacing w:after="120" w:line="276" w:lineRule="auto"/>
        <w:jc w:val="both"/>
        <w:rPr>
          <w:rFonts w:ascii="Calibri" w:hAnsi="Calibri" w:cs="Calibri"/>
        </w:rPr>
      </w:pPr>
    </w:p>
    <w:p w14:paraId="6A4014D5"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In our trial, we will give the:</w:t>
      </w:r>
    </w:p>
    <w:p w14:paraId="376C1BBA"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 xml:space="preserve">loading dose in 210 mL of N saline over 60 minutes  </w:t>
      </w:r>
    </w:p>
    <w:p w14:paraId="49707B12"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maintenance doses in 230 mL of N saline</w:t>
      </w:r>
    </w:p>
    <w:p w14:paraId="7B2E4CD5"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Care should be taken to prevent contamination when preparing the remdesivir dose. Use </w:t>
      </w:r>
      <w:r w:rsidRPr="001C0C4B">
        <w:rPr>
          <w:rFonts w:ascii="Calibri" w:hAnsi="Calibri" w:cs="Calibri"/>
          <w:b/>
        </w:rPr>
        <w:t xml:space="preserve">aseptic technique </w:t>
      </w:r>
      <w:r w:rsidRPr="001C0C4B">
        <w:rPr>
          <w:rFonts w:ascii="Calibri" w:hAnsi="Calibri" w:cs="Calibri"/>
        </w:rPr>
        <w:t>and administer IV medicines immediately after preparation.</w:t>
      </w:r>
    </w:p>
    <w:p w14:paraId="3A468BC7"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Recommended dilution instructions – Reconstituted remdesivir powder for concentrate for solution for infusion. </w:t>
      </w:r>
    </w:p>
    <w:tbl>
      <w:tblPr>
        <w:tblW w:w="9802" w:type="dxa"/>
        <w:tblBorders>
          <w:top w:val="outset" w:sz="6" w:space="0" w:color="7B7B7B"/>
          <w:left w:val="outset" w:sz="6" w:space="0" w:color="7B7B7B"/>
          <w:bottom w:val="outset" w:sz="6" w:space="0" w:color="7B7B7B"/>
          <w:right w:val="outset" w:sz="6" w:space="0" w:color="7B7B7B"/>
        </w:tblBorders>
        <w:tblCellMar>
          <w:top w:w="30" w:type="dxa"/>
          <w:left w:w="30" w:type="dxa"/>
          <w:bottom w:w="30" w:type="dxa"/>
          <w:right w:w="30" w:type="dxa"/>
        </w:tblCellMar>
        <w:tblLook w:val="04A0" w:firstRow="1" w:lastRow="0" w:firstColumn="1" w:lastColumn="0" w:noHBand="0" w:noVBand="1"/>
      </w:tblPr>
      <w:tblGrid>
        <w:gridCol w:w="1451"/>
        <w:gridCol w:w="2233"/>
        <w:gridCol w:w="3058"/>
        <w:gridCol w:w="3060"/>
      </w:tblGrid>
      <w:tr w:rsidR="00D23D22" w:rsidRPr="001C0C4B" w14:paraId="757E6013" w14:textId="77777777" w:rsidTr="00750F2E">
        <w:trPr>
          <w:trHeight w:val="684"/>
        </w:trPr>
        <w:tc>
          <w:tcPr>
            <w:tcW w:w="740" w:type="pct"/>
            <w:tcBorders>
              <w:top w:val="outset" w:sz="6" w:space="0" w:color="7B7B7B"/>
              <w:left w:val="outset" w:sz="6" w:space="0" w:color="7B7B7B"/>
              <w:bottom w:val="outset" w:sz="6" w:space="0" w:color="7B7B7B"/>
              <w:right w:val="outset" w:sz="6" w:space="0" w:color="7B7B7B"/>
            </w:tcBorders>
            <w:vAlign w:val="bottom"/>
            <w:hideMark/>
          </w:tcPr>
          <w:p w14:paraId="3F6D29A2" w14:textId="7CF4D64E" w:rsidR="00C73DF6" w:rsidRPr="001C0C4B" w:rsidRDefault="00C73DF6" w:rsidP="00DA406F">
            <w:pPr>
              <w:pStyle w:val="Table"/>
              <w:jc w:val="both"/>
              <w:rPr>
                <w:lang w:val="en-GB"/>
              </w:rPr>
            </w:pPr>
            <w:r w:rsidRPr="001C0C4B">
              <w:rPr>
                <w:lang w:val="en-GB"/>
              </w:rPr>
              <w:lastRenderedPageBreak/>
              <w:t>Remdesivir dose</w:t>
            </w:r>
          </w:p>
        </w:tc>
        <w:tc>
          <w:tcPr>
            <w:tcW w:w="1139" w:type="pct"/>
            <w:tcBorders>
              <w:top w:val="outset" w:sz="6" w:space="0" w:color="7B7B7B"/>
              <w:left w:val="outset" w:sz="6" w:space="0" w:color="7B7B7B"/>
              <w:bottom w:val="outset" w:sz="6" w:space="0" w:color="7B7B7B"/>
              <w:right w:val="outset" w:sz="6" w:space="0" w:color="7B7B7B"/>
            </w:tcBorders>
            <w:vAlign w:val="bottom"/>
            <w:hideMark/>
          </w:tcPr>
          <w:p w14:paraId="59E30B9C" w14:textId="57CE58CF" w:rsidR="00C73DF6" w:rsidRPr="001C0C4B" w:rsidRDefault="00C73DF6" w:rsidP="00750F2E">
            <w:pPr>
              <w:pStyle w:val="Table"/>
              <w:jc w:val="left"/>
              <w:rPr>
                <w:lang w:val="en-GB"/>
              </w:rPr>
            </w:pPr>
            <w:r w:rsidRPr="001C0C4B">
              <w:rPr>
                <w:lang w:val="en-GB"/>
              </w:rPr>
              <w:t>Sodium chloride 9 mg/mL (0.9%) infusion bag volume to be used</w:t>
            </w:r>
          </w:p>
        </w:tc>
        <w:tc>
          <w:tcPr>
            <w:tcW w:w="1560" w:type="pct"/>
            <w:tcBorders>
              <w:top w:val="outset" w:sz="6" w:space="0" w:color="7B7B7B"/>
              <w:left w:val="outset" w:sz="6" w:space="0" w:color="7B7B7B"/>
              <w:bottom w:val="outset" w:sz="6" w:space="0" w:color="7B7B7B"/>
              <w:right w:val="outset" w:sz="6" w:space="0" w:color="7B7B7B"/>
            </w:tcBorders>
            <w:vAlign w:val="bottom"/>
            <w:hideMark/>
          </w:tcPr>
          <w:p w14:paraId="76413EC1" w14:textId="2231DB63" w:rsidR="00C73DF6" w:rsidRPr="001C0C4B" w:rsidRDefault="00C73DF6" w:rsidP="00750F2E">
            <w:pPr>
              <w:pStyle w:val="Table"/>
              <w:jc w:val="left"/>
              <w:rPr>
                <w:lang w:val="en-GB"/>
              </w:rPr>
            </w:pPr>
            <w:r w:rsidRPr="001C0C4B">
              <w:rPr>
                <w:lang w:val="en-GB"/>
              </w:rPr>
              <w:t>Volume to be withdrawn and discarded from sodium chloride 9 mg/mL (0.9%) infusion bag</w:t>
            </w:r>
          </w:p>
        </w:tc>
        <w:tc>
          <w:tcPr>
            <w:tcW w:w="1561" w:type="pct"/>
            <w:tcBorders>
              <w:top w:val="outset" w:sz="6" w:space="0" w:color="7B7B7B"/>
              <w:left w:val="outset" w:sz="6" w:space="0" w:color="7B7B7B"/>
              <w:bottom w:val="outset" w:sz="6" w:space="0" w:color="7B7B7B"/>
              <w:right w:val="outset" w:sz="6" w:space="0" w:color="7B7B7B"/>
            </w:tcBorders>
            <w:vAlign w:val="bottom"/>
            <w:hideMark/>
          </w:tcPr>
          <w:p w14:paraId="40115F36" w14:textId="6DBA24CD" w:rsidR="00C73DF6" w:rsidRPr="001C0C4B" w:rsidRDefault="00C73DF6" w:rsidP="00750F2E">
            <w:pPr>
              <w:pStyle w:val="Table"/>
              <w:jc w:val="left"/>
              <w:rPr>
                <w:lang w:val="en-GB"/>
              </w:rPr>
            </w:pPr>
            <w:r w:rsidRPr="001C0C4B">
              <w:rPr>
                <w:lang w:val="en-GB"/>
              </w:rPr>
              <w:t>Required volume of reconstituted remdesivir</w:t>
            </w:r>
          </w:p>
        </w:tc>
      </w:tr>
      <w:tr w:rsidR="00D23D22" w:rsidRPr="001C0C4B" w14:paraId="4456D02E" w14:textId="77777777" w:rsidTr="00750F2E">
        <w:tc>
          <w:tcPr>
            <w:tcW w:w="740" w:type="pct"/>
            <w:tcBorders>
              <w:top w:val="outset" w:sz="6" w:space="0" w:color="7B7B7B"/>
              <w:left w:val="outset" w:sz="6" w:space="0" w:color="7B7B7B"/>
              <w:bottom w:val="outset" w:sz="6" w:space="0" w:color="7B7B7B"/>
              <w:right w:val="outset" w:sz="6" w:space="0" w:color="7B7B7B"/>
            </w:tcBorders>
            <w:vAlign w:val="center"/>
            <w:hideMark/>
          </w:tcPr>
          <w:p w14:paraId="0C38A15B"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 xml:space="preserve">200 mg </w:t>
            </w:r>
          </w:p>
          <w:p w14:paraId="7392DBA0"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(2 vials)</w:t>
            </w:r>
          </w:p>
        </w:tc>
        <w:tc>
          <w:tcPr>
            <w:tcW w:w="1139" w:type="pct"/>
            <w:tcBorders>
              <w:top w:val="outset" w:sz="6" w:space="0" w:color="7B7B7B"/>
              <w:left w:val="outset" w:sz="6" w:space="0" w:color="7B7B7B"/>
              <w:bottom w:val="outset" w:sz="6" w:space="0" w:color="7B7B7B"/>
              <w:right w:val="outset" w:sz="6" w:space="0" w:color="7B7B7B"/>
            </w:tcBorders>
            <w:vAlign w:val="center"/>
            <w:hideMark/>
          </w:tcPr>
          <w:p w14:paraId="64007279"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250 mL</w:t>
            </w:r>
          </w:p>
        </w:tc>
        <w:tc>
          <w:tcPr>
            <w:tcW w:w="1560" w:type="pct"/>
            <w:tcBorders>
              <w:top w:val="outset" w:sz="6" w:space="0" w:color="7B7B7B"/>
              <w:left w:val="outset" w:sz="6" w:space="0" w:color="7B7B7B"/>
              <w:bottom w:val="outset" w:sz="6" w:space="0" w:color="7B7B7B"/>
              <w:right w:val="outset" w:sz="6" w:space="0" w:color="7B7B7B"/>
            </w:tcBorders>
            <w:vAlign w:val="center"/>
            <w:hideMark/>
          </w:tcPr>
          <w:p w14:paraId="003474C9"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40 mL</w:t>
            </w:r>
          </w:p>
        </w:tc>
        <w:tc>
          <w:tcPr>
            <w:tcW w:w="1561" w:type="pct"/>
            <w:tcBorders>
              <w:top w:val="outset" w:sz="6" w:space="0" w:color="7B7B7B"/>
              <w:left w:val="outset" w:sz="6" w:space="0" w:color="7B7B7B"/>
              <w:bottom w:val="outset" w:sz="6" w:space="0" w:color="7B7B7B"/>
              <w:right w:val="outset" w:sz="6" w:space="0" w:color="7B7B7B"/>
            </w:tcBorders>
            <w:vAlign w:val="center"/>
            <w:hideMark/>
          </w:tcPr>
          <w:p w14:paraId="7770FAEA"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2 × 20 mL</w:t>
            </w:r>
          </w:p>
        </w:tc>
      </w:tr>
      <w:tr w:rsidR="00C73DF6" w:rsidRPr="001C0C4B" w14:paraId="7A7AE23A" w14:textId="77777777" w:rsidTr="00750F2E">
        <w:trPr>
          <w:trHeight w:val="55"/>
        </w:trPr>
        <w:tc>
          <w:tcPr>
            <w:tcW w:w="740" w:type="pct"/>
            <w:tcBorders>
              <w:top w:val="outset" w:sz="6" w:space="0" w:color="7B7B7B"/>
              <w:left w:val="outset" w:sz="6" w:space="0" w:color="7B7B7B"/>
              <w:bottom w:val="outset" w:sz="6" w:space="0" w:color="7B7B7B"/>
              <w:right w:val="outset" w:sz="6" w:space="0" w:color="7B7B7B"/>
            </w:tcBorders>
            <w:vAlign w:val="center"/>
            <w:hideMark/>
          </w:tcPr>
          <w:p w14:paraId="517D4F99"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 xml:space="preserve">100 mg </w:t>
            </w:r>
          </w:p>
          <w:p w14:paraId="4F638715"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(1 vial)</w:t>
            </w:r>
          </w:p>
        </w:tc>
        <w:tc>
          <w:tcPr>
            <w:tcW w:w="1139" w:type="pct"/>
            <w:tcBorders>
              <w:top w:val="outset" w:sz="6" w:space="0" w:color="7B7B7B"/>
              <w:left w:val="outset" w:sz="6" w:space="0" w:color="7B7B7B"/>
              <w:bottom w:val="outset" w:sz="6" w:space="0" w:color="7B7B7B"/>
              <w:right w:val="outset" w:sz="6" w:space="0" w:color="7B7B7B"/>
            </w:tcBorders>
            <w:vAlign w:val="center"/>
            <w:hideMark/>
          </w:tcPr>
          <w:p w14:paraId="38421D0D"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250 mL</w:t>
            </w:r>
          </w:p>
        </w:tc>
        <w:tc>
          <w:tcPr>
            <w:tcW w:w="1560" w:type="pct"/>
            <w:tcBorders>
              <w:top w:val="outset" w:sz="6" w:space="0" w:color="7B7B7B"/>
              <w:left w:val="outset" w:sz="6" w:space="0" w:color="7B7B7B"/>
              <w:bottom w:val="outset" w:sz="6" w:space="0" w:color="7B7B7B"/>
              <w:right w:val="outset" w:sz="6" w:space="0" w:color="7B7B7B"/>
            </w:tcBorders>
            <w:vAlign w:val="center"/>
            <w:hideMark/>
          </w:tcPr>
          <w:p w14:paraId="5B614F31"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20 mL</w:t>
            </w:r>
          </w:p>
        </w:tc>
        <w:tc>
          <w:tcPr>
            <w:tcW w:w="1561" w:type="pct"/>
            <w:tcBorders>
              <w:top w:val="outset" w:sz="6" w:space="0" w:color="7B7B7B"/>
              <w:left w:val="outset" w:sz="6" w:space="0" w:color="7B7B7B"/>
              <w:bottom w:val="outset" w:sz="6" w:space="0" w:color="7B7B7B"/>
              <w:right w:val="outset" w:sz="6" w:space="0" w:color="7B7B7B"/>
            </w:tcBorders>
            <w:vAlign w:val="center"/>
            <w:hideMark/>
          </w:tcPr>
          <w:p w14:paraId="3F27F1FA" w14:textId="77777777" w:rsidR="00C73DF6" w:rsidRPr="001C0C4B" w:rsidRDefault="00C73DF6" w:rsidP="008E1490">
            <w:pPr>
              <w:pStyle w:val="tabtext"/>
              <w:spacing w:after="120" w:line="276" w:lineRule="auto"/>
              <w:jc w:val="both"/>
              <w:rPr>
                <w:rFonts w:ascii="Calibri" w:hAnsi="Calibri" w:cs="Calibri"/>
              </w:rPr>
            </w:pPr>
            <w:r w:rsidRPr="001C0C4B">
              <w:rPr>
                <w:rFonts w:ascii="Calibri" w:hAnsi="Calibri" w:cs="Calibri"/>
              </w:rPr>
              <w:t>20 mL</w:t>
            </w:r>
          </w:p>
        </w:tc>
      </w:tr>
    </w:tbl>
    <w:p w14:paraId="1C9BE948" w14:textId="77777777" w:rsidR="00C966A5" w:rsidRPr="001C0C4B" w:rsidRDefault="00C966A5" w:rsidP="00C966A5">
      <w:pPr>
        <w:rPr>
          <w:lang w:val="en-GB"/>
        </w:rPr>
      </w:pPr>
    </w:p>
    <w:p w14:paraId="5745C62D" w14:textId="029133E7" w:rsidR="00C73DF6" w:rsidRPr="001C0C4B" w:rsidRDefault="000A02AB" w:rsidP="00C966A5">
      <w:pPr>
        <w:rPr>
          <w:lang w:val="en-GB"/>
        </w:rPr>
      </w:pPr>
      <w:r w:rsidRPr="001C0C4B">
        <w:rPr>
          <w:noProof/>
          <w:lang w:bidi="th-TH"/>
        </w:rPr>
        <w:drawing>
          <wp:anchor distT="0" distB="0" distL="114300" distR="114300" simplePos="0" relativeHeight="251675660" behindDoc="0" locked="0" layoutInCell="1" allowOverlap="1" wp14:anchorId="372AD90A" wp14:editId="01D51EAB">
            <wp:simplePos x="0" y="0"/>
            <wp:positionH relativeFrom="margin">
              <wp:posOffset>0</wp:posOffset>
            </wp:positionH>
            <wp:positionV relativeFrom="paragraph">
              <wp:posOffset>244475</wp:posOffset>
            </wp:positionV>
            <wp:extent cx="3435985" cy="4251960"/>
            <wp:effectExtent l="0" t="0" r="0" b="0"/>
            <wp:wrapSquare wrapText="bothSides"/>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5985" cy="4251960"/>
                    </a:xfrm>
                    <a:prstGeom prst="rect">
                      <a:avLst/>
                    </a:prstGeom>
                    <a:noFill/>
                  </pic:spPr>
                </pic:pic>
              </a:graphicData>
            </a:graphic>
            <wp14:sizeRelH relativeFrom="margin">
              <wp14:pctWidth>0</wp14:pctWidth>
            </wp14:sizeRelH>
            <wp14:sizeRelV relativeFrom="margin">
              <wp14:pctHeight>0</wp14:pctHeight>
            </wp14:sizeRelV>
          </wp:anchor>
        </w:drawing>
      </w:r>
      <w:r w:rsidR="00C73DF6" w:rsidRPr="001C0C4B">
        <w:rPr>
          <w:lang w:val="en-GB"/>
        </w:rPr>
        <w:t>Pharmacokinetic properties</w:t>
      </w:r>
    </w:p>
    <w:p w14:paraId="2AD096F9" w14:textId="3F4785BA"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w:t>
      </w:r>
      <w:r w:rsidR="0017778A" w:rsidRPr="001C0C4B">
        <w:rPr>
          <w:rFonts w:ascii="Calibri" w:hAnsi="Calibri" w:cs="Calibri"/>
        </w:rPr>
        <w:t>pharmacokinetic</w:t>
      </w:r>
      <w:r w:rsidRPr="001C0C4B">
        <w:rPr>
          <w:rFonts w:ascii="Calibri" w:hAnsi="Calibri" w:cs="Calibri"/>
        </w:rPr>
        <w:t xml:space="preserve"> profile for remdesivir (RDV) and two of its metabolites are shown below </w:t>
      </w:r>
      <w:r w:rsidRPr="001C0C4B">
        <w:rPr>
          <w:rFonts w:ascii="Calibri" w:hAnsi="Calibri"/>
        </w:rPr>
        <w:t>(</w:t>
      </w:r>
      <w:r w:rsidR="000A192C" w:rsidRPr="001C0C4B">
        <w:rPr>
          <w:rFonts w:ascii="Calibri" w:hAnsi="Calibri"/>
        </w:rPr>
        <w:t>5</w:t>
      </w:r>
      <w:r w:rsidRPr="001C0C4B">
        <w:rPr>
          <w:rFonts w:ascii="Calibri" w:hAnsi="Calibri"/>
        </w:rPr>
        <w:t>).</w:t>
      </w:r>
      <w:r w:rsidRPr="001C0C4B">
        <w:rPr>
          <w:rFonts w:ascii="Calibri" w:hAnsi="Calibri" w:cs="Calibri"/>
        </w:rPr>
        <w:t xml:space="preserve"> Peak plasma concentrations of remdesivir occur at the end of the infusion, declining rapidly thereafter with a half-life of approximately 1 hour. Peak plasma concentrations of the principal biologically active metabolite GS-441524 were observed at 1.5 to 2.0 hours post start of a 30 minute infusion. GS-441524 has a median elimination half-life of 27h. </w:t>
      </w:r>
    </w:p>
    <w:p w14:paraId="1F3C9425"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shd w:val="clear" w:color="auto" w:fill="FFFFFF"/>
        </w:rPr>
        <w:t xml:space="preserve">Remdesivir undergoes extensive intracellular metabolism by esterases to produce several active antiviral metabolites. </w:t>
      </w:r>
    </w:p>
    <w:p w14:paraId="720C0011" w14:textId="35E1FAE6"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Renal clearance is the major elimination pathway for GS-441524 whilst only 10% of RDV is found in urine. With its long half-life, GS-441524 accumulates ~1.9-fold after daily dosing </w:t>
      </w:r>
      <w:r w:rsidRPr="001C0C4B">
        <w:rPr>
          <w:rFonts w:ascii="Calibri" w:hAnsi="Calibri"/>
        </w:rPr>
        <w:t>(</w:t>
      </w:r>
      <w:r w:rsidR="000A192C" w:rsidRPr="001C0C4B">
        <w:rPr>
          <w:rFonts w:ascii="Calibri" w:hAnsi="Calibri"/>
        </w:rPr>
        <w:t>5</w:t>
      </w:r>
      <w:r w:rsidRPr="001C0C4B">
        <w:rPr>
          <w:rFonts w:ascii="Calibri" w:hAnsi="Calibri"/>
        </w:rPr>
        <w:t>).</w:t>
      </w:r>
    </w:p>
    <w:p w14:paraId="4C833CA0" w14:textId="77777777" w:rsidR="00583BC8" w:rsidRPr="001C0C4B" w:rsidRDefault="00583BC8" w:rsidP="00C73DF6">
      <w:pPr>
        <w:spacing w:after="120" w:line="276" w:lineRule="auto"/>
        <w:jc w:val="both"/>
        <w:rPr>
          <w:rFonts w:ascii="Calibri" w:hAnsi="Calibri" w:cs="Calibri"/>
        </w:rPr>
      </w:pPr>
    </w:p>
    <w:p w14:paraId="1F9C11F0" w14:textId="77777777" w:rsidR="00C966A5" w:rsidRPr="001C0C4B" w:rsidRDefault="00C966A5" w:rsidP="00C966A5">
      <w:pPr>
        <w:rPr>
          <w:lang w:val="en-GB"/>
        </w:rPr>
      </w:pPr>
    </w:p>
    <w:p w14:paraId="516B87F5" w14:textId="319AEDA8" w:rsidR="00C73DF6" w:rsidRPr="001C0C4B" w:rsidRDefault="00C73DF6" w:rsidP="00C966A5">
      <w:pPr>
        <w:rPr>
          <w:lang w:val="en-GB"/>
        </w:rPr>
      </w:pPr>
      <w:r w:rsidRPr="001C0C4B">
        <w:rPr>
          <w:lang w:val="en-GB"/>
        </w:rPr>
        <w:t>Pharmacokinetic sampling schedule: (only if there is evidence of accelerated viral clearance)</w:t>
      </w:r>
    </w:p>
    <w:p w14:paraId="254B9E8B" w14:textId="428E6988"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All patients will need to be admitted for 12 hours for intense venous blood sampling around the </w:t>
      </w:r>
      <w:r w:rsidRPr="001C0C4B">
        <w:rPr>
          <w:rFonts w:ascii="Calibri" w:hAnsi="Calibri" w:cs="Calibri"/>
          <w:b/>
        </w:rPr>
        <w:t>loading dose</w:t>
      </w:r>
      <w:r w:rsidRPr="001C0C4B">
        <w:rPr>
          <w:rFonts w:ascii="Calibri" w:hAnsi="Calibri" w:cs="Calibri"/>
        </w:rPr>
        <w:t xml:space="preserve">. </w:t>
      </w:r>
    </w:p>
    <w:p w14:paraId="610DFA7C"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timings are: </w:t>
      </w:r>
    </w:p>
    <w:p w14:paraId="704F4587"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Pre-dose D0H0, then</w:t>
      </w:r>
    </w:p>
    <w:p w14:paraId="2C2B4E1F"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1, 2, 3, 4, 6, 9, 12 and 24h post dose</w:t>
      </w:r>
    </w:p>
    <w:p w14:paraId="1460BB54" w14:textId="5E7B7B00" w:rsidR="00C73DF6" w:rsidRPr="001C0C4B" w:rsidRDefault="00C73DF6" w:rsidP="00C73DF6">
      <w:pPr>
        <w:spacing w:after="120" w:line="276" w:lineRule="auto"/>
        <w:jc w:val="both"/>
        <w:rPr>
          <w:rFonts w:ascii="Calibri" w:hAnsi="Calibri" w:cs="Calibri"/>
        </w:rPr>
      </w:pPr>
      <w:r w:rsidRPr="001C0C4B">
        <w:rPr>
          <w:rFonts w:ascii="Calibri" w:hAnsi="Calibri" w:cs="Calibri"/>
        </w:rPr>
        <w:t>Note that blood will be taken on D3 and D7 for routine haematology and biochemistry. The EDTA sample will be used to measure the drug concentrations.</w:t>
      </w:r>
    </w:p>
    <w:p w14:paraId="422A9667" w14:textId="77777777" w:rsidR="00F35AD2" w:rsidRPr="001C0C4B" w:rsidRDefault="00F35AD2" w:rsidP="00C73DF6">
      <w:pPr>
        <w:spacing w:after="120" w:line="276" w:lineRule="auto"/>
        <w:jc w:val="both"/>
        <w:rPr>
          <w:rFonts w:ascii="Calibri" w:hAnsi="Calibri" w:cs="Calibri"/>
        </w:rPr>
      </w:pPr>
    </w:p>
    <w:p w14:paraId="5DFF449B" w14:textId="77777777" w:rsidR="00C73DF6" w:rsidRPr="001C0C4B" w:rsidRDefault="00C73DF6" w:rsidP="00C966A5">
      <w:pPr>
        <w:rPr>
          <w:lang w:val="en-GB"/>
        </w:rPr>
      </w:pPr>
      <w:r w:rsidRPr="001C0C4B">
        <w:rPr>
          <w:lang w:val="en-GB"/>
        </w:rPr>
        <w:lastRenderedPageBreak/>
        <w:t xml:space="preserve">Toxicity </w:t>
      </w:r>
    </w:p>
    <w:p w14:paraId="24F7C5E7"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Remdesivir is generally well-tolerated. The main toxicities are listed below.</w:t>
      </w:r>
    </w:p>
    <w:p w14:paraId="506FEF5B" w14:textId="77777777" w:rsidR="00C73DF6" w:rsidRPr="001C0C4B" w:rsidRDefault="00C73DF6" w:rsidP="00C966A5">
      <w:pPr>
        <w:rPr>
          <w:lang w:val="en-GB"/>
        </w:rPr>
      </w:pPr>
      <w:r w:rsidRPr="001C0C4B">
        <w:rPr>
          <w:lang w:val="en-GB"/>
        </w:rPr>
        <w:t xml:space="preserve">Hypersensitivity including infusion-related and anaphylactic reactions </w:t>
      </w:r>
    </w:p>
    <w:p w14:paraId="713E57FD"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Signs and symptoms may include hypotension, hypertension, tachycardia, bradycardia, hypoxia, fever, dyspnoea, wheezing, angioedema, rash, nausea, vomiting, diaphoresis, and shivering. </w:t>
      </w:r>
    </w:p>
    <w:p w14:paraId="7FC26E41"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Stop the infusion and treat as clinically indicated.</w:t>
      </w:r>
    </w:p>
    <w:p w14:paraId="610CC2CD"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A hypersensitivity reaction contraindicates additional doses.</w:t>
      </w:r>
    </w:p>
    <w:p w14:paraId="419A10CF" w14:textId="77777777" w:rsidR="00C73DF6" w:rsidRPr="001C0C4B" w:rsidRDefault="00C73DF6" w:rsidP="00C966A5">
      <w:pPr>
        <w:rPr>
          <w:lang w:val="en-GB"/>
        </w:rPr>
      </w:pPr>
      <w:r w:rsidRPr="001C0C4B">
        <w:rPr>
          <w:lang w:val="en-GB"/>
        </w:rPr>
        <w:t xml:space="preserve">Transaminase elevations </w:t>
      </w:r>
    </w:p>
    <w:p w14:paraId="4E83A2F9" w14:textId="0EDC9408"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Transaminase elevations have been observed in healthy volunteers and patients with COVID-19 </w:t>
      </w:r>
      <w:r w:rsidRPr="001C0C4B">
        <w:rPr>
          <w:rFonts w:ascii="Calibri" w:hAnsi="Calibri"/>
        </w:rPr>
        <w:t>(</w:t>
      </w:r>
      <w:r w:rsidR="000A02AB" w:rsidRPr="001C0C4B">
        <w:rPr>
          <w:rFonts w:ascii="Calibri" w:hAnsi="Calibri" w:cs="Calibri"/>
        </w:rPr>
        <w:t>9</w:t>
      </w:r>
      <w:r w:rsidRPr="001C0C4B">
        <w:rPr>
          <w:rFonts w:ascii="Calibri" w:hAnsi="Calibri"/>
        </w:rPr>
        <w:t>).</w:t>
      </w:r>
      <w:r w:rsidRPr="001C0C4B">
        <w:rPr>
          <w:rFonts w:ascii="Calibri" w:hAnsi="Calibri" w:cs="Calibri"/>
        </w:rPr>
        <w:t xml:space="preserve"> </w:t>
      </w:r>
    </w:p>
    <w:p w14:paraId="2B101921"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The SPC says remdesivir should be discontinued in patients who develop:</w:t>
      </w:r>
    </w:p>
    <w:p w14:paraId="23A0C555" w14:textId="49E23BE3" w:rsidR="00C73DF6" w:rsidRPr="001C0C4B" w:rsidRDefault="00C73DF6" w:rsidP="009E06F8">
      <w:pPr>
        <w:pStyle w:val="bullet1"/>
        <w:numPr>
          <w:ilvl w:val="0"/>
          <w:numId w:val="11"/>
        </w:numPr>
        <w:spacing w:line="276" w:lineRule="auto"/>
        <w:ind w:left="357" w:hanging="357"/>
        <w:jc w:val="both"/>
        <w:rPr>
          <w:rFonts w:ascii="Calibri" w:eastAsia="Times New Roman" w:hAnsi="Calibri" w:cs="Calibri"/>
          <w:lang w:val="en-GB"/>
        </w:rPr>
      </w:pPr>
      <w:r w:rsidRPr="001C0C4B">
        <w:rPr>
          <w:rFonts w:ascii="Calibri" w:hAnsi="Calibri" w:cs="Calibri"/>
          <w:lang w:val="en-GB"/>
        </w:rPr>
        <w:t xml:space="preserve">ALT ≥ 5 times the upper limit of normal during treatment with remdesivir </w:t>
      </w:r>
    </w:p>
    <w:p w14:paraId="69BF0626" w14:textId="07204A63"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ALT elevation accompanied by signs or symptoms of liver inflammation or increasing conjugated bilirubin, alkaline phosphatase, or international normalised ratio (INR)</w:t>
      </w:r>
    </w:p>
    <w:p w14:paraId="605BC974"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In our study, remdesivir will be stopped if:</w:t>
      </w:r>
    </w:p>
    <w:p w14:paraId="3C4C4553"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ALT ≥ 5 x ULN</w:t>
      </w:r>
    </w:p>
    <w:p w14:paraId="550C675B" w14:textId="3F27A74D"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 xml:space="preserve">ALT &gt; 3 x ULN &amp; total bilirubin &gt; 2 x ULN (meeting the Hy’s Law criteria) </w:t>
      </w:r>
      <w:r w:rsidRPr="001C0C4B">
        <w:rPr>
          <w:rFonts w:ascii="Calibri" w:hAnsi="Calibri"/>
          <w:lang w:val="en-GB"/>
        </w:rPr>
        <w:t>(</w:t>
      </w:r>
      <w:r w:rsidR="000A02AB" w:rsidRPr="001C0C4B">
        <w:rPr>
          <w:rFonts w:ascii="Calibri" w:hAnsi="Calibri" w:cs="Calibri"/>
          <w:noProof/>
          <w:lang w:val="en-GB"/>
        </w:rPr>
        <w:t>9</w:t>
      </w:r>
      <w:r w:rsidRPr="001C0C4B">
        <w:rPr>
          <w:rFonts w:ascii="Calibri" w:hAnsi="Calibri"/>
          <w:lang w:val="en-GB"/>
        </w:rPr>
        <w:t>)</w:t>
      </w:r>
    </w:p>
    <w:p w14:paraId="57E5DE9B"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Total bilirubin &gt; 2 x ULN (suggesting a cholestatic liver injury)</w:t>
      </w:r>
    </w:p>
    <w:p w14:paraId="2899C444" w14:textId="77777777" w:rsidR="00C73DF6" w:rsidRPr="001C0C4B" w:rsidRDefault="00C73DF6" w:rsidP="00C966A5">
      <w:pPr>
        <w:rPr>
          <w:lang w:val="en-GB"/>
        </w:rPr>
      </w:pPr>
      <w:r w:rsidRPr="001C0C4B">
        <w:rPr>
          <w:lang w:val="en-GB"/>
        </w:rPr>
        <w:t>Common symptoms &amp; signs</w:t>
      </w:r>
    </w:p>
    <w:p w14:paraId="2E0B2405"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These include:</w:t>
      </w:r>
    </w:p>
    <w:p w14:paraId="7C7199F2"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Headache</w:t>
      </w:r>
    </w:p>
    <w:p w14:paraId="2D2BD9B8"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Nausea</w:t>
      </w:r>
    </w:p>
    <w:p w14:paraId="064C249D"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 xml:space="preserve">Rashes e.g. maculopapular rash  </w:t>
      </w:r>
    </w:p>
    <w:p w14:paraId="32255A6D" w14:textId="77777777" w:rsidR="00C73DF6" w:rsidRPr="001C0C4B" w:rsidRDefault="00C73DF6" w:rsidP="00C966A5">
      <w:pPr>
        <w:rPr>
          <w:lang w:val="en-GB"/>
        </w:rPr>
      </w:pPr>
      <w:r w:rsidRPr="001C0C4B">
        <w:rPr>
          <w:lang w:val="en-GB"/>
        </w:rPr>
        <w:t>Contraindications</w:t>
      </w:r>
    </w:p>
    <w:p w14:paraId="5E0AD4B3"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Known hypersensitivity.</w:t>
      </w:r>
    </w:p>
    <w:p w14:paraId="608EAD58" w14:textId="77777777" w:rsidR="00C73DF6" w:rsidRPr="001C0C4B" w:rsidRDefault="00C73DF6" w:rsidP="00C966A5">
      <w:pPr>
        <w:rPr>
          <w:lang w:val="en-GB"/>
        </w:rPr>
      </w:pPr>
      <w:r w:rsidRPr="001C0C4B">
        <w:rPr>
          <w:lang w:val="en-GB"/>
        </w:rPr>
        <w:t xml:space="preserve">Renal impairment </w:t>
      </w:r>
    </w:p>
    <w:p w14:paraId="5C9CEC66" w14:textId="6F4A0C99" w:rsidR="00C73DF6" w:rsidRPr="001C0C4B" w:rsidRDefault="00C73DF6" w:rsidP="00C73DF6">
      <w:pPr>
        <w:spacing w:after="120" w:line="276" w:lineRule="auto"/>
        <w:jc w:val="both"/>
        <w:rPr>
          <w:rFonts w:ascii="Calibri" w:hAnsi="Calibri" w:cs="Calibri"/>
        </w:rPr>
      </w:pPr>
      <w:r w:rsidRPr="001C0C4B">
        <w:rPr>
          <w:rFonts w:ascii="Calibri" w:hAnsi="Calibri" w:cs="Calibri"/>
        </w:rPr>
        <w:t>Patients with eGFR ≥ 30 mL/min</w:t>
      </w:r>
      <w:bookmarkStart w:id="396" w:name="_Hlk61952211"/>
      <w:r w:rsidRPr="001C0C4B">
        <w:rPr>
          <w:rFonts w:ascii="Calibri" w:hAnsi="Calibri" w:cs="Calibri"/>
        </w:rPr>
        <w:t>/1.73m</w:t>
      </w:r>
      <w:r w:rsidRPr="001C0C4B">
        <w:rPr>
          <w:rFonts w:ascii="Calibri" w:hAnsi="Calibri" w:cs="Calibri"/>
          <w:vertAlign w:val="superscript"/>
        </w:rPr>
        <w:t>2</w:t>
      </w:r>
      <w:bookmarkEnd w:id="396"/>
      <w:r w:rsidRPr="001C0C4B">
        <w:rPr>
          <w:rFonts w:ascii="Calibri" w:hAnsi="Calibri" w:cs="Calibri"/>
        </w:rPr>
        <w:t xml:space="preserve"> have received remdesivir for treatment of COVID-19 with no dose adjustment. Remdesivir should not be used in patients with eGFR &lt;30 mL/min/1.73m</w:t>
      </w:r>
      <w:r w:rsidRPr="001C0C4B">
        <w:rPr>
          <w:rFonts w:ascii="Calibri" w:hAnsi="Calibri" w:cs="Calibri"/>
          <w:vertAlign w:val="superscript"/>
        </w:rPr>
        <w:t>2</w:t>
      </w:r>
      <w:r w:rsidRPr="001C0C4B">
        <w:rPr>
          <w:rFonts w:ascii="Calibri" w:hAnsi="Calibri" w:cs="Calibri"/>
        </w:rPr>
        <w:t xml:space="preserve">. This is because remdesivir’s main metabolite GS-441524 and the excipient, betadex sulfobutyl ether sodium, are renally cleared and accumulate in patients with decreased renal function which may also be related to a reduced volume of distribution </w:t>
      </w:r>
      <w:r w:rsidRPr="001C0C4B">
        <w:rPr>
          <w:rFonts w:ascii="Calibri" w:hAnsi="Calibri"/>
        </w:rPr>
        <w:t>(</w:t>
      </w:r>
      <w:r w:rsidR="000A02AB" w:rsidRPr="001C0C4B">
        <w:rPr>
          <w:rFonts w:ascii="Calibri" w:hAnsi="Calibri" w:cs="Calibri"/>
          <w:noProof/>
        </w:rPr>
        <w:t>10</w:t>
      </w:r>
      <w:r w:rsidRPr="001C0C4B">
        <w:rPr>
          <w:rFonts w:ascii="Calibri" w:hAnsi="Calibri"/>
        </w:rPr>
        <w:t>).</w:t>
      </w:r>
      <w:r w:rsidRPr="001C0C4B">
        <w:rPr>
          <w:rFonts w:ascii="Calibri" w:hAnsi="Calibri" w:cs="Calibri"/>
        </w:rPr>
        <w:t xml:space="preserve">  </w:t>
      </w:r>
    </w:p>
    <w:p w14:paraId="0B25E052" w14:textId="77777777" w:rsidR="00C73DF6" w:rsidRPr="001C0C4B" w:rsidRDefault="00C73DF6" w:rsidP="00C966A5">
      <w:pPr>
        <w:rPr>
          <w:lang w:val="en-GB"/>
        </w:rPr>
      </w:pPr>
      <w:r w:rsidRPr="001C0C4B">
        <w:rPr>
          <w:lang w:val="en-GB"/>
        </w:rPr>
        <w:t xml:space="preserve">Hepatic impairment </w:t>
      </w:r>
    </w:p>
    <w:p w14:paraId="471B6668"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Although the pharmacokinetic characteristics of remdesivir have not been evaluated in liver disease, it should not be used in patients with impaired liver function given its potential liver toxicity.</w:t>
      </w:r>
    </w:p>
    <w:p w14:paraId="01347B9A" w14:textId="2D92AA0E" w:rsidR="00C73DF6" w:rsidRPr="001C0C4B" w:rsidRDefault="00C73DF6" w:rsidP="00C966A5">
      <w:pPr>
        <w:rPr>
          <w:lang w:val="en-GB"/>
        </w:rPr>
      </w:pPr>
      <w:r w:rsidRPr="001C0C4B">
        <w:rPr>
          <w:lang w:val="en-GB"/>
        </w:rPr>
        <w:t>Relev</w:t>
      </w:r>
      <w:r w:rsidR="004D074A" w:rsidRPr="001C0C4B">
        <w:rPr>
          <w:lang w:val="en-GB"/>
        </w:rPr>
        <w:t>a</w:t>
      </w:r>
      <w:r w:rsidRPr="001C0C4B">
        <w:rPr>
          <w:lang w:val="en-GB"/>
        </w:rPr>
        <w:t>nt drug interactions</w:t>
      </w:r>
    </w:p>
    <w:p w14:paraId="557671ED"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No clinical interaction studies have been performed with remdesivir. </w:t>
      </w:r>
    </w:p>
    <w:p w14:paraId="3BFD66AB"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i/>
          <w:iCs/>
        </w:rPr>
        <w:lastRenderedPageBreak/>
        <w:t>In vitro</w:t>
      </w:r>
      <w:r w:rsidRPr="001C0C4B">
        <w:rPr>
          <w:rFonts w:ascii="Calibri" w:hAnsi="Calibri" w:cs="Calibri"/>
        </w:rPr>
        <w:t xml:space="preserve">, remdesivir is a substrate for esterases in plasma and tissue, drug metabolising enzymes CYP2C8, CYP2D6, and CYP3A4, and is a substrate for Organic Anion Transporting Polypeptides 1B1 (OATP1B1) and P-glycoprotein (P-gp) transporters but there are no studies of </w:t>
      </w:r>
      <w:r w:rsidRPr="001C0C4B">
        <w:rPr>
          <w:rFonts w:ascii="Calibri" w:hAnsi="Calibri" w:cs="Calibri"/>
          <w:i/>
          <w:iCs/>
        </w:rPr>
        <w:t>in vitro</w:t>
      </w:r>
      <w:r w:rsidRPr="001C0C4B">
        <w:rPr>
          <w:rFonts w:ascii="Calibri" w:hAnsi="Calibri" w:cs="Calibri"/>
        </w:rPr>
        <w:t xml:space="preserve"> drug interactions.</w:t>
      </w:r>
    </w:p>
    <w:p w14:paraId="5218248C" w14:textId="77777777" w:rsidR="00762BBE" w:rsidRPr="001C0C4B" w:rsidRDefault="008A7792" w:rsidP="00762BBE">
      <w:pPr>
        <w:spacing w:after="120" w:line="276" w:lineRule="auto"/>
        <w:jc w:val="both"/>
        <w:rPr>
          <w:rFonts w:ascii="Calibri" w:hAnsi="Calibri"/>
          <w:u w:val="single"/>
        </w:rPr>
      </w:pPr>
      <w:r w:rsidRPr="001C0C4B">
        <w:rPr>
          <w:rFonts w:ascii="Calibri" w:hAnsi="Calibri"/>
          <w:u w:val="single"/>
        </w:rPr>
        <w:t>References</w:t>
      </w:r>
    </w:p>
    <w:p w14:paraId="033EFF08" w14:textId="560C7036" w:rsidR="00762BBE" w:rsidRPr="001C0C4B" w:rsidRDefault="00762BBE" w:rsidP="00BF2FEE">
      <w:pPr>
        <w:pStyle w:val="ListParagraph"/>
        <w:numPr>
          <w:ilvl w:val="0"/>
          <w:numId w:val="47"/>
        </w:numPr>
        <w:jc w:val="thaiDistribute"/>
        <w:rPr>
          <w:sz w:val="20"/>
        </w:rPr>
      </w:pPr>
      <w:r w:rsidRPr="001C0C4B">
        <w:rPr>
          <w:sz w:val="20"/>
        </w:rPr>
        <w:t>Brown AJ, Won JJ, Graham RL, Dinnon KH, 3rd, Sims AC, Feng JY, et al. Broad spectrum antiviral remdesivir inhibits human endemic and zoonotic deltacoronaviruses with a highly divergent RNA dependent RNA polymerase. Antiviral Res. 2019;169:104541.</w:t>
      </w:r>
    </w:p>
    <w:p w14:paraId="3639BD68" w14:textId="04A04F1C" w:rsidR="00326719" w:rsidRPr="001C0C4B" w:rsidRDefault="00326719" w:rsidP="00BF2FEE">
      <w:pPr>
        <w:pStyle w:val="ListParagraph"/>
        <w:numPr>
          <w:ilvl w:val="0"/>
          <w:numId w:val="47"/>
        </w:numPr>
        <w:jc w:val="thaiDistribute"/>
        <w:rPr>
          <w:sz w:val="20"/>
        </w:rPr>
      </w:pPr>
      <w:r w:rsidRPr="001C0C4B">
        <w:rPr>
          <w:sz w:val="20"/>
        </w:rPr>
        <w:t>Sheahan TP, Sims AC, Leist SR, Schafer A, Won J, Brown AJ, et al. Comparative therapeutic efficacy of remdesivir and combination lopinavir, ritonavir, and interferon beta against MERS-CoV. Nat Commun. 2020;11(1):222.</w:t>
      </w:r>
    </w:p>
    <w:p w14:paraId="4E89ABD6" w14:textId="77777777" w:rsidR="00762BBE" w:rsidRPr="001C0C4B" w:rsidRDefault="00762BBE" w:rsidP="00BF2FEE">
      <w:pPr>
        <w:pStyle w:val="ListParagraph"/>
        <w:numPr>
          <w:ilvl w:val="0"/>
          <w:numId w:val="47"/>
        </w:numPr>
        <w:jc w:val="thaiDistribute"/>
        <w:rPr>
          <w:sz w:val="20"/>
        </w:rPr>
      </w:pPr>
      <w:r w:rsidRPr="001C0C4B">
        <w:rPr>
          <w:sz w:val="20"/>
        </w:rPr>
        <w:t>Grein J, Ohmagari N, Shin D, Diaz G, Asperges E, Castagna A, et al. Compassionate Use of Remdesivir for Patients with Severe Covid-19. N Engl J Med. 2020;382(24):2327-36.</w:t>
      </w:r>
    </w:p>
    <w:p w14:paraId="08DD7A19" w14:textId="77777777" w:rsidR="00762BBE" w:rsidRPr="001C0C4B" w:rsidRDefault="00762BBE" w:rsidP="00BF2FEE">
      <w:pPr>
        <w:pStyle w:val="ListParagraph"/>
        <w:numPr>
          <w:ilvl w:val="0"/>
          <w:numId w:val="47"/>
        </w:numPr>
        <w:jc w:val="thaiDistribute"/>
        <w:rPr>
          <w:sz w:val="20"/>
        </w:rPr>
      </w:pPr>
      <w:r w:rsidRPr="001C0C4B">
        <w:rPr>
          <w:sz w:val="20"/>
        </w:rPr>
        <w:t>Beigel JH, Tomashek KM, Dodd LE, Mehta AK, Zingman BS, Kalil AC, et al. Remdesivir for the Treatment of Covid-19 - Final Report. N Engl J Med. 2020;383(19):1813-26.</w:t>
      </w:r>
    </w:p>
    <w:p w14:paraId="33A1B546" w14:textId="77777777" w:rsidR="00762BBE" w:rsidRPr="001C0C4B" w:rsidRDefault="00762BBE" w:rsidP="00BF2FEE">
      <w:pPr>
        <w:pStyle w:val="ListParagraph"/>
        <w:numPr>
          <w:ilvl w:val="0"/>
          <w:numId w:val="47"/>
        </w:numPr>
        <w:jc w:val="thaiDistribute"/>
        <w:rPr>
          <w:sz w:val="20"/>
        </w:rPr>
      </w:pPr>
      <w:r w:rsidRPr="001C0C4B">
        <w:rPr>
          <w:sz w:val="20"/>
        </w:rPr>
        <w:t>Humeniuk R, Mathias A, Cao H, Osinusi A, Shen G, Chng E, et al. Safety, Tolerability, and Pharmacokinetics of Remdesivir, An Antiviral for Treatment of COVID-19, in Healthy Subjects. Clin Transl Sci. 2020;13(5):896-906.</w:t>
      </w:r>
      <w:bookmarkStart w:id="397" w:name="_Hlk96694604"/>
    </w:p>
    <w:p w14:paraId="53AB3E18" w14:textId="77777777" w:rsidR="000A02AB" w:rsidRPr="001C0C4B" w:rsidRDefault="000A02AB" w:rsidP="004B69F4">
      <w:pPr>
        <w:pStyle w:val="ListParagraph"/>
        <w:numPr>
          <w:ilvl w:val="0"/>
          <w:numId w:val="47"/>
        </w:numPr>
        <w:spacing w:line="256" w:lineRule="auto"/>
        <w:jc w:val="thaiDistribute"/>
        <w:rPr>
          <w:sz w:val="20"/>
          <w:szCs w:val="20"/>
        </w:rPr>
      </w:pPr>
      <w:r w:rsidRPr="001C0C4B">
        <w:rPr>
          <w:sz w:val="20"/>
          <w:szCs w:val="20"/>
        </w:rPr>
        <w:t>Diaz G, Christensen A, Pusch T, Goulet D, Chang S, Grunkemeier G et al. Remdesivir and Mortality in Patients With Coronavirus Disease 2019. Clinical Infectious Diseases. 2021;.</w:t>
      </w:r>
    </w:p>
    <w:p w14:paraId="6B79F4A9" w14:textId="77777777" w:rsidR="000A02AB" w:rsidRPr="001C0C4B" w:rsidRDefault="000A02AB" w:rsidP="004B69F4">
      <w:pPr>
        <w:pStyle w:val="ListParagraph"/>
        <w:numPr>
          <w:ilvl w:val="0"/>
          <w:numId w:val="47"/>
        </w:numPr>
        <w:spacing w:line="256" w:lineRule="auto"/>
        <w:jc w:val="thaiDistribute"/>
        <w:rPr>
          <w:sz w:val="20"/>
          <w:szCs w:val="20"/>
        </w:rPr>
      </w:pPr>
      <w:r w:rsidRPr="001C0C4B">
        <w:rPr>
          <w:sz w:val="20"/>
          <w:szCs w:val="20"/>
        </w:rPr>
        <w:t>Gottlieb R, Vaca C, Paredes R, Mera J, Webb B, Perez G et al. Early Remdesivir to Prevent Progression to Severe Covid-19 in Outpatients. New England Journal of Medicine. 2022;386(4):305-315.</w:t>
      </w:r>
    </w:p>
    <w:p w14:paraId="40ABDE59" w14:textId="77777777" w:rsidR="000A02AB" w:rsidRPr="001C0C4B" w:rsidRDefault="000A02AB" w:rsidP="004B69F4">
      <w:pPr>
        <w:pStyle w:val="ListParagraph"/>
        <w:numPr>
          <w:ilvl w:val="0"/>
          <w:numId w:val="47"/>
        </w:numPr>
        <w:spacing w:line="256" w:lineRule="auto"/>
        <w:jc w:val="thaiDistribute"/>
        <w:rPr>
          <w:sz w:val="20"/>
          <w:szCs w:val="20"/>
        </w:rPr>
      </w:pPr>
      <w:r w:rsidRPr="001C0C4B">
        <w:rPr>
          <w:sz w:val="20"/>
          <w:szCs w:val="20"/>
        </w:rPr>
        <w:t>Biancofiore, A., Mirijello, A., Puteo, M., Di Viesti, M., Labonia, M., Copetti, M., De Cosmo, S. and Lombardi, R., 2022. Remdesivir significantly reduces SARS‐CoV‐2 viral load on nasopharyngeal swabs in hospitalized patients with COVID‐19: A retrospective case–control study. Journal of Medical Virology, pp.1-6.</w:t>
      </w:r>
    </w:p>
    <w:p w14:paraId="5DB40E01" w14:textId="77777777" w:rsidR="00762BBE" w:rsidRPr="001C0C4B" w:rsidRDefault="00762BBE" w:rsidP="00BF2FEE">
      <w:pPr>
        <w:pStyle w:val="ListParagraph"/>
        <w:numPr>
          <w:ilvl w:val="0"/>
          <w:numId w:val="47"/>
        </w:numPr>
        <w:jc w:val="thaiDistribute"/>
        <w:rPr>
          <w:sz w:val="20"/>
        </w:rPr>
      </w:pPr>
      <w:r w:rsidRPr="001C0C4B">
        <w:rPr>
          <w:sz w:val="20"/>
        </w:rPr>
        <w:t>Navarro VJ, Senior JR. Drug-related hepatotoxicity. N Engl J Med. 2006;354(7):731-9.</w:t>
      </w:r>
    </w:p>
    <w:p w14:paraId="5F8A1274" w14:textId="77777777" w:rsidR="00762BBE" w:rsidRPr="001C0C4B" w:rsidRDefault="00762BBE" w:rsidP="00BF2FEE">
      <w:pPr>
        <w:pStyle w:val="ListParagraph"/>
        <w:numPr>
          <w:ilvl w:val="0"/>
          <w:numId w:val="47"/>
        </w:numPr>
        <w:jc w:val="thaiDistribute"/>
        <w:rPr>
          <w:sz w:val="20"/>
        </w:rPr>
      </w:pPr>
      <w:r w:rsidRPr="001C0C4B">
        <w:rPr>
          <w:sz w:val="20"/>
        </w:rPr>
        <w:t>Sorgel F, Malin JJ, Hagmann H, Kinzig M, Bilal M, Eichenauer DA, et al. Pharmacokinetics of remdesivir in a COVID-19 patient with end-stage renal disease on intermittent haemodialysis. J Antimicrob Chemother. 2021; 76(3):825-827.</w:t>
      </w:r>
    </w:p>
    <w:bookmarkEnd w:id="397"/>
    <w:p w14:paraId="55CDD842" w14:textId="2A566CCC" w:rsidR="000A02AB" w:rsidRPr="001C0C4B" w:rsidRDefault="000A02AB" w:rsidP="00C966A5">
      <w:pPr>
        <w:rPr>
          <w:lang w:val="en-GB"/>
        </w:rPr>
      </w:pPr>
    </w:p>
    <w:p w14:paraId="5098A45A" w14:textId="5F58519D" w:rsidR="00007B6F" w:rsidRPr="001C0C4B" w:rsidRDefault="00007B6F" w:rsidP="00C966A5">
      <w:pPr>
        <w:rPr>
          <w:lang w:val="en-GB"/>
        </w:rPr>
      </w:pPr>
    </w:p>
    <w:p w14:paraId="5A3FCF5F" w14:textId="5D035975" w:rsidR="00007B6F" w:rsidRPr="001C0C4B" w:rsidRDefault="00007B6F" w:rsidP="00C966A5">
      <w:pPr>
        <w:rPr>
          <w:lang w:val="en-GB"/>
        </w:rPr>
      </w:pPr>
    </w:p>
    <w:p w14:paraId="648BD78F" w14:textId="63D98507" w:rsidR="00007B6F" w:rsidRPr="001C0C4B" w:rsidRDefault="00007B6F" w:rsidP="00C966A5">
      <w:pPr>
        <w:rPr>
          <w:lang w:val="en-GB"/>
        </w:rPr>
      </w:pPr>
    </w:p>
    <w:p w14:paraId="2AD155F4" w14:textId="3BDB4782" w:rsidR="00007B6F" w:rsidRPr="001C0C4B" w:rsidRDefault="00007B6F" w:rsidP="00C966A5">
      <w:pPr>
        <w:rPr>
          <w:lang w:val="en-GB"/>
        </w:rPr>
      </w:pPr>
    </w:p>
    <w:p w14:paraId="66532635" w14:textId="1EEDB33F" w:rsidR="00007B6F" w:rsidRPr="001C0C4B" w:rsidRDefault="00007B6F" w:rsidP="00C966A5">
      <w:pPr>
        <w:rPr>
          <w:lang w:val="en-GB"/>
        </w:rPr>
      </w:pPr>
    </w:p>
    <w:p w14:paraId="20023242" w14:textId="0F4ED490" w:rsidR="00007B6F" w:rsidRPr="001C0C4B" w:rsidRDefault="00007B6F" w:rsidP="00C966A5">
      <w:pPr>
        <w:rPr>
          <w:lang w:val="en-GB"/>
        </w:rPr>
      </w:pPr>
    </w:p>
    <w:p w14:paraId="5E3D4FD5" w14:textId="712C8F12" w:rsidR="00007B6F" w:rsidRPr="001C0C4B" w:rsidRDefault="00007B6F" w:rsidP="00C966A5">
      <w:pPr>
        <w:rPr>
          <w:lang w:val="en-GB"/>
        </w:rPr>
      </w:pPr>
    </w:p>
    <w:p w14:paraId="55798692" w14:textId="322C7192" w:rsidR="00007B6F" w:rsidRPr="001C0C4B" w:rsidRDefault="00007B6F" w:rsidP="00C966A5">
      <w:pPr>
        <w:rPr>
          <w:lang w:val="en-GB"/>
        </w:rPr>
      </w:pPr>
    </w:p>
    <w:p w14:paraId="6E0DC268" w14:textId="20E7FDDA" w:rsidR="00007B6F" w:rsidRPr="001C0C4B" w:rsidRDefault="00007B6F" w:rsidP="00C966A5">
      <w:pPr>
        <w:rPr>
          <w:lang w:val="en-GB"/>
        </w:rPr>
      </w:pPr>
    </w:p>
    <w:p w14:paraId="7F026796" w14:textId="1A4CEC11" w:rsidR="00007B6F" w:rsidRPr="001C0C4B" w:rsidRDefault="00007B6F" w:rsidP="00C966A5">
      <w:pPr>
        <w:rPr>
          <w:lang w:val="en-GB"/>
        </w:rPr>
      </w:pPr>
    </w:p>
    <w:p w14:paraId="14090459" w14:textId="38F87857" w:rsidR="00007B6F" w:rsidRPr="001C0C4B" w:rsidRDefault="00007B6F" w:rsidP="00C966A5">
      <w:pPr>
        <w:rPr>
          <w:lang w:val="en-GB"/>
        </w:rPr>
      </w:pPr>
    </w:p>
    <w:p w14:paraId="2F2D6950" w14:textId="77777777" w:rsidR="00007B6F" w:rsidRPr="001C0C4B" w:rsidRDefault="00007B6F" w:rsidP="00C966A5">
      <w:pPr>
        <w:rPr>
          <w:lang w:val="en-GB"/>
        </w:rPr>
      </w:pPr>
    </w:p>
    <w:p w14:paraId="4EC317F3" w14:textId="77777777" w:rsidR="000A02AB" w:rsidRPr="001C0C4B" w:rsidRDefault="000A02AB" w:rsidP="00C966A5">
      <w:pPr>
        <w:rPr>
          <w:lang w:val="en-GB"/>
        </w:rPr>
      </w:pPr>
    </w:p>
    <w:p w14:paraId="74DAEBC1" w14:textId="32562438" w:rsidR="00C73DF6" w:rsidRPr="001C0C4B" w:rsidRDefault="00C73DF6" w:rsidP="001C7AEF">
      <w:pPr>
        <w:pStyle w:val="Heading2"/>
        <w:numPr>
          <w:ilvl w:val="1"/>
          <w:numId w:val="62"/>
        </w:numPr>
        <w:tabs>
          <w:tab w:val="left" w:pos="990"/>
        </w:tabs>
        <w:rPr>
          <w:rFonts w:ascii="Calibri" w:hAnsi="Calibri"/>
          <w:color w:val="auto"/>
          <w:u w:val="single"/>
        </w:rPr>
      </w:pPr>
      <w:bookmarkStart w:id="398" w:name="_Toc74661329"/>
      <w:bookmarkStart w:id="399" w:name="_Toc96007332"/>
      <w:bookmarkStart w:id="400" w:name="_Toc95915285"/>
      <w:bookmarkStart w:id="401" w:name="_Toc96515788"/>
      <w:bookmarkStart w:id="402" w:name="_Toc110524024"/>
      <w:bookmarkStart w:id="403" w:name="_Toc96005635"/>
      <w:bookmarkStart w:id="404" w:name="_Toc112917672"/>
      <w:r w:rsidRPr="001C0C4B">
        <w:rPr>
          <w:rFonts w:ascii="Calibri" w:hAnsi="Calibri"/>
          <w:color w:val="auto"/>
          <w:u w:val="single"/>
        </w:rPr>
        <w:lastRenderedPageBreak/>
        <w:t>Lopinavir/</w:t>
      </w:r>
      <w:bookmarkEnd w:id="398"/>
      <w:r w:rsidR="00424FDD" w:rsidRPr="001C0C4B">
        <w:rPr>
          <w:rFonts w:ascii="Calibri" w:hAnsi="Calibri"/>
          <w:color w:val="auto"/>
          <w:u w:val="single"/>
        </w:rPr>
        <w:t>r</w:t>
      </w:r>
      <w:r w:rsidRPr="001C0C4B">
        <w:rPr>
          <w:rFonts w:ascii="Calibri" w:hAnsi="Calibri"/>
          <w:color w:val="auto"/>
          <w:u w:val="single"/>
        </w:rPr>
        <w:t>itonavir</w:t>
      </w:r>
      <w:bookmarkEnd w:id="399"/>
      <w:bookmarkEnd w:id="400"/>
      <w:bookmarkEnd w:id="401"/>
      <w:bookmarkEnd w:id="402"/>
      <w:bookmarkEnd w:id="403"/>
      <w:bookmarkEnd w:id="404"/>
    </w:p>
    <w:p w14:paraId="0D934001" w14:textId="77777777" w:rsidR="00C73DF6" w:rsidRPr="001C0C4B" w:rsidRDefault="00C73DF6" w:rsidP="00C966A5">
      <w:pPr>
        <w:rPr>
          <w:lang w:val="en-GB"/>
        </w:rPr>
      </w:pPr>
      <w:r w:rsidRPr="001C0C4B">
        <w:rPr>
          <w:lang w:val="en-GB"/>
        </w:rPr>
        <w:t>Rationale</w:t>
      </w:r>
    </w:p>
    <w:p w14:paraId="650B27A0" w14:textId="1391A29C" w:rsidR="00C73DF6" w:rsidRPr="001C0C4B" w:rsidRDefault="00C73DF6" w:rsidP="00C73DF6">
      <w:pPr>
        <w:spacing w:after="120" w:line="276" w:lineRule="auto"/>
        <w:jc w:val="both"/>
        <w:textAlignment w:val="baseline"/>
        <w:rPr>
          <w:rFonts w:ascii="Calibri" w:hAnsi="Calibri" w:cs="Calibri"/>
        </w:rPr>
      </w:pPr>
      <w:r w:rsidRPr="001C0C4B">
        <w:rPr>
          <w:rFonts w:ascii="Calibri" w:hAnsi="Calibri" w:cs="Calibri"/>
        </w:rPr>
        <w:t xml:space="preserve">Lopinavir is a human immunodeficiency virus 1 (HIV-1) protease inhibitor, which is combined with ritonavir to increase exposure to lopinavir. It is licensed in adults and children. It has been widely used including in pregnant women. Lopinavir has </w:t>
      </w:r>
      <w:r w:rsidRPr="001C0C4B">
        <w:rPr>
          <w:rFonts w:ascii="Calibri" w:hAnsi="Calibri" w:cs="Calibri"/>
          <w:i/>
          <w:iCs/>
        </w:rPr>
        <w:t>in vitro</w:t>
      </w:r>
      <w:r w:rsidRPr="001C0C4B">
        <w:rPr>
          <w:rFonts w:ascii="Calibri" w:hAnsi="Calibri" w:cs="Calibri"/>
        </w:rPr>
        <w:t xml:space="preserve"> inhibitory activity against SARS coronavirus (SARS-CoV) and MERS-CoV </w:t>
      </w:r>
      <w:r w:rsidRPr="001C0C4B">
        <w:rPr>
          <w:rFonts w:ascii="Calibri" w:hAnsi="Calibri"/>
        </w:rPr>
        <w:t>(</w:t>
      </w:r>
      <w:r w:rsidR="008A7792" w:rsidRPr="001C0C4B">
        <w:rPr>
          <w:rFonts w:ascii="Calibri" w:hAnsi="Calibri"/>
        </w:rPr>
        <w:t>1</w:t>
      </w:r>
      <w:r w:rsidRPr="001C0C4B">
        <w:rPr>
          <w:rFonts w:ascii="Calibri" w:hAnsi="Calibri"/>
        </w:rPr>
        <w:t>).</w:t>
      </w:r>
      <w:r w:rsidRPr="001C0C4B">
        <w:rPr>
          <w:rFonts w:ascii="Calibri" w:hAnsi="Calibri" w:cs="Calibri"/>
        </w:rPr>
        <w:t xml:space="preserve"> In common marmosets infected with MERS-CoV, animals treated with lopinavir/ritonavir had improved clinical, radiological, and pathological outcomes and reduced viral loads compared with untreated animals. The RECOVERY trial showed no beneficial effect of lopinavir/ritonavir in patients hospitalised with COVID-19, consistent with an earlier study in China, and closed randomisation to that treatment arm </w:t>
      </w:r>
      <w:r w:rsidRPr="001C0C4B">
        <w:rPr>
          <w:rFonts w:ascii="Calibri" w:hAnsi="Calibri"/>
        </w:rPr>
        <w:t>(</w:t>
      </w:r>
      <w:r w:rsidR="008A7792" w:rsidRPr="001C0C4B">
        <w:rPr>
          <w:rFonts w:ascii="Calibri" w:hAnsi="Calibri"/>
        </w:rPr>
        <w:t>2</w:t>
      </w:r>
      <w:r w:rsidRPr="001C0C4B">
        <w:rPr>
          <w:rFonts w:ascii="Calibri" w:hAnsi="Calibri"/>
        </w:rPr>
        <w:t>).</w:t>
      </w:r>
      <w:r w:rsidRPr="001C0C4B">
        <w:rPr>
          <w:rFonts w:ascii="Calibri" w:hAnsi="Calibri" w:cs="Calibri"/>
        </w:rPr>
        <w:t xml:space="preserve"> However, the main therapeutic window for efficacy of an antiviral drug is earlier in the disease, and there remains uncertainty as to whether an antiviral effect for this drug exists. </w:t>
      </w:r>
    </w:p>
    <w:p w14:paraId="77FC06FA" w14:textId="77777777" w:rsidR="00C73DF6" w:rsidRPr="001C0C4B" w:rsidRDefault="00C73DF6" w:rsidP="00C966A5">
      <w:pPr>
        <w:rPr>
          <w:lang w:val="en-GB"/>
        </w:rPr>
      </w:pPr>
      <w:r w:rsidRPr="001C0C4B">
        <w:rPr>
          <w:lang w:val="en-GB"/>
        </w:rPr>
        <w:t>Composition &amp; dose</w:t>
      </w:r>
    </w:p>
    <w:p w14:paraId="1AA4AD91"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Kaletra® contains 200 mg of liponavir and 50 mg of ritonavir.</w:t>
      </w:r>
    </w:p>
    <w:p w14:paraId="3AA35A2F"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Suitable tablets will be obtained by the sponsor or the local teams from a reliable manufacturer.</w:t>
      </w:r>
    </w:p>
    <w:p w14:paraId="27C793FE"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dosing schedule is: </w:t>
      </w:r>
      <w:r w:rsidRPr="001C0C4B">
        <w:rPr>
          <w:rFonts w:ascii="Calibri" w:hAnsi="Calibri" w:cs="Calibri"/>
          <w:b/>
          <w:bCs/>
        </w:rPr>
        <w:t>2 tablets bd for 7 days</w:t>
      </w:r>
      <w:r w:rsidRPr="001C0C4B">
        <w:rPr>
          <w:rFonts w:ascii="Calibri" w:hAnsi="Calibri" w:cs="Calibri"/>
        </w:rPr>
        <w:t>.</w:t>
      </w:r>
    </w:p>
    <w:p w14:paraId="2E8545BA" w14:textId="77777777" w:rsidR="00C73DF6" w:rsidRPr="001C0C4B" w:rsidRDefault="00C73DF6" w:rsidP="00C966A5">
      <w:pPr>
        <w:rPr>
          <w:lang w:val="en-GB"/>
        </w:rPr>
      </w:pPr>
      <w:r w:rsidRPr="001C0C4B">
        <w:rPr>
          <w:lang w:val="en-GB"/>
        </w:rPr>
        <w:t>Dosing and Pharmacokinetic characteristics</w:t>
      </w:r>
    </w:p>
    <w:p w14:paraId="49D0AADD" w14:textId="55180347" w:rsidR="00C73DF6" w:rsidRPr="001C0C4B" w:rsidRDefault="00C73DF6" w:rsidP="00C73DF6">
      <w:pPr>
        <w:autoSpaceDE w:val="0"/>
        <w:autoSpaceDN w:val="0"/>
        <w:adjustRightInd w:val="0"/>
        <w:spacing w:after="120" w:line="276" w:lineRule="auto"/>
        <w:jc w:val="both"/>
        <w:rPr>
          <w:rFonts w:ascii="Calibri" w:eastAsia="GuardianSansGR-Regular" w:hAnsi="Calibri" w:cs="Calibri"/>
        </w:rPr>
      </w:pPr>
      <w:r w:rsidRPr="001C0C4B">
        <w:rPr>
          <w:rFonts w:ascii="Calibri" w:hAnsi="Calibri" w:cs="Calibri"/>
          <w:noProof/>
          <w:lang w:bidi="th-TH"/>
        </w:rPr>
        <w:drawing>
          <wp:anchor distT="0" distB="0" distL="114300" distR="114300" simplePos="0" relativeHeight="251658245" behindDoc="0" locked="0" layoutInCell="1" allowOverlap="1" wp14:anchorId="37C3B35E" wp14:editId="69C4E96C">
            <wp:simplePos x="0" y="0"/>
            <wp:positionH relativeFrom="column">
              <wp:posOffset>-374650</wp:posOffset>
            </wp:positionH>
            <wp:positionV relativeFrom="paragraph">
              <wp:posOffset>1096645</wp:posOffset>
            </wp:positionV>
            <wp:extent cx="3459480" cy="2590800"/>
            <wp:effectExtent l="0" t="0" r="7620" b="0"/>
            <wp:wrapSquare wrapText="bothSides"/>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pic:cNvPicPr/>
                  </pic:nvPicPr>
                  <pic:blipFill>
                    <a:blip r:embed="rId36">
                      <a:extLst>
                        <a:ext uri="{28A0092B-C50C-407E-A947-70E740481C1C}">
                          <a14:useLocalDpi xmlns:a14="http://schemas.microsoft.com/office/drawing/2010/main" val="0"/>
                        </a:ext>
                      </a:extLst>
                    </a:blip>
                    <a:srcRect l="26266" t="38306" r="37616" b="13354"/>
                    <a:stretch>
                      <a:fillRect/>
                    </a:stretch>
                  </pic:blipFill>
                  <pic:spPr>
                    <a:xfrm>
                      <a:off x="0" y="0"/>
                      <a:ext cx="3459480" cy="2590800"/>
                    </a:xfrm>
                    <a:prstGeom prst="rect">
                      <a:avLst/>
                    </a:prstGeom>
                  </pic:spPr>
                </pic:pic>
              </a:graphicData>
            </a:graphic>
          </wp:anchor>
        </w:drawing>
      </w:r>
      <w:r w:rsidRPr="001C0C4B">
        <w:rPr>
          <w:rFonts w:ascii="Calibri" w:eastAsia="GuardianSansGR-Regular" w:hAnsi="Calibri" w:cs="Calibri"/>
        </w:rPr>
        <w:t xml:space="preserve">The Pharmacokinetic properties of </w:t>
      </w:r>
      <w:bookmarkStart w:id="405" w:name="_Hlk61981613"/>
      <w:r w:rsidRPr="001C0C4B">
        <w:rPr>
          <w:rFonts w:ascii="Calibri" w:eastAsia="GuardianSansGR-Regular" w:hAnsi="Calibri" w:cs="Calibri"/>
        </w:rPr>
        <w:t xml:space="preserve">lopinavir/ritonavir </w:t>
      </w:r>
      <w:bookmarkEnd w:id="405"/>
      <w:r w:rsidRPr="001C0C4B">
        <w:rPr>
          <w:rFonts w:ascii="Calibri" w:eastAsia="GuardianSansGR-Regular" w:hAnsi="Calibri" w:cs="Calibri"/>
        </w:rPr>
        <w:t xml:space="preserve">have been evaluated in healthy adult volunteers and in HIV-infected patients; no substantial differences were observed between the two groups. Lopinavir is essentially completely metabolised by CYP3A. Ritonavir inhibits the metabolism of lopinavir, thereby increasing the plasma levels of lopinavir. Administration of lopinavir/ritonavir 400/100 mg twice-daily yields mean steady-state lopinavir plasma concentrations 15- to 20-fold higher than those of ritonavir in HIV-infected patients. The plasma levels of ritonavir are less than 7% of those obtained after the ritonavir dose of 600 mg twice-daily. Figure 1 displays the mean steady-state plasma concentrations of lopinavir and ritonavir after lopinavir/ritonavir 400/100 mg twice-daily with food for 3 weeks from a Pharmacokinetic study in HIV-infected adult subjects (n = 19). This is also the most commonly used and studied lopinavir/ritonavir dosing regimen for COVID-19 treatment </w:t>
      </w:r>
      <w:r w:rsidRPr="001C0C4B">
        <w:rPr>
          <w:rFonts w:ascii="Calibri" w:eastAsia="GuardianSansGR-Regular" w:hAnsi="Calibri" w:cs="Calibri"/>
          <w:noProof/>
        </w:rPr>
        <w:t>(</w:t>
      </w:r>
      <w:r w:rsidR="008A7792" w:rsidRPr="001C0C4B">
        <w:rPr>
          <w:rFonts w:ascii="Calibri" w:eastAsia="GuardianSansGR-Regular" w:hAnsi="Calibri" w:cs="Calibri"/>
          <w:noProof/>
        </w:rPr>
        <w:t>2</w:t>
      </w:r>
      <w:r w:rsidRPr="001C0C4B">
        <w:rPr>
          <w:rFonts w:ascii="Calibri" w:eastAsia="GuardianSansGR-Regular" w:hAnsi="Calibri" w:cs="Calibri"/>
          <w:noProof/>
        </w:rPr>
        <w:t>)</w:t>
      </w:r>
      <w:r w:rsidRPr="001C0C4B">
        <w:rPr>
          <w:rFonts w:ascii="Calibri" w:eastAsia="GuardianSansGR-Regular" w:hAnsi="Calibri" w:cs="Calibri"/>
        </w:rPr>
        <w:t xml:space="preserve">. </w:t>
      </w:r>
    </w:p>
    <w:p w14:paraId="6537C643" w14:textId="77777777" w:rsidR="00C73DF6" w:rsidRPr="001C0C4B" w:rsidRDefault="00C73DF6" w:rsidP="00C73DF6">
      <w:pPr>
        <w:autoSpaceDE w:val="0"/>
        <w:autoSpaceDN w:val="0"/>
        <w:adjustRightInd w:val="0"/>
        <w:spacing w:after="120" w:line="276" w:lineRule="auto"/>
        <w:jc w:val="both"/>
        <w:rPr>
          <w:rFonts w:ascii="Calibri" w:hAnsi="Calibri" w:cs="Calibri"/>
          <w:b/>
          <w:bCs/>
        </w:rPr>
      </w:pPr>
    </w:p>
    <w:p w14:paraId="27BDDA59" w14:textId="77777777" w:rsidR="00C73DF6" w:rsidRPr="001C0C4B" w:rsidRDefault="00C73DF6" w:rsidP="00C73DF6">
      <w:pPr>
        <w:autoSpaceDE w:val="0"/>
        <w:autoSpaceDN w:val="0"/>
        <w:adjustRightInd w:val="0"/>
        <w:spacing w:after="120" w:line="276" w:lineRule="auto"/>
        <w:jc w:val="both"/>
        <w:rPr>
          <w:rFonts w:ascii="Calibri" w:hAnsi="Calibri" w:cs="Calibri"/>
          <w:b/>
          <w:bCs/>
        </w:rPr>
      </w:pPr>
      <w:r w:rsidRPr="001C0C4B">
        <w:rPr>
          <w:rFonts w:ascii="Calibri" w:hAnsi="Calibri" w:cs="Calibri"/>
          <w:b/>
          <w:bCs/>
        </w:rPr>
        <w:t>Figure 1. Mean Steady-state Plasma Concentrations with 95% Confidence Intervals (CI) for HIV-Infected Adult Subjects (N = 19)</w:t>
      </w:r>
    </w:p>
    <w:p w14:paraId="396E5249" w14:textId="77777777" w:rsidR="00C73DF6" w:rsidRPr="001C0C4B" w:rsidRDefault="00C73DF6" w:rsidP="00C73DF6">
      <w:pPr>
        <w:autoSpaceDE w:val="0"/>
        <w:autoSpaceDN w:val="0"/>
        <w:adjustRightInd w:val="0"/>
        <w:spacing w:after="120" w:line="276" w:lineRule="auto"/>
        <w:jc w:val="both"/>
        <w:rPr>
          <w:rFonts w:ascii="Calibri" w:hAnsi="Calibri" w:cs="Calibri"/>
        </w:rPr>
      </w:pPr>
    </w:p>
    <w:p w14:paraId="58579F12" w14:textId="77777777" w:rsidR="00C73DF6" w:rsidRPr="001C0C4B" w:rsidRDefault="00C73DF6" w:rsidP="00C73DF6">
      <w:pPr>
        <w:autoSpaceDE w:val="0"/>
        <w:autoSpaceDN w:val="0"/>
        <w:adjustRightInd w:val="0"/>
        <w:spacing w:after="120" w:line="276" w:lineRule="auto"/>
        <w:jc w:val="both"/>
        <w:rPr>
          <w:rFonts w:ascii="Calibri" w:hAnsi="Calibri" w:cs="Calibri"/>
        </w:rPr>
      </w:pPr>
      <w:r w:rsidRPr="001C0C4B">
        <w:rPr>
          <w:rFonts w:ascii="Calibri" w:hAnsi="Calibri" w:cs="Calibri"/>
        </w:rPr>
        <w:t xml:space="preserve">In a pharmacokinetic study in HIV-positive subjects (n = 19), multiple dosing with 400/100 mg KALETRA twice-daily with food for 3 weeks produced a mean ± SD lopinavir peak plasma concentration (Cmax) of 9.8 ± 3.7 µg/mL, occurring approximately 4 hours after administration. The mean steady-state trough concentration </w:t>
      </w:r>
      <w:r w:rsidRPr="001C0C4B">
        <w:rPr>
          <w:rFonts w:ascii="Calibri" w:hAnsi="Calibri" w:cs="Calibri"/>
        </w:rPr>
        <w:lastRenderedPageBreak/>
        <w:t xml:space="preserve">prior to the morning dose was 7.1 ± 2.9 µg/mL and minimum concentration within a dosing interval was 5.5 ± 2.7 µg/mL. Lopinavir AUC over a 12-hour dosing interval averaged 92.6 ± 36.7 µg• h/mL. </w:t>
      </w:r>
    </w:p>
    <w:p w14:paraId="347E6C9A" w14:textId="77777777" w:rsidR="00C73DF6" w:rsidRPr="001C0C4B" w:rsidRDefault="00C73DF6" w:rsidP="00C73DF6">
      <w:pPr>
        <w:autoSpaceDE w:val="0"/>
        <w:autoSpaceDN w:val="0"/>
        <w:adjustRightInd w:val="0"/>
        <w:spacing w:after="120" w:line="276" w:lineRule="auto"/>
        <w:jc w:val="both"/>
        <w:rPr>
          <w:rFonts w:ascii="Calibri" w:hAnsi="Calibri" w:cs="Calibri"/>
        </w:rPr>
      </w:pPr>
      <w:r w:rsidRPr="001C0C4B">
        <w:rPr>
          <w:rFonts w:ascii="Calibri" w:hAnsi="Calibri" w:cs="Calibri"/>
        </w:rPr>
        <w:t>Lopinavir is extensively metabolised by the hepatic cytochrome P450 system, almost exclusively by the CYP3A isozyme. Ritonavir is a potent CYP3A inhibitor which inhibits the metabolism of lopinavir, and thereby increases its plasma levels (exposure). Ritonavir has also been shown to induce metabolic enzymes, resulting in the induction of its own metabolism. Pre-dose lopinavir concentrations decline with time during multiple dosing, stabilising after approximately 10 to 16 days.</w:t>
      </w:r>
    </w:p>
    <w:p w14:paraId="71191B78" w14:textId="77777777" w:rsidR="00C73DF6" w:rsidRPr="001C0C4B" w:rsidRDefault="00C73DF6" w:rsidP="00C966A5">
      <w:pPr>
        <w:rPr>
          <w:lang w:val="en-GB"/>
        </w:rPr>
      </w:pPr>
      <w:r w:rsidRPr="001C0C4B">
        <w:rPr>
          <w:lang w:val="en-GB"/>
        </w:rPr>
        <w:t>Pharmacokinetic sampling schedule: (only if there is evidence of accelerated viral clearance)</w:t>
      </w:r>
    </w:p>
    <w:p w14:paraId="6B3FCE64" w14:textId="6C736C3B" w:rsidR="00C73DF6" w:rsidRPr="001C0C4B" w:rsidRDefault="00C73DF6" w:rsidP="00C966A5">
      <w:pPr>
        <w:rPr>
          <w:lang w:val="en-GB"/>
        </w:rPr>
      </w:pPr>
      <w:r w:rsidRPr="001C0C4B">
        <w:rPr>
          <w:lang w:val="en-GB"/>
        </w:rPr>
        <w:t xml:space="preserve">All patients will need to be admitted for 12 hours for intense sampling. </w:t>
      </w:r>
    </w:p>
    <w:p w14:paraId="09DDBFA7"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timings are: </w:t>
      </w:r>
    </w:p>
    <w:p w14:paraId="1B0E1DBF"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Pre-dose D0H0, then</w:t>
      </w:r>
    </w:p>
    <w:p w14:paraId="0797E515"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1, 2, 3, 4, 6, 9, 12 and 24h post dose.</w:t>
      </w:r>
    </w:p>
    <w:p w14:paraId="693C0F0C"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Note that blood will be taken on D3 and D7 for routine haematology and biochemistry. The EDTA sample will be used to measure the drug concentrations.    </w:t>
      </w:r>
    </w:p>
    <w:p w14:paraId="401A36F2" w14:textId="77777777" w:rsidR="00C73DF6" w:rsidRPr="001C0C4B" w:rsidRDefault="00C73DF6" w:rsidP="00C966A5">
      <w:pPr>
        <w:rPr>
          <w:lang w:val="en-GB"/>
        </w:rPr>
      </w:pPr>
      <w:r w:rsidRPr="001C0C4B">
        <w:rPr>
          <w:lang w:val="en-GB"/>
        </w:rPr>
        <w:t xml:space="preserve">Toxicity </w:t>
      </w:r>
    </w:p>
    <w:p w14:paraId="48BAB7DB"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Adverse effects of lopinavir/ritonavir include gastrointestinal distress such as nausea and diarrhoea (up to 28%) and hepatotoxicity (2%-10%). In patients with COVID-19, these adverse effects may be exacerbated by viral infection because approximately 20% to 30% of patients have elevated transaminases at presentation with COVID-19. </w:t>
      </w:r>
    </w:p>
    <w:p w14:paraId="3E2C3383"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The following adverse reactions, commonly related to the chronic use of the drug, are discussed in greater detail below:</w:t>
      </w:r>
    </w:p>
    <w:p w14:paraId="40C0F218"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Lipid elevations</w:t>
      </w:r>
    </w:p>
    <w:p w14:paraId="451463D3"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Hyperglycaemia</w:t>
      </w:r>
    </w:p>
    <w:p w14:paraId="3A467F14"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 xml:space="preserve">Pancreatitis </w:t>
      </w:r>
    </w:p>
    <w:p w14:paraId="3D85EB8C"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 xml:space="preserve">Hepatotoxicity </w:t>
      </w:r>
    </w:p>
    <w:p w14:paraId="55AA260F"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 xml:space="preserve">QT Interval Prolongation </w:t>
      </w:r>
    </w:p>
    <w:p w14:paraId="7B83033C"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PR Interval Prolongation</w:t>
      </w:r>
    </w:p>
    <w:p w14:paraId="6C200350" w14:textId="77777777" w:rsidR="00C73DF6" w:rsidRPr="001C0C4B" w:rsidRDefault="00C73DF6" w:rsidP="00C966A5">
      <w:pPr>
        <w:rPr>
          <w:lang w:val="en-GB"/>
        </w:rPr>
      </w:pPr>
      <w:r w:rsidRPr="001C0C4B">
        <w:rPr>
          <w:lang w:val="en-GB"/>
        </w:rPr>
        <w:t>Lipid elevations</w:t>
      </w:r>
    </w:p>
    <w:p w14:paraId="232C1145"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Treatment with lopinavir/ritonavir has resulted in large increases in the concentration of total cholesterol and triglycerides. </w:t>
      </w:r>
    </w:p>
    <w:p w14:paraId="6C9F4B9F" w14:textId="77777777" w:rsidR="00C73DF6" w:rsidRPr="001C0C4B" w:rsidRDefault="00C73DF6" w:rsidP="00C966A5">
      <w:pPr>
        <w:rPr>
          <w:lang w:val="en-GB"/>
        </w:rPr>
      </w:pPr>
      <w:r w:rsidRPr="001C0C4B">
        <w:rPr>
          <w:lang w:val="en-GB"/>
        </w:rPr>
        <w:t>Hyperglycaemia</w:t>
      </w:r>
    </w:p>
    <w:p w14:paraId="3624FE82" w14:textId="74D01962"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New onset diabetes mellitus, exacerbation of pre-existing diabetes mellitus, and hyperglycaemia have been reported during post-marketing surveillance in HIV-1 infected patients receiving protease inhibitor therapy. Some patients required either initiation or dose adjustments of insulin or oral hypoglycaemic agents for treatment of these events. In some cases, diabetic ketoacidosis has occurred. In those patients who discontinued protease inhibitor therapy, hyperglycaemia persisted in some cases. </w:t>
      </w:r>
    </w:p>
    <w:p w14:paraId="6E6ACDCB" w14:textId="12AEF64A" w:rsidR="002F5719" w:rsidRPr="001C0C4B" w:rsidRDefault="002F5719" w:rsidP="00C73DF6">
      <w:pPr>
        <w:spacing w:after="120" w:line="276" w:lineRule="auto"/>
        <w:jc w:val="both"/>
        <w:rPr>
          <w:rFonts w:ascii="Calibri" w:hAnsi="Calibri" w:cs="Calibri"/>
        </w:rPr>
      </w:pPr>
    </w:p>
    <w:p w14:paraId="5D2B3DDD" w14:textId="77777777" w:rsidR="002F5719" w:rsidRPr="001C0C4B" w:rsidRDefault="002F5719" w:rsidP="00C73DF6">
      <w:pPr>
        <w:spacing w:after="120" w:line="276" w:lineRule="auto"/>
        <w:jc w:val="both"/>
        <w:rPr>
          <w:rFonts w:ascii="Calibri" w:hAnsi="Calibri" w:cs="Calibri"/>
        </w:rPr>
      </w:pPr>
    </w:p>
    <w:p w14:paraId="4444A2DC" w14:textId="77777777" w:rsidR="00C73DF6" w:rsidRPr="001C0C4B" w:rsidRDefault="00C73DF6" w:rsidP="00C966A5">
      <w:pPr>
        <w:rPr>
          <w:lang w:val="en-GB"/>
        </w:rPr>
      </w:pPr>
      <w:r w:rsidRPr="001C0C4B">
        <w:rPr>
          <w:lang w:val="en-GB"/>
        </w:rPr>
        <w:lastRenderedPageBreak/>
        <w:t>Pancreatitis</w:t>
      </w:r>
    </w:p>
    <w:p w14:paraId="18289F67" w14:textId="77777777" w:rsidR="00C73DF6" w:rsidRPr="001C0C4B" w:rsidRDefault="00C73DF6" w:rsidP="00C73DF6">
      <w:pPr>
        <w:spacing w:after="120" w:line="276" w:lineRule="auto"/>
        <w:jc w:val="both"/>
        <w:rPr>
          <w:rStyle w:val="Emphasis"/>
          <w:rFonts w:ascii="Calibri" w:eastAsiaTheme="majorEastAsia" w:hAnsi="Calibri" w:cs="Calibri"/>
          <w:i w:val="0"/>
        </w:rPr>
      </w:pPr>
      <w:r w:rsidRPr="001C0C4B">
        <w:rPr>
          <w:rFonts w:ascii="Calibri" w:hAnsi="Calibri" w:cs="Calibri"/>
        </w:rPr>
        <w:t xml:space="preserve">Pancreatitis should be considered if clinical symptoms (nausea, vomiting, abdominal pain) or abnormalities in laboratory values (such as increased serum lipase or amylase values) suggestive of pancreatitis occur. Although a causal relationship to </w:t>
      </w:r>
      <w:bookmarkStart w:id="406" w:name="_Hlk61984450"/>
      <w:r w:rsidRPr="001C0C4B">
        <w:rPr>
          <w:rFonts w:ascii="Calibri" w:hAnsi="Calibri" w:cs="Calibri"/>
        </w:rPr>
        <w:t xml:space="preserve">lopinavir/ritonavir </w:t>
      </w:r>
      <w:bookmarkEnd w:id="406"/>
      <w:r w:rsidRPr="001C0C4B">
        <w:rPr>
          <w:rFonts w:ascii="Calibri" w:hAnsi="Calibri" w:cs="Calibri"/>
        </w:rPr>
        <w:t>has not been established, marked triglyceride elevations are a risk factor for development of pancreatitis.</w:t>
      </w:r>
      <w:r w:rsidRPr="001C0C4B">
        <w:rPr>
          <w:rStyle w:val="Emphasis"/>
          <w:rFonts w:ascii="Calibri" w:hAnsi="Calibri" w:cs="Calibri"/>
          <w:i w:val="0"/>
        </w:rPr>
        <w:t xml:space="preserve"> </w:t>
      </w:r>
    </w:p>
    <w:p w14:paraId="6977DED9" w14:textId="77777777" w:rsidR="00C73DF6" w:rsidRPr="001C0C4B" w:rsidRDefault="00C73DF6" w:rsidP="00C966A5">
      <w:pPr>
        <w:rPr>
          <w:lang w:val="en-GB"/>
        </w:rPr>
      </w:pPr>
      <w:r w:rsidRPr="001C0C4B">
        <w:rPr>
          <w:lang w:val="en-GB"/>
        </w:rPr>
        <w:t>Hepatotoxicity</w:t>
      </w:r>
    </w:p>
    <w:p w14:paraId="36AD2005"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There have been post marketing reports of hepatic dysfunction, including some fatalities. These have generally occurred in patients with advanced HIV-1 disease taking multiple concomitant medications in the setting of underlying chronic hepatitis or cirrhosis. A causal relationship with </w:t>
      </w:r>
      <w:bookmarkStart w:id="407" w:name="_Hlk61984502"/>
      <w:r w:rsidRPr="001C0C4B">
        <w:rPr>
          <w:rFonts w:ascii="Calibri" w:hAnsi="Calibri" w:cs="Calibri"/>
        </w:rPr>
        <w:t xml:space="preserve">lopinavir/ritonavir </w:t>
      </w:r>
      <w:bookmarkEnd w:id="407"/>
      <w:r w:rsidRPr="001C0C4B">
        <w:rPr>
          <w:rFonts w:ascii="Calibri" w:hAnsi="Calibri" w:cs="Calibri"/>
        </w:rPr>
        <w:t>therapy has not been established.</w:t>
      </w:r>
    </w:p>
    <w:p w14:paraId="2AB23CF4"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Elevated transaminases with or without elevated bilirubin levels have been reported in HIV-1 mono-infected and uninfected patients as early as 7 days after the initiation of lopinavir/ritonavir in conjunction with other antiretroviral agents. In some cases, the hepatic dysfunction was serious; however, a definitive causal relationship with lopinavir/ritonavir therapy has not been established. Appropriate laboratory testing should be conducted prior to initiating therapy with lopinavir/ritonavir and patients should be monitored closely during treatment.</w:t>
      </w:r>
    </w:p>
    <w:p w14:paraId="12D92E04" w14:textId="77777777" w:rsidR="00C73DF6" w:rsidRPr="001C0C4B" w:rsidRDefault="00C73DF6" w:rsidP="00C966A5">
      <w:pPr>
        <w:rPr>
          <w:lang w:val="en-GB"/>
        </w:rPr>
      </w:pPr>
      <w:r w:rsidRPr="001C0C4B">
        <w:rPr>
          <w:lang w:val="en-GB"/>
        </w:rPr>
        <w:t>QT prolongation</w:t>
      </w:r>
    </w:p>
    <w:p w14:paraId="30C70CF8"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Post marketing cases of QT interval prolongation and Torsade de Pointes have been reported although causality of lopinavir/ritonavir could not be established. Avoid use in patients with congenital long QT syndrome, those with hypokalaemia, and with other drugs that prolong the QT interval.</w:t>
      </w:r>
    </w:p>
    <w:p w14:paraId="5F4964CD" w14:textId="77777777" w:rsidR="00C73DF6" w:rsidRPr="001C0C4B" w:rsidRDefault="00C73DF6" w:rsidP="00C966A5">
      <w:pPr>
        <w:rPr>
          <w:lang w:val="en-GB"/>
        </w:rPr>
      </w:pPr>
      <w:r w:rsidRPr="001C0C4B">
        <w:rPr>
          <w:lang w:val="en-GB"/>
        </w:rPr>
        <w:t>PR interval prolongation</w:t>
      </w:r>
    </w:p>
    <w:p w14:paraId="1DACFD18"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Lopinavir/ritonavir prolongs the PR interval in some patients. Cases of second- or third-degree atrioventricular block have been reported. Hence, these drugs should be used with caution in patients with underlying structural heart disease, pre-existing conduction system abnormalities, ischemic heart disease or cardiomyopathies, as these patients may be at increased risk for developing cardiac conduction abnormalities. The impact on the PR interval of co-administration of </w:t>
      </w:r>
      <w:bookmarkStart w:id="408" w:name="_Hlk61984665"/>
      <w:r w:rsidRPr="001C0C4B">
        <w:rPr>
          <w:rFonts w:ascii="Calibri" w:hAnsi="Calibri" w:cs="Calibri"/>
        </w:rPr>
        <w:t xml:space="preserve">lopinavir/ritonavir </w:t>
      </w:r>
      <w:bookmarkEnd w:id="408"/>
      <w:r w:rsidRPr="001C0C4B">
        <w:rPr>
          <w:rFonts w:ascii="Calibri" w:hAnsi="Calibri" w:cs="Calibri"/>
        </w:rPr>
        <w:t>with other drugs that prolong the PR interval (including calcium channel blockers, beta-adrenergic blockers, digoxin and atazanavir) has not been evaluated. As a result, co-administration of lopinavir/ritonavir with these drugs should be undertaken with caution, particularly with those drugs metabolized by CYP3A. Clinical monitoring is recommended.</w:t>
      </w:r>
    </w:p>
    <w:p w14:paraId="1076356C" w14:textId="77777777" w:rsidR="00C73DF6" w:rsidRPr="001C0C4B" w:rsidRDefault="00C73DF6" w:rsidP="00C966A5">
      <w:pPr>
        <w:rPr>
          <w:lang w:val="en-GB"/>
        </w:rPr>
      </w:pPr>
      <w:r w:rsidRPr="001C0C4B">
        <w:rPr>
          <w:lang w:val="en-GB"/>
        </w:rPr>
        <w:t>Contraindications</w:t>
      </w:r>
    </w:p>
    <w:p w14:paraId="21EC3073" w14:textId="77777777" w:rsidR="00C73DF6" w:rsidRPr="001C0C4B" w:rsidRDefault="00C73DF6" w:rsidP="00C73DF6">
      <w:pPr>
        <w:spacing w:after="120" w:line="276" w:lineRule="auto"/>
        <w:jc w:val="both"/>
        <w:rPr>
          <w:rFonts w:ascii="Calibri" w:hAnsi="Calibri" w:cs="Calibri"/>
          <w:lang w:eastAsia="fr-BE"/>
        </w:rPr>
      </w:pPr>
      <w:r w:rsidRPr="001C0C4B">
        <w:rPr>
          <w:rFonts w:ascii="Calibri" w:hAnsi="Calibri" w:cs="Calibri"/>
          <w:lang w:eastAsia="fr-BE"/>
        </w:rPr>
        <w:t xml:space="preserve">In our study, lopinavir/ritonavir is contraindicated in: </w:t>
      </w:r>
    </w:p>
    <w:p w14:paraId="7D0B78CD" w14:textId="77777777" w:rsidR="00C73DF6" w:rsidRPr="001C0C4B" w:rsidRDefault="00C73DF6" w:rsidP="00255A69">
      <w:pPr>
        <w:pStyle w:val="bullet10"/>
        <w:rPr>
          <w:lang w:eastAsia="fr-BE"/>
        </w:rPr>
      </w:pPr>
      <w:r w:rsidRPr="001C0C4B">
        <w:rPr>
          <w:lang w:eastAsia="fr-BE"/>
        </w:rPr>
        <w:t>hypersensitivity to lopinavir/ritonavir or any of its ingredients, including ritonavir.</w:t>
      </w:r>
    </w:p>
    <w:p w14:paraId="3C264630" w14:textId="77777777" w:rsidR="00C73DF6" w:rsidRPr="001C0C4B" w:rsidRDefault="00C73DF6" w:rsidP="00255A69">
      <w:pPr>
        <w:pStyle w:val="bullet10"/>
        <w:rPr>
          <w:lang w:eastAsia="fr-BE"/>
        </w:rPr>
      </w:pPr>
      <w:r w:rsidRPr="001C0C4B">
        <w:rPr>
          <w:lang w:eastAsia="fr-BE"/>
        </w:rPr>
        <w:t>co-administration with drugs highly dependent on CYP4503A.</w:t>
      </w:r>
    </w:p>
    <w:p w14:paraId="235F60B4" w14:textId="77777777" w:rsidR="00C73DF6" w:rsidRPr="001C0C4B" w:rsidRDefault="00C73DF6" w:rsidP="00255A69">
      <w:pPr>
        <w:pStyle w:val="bullet10"/>
        <w:rPr>
          <w:lang w:eastAsia="fr-BE"/>
        </w:rPr>
      </w:pPr>
      <w:r w:rsidRPr="001C0C4B">
        <w:rPr>
          <w:lang w:eastAsia="fr-BE"/>
        </w:rPr>
        <w:t>co-administration with potent CYP450 3A inducers</w:t>
      </w:r>
    </w:p>
    <w:p w14:paraId="1D0D94E3" w14:textId="77777777" w:rsidR="00C73DF6" w:rsidRPr="001C0C4B" w:rsidRDefault="00C73DF6" w:rsidP="00C73DF6">
      <w:pPr>
        <w:spacing w:after="120" w:line="276" w:lineRule="auto"/>
        <w:jc w:val="both"/>
        <w:rPr>
          <w:rFonts w:ascii="Calibri" w:hAnsi="Calibri" w:cs="Calibri"/>
          <w:iCs/>
        </w:rPr>
      </w:pPr>
      <w:r w:rsidRPr="001C0C4B">
        <w:rPr>
          <w:rFonts w:ascii="Calibri" w:hAnsi="Calibri" w:cs="Calibri"/>
        </w:rPr>
        <w:t>More details regarding concomitant medication can be found at:</w:t>
      </w:r>
    </w:p>
    <w:p w14:paraId="2D15847C" w14:textId="77777777" w:rsidR="00C73DF6" w:rsidRPr="001C0C4B" w:rsidRDefault="00000000" w:rsidP="00255A69">
      <w:pPr>
        <w:pStyle w:val="bullet10"/>
        <w:rPr>
          <w:rFonts w:cs="Calibri"/>
        </w:rPr>
      </w:pPr>
      <w:hyperlink r:id="rId37" w:history="1">
        <w:r w:rsidR="00C73DF6" w:rsidRPr="001C0C4B">
          <w:rPr>
            <w:rStyle w:val="Hyperlink"/>
            <w:rFonts w:cs="Calibri"/>
            <w:color w:val="auto"/>
          </w:rPr>
          <w:t>https://www.covid19-druginteractions.org/checker</w:t>
        </w:r>
      </w:hyperlink>
    </w:p>
    <w:p w14:paraId="2D884F7B" w14:textId="77777777" w:rsidR="00C73DF6" w:rsidRPr="001C0C4B" w:rsidRDefault="00000000" w:rsidP="00255A69">
      <w:pPr>
        <w:pStyle w:val="bullet10"/>
        <w:rPr>
          <w:rFonts w:cs="Calibri"/>
          <w:iCs/>
        </w:rPr>
      </w:pPr>
      <w:hyperlink r:id="rId38" w:history="1">
        <w:r w:rsidR="00C73DF6" w:rsidRPr="001C0C4B">
          <w:rPr>
            <w:rStyle w:val="Hyperlink"/>
            <w:rFonts w:cs="Calibri"/>
            <w:iCs/>
            <w:color w:val="auto"/>
          </w:rPr>
          <w:t>https://crediblemeds.org/</w:t>
        </w:r>
      </w:hyperlink>
    </w:p>
    <w:p w14:paraId="615DF1A1" w14:textId="77777777" w:rsidR="00C73DF6" w:rsidRPr="001C0C4B" w:rsidRDefault="00000000" w:rsidP="00255A69">
      <w:pPr>
        <w:pStyle w:val="bullet10"/>
        <w:rPr>
          <w:iCs/>
        </w:rPr>
      </w:pPr>
      <w:hyperlink r:id="rId39" w:history="1">
        <w:r w:rsidR="00C73DF6" w:rsidRPr="001C0C4B">
          <w:rPr>
            <w:rStyle w:val="Hyperlink"/>
            <w:rFonts w:cs="Calibri"/>
            <w:color w:val="auto"/>
          </w:rPr>
          <w:t>https://compendium.ch/fr/Patient</w:t>
        </w:r>
      </w:hyperlink>
      <w:r w:rsidR="00C73DF6" w:rsidRPr="001C0C4B">
        <w:t xml:space="preserve"> - this is a Swiss website dealing with drug interactions</w:t>
      </w:r>
    </w:p>
    <w:p w14:paraId="6C0BA66C" w14:textId="692E2E25" w:rsidR="00C73DF6" w:rsidRPr="001C0C4B" w:rsidRDefault="00000000" w:rsidP="00255A69">
      <w:pPr>
        <w:pStyle w:val="bullet10"/>
      </w:pPr>
      <w:hyperlink r:id="rId40" w:history="1">
        <w:r w:rsidR="00C73DF6" w:rsidRPr="001C0C4B">
          <w:rPr>
            <w:rStyle w:val="Hyperlink"/>
            <w:rFonts w:cs="Calibri"/>
            <w:color w:val="auto"/>
          </w:rPr>
          <w:t>https://www.bnf.org/products/bnf-online/</w:t>
        </w:r>
      </w:hyperlink>
      <w:r w:rsidR="00C73DF6" w:rsidRPr="001C0C4B">
        <w:t xml:space="preserve"> - available only in the UK</w:t>
      </w:r>
    </w:p>
    <w:p w14:paraId="2BAD2B9E" w14:textId="2DE1CB0B" w:rsidR="008A7792" w:rsidRPr="001C0C4B" w:rsidRDefault="008A7792" w:rsidP="00255A69">
      <w:pPr>
        <w:pStyle w:val="bullet10"/>
        <w:rPr>
          <w:u w:val="single"/>
        </w:rPr>
      </w:pPr>
      <w:r w:rsidRPr="001C0C4B">
        <w:rPr>
          <w:u w:val="single"/>
        </w:rPr>
        <w:t>References</w:t>
      </w:r>
    </w:p>
    <w:p w14:paraId="3FBC8FAB" w14:textId="77777777" w:rsidR="008A7792" w:rsidRPr="001C0C4B" w:rsidRDefault="008A7792" w:rsidP="000A192C">
      <w:pPr>
        <w:pStyle w:val="EndNoteBibliography"/>
        <w:numPr>
          <w:ilvl w:val="0"/>
          <w:numId w:val="46"/>
        </w:numPr>
        <w:spacing w:after="0"/>
        <w:jc w:val="both"/>
        <w:rPr>
          <w:sz w:val="20"/>
        </w:rPr>
      </w:pPr>
      <w:r w:rsidRPr="001C0C4B">
        <w:rPr>
          <w:sz w:val="20"/>
        </w:rPr>
        <w:t>Chu CM, Cheng VC, Hung IF, Wong MM, Chan KH, Chan KS, et al. Role of lopinavir/ritonavir in the treatment of SARS: initial virological and clinical findings. Thorax. 2004;59(3):252-6.</w:t>
      </w:r>
    </w:p>
    <w:p w14:paraId="3FE05BCD" w14:textId="77777777" w:rsidR="008A7792" w:rsidRPr="001C0C4B" w:rsidRDefault="008A7792" w:rsidP="000A192C">
      <w:pPr>
        <w:pStyle w:val="EndNoteBibliography"/>
        <w:numPr>
          <w:ilvl w:val="0"/>
          <w:numId w:val="46"/>
        </w:numPr>
        <w:spacing w:after="0"/>
        <w:jc w:val="both"/>
        <w:rPr>
          <w:sz w:val="20"/>
        </w:rPr>
      </w:pPr>
      <w:r w:rsidRPr="001C0C4B">
        <w:rPr>
          <w:sz w:val="20"/>
          <w:lang w:val="de-DE"/>
        </w:rPr>
        <w:t xml:space="preserve">Cao B, Wang Y, Wen D, Liu W, Wang J, Fan G, et al. </w:t>
      </w:r>
      <w:r w:rsidRPr="001C0C4B">
        <w:rPr>
          <w:sz w:val="20"/>
        </w:rPr>
        <w:t>A Trial of Lopinavir-Ritonavir in Adults Hospitalized with Severe Covid-19. N Engl J Med. 2020;382(19):1787-99.</w:t>
      </w:r>
    </w:p>
    <w:p w14:paraId="4A371F67" w14:textId="2C65D0A4" w:rsidR="008A7792" w:rsidRPr="001C0C4B" w:rsidRDefault="008A7792" w:rsidP="00255A69">
      <w:pPr>
        <w:pStyle w:val="bullet10"/>
      </w:pPr>
    </w:p>
    <w:p w14:paraId="5901DEEC" w14:textId="4610442A" w:rsidR="008A7792" w:rsidRPr="001C0C4B" w:rsidRDefault="008A7792" w:rsidP="00255A69">
      <w:pPr>
        <w:pStyle w:val="bullet10"/>
      </w:pPr>
    </w:p>
    <w:p w14:paraId="0D9C7A88" w14:textId="7BF0F9B7" w:rsidR="00C73DF6" w:rsidRPr="001C0C4B" w:rsidRDefault="00326719" w:rsidP="00BF2FEE">
      <w:pPr>
        <w:pStyle w:val="Heading2"/>
        <w:numPr>
          <w:ilvl w:val="1"/>
          <w:numId w:val="23"/>
        </w:numPr>
        <w:tabs>
          <w:tab w:val="left" w:pos="990"/>
        </w:tabs>
        <w:rPr>
          <w:rFonts w:ascii="Calibri" w:hAnsi="Calibri"/>
          <w:color w:val="auto"/>
          <w:u w:val="single"/>
        </w:rPr>
      </w:pPr>
      <w:r w:rsidRPr="001C0C4B">
        <w:br w:type="page"/>
      </w:r>
      <w:bookmarkStart w:id="409" w:name="_Toc96005505"/>
      <w:bookmarkStart w:id="410" w:name="_Toc96005636"/>
      <w:bookmarkStart w:id="411" w:name="_Toc96005506"/>
      <w:bookmarkStart w:id="412" w:name="_Toc96005637"/>
      <w:bookmarkStart w:id="413" w:name="_Toc96005507"/>
      <w:bookmarkStart w:id="414" w:name="_Toc96005638"/>
      <w:bookmarkStart w:id="415" w:name="_Toc96005508"/>
      <w:bookmarkStart w:id="416" w:name="_Toc96005639"/>
      <w:bookmarkStart w:id="417" w:name="_Toc96005509"/>
      <w:bookmarkStart w:id="418" w:name="_Toc96005640"/>
      <w:bookmarkStart w:id="419" w:name="_Toc96005510"/>
      <w:bookmarkStart w:id="420" w:name="_Toc96005641"/>
      <w:bookmarkStart w:id="421" w:name="_Toc96005511"/>
      <w:bookmarkStart w:id="422" w:name="_Toc96005642"/>
      <w:bookmarkStart w:id="423" w:name="_Toc96005512"/>
      <w:bookmarkStart w:id="424" w:name="_Toc96005643"/>
      <w:bookmarkStart w:id="425" w:name="_Toc96005513"/>
      <w:bookmarkStart w:id="426" w:name="_Toc96005644"/>
      <w:bookmarkStart w:id="427" w:name="_Toc96005514"/>
      <w:bookmarkStart w:id="428" w:name="_Toc96005645"/>
      <w:bookmarkStart w:id="429" w:name="_Toc96005515"/>
      <w:bookmarkStart w:id="430" w:name="_Toc96005646"/>
      <w:bookmarkStart w:id="431" w:name="_Toc96005516"/>
      <w:bookmarkStart w:id="432" w:name="_Toc96005647"/>
      <w:bookmarkStart w:id="433" w:name="_Toc96005517"/>
      <w:bookmarkStart w:id="434" w:name="_Toc96005648"/>
      <w:bookmarkStart w:id="435" w:name="_Toc96005518"/>
      <w:bookmarkStart w:id="436" w:name="_Toc96005649"/>
      <w:bookmarkStart w:id="437" w:name="_Toc96005519"/>
      <w:bookmarkStart w:id="438" w:name="_Toc96005650"/>
      <w:bookmarkStart w:id="439" w:name="_Toc96005520"/>
      <w:bookmarkStart w:id="440" w:name="_Toc96005651"/>
      <w:bookmarkStart w:id="441" w:name="_Toc96005521"/>
      <w:bookmarkStart w:id="442" w:name="_Toc96005652"/>
      <w:bookmarkStart w:id="443" w:name="_Toc96005522"/>
      <w:bookmarkStart w:id="444" w:name="_Toc96005653"/>
      <w:bookmarkStart w:id="445" w:name="_Toc96005523"/>
      <w:bookmarkStart w:id="446" w:name="_Toc96005654"/>
      <w:bookmarkStart w:id="447" w:name="_Toc96005524"/>
      <w:bookmarkStart w:id="448" w:name="_Toc96005655"/>
      <w:bookmarkStart w:id="449" w:name="_Toc96005525"/>
      <w:bookmarkStart w:id="450" w:name="_Toc96005656"/>
      <w:bookmarkStart w:id="451" w:name="_Toc96005526"/>
      <w:bookmarkStart w:id="452" w:name="_Toc96005657"/>
      <w:bookmarkStart w:id="453" w:name="_Toc96005527"/>
      <w:bookmarkStart w:id="454" w:name="_Toc96005658"/>
      <w:bookmarkStart w:id="455" w:name="_Toc96005528"/>
      <w:bookmarkStart w:id="456" w:name="_Toc96005659"/>
      <w:bookmarkStart w:id="457" w:name="_Toc96005529"/>
      <w:bookmarkStart w:id="458" w:name="_Toc96005660"/>
      <w:bookmarkStart w:id="459" w:name="_Toc96007333"/>
      <w:bookmarkStart w:id="460" w:name="_Toc96007334"/>
      <w:bookmarkStart w:id="461" w:name="_Toc96007335"/>
      <w:bookmarkStart w:id="462" w:name="_Toc96007336"/>
      <w:bookmarkStart w:id="463" w:name="_Toc96007337"/>
      <w:bookmarkStart w:id="464" w:name="_Toc96007338"/>
      <w:bookmarkStart w:id="465" w:name="_Toc96007339"/>
      <w:bookmarkStart w:id="466" w:name="_Toc96007340"/>
      <w:bookmarkStart w:id="467" w:name="_Toc96007341"/>
      <w:bookmarkStart w:id="468" w:name="_Toc96007342"/>
      <w:bookmarkStart w:id="469" w:name="_Toc96007343"/>
      <w:bookmarkStart w:id="470" w:name="_Toc96007344"/>
      <w:bookmarkStart w:id="471" w:name="_Toc96007345"/>
      <w:bookmarkStart w:id="472" w:name="_Toc96007346"/>
      <w:bookmarkStart w:id="473" w:name="_Toc96007347"/>
      <w:bookmarkStart w:id="474" w:name="_Toc96007348"/>
      <w:bookmarkStart w:id="475" w:name="_Toc96007349"/>
      <w:bookmarkStart w:id="476" w:name="_Toc96007350"/>
      <w:bookmarkStart w:id="477" w:name="_Toc96007351"/>
      <w:bookmarkStart w:id="478" w:name="_Toc96007352"/>
      <w:bookmarkStart w:id="479" w:name="_Toc96007353"/>
      <w:bookmarkStart w:id="480" w:name="_Toc96007354"/>
      <w:bookmarkStart w:id="481" w:name="_Toc96007355"/>
      <w:bookmarkStart w:id="482" w:name="_Toc96007356"/>
      <w:bookmarkStart w:id="483" w:name="_Toc96007357"/>
      <w:bookmarkStart w:id="484" w:name="_Toc96007358"/>
      <w:bookmarkStart w:id="485" w:name="_Toc95915286"/>
      <w:bookmarkStart w:id="486" w:name="_Toc96515789"/>
      <w:bookmarkStart w:id="487" w:name="_Toc74661330"/>
      <w:bookmarkStart w:id="488" w:name="_Toc110524025"/>
      <w:bookmarkStart w:id="489" w:name="_Toc96005661"/>
      <w:bookmarkStart w:id="490" w:name="_Toc112917673"/>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C73DF6" w:rsidRPr="001C0C4B">
        <w:rPr>
          <w:rFonts w:ascii="Calibri" w:hAnsi="Calibri"/>
          <w:color w:val="auto"/>
          <w:u w:val="single"/>
        </w:rPr>
        <w:lastRenderedPageBreak/>
        <w:t>Miglustat</w:t>
      </w:r>
      <w:bookmarkEnd w:id="484"/>
      <w:bookmarkEnd w:id="485"/>
      <w:bookmarkEnd w:id="486"/>
      <w:bookmarkEnd w:id="487"/>
      <w:bookmarkEnd w:id="488"/>
      <w:bookmarkEnd w:id="489"/>
      <w:bookmarkEnd w:id="490"/>
      <w:r w:rsidR="00C73DF6" w:rsidRPr="001C0C4B">
        <w:rPr>
          <w:rFonts w:ascii="Calibri" w:hAnsi="Calibri"/>
          <w:color w:val="auto"/>
          <w:u w:val="single"/>
        </w:rPr>
        <w:t xml:space="preserve"> </w:t>
      </w:r>
    </w:p>
    <w:p w14:paraId="47156442" w14:textId="77777777" w:rsidR="00C73DF6" w:rsidRPr="001C0C4B" w:rsidRDefault="00C73DF6" w:rsidP="00C966A5">
      <w:r w:rsidRPr="001C0C4B">
        <w:t>Rationale</w:t>
      </w:r>
    </w:p>
    <w:p w14:paraId="1AB4224D" w14:textId="7468D077" w:rsidR="00C73DF6" w:rsidRPr="001C0C4B" w:rsidRDefault="00C73DF6" w:rsidP="00C73DF6">
      <w:pPr>
        <w:spacing w:after="120" w:line="276" w:lineRule="auto"/>
        <w:jc w:val="both"/>
        <w:textAlignment w:val="baseline"/>
        <w:rPr>
          <w:rFonts w:ascii="Calibri" w:hAnsi="Calibri" w:cs="Calibri"/>
        </w:rPr>
      </w:pPr>
      <w:r w:rsidRPr="001C0C4B">
        <w:rPr>
          <w:rFonts w:ascii="Calibri" w:hAnsi="Calibri" w:cs="Calibri"/>
        </w:rPr>
        <w:t xml:space="preserve">Miglustat is a drug that is in current clinical use for lysosomal storage disorders and has shown to be active against a variety of viral infections. A key mechanism by which iminosugars act as antivirals is their ability to disrupt glycoprotein folding, arising from the inhibition of ER α-glu I and II </w:t>
      </w:r>
      <w:r w:rsidRPr="001C0C4B">
        <w:rPr>
          <w:rFonts w:ascii="Calibri" w:hAnsi="Calibri"/>
        </w:rPr>
        <w:t>(</w:t>
      </w:r>
      <w:r w:rsidR="008A7792" w:rsidRPr="001C0C4B">
        <w:rPr>
          <w:rFonts w:ascii="Calibri" w:hAnsi="Calibri"/>
        </w:rPr>
        <w:t>1</w:t>
      </w:r>
      <w:r w:rsidRPr="001C0C4B">
        <w:rPr>
          <w:rFonts w:ascii="Calibri" w:hAnsi="Calibri"/>
        </w:rPr>
        <w:t>).</w:t>
      </w:r>
      <w:r w:rsidRPr="001C0C4B">
        <w:rPr>
          <w:rFonts w:ascii="Calibri" w:hAnsi="Calibri" w:cs="Calibri"/>
        </w:rPr>
        <w:t xml:space="preserve"> Miglustat has been shown to inhibit SARS-CoV-2 in different cell types at concentrations compatible with those obtained for the treatment of Gaucher’s disease and Niemann-Pick type C patients </w:t>
      </w:r>
      <w:r w:rsidRPr="001C0C4B">
        <w:rPr>
          <w:rFonts w:ascii="Calibri" w:hAnsi="Calibri"/>
        </w:rPr>
        <w:t>(</w:t>
      </w:r>
      <w:r w:rsidR="008A7792" w:rsidRPr="001C0C4B">
        <w:rPr>
          <w:rFonts w:ascii="Calibri" w:hAnsi="Calibri"/>
        </w:rPr>
        <w:t>2</w:t>
      </w:r>
      <w:r w:rsidRPr="001C0C4B">
        <w:rPr>
          <w:rFonts w:ascii="Calibri" w:hAnsi="Calibri"/>
        </w:rPr>
        <w:t>),</w:t>
      </w:r>
      <w:r w:rsidRPr="001C0C4B">
        <w:rPr>
          <w:rFonts w:ascii="Calibri" w:hAnsi="Calibri" w:cs="Calibri"/>
          <w:noProof/>
        </w:rPr>
        <w:t xml:space="preserve"> although more recent evidence in the calu-3 cell line suggests that higher doses (those used in the treatment of HIV may be required to reach </w:t>
      </w:r>
      <w:r w:rsidRPr="001C0C4B">
        <w:rPr>
          <w:rFonts w:ascii="Calibri" w:hAnsi="Calibri" w:cs="Calibri"/>
          <w:i/>
          <w:iCs/>
          <w:noProof/>
        </w:rPr>
        <w:t>in vivo</w:t>
      </w:r>
      <w:r w:rsidRPr="001C0C4B">
        <w:rPr>
          <w:rFonts w:ascii="Calibri" w:hAnsi="Calibri" w:cs="Calibri"/>
          <w:noProof/>
        </w:rPr>
        <w:t xml:space="preserve"> antiviral drug concentrations) (unpublished communication)</w:t>
      </w:r>
      <w:r w:rsidRPr="001C0C4B">
        <w:rPr>
          <w:rFonts w:ascii="Calibri" w:hAnsi="Calibri" w:cs="Calibri"/>
        </w:rPr>
        <w:t>. Time of addition studies indicate that the inhibitory activity is at the post-entry level and affects release of infectious virus. The proper folding and release of the Spike protein, and progeny virus appear mostly affected. </w:t>
      </w:r>
    </w:p>
    <w:p w14:paraId="0B94B426" w14:textId="77777777" w:rsidR="00C73DF6" w:rsidRPr="001C0C4B" w:rsidRDefault="00C73DF6" w:rsidP="00C966A5">
      <w:r w:rsidRPr="001C0C4B">
        <w:t>Composition &amp; dose</w:t>
      </w:r>
    </w:p>
    <w:p w14:paraId="62CFD6EA"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Zavesca® capsules contain 100 mg of miglustat. </w:t>
      </w:r>
    </w:p>
    <w:p w14:paraId="5A74C94A" w14:textId="605CBCBE"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Suitable tablets will be obtained by the sponsor or the local teams from </w:t>
      </w:r>
      <w:r w:rsidR="00FC58FA" w:rsidRPr="001C0C4B">
        <w:rPr>
          <w:rFonts w:ascii="Calibri" w:hAnsi="Calibri" w:cs="Calibri"/>
        </w:rPr>
        <w:t>the</w:t>
      </w:r>
      <w:r w:rsidRPr="001C0C4B">
        <w:rPr>
          <w:rFonts w:ascii="Calibri" w:hAnsi="Calibri" w:cs="Calibri"/>
        </w:rPr>
        <w:t xml:space="preserve"> manufacturer.</w:t>
      </w:r>
    </w:p>
    <w:p w14:paraId="4D5B0681"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approved doses are: </w:t>
      </w:r>
    </w:p>
    <w:p w14:paraId="38156EE9" w14:textId="7D51ED1B" w:rsidR="00C73DF6" w:rsidRPr="001C0C4B" w:rsidRDefault="00C73DF6" w:rsidP="00E142CD">
      <w:pPr>
        <w:pStyle w:val="NoSpacing"/>
        <w:numPr>
          <w:ilvl w:val="0"/>
          <w:numId w:val="27"/>
        </w:numPr>
      </w:pPr>
      <w:r w:rsidRPr="001C0C4B">
        <w:t>100 mg TDS and 200 mg TDS are approved doses (</w:t>
      </w:r>
      <w:r w:rsidR="008A7792" w:rsidRPr="001C0C4B">
        <w:t>3</w:t>
      </w:r>
      <w:r w:rsidRPr="001C0C4B">
        <w:t>) but doses of up to 3000mg/ day have been used in HIV patients for up to 6 months.</w:t>
      </w:r>
    </w:p>
    <w:p w14:paraId="294CB7A3" w14:textId="7CA84F18" w:rsidR="00C73DF6" w:rsidRPr="001C0C4B" w:rsidRDefault="006030E9" w:rsidP="00C73DF6">
      <w:pPr>
        <w:spacing w:after="120" w:line="276" w:lineRule="auto"/>
        <w:jc w:val="both"/>
        <w:rPr>
          <w:rFonts w:ascii="Calibri" w:hAnsi="Calibri" w:cs="Calibri"/>
        </w:rPr>
      </w:pPr>
      <w:r w:rsidRPr="001C0C4B">
        <w:rPr>
          <w:rFonts w:ascii="Calibri" w:hAnsi="Calibri"/>
          <w:noProof/>
          <w:color w:val="2F5496" w:themeColor="accent1" w:themeShade="BF"/>
          <w:sz w:val="26"/>
          <w:lang w:bidi="th-TH"/>
        </w:rPr>
        <w:drawing>
          <wp:anchor distT="0" distB="0" distL="114300" distR="114300" simplePos="0" relativeHeight="251658246" behindDoc="0" locked="0" layoutInCell="1" allowOverlap="1" wp14:anchorId="423BD0FD" wp14:editId="5FEF5549">
            <wp:simplePos x="0" y="0"/>
            <wp:positionH relativeFrom="margin">
              <wp:align>left</wp:align>
            </wp:positionH>
            <wp:positionV relativeFrom="paragraph">
              <wp:posOffset>132080</wp:posOffset>
            </wp:positionV>
            <wp:extent cx="3383280" cy="2773680"/>
            <wp:effectExtent l="0" t="0" r="7620" b="7620"/>
            <wp:wrapSquare wrapText="bothSides"/>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383280" cy="2773680"/>
                    </a:xfrm>
                    <a:prstGeom prst="rect">
                      <a:avLst/>
                    </a:prstGeom>
                  </pic:spPr>
                </pic:pic>
              </a:graphicData>
            </a:graphic>
          </wp:anchor>
        </w:drawing>
      </w:r>
      <w:r w:rsidR="00C73DF6" w:rsidRPr="001C0C4B">
        <w:rPr>
          <w:rFonts w:ascii="Calibri" w:hAnsi="Calibri" w:cs="Calibri"/>
        </w:rPr>
        <w:t xml:space="preserve">In our study the dose will be using the highest dose of </w:t>
      </w:r>
      <w:r w:rsidR="00C73DF6" w:rsidRPr="001C0C4B">
        <w:rPr>
          <w:rFonts w:ascii="Calibri" w:hAnsi="Calibri" w:cs="Calibri"/>
          <w:b/>
          <w:bCs/>
        </w:rPr>
        <w:t>1g TDS PO for 7 days</w:t>
      </w:r>
    </w:p>
    <w:p w14:paraId="7F2DBDA1" w14:textId="77777777" w:rsidR="00C73DF6" w:rsidRPr="001C0C4B" w:rsidRDefault="00C73DF6" w:rsidP="00C966A5">
      <w:r w:rsidRPr="001C0C4B">
        <w:t>Pharmacokinetic characteristics</w:t>
      </w:r>
    </w:p>
    <w:p w14:paraId="18D0CC64" w14:textId="4B0213A1"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In a study of 28 adult patients with Gaucher’s disease receiving 100mg three times daily the time of maximum plasma concentration and half-life were 2.5 and 6.3 h, respectively, with a maximum concentration of 0.86 μg/mL. Steady-state plasma concentrations were achieved after 4–6 weeks of treatment </w:t>
      </w:r>
      <w:r w:rsidRPr="001C0C4B">
        <w:rPr>
          <w:rFonts w:ascii="Calibri" w:hAnsi="Calibri"/>
        </w:rPr>
        <w:t>(</w:t>
      </w:r>
      <w:r w:rsidR="008A7792" w:rsidRPr="001C0C4B">
        <w:rPr>
          <w:rFonts w:ascii="Calibri" w:hAnsi="Calibri"/>
        </w:rPr>
        <w:t>3</w:t>
      </w:r>
      <w:r w:rsidRPr="001C0C4B">
        <w:rPr>
          <w:rFonts w:ascii="Calibri" w:hAnsi="Calibri"/>
        </w:rPr>
        <w:t>).</w:t>
      </w:r>
    </w:p>
    <w:p w14:paraId="1D3DD865" w14:textId="37596C9B" w:rsidR="00C73DF6" w:rsidRPr="001C0C4B" w:rsidRDefault="00C73DF6" w:rsidP="00C73DF6">
      <w:pPr>
        <w:spacing w:after="120" w:line="276" w:lineRule="auto"/>
        <w:jc w:val="both"/>
        <w:rPr>
          <w:rFonts w:ascii="Calibri" w:hAnsi="Calibri" w:cs="Calibri"/>
        </w:rPr>
      </w:pPr>
      <w:r w:rsidRPr="001C0C4B">
        <w:rPr>
          <w:rFonts w:ascii="Calibri" w:hAnsi="Calibri" w:cs="Calibri"/>
        </w:rPr>
        <w:t>Miglustat plasma exposure reaches steady state at about 72 h and the ratio trough/peak is overall between 0.6 and 0.7.</w:t>
      </w:r>
    </w:p>
    <w:p w14:paraId="68A359C7" w14:textId="77777777" w:rsidR="00C73DF6" w:rsidRPr="001C0C4B" w:rsidRDefault="00C73DF6" w:rsidP="00C73DF6">
      <w:pPr>
        <w:spacing w:after="120" w:line="276" w:lineRule="auto"/>
        <w:jc w:val="both"/>
        <w:rPr>
          <w:rFonts w:ascii="Calibri" w:hAnsi="Calibri" w:cs="Calibri"/>
        </w:rPr>
      </w:pPr>
    </w:p>
    <w:p w14:paraId="5DB8253F" w14:textId="77777777" w:rsidR="00C73DF6" w:rsidRPr="001C0C4B" w:rsidRDefault="00C73DF6" w:rsidP="00C966A5">
      <w:r w:rsidRPr="001C0C4B">
        <w:t>Pharmacokinetic sampling schedule: (only if there is evidence of accelerated viral clearance)</w:t>
      </w:r>
    </w:p>
    <w:p w14:paraId="7C79C8AF" w14:textId="230C0DDE"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All patients will need to be admitted for 12 hours for intense sampling. </w:t>
      </w:r>
    </w:p>
    <w:p w14:paraId="6714E9DE"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timings are: </w:t>
      </w:r>
    </w:p>
    <w:p w14:paraId="285CD313" w14:textId="77777777" w:rsidR="00C73DF6" w:rsidRPr="001C0C4B" w:rsidRDefault="00C73DF6" w:rsidP="009E06F8">
      <w:pPr>
        <w:pStyle w:val="bullet1"/>
        <w:numPr>
          <w:ilvl w:val="0"/>
          <w:numId w:val="11"/>
        </w:numPr>
        <w:spacing w:line="276" w:lineRule="auto"/>
        <w:ind w:left="357" w:hanging="357"/>
        <w:jc w:val="both"/>
        <w:rPr>
          <w:rFonts w:ascii="Calibri" w:hAnsi="Calibri"/>
        </w:rPr>
      </w:pPr>
      <w:r w:rsidRPr="001C0C4B">
        <w:rPr>
          <w:rFonts w:ascii="Calibri" w:hAnsi="Calibri"/>
        </w:rPr>
        <w:t>Pre-dose D0H0, then</w:t>
      </w:r>
    </w:p>
    <w:p w14:paraId="0C1A4930" w14:textId="77777777" w:rsidR="00C73DF6" w:rsidRPr="001C0C4B" w:rsidRDefault="00C73DF6" w:rsidP="009E06F8">
      <w:pPr>
        <w:pStyle w:val="bullet1"/>
        <w:numPr>
          <w:ilvl w:val="0"/>
          <w:numId w:val="11"/>
        </w:numPr>
        <w:spacing w:line="276" w:lineRule="auto"/>
        <w:ind w:left="357" w:hanging="357"/>
        <w:jc w:val="both"/>
        <w:rPr>
          <w:rFonts w:ascii="Calibri" w:hAnsi="Calibri"/>
        </w:rPr>
      </w:pPr>
      <w:r w:rsidRPr="001C0C4B">
        <w:rPr>
          <w:rFonts w:ascii="Calibri" w:hAnsi="Calibri"/>
        </w:rPr>
        <w:t>1, 2, 3, 4, 6, 9, 12 and 24h</w:t>
      </w:r>
    </w:p>
    <w:p w14:paraId="67765C46"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Note that blood will be taken on D3 and D7 for routine haematology and biochemistry. The EDTA sample will be used to measure the drug concentrations. </w:t>
      </w:r>
    </w:p>
    <w:p w14:paraId="42BEDF38" w14:textId="77777777" w:rsidR="00C73DF6" w:rsidRPr="001C0C4B" w:rsidRDefault="00C73DF6" w:rsidP="00C966A5">
      <w:r w:rsidRPr="001C0C4B">
        <w:lastRenderedPageBreak/>
        <w:t xml:space="preserve">Toxicity </w:t>
      </w:r>
    </w:p>
    <w:p w14:paraId="2F862F80" w14:textId="77777777" w:rsidR="00C73DF6" w:rsidRPr="001C0C4B" w:rsidRDefault="00C73DF6" w:rsidP="00C73DF6">
      <w:pPr>
        <w:pStyle w:val="paragraph"/>
        <w:spacing w:before="0" w:beforeAutospacing="0" w:after="120" w:afterAutospacing="0" w:line="276" w:lineRule="auto"/>
        <w:jc w:val="both"/>
        <w:textAlignment w:val="baseline"/>
        <w:rPr>
          <w:rFonts w:ascii="Calibri" w:hAnsi="Calibri" w:cs="Calibri"/>
          <w:sz w:val="22"/>
          <w:szCs w:val="22"/>
        </w:rPr>
      </w:pPr>
      <w:r w:rsidRPr="001C0C4B">
        <w:rPr>
          <w:rStyle w:val="normaltextrun"/>
          <w:rFonts w:ascii="Calibri" w:eastAsiaTheme="majorEastAsia" w:hAnsi="Calibri" w:cs="Calibri"/>
          <w:sz w:val="22"/>
          <w:szCs w:val="22"/>
        </w:rPr>
        <w:t>This drug is commonly used in chronic conditions, and the toxicities described reflect that situation. It was also evaluated at doses of up to 3000 mg/day (the dose being evaluated in this study for 7 days) for up to six months in Human Immunodeficiency Virus (HIV)-positive patients. In these studies, the adverse events included granulocytopenia, dizziness, and paraesthesia. Leukopenia and neutropenia have also been observed in a similar group of patients receiving 800 mg/day or above.</w:t>
      </w:r>
      <w:r w:rsidRPr="001C0C4B">
        <w:rPr>
          <w:rStyle w:val="eop"/>
          <w:rFonts w:ascii="Calibri" w:eastAsiaTheme="majorEastAsia" w:hAnsi="Calibri" w:cs="Calibri"/>
          <w:sz w:val="22"/>
          <w:szCs w:val="22"/>
        </w:rPr>
        <w:t> </w:t>
      </w:r>
    </w:p>
    <w:p w14:paraId="49D91844" w14:textId="77777777" w:rsidR="00C73DF6" w:rsidRPr="001C0C4B" w:rsidRDefault="00C73DF6" w:rsidP="00E142CD">
      <w:pPr>
        <w:pStyle w:val="paragraph"/>
        <w:numPr>
          <w:ilvl w:val="0"/>
          <w:numId w:val="16"/>
        </w:numPr>
        <w:spacing w:before="0" w:beforeAutospacing="0" w:after="120" w:afterAutospacing="0" w:line="276" w:lineRule="auto"/>
        <w:ind w:left="720"/>
        <w:jc w:val="both"/>
        <w:textAlignment w:val="baseline"/>
        <w:rPr>
          <w:rFonts w:ascii="Calibri" w:hAnsi="Calibri" w:cs="Calibri"/>
          <w:sz w:val="22"/>
          <w:szCs w:val="22"/>
        </w:rPr>
      </w:pPr>
      <w:r w:rsidRPr="001C0C4B">
        <w:rPr>
          <w:rStyle w:val="normaltextrun"/>
          <w:rFonts w:ascii="Calibri" w:eastAsiaTheme="majorEastAsia" w:hAnsi="Calibri" w:cs="Calibri"/>
          <w:sz w:val="22"/>
          <w:szCs w:val="22"/>
        </w:rPr>
        <w:t>Gastrointestinal disturbances</w:t>
      </w:r>
    </w:p>
    <w:p w14:paraId="2884CF95" w14:textId="29B7D3D8" w:rsidR="00C73DF6" w:rsidRPr="001C0C4B" w:rsidRDefault="00C73DF6" w:rsidP="00C73DF6">
      <w:pPr>
        <w:pStyle w:val="paragraph"/>
        <w:spacing w:before="0" w:beforeAutospacing="0" w:after="120" w:afterAutospacing="0" w:line="276" w:lineRule="auto"/>
        <w:jc w:val="both"/>
        <w:textAlignment w:val="baseline"/>
        <w:rPr>
          <w:rStyle w:val="eop"/>
          <w:rFonts w:ascii="Calibri" w:eastAsiaTheme="majorEastAsia" w:hAnsi="Calibri"/>
          <w:sz w:val="22"/>
          <w:lang w:val="en-US"/>
        </w:rPr>
      </w:pPr>
      <w:r w:rsidRPr="001C0C4B">
        <w:rPr>
          <w:rStyle w:val="normaltextrun"/>
          <w:rFonts w:ascii="Calibri" w:eastAsiaTheme="majorEastAsia" w:hAnsi="Calibri" w:cs="Calibri"/>
          <w:sz w:val="22"/>
          <w:szCs w:val="22"/>
        </w:rPr>
        <w:t xml:space="preserve">Gastrointestinal events, mainly osmotic diarrhoea, have been observed in more than 80% of patients, either at the outset of treatment or intermittently during it. The mechanism is most likely inhibition of intestinal disaccharidases in the gastrointestinal tract. In clinical practice, miglustat-induced gastrointestinal events have been observed to respond to individualised diet modification, to taking it between meals, and/or to use anti-diarrhoeal medicinal products such as loperamide. In some patients, temporary dose reduction may be necessary </w:t>
      </w:r>
      <w:r w:rsidRPr="001C0C4B">
        <w:rPr>
          <w:rStyle w:val="normaltextrun"/>
          <w:rFonts w:ascii="Calibri" w:eastAsiaTheme="majorEastAsia" w:hAnsi="Calibri"/>
          <w:sz w:val="22"/>
        </w:rPr>
        <w:t>(</w:t>
      </w:r>
      <w:r w:rsidR="008A7792" w:rsidRPr="001C0C4B">
        <w:rPr>
          <w:rStyle w:val="normaltextrun"/>
          <w:rFonts w:ascii="Calibri" w:eastAsiaTheme="majorEastAsia" w:hAnsi="Calibri"/>
          <w:sz w:val="22"/>
        </w:rPr>
        <w:t>4</w:t>
      </w:r>
      <w:r w:rsidRPr="001C0C4B">
        <w:rPr>
          <w:rStyle w:val="normaltextrun"/>
          <w:rFonts w:ascii="Calibri" w:eastAsiaTheme="majorEastAsia" w:hAnsi="Calibri"/>
          <w:sz w:val="22"/>
        </w:rPr>
        <w:t>).</w:t>
      </w:r>
    </w:p>
    <w:p w14:paraId="0A1C49AB" w14:textId="77777777" w:rsidR="00C73DF6" w:rsidRPr="001C0C4B" w:rsidRDefault="00C73DF6" w:rsidP="00E142CD">
      <w:pPr>
        <w:pStyle w:val="paragraph"/>
        <w:numPr>
          <w:ilvl w:val="0"/>
          <w:numId w:val="16"/>
        </w:numPr>
        <w:spacing w:before="0" w:beforeAutospacing="0" w:after="120" w:afterAutospacing="0" w:line="276" w:lineRule="auto"/>
        <w:ind w:left="720"/>
        <w:jc w:val="both"/>
        <w:textAlignment w:val="baseline"/>
        <w:rPr>
          <w:rStyle w:val="normaltextrun"/>
          <w:rFonts w:ascii="Calibri" w:eastAsiaTheme="majorEastAsia" w:hAnsi="Calibri"/>
          <w:sz w:val="22"/>
          <w:lang w:val="en-US"/>
        </w:rPr>
      </w:pPr>
      <w:r w:rsidRPr="001C0C4B">
        <w:rPr>
          <w:rStyle w:val="normaltextrun"/>
          <w:rFonts w:ascii="Calibri" w:eastAsiaTheme="majorEastAsia" w:hAnsi="Calibri" w:cs="Calibri"/>
          <w:sz w:val="22"/>
          <w:szCs w:val="22"/>
        </w:rPr>
        <w:t>Fertility</w:t>
      </w:r>
    </w:p>
    <w:p w14:paraId="7A42E3FC" w14:textId="0C46BC78" w:rsidR="00C73DF6" w:rsidRPr="001C0C4B" w:rsidRDefault="00C73DF6" w:rsidP="00C73DF6">
      <w:pPr>
        <w:pStyle w:val="paragraph"/>
        <w:spacing w:before="0" w:beforeAutospacing="0" w:after="120" w:afterAutospacing="0" w:line="276" w:lineRule="auto"/>
        <w:jc w:val="both"/>
        <w:textAlignment w:val="baseline"/>
        <w:rPr>
          <w:rStyle w:val="eop"/>
          <w:rFonts w:ascii="Calibri" w:eastAsiaTheme="majorEastAsia" w:hAnsi="Calibri" w:cs="Calibri"/>
          <w:sz w:val="22"/>
          <w:szCs w:val="22"/>
          <w:lang w:val="en-US" w:eastAsia="en-US"/>
        </w:rPr>
      </w:pPr>
      <w:r w:rsidRPr="001C0C4B">
        <w:rPr>
          <w:rStyle w:val="normaltextrun"/>
          <w:rFonts w:ascii="Calibri" w:eastAsiaTheme="majorEastAsia" w:hAnsi="Calibri" w:cs="Calibri"/>
          <w:sz w:val="22"/>
          <w:szCs w:val="22"/>
        </w:rPr>
        <w:t>After a single study in rodents suggested that miglustat could interfere with spermatogenesis there were concerns over reproductive toxicity. However these concerns have been allayed by studies in humans which have not shown effects on spermatogenesis</w:t>
      </w:r>
      <w:r w:rsidR="00326719" w:rsidRPr="001C0C4B">
        <w:rPr>
          <w:rStyle w:val="normaltextrun"/>
          <w:rFonts w:ascii="Calibri" w:eastAsiaTheme="majorEastAsia" w:hAnsi="Calibri" w:cs="Calibri"/>
          <w:sz w:val="22"/>
          <w:szCs w:val="22"/>
        </w:rPr>
        <w:t xml:space="preserve"> </w:t>
      </w:r>
      <w:r w:rsidR="00326719" w:rsidRPr="001C0C4B">
        <w:rPr>
          <w:rStyle w:val="normaltextrun"/>
          <w:rFonts w:ascii="Calibri" w:eastAsiaTheme="majorEastAsia" w:hAnsi="Calibri"/>
          <w:sz w:val="22"/>
        </w:rPr>
        <w:t>(</w:t>
      </w:r>
      <w:r w:rsidR="008A7792" w:rsidRPr="001C0C4B">
        <w:rPr>
          <w:rStyle w:val="normaltextrun"/>
          <w:rFonts w:ascii="Calibri" w:eastAsiaTheme="majorEastAsia" w:hAnsi="Calibri"/>
          <w:sz w:val="22"/>
        </w:rPr>
        <w:t>5</w:t>
      </w:r>
      <w:r w:rsidR="00326719" w:rsidRPr="001C0C4B">
        <w:rPr>
          <w:rStyle w:val="normaltextrun"/>
          <w:rFonts w:ascii="Calibri" w:eastAsiaTheme="majorEastAsia" w:hAnsi="Calibri"/>
          <w:sz w:val="22"/>
        </w:rPr>
        <w:t>)</w:t>
      </w:r>
      <w:r w:rsidRPr="001C0C4B">
        <w:rPr>
          <w:rStyle w:val="normaltextrun"/>
          <w:rFonts w:ascii="Calibri" w:eastAsiaTheme="majorEastAsia" w:hAnsi="Calibri"/>
          <w:sz w:val="22"/>
        </w:rPr>
        <w:t>.</w:t>
      </w:r>
      <w:r w:rsidRPr="001C0C4B">
        <w:rPr>
          <w:rStyle w:val="normaltextrun"/>
          <w:rFonts w:ascii="Calibri" w:eastAsiaTheme="majorEastAsia" w:hAnsi="Calibri" w:cs="Calibri"/>
          <w:sz w:val="22"/>
          <w:szCs w:val="22"/>
        </w:rPr>
        <w:t xml:space="preserve"> Contraceptive measures should be used by women of childbearing potential as miglustat crosses the placenta and should not be used during pregnancy. Studies in animals have shown reproductive toxicity, including dystocia. The potential risk for humans is unknown. It should also not be taken during breastfeeding.</w:t>
      </w:r>
      <w:r w:rsidRPr="001C0C4B">
        <w:rPr>
          <w:rStyle w:val="eop"/>
          <w:rFonts w:ascii="Calibri" w:eastAsiaTheme="majorEastAsia" w:hAnsi="Calibri" w:cs="Calibri"/>
          <w:sz w:val="22"/>
          <w:szCs w:val="22"/>
        </w:rPr>
        <w:t> </w:t>
      </w:r>
    </w:p>
    <w:p w14:paraId="73312398" w14:textId="77777777" w:rsidR="00C73DF6" w:rsidRPr="001C0C4B" w:rsidRDefault="00C73DF6" w:rsidP="00E142CD">
      <w:pPr>
        <w:pStyle w:val="paragraph"/>
        <w:numPr>
          <w:ilvl w:val="0"/>
          <w:numId w:val="16"/>
        </w:numPr>
        <w:spacing w:before="0" w:beforeAutospacing="0" w:after="120" w:afterAutospacing="0" w:line="276" w:lineRule="auto"/>
        <w:ind w:left="720"/>
        <w:jc w:val="both"/>
        <w:textAlignment w:val="baseline"/>
        <w:rPr>
          <w:rStyle w:val="normaltextrun"/>
          <w:rFonts w:ascii="Calibri" w:eastAsiaTheme="majorEastAsia" w:hAnsi="Calibri" w:cs="Calibri"/>
          <w:sz w:val="22"/>
          <w:szCs w:val="22"/>
          <w:lang w:val="en-US" w:eastAsia="en-US"/>
        </w:rPr>
      </w:pPr>
      <w:r w:rsidRPr="001C0C4B">
        <w:rPr>
          <w:rStyle w:val="normaltextrun"/>
          <w:rFonts w:ascii="Calibri" w:eastAsiaTheme="majorEastAsia" w:hAnsi="Calibri" w:cs="Calibri"/>
          <w:sz w:val="22"/>
          <w:szCs w:val="22"/>
        </w:rPr>
        <w:t>Renal impairment</w:t>
      </w:r>
    </w:p>
    <w:p w14:paraId="3F2F7189" w14:textId="77777777" w:rsidR="00C73DF6" w:rsidRPr="001C0C4B" w:rsidRDefault="00C73DF6" w:rsidP="00C73DF6">
      <w:pPr>
        <w:pStyle w:val="paragraph"/>
        <w:spacing w:before="0" w:beforeAutospacing="0" w:after="120" w:afterAutospacing="0" w:line="276" w:lineRule="auto"/>
        <w:jc w:val="both"/>
        <w:textAlignment w:val="baseline"/>
        <w:rPr>
          <w:rFonts w:ascii="Calibri" w:hAnsi="Calibri" w:cs="Calibri"/>
          <w:sz w:val="22"/>
          <w:szCs w:val="22"/>
        </w:rPr>
      </w:pPr>
      <w:r w:rsidRPr="001C0C4B">
        <w:rPr>
          <w:rStyle w:val="normaltextrun"/>
          <w:rFonts w:ascii="Calibri" w:eastAsiaTheme="majorEastAsia" w:hAnsi="Calibri" w:cs="Calibri"/>
          <w:sz w:val="22"/>
          <w:szCs w:val="22"/>
        </w:rPr>
        <w:t>Due to limited experience, miglustat should be used with caution in patients with renal or hepatic impairment. This drug is not recommended in patients with severe renal impairment (creatinine clearance &lt; 30 ml/min/1.73m</w:t>
      </w:r>
      <w:r w:rsidRPr="001C0C4B">
        <w:rPr>
          <w:rStyle w:val="normaltextrun"/>
          <w:rFonts w:ascii="Calibri" w:eastAsiaTheme="majorEastAsia" w:hAnsi="Calibri" w:cs="Calibri"/>
          <w:sz w:val="22"/>
          <w:szCs w:val="22"/>
          <w:vertAlign w:val="superscript"/>
        </w:rPr>
        <w:t>2</w:t>
      </w:r>
      <w:r w:rsidRPr="001C0C4B">
        <w:rPr>
          <w:rStyle w:val="normaltextrun"/>
          <w:rFonts w:ascii="Calibri" w:eastAsiaTheme="majorEastAsia" w:hAnsi="Calibri" w:cs="Calibri"/>
          <w:sz w:val="22"/>
          <w:szCs w:val="22"/>
        </w:rPr>
        <w:t>).</w:t>
      </w:r>
      <w:r w:rsidRPr="001C0C4B">
        <w:rPr>
          <w:rStyle w:val="eop"/>
          <w:rFonts w:ascii="Calibri" w:eastAsiaTheme="majorEastAsia" w:hAnsi="Calibri" w:cs="Calibri"/>
          <w:sz w:val="22"/>
          <w:szCs w:val="22"/>
        </w:rPr>
        <w:t> </w:t>
      </w:r>
    </w:p>
    <w:p w14:paraId="1A235D3A" w14:textId="77777777" w:rsidR="00C73DF6" w:rsidRPr="001C0C4B" w:rsidRDefault="00C73DF6" w:rsidP="00C966A5">
      <w:r w:rsidRPr="001C0C4B">
        <w:t>Contraindications</w:t>
      </w:r>
    </w:p>
    <w:p w14:paraId="59BC4659" w14:textId="77777777" w:rsidR="00C73DF6" w:rsidRPr="001C0C4B" w:rsidRDefault="00C73DF6" w:rsidP="00C73DF6">
      <w:pPr>
        <w:autoSpaceDE w:val="0"/>
        <w:autoSpaceDN w:val="0"/>
        <w:adjustRightInd w:val="0"/>
        <w:spacing w:after="120" w:line="276" w:lineRule="auto"/>
        <w:jc w:val="both"/>
        <w:rPr>
          <w:rFonts w:ascii="Calibri" w:hAnsi="Calibri" w:cs="Calibri"/>
        </w:rPr>
      </w:pPr>
      <w:r w:rsidRPr="001C0C4B">
        <w:rPr>
          <w:rFonts w:ascii="Calibri" w:hAnsi="Calibri" w:cs="Calibri"/>
        </w:rPr>
        <w:t>Known hypersensitivity.</w:t>
      </w:r>
    </w:p>
    <w:p w14:paraId="26E39ABA" w14:textId="77777777" w:rsidR="00C73DF6" w:rsidRPr="001C0C4B" w:rsidRDefault="00C73DF6" w:rsidP="00C966A5">
      <w:r w:rsidRPr="001C0C4B">
        <w:t>Cautions</w:t>
      </w:r>
    </w:p>
    <w:p w14:paraId="1BE4CEFA" w14:textId="31BBE1FD" w:rsidR="00321F8C" w:rsidRPr="001C0C4B" w:rsidRDefault="00C73DF6" w:rsidP="00583BC8">
      <w:pPr>
        <w:spacing w:after="120" w:line="276" w:lineRule="auto"/>
        <w:jc w:val="both"/>
        <w:rPr>
          <w:rFonts w:ascii="Calibri" w:hAnsi="Calibri"/>
        </w:rPr>
      </w:pPr>
      <w:r w:rsidRPr="001C0C4B">
        <w:rPr>
          <w:rFonts w:ascii="Calibri" w:hAnsi="Calibri" w:cs="Calibri"/>
        </w:rPr>
        <w:t>Female patients should use contraception while receiving treatment and continue for one week after finishing.</w:t>
      </w:r>
      <w:r w:rsidR="00583BC8" w:rsidRPr="001C0C4B">
        <w:rPr>
          <w:rFonts w:ascii="Calibri" w:hAnsi="Calibri" w:cs="Calibri"/>
        </w:rPr>
        <w:t xml:space="preserve"> </w:t>
      </w:r>
      <w:r w:rsidRPr="001C0C4B">
        <w:rPr>
          <w:rFonts w:ascii="Calibri" w:hAnsi="Calibri"/>
        </w:rPr>
        <w:t>There are no relevant drug interactions</w:t>
      </w:r>
    </w:p>
    <w:p w14:paraId="0FD9727B" w14:textId="200AA499" w:rsidR="008A7792" w:rsidRPr="001C0C4B" w:rsidRDefault="008A7792" w:rsidP="00583BC8">
      <w:pPr>
        <w:spacing w:after="120" w:line="276" w:lineRule="auto"/>
        <w:jc w:val="both"/>
        <w:rPr>
          <w:rFonts w:ascii="Calibri" w:hAnsi="Calibri"/>
          <w:u w:val="single"/>
        </w:rPr>
      </w:pPr>
      <w:r w:rsidRPr="001C0C4B">
        <w:rPr>
          <w:rFonts w:ascii="Calibri" w:hAnsi="Calibri"/>
          <w:u w:val="single"/>
        </w:rPr>
        <w:t>References</w:t>
      </w:r>
    </w:p>
    <w:p w14:paraId="25011C53" w14:textId="77777777" w:rsidR="008A7792" w:rsidRPr="001C0C4B" w:rsidRDefault="008A7792" w:rsidP="002A5B6B">
      <w:pPr>
        <w:pStyle w:val="EndNoteBibliography"/>
        <w:numPr>
          <w:ilvl w:val="0"/>
          <w:numId w:val="45"/>
        </w:numPr>
        <w:spacing w:after="0"/>
        <w:jc w:val="both"/>
        <w:rPr>
          <w:sz w:val="20"/>
        </w:rPr>
      </w:pPr>
      <w:r w:rsidRPr="001C0C4B">
        <w:rPr>
          <w:sz w:val="20"/>
        </w:rPr>
        <w:t>Alonzi DS, Scott KA, Dwek RA, Zitzmann N. Iminosugar antivirals: the therapeutic sweet spot. Biochem Soc Trans. 2017;45(2):571-82.</w:t>
      </w:r>
    </w:p>
    <w:p w14:paraId="36A85B2B" w14:textId="77777777" w:rsidR="008A7792" w:rsidRPr="001C0C4B" w:rsidRDefault="008A7792" w:rsidP="002A5B6B">
      <w:pPr>
        <w:pStyle w:val="EndNoteBibliography"/>
        <w:numPr>
          <w:ilvl w:val="0"/>
          <w:numId w:val="45"/>
        </w:numPr>
        <w:spacing w:after="0"/>
        <w:jc w:val="both"/>
        <w:rPr>
          <w:sz w:val="20"/>
        </w:rPr>
      </w:pPr>
      <w:r w:rsidRPr="001C0C4B">
        <w:rPr>
          <w:sz w:val="20"/>
        </w:rPr>
        <w:t>Williams SJ, Goddard-Borger ED. Alpha-glucosidase inhibitors as host-directed antiviral agents with potential for the treatment of COVID-19. Biochem Soc Trans. 2020;48(3):1287-95.</w:t>
      </w:r>
    </w:p>
    <w:p w14:paraId="73BE513E" w14:textId="77777777" w:rsidR="008A7792" w:rsidRPr="001C0C4B" w:rsidRDefault="008A7792" w:rsidP="002A5B6B">
      <w:pPr>
        <w:pStyle w:val="EndNoteBibliography"/>
        <w:numPr>
          <w:ilvl w:val="0"/>
          <w:numId w:val="45"/>
        </w:numPr>
        <w:spacing w:after="0"/>
        <w:jc w:val="both"/>
        <w:rPr>
          <w:sz w:val="20"/>
        </w:rPr>
      </w:pPr>
      <w:r w:rsidRPr="001C0C4B">
        <w:rPr>
          <w:sz w:val="20"/>
        </w:rPr>
        <w:t>Maegawa GH, van Giersbergen PL, Yang S, Banwell B, Morgan CP, Dingemanse J, et al. Pharmacokinetics, safety and tolerability of miglustat in the treatment of pediatric patients with GM2 gangliosidosis. Mol Genet Metab. 2009;97(4):284-91.</w:t>
      </w:r>
    </w:p>
    <w:p w14:paraId="673FA272" w14:textId="7B6286F4" w:rsidR="008A7792" w:rsidRPr="001C0C4B" w:rsidRDefault="008A7792" w:rsidP="002A5B6B">
      <w:pPr>
        <w:pStyle w:val="EndNoteBibliography"/>
        <w:numPr>
          <w:ilvl w:val="0"/>
          <w:numId w:val="45"/>
        </w:numPr>
        <w:spacing w:after="0"/>
        <w:jc w:val="both"/>
        <w:rPr>
          <w:sz w:val="20"/>
        </w:rPr>
      </w:pPr>
      <w:r w:rsidRPr="001C0C4B">
        <w:rPr>
          <w:sz w:val="20"/>
        </w:rPr>
        <w:t>Kuter DJ, Mehta A, Hollak CE, Giraldo P, Hughes D, Belmatoug N, et al. Miglustat therapy in type 1 Gaucher disease: clinical and safety outcomes in a multicenter retrospective cohort study. Blood Cells Mol Dis. 2013;51(2):116-24.</w:t>
      </w:r>
    </w:p>
    <w:p w14:paraId="0DE04225" w14:textId="5BA79938" w:rsidR="008A7792" w:rsidRPr="001C0C4B" w:rsidRDefault="008A7792" w:rsidP="00BF2FEE">
      <w:pPr>
        <w:pStyle w:val="EndNoteBibliography"/>
        <w:numPr>
          <w:ilvl w:val="0"/>
          <w:numId w:val="45"/>
        </w:numPr>
        <w:tabs>
          <w:tab w:val="left" w:pos="1080"/>
        </w:tabs>
        <w:spacing w:after="0"/>
        <w:jc w:val="both"/>
        <w:rPr>
          <w:sz w:val="20"/>
        </w:rPr>
      </w:pPr>
      <w:r w:rsidRPr="001C0C4B">
        <w:rPr>
          <w:color w:val="212121"/>
          <w:sz w:val="20"/>
          <w:shd w:val="clear" w:color="auto" w:fill="FFFFFF"/>
        </w:rPr>
        <w:lastRenderedPageBreak/>
        <w:t>Amory JK, Muller CH, Page ST, Leifke E, Pagel ER, Bhandari A, Subramanyam B, Bone W, Radlmaier A, Bremner WJ. Miglustat has no apparent effect on spermatogenesis in normal men. Hum Reprod. 2007 Mar;22(3):702-7. doi: 10.1093/humrep/del414. Epub 2006 Oct 25. PMID: 17067996.</w:t>
      </w:r>
    </w:p>
    <w:p w14:paraId="5359543A" w14:textId="77777777" w:rsidR="008A7792" w:rsidRPr="001C0C4B" w:rsidRDefault="008A7792" w:rsidP="00583BC8">
      <w:pPr>
        <w:spacing w:after="120" w:line="276" w:lineRule="auto"/>
        <w:jc w:val="both"/>
        <w:rPr>
          <w:rFonts w:ascii="Calibri" w:hAnsi="Calibri"/>
        </w:rPr>
      </w:pPr>
    </w:p>
    <w:p w14:paraId="1D43B7A8" w14:textId="709B2F3B" w:rsidR="00641287" w:rsidRPr="001C0C4B" w:rsidRDefault="00641287" w:rsidP="00E31D55">
      <w:pPr>
        <w:rPr>
          <w:rFonts w:ascii="Calibri" w:hAnsi="Calibri" w:cs="Calibri"/>
          <w:lang w:val="en-GB"/>
        </w:rPr>
      </w:pPr>
      <w:r w:rsidRPr="001C0C4B">
        <w:rPr>
          <w:rFonts w:ascii="Calibri" w:hAnsi="Calibri" w:cs="Calibri"/>
          <w:lang w:val="en-GB"/>
        </w:rPr>
        <w:br w:type="page"/>
      </w:r>
    </w:p>
    <w:p w14:paraId="42BF4922" w14:textId="6AF9E350" w:rsidR="00C73DF6" w:rsidRPr="001C0C4B" w:rsidRDefault="00C73DF6" w:rsidP="00BF2FEE">
      <w:pPr>
        <w:pStyle w:val="Heading2"/>
        <w:numPr>
          <w:ilvl w:val="1"/>
          <w:numId w:val="23"/>
        </w:numPr>
        <w:tabs>
          <w:tab w:val="left" w:pos="990"/>
        </w:tabs>
        <w:rPr>
          <w:rFonts w:ascii="Calibri" w:hAnsi="Calibri"/>
          <w:color w:val="auto"/>
          <w:u w:val="single"/>
        </w:rPr>
      </w:pPr>
      <w:bookmarkStart w:id="491" w:name="_Toc96007359"/>
      <w:bookmarkStart w:id="492" w:name="_Toc95915287"/>
      <w:bookmarkStart w:id="493" w:name="_Toc74661331"/>
      <w:bookmarkStart w:id="494" w:name="_Toc110524026"/>
      <w:bookmarkStart w:id="495" w:name="_Toc96005662"/>
      <w:bookmarkStart w:id="496" w:name="_Toc112917674"/>
      <w:r w:rsidRPr="001C0C4B">
        <w:rPr>
          <w:rFonts w:ascii="Calibri" w:hAnsi="Calibri"/>
          <w:color w:val="auto"/>
          <w:u w:val="single"/>
        </w:rPr>
        <w:lastRenderedPageBreak/>
        <w:t>Ivermectin</w:t>
      </w:r>
      <w:bookmarkEnd w:id="491"/>
      <w:bookmarkEnd w:id="492"/>
      <w:bookmarkEnd w:id="493"/>
      <w:bookmarkEnd w:id="494"/>
      <w:bookmarkEnd w:id="495"/>
      <w:bookmarkEnd w:id="496"/>
      <w:r w:rsidRPr="001C0C4B">
        <w:rPr>
          <w:rFonts w:ascii="Calibri" w:hAnsi="Calibri"/>
          <w:color w:val="auto"/>
          <w:u w:val="single"/>
        </w:rPr>
        <w:t xml:space="preserve"> </w:t>
      </w:r>
    </w:p>
    <w:p w14:paraId="3F6571CC" w14:textId="77777777" w:rsidR="00C73DF6" w:rsidRPr="001C0C4B" w:rsidRDefault="00C73DF6" w:rsidP="00C966A5">
      <w:pPr>
        <w:rPr>
          <w:lang w:val="en-GB"/>
        </w:rPr>
      </w:pPr>
      <w:r w:rsidRPr="001C0C4B">
        <w:rPr>
          <w:lang w:val="en-GB"/>
        </w:rPr>
        <w:t>Rationale</w:t>
      </w:r>
    </w:p>
    <w:p w14:paraId="31CB6DC9" w14:textId="3684A1DC" w:rsidR="00C73DF6" w:rsidRPr="001C0C4B" w:rsidRDefault="00C73DF6" w:rsidP="00C73DF6">
      <w:pPr>
        <w:spacing w:after="120" w:line="276" w:lineRule="auto"/>
        <w:jc w:val="both"/>
        <w:rPr>
          <w:rFonts w:ascii="Calibri" w:hAnsi="Calibri" w:cs="Calibri"/>
          <w:shd w:val="clear" w:color="auto" w:fill="FFFFFF"/>
        </w:rPr>
      </w:pPr>
      <w:r w:rsidRPr="001C0C4B">
        <w:rPr>
          <w:rFonts w:ascii="Calibri" w:hAnsi="Calibri" w:cs="Calibri"/>
          <w:bCs/>
        </w:rPr>
        <w:t xml:space="preserve">Ivermectin is a macrocyclic lactone and broad-spectrum antiparasitic, antibacterial, and antiviral activity. It has an excellent safety profile and with 3.5 billion treatments distributed by mass drug administration for onchocerciasis and lymphatic filariasis elimination in Africa and Latin America since 1987 (Mectizan Donation Program). The side effects of ivermectin largely relate to the body’s reaction to the death of parasites (Mazzotti-type reaction) but is otherwise generally well-tolerated </w:t>
      </w:r>
      <w:r w:rsidRPr="001C0C4B">
        <w:rPr>
          <w:rFonts w:ascii="Calibri" w:hAnsi="Calibri"/>
        </w:rPr>
        <w:t>(</w:t>
      </w:r>
      <w:r w:rsidR="00054337" w:rsidRPr="001C0C4B">
        <w:rPr>
          <w:rFonts w:ascii="Calibri" w:hAnsi="Calibri"/>
        </w:rPr>
        <w:t>1</w:t>
      </w:r>
      <w:r w:rsidRPr="001C0C4B">
        <w:rPr>
          <w:rFonts w:ascii="Calibri" w:hAnsi="Calibri"/>
        </w:rPr>
        <w:t>,</w:t>
      </w:r>
      <w:r w:rsidR="00054337" w:rsidRPr="001C0C4B">
        <w:rPr>
          <w:rFonts w:ascii="Calibri" w:hAnsi="Calibri"/>
        </w:rPr>
        <w:t>2</w:t>
      </w:r>
      <w:r w:rsidRPr="001C0C4B">
        <w:rPr>
          <w:rFonts w:ascii="Calibri" w:hAnsi="Calibri"/>
        </w:rPr>
        <w:t>).</w:t>
      </w:r>
      <w:r w:rsidRPr="001C0C4B">
        <w:rPr>
          <w:rFonts w:ascii="Calibri" w:hAnsi="Calibri" w:cs="Calibri"/>
          <w:bCs/>
        </w:rPr>
        <w:t xml:space="preserve"> Ivermectin has demonstrated broad-spectrum </w:t>
      </w:r>
      <w:r w:rsidRPr="001C0C4B">
        <w:rPr>
          <w:rFonts w:ascii="Calibri" w:hAnsi="Calibri" w:cs="Calibri"/>
          <w:bCs/>
          <w:i/>
          <w:iCs/>
        </w:rPr>
        <w:t>in vitro</w:t>
      </w:r>
      <w:r w:rsidRPr="001C0C4B">
        <w:rPr>
          <w:rFonts w:ascii="Calibri" w:hAnsi="Calibri" w:cs="Calibri"/>
          <w:bCs/>
        </w:rPr>
        <w:t xml:space="preserve"> antiviral activity and is being used on a number of continents in the management of COVID-19. There are also reports from trials suggesting benefit and given the low cost, safety, tolerability and availability of this drug, it would be an attractive candidate in the prevention and treatment of COVID-19, if shown to have benefit in this illness.</w:t>
      </w:r>
    </w:p>
    <w:p w14:paraId="643F8738" w14:textId="5B88FF23"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Ivermectin has </w:t>
      </w:r>
      <w:r w:rsidRPr="001C0C4B">
        <w:rPr>
          <w:rFonts w:ascii="Calibri" w:hAnsi="Calibri" w:cs="Calibri"/>
          <w:i/>
          <w:iCs/>
        </w:rPr>
        <w:t>in vitro</w:t>
      </w:r>
      <w:r w:rsidRPr="001C0C4B">
        <w:rPr>
          <w:rFonts w:ascii="Calibri" w:hAnsi="Calibri" w:cs="Calibri"/>
        </w:rPr>
        <w:t xml:space="preserve"> activity against the novel coronavirus SARS-CoV-2, which causes coronavirus disease (COVID-19). Ivermectin also inhibits influenza, HIV, Dengue, West Nile Virus, Yellow Fever virus, Japanese encephalitis, tick-borne encephalitis virus and Venezuelan equine encephalitis virus </w:t>
      </w:r>
      <w:r w:rsidRPr="001C0C4B">
        <w:rPr>
          <w:rFonts w:ascii="Calibri" w:hAnsi="Calibri" w:cs="Calibri"/>
          <w:i/>
          <w:iCs/>
        </w:rPr>
        <w:t xml:space="preserve">in vitro </w:t>
      </w:r>
      <w:r w:rsidRPr="001C0C4B">
        <w:rPr>
          <w:rFonts w:ascii="Calibri" w:hAnsi="Calibri"/>
        </w:rPr>
        <w:t>(</w:t>
      </w:r>
      <w:r w:rsidR="00054337" w:rsidRPr="001C0C4B">
        <w:rPr>
          <w:rFonts w:ascii="Calibri" w:hAnsi="Calibri"/>
        </w:rPr>
        <w:t>2</w:t>
      </w:r>
      <w:r w:rsidRPr="001C0C4B">
        <w:rPr>
          <w:rFonts w:ascii="Calibri" w:hAnsi="Calibri"/>
        </w:rPr>
        <w:t>,</w:t>
      </w:r>
      <w:r w:rsidR="00054337" w:rsidRPr="001C0C4B">
        <w:rPr>
          <w:rFonts w:ascii="Calibri" w:hAnsi="Calibri"/>
        </w:rPr>
        <w:t>3</w:t>
      </w:r>
      <w:r w:rsidRPr="001C0C4B">
        <w:rPr>
          <w:rFonts w:ascii="Calibri" w:hAnsi="Calibri"/>
        </w:rPr>
        <w:t>).</w:t>
      </w:r>
      <w:r w:rsidRPr="001C0C4B">
        <w:rPr>
          <w:rFonts w:ascii="Calibri" w:hAnsi="Calibri" w:cs="Calibri"/>
        </w:rPr>
        <w:t xml:space="preserve"> The EC</w:t>
      </w:r>
      <w:r w:rsidRPr="001C0C4B">
        <w:rPr>
          <w:rFonts w:ascii="Calibri" w:hAnsi="Calibri" w:cs="Calibri"/>
          <w:vertAlign w:val="subscript"/>
        </w:rPr>
        <w:t>50</w:t>
      </w:r>
      <w:r w:rsidRPr="001C0C4B">
        <w:rPr>
          <w:rFonts w:ascii="Calibri" w:hAnsi="Calibri" w:cs="Calibri"/>
        </w:rPr>
        <w:t xml:space="preserve"> (the concentration to decrease the cytopathic effect of the virus by 50%) for SARS-CoV-2 on modified African green monkey kidney (Vero/hSLAM) cells was reportedly ~2µM and a 99.8% reduction in viral RNA at 48hrs in samples treated with 5µM concentrations </w:t>
      </w:r>
      <w:r w:rsidRPr="001C0C4B">
        <w:rPr>
          <w:rFonts w:ascii="Calibri" w:hAnsi="Calibri"/>
        </w:rPr>
        <w:t>(</w:t>
      </w:r>
      <w:r w:rsidR="00054337" w:rsidRPr="001C0C4B">
        <w:rPr>
          <w:rFonts w:ascii="Calibri" w:hAnsi="Calibri"/>
        </w:rPr>
        <w:t>2</w:t>
      </w:r>
      <w:r w:rsidRPr="001C0C4B">
        <w:rPr>
          <w:rFonts w:ascii="Calibri" w:hAnsi="Calibri"/>
        </w:rPr>
        <w:t>),</w:t>
      </w:r>
      <w:r w:rsidRPr="001C0C4B">
        <w:rPr>
          <w:rFonts w:ascii="Calibri" w:hAnsi="Calibri" w:cs="Calibri"/>
        </w:rPr>
        <w:t xml:space="preserve"> although the relevance of this </w:t>
      </w:r>
      <w:r w:rsidRPr="001C0C4B">
        <w:rPr>
          <w:rFonts w:ascii="Calibri" w:hAnsi="Calibri" w:cs="Calibri"/>
          <w:i/>
          <w:iCs/>
        </w:rPr>
        <w:t>in vitro</w:t>
      </w:r>
      <w:r w:rsidRPr="001C0C4B">
        <w:rPr>
          <w:rFonts w:ascii="Calibri" w:hAnsi="Calibri" w:cs="Calibri"/>
        </w:rPr>
        <w:t xml:space="preserve"> cell line to human disease, like with other </w:t>
      </w:r>
      <w:r w:rsidRPr="001C0C4B">
        <w:rPr>
          <w:rFonts w:ascii="Calibri" w:hAnsi="Calibri" w:cs="Calibri"/>
          <w:i/>
          <w:iCs/>
        </w:rPr>
        <w:t>in vitro</w:t>
      </w:r>
      <w:r w:rsidRPr="001C0C4B">
        <w:rPr>
          <w:rFonts w:ascii="Calibri" w:hAnsi="Calibri" w:cs="Calibri"/>
        </w:rPr>
        <w:t xml:space="preserve"> models, remains uncertain. </w:t>
      </w:r>
    </w:p>
    <w:p w14:paraId="743348F5"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During the COVID-19 pandemic, due to early pre-print publications of the benefit of Ivermectin, this drug has been used widely at different stages of the disease, at different doses, for different durations and outside of clinical trials. RCTs of questionable quality seem to suggest improvements in virologic and clinical parameters, some demonstrating very large benefits.</w:t>
      </w:r>
    </w:p>
    <w:p w14:paraId="6E82C222" w14:textId="77777777" w:rsidR="00C73DF6" w:rsidRPr="001C0C4B" w:rsidRDefault="00C73DF6" w:rsidP="00C966A5">
      <w:pPr>
        <w:rPr>
          <w:lang w:val="en-GB"/>
        </w:rPr>
      </w:pPr>
      <w:r w:rsidRPr="001C0C4B">
        <w:rPr>
          <w:lang w:val="en-GB"/>
        </w:rPr>
        <w:t>Composition &amp; dose</w:t>
      </w:r>
    </w:p>
    <w:p w14:paraId="295E782E" w14:textId="2578F07E" w:rsidR="00C73DF6" w:rsidRPr="001C0C4B" w:rsidRDefault="00C73DF6" w:rsidP="00C73DF6">
      <w:pPr>
        <w:spacing w:after="120" w:line="276" w:lineRule="auto"/>
        <w:jc w:val="both"/>
        <w:rPr>
          <w:rFonts w:ascii="Calibri" w:hAnsi="Calibri" w:cs="Calibri"/>
        </w:rPr>
      </w:pPr>
      <w:r w:rsidRPr="001C0C4B">
        <w:rPr>
          <w:rFonts w:ascii="Calibri" w:hAnsi="Calibri" w:cs="Calibri"/>
        </w:rPr>
        <w:t>One table</w:t>
      </w:r>
      <w:r w:rsidR="00373201" w:rsidRPr="001C0C4B">
        <w:rPr>
          <w:rFonts w:ascii="Calibri" w:hAnsi="Calibri" w:cs="Calibri"/>
        </w:rPr>
        <w:t>t</w:t>
      </w:r>
      <w:r w:rsidRPr="001C0C4B">
        <w:rPr>
          <w:rFonts w:ascii="Calibri" w:hAnsi="Calibri" w:cs="Calibri"/>
        </w:rPr>
        <w:t xml:space="preserve"> of ivermectin as STROMECTOL® contains 3 mg of ivermectin (</w:t>
      </w:r>
      <w:hyperlink r:id="rId42" w:history="1">
        <w:r w:rsidRPr="001C0C4B">
          <w:rPr>
            <w:rStyle w:val="Hyperlink"/>
            <w:rFonts w:ascii="Calibri" w:hAnsi="Calibri" w:cs="Calibri"/>
            <w:color w:val="auto"/>
          </w:rPr>
          <w:t>https://mri.cts-mrp.eu/Human/Downloads/NL_H_3952_001_FinalSPC.pdf</w:t>
        </w:r>
      </w:hyperlink>
      <w:r w:rsidRPr="001C0C4B">
        <w:rPr>
          <w:rFonts w:ascii="Calibri" w:hAnsi="Calibri" w:cs="Calibri"/>
        </w:rPr>
        <w:t>)</w:t>
      </w:r>
      <w:r w:rsidR="00373201" w:rsidRPr="001C0C4B">
        <w:rPr>
          <w:rFonts w:ascii="Calibri" w:hAnsi="Calibri" w:cs="Calibri"/>
        </w:rPr>
        <w:t xml:space="preserve"> where 3mg tablets are not available a corresponding dosing table will be created based on the dosing of 600mcg/kg bodyweight.</w:t>
      </w:r>
    </w:p>
    <w:p w14:paraId="283550DB" w14:textId="01845D12" w:rsidR="00C73DF6" w:rsidRPr="001C0C4B" w:rsidRDefault="00C73DF6" w:rsidP="00C73DF6">
      <w:pPr>
        <w:spacing w:after="120" w:line="276" w:lineRule="auto"/>
        <w:jc w:val="both"/>
        <w:rPr>
          <w:rFonts w:ascii="Calibri" w:hAnsi="Calibri" w:cs="Calibri"/>
        </w:rPr>
      </w:pPr>
      <w:r w:rsidRPr="001C0C4B">
        <w:rPr>
          <w:rFonts w:ascii="Calibri" w:hAnsi="Calibri" w:cs="Calibri"/>
        </w:rPr>
        <w:t>Ivermectin will either be obtained by the sponsor or the local teams from a reliable manufacturer.</w:t>
      </w:r>
      <w:r w:rsidR="00373201" w:rsidRPr="001C0C4B">
        <w:rPr>
          <w:rFonts w:ascii="Calibri" w:hAnsi="Calibri" w:cs="Calibri"/>
        </w:rPr>
        <w:t xml:space="preserve"> </w:t>
      </w:r>
    </w:p>
    <w:p w14:paraId="206BBABA" w14:textId="3D595073"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dose in this study is </w:t>
      </w:r>
      <w:r w:rsidR="00071529" w:rsidRPr="001C0C4B">
        <w:rPr>
          <w:rFonts w:ascii="Calibri" w:hAnsi="Calibri" w:cs="Calibri"/>
          <w:b/>
        </w:rPr>
        <w:t>6</w:t>
      </w:r>
      <w:r w:rsidRPr="001C0C4B">
        <w:rPr>
          <w:rFonts w:ascii="Calibri" w:hAnsi="Calibri" w:cs="Calibri"/>
          <w:b/>
        </w:rPr>
        <w:t xml:space="preserve">00 micrograms/kg body weight given </w:t>
      </w:r>
      <w:r w:rsidR="00071529" w:rsidRPr="001C0C4B">
        <w:rPr>
          <w:rFonts w:ascii="Calibri" w:hAnsi="Calibri" w:cs="Calibri"/>
          <w:b/>
        </w:rPr>
        <w:t>once daily for 7 days</w:t>
      </w:r>
      <w:r w:rsidRPr="001C0C4B">
        <w:rPr>
          <w:rFonts w:ascii="Calibri" w:hAnsi="Calibri" w:cs="Calibri"/>
        </w:rPr>
        <w:t xml:space="preserve"> (taken with food).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60"/>
        <w:gridCol w:w="2565"/>
        <w:gridCol w:w="1680"/>
        <w:gridCol w:w="1680"/>
      </w:tblGrid>
      <w:tr w:rsidR="009C588F" w:rsidRPr="001C0C4B" w14:paraId="7A3F69B5" w14:textId="77777777" w:rsidTr="00755F6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FC1DEE9" w14:textId="77777777" w:rsidR="009C588F" w:rsidRPr="001C0C4B" w:rsidRDefault="009C588F" w:rsidP="00755F6F">
            <w:pPr>
              <w:spacing w:after="120"/>
              <w:jc w:val="center"/>
              <w:rPr>
                <w:rFonts w:eastAsia="Calibri" w:cs="Times New Roman"/>
                <w:b/>
                <w:bCs/>
                <w:szCs w:val="24"/>
              </w:rPr>
            </w:pPr>
            <w:r w:rsidRPr="001C0C4B">
              <w:rPr>
                <w:rFonts w:eastAsia="Calibri" w:cs="Times New Roman"/>
                <w:b/>
                <w:bCs/>
                <w:szCs w:val="24"/>
              </w:rPr>
              <w:t>Weight in kg</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bottom"/>
          </w:tcPr>
          <w:p w14:paraId="7B9193D7" w14:textId="4899815E" w:rsidR="009C588F" w:rsidRPr="001C0C4B" w:rsidRDefault="009C588F" w:rsidP="00755F6F">
            <w:pPr>
              <w:spacing w:after="120"/>
              <w:jc w:val="center"/>
              <w:rPr>
                <w:rFonts w:cs="Times New Roman"/>
                <w:szCs w:val="24"/>
              </w:rPr>
            </w:pPr>
            <w:r w:rsidRPr="001C0C4B">
              <w:rPr>
                <w:rFonts w:eastAsia="Calibri" w:cs="Times New Roman"/>
                <w:b/>
                <w:bCs/>
                <w:szCs w:val="24"/>
              </w:rPr>
              <w:t xml:space="preserve">Number of </w:t>
            </w:r>
            <w:r w:rsidRPr="001C0C4B">
              <w:rPr>
                <w:rFonts w:eastAsia="Calibri" w:cs="Leelawadee UI"/>
                <w:b/>
                <w:bCs/>
                <w:szCs w:val="24"/>
                <w:lang w:bidi="th-TH"/>
              </w:rPr>
              <w:t>6</w:t>
            </w:r>
            <w:r w:rsidRPr="001C0C4B">
              <w:rPr>
                <w:rFonts w:eastAsia="Calibri" w:cs="Times New Roman"/>
                <w:b/>
                <w:bCs/>
                <w:szCs w:val="24"/>
              </w:rPr>
              <w:t xml:space="preserve"> mg tablets</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14:paraId="1AE1A169" w14:textId="77777777" w:rsidR="009C588F" w:rsidRPr="001C0C4B" w:rsidRDefault="009C588F" w:rsidP="00755F6F">
            <w:pPr>
              <w:spacing w:after="120"/>
              <w:jc w:val="center"/>
              <w:rPr>
                <w:rFonts w:cs="Times New Roman"/>
                <w:szCs w:val="24"/>
              </w:rPr>
            </w:pPr>
            <w:r w:rsidRPr="001C0C4B">
              <w:rPr>
                <w:rFonts w:eastAsia="Calibri" w:cs="Times New Roman"/>
                <w:b/>
                <w:bCs/>
                <w:szCs w:val="24"/>
              </w:rPr>
              <w:t>Dose in mg</w:t>
            </w:r>
          </w:p>
        </w:tc>
        <w:tc>
          <w:tcPr>
            <w:tcW w:w="1680" w:type="dxa"/>
            <w:tcBorders>
              <w:top w:val="single" w:sz="4" w:space="0" w:color="auto"/>
              <w:left w:val="single" w:sz="4" w:space="0" w:color="auto"/>
              <w:bottom w:val="single" w:sz="4" w:space="0" w:color="auto"/>
              <w:right w:val="single" w:sz="4" w:space="0" w:color="auto"/>
            </w:tcBorders>
          </w:tcPr>
          <w:p w14:paraId="5CF9E7D3" w14:textId="77777777" w:rsidR="009C588F" w:rsidRPr="001C0C4B" w:rsidRDefault="009C588F" w:rsidP="00755F6F">
            <w:pPr>
              <w:spacing w:after="120"/>
              <w:jc w:val="center"/>
              <w:rPr>
                <w:rFonts w:eastAsia="Calibri" w:cs="Times New Roman"/>
                <w:b/>
                <w:bCs/>
                <w:szCs w:val="24"/>
              </w:rPr>
            </w:pPr>
            <w:r w:rsidRPr="001C0C4B">
              <w:rPr>
                <w:rFonts w:eastAsia="Calibri" w:cs="Times New Roman"/>
                <w:b/>
                <w:bCs/>
                <w:szCs w:val="24"/>
              </w:rPr>
              <w:t>mg/kg</w:t>
            </w:r>
          </w:p>
        </w:tc>
      </w:tr>
      <w:tr w:rsidR="009C588F" w:rsidRPr="001C0C4B" w14:paraId="1F7A03FC" w14:textId="77777777" w:rsidTr="00755F6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DC73FB5" w14:textId="4404CF9C" w:rsidR="009C588F" w:rsidRPr="001C0C4B" w:rsidRDefault="009C588F" w:rsidP="00755F6F">
            <w:pPr>
              <w:spacing w:after="120"/>
              <w:jc w:val="center"/>
              <w:rPr>
                <w:rFonts w:cs="Times New Roman"/>
                <w:szCs w:val="24"/>
              </w:rPr>
            </w:pPr>
            <w:r w:rsidRPr="001C0C4B">
              <w:rPr>
                <w:rFonts w:eastAsia="Calibri" w:cs="Times New Roman"/>
                <w:szCs w:val="24"/>
              </w:rPr>
              <w:t>40 - &lt;50</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bottom"/>
          </w:tcPr>
          <w:p w14:paraId="0FE405CF" w14:textId="079D730F" w:rsidR="009C588F" w:rsidRPr="001C0C4B" w:rsidRDefault="009C588F" w:rsidP="00755F6F">
            <w:pPr>
              <w:spacing w:after="120"/>
              <w:jc w:val="center"/>
              <w:rPr>
                <w:rFonts w:cs="Times New Roman"/>
                <w:szCs w:val="24"/>
              </w:rPr>
            </w:pPr>
            <w:r w:rsidRPr="001C0C4B">
              <w:rPr>
                <w:rFonts w:eastAsia="Calibri" w:cs="Times New Roman"/>
                <w:szCs w:val="24"/>
              </w:rPr>
              <w:t>4</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14:paraId="39BF7DD6" w14:textId="3E53C2B1" w:rsidR="009C588F" w:rsidRPr="001C0C4B" w:rsidRDefault="009C588F" w:rsidP="00755F6F">
            <w:pPr>
              <w:spacing w:after="120"/>
              <w:jc w:val="center"/>
              <w:rPr>
                <w:rFonts w:cs="Times New Roman"/>
                <w:szCs w:val="24"/>
              </w:rPr>
            </w:pPr>
            <w:r w:rsidRPr="001C0C4B">
              <w:rPr>
                <w:rFonts w:eastAsia="Calibri" w:cs="Times New Roman"/>
                <w:szCs w:val="24"/>
              </w:rPr>
              <w:t>24</w:t>
            </w:r>
          </w:p>
        </w:tc>
        <w:tc>
          <w:tcPr>
            <w:tcW w:w="1680" w:type="dxa"/>
            <w:tcBorders>
              <w:top w:val="single" w:sz="4" w:space="0" w:color="auto"/>
              <w:left w:val="single" w:sz="4" w:space="0" w:color="auto"/>
              <w:bottom w:val="single" w:sz="4" w:space="0" w:color="auto"/>
              <w:right w:val="single" w:sz="4" w:space="0" w:color="auto"/>
            </w:tcBorders>
          </w:tcPr>
          <w:p w14:paraId="024B57F5" w14:textId="77777777" w:rsidR="009C588F" w:rsidRPr="001C0C4B" w:rsidRDefault="009C588F" w:rsidP="00755F6F">
            <w:pPr>
              <w:spacing w:after="120"/>
              <w:jc w:val="center"/>
              <w:rPr>
                <w:rFonts w:eastAsia="Calibri" w:cs="Times New Roman"/>
                <w:szCs w:val="24"/>
              </w:rPr>
            </w:pPr>
            <w:r w:rsidRPr="001C0C4B">
              <w:rPr>
                <w:rFonts w:eastAsia="Calibri" w:cs="Times New Roman"/>
                <w:szCs w:val="24"/>
              </w:rPr>
              <w:t>0.49 - 0.6</w:t>
            </w:r>
          </w:p>
        </w:tc>
      </w:tr>
      <w:tr w:rsidR="009C588F" w:rsidRPr="001C0C4B" w14:paraId="5E7A66FF" w14:textId="77777777" w:rsidTr="00755F6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6F793F2" w14:textId="2E60DBA4" w:rsidR="009C588F" w:rsidRPr="001C0C4B" w:rsidRDefault="009C588F" w:rsidP="00755F6F">
            <w:pPr>
              <w:spacing w:after="120"/>
              <w:jc w:val="center"/>
              <w:rPr>
                <w:rFonts w:cs="Times New Roman"/>
                <w:szCs w:val="24"/>
              </w:rPr>
            </w:pPr>
            <w:r w:rsidRPr="001C0C4B">
              <w:rPr>
                <w:rFonts w:eastAsia="Calibri" w:cs="Times New Roman"/>
                <w:szCs w:val="24"/>
              </w:rPr>
              <w:t>50 - &lt;60</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bottom"/>
          </w:tcPr>
          <w:p w14:paraId="02F37AA4" w14:textId="54D6E62A" w:rsidR="009C588F" w:rsidRPr="001C0C4B" w:rsidRDefault="009C588F" w:rsidP="00755F6F">
            <w:pPr>
              <w:spacing w:after="120"/>
              <w:jc w:val="center"/>
              <w:rPr>
                <w:rFonts w:cs="Times New Roman"/>
                <w:szCs w:val="24"/>
              </w:rPr>
            </w:pPr>
            <w:r w:rsidRPr="001C0C4B">
              <w:rPr>
                <w:rFonts w:eastAsia="Calibri" w:cs="Times New Roman"/>
                <w:szCs w:val="24"/>
              </w:rPr>
              <w:t>5</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14:paraId="51B4A33E" w14:textId="5348ACF4" w:rsidR="009C588F" w:rsidRPr="001C0C4B" w:rsidRDefault="009C588F" w:rsidP="00755F6F">
            <w:pPr>
              <w:spacing w:after="120"/>
              <w:jc w:val="center"/>
              <w:rPr>
                <w:rFonts w:cs="Times New Roman"/>
                <w:szCs w:val="24"/>
              </w:rPr>
            </w:pPr>
            <w:r w:rsidRPr="001C0C4B">
              <w:rPr>
                <w:rFonts w:eastAsia="Calibri" w:cs="Times New Roman"/>
                <w:szCs w:val="24"/>
              </w:rPr>
              <w:t>30</w:t>
            </w:r>
          </w:p>
        </w:tc>
        <w:tc>
          <w:tcPr>
            <w:tcW w:w="1680" w:type="dxa"/>
            <w:tcBorders>
              <w:top w:val="single" w:sz="4" w:space="0" w:color="auto"/>
              <w:left w:val="single" w:sz="4" w:space="0" w:color="auto"/>
              <w:bottom w:val="single" w:sz="4" w:space="0" w:color="auto"/>
              <w:right w:val="single" w:sz="4" w:space="0" w:color="auto"/>
            </w:tcBorders>
          </w:tcPr>
          <w:p w14:paraId="19E76E2D" w14:textId="77777777" w:rsidR="009C588F" w:rsidRPr="001C0C4B" w:rsidRDefault="009C588F" w:rsidP="00755F6F">
            <w:pPr>
              <w:spacing w:after="120"/>
              <w:jc w:val="center"/>
              <w:rPr>
                <w:rFonts w:eastAsia="Calibri" w:cs="Times New Roman"/>
                <w:szCs w:val="24"/>
              </w:rPr>
            </w:pPr>
            <w:r w:rsidRPr="001C0C4B">
              <w:rPr>
                <w:rFonts w:eastAsia="Calibri" w:cs="Times New Roman"/>
                <w:szCs w:val="24"/>
              </w:rPr>
              <w:t>0.51 - 0.6</w:t>
            </w:r>
          </w:p>
        </w:tc>
      </w:tr>
      <w:tr w:rsidR="009C588F" w:rsidRPr="001C0C4B" w14:paraId="40F22760" w14:textId="77777777" w:rsidTr="00755F6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8CE3CC0" w14:textId="261FE25C" w:rsidR="009C588F" w:rsidRPr="001C0C4B" w:rsidRDefault="009C588F" w:rsidP="00755F6F">
            <w:pPr>
              <w:spacing w:after="120"/>
              <w:jc w:val="center"/>
              <w:rPr>
                <w:rFonts w:cs="Times New Roman"/>
                <w:szCs w:val="24"/>
              </w:rPr>
            </w:pPr>
            <w:r w:rsidRPr="001C0C4B">
              <w:rPr>
                <w:rFonts w:eastAsia="Calibri" w:cs="Times New Roman"/>
                <w:szCs w:val="24"/>
              </w:rPr>
              <w:t>60 - &lt;70</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bottom"/>
          </w:tcPr>
          <w:p w14:paraId="3AFD4BBF" w14:textId="303BB578" w:rsidR="009C588F" w:rsidRPr="001C0C4B" w:rsidRDefault="009C588F" w:rsidP="00755F6F">
            <w:pPr>
              <w:spacing w:after="120"/>
              <w:jc w:val="center"/>
              <w:rPr>
                <w:rFonts w:cs="Times New Roman"/>
                <w:szCs w:val="24"/>
              </w:rPr>
            </w:pPr>
            <w:r w:rsidRPr="001C0C4B">
              <w:rPr>
                <w:rFonts w:eastAsia="Calibri" w:cs="Times New Roman"/>
                <w:szCs w:val="24"/>
              </w:rPr>
              <w:t>6</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14:paraId="224FA87E" w14:textId="7DAD9275" w:rsidR="009C588F" w:rsidRPr="001C0C4B" w:rsidRDefault="009C588F" w:rsidP="00755F6F">
            <w:pPr>
              <w:spacing w:after="120"/>
              <w:jc w:val="center"/>
              <w:rPr>
                <w:rFonts w:cs="Times New Roman"/>
                <w:szCs w:val="24"/>
              </w:rPr>
            </w:pPr>
            <w:r w:rsidRPr="001C0C4B">
              <w:rPr>
                <w:rFonts w:eastAsia="Calibri" w:cs="Times New Roman"/>
                <w:szCs w:val="24"/>
              </w:rPr>
              <w:t>36</w:t>
            </w:r>
          </w:p>
        </w:tc>
        <w:tc>
          <w:tcPr>
            <w:tcW w:w="1680" w:type="dxa"/>
            <w:tcBorders>
              <w:top w:val="single" w:sz="4" w:space="0" w:color="auto"/>
              <w:left w:val="single" w:sz="4" w:space="0" w:color="auto"/>
              <w:bottom w:val="single" w:sz="4" w:space="0" w:color="auto"/>
              <w:right w:val="single" w:sz="4" w:space="0" w:color="auto"/>
            </w:tcBorders>
          </w:tcPr>
          <w:p w14:paraId="64FFB5E6" w14:textId="77777777" w:rsidR="009C588F" w:rsidRPr="001C0C4B" w:rsidRDefault="009C588F" w:rsidP="00755F6F">
            <w:pPr>
              <w:spacing w:after="120"/>
              <w:jc w:val="center"/>
              <w:rPr>
                <w:rFonts w:eastAsia="Calibri" w:cs="Times New Roman"/>
                <w:szCs w:val="24"/>
              </w:rPr>
            </w:pPr>
            <w:r w:rsidRPr="001C0C4B">
              <w:rPr>
                <w:rFonts w:eastAsia="Calibri" w:cs="Times New Roman"/>
                <w:szCs w:val="24"/>
              </w:rPr>
              <w:t>0.52 - 0.6</w:t>
            </w:r>
          </w:p>
        </w:tc>
      </w:tr>
      <w:tr w:rsidR="009C588F" w:rsidRPr="001C0C4B" w14:paraId="18785651" w14:textId="77777777" w:rsidTr="00755F6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4DD5A27" w14:textId="06D898DB" w:rsidR="009C588F" w:rsidRPr="001C0C4B" w:rsidRDefault="009C588F" w:rsidP="00755F6F">
            <w:pPr>
              <w:spacing w:after="120"/>
              <w:jc w:val="center"/>
              <w:rPr>
                <w:rFonts w:cs="Times New Roman"/>
                <w:szCs w:val="24"/>
              </w:rPr>
            </w:pPr>
            <w:r w:rsidRPr="001C0C4B">
              <w:rPr>
                <w:rFonts w:eastAsia="Calibri" w:cs="Times New Roman"/>
                <w:szCs w:val="24"/>
              </w:rPr>
              <w:t>70 - &lt;80</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bottom"/>
          </w:tcPr>
          <w:p w14:paraId="5AD8608F" w14:textId="3E6CB0E5" w:rsidR="009C588F" w:rsidRPr="001C0C4B" w:rsidRDefault="009C588F" w:rsidP="00755F6F">
            <w:pPr>
              <w:spacing w:after="120"/>
              <w:jc w:val="center"/>
              <w:rPr>
                <w:rFonts w:cs="Times New Roman"/>
                <w:szCs w:val="24"/>
              </w:rPr>
            </w:pPr>
            <w:r w:rsidRPr="001C0C4B">
              <w:rPr>
                <w:rFonts w:eastAsia="Calibri" w:cs="Times New Roman"/>
                <w:szCs w:val="24"/>
              </w:rPr>
              <w:t>7</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14:paraId="39FD3859" w14:textId="6ACB28E4" w:rsidR="009C588F" w:rsidRPr="001C0C4B" w:rsidRDefault="009C588F" w:rsidP="00755F6F">
            <w:pPr>
              <w:spacing w:after="120"/>
              <w:jc w:val="center"/>
              <w:rPr>
                <w:rFonts w:cs="Times New Roman"/>
                <w:szCs w:val="24"/>
              </w:rPr>
            </w:pPr>
            <w:r w:rsidRPr="001C0C4B">
              <w:rPr>
                <w:rFonts w:eastAsia="Calibri" w:cs="Times New Roman"/>
                <w:szCs w:val="24"/>
              </w:rPr>
              <w:t>42</w:t>
            </w:r>
          </w:p>
        </w:tc>
        <w:tc>
          <w:tcPr>
            <w:tcW w:w="1680" w:type="dxa"/>
            <w:tcBorders>
              <w:top w:val="single" w:sz="4" w:space="0" w:color="auto"/>
              <w:left w:val="single" w:sz="4" w:space="0" w:color="auto"/>
              <w:bottom w:val="single" w:sz="4" w:space="0" w:color="auto"/>
              <w:right w:val="single" w:sz="4" w:space="0" w:color="auto"/>
            </w:tcBorders>
          </w:tcPr>
          <w:p w14:paraId="42678579" w14:textId="77777777" w:rsidR="009C588F" w:rsidRPr="001C0C4B" w:rsidRDefault="009C588F" w:rsidP="00755F6F">
            <w:pPr>
              <w:spacing w:after="120"/>
              <w:jc w:val="center"/>
              <w:rPr>
                <w:rFonts w:eastAsia="Calibri" w:cs="Times New Roman"/>
                <w:szCs w:val="24"/>
              </w:rPr>
            </w:pPr>
            <w:r w:rsidRPr="001C0C4B">
              <w:rPr>
                <w:rFonts w:eastAsia="Calibri" w:cs="Times New Roman"/>
                <w:szCs w:val="24"/>
              </w:rPr>
              <w:t>0.53 - 0.6</w:t>
            </w:r>
          </w:p>
        </w:tc>
      </w:tr>
      <w:tr w:rsidR="009C588F" w:rsidRPr="001C0C4B" w14:paraId="46840EFB" w14:textId="77777777" w:rsidTr="00755F6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B940F5B" w14:textId="0EEC9BA8" w:rsidR="009C588F" w:rsidRPr="001C0C4B" w:rsidRDefault="009C588F" w:rsidP="00755F6F">
            <w:pPr>
              <w:spacing w:after="120"/>
              <w:jc w:val="center"/>
              <w:rPr>
                <w:rFonts w:cs="Times New Roman"/>
                <w:szCs w:val="24"/>
              </w:rPr>
            </w:pPr>
            <w:r w:rsidRPr="001C0C4B">
              <w:rPr>
                <w:rFonts w:eastAsia="Calibri" w:cs="Times New Roman"/>
                <w:szCs w:val="24"/>
              </w:rPr>
              <w:t>80 - &lt;90</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bottom"/>
          </w:tcPr>
          <w:p w14:paraId="5A1DFD29" w14:textId="261C3401" w:rsidR="009C588F" w:rsidRPr="001C0C4B" w:rsidRDefault="009C588F" w:rsidP="00755F6F">
            <w:pPr>
              <w:spacing w:after="120"/>
              <w:jc w:val="center"/>
              <w:rPr>
                <w:rFonts w:cs="Times New Roman"/>
                <w:szCs w:val="24"/>
              </w:rPr>
            </w:pPr>
            <w:r w:rsidRPr="001C0C4B">
              <w:rPr>
                <w:rFonts w:eastAsia="Calibri" w:cs="Times New Roman"/>
                <w:szCs w:val="24"/>
              </w:rPr>
              <w:t>8</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14:paraId="4B85E556" w14:textId="2303D824" w:rsidR="009C588F" w:rsidRPr="001C0C4B" w:rsidRDefault="009C588F" w:rsidP="00755F6F">
            <w:pPr>
              <w:spacing w:after="120"/>
              <w:jc w:val="center"/>
              <w:rPr>
                <w:rFonts w:cs="Times New Roman"/>
                <w:szCs w:val="24"/>
              </w:rPr>
            </w:pPr>
            <w:r w:rsidRPr="001C0C4B">
              <w:rPr>
                <w:rFonts w:eastAsia="Calibri" w:cs="Times New Roman"/>
                <w:szCs w:val="24"/>
              </w:rPr>
              <w:t>48</w:t>
            </w:r>
          </w:p>
        </w:tc>
        <w:tc>
          <w:tcPr>
            <w:tcW w:w="1680" w:type="dxa"/>
            <w:tcBorders>
              <w:top w:val="single" w:sz="4" w:space="0" w:color="auto"/>
              <w:left w:val="single" w:sz="4" w:space="0" w:color="auto"/>
              <w:bottom w:val="single" w:sz="4" w:space="0" w:color="auto"/>
              <w:right w:val="single" w:sz="4" w:space="0" w:color="auto"/>
            </w:tcBorders>
          </w:tcPr>
          <w:p w14:paraId="6ABBED1B" w14:textId="77777777" w:rsidR="009C588F" w:rsidRPr="001C0C4B" w:rsidRDefault="009C588F" w:rsidP="00755F6F">
            <w:pPr>
              <w:spacing w:after="120"/>
              <w:jc w:val="center"/>
              <w:rPr>
                <w:rFonts w:eastAsia="Calibri" w:cs="Times New Roman"/>
                <w:szCs w:val="24"/>
              </w:rPr>
            </w:pPr>
            <w:r w:rsidRPr="001C0C4B">
              <w:rPr>
                <w:rFonts w:eastAsia="Calibri" w:cs="Times New Roman"/>
                <w:szCs w:val="24"/>
              </w:rPr>
              <w:t>0.54 - 0.6</w:t>
            </w:r>
          </w:p>
        </w:tc>
      </w:tr>
      <w:tr w:rsidR="009C588F" w:rsidRPr="001C0C4B" w14:paraId="76799649" w14:textId="77777777" w:rsidTr="00755F6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33F9BC8" w14:textId="6587A562" w:rsidR="009C588F" w:rsidRPr="001C0C4B" w:rsidRDefault="009C588F" w:rsidP="00755F6F">
            <w:pPr>
              <w:spacing w:after="120"/>
              <w:jc w:val="center"/>
              <w:rPr>
                <w:rFonts w:cs="Times New Roman"/>
                <w:szCs w:val="24"/>
              </w:rPr>
            </w:pPr>
            <w:r w:rsidRPr="001C0C4B">
              <w:rPr>
                <w:rFonts w:eastAsia="Calibri" w:cs="Times New Roman"/>
                <w:szCs w:val="24"/>
              </w:rPr>
              <w:t>90 - &lt;100</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bottom"/>
          </w:tcPr>
          <w:p w14:paraId="4A483760" w14:textId="1FE0854F" w:rsidR="009C588F" w:rsidRPr="001C0C4B" w:rsidRDefault="009C588F" w:rsidP="00755F6F">
            <w:pPr>
              <w:spacing w:after="120"/>
              <w:jc w:val="center"/>
              <w:rPr>
                <w:rFonts w:cs="Times New Roman"/>
                <w:szCs w:val="24"/>
              </w:rPr>
            </w:pPr>
            <w:r w:rsidRPr="001C0C4B">
              <w:rPr>
                <w:rFonts w:eastAsia="Calibri" w:cs="Times New Roman"/>
                <w:szCs w:val="24"/>
              </w:rPr>
              <w:t>9</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14:paraId="4F81310B" w14:textId="0366DFF9" w:rsidR="009C588F" w:rsidRPr="001C0C4B" w:rsidRDefault="009C588F" w:rsidP="00755F6F">
            <w:pPr>
              <w:spacing w:after="120"/>
              <w:jc w:val="center"/>
              <w:rPr>
                <w:rFonts w:cs="Times New Roman"/>
                <w:szCs w:val="24"/>
              </w:rPr>
            </w:pPr>
            <w:r w:rsidRPr="001C0C4B">
              <w:rPr>
                <w:rFonts w:eastAsia="Calibri" w:cs="Times New Roman"/>
                <w:szCs w:val="24"/>
              </w:rPr>
              <w:t>54</w:t>
            </w:r>
          </w:p>
        </w:tc>
        <w:tc>
          <w:tcPr>
            <w:tcW w:w="1680" w:type="dxa"/>
            <w:tcBorders>
              <w:top w:val="single" w:sz="4" w:space="0" w:color="auto"/>
              <w:left w:val="single" w:sz="4" w:space="0" w:color="auto"/>
              <w:bottom w:val="single" w:sz="4" w:space="0" w:color="auto"/>
              <w:right w:val="single" w:sz="4" w:space="0" w:color="auto"/>
            </w:tcBorders>
          </w:tcPr>
          <w:p w14:paraId="2A4364AA" w14:textId="77777777" w:rsidR="009C588F" w:rsidRPr="001C0C4B" w:rsidRDefault="009C588F" w:rsidP="00755F6F">
            <w:pPr>
              <w:spacing w:after="120"/>
              <w:jc w:val="center"/>
              <w:rPr>
                <w:rFonts w:eastAsia="Calibri" w:cs="Times New Roman"/>
                <w:szCs w:val="24"/>
              </w:rPr>
            </w:pPr>
            <w:r w:rsidRPr="001C0C4B">
              <w:rPr>
                <w:rFonts w:eastAsia="Calibri" w:cs="Times New Roman"/>
                <w:szCs w:val="24"/>
              </w:rPr>
              <w:t>0.55 - 0.6</w:t>
            </w:r>
          </w:p>
        </w:tc>
      </w:tr>
      <w:tr w:rsidR="009C588F" w:rsidRPr="001C0C4B" w14:paraId="55146A77" w14:textId="77777777" w:rsidTr="00755F6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1876821" w14:textId="1CAB16BF" w:rsidR="009C588F" w:rsidRPr="001C0C4B" w:rsidRDefault="009C588F" w:rsidP="00755F6F">
            <w:pPr>
              <w:spacing w:after="120"/>
              <w:jc w:val="center"/>
              <w:rPr>
                <w:rFonts w:cs="Times New Roman"/>
                <w:szCs w:val="24"/>
              </w:rPr>
            </w:pPr>
            <w:r w:rsidRPr="001C0C4B">
              <w:rPr>
                <w:rFonts w:eastAsia="Calibri" w:cstheme="minorHAnsi"/>
                <w:szCs w:val="24"/>
              </w:rPr>
              <w:t xml:space="preserve">≥ </w:t>
            </w:r>
            <w:r w:rsidRPr="001C0C4B">
              <w:rPr>
                <w:rFonts w:eastAsia="Calibri" w:cs="Times New Roman"/>
                <w:szCs w:val="24"/>
              </w:rPr>
              <w:t>100</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bottom"/>
          </w:tcPr>
          <w:p w14:paraId="32B28C56" w14:textId="6A945535" w:rsidR="009C588F" w:rsidRPr="001C0C4B" w:rsidRDefault="009C588F" w:rsidP="00755F6F">
            <w:pPr>
              <w:spacing w:after="120"/>
              <w:jc w:val="center"/>
              <w:rPr>
                <w:rFonts w:cs="Times New Roman"/>
                <w:szCs w:val="24"/>
              </w:rPr>
            </w:pPr>
            <w:r w:rsidRPr="001C0C4B">
              <w:rPr>
                <w:rFonts w:eastAsia="Calibri" w:cs="Times New Roman"/>
                <w:szCs w:val="24"/>
              </w:rPr>
              <w:t>10</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14:paraId="06BE8AA0" w14:textId="5795B874" w:rsidR="009C588F" w:rsidRPr="001C0C4B" w:rsidRDefault="009C588F" w:rsidP="00755F6F">
            <w:pPr>
              <w:spacing w:after="120"/>
              <w:jc w:val="center"/>
              <w:rPr>
                <w:rFonts w:cs="Times New Roman"/>
                <w:szCs w:val="24"/>
              </w:rPr>
            </w:pPr>
            <w:r w:rsidRPr="001C0C4B">
              <w:rPr>
                <w:rFonts w:eastAsia="Calibri" w:cs="Times New Roman"/>
                <w:szCs w:val="24"/>
              </w:rPr>
              <w:t>60</w:t>
            </w:r>
          </w:p>
        </w:tc>
        <w:tc>
          <w:tcPr>
            <w:tcW w:w="1680" w:type="dxa"/>
            <w:tcBorders>
              <w:top w:val="single" w:sz="4" w:space="0" w:color="auto"/>
              <w:left w:val="single" w:sz="4" w:space="0" w:color="auto"/>
              <w:bottom w:val="single" w:sz="4" w:space="0" w:color="auto"/>
              <w:right w:val="single" w:sz="4" w:space="0" w:color="auto"/>
            </w:tcBorders>
          </w:tcPr>
          <w:p w14:paraId="56D8C542" w14:textId="77777777" w:rsidR="009C588F" w:rsidRPr="001C0C4B" w:rsidRDefault="009C588F" w:rsidP="00755F6F">
            <w:pPr>
              <w:spacing w:after="120"/>
              <w:jc w:val="center"/>
              <w:rPr>
                <w:rFonts w:eastAsia="Calibri" w:cs="Times New Roman"/>
                <w:szCs w:val="24"/>
              </w:rPr>
            </w:pPr>
            <w:r w:rsidRPr="001C0C4B">
              <w:rPr>
                <w:rFonts w:eastAsia="Calibri" w:cstheme="minorHAnsi"/>
                <w:szCs w:val="24"/>
              </w:rPr>
              <w:t xml:space="preserve">≤ </w:t>
            </w:r>
            <w:r w:rsidRPr="001C0C4B">
              <w:rPr>
                <w:rFonts w:eastAsia="Calibri" w:cs="Times New Roman"/>
                <w:szCs w:val="24"/>
              </w:rPr>
              <w:t>0.6</w:t>
            </w:r>
          </w:p>
        </w:tc>
      </w:tr>
    </w:tbl>
    <w:p w14:paraId="0E0453F0" w14:textId="77777777" w:rsidR="00C73DF6" w:rsidRPr="001C0C4B" w:rsidRDefault="00C73DF6" w:rsidP="00C73DF6">
      <w:pPr>
        <w:spacing w:after="120" w:line="276" w:lineRule="auto"/>
        <w:jc w:val="both"/>
        <w:rPr>
          <w:rFonts w:ascii="Calibri" w:hAnsi="Calibri" w:cs="Calibri"/>
        </w:rPr>
      </w:pPr>
    </w:p>
    <w:p w14:paraId="43322FE8" w14:textId="77777777" w:rsidR="009C588F" w:rsidRPr="001C0C4B" w:rsidRDefault="009C588F" w:rsidP="00C966A5">
      <w:pPr>
        <w:rPr>
          <w:lang w:val="en-GB"/>
        </w:rPr>
      </w:pPr>
    </w:p>
    <w:p w14:paraId="5714D449" w14:textId="300ECF44" w:rsidR="00C73DF6" w:rsidRPr="001C0C4B" w:rsidRDefault="00C73DF6" w:rsidP="00C966A5">
      <w:pPr>
        <w:rPr>
          <w:lang w:val="en-GB"/>
        </w:rPr>
      </w:pPr>
      <w:r w:rsidRPr="001C0C4B">
        <w:rPr>
          <w:lang w:val="en-GB"/>
        </w:rPr>
        <w:lastRenderedPageBreak/>
        <w:t>Pharmacokinetic characteristics</w:t>
      </w:r>
    </w:p>
    <w:p w14:paraId="5520D3E7"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Ivermectin is incompletely absorbed (~50% bioavailable relative to an oral hydroalcoholic solution) following oral doses of ivermectin tablets, with a Tmax of ~4 hours. </w:t>
      </w:r>
    </w:p>
    <w:p w14:paraId="676E2786" w14:textId="07503363" w:rsidR="00C73DF6" w:rsidRPr="001C0C4B" w:rsidRDefault="00C73DF6" w:rsidP="00C73DF6">
      <w:pPr>
        <w:spacing w:after="120" w:line="276" w:lineRule="auto"/>
        <w:jc w:val="both"/>
        <w:rPr>
          <w:rFonts w:ascii="Calibri" w:hAnsi="Calibri" w:cs="Calibri"/>
        </w:rPr>
      </w:pPr>
      <w:r w:rsidRPr="001C0C4B">
        <w:rPr>
          <w:rFonts w:ascii="Calibri" w:hAnsi="Calibri" w:cs="Calibri"/>
        </w:rPr>
        <w:t>Ivermectin has a molar mass of 875.1g/mmol, and as such 2µM (concentration at which anti-SARS-CoV-2 activity has been demonstrated) corresponds to a concentration of 1750 µg/L. Following oral administration of ivermectin with a standard oral dose of 12 mg (mean &lt;</w:t>
      </w:r>
      <w:r w:rsidRPr="001C0C4B">
        <w:rPr>
          <w:rFonts w:ascii="Calibri" w:hAnsi="Calibri" w:cs="Calibri"/>
          <w:bCs/>
        </w:rPr>
        <w:t xml:space="preserve">200 </w:t>
      </w:r>
      <w:r w:rsidRPr="001C0C4B">
        <w:rPr>
          <w:rFonts w:ascii="Calibri" w:hAnsi="Calibri" w:cs="Calibri"/>
        </w:rPr>
        <w:t>µg/kg) of oral Ivermectin producing a C</w:t>
      </w:r>
      <w:r w:rsidRPr="001C0C4B">
        <w:rPr>
          <w:rFonts w:ascii="Calibri" w:hAnsi="Calibri" w:cs="Calibri"/>
          <w:vertAlign w:val="subscript"/>
        </w:rPr>
        <w:t>max</w:t>
      </w:r>
      <w:r w:rsidRPr="001C0C4B">
        <w:rPr>
          <w:rFonts w:ascii="Calibri" w:hAnsi="Calibri" w:cs="Calibri"/>
        </w:rPr>
        <w:t xml:space="preserve"> of 23.5-50µg/L </w:t>
      </w:r>
      <w:r w:rsidRPr="001C0C4B">
        <w:rPr>
          <w:rFonts w:ascii="Calibri" w:hAnsi="Calibri"/>
        </w:rPr>
        <w:t>(</w:t>
      </w:r>
      <w:r w:rsidR="00054337" w:rsidRPr="001C0C4B">
        <w:rPr>
          <w:rFonts w:ascii="Calibri" w:hAnsi="Calibri"/>
        </w:rPr>
        <w:t>4</w:t>
      </w:r>
      <w:r w:rsidRPr="001C0C4B">
        <w:rPr>
          <w:rFonts w:ascii="Calibri" w:hAnsi="Calibri"/>
        </w:rPr>
        <w:t>,</w:t>
      </w:r>
      <w:r w:rsidR="00054337" w:rsidRPr="001C0C4B">
        <w:rPr>
          <w:rFonts w:ascii="Calibri" w:hAnsi="Calibri"/>
        </w:rPr>
        <w:t>5</w:t>
      </w:r>
      <w:r w:rsidRPr="001C0C4B">
        <w:rPr>
          <w:rFonts w:ascii="Calibri" w:hAnsi="Calibri"/>
        </w:rPr>
        <w:t>).</w:t>
      </w:r>
      <w:r w:rsidRPr="001C0C4B">
        <w:rPr>
          <w:rFonts w:ascii="Calibri" w:hAnsi="Calibri" w:cs="Calibri"/>
        </w:rPr>
        <w:t xml:space="preserve"> At this dose the C</w:t>
      </w:r>
      <w:r w:rsidRPr="001C0C4B">
        <w:rPr>
          <w:rFonts w:ascii="Calibri" w:hAnsi="Calibri" w:cs="Calibri"/>
          <w:vertAlign w:val="subscript"/>
        </w:rPr>
        <w:t>max</w:t>
      </w:r>
      <w:r w:rsidRPr="001C0C4B">
        <w:rPr>
          <w:rFonts w:ascii="Calibri" w:hAnsi="Calibri" w:cs="Calibri"/>
        </w:rPr>
        <w:t xml:space="preserve"> in plasma is some 35 times lower than the EC</w:t>
      </w:r>
      <w:r w:rsidRPr="001C0C4B">
        <w:rPr>
          <w:rFonts w:ascii="Calibri" w:hAnsi="Calibri" w:cs="Calibri"/>
          <w:vertAlign w:val="subscript"/>
        </w:rPr>
        <w:t>50</w:t>
      </w:r>
      <w:r w:rsidRPr="001C0C4B">
        <w:rPr>
          <w:rFonts w:ascii="Calibri" w:hAnsi="Calibri" w:cs="Calibri"/>
        </w:rPr>
        <w:t xml:space="preserve"> of the virus and an appreciable </w:t>
      </w:r>
      <w:r w:rsidRPr="001C0C4B">
        <w:rPr>
          <w:rFonts w:ascii="Calibri" w:hAnsi="Calibri" w:cs="Calibri"/>
          <w:i/>
          <w:iCs/>
        </w:rPr>
        <w:t>in vivo</w:t>
      </w:r>
      <w:r w:rsidRPr="001C0C4B">
        <w:rPr>
          <w:rFonts w:ascii="Calibri" w:hAnsi="Calibri" w:cs="Calibri"/>
        </w:rPr>
        <w:t xml:space="preserve"> effect would not be expected to occur. However, in other experiments, </w:t>
      </w:r>
      <w:r w:rsidRPr="001C0C4B">
        <w:rPr>
          <w:rFonts w:ascii="Calibri" w:hAnsi="Calibri" w:cs="Calibri"/>
          <w:i/>
          <w:iCs/>
        </w:rPr>
        <w:t>in vitro</w:t>
      </w:r>
      <w:r w:rsidRPr="001C0C4B">
        <w:rPr>
          <w:rFonts w:ascii="Calibri" w:hAnsi="Calibri" w:cs="Calibri"/>
        </w:rPr>
        <w:t xml:space="preserve"> effects of ivermectin do not adequately account for the </w:t>
      </w:r>
      <w:r w:rsidRPr="001C0C4B">
        <w:rPr>
          <w:rFonts w:ascii="Calibri" w:hAnsi="Calibri" w:cs="Calibri"/>
          <w:i/>
          <w:iCs/>
        </w:rPr>
        <w:t>in vivo</w:t>
      </w:r>
      <w:r w:rsidRPr="001C0C4B">
        <w:rPr>
          <w:rFonts w:ascii="Calibri" w:hAnsi="Calibri" w:cs="Calibri"/>
        </w:rPr>
        <w:t xml:space="preserve"> effects observed. Baby hamster kidney (BHK-21) cells infected with pseudorabies virus exhibited an ivermectin EC</w:t>
      </w:r>
      <w:r w:rsidRPr="001C0C4B">
        <w:rPr>
          <w:rFonts w:ascii="Calibri" w:hAnsi="Calibri" w:cs="Calibri"/>
          <w:vertAlign w:val="subscript"/>
        </w:rPr>
        <w:t>50</w:t>
      </w:r>
      <w:r w:rsidRPr="001C0C4B">
        <w:rPr>
          <w:rFonts w:ascii="Calibri" w:hAnsi="Calibri" w:cs="Calibri"/>
        </w:rPr>
        <w:t xml:space="preserve"> of ~2µM at 72hours, which is similar to that of SARS-CoV-2, and would lead one to expect that a therapeutic response would not be possible. However, published in the same paper, single dose ivermectin (200 µg/kg) administered concomitantly or 12 hours after pseudorabies virus inoculation was able to suppress viral DNA synthesis and save 60% of infected mice. A 200 µg/kg ivermectin dose in mice has a human equivalent dosing (HED) of 16.3 µg/kg. The reason behind this </w:t>
      </w:r>
      <w:r w:rsidRPr="001C0C4B">
        <w:rPr>
          <w:rFonts w:ascii="Calibri" w:hAnsi="Calibri" w:cs="Calibri"/>
          <w:i/>
          <w:iCs/>
        </w:rPr>
        <w:t>in vitro</w:t>
      </w:r>
      <w:r w:rsidRPr="001C0C4B">
        <w:rPr>
          <w:rFonts w:ascii="Calibri" w:hAnsi="Calibri" w:cs="Calibri"/>
        </w:rPr>
        <w:t xml:space="preserve"> to </w:t>
      </w:r>
      <w:r w:rsidRPr="001C0C4B">
        <w:rPr>
          <w:rFonts w:ascii="Calibri" w:hAnsi="Calibri" w:cs="Calibri"/>
          <w:i/>
          <w:iCs/>
        </w:rPr>
        <w:t>in vivo</w:t>
      </w:r>
      <w:r w:rsidRPr="001C0C4B">
        <w:rPr>
          <w:rFonts w:ascii="Calibri" w:hAnsi="Calibri" w:cs="Calibri"/>
        </w:rPr>
        <w:t xml:space="preserve"> disparity is unclear but may relate to a more active ivermectin metabolite as is seen with this drug in other indications, as was suggested by a paper showing a 20- to 35-fold increase in mortality of mosquitoes which fed on blood from single dose ivermectin (400 µg/kg) treated volunteers compared to </w:t>
      </w:r>
      <w:r w:rsidRPr="001C0C4B">
        <w:rPr>
          <w:rFonts w:ascii="Calibri" w:hAnsi="Calibri" w:cs="Calibri"/>
          <w:i/>
          <w:iCs/>
        </w:rPr>
        <w:t>in vitro</w:t>
      </w:r>
      <w:r w:rsidRPr="001C0C4B">
        <w:rPr>
          <w:rFonts w:ascii="Calibri" w:hAnsi="Calibri" w:cs="Calibri"/>
        </w:rPr>
        <w:t xml:space="preserve"> ivermectin spiked blood </w:t>
      </w:r>
      <w:r w:rsidRPr="001C0C4B">
        <w:rPr>
          <w:rFonts w:ascii="Calibri" w:hAnsi="Calibri"/>
        </w:rPr>
        <w:t>(</w:t>
      </w:r>
      <w:r w:rsidR="00054337" w:rsidRPr="001C0C4B">
        <w:rPr>
          <w:rFonts w:ascii="Calibri" w:hAnsi="Calibri"/>
        </w:rPr>
        <w:t>6</w:t>
      </w:r>
      <w:r w:rsidRPr="001C0C4B">
        <w:rPr>
          <w:rFonts w:ascii="Calibri" w:hAnsi="Calibri"/>
        </w:rPr>
        <w:t>).</w:t>
      </w:r>
    </w:p>
    <w:p w14:paraId="07EF1B05" w14:textId="2AD0123E" w:rsidR="00C73DF6" w:rsidRPr="001C0C4B" w:rsidRDefault="006030E9" w:rsidP="00C73DF6">
      <w:pPr>
        <w:spacing w:after="120" w:line="276" w:lineRule="auto"/>
        <w:jc w:val="both"/>
        <w:rPr>
          <w:rFonts w:ascii="Calibri" w:hAnsi="Calibri" w:cs="Calibri"/>
        </w:rPr>
      </w:pPr>
      <w:r w:rsidRPr="001C0C4B">
        <w:rPr>
          <w:rFonts w:ascii="Calibri" w:hAnsi="Calibri" w:cs="Calibri"/>
          <w:noProof/>
          <w:lang w:bidi="th-TH"/>
        </w:rPr>
        <w:drawing>
          <wp:anchor distT="0" distB="0" distL="114300" distR="114300" simplePos="0" relativeHeight="251658247" behindDoc="0" locked="0" layoutInCell="1" allowOverlap="1" wp14:anchorId="618E01D7" wp14:editId="62E5459D">
            <wp:simplePos x="0" y="0"/>
            <wp:positionH relativeFrom="page">
              <wp:posOffset>677917</wp:posOffset>
            </wp:positionH>
            <wp:positionV relativeFrom="paragraph">
              <wp:posOffset>919480</wp:posOffset>
            </wp:positionV>
            <wp:extent cx="3789680" cy="2536190"/>
            <wp:effectExtent l="0" t="0" r="1270" b="0"/>
            <wp:wrapSquare wrapText="bothSides"/>
            <wp:docPr id="12" name="Picture 12"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9680" cy="253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F6" w:rsidRPr="001C0C4B">
        <w:rPr>
          <w:rFonts w:ascii="Calibri" w:hAnsi="Calibri" w:cs="Calibri"/>
        </w:rPr>
        <w:t>In humans, a phase III randomised, placebo-controlled, double blind trial showed a statistically significant difference in Dengue NS1 clearance times between ivermectin (400 or 600 µg/kg for three days) and placebo, although this did not translate into clinical efficacy</w:t>
      </w:r>
      <w:r w:rsidR="00054337" w:rsidRPr="001C0C4B">
        <w:rPr>
          <w:rFonts w:ascii="Calibri" w:hAnsi="Calibri" w:cs="Calibri"/>
        </w:rPr>
        <w:t xml:space="preserve"> </w:t>
      </w:r>
      <w:r w:rsidR="00326719" w:rsidRPr="001C0C4B">
        <w:rPr>
          <w:rFonts w:ascii="Calibri" w:hAnsi="Calibri"/>
        </w:rPr>
        <w:t>(</w:t>
      </w:r>
      <w:r w:rsidR="00054337" w:rsidRPr="001C0C4B">
        <w:rPr>
          <w:rFonts w:ascii="Calibri" w:hAnsi="Calibri"/>
        </w:rPr>
        <w:t>7</w:t>
      </w:r>
      <w:r w:rsidR="00326719" w:rsidRPr="001C0C4B">
        <w:rPr>
          <w:rFonts w:ascii="Calibri" w:hAnsi="Calibri"/>
        </w:rPr>
        <w:t>)</w:t>
      </w:r>
      <w:r w:rsidR="00C73DF6" w:rsidRPr="001C0C4B">
        <w:rPr>
          <w:rFonts w:ascii="Calibri" w:hAnsi="Calibri"/>
        </w:rPr>
        <w:t>.</w:t>
      </w:r>
      <w:r w:rsidR="00C73DF6" w:rsidRPr="001C0C4B">
        <w:rPr>
          <w:rFonts w:ascii="Calibri" w:hAnsi="Calibri" w:cs="Calibri"/>
        </w:rPr>
        <w:t xml:space="preserve"> Again, this antiviral effect was seen despite </w:t>
      </w:r>
      <w:r w:rsidR="00C73DF6" w:rsidRPr="001C0C4B">
        <w:rPr>
          <w:rFonts w:ascii="Calibri" w:hAnsi="Calibri" w:cs="Calibri"/>
          <w:i/>
          <w:iCs/>
        </w:rPr>
        <w:t>in vitro</w:t>
      </w:r>
      <w:r w:rsidR="00C73DF6" w:rsidRPr="001C0C4B">
        <w:rPr>
          <w:rFonts w:ascii="Calibri" w:hAnsi="Calibri" w:cs="Calibri"/>
        </w:rPr>
        <w:t xml:space="preserve"> EC</w:t>
      </w:r>
      <w:r w:rsidR="00C73DF6" w:rsidRPr="001C0C4B">
        <w:rPr>
          <w:rFonts w:ascii="Calibri" w:hAnsi="Calibri" w:cs="Calibri"/>
          <w:vertAlign w:val="subscript"/>
        </w:rPr>
        <w:t>50</w:t>
      </w:r>
      <w:r w:rsidR="00C73DF6" w:rsidRPr="001C0C4B">
        <w:rPr>
          <w:rFonts w:ascii="Calibri" w:hAnsi="Calibri" w:cs="Calibri"/>
        </w:rPr>
        <w:t xml:space="preserve">s against dengue which would suggest adequate </w:t>
      </w:r>
      <w:r w:rsidR="00C73DF6" w:rsidRPr="001C0C4B">
        <w:rPr>
          <w:rFonts w:ascii="Calibri" w:hAnsi="Calibri" w:cs="Calibri"/>
          <w:i/>
          <w:iCs/>
        </w:rPr>
        <w:t>in vivo</w:t>
      </w:r>
      <w:r w:rsidR="00C73DF6" w:rsidRPr="001C0C4B">
        <w:rPr>
          <w:rFonts w:ascii="Calibri" w:hAnsi="Calibri" w:cs="Calibri"/>
        </w:rPr>
        <w:t xml:space="preserve"> levels would not be achieved (an order of magnitude lower). </w:t>
      </w:r>
    </w:p>
    <w:p w14:paraId="7AEC5266" w14:textId="71118D3D" w:rsidR="00C73DF6" w:rsidRPr="001C0C4B" w:rsidRDefault="00C73DF6" w:rsidP="00C73DF6">
      <w:pPr>
        <w:spacing w:after="120" w:line="276" w:lineRule="auto"/>
        <w:jc w:val="both"/>
        <w:rPr>
          <w:rFonts w:ascii="Calibri" w:hAnsi="Calibri" w:cs="Calibri"/>
        </w:rPr>
      </w:pPr>
      <w:r w:rsidRPr="001C0C4B">
        <w:rPr>
          <w:rFonts w:ascii="Calibri" w:hAnsi="Calibri" w:cs="Calibri"/>
        </w:rPr>
        <w:t>Administration of 30 mg (333 to 600 μg/kg) ivermectin following a high-fat meal resulted in an approximate 2.5-fold increase in bioavailability compared to fasted healthy volunteers.</w:t>
      </w:r>
    </w:p>
    <w:p w14:paraId="57220D1D" w14:textId="7C8221CC" w:rsidR="00C73DF6" w:rsidRPr="001C0C4B" w:rsidRDefault="00C73DF6" w:rsidP="00C73DF6">
      <w:pPr>
        <w:spacing w:after="120" w:line="276" w:lineRule="auto"/>
        <w:jc w:val="both"/>
        <w:rPr>
          <w:rFonts w:ascii="Calibri" w:hAnsi="Calibri" w:cs="Calibri"/>
        </w:rPr>
      </w:pPr>
      <w:r w:rsidRPr="001C0C4B">
        <w:rPr>
          <w:rFonts w:ascii="Calibri" w:hAnsi="Calibri" w:cs="Calibri"/>
        </w:rPr>
        <w:t>Ivermectin is metabolised in humans, and ivermectin and/or its metabolites are excreted almost exclusively in the faeces over an estimated 12 days with less than 1% of the administered dose being excreted in the urine. The plasma half-life of ivermectin in man is about 12 hours (9.8-14.3 h) and that of the metabolites is about 3 days.</w:t>
      </w:r>
    </w:p>
    <w:p w14:paraId="505DE754" w14:textId="77777777" w:rsidR="00C73DF6" w:rsidRPr="001C0C4B" w:rsidRDefault="00C73DF6" w:rsidP="00C73DF6">
      <w:pPr>
        <w:spacing w:after="120" w:line="276" w:lineRule="auto"/>
        <w:jc w:val="both"/>
        <w:rPr>
          <w:rFonts w:ascii="Calibri" w:hAnsi="Calibri" w:cs="Calibri"/>
        </w:rPr>
      </w:pPr>
    </w:p>
    <w:p w14:paraId="3D805A88" w14:textId="77777777" w:rsidR="00C73DF6" w:rsidRPr="001C0C4B" w:rsidRDefault="00C73DF6" w:rsidP="00C966A5">
      <w:pPr>
        <w:rPr>
          <w:lang w:val="en-GB"/>
        </w:rPr>
      </w:pPr>
      <w:r w:rsidRPr="001C0C4B">
        <w:rPr>
          <w:lang w:val="en-GB"/>
        </w:rPr>
        <w:t>Pharmacokinetic sampling schedule: (only if there is evidence of accelerated viral clearance)</w:t>
      </w:r>
    </w:p>
    <w:p w14:paraId="001DE528"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All patients will need to be admitted to hospital for 12 hours for intense sampling. The timings are: </w:t>
      </w:r>
    </w:p>
    <w:p w14:paraId="15ECE987"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Pre-dose D0H0, then</w:t>
      </w:r>
    </w:p>
    <w:p w14:paraId="3CC7AA26"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1, 2, 3, 4, 6, 9, 12 and 24h</w:t>
      </w:r>
    </w:p>
    <w:p w14:paraId="52D74E4C"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lastRenderedPageBreak/>
        <w:t xml:space="preserve">Note that blood will be taken on D3 and D7 for routine haematology and biochemistry. The EDTA sample will be used to measure the drug concentrations.      </w:t>
      </w:r>
    </w:p>
    <w:p w14:paraId="28E3AB81" w14:textId="77777777" w:rsidR="00C73DF6" w:rsidRPr="001C0C4B" w:rsidRDefault="00C73DF6" w:rsidP="00C966A5">
      <w:pPr>
        <w:rPr>
          <w:lang w:val="en-GB"/>
        </w:rPr>
      </w:pPr>
      <w:r w:rsidRPr="001C0C4B">
        <w:rPr>
          <w:lang w:val="en-GB"/>
        </w:rPr>
        <w:t xml:space="preserve">Toxicity </w:t>
      </w:r>
    </w:p>
    <w:p w14:paraId="41372AF0" w14:textId="77777777" w:rsidR="00C73DF6" w:rsidRPr="001C0C4B" w:rsidRDefault="00C73DF6" w:rsidP="00C73DF6">
      <w:pPr>
        <w:spacing w:after="120" w:line="276" w:lineRule="auto"/>
        <w:jc w:val="both"/>
        <w:rPr>
          <w:rFonts w:ascii="Calibri" w:hAnsi="Calibri" w:cs="Calibri"/>
          <w:bCs/>
        </w:rPr>
      </w:pPr>
      <w:r w:rsidRPr="001C0C4B">
        <w:rPr>
          <w:rFonts w:ascii="Calibri" w:hAnsi="Calibri" w:cs="Calibri"/>
        </w:rPr>
        <w:t xml:space="preserve">Risks related to ivermectin are very low. </w:t>
      </w:r>
      <w:r w:rsidRPr="001C0C4B">
        <w:rPr>
          <w:rFonts w:ascii="Calibri" w:hAnsi="Calibri" w:cs="Calibri"/>
          <w:bCs/>
        </w:rPr>
        <w:t>The side effects of ivermectin largely relate to the body’s reaction to the death of parasites (Mazzotti-type reaction) with Onchocerciasis but is otherwise generally well-tolerated, and would not be an issue if studied in a non-endemic region.</w:t>
      </w:r>
    </w:p>
    <w:p w14:paraId="7C770011" w14:textId="77777777" w:rsidR="00C73DF6" w:rsidRPr="001C0C4B" w:rsidRDefault="00C73DF6" w:rsidP="00C966A5">
      <w:pPr>
        <w:rPr>
          <w:lang w:val="en-GB"/>
        </w:rPr>
      </w:pPr>
      <w:r w:rsidRPr="001C0C4B">
        <w:rPr>
          <w:lang w:val="en-GB"/>
        </w:rPr>
        <w:t>Contraindications</w:t>
      </w:r>
    </w:p>
    <w:p w14:paraId="7C4A85EE"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Hypersensitivity reaction to ivermectin</w:t>
      </w:r>
    </w:p>
    <w:p w14:paraId="5201021B" w14:textId="77777777" w:rsidR="00C73DF6" w:rsidRPr="001C0C4B" w:rsidRDefault="00C73DF6" w:rsidP="00C966A5">
      <w:pPr>
        <w:rPr>
          <w:lang w:val="en-GB"/>
        </w:rPr>
      </w:pPr>
      <w:r w:rsidRPr="001C0C4B">
        <w:rPr>
          <w:lang w:val="en-GB"/>
        </w:rPr>
        <w:t>Cautions</w:t>
      </w:r>
    </w:p>
    <w:p w14:paraId="0BBAAF63"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Ivermectin has not been studied in patients with impaired hepatic function or impaired renal function. </w:t>
      </w:r>
    </w:p>
    <w:p w14:paraId="13E719D2" w14:textId="77777777" w:rsidR="00C73DF6" w:rsidRPr="001C0C4B" w:rsidRDefault="00C73DF6" w:rsidP="00C966A5">
      <w:pPr>
        <w:rPr>
          <w:lang w:val="en-GB"/>
        </w:rPr>
      </w:pPr>
      <w:r w:rsidRPr="001C0C4B">
        <w:rPr>
          <w:lang w:val="en-GB"/>
        </w:rPr>
        <w:t>Relevant Drug interactions</w:t>
      </w:r>
    </w:p>
    <w:p w14:paraId="6FF7D46C" w14:textId="3A4ADA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None </w:t>
      </w:r>
    </w:p>
    <w:p w14:paraId="03DD8BCC" w14:textId="4AB0622B" w:rsidR="007A196C" w:rsidRPr="001C0C4B" w:rsidRDefault="007A196C">
      <w:pPr>
        <w:rPr>
          <w:rFonts w:ascii="Calibri" w:hAnsi="Calibri"/>
          <w:u w:val="single"/>
        </w:rPr>
      </w:pPr>
      <w:r w:rsidRPr="001C0C4B">
        <w:rPr>
          <w:rFonts w:ascii="Calibri" w:hAnsi="Calibri"/>
          <w:u w:val="single"/>
        </w:rPr>
        <w:t>References</w:t>
      </w:r>
    </w:p>
    <w:p w14:paraId="46CF4BEC" w14:textId="77777777" w:rsidR="00054337" w:rsidRPr="001C0C4B" w:rsidRDefault="00054337" w:rsidP="00595869">
      <w:pPr>
        <w:pStyle w:val="EndNoteBibliography"/>
        <w:numPr>
          <w:ilvl w:val="0"/>
          <w:numId w:val="44"/>
        </w:numPr>
        <w:spacing w:after="0"/>
        <w:jc w:val="both"/>
        <w:rPr>
          <w:sz w:val="20"/>
        </w:rPr>
      </w:pPr>
      <w:r w:rsidRPr="001C0C4B">
        <w:rPr>
          <w:sz w:val="20"/>
        </w:rPr>
        <w:t>Zoure HG, Wanji S, Noma M, Amazigo UV, Diggle PJ, Tekle AH, et al. The geographic distribution of Loa loa in Africa: results of large-scale implementation of the Rapid Assessment Procedure for Loiasis (RAPLOA). PLoS Negl Trop Dis. 2011;5(6):e1210.</w:t>
      </w:r>
    </w:p>
    <w:p w14:paraId="19A072FB" w14:textId="77777777" w:rsidR="00054337" w:rsidRPr="001C0C4B" w:rsidRDefault="00054337" w:rsidP="00595869">
      <w:pPr>
        <w:pStyle w:val="EndNoteBibliography"/>
        <w:numPr>
          <w:ilvl w:val="0"/>
          <w:numId w:val="44"/>
        </w:numPr>
        <w:spacing w:after="0"/>
        <w:jc w:val="both"/>
        <w:rPr>
          <w:sz w:val="20"/>
        </w:rPr>
      </w:pPr>
      <w:r w:rsidRPr="001C0C4B">
        <w:rPr>
          <w:sz w:val="20"/>
        </w:rPr>
        <w:t xml:space="preserve">Crump A, Omura S. Ivermectin, 'wonder drug' from Japan: the human use perspective. Proc Jpn Acad Ser B Phys Biol Sci. 2011;87(2):13-28. </w:t>
      </w:r>
    </w:p>
    <w:p w14:paraId="3B67BD48" w14:textId="77777777" w:rsidR="00054337" w:rsidRPr="001C0C4B" w:rsidRDefault="00054337" w:rsidP="00595869">
      <w:pPr>
        <w:pStyle w:val="EndNoteBibliography"/>
        <w:numPr>
          <w:ilvl w:val="0"/>
          <w:numId w:val="44"/>
        </w:numPr>
        <w:spacing w:after="0"/>
        <w:jc w:val="both"/>
        <w:rPr>
          <w:sz w:val="20"/>
        </w:rPr>
      </w:pPr>
      <w:r w:rsidRPr="001C0C4B">
        <w:rPr>
          <w:sz w:val="20"/>
        </w:rPr>
        <w:t>Mastrangelo E, Pezzullo M, De Burghgraeve T, Kaptein S, Pastorino B, Dallmeier K, et al. Ivermectin is a potent inhibitor of flavivirus replication specifically targeting NS3 helicase activity: new prospects for an old drug. J Antimicrob Chemother. 2012;67(8):1884-94.</w:t>
      </w:r>
    </w:p>
    <w:p w14:paraId="15D5528B" w14:textId="77777777" w:rsidR="00054337" w:rsidRPr="001C0C4B" w:rsidRDefault="00054337" w:rsidP="00595869">
      <w:pPr>
        <w:pStyle w:val="EndNoteBibliography"/>
        <w:numPr>
          <w:ilvl w:val="0"/>
          <w:numId w:val="44"/>
        </w:numPr>
        <w:spacing w:after="0"/>
        <w:jc w:val="both"/>
        <w:rPr>
          <w:sz w:val="20"/>
        </w:rPr>
      </w:pPr>
      <w:r w:rsidRPr="001C0C4B">
        <w:rPr>
          <w:sz w:val="20"/>
        </w:rPr>
        <w:t xml:space="preserve">Caly L, Druce JD, Catton MG, Jans DA, Wagstaff KM. The FDA-approved Drug Ivermectin inhibits the replication of SARS-CoV-2 in vitro. Antiviral Res. 2020:104787. </w:t>
      </w:r>
    </w:p>
    <w:p w14:paraId="17AAE825" w14:textId="77777777" w:rsidR="00054337" w:rsidRPr="001C0C4B" w:rsidRDefault="00054337" w:rsidP="00595869">
      <w:pPr>
        <w:pStyle w:val="EndNoteBibliography"/>
        <w:numPr>
          <w:ilvl w:val="0"/>
          <w:numId w:val="44"/>
        </w:numPr>
        <w:spacing w:after="0"/>
        <w:jc w:val="both"/>
        <w:rPr>
          <w:sz w:val="20"/>
        </w:rPr>
      </w:pPr>
      <w:r w:rsidRPr="001C0C4B">
        <w:rPr>
          <w:sz w:val="20"/>
        </w:rPr>
        <w:t xml:space="preserve">Gonzalez Canga A, Sahagun Prieto AM, Diez Liebana MJ, Fernandez Martinez N, Sierra Vega M, Garcia Vieitez JJ. The pharmacokinetics and interactions of ivermectin in humans--a mini-review. AAPS J. 2008;10(1):42-6. </w:t>
      </w:r>
    </w:p>
    <w:p w14:paraId="41C1DFFF" w14:textId="16B6C978" w:rsidR="00054337" w:rsidRPr="001C0C4B" w:rsidRDefault="00054337" w:rsidP="00054337">
      <w:pPr>
        <w:pStyle w:val="EndNoteBibliography"/>
        <w:numPr>
          <w:ilvl w:val="0"/>
          <w:numId w:val="44"/>
        </w:numPr>
        <w:spacing w:after="0"/>
        <w:jc w:val="both"/>
        <w:rPr>
          <w:sz w:val="20"/>
        </w:rPr>
      </w:pPr>
      <w:r w:rsidRPr="001C0C4B">
        <w:rPr>
          <w:sz w:val="20"/>
        </w:rPr>
        <w:t xml:space="preserve">Kobylinski KC, Jittamala P, Hanboonkunupakarn B, Pukrittayakamee S, Pantuwatana K, Phasomkusolsil S, et al. Safety, Pharmacokinetics, and Mosquito-Lethal Effects of Ivermectin in Combination With Dihydroartemisinin-Piperaquine and Primaquine in Healthy Adult Thai Subjects. Clin Pharmacol Ther. 2019; </w:t>
      </w:r>
      <w:r w:rsidRPr="001C0C4B">
        <w:rPr>
          <w:sz w:val="20"/>
          <w:shd w:val="clear" w:color="auto" w:fill="FFFFFF"/>
        </w:rPr>
        <w:t>107(5):1221-1230.</w:t>
      </w:r>
    </w:p>
    <w:p w14:paraId="5CE61DAD" w14:textId="77777777" w:rsidR="00054337" w:rsidRPr="001C0C4B" w:rsidRDefault="00054337" w:rsidP="00054337">
      <w:pPr>
        <w:pStyle w:val="EndNoteBibliography"/>
        <w:numPr>
          <w:ilvl w:val="0"/>
          <w:numId w:val="44"/>
        </w:numPr>
        <w:spacing w:after="0"/>
        <w:jc w:val="both"/>
        <w:rPr>
          <w:sz w:val="20"/>
        </w:rPr>
      </w:pPr>
      <w:r w:rsidRPr="001C0C4B">
        <w:rPr>
          <w:sz w:val="20"/>
        </w:rPr>
        <w:t>Yamasmith, E., et al., Efficacy and Safety of Ivermectin against Dengue Infection: A Phase III, Randomized, Double-blind, Placebo-controlled Trial, in the 34th Annual Meeting The Royal College of Physicians of Thailand- ‘Internal Medicine and One Health'. 2018: Chonburi, Thailand.</w:t>
      </w:r>
    </w:p>
    <w:p w14:paraId="7D5BB0B2" w14:textId="77777777" w:rsidR="00054337" w:rsidRPr="001C0C4B" w:rsidRDefault="00054337" w:rsidP="00595869">
      <w:pPr>
        <w:pStyle w:val="EndNoteBibliography"/>
        <w:spacing w:after="0"/>
        <w:ind w:left="360"/>
        <w:jc w:val="both"/>
        <w:rPr>
          <w:noProof/>
        </w:rPr>
      </w:pPr>
    </w:p>
    <w:p w14:paraId="6BB2D62C" w14:textId="77777777" w:rsidR="00054337" w:rsidRPr="001C0C4B" w:rsidRDefault="00054337" w:rsidP="00054337">
      <w:pPr>
        <w:rPr>
          <w:rFonts w:ascii="Calibri" w:hAnsi="Calibri" w:cs="Calibri"/>
          <w:u w:val="single"/>
        </w:rPr>
      </w:pPr>
    </w:p>
    <w:p w14:paraId="32E31578" w14:textId="5F3DCFF9" w:rsidR="00326719" w:rsidRPr="001C0C4B" w:rsidRDefault="007A196C">
      <w:pPr>
        <w:rPr>
          <w:rFonts w:ascii="Calibri" w:hAnsi="Calibri" w:cs="Calibri"/>
          <w:u w:val="single"/>
        </w:rPr>
      </w:pPr>
      <w:r w:rsidRPr="001C0C4B">
        <w:rPr>
          <w:rFonts w:ascii="Calibri" w:hAnsi="Calibri" w:cs="Calibri"/>
          <w:u w:val="single"/>
        </w:rPr>
        <w:t xml:space="preserve"> </w:t>
      </w:r>
    </w:p>
    <w:p w14:paraId="4F9E67C7" w14:textId="77777777" w:rsidR="00326719" w:rsidRPr="001C0C4B" w:rsidRDefault="00326719">
      <w:pPr>
        <w:rPr>
          <w:rFonts w:ascii="Calibri" w:hAnsi="Calibri" w:cs="Calibri"/>
          <w:u w:val="single"/>
        </w:rPr>
      </w:pPr>
      <w:r w:rsidRPr="001C0C4B">
        <w:rPr>
          <w:rFonts w:ascii="Calibri" w:hAnsi="Calibri" w:cs="Calibri"/>
          <w:u w:val="single"/>
        </w:rPr>
        <w:br w:type="page"/>
      </w:r>
    </w:p>
    <w:p w14:paraId="119D1AB7" w14:textId="29A87AFC" w:rsidR="00C73DF6" w:rsidRPr="001C0C4B" w:rsidRDefault="00C73DF6" w:rsidP="00BF2FEE">
      <w:pPr>
        <w:pStyle w:val="Heading2"/>
        <w:numPr>
          <w:ilvl w:val="1"/>
          <w:numId w:val="23"/>
        </w:numPr>
        <w:tabs>
          <w:tab w:val="left" w:pos="900"/>
        </w:tabs>
        <w:rPr>
          <w:rFonts w:ascii="Calibri" w:hAnsi="Calibri"/>
          <w:color w:val="auto"/>
          <w:u w:val="single"/>
        </w:rPr>
      </w:pPr>
      <w:bookmarkStart w:id="497" w:name="_Toc96005532"/>
      <w:bookmarkStart w:id="498" w:name="_Toc96005663"/>
      <w:bookmarkStart w:id="499" w:name="_Toc96007360"/>
      <w:bookmarkStart w:id="500" w:name="_Toc96007361"/>
      <w:bookmarkStart w:id="501" w:name="_Toc95915288"/>
      <w:bookmarkStart w:id="502" w:name="_Toc74661332"/>
      <w:bookmarkStart w:id="503" w:name="_Toc110524027"/>
      <w:bookmarkStart w:id="504" w:name="_Toc96005664"/>
      <w:bookmarkStart w:id="505" w:name="_Toc112917675"/>
      <w:bookmarkEnd w:id="497"/>
      <w:bookmarkEnd w:id="498"/>
      <w:bookmarkEnd w:id="499"/>
      <w:r w:rsidRPr="001C0C4B">
        <w:rPr>
          <w:rFonts w:ascii="Calibri" w:hAnsi="Calibri"/>
          <w:color w:val="auto"/>
          <w:u w:val="single"/>
        </w:rPr>
        <w:lastRenderedPageBreak/>
        <w:t>Nitazoxanide</w:t>
      </w:r>
      <w:bookmarkEnd w:id="500"/>
      <w:bookmarkEnd w:id="501"/>
      <w:bookmarkEnd w:id="502"/>
      <w:bookmarkEnd w:id="503"/>
      <w:bookmarkEnd w:id="504"/>
      <w:bookmarkEnd w:id="505"/>
    </w:p>
    <w:p w14:paraId="53168C1C" w14:textId="77777777" w:rsidR="00C73DF6" w:rsidRPr="001C0C4B" w:rsidRDefault="00C73DF6" w:rsidP="00C966A5">
      <w:pPr>
        <w:rPr>
          <w:lang w:val="en-GB"/>
        </w:rPr>
      </w:pPr>
      <w:r w:rsidRPr="001C0C4B">
        <w:rPr>
          <w:lang w:val="en-GB"/>
        </w:rPr>
        <w:t>Rationale</w:t>
      </w:r>
    </w:p>
    <w:p w14:paraId="2309FFC4" w14:textId="61605AAC" w:rsidR="00C73DF6" w:rsidRPr="001C0C4B" w:rsidRDefault="00C73DF6" w:rsidP="00C73DF6">
      <w:pPr>
        <w:spacing w:after="120" w:line="276" w:lineRule="auto"/>
        <w:jc w:val="both"/>
        <w:rPr>
          <w:rFonts w:ascii="Calibri" w:hAnsi="Calibri" w:cs="Calibri"/>
        </w:rPr>
      </w:pPr>
      <w:r w:rsidRPr="001C0C4B">
        <w:rPr>
          <w:rFonts w:ascii="Calibri" w:hAnsi="Calibri" w:cs="Calibri"/>
          <w:bCs/>
        </w:rPr>
        <w:t xml:space="preserve">Nitazoxanide is a broad-spectrum antiprotozoal and antiviral drug first discovered in the 1980s. It has an excellent safety profile, the only contraindication to nitazoxanide being a hypersensitivity reaction to nitazoxanide. Nitazoxanide has demonstrated broad-spectrum </w:t>
      </w:r>
      <w:r w:rsidRPr="001C0C4B">
        <w:rPr>
          <w:rFonts w:ascii="Calibri" w:hAnsi="Calibri" w:cs="Calibri"/>
          <w:bCs/>
          <w:i/>
          <w:iCs/>
        </w:rPr>
        <w:t>in vitro</w:t>
      </w:r>
      <w:r w:rsidRPr="001C0C4B">
        <w:rPr>
          <w:rFonts w:ascii="Calibri" w:hAnsi="Calibri" w:cs="Calibri"/>
          <w:bCs/>
        </w:rPr>
        <w:t xml:space="preserve"> antiviral activity including against SARS-CoV-2. There are also reports from trials suggesting benefit and given the low cost, safety, tolerability and availability of this drug, it would be an attractive candidate in the prevention and treatment of COVID-19, if shown to have benefit in this illness. </w:t>
      </w:r>
      <w:r w:rsidRPr="001C0C4B">
        <w:rPr>
          <w:rFonts w:ascii="Calibri" w:hAnsi="Calibri" w:cs="Calibri"/>
        </w:rPr>
        <w:t xml:space="preserve">Nitazoxanide has </w:t>
      </w:r>
      <w:r w:rsidRPr="001C0C4B">
        <w:rPr>
          <w:rFonts w:ascii="Calibri" w:hAnsi="Calibri" w:cs="Calibri"/>
          <w:i/>
          <w:iCs/>
        </w:rPr>
        <w:t>in vitro</w:t>
      </w:r>
      <w:r w:rsidRPr="001C0C4B">
        <w:rPr>
          <w:rFonts w:ascii="Calibri" w:hAnsi="Calibri" w:cs="Calibri"/>
        </w:rPr>
        <w:t xml:space="preserve"> activity against the novel coronavirus SARS-CoV-2, which causes coronavirus disease (COVID-19). The EC50 on Vero E6 cells (the concentration to decrease the cytopathic effect of the virus by 50%) was reportedly 2.12µM </w:t>
      </w:r>
      <w:r w:rsidRPr="001C0C4B">
        <w:rPr>
          <w:rFonts w:ascii="Calibri" w:hAnsi="Calibri"/>
        </w:rPr>
        <w:t>(</w:t>
      </w:r>
      <w:r w:rsidR="007A196C" w:rsidRPr="001C0C4B">
        <w:rPr>
          <w:rFonts w:ascii="Calibri" w:hAnsi="Calibri"/>
        </w:rPr>
        <w:t>1</w:t>
      </w:r>
      <w:r w:rsidRPr="001C0C4B">
        <w:rPr>
          <w:rFonts w:ascii="Calibri" w:hAnsi="Calibri"/>
        </w:rPr>
        <w:t>).</w:t>
      </w:r>
      <w:r w:rsidRPr="001C0C4B">
        <w:rPr>
          <w:rFonts w:ascii="Calibri" w:hAnsi="Calibri" w:cs="Calibri"/>
        </w:rPr>
        <w:t xml:space="preserve"> Nitazoxanide has a molar mass of 307.283g/mmol, and as such 2.12µM corresponds to a concentration of 0.65mg/L. </w:t>
      </w:r>
    </w:p>
    <w:p w14:paraId="51A5C3C4" w14:textId="082776FE"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Although the above study on SARS-CoV-2 used nitazoxanide, the active metabolite tizoxanide inhibits influenza, </w:t>
      </w:r>
      <w:hyperlink r:id="rId44" w:tooltip="Learn more about Human Respiratory Syncytial Virus from ScienceDirect's AI-generated Topic Pages" w:history="1">
        <w:r w:rsidRPr="001C0C4B">
          <w:rPr>
            <w:rStyle w:val="Hyperlink"/>
            <w:rFonts w:ascii="Calibri" w:hAnsi="Calibri" w:cs="Calibri"/>
            <w:color w:val="auto"/>
          </w:rPr>
          <w:t>respiratory syncytial virus</w:t>
        </w:r>
      </w:hyperlink>
      <w:r w:rsidRPr="001C0C4B">
        <w:rPr>
          <w:rFonts w:ascii="Calibri" w:hAnsi="Calibri" w:cs="Calibri"/>
        </w:rPr>
        <w:t xml:space="preserve">, </w:t>
      </w:r>
      <w:hyperlink r:id="rId45" w:tooltip="Learn more about Parainfluenza Virus Infection from ScienceDirect's AI-generated Topic Pages" w:history="1">
        <w:r w:rsidRPr="001C0C4B">
          <w:rPr>
            <w:rStyle w:val="Hyperlink"/>
            <w:rFonts w:ascii="Calibri" w:hAnsi="Calibri" w:cs="Calibri"/>
            <w:color w:val="auto"/>
          </w:rPr>
          <w:t>parainfluenza</w:t>
        </w:r>
      </w:hyperlink>
      <w:r w:rsidRPr="001C0C4B">
        <w:rPr>
          <w:rFonts w:ascii="Calibri" w:hAnsi="Calibri" w:cs="Calibri"/>
        </w:rPr>
        <w:t xml:space="preserve">, coronavirus, </w:t>
      </w:r>
      <w:hyperlink r:id="rId46" w:tooltip="Learn more about Rotavirus from ScienceDirect's AI-generated Topic Pages" w:history="1">
        <w:r w:rsidRPr="001C0C4B">
          <w:rPr>
            <w:rStyle w:val="Hyperlink"/>
            <w:rFonts w:ascii="Calibri" w:hAnsi="Calibri" w:cs="Calibri"/>
            <w:color w:val="auto"/>
          </w:rPr>
          <w:t>rotavirus</w:t>
        </w:r>
      </w:hyperlink>
      <w:r w:rsidRPr="001C0C4B">
        <w:rPr>
          <w:rFonts w:ascii="Calibri" w:hAnsi="Calibri" w:cs="Calibri"/>
        </w:rPr>
        <w:t xml:space="preserve">, </w:t>
      </w:r>
      <w:hyperlink r:id="rId47" w:tooltip="Learn more about Norovirus from ScienceDirect's AI-generated Topic Pages" w:history="1">
        <w:r w:rsidRPr="001C0C4B">
          <w:rPr>
            <w:rStyle w:val="Hyperlink"/>
            <w:rFonts w:ascii="Calibri" w:hAnsi="Calibri" w:cs="Calibri"/>
            <w:color w:val="auto"/>
          </w:rPr>
          <w:t>norovirus</w:t>
        </w:r>
      </w:hyperlink>
      <w:r w:rsidRPr="001C0C4B">
        <w:rPr>
          <w:rFonts w:ascii="Calibri" w:hAnsi="Calibri" w:cs="Calibri"/>
        </w:rPr>
        <w:t xml:space="preserve">, hepatitis B, hepatitis C, </w:t>
      </w:r>
      <w:hyperlink r:id="rId48" w:tooltip="Learn more about Dengue Fever from ScienceDirect's AI-generated Topic Pages" w:history="1">
        <w:r w:rsidRPr="001C0C4B">
          <w:rPr>
            <w:rStyle w:val="Hyperlink"/>
            <w:rFonts w:ascii="Calibri" w:hAnsi="Calibri" w:cs="Calibri"/>
            <w:color w:val="auto"/>
          </w:rPr>
          <w:t>dengue</w:t>
        </w:r>
      </w:hyperlink>
      <w:r w:rsidRPr="001C0C4B">
        <w:rPr>
          <w:rFonts w:ascii="Calibri" w:hAnsi="Calibri" w:cs="Calibri"/>
        </w:rPr>
        <w:t xml:space="preserve">, yellow fever, </w:t>
      </w:r>
      <w:hyperlink r:id="rId49" w:tooltip="Learn more about Japanese Encephalitis Virus from ScienceDirect's AI-generated Topic Pages" w:history="1">
        <w:r w:rsidRPr="001C0C4B">
          <w:rPr>
            <w:rStyle w:val="Hyperlink"/>
            <w:rFonts w:ascii="Calibri" w:hAnsi="Calibri" w:cs="Calibri"/>
            <w:color w:val="auto"/>
          </w:rPr>
          <w:t>Japanese encephalitis virus</w:t>
        </w:r>
      </w:hyperlink>
      <w:r w:rsidRPr="001C0C4B">
        <w:rPr>
          <w:rFonts w:ascii="Calibri" w:hAnsi="Calibri" w:cs="Calibri"/>
        </w:rPr>
        <w:t xml:space="preserve"> and human immunodeficiency virus </w:t>
      </w:r>
      <w:r w:rsidRPr="001C0C4B">
        <w:rPr>
          <w:rFonts w:ascii="Calibri" w:hAnsi="Calibri" w:cs="Calibri"/>
          <w:i/>
          <w:iCs/>
        </w:rPr>
        <w:t>in vitro</w:t>
      </w:r>
      <w:r w:rsidRPr="001C0C4B">
        <w:rPr>
          <w:rFonts w:ascii="Calibri" w:hAnsi="Calibri" w:cs="Calibri"/>
        </w:rPr>
        <w:t xml:space="preserve"> </w:t>
      </w:r>
      <w:r w:rsidRPr="001C0C4B">
        <w:rPr>
          <w:rFonts w:ascii="Calibri" w:hAnsi="Calibri"/>
        </w:rPr>
        <w:t>(</w:t>
      </w:r>
      <w:r w:rsidR="007A196C" w:rsidRPr="001C0C4B">
        <w:rPr>
          <w:rFonts w:ascii="Calibri" w:hAnsi="Calibri"/>
        </w:rPr>
        <w:t>2</w:t>
      </w:r>
      <w:r w:rsidRPr="001C0C4B">
        <w:rPr>
          <w:rFonts w:ascii="Calibri" w:hAnsi="Calibri"/>
        </w:rPr>
        <w:t>).</w:t>
      </w:r>
      <w:r w:rsidRPr="001C0C4B">
        <w:rPr>
          <w:rFonts w:ascii="Calibri" w:hAnsi="Calibri" w:cs="Calibri"/>
        </w:rPr>
        <w:t xml:space="preserve"> Nitazoxanide was able to protect 90% of mice from death in a lethal challenge model of Japanese Encephalitis </w:t>
      </w:r>
      <w:r w:rsidRPr="001C0C4B">
        <w:rPr>
          <w:rFonts w:ascii="Calibri" w:hAnsi="Calibri"/>
        </w:rPr>
        <w:t>(</w:t>
      </w:r>
      <w:r w:rsidR="007A196C" w:rsidRPr="001C0C4B">
        <w:rPr>
          <w:rFonts w:ascii="Calibri" w:hAnsi="Calibri"/>
        </w:rPr>
        <w:t>3</w:t>
      </w:r>
      <w:r w:rsidRPr="001C0C4B">
        <w:rPr>
          <w:rFonts w:ascii="Calibri" w:hAnsi="Calibri"/>
        </w:rPr>
        <w:t>).</w:t>
      </w:r>
      <w:r w:rsidRPr="001C0C4B">
        <w:rPr>
          <w:rFonts w:ascii="Calibri" w:hAnsi="Calibri" w:cs="Calibri"/>
        </w:rPr>
        <w:t xml:space="preserve"> The exact mechanism by which nitazoxanide exhibits its antiviral effects are uncertain, but augmented host responses as opposed to direct antiviral effects are postulated. Nitazoxanide is able to increase interferon responses in HCV/HIV coinfected individuals </w:t>
      </w:r>
      <w:r w:rsidRPr="001C0C4B">
        <w:rPr>
          <w:rFonts w:ascii="Calibri" w:hAnsi="Calibri"/>
        </w:rPr>
        <w:t>(</w:t>
      </w:r>
      <w:r w:rsidR="007A196C" w:rsidRPr="001C0C4B">
        <w:rPr>
          <w:rFonts w:ascii="Calibri" w:hAnsi="Calibri"/>
        </w:rPr>
        <w:t>4</w:t>
      </w:r>
      <w:r w:rsidRPr="001C0C4B">
        <w:rPr>
          <w:rFonts w:ascii="Calibri" w:hAnsi="Calibri"/>
        </w:rPr>
        <w:t>).</w:t>
      </w:r>
    </w:p>
    <w:p w14:paraId="5F540D91" w14:textId="1CF60928"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A double-blind randomised placebo-controlled trial of nitazoxanide in acute uncomplicated influenza found a statistically decreased duration of symptoms in the 600mg BD nitazoxanide group, but not the 300mg BD one </w:t>
      </w:r>
      <w:r w:rsidRPr="001C0C4B">
        <w:rPr>
          <w:rFonts w:ascii="Calibri" w:hAnsi="Calibri"/>
        </w:rPr>
        <w:t>(</w:t>
      </w:r>
      <w:r w:rsidR="007A196C" w:rsidRPr="001C0C4B">
        <w:rPr>
          <w:rFonts w:ascii="Calibri" w:hAnsi="Calibri"/>
        </w:rPr>
        <w:t>5</w:t>
      </w:r>
      <w:r w:rsidRPr="001C0C4B">
        <w:rPr>
          <w:rFonts w:ascii="Calibri" w:hAnsi="Calibri"/>
        </w:rPr>
        <w:t>).</w:t>
      </w:r>
      <w:r w:rsidRPr="001C0C4B">
        <w:rPr>
          <w:rFonts w:ascii="Calibri" w:hAnsi="Calibri" w:cs="Calibri"/>
        </w:rPr>
        <w:t xml:space="preserve"> Additionally, viral titres were statistically decreased in the 600mg BD nitazoxanide group. Another study using the same doses in cases of severe respiratory infection caused by all respiratory viruses, did not show a statistical effect </w:t>
      </w:r>
      <w:r w:rsidRPr="001C0C4B">
        <w:rPr>
          <w:rFonts w:ascii="Calibri" w:hAnsi="Calibri"/>
        </w:rPr>
        <w:t>(</w:t>
      </w:r>
      <w:r w:rsidR="007A196C" w:rsidRPr="001C0C4B">
        <w:rPr>
          <w:rFonts w:ascii="Calibri" w:hAnsi="Calibri"/>
        </w:rPr>
        <w:t>6</w:t>
      </w:r>
      <w:r w:rsidRPr="001C0C4B">
        <w:rPr>
          <w:rFonts w:ascii="Calibri" w:hAnsi="Calibri"/>
        </w:rPr>
        <w:t>).</w:t>
      </w:r>
      <w:r w:rsidRPr="001C0C4B">
        <w:rPr>
          <w:rFonts w:ascii="Calibri" w:hAnsi="Calibri" w:cs="Calibri"/>
        </w:rPr>
        <w:t xml:space="preserve"> Nitazoxanide is being assessed in clinical trials in COVID-19, and published results suggest an increased time to viral clearance, although this result may be confounded by differences in initial viral loads </w:t>
      </w:r>
      <w:r w:rsidRPr="001C0C4B">
        <w:rPr>
          <w:rFonts w:ascii="Calibri" w:hAnsi="Calibri"/>
        </w:rPr>
        <w:t>(</w:t>
      </w:r>
      <w:r w:rsidR="007A196C" w:rsidRPr="001C0C4B">
        <w:rPr>
          <w:rFonts w:ascii="Calibri" w:hAnsi="Calibri"/>
        </w:rPr>
        <w:t>7</w:t>
      </w:r>
      <w:r w:rsidRPr="001C0C4B">
        <w:rPr>
          <w:rFonts w:ascii="Calibri" w:hAnsi="Calibri"/>
        </w:rPr>
        <w:t>).</w:t>
      </w:r>
    </w:p>
    <w:p w14:paraId="36996BF0" w14:textId="77777777" w:rsidR="00C73DF6" w:rsidRPr="001C0C4B" w:rsidRDefault="00C73DF6" w:rsidP="00C966A5">
      <w:pPr>
        <w:rPr>
          <w:lang w:val="en-GB"/>
        </w:rPr>
      </w:pPr>
      <w:r w:rsidRPr="001C0C4B">
        <w:rPr>
          <w:lang w:val="en-GB"/>
        </w:rPr>
        <w:t>Composition &amp; dose</w:t>
      </w:r>
    </w:p>
    <w:p w14:paraId="36CE9E1F"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One tablet of nitazoxanide as ALINIA® tablets contain 500 mg of nitazoxanide (</w:t>
      </w:r>
      <w:hyperlink r:id="rId50" w:history="1">
        <w:r w:rsidRPr="001C0C4B">
          <w:rPr>
            <w:rStyle w:val="Hyperlink"/>
            <w:rFonts w:ascii="Calibri" w:hAnsi="Calibri" w:cs="Calibri"/>
            <w:color w:val="auto"/>
          </w:rPr>
          <w:t>https://www.accessdata.fda.gov/drugsatfda_docs/label/2016/021497s001,021498s004lbl.pdf</w:t>
        </w:r>
      </w:hyperlink>
      <w:r w:rsidRPr="001C0C4B">
        <w:rPr>
          <w:rFonts w:ascii="Calibri" w:hAnsi="Calibri" w:cs="Calibri"/>
        </w:rPr>
        <w:t>).</w:t>
      </w:r>
    </w:p>
    <w:p w14:paraId="2F94CD20"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Nitazoxanide will either be obtained by the sponsor or the local teams from a reliable manufacturer. </w:t>
      </w:r>
    </w:p>
    <w:p w14:paraId="7A8E1180" w14:textId="6F976B9B" w:rsidR="00C73DF6" w:rsidRPr="001C0C4B" w:rsidRDefault="00C73DF6" w:rsidP="00C73DF6">
      <w:pPr>
        <w:spacing w:after="120" w:line="276" w:lineRule="auto"/>
        <w:jc w:val="both"/>
        <w:rPr>
          <w:rFonts w:ascii="Calibri" w:hAnsi="Calibri" w:cs="Calibri"/>
        </w:rPr>
      </w:pPr>
      <w:r w:rsidRPr="001C0C4B">
        <w:rPr>
          <w:rFonts w:ascii="Calibri" w:hAnsi="Calibri" w:cs="Calibri"/>
        </w:rPr>
        <w:t>High dose nitazoxanide is given as 1</w:t>
      </w:r>
      <w:r w:rsidR="006948E0" w:rsidRPr="001C0C4B">
        <w:rPr>
          <w:rFonts w:ascii="Calibri" w:hAnsi="Calibri" w:cs="Calibri"/>
        </w:rPr>
        <w:t>.5</w:t>
      </w:r>
      <w:r w:rsidRPr="001C0C4B">
        <w:rPr>
          <w:rFonts w:ascii="Calibri" w:hAnsi="Calibri" w:cs="Calibri"/>
        </w:rPr>
        <w:t xml:space="preserve"> g bd. </w:t>
      </w:r>
    </w:p>
    <w:p w14:paraId="37424347" w14:textId="1708072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dose in this trial is: </w:t>
      </w:r>
      <w:r w:rsidRPr="001C0C4B">
        <w:rPr>
          <w:rFonts w:ascii="Calibri" w:hAnsi="Calibri" w:cs="Calibri"/>
          <w:b/>
          <w:bCs/>
        </w:rPr>
        <w:t>1</w:t>
      </w:r>
      <w:r w:rsidR="006948E0" w:rsidRPr="001C0C4B">
        <w:rPr>
          <w:rFonts w:ascii="Calibri" w:hAnsi="Calibri" w:cs="Calibri"/>
          <w:b/>
          <w:bCs/>
        </w:rPr>
        <w:t>.5</w:t>
      </w:r>
      <w:r w:rsidRPr="001C0C4B">
        <w:rPr>
          <w:rFonts w:ascii="Calibri" w:hAnsi="Calibri" w:cs="Calibri"/>
          <w:b/>
          <w:bCs/>
        </w:rPr>
        <w:t xml:space="preserve">g PO twice daily for 7 days </w:t>
      </w:r>
      <w:r w:rsidRPr="001C0C4B">
        <w:rPr>
          <w:rFonts w:ascii="Calibri" w:hAnsi="Calibri" w:cs="Calibri"/>
        </w:rPr>
        <w:t>(taken with food).</w:t>
      </w:r>
    </w:p>
    <w:p w14:paraId="51956C8C" w14:textId="77777777" w:rsidR="00D629C4" w:rsidRPr="001C0C4B" w:rsidRDefault="00D629C4" w:rsidP="00C966A5">
      <w:pPr>
        <w:rPr>
          <w:lang w:val="en-GB"/>
        </w:rPr>
      </w:pPr>
    </w:p>
    <w:p w14:paraId="1BED566F" w14:textId="77777777" w:rsidR="00D629C4" w:rsidRPr="001C0C4B" w:rsidRDefault="00D629C4" w:rsidP="00C966A5">
      <w:pPr>
        <w:rPr>
          <w:lang w:val="en-GB"/>
        </w:rPr>
      </w:pPr>
    </w:p>
    <w:p w14:paraId="45796420" w14:textId="77777777" w:rsidR="00D629C4" w:rsidRPr="001C0C4B" w:rsidRDefault="00D629C4" w:rsidP="00C966A5">
      <w:pPr>
        <w:rPr>
          <w:lang w:val="en-GB"/>
        </w:rPr>
      </w:pPr>
    </w:p>
    <w:p w14:paraId="29B6653F" w14:textId="77777777" w:rsidR="00D629C4" w:rsidRPr="001C0C4B" w:rsidRDefault="00D629C4" w:rsidP="00C966A5">
      <w:pPr>
        <w:rPr>
          <w:lang w:val="en-GB"/>
        </w:rPr>
      </w:pPr>
    </w:p>
    <w:p w14:paraId="6502CE11" w14:textId="77777777" w:rsidR="00D629C4" w:rsidRPr="001C0C4B" w:rsidRDefault="00D629C4" w:rsidP="00C966A5">
      <w:pPr>
        <w:rPr>
          <w:lang w:val="en-GB"/>
        </w:rPr>
      </w:pPr>
    </w:p>
    <w:p w14:paraId="7C6AC5A1" w14:textId="77777777" w:rsidR="00D629C4" w:rsidRPr="001C0C4B" w:rsidRDefault="00D629C4" w:rsidP="00C966A5">
      <w:pPr>
        <w:rPr>
          <w:lang w:val="en-GB"/>
        </w:rPr>
      </w:pPr>
    </w:p>
    <w:p w14:paraId="728C73DA" w14:textId="77777777" w:rsidR="00D629C4" w:rsidRPr="001C0C4B" w:rsidRDefault="00D629C4" w:rsidP="00C966A5">
      <w:pPr>
        <w:rPr>
          <w:lang w:val="en-GB"/>
        </w:rPr>
      </w:pPr>
    </w:p>
    <w:p w14:paraId="041BC44D" w14:textId="507D50AA" w:rsidR="00C73DF6" w:rsidRPr="001C0C4B" w:rsidRDefault="00C73DF6" w:rsidP="00C966A5">
      <w:pPr>
        <w:rPr>
          <w:lang w:val="en-GB"/>
        </w:rPr>
      </w:pPr>
      <w:r w:rsidRPr="001C0C4B">
        <w:rPr>
          <w:lang w:val="en-GB"/>
        </w:rPr>
        <w:lastRenderedPageBreak/>
        <w:t>Pharmacokinetic characteristics</w:t>
      </w:r>
    </w:p>
    <w:p w14:paraId="384678B8" w14:textId="25C9F489" w:rsidR="00C73DF6" w:rsidRPr="001C0C4B" w:rsidRDefault="00D852E4" w:rsidP="00C73DF6">
      <w:pPr>
        <w:spacing w:after="120" w:line="276" w:lineRule="auto"/>
        <w:jc w:val="both"/>
        <w:rPr>
          <w:rFonts w:ascii="Calibri" w:hAnsi="Calibri" w:cs="Calibri"/>
        </w:rPr>
      </w:pPr>
      <w:r w:rsidRPr="001C0C4B">
        <w:rPr>
          <w:rFonts w:ascii="Calibri" w:hAnsi="Calibri" w:cs="Calibri"/>
          <w:noProof/>
          <w:lang w:bidi="th-TH"/>
        </w:rPr>
        <w:drawing>
          <wp:anchor distT="0" distB="0" distL="114300" distR="114300" simplePos="0" relativeHeight="251658249" behindDoc="0" locked="0" layoutInCell="1" allowOverlap="1" wp14:anchorId="5ABF1B29" wp14:editId="5B1A996B">
            <wp:simplePos x="0" y="0"/>
            <wp:positionH relativeFrom="margin">
              <wp:posOffset>123093</wp:posOffset>
            </wp:positionH>
            <wp:positionV relativeFrom="paragraph">
              <wp:posOffset>1162508</wp:posOffset>
            </wp:positionV>
            <wp:extent cx="4051496" cy="2030663"/>
            <wp:effectExtent l="0" t="0" r="635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52630" cy="20312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F6" w:rsidRPr="001C0C4B">
        <w:rPr>
          <w:rFonts w:ascii="Calibri" w:hAnsi="Calibri" w:cs="Calibri"/>
        </w:rPr>
        <w:t xml:space="preserve">Following oral administration of nitazoxanide, the drug is rapidly hydrolysed to its active constituent, tizoxanide, and then conjugated to produce active tizoxanide glucuronide; nitazoxanide is not detected in plasma and &gt; 99% of tizoxanide is bound to proteins. The bioavailabilities of tizoxanide and tizoxanide glucuronide are increased 2-fold with food. The mean Tmax of tizoxanide, is 2.5h with a half-life of 1 to 2h </w:t>
      </w:r>
      <w:r w:rsidR="00C73DF6" w:rsidRPr="001C0C4B">
        <w:rPr>
          <w:rFonts w:ascii="Calibri" w:hAnsi="Calibri"/>
        </w:rPr>
        <w:t>(</w:t>
      </w:r>
      <w:r w:rsidR="007A196C" w:rsidRPr="001C0C4B">
        <w:rPr>
          <w:rFonts w:ascii="Calibri" w:hAnsi="Calibri"/>
        </w:rPr>
        <w:t>8</w:t>
      </w:r>
      <w:r w:rsidR="00C73DF6" w:rsidRPr="001C0C4B">
        <w:rPr>
          <w:rFonts w:ascii="Calibri" w:hAnsi="Calibri"/>
        </w:rPr>
        <w:t>).</w:t>
      </w:r>
      <w:r w:rsidR="00C73DF6" w:rsidRPr="001C0C4B">
        <w:rPr>
          <w:rFonts w:ascii="Calibri" w:hAnsi="Calibri" w:cs="Calibri"/>
        </w:rPr>
        <w:t xml:space="preserve">  The mean Tmax of the tizoxanide glucuronide is 4 to 6h. A dose of 1g PO BD of nitazoxanide produces a Cmax of 24mg/ml of tizoxanide and 26.4mg/ml tizoxanide glucuronide and the half-lives increase to 6.4 and 3.5 hours, respectively. Tizoxanide is excreted in the urine, bile and faeces, and tizoxanide glucuronide is excreted in urine and bile (its concentration is x10 that of plasma). </w:t>
      </w:r>
    </w:p>
    <w:p w14:paraId="535ED931" w14:textId="77777777" w:rsidR="00583BC8" w:rsidRPr="001C0C4B" w:rsidRDefault="00583BC8" w:rsidP="00C73DF6">
      <w:pPr>
        <w:spacing w:after="120" w:line="276" w:lineRule="auto"/>
        <w:jc w:val="both"/>
        <w:rPr>
          <w:rFonts w:ascii="Calibri" w:hAnsi="Calibri" w:cs="Calibri"/>
        </w:rPr>
      </w:pPr>
    </w:p>
    <w:p w14:paraId="5252000D" w14:textId="77777777" w:rsidR="00583BC8" w:rsidRPr="001C0C4B" w:rsidRDefault="00583BC8" w:rsidP="00C73DF6">
      <w:pPr>
        <w:spacing w:after="120" w:line="276" w:lineRule="auto"/>
        <w:jc w:val="both"/>
        <w:rPr>
          <w:rFonts w:ascii="Calibri" w:hAnsi="Calibri" w:cs="Calibri"/>
        </w:rPr>
      </w:pPr>
    </w:p>
    <w:p w14:paraId="51C45899" w14:textId="77777777" w:rsidR="00583BC8" w:rsidRPr="001C0C4B" w:rsidRDefault="00583BC8" w:rsidP="00C73DF6">
      <w:pPr>
        <w:spacing w:after="120" w:line="276" w:lineRule="auto"/>
        <w:jc w:val="both"/>
        <w:rPr>
          <w:rFonts w:ascii="Calibri" w:hAnsi="Calibri" w:cs="Calibri"/>
        </w:rPr>
      </w:pPr>
    </w:p>
    <w:p w14:paraId="0291EDE9" w14:textId="064DA77C" w:rsidR="00C73DF6" w:rsidRPr="001C0C4B" w:rsidRDefault="00C73DF6" w:rsidP="00C966A5">
      <w:pPr>
        <w:rPr>
          <w:lang w:val="en-GB"/>
        </w:rPr>
      </w:pPr>
      <w:r w:rsidRPr="001C0C4B">
        <w:rPr>
          <w:lang w:val="en-GB"/>
        </w:rPr>
        <w:t xml:space="preserve"> Pharmacokinetic sampling schedule: (only if there is evidence of accelerated viral clearance)</w:t>
      </w:r>
    </w:p>
    <w:p w14:paraId="3360A690" w14:textId="207CCFFF"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All patients will need to be admitted for 12 hours for intense sampling. The timings are: </w:t>
      </w:r>
    </w:p>
    <w:p w14:paraId="1DE2AE85"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Pre-dose D0H0, then</w:t>
      </w:r>
    </w:p>
    <w:p w14:paraId="1C4DE462" w14:textId="77777777" w:rsidR="00C73DF6" w:rsidRPr="001C0C4B" w:rsidRDefault="00C73DF6"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1, 2, 3, 4, 6, 9, 12 and 24h</w:t>
      </w:r>
    </w:p>
    <w:p w14:paraId="733F42B0"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Note that blood will be taken on D3 and D7 for routine haematology and biochemistry. The EDTA sample will be used to measure the drug concentrations.     </w:t>
      </w:r>
    </w:p>
    <w:p w14:paraId="5CEE57E4" w14:textId="77777777" w:rsidR="00C73DF6" w:rsidRPr="001C0C4B" w:rsidRDefault="00C73DF6" w:rsidP="00C966A5">
      <w:pPr>
        <w:rPr>
          <w:lang w:val="en-GB"/>
        </w:rPr>
      </w:pPr>
      <w:r w:rsidRPr="001C0C4B">
        <w:rPr>
          <w:lang w:val="en-GB"/>
        </w:rPr>
        <w:t xml:space="preserve">Toxicity </w:t>
      </w:r>
    </w:p>
    <w:p w14:paraId="3EAEACB4"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Nitazoxanide is a safe and well-tolerated drug. Reported toxicities include:</w:t>
      </w:r>
    </w:p>
    <w:p w14:paraId="4E245E4A" w14:textId="77777777" w:rsidR="00C73DF6" w:rsidRPr="001C0C4B" w:rsidRDefault="00C73DF6" w:rsidP="00255A69">
      <w:pPr>
        <w:pStyle w:val="bullet10"/>
      </w:pPr>
      <w:r w:rsidRPr="001C0C4B">
        <w:t xml:space="preserve">Gastrointestinal disorders: diarrhoea, gastroesophageal reflux disease </w:t>
      </w:r>
    </w:p>
    <w:p w14:paraId="6442221C" w14:textId="77777777" w:rsidR="00C73DF6" w:rsidRPr="001C0C4B" w:rsidRDefault="00C73DF6" w:rsidP="00255A69">
      <w:pPr>
        <w:pStyle w:val="bullet10"/>
      </w:pPr>
      <w:r w:rsidRPr="001C0C4B">
        <w:t xml:space="preserve">Nervous System disorders: dizziness </w:t>
      </w:r>
    </w:p>
    <w:p w14:paraId="58237538" w14:textId="77777777" w:rsidR="00C73DF6" w:rsidRPr="001C0C4B" w:rsidRDefault="00C73DF6" w:rsidP="00255A69">
      <w:pPr>
        <w:pStyle w:val="bullet10"/>
      </w:pPr>
      <w:r w:rsidRPr="001C0C4B">
        <w:t xml:space="preserve">Respiratory, thoracic and mediastinal disorders: dyspnoea </w:t>
      </w:r>
    </w:p>
    <w:p w14:paraId="6354D882" w14:textId="77777777" w:rsidR="00C73DF6" w:rsidRPr="001C0C4B" w:rsidRDefault="00C73DF6" w:rsidP="00255A69">
      <w:pPr>
        <w:pStyle w:val="bullet10"/>
      </w:pPr>
      <w:r w:rsidRPr="001C0C4B">
        <w:t xml:space="preserve">Skin and subcutaneous tissue disorders: rash, urticaria </w:t>
      </w:r>
    </w:p>
    <w:p w14:paraId="4902D409" w14:textId="3A2E510E" w:rsidR="00C73DF6" w:rsidRPr="001C0C4B" w:rsidRDefault="00C73DF6" w:rsidP="00C73DF6">
      <w:pPr>
        <w:tabs>
          <w:tab w:val="left" w:pos="709"/>
        </w:tabs>
        <w:spacing w:after="120" w:line="276" w:lineRule="auto"/>
        <w:jc w:val="both"/>
        <w:rPr>
          <w:rFonts w:ascii="Calibri" w:hAnsi="Calibri" w:cs="Calibri"/>
        </w:rPr>
      </w:pPr>
      <w:r w:rsidRPr="001C0C4B">
        <w:rPr>
          <w:rFonts w:ascii="Calibri" w:hAnsi="Calibri" w:cs="Calibri"/>
        </w:rPr>
        <w:t xml:space="preserve">Risks related to nitazoxanide are very low. This is a very safe and generally well tolerated medication but adverse reactions relating to the central nervous system (headache and rare reports of dizziness), the gastrointestinal system (abdominal pain and nausea and rare reports of diarrhoea and gastro-oesophageal reflux), and genitourinary system (urine discolouration) have been described as well as post-marketing cases of dyspnoea, skin rash and urticaria. </w:t>
      </w:r>
      <w:r w:rsidRPr="001C0C4B">
        <w:rPr>
          <w:rFonts w:ascii="Calibri" w:hAnsi="Calibri" w:cs="Calibri"/>
          <w:bCs/>
        </w:rPr>
        <w:t xml:space="preserve">In one study, side effects of nitazoxanide did not differ from those of the placebo when used for the treatment of giardiasis, and does not cause side effects when used in healthy adults  </w:t>
      </w:r>
      <w:r w:rsidRPr="001C0C4B">
        <w:rPr>
          <w:rFonts w:ascii="Calibri" w:hAnsi="Calibri"/>
        </w:rPr>
        <w:t>(</w:t>
      </w:r>
      <w:r w:rsidR="007A196C" w:rsidRPr="001C0C4B">
        <w:rPr>
          <w:rFonts w:ascii="Calibri" w:hAnsi="Calibri"/>
        </w:rPr>
        <w:t>9</w:t>
      </w:r>
      <w:r w:rsidRPr="001C0C4B">
        <w:rPr>
          <w:rFonts w:ascii="Calibri" w:hAnsi="Calibri"/>
        </w:rPr>
        <w:t>).</w:t>
      </w:r>
      <w:r w:rsidRPr="001C0C4B">
        <w:rPr>
          <w:rFonts w:ascii="Calibri" w:hAnsi="Calibri" w:cs="Calibri"/>
          <w:bCs/>
        </w:rPr>
        <w:t xml:space="preserve"> This lack of significant side-effects is seen in doses up to 4g in humans. The LD50 of various animals is 10g/Kg. A study of 365 patients with AIDS receiving nitazoxanide 500-1500mg twice daily for a median duration of 62 days (1-1528 days) concluded that “</w:t>
      </w:r>
      <w:r w:rsidRPr="001C0C4B">
        <w:rPr>
          <w:rFonts w:ascii="Calibri" w:hAnsi="Calibri" w:cs="Calibri"/>
          <w:shd w:val="clear" w:color="auto" w:fill="FFFFFF"/>
        </w:rPr>
        <w:t xml:space="preserve">No safety issues were identified at doses up to 3000 mg/day or for long durations of treatment” </w:t>
      </w:r>
      <w:r w:rsidRPr="001C0C4B">
        <w:rPr>
          <w:rFonts w:ascii="Calibri" w:hAnsi="Calibri"/>
          <w:shd w:val="clear" w:color="auto" w:fill="FFFFFF"/>
        </w:rPr>
        <w:t>(</w:t>
      </w:r>
      <w:r w:rsidR="007A196C" w:rsidRPr="001C0C4B">
        <w:rPr>
          <w:rFonts w:ascii="Calibri" w:hAnsi="Calibri"/>
          <w:shd w:val="clear" w:color="auto" w:fill="FFFFFF"/>
        </w:rPr>
        <w:t>10</w:t>
      </w:r>
      <w:r w:rsidRPr="001C0C4B">
        <w:rPr>
          <w:rFonts w:ascii="Calibri" w:hAnsi="Calibri"/>
          <w:shd w:val="clear" w:color="auto" w:fill="FFFFFF"/>
        </w:rPr>
        <w:t>).</w:t>
      </w:r>
      <w:r w:rsidRPr="001C0C4B">
        <w:rPr>
          <w:rFonts w:ascii="Calibri" w:hAnsi="Calibri" w:cs="Calibri"/>
          <w:shd w:val="clear" w:color="auto" w:fill="FFFFFF"/>
        </w:rPr>
        <w:t xml:space="preserve"> </w:t>
      </w:r>
      <w:r w:rsidRPr="001C0C4B">
        <w:rPr>
          <w:rFonts w:ascii="Calibri" w:hAnsi="Calibri" w:cs="Calibri"/>
        </w:rPr>
        <w:t xml:space="preserve">These risks will be mitigated by excluding participation if people have had a previous serious adverse reaction to nitazoxanide. </w:t>
      </w:r>
    </w:p>
    <w:p w14:paraId="0C8D2AD3" w14:textId="2C45ED5D" w:rsidR="00C73DF6" w:rsidRPr="001C0C4B" w:rsidRDefault="00C73DF6" w:rsidP="00C73DF6">
      <w:pPr>
        <w:tabs>
          <w:tab w:val="left" w:pos="709"/>
        </w:tabs>
        <w:spacing w:after="120" w:line="276" w:lineRule="auto"/>
        <w:jc w:val="both"/>
        <w:rPr>
          <w:rFonts w:ascii="Calibri" w:hAnsi="Calibri" w:cs="Calibri"/>
        </w:rPr>
      </w:pPr>
      <w:r w:rsidRPr="001C0C4B">
        <w:rPr>
          <w:rFonts w:ascii="Calibri" w:hAnsi="Calibri" w:cs="Calibri"/>
        </w:rPr>
        <w:lastRenderedPageBreak/>
        <w:t>Nitazoxanide may be used after the first trimester of pregnancy with severe symptoms of cryptosporidiosis. Adverse events have not been observed in animal reproduction studies although human data are not available. It is not known whether nitazoxanide enters into breast milk, and the manufacturer suggests balancing risk of exposure to the infant and benefit to the mother. We will exclude pregnant women and women breastfeeding from this study and ask female pa</w:t>
      </w:r>
      <w:r w:rsidR="00677396" w:rsidRPr="001C0C4B">
        <w:rPr>
          <w:rFonts w:ascii="Calibri" w:hAnsi="Calibri" w:cs="Calibri"/>
        </w:rPr>
        <w:t>tient</w:t>
      </w:r>
      <w:r w:rsidRPr="001C0C4B">
        <w:rPr>
          <w:rFonts w:ascii="Calibri" w:hAnsi="Calibri" w:cs="Calibri"/>
        </w:rPr>
        <w:t>s of child-bearing age to undergo a pregnancy test and take precautions not to become pregnant (contraception). Those who do become pregnant will be followed up. However, given the lack of evidence of harmful effects and its use later in pregnancy, the risk to a foetus seems low. The mitigating factors of a pregnancy test and advising contraception will make the likelihood of pregnancy within the trial and potential risk, even lower.</w:t>
      </w:r>
    </w:p>
    <w:p w14:paraId="1EB0940E" w14:textId="77777777" w:rsidR="00C73DF6" w:rsidRPr="001C0C4B" w:rsidRDefault="00C73DF6" w:rsidP="00C966A5">
      <w:pPr>
        <w:rPr>
          <w:lang w:val="en-GB"/>
        </w:rPr>
      </w:pPr>
      <w:r w:rsidRPr="001C0C4B">
        <w:rPr>
          <w:lang w:val="en-GB"/>
        </w:rPr>
        <w:t>Contraindications and cautions</w:t>
      </w:r>
    </w:p>
    <w:p w14:paraId="772CA7C9" w14:textId="111703AE" w:rsidR="00C73DF6" w:rsidRPr="001C0C4B" w:rsidRDefault="00C73DF6" w:rsidP="00C73DF6">
      <w:pPr>
        <w:spacing w:after="120" w:line="276" w:lineRule="auto"/>
        <w:jc w:val="both"/>
        <w:rPr>
          <w:rFonts w:ascii="Calibri" w:hAnsi="Calibri" w:cs="Calibri"/>
        </w:rPr>
      </w:pPr>
      <w:r w:rsidRPr="001C0C4B">
        <w:rPr>
          <w:rFonts w:ascii="Calibri" w:hAnsi="Calibri" w:cs="Calibri"/>
        </w:rPr>
        <w:t>Known hypersensitivity. The Pharmacokinetics of nitazoxanide in patients with compromised renal or hepatic function ha</w:t>
      </w:r>
      <w:r w:rsidR="007F172D" w:rsidRPr="001C0C4B">
        <w:rPr>
          <w:rFonts w:ascii="Calibri" w:hAnsi="Calibri" w:cs="Calibri"/>
        </w:rPr>
        <w:t>ve</w:t>
      </w:r>
      <w:r w:rsidRPr="001C0C4B">
        <w:rPr>
          <w:rFonts w:ascii="Calibri" w:hAnsi="Calibri" w:cs="Calibri"/>
        </w:rPr>
        <w:t xml:space="preserve"> not been studied.</w:t>
      </w:r>
    </w:p>
    <w:p w14:paraId="072DCDE6" w14:textId="77777777" w:rsidR="00C73DF6" w:rsidRPr="001C0C4B" w:rsidRDefault="00C73DF6" w:rsidP="00C966A5">
      <w:pPr>
        <w:rPr>
          <w:lang w:val="en-GB"/>
        </w:rPr>
      </w:pPr>
      <w:r w:rsidRPr="001C0C4B">
        <w:rPr>
          <w:lang w:val="en-GB"/>
        </w:rPr>
        <w:t>Relevant Drug interactions</w:t>
      </w:r>
    </w:p>
    <w:p w14:paraId="6760D65B" w14:textId="77777777" w:rsidR="00D723B0" w:rsidRPr="001C0C4B" w:rsidRDefault="00C73DF6">
      <w:pPr>
        <w:rPr>
          <w:rFonts w:ascii="Calibri" w:hAnsi="Calibri" w:cs="Calibri"/>
        </w:rPr>
      </w:pPr>
      <w:r w:rsidRPr="001C0C4B">
        <w:rPr>
          <w:rFonts w:ascii="Calibri" w:hAnsi="Calibri" w:cs="Calibri"/>
        </w:rPr>
        <w:t>None</w:t>
      </w:r>
    </w:p>
    <w:p w14:paraId="48E4E170" w14:textId="77777777" w:rsidR="00D723B0" w:rsidRPr="001C0C4B" w:rsidRDefault="00D723B0">
      <w:pPr>
        <w:rPr>
          <w:rFonts w:ascii="Calibri" w:hAnsi="Calibri"/>
          <w:u w:val="single"/>
        </w:rPr>
      </w:pPr>
      <w:r w:rsidRPr="001C0C4B">
        <w:rPr>
          <w:rFonts w:ascii="Calibri" w:hAnsi="Calibri"/>
          <w:u w:val="single"/>
        </w:rPr>
        <w:t>References</w:t>
      </w:r>
    </w:p>
    <w:p w14:paraId="0FA95424" w14:textId="77777777" w:rsidR="00D723B0" w:rsidRPr="001C0C4B" w:rsidRDefault="00D723B0" w:rsidP="00ED5D50">
      <w:pPr>
        <w:pStyle w:val="EndNoteBibliography"/>
        <w:numPr>
          <w:ilvl w:val="0"/>
          <w:numId w:val="43"/>
        </w:numPr>
        <w:spacing w:after="0"/>
        <w:jc w:val="both"/>
        <w:rPr>
          <w:sz w:val="20"/>
        </w:rPr>
      </w:pPr>
      <w:r w:rsidRPr="001C0C4B">
        <w:rPr>
          <w:sz w:val="20"/>
        </w:rPr>
        <w:t>Rossignol JF. Nitazoxanide: a first-in-class broad-spectrum antiviral agent. Antiviral Res. 2014;110:94-103.</w:t>
      </w:r>
    </w:p>
    <w:p w14:paraId="6E0DA35F" w14:textId="77777777" w:rsidR="00D723B0" w:rsidRPr="001C0C4B" w:rsidRDefault="00D723B0" w:rsidP="00ED5D50">
      <w:pPr>
        <w:pStyle w:val="EndNoteBibliography"/>
        <w:numPr>
          <w:ilvl w:val="0"/>
          <w:numId w:val="43"/>
        </w:numPr>
        <w:spacing w:after="0"/>
        <w:jc w:val="both"/>
        <w:rPr>
          <w:sz w:val="20"/>
        </w:rPr>
      </w:pPr>
      <w:r w:rsidRPr="001C0C4B">
        <w:rPr>
          <w:sz w:val="20"/>
        </w:rPr>
        <w:t>Shi Z, Wei J, Deng X, Li S, Qiu Y, Shao D, et al. Nitazoxanide inhibits the replication of Japanese encephalitis virus in cultured cells and in a mouse model. Virol J. 2014;11:10.</w:t>
      </w:r>
    </w:p>
    <w:p w14:paraId="1C41597E" w14:textId="77777777" w:rsidR="00D723B0" w:rsidRPr="001C0C4B" w:rsidRDefault="00D723B0" w:rsidP="00ED5D50">
      <w:pPr>
        <w:pStyle w:val="EndNoteBibliography"/>
        <w:numPr>
          <w:ilvl w:val="0"/>
          <w:numId w:val="43"/>
        </w:numPr>
        <w:spacing w:after="0"/>
        <w:jc w:val="both"/>
        <w:rPr>
          <w:sz w:val="20"/>
        </w:rPr>
      </w:pPr>
      <w:r w:rsidRPr="001C0C4B">
        <w:rPr>
          <w:sz w:val="20"/>
          <w:lang w:val="de-DE"/>
        </w:rPr>
        <w:t xml:space="preserve">Petersen T, Lee YJ, Osinusi A, Amorosa VK, Wang C, Kang M, et al. </w:t>
      </w:r>
      <w:r w:rsidRPr="001C0C4B">
        <w:rPr>
          <w:sz w:val="20"/>
        </w:rPr>
        <w:t>Interferon Stimulated Gene Expression in HIV/HCV Coinfected Patients Treated with Nitazoxanide/Peginterferon-Alfa-2a and Ribavirin. AIDS Res Hum Retroviruses. 2016;32(7):660-7.</w:t>
      </w:r>
    </w:p>
    <w:p w14:paraId="1212F27F" w14:textId="77777777" w:rsidR="00D723B0" w:rsidRPr="001C0C4B" w:rsidRDefault="00D723B0" w:rsidP="00ED5D50">
      <w:pPr>
        <w:pStyle w:val="EndNoteBibliography"/>
        <w:numPr>
          <w:ilvl w:val="0"/>
          <w:numId w:val="43"/>
        </w:numPr>
        <w:spacing w:after="0"/>
        <w:jc w:val="both"/>
        <w:rPr>
          <w:sz w:val="20"/>
        </w:rPr>
      </w:pPr>
      <w:r w:rsidRPr="001C0C4B">
        <w:rPr>
          <w:sz w:val="20"/>
        </w:rPr>
        <w:t>El-Kowrany SI, El Ghaffar AEA, Shoheib ZS, Mady RF, Gamea GAM. Evaluation of nitazoxanide as a novel drug for the treatment of acute and chronic toxoplasmosis. Acta tropica. 2019;195:145-54.</w:t>
      </w:r>
    </w:p>
    <w:p w14:paraId="7E9CFC00" w14:textId="77777777" w:rsidR="00D723B0" w:rsidRPr="001C0C4B" w:rsidRDefault="00D723B0" w:rsidP="00ED5D50">
      <w:pPr>
        <w:pStyle w:val="EndNoteBibliography"/>
        <w:numPr>
          <w:ilvl w:val="0"/>
          <w:numId w:val="43"/>
        </w:numPr>
        <w:spacing w:after="0"/>
        <w:jc w:val="both"/>
        <w:rPr>
          <w:sz w:val="20"/>
        </w:rPr>
      </w:pPr>
      <w:r w:rsidRPr="001C0C4B">
        <w:rPr>
          <w:sz w:val="20"/>
        </w:rPr>
        <w:t>Haffizulla J, Hartman A, Hoppers M, Resnick H, Samudrala S, Ginocchio C, et al. Effect of nitazoxanide in adults and adolescents with acute uncomplicated influenza: a double-blind, randomised, placebo-controlled, phase 2b/3 trial. Lancet Infect Dis. 2014;14(7):609-18.</w:t>
      </w:r>
    </w:p>
    <w:p w14:paraId="677C896E" w14:textId="77777777" w:rsidR="00D723B0" w:rsidRPr="001C0C4B" w:rsidRDefault="00D723B0" w:rsidP="00ED5D50">
      <w:pPr>
        <w:pStyle w:val="EndNoteBibliography"/>
        <w:numPr>
          <w:ilvl w:val="0"/>
          <w:numId w:val="43"/>
        </w:numPr>
        <w:spacing w:after="0"/>
        <w:jc w:val="both"/>
        <w:rPr>
          <w:sz w:val="20"/>
        </w:rPr>
      </w:pPr>
      <w:r w:rsidRPr="001C0C4B">
        <w:rPr>
          <w:sz w:val="20"/>
        </w:rPr>
        <w:t>Gamino-Arroyo AE, Guerrero ML, McCarthy S, Ramirez-Venegas A, Llamosas-Gallardo B, Galindo-Fraga A, et al. Efficacy and Safety of Nitazoxanide in Addition to Standard of Care for the Treatment of Severe Acute Respiratory Illness. Clin Infect Dis. 2019;69(11):1903-11.</w:t>
      </w:r>
    </w:p>
    <w:p w14:paraId="2FB11D80" w14:textId="77777777" w:rsidR="00D723B0" w:rsidRPr="001C0C4B" w:rsidRDefault="00D723B0" w:rsidP="00ED5D50">
      <w:pPr>
        <w:pStyle w:val="EndNoteBibliography"/>
        <w:numPr>
          <w:ilvl w:val="0"/>
          <w:numId w:val="43"/>
        </w:numPr>
        <w:spacing w:after="0"/>
        <w:jc w:val="both"/>
        <w:rPr>
          <w:sz w:val="20"/>
        </w:rPr>
      </w:pPr>
      <w:r w:rsidRPr="001C0C4B">
        <w:rPr>
          <w:sz w:val="20"/>
        </w:rPr>
        <w:t>Rocco PRM, Silva PL, Cruz FF, Junior M, Tierno P, Moura MA, et al. Early use of nitazoxanide in mild Covid-19 disease: randomised, placebo-controlled trial. Eur Respir J. 2021.</w:t>
      </w:r>
      <w:r w:rsidRPr="001C0C4B">
        <w:rPr>
          <w:sz w:val="20"/>
          <w:shd w:val="clear" w:color="auto" w:fill="FFFFFF"/>
        </w:rPr>
        <w:t xml:space="preserve"> Jan 14:2003725. doi: 10.1183/13993003.03725-2020. </w:t>
      </w:r>
    </w:p>
    <w:p w14:paraId="38C5777D" w14:textId="77777777" w:rsidR="00D723B0" w:rsidRPr="001C0C4B" w:rsidRDefault="00D723B0" w:rsidP="00ED5D50">
      <w:pPr>
        <w:pStyle w:val="EndNoteBibliography"/>
        <w:numPr>
          <w:ilvl w:val="0"/>
          <w:numId w:val="43"/>
        </w:numPr>
        <w:spacing w:after="0"/>
        <w:jc w:val="both"/>
        <w:rPr>
          <w:sz w:val="20"/>
        </w:rPr>
      </w:pPr>
      <w:r w:rsidRPr="001C0C4B">
        <w:rPr>
          <w:sz w:val="20"/>
        </w:rPr>
        <w:t>Stockis A, Deroubaix X, Lins R, Jeanbaptiste B, Calderon P, Rossignol JF. Pharmacokinetics of nitazoxanide after single oral dose administration in 6 healthy volunteers. Int J Clin Pharmacol Ther. 1996;34(8):349-51.</w:t>
      </w:r>
    </w:p>
    <w:p w14:paraId="0A85D4E6" w14:textId="77777777" w:rsidR="00D723B0" w:rsidRPr="001C0C4B" w:rsidRDefault="00D723B0" w:rsidP="00ED5D50">
      <w:pPr>
        <w:pStyle w:val="EndNoteBibliography"/>
        <w:numPr>
          <w:ilvl w:val="0"/>
          <w:numId w:val="43"/>
        </w:numPr>
        <w:spacing w:after="0"/>
        <w:jc w:val="both"/>
        <w:rPr>
          <w:sz w:val="20"/>
        </w:rPr>
      </w:pPr>
      <w:r w:rsidRPr="001C0C4B">
        <w:rPr>
          <w:sz w:val="20"/>
        </w:rPr>
        <w:t>Stockis A, Allemon AM, De Bruyn S, Gengler C. Nitazoxanide pharmacokinetics and tolerability in man using single ascending oral doses. Int J Clin Pharmacol Ther. 2002;40(5):213-20.</w:t>
      </w:r>
    </w:p>
    <w:p w14:paraId="4B4530E7" w14:textId="77777777" w:rsidR="00D723B0" w:rsidRPr="001C0C4B" w:rsidRDefault="00D723B0" w:rsidP="00ED5D50">
      <w:pPr>
        <w:pStyle w:val="EndNoteBibliography"/>
        <w:numPr>
          <w:ilvl w:val="0"/>
          <w:numId w:val="43"/>
        </w:numPr>
        <w:spacing w:after="0"/>
        <w:jc w:val="both"/>
        <w:rPr>
          <w:sz w:val="20"/>
        </w:rPr>
      </w:pPr>
      <w:r w:rsidRPr="001C0C4B">
        <w:rPr>
          <w:sz w:val="20"/>
        </w:rPr>
        <w:t>Rossignol JF. Nitazoxanide in the treatment of acquired immune deficiency syndrome-related cryptosporidiosis: results of the United States compassionate use program in 365 patients. Aliment Pharmacol Ther. 2006;24(5):887-94.</w:t>
      </w:r>
    </w:p>
    <w:p w14:paraId="22E5AD7E" w14:textId="7868006A" w:rsidR="00321F8C" w:rsidRPr="001C0C4B" w:rsidRDefault="00321F8C" w:rsidP="00ED5D50">
      <w:pPr>
        <w:pStyle w:val="ListParagraph"/>
        <w:numPr>
          <w:ilvl w:val="0"/>
          <w:numId w:val="43"/>
        </w:numPr>
        <w:rPr>
          <w:rFonts w:ascii="Calibri" w:hAnsi="Calibri" w:cs="Calibri"/>
          <w:u w:val="single"/>
        </w:rPr>
      </w:pPr>
      <w:r w:rsidRPr="001C0C4B">
        <w:rPr>
          <w:rFonts w:ascii="Calibri" w:hAnsi="Calibri" w:cs="Calibri"/>
          <w:u w:val="single"/>
        </w:rPr>
        <w:br w:type="page"/>
      </w:r>
    </w:p>
    <w:p w14:paraId="193D3961" w14:textId="00F2B11B" w:rsidR="00326719" w:rsidRPr="001C0C4B" w:rsidRDefault="00C73DF6" w:rsidP="00BF2FEE">
      <w:pPr>
        <w:pStyle w:val="Heading2"/>
        <w:numPr>
          <w:ilvl w:val="1"/>
          <w:numId w:val="23"/>
        </w:numPr>
        <w:tabs>
          <w:tab w:val="left" w:pos="900"/>
        </w:tabs>
        <w:rPr>
          <w:rFonts w:ascii="Calibri" w:hAnsi="Calibri"/>
          <w:color w:val="auto"/>
          <w:u w:val="single"/>
        </w:rPr>
      </w:pPr>
      <w:bookmarkStart w:id="506" w:name="_Toc96005534"/>
      <w:bookmarkStart w:id="507" w:name="_Toc96005665"/>
      <w:bookmarkStart w:id="508" w:name="_Toc96007362"/>
      <w:bookmarkStart w:id="509" w:name="_Toc96007363"/>
      <w:bookmarkStart w:id="510" w:name="_Toc95915289"/>
      <w:bookmarkStart w:id="511" w:name="_Toc74661333"/>
      <w:bookmarkStart w:id="512" w:name="_Toc110524028"/>
      <w:bookmarkStart w:id="513" w:name="_Toc96005666"/>
      <w:bookmarkStart w:id="514" w:name="_Toc112917676"/>
      <w:bookmarkEnd w:id="506"/>
      <w:bookmarkEnd w:id="507"/>
      <w:bookmarkEnd w:id="508"/>
      <w:r w:rsidRPr="001C0C4B">
        <w:rPr>
          <w:rFonts w:ascii="Calibri" w:hAnsi="Calibri"/>
          <w:color w:val="auto"/>
          <w:u w:val="single"/>
        </w:rPr>
        <w:lastRenderedPageBreak/>
        <w:t>REGN-COV2</w:t>
      </w:r>
      <w:bookmarkEnd w:id="509"/>
      <w:bookmarkEnd w:id="510"/>
      <w:bookmarkEnd w:id="511"/>
      <w:bookmarkEnd w:id="512"/>
      <w:bookmarkEnd w:id="513"/>
      <w:bookmarkEnd w:id="514"/>
    </w:p>
    <w:p w14:paraId="697CA651" w14:textId="77777777" w:rsidR="00C73DF6" w:rsidRPr="001C0C4B" w:rsidRDefault="00C73DF6" w:rsidP="00C966A5">
      <w:pPr>
        <w:rPr>
          <w:lang w:val="en-GB"/>
        </w:rPr>
      </w:pPr>
      <w:r w:rsidRPr="001C0C4B">
        <w:rPr>
          <w:lang w:val="en-GB"/>
        </w:rPr>
        <w:t>Rationale</w:t>
      </w:r>
    </w:p>
    <w:p w14:paraId="6E054E7C" w14:textId="6D5713C2"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REGN-COV2 is an antibody cocktail of two anti-SARS-CoV-2 neutralising antibodies Casirivimab and Imdevimab, which has been shown to reduce viral load in patients with COVID-19 </w:t>
      </w:r>
      <w:r w:rsidRPr="001C0C4B">
        <w:rPr>
          <w:rFonts w:ascii="Calibri" w:hAnsi="Calibri"/>
        </w:rPr>
        <w:t>(</w:t>
      </w:r>
      <w:r w:rsidR="008B46D8" w:rsidRPr="001C0C4B">
        <w:rPr>
          <w:rFonts w:ascii="Calibri" w:hAnsi="Calibri"/>
        </w:rPr>
        <w:t>1</w:t>
      </w:r>
      <w:r w:rsidRPr="001C0C4B">
        <w:rPr>
          <w:rFonts w:ascii="Calibri" w:hAnsi="Calibri"/>
        </w:rPr>
        <w:t>).</w:t>
      </w:r>
      <w:r w:rsidRPr="001C0C4B">
        <w:rPr>
          <w:rFonts w:ascii="Calibri" w:hAnsi="Calibri" w:cs="Calibri"/>
        </w:rPr>
        <w:t xml:space="preserve"> On the 21</w:t>
      </w:r>
      <w:r w:rsidRPr="001C0C4B">
        <w:rPr>
          <w:rFonts w:ascii="Calibri" w:hAnsi="Calibri" w:cs="Calibri"/>
          <w:vertAlign w:val="superscript"/>
        </w:rPr>
        <w:t>st</w:t>
      </w:r>
      <w:r w:rsidRPr="001C0C4B">
        <w:rPr>
          <w:rFonts w:ascii="Calibri" w:hAnsi="Calibri" w:cs="Calibri"/>
        </w:rPr>
        <w:t xml:space="preserve"> of November 2020 the US Food and Drug Administration (FDA) issued an Emergency Use Authorization (EUA) in people who are older than 12 years, weigh more than 40Kg and were at high risk of progression to severe disease. The drug is currently being evaluated in the RECOVERY trial in late-stage hospitalised patients, but as with all antiviral drugs, the likely window of benefit is earlier in disease, when viral burdens are higher and before people are hospitalised, when inflammation predominates. Although REGN-COV-2 is currently expensive and requires IV administration- thereby limiting its use globally, this antibody cocktail currently has the best evidence for an antiviral effect, and will form the positive control for other interventions (i.e. interventions can be assessed in relation to the likely antiviral effect observed in this positive control arm). The hope would be that the cost, availability and feasibility of administration will improve and that this may become a more widely available intervention for COVID-19, which can also be used in LMICs. Unfortunately, the potential benefit of antibody therapy, including REGN-COV-2 is threatened by the appearance of mutant viruses, and there is now evidence of decreased binding affinity for the receptor binding domain (RBD) of Casirivimab, of the South Africa variant with the K417N and/or E484K mutations. As such the study will additionally allow monitoring of the effect of this antibody cocktail on viral clearance over time and with the appearance of different viral mutants, informing its on-going utility.</w:t>
      </w:r>
    </w:p>
    <w:p w14:paraId="5CA0DBD0" w14:textId="77777777" w:rsidR="00C73DF6" w:rsidRPr="001C0C4B" w:rsidRDefault="00C73DF6" w:rsidP="00C966A5">
      <w:pPr>
        <w:rPr>
          <w:lang w:val="en-GB"/>
        </w:rPr>
      </w:pPr>
      <w:r w:rsidRPr="001C0C4B">
        <w:rPr>
          <w:lang w:val="en-GB"/>
        </w:rPr>
        <w:t>Composition &amp; dose</w:t>
      </w:r>
    </w:p>
    <w:p w14:paraId="221DA2A4" w14:textId="0BB0A3AE"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The dosage in adults and in pediatric patients (12 years of age and older weighing at least 40 kg) is </w:t>
      </w:r>
      <w:r w:rsidR="002E78F2" w:rsidRPr="001C0C4B">
        <w:rPr>
          <w:rFonts w:ascii="Calibri" w:hAnsi="Calibri" w:cs="Calibri"/>
        </w:rPr>
        <w:t>6</w:t>
      </w:r>
      <w:r w:rsidRPr="001C0C4B">
        <w:rPr>
          <w:rFonts w:ascii="Calibri" w:hAnsi="Calibri" w:cs="Calibri"/>
        </w:rPr>
        <w:t xml:space="preserve">00 mg of casirivimab and </w:t>
      </w:r>
      <w:r w:rsidR="002E78F2" w:rsidRPr="001C0C4B">
        <w:rPr>
          <w:rFonts w:ascii="Calibri" w:hAnsi="Calibri" w:cs="Calibri"/>
        </w:rPr>
        <w:t>6</w:t>
      </w:r>
      <w:r w:rsidRPr="001C0C4B">
        <w:rPr>
          <w:rFonts w:ascii="Calibri" w:hAnsi="Calibri" w:cs="Calibri"/>
        </w:rPr>
        <w:t>00 mg of imdevimab administered together as a single intravenous infusion over at least 60 minutes. Casirivimab and imdevimab solutions must be diluted prior to administration. Casirivimab and imdevimab should be given together as soon as possible after positive results of direct SARS-CoV-2 viral testing and within 10 days of symptom onset.</w:t>
      </w:r>
    </w:p>
    <w:p w14:paraId="65F52C84" w14:textId="6E6E462C" w:rsidR="00C73DF6" w:rsidRPr="001C0C4B" w:rsidRDefault="00C73DF6" w:rsidP="00C73DF6">
      <w:pPr>
        <w:spacing w:after="120" w:line="276" w:lineRule="auto"/>
        <w:rPr>
          <w:rFonts w:ascii="Calibri" w:hAnsi="Calibri" w:cs="Calibri"/>
          <w:b/>
          <w:bCs/>
        </w:rPr>
      </w:pPr>
      <w:r w:rsidRPr="001C0C4B">
        <w:rPr>
          <w:rFonts w:ascii="Calibri" w:hAnsi="Calibri" w:cs="Calibri"/>
        </w:rPr>
        <w:t xml:space="preserve">The dose in this trial is: </w:t>
      </w:r>
      <w:r w:rsidR="00C237A1" w:rsidRPr="001C0C4B">
        <w:rPr>
          <w:rFonts w:ascii="Calibri" w:hAnsi="Calibri" w:cs="Calibri"/>
          <w:b/>
          <w:bCs/>
        </w:rPr>
        <w:t>6</w:t>
      </w:r>
      <w:r w:rsidRPr="001C0C4B">
        <w:rPr>
          <w:rFonts w:ascii="Calibri" w:hAnsi="Calibri" w:cs="Calibri"/>
          <w:b/>
          <w:bCs/>
        </w:rPr>
        <w:t xml:space="preserve">00mg casirivimab/ </w:t>
      </w:r>
      <w:r w:rsidR="00C237A1" w:rsidRPr="001C0C4B">
        <w:rPr>
          <w:rFonts w:ascii="Calibri" w:hAnsi="Calibri" w:cs="Calibri"/>
          <w:b/>
          <w:bCs/>
        </w:rPr>
        <w:t>6</w:t>
      </w:r>
      <w:r w:rsidRPr="001C0C4B">
        <w:rPr>
          <w:rFonts w:ascii="Calibri" w:hAnsi="Calibri" w:cs="Calibri"/>
          <w:b/>
          <w:bCs/>
        </w:rPr>
        <w:t>00mg imdevimab given once on D0</w:t>
      </w:r>
    </w:p>
    <w:p w14:paraId="6754C564" w14:textId="790607D3" w:rsidR="00FC58FA" w:rsidRPr="001C0C4B" w:rsidRDefault="00FC58FA" w:rsidP="00093265">
      <w:pPr>
        <w:spacing w:after="120" w:line="276" w:lineRule="auto"/>
        <w:jc w:val="both"/>
        <w:rPr>
          <w:rFonts w:ascii="Calibri" w:hAnsi="Calibri" w:cs="Calibri"/>
        </w:rPr>
      </w:pPr>
      <w:r w:rsidRPr="001C0C4B">
        <w:rPr>
          <w:rFonts w:ascii="Calibri" w:hAnsi="Calibri" w:cs="Calibri"/>
        </w:rPr>
        <w:t>REGN-COV2 will either be obtained by the sponsor or the local teams</w:t>
      </w:r>
      <w:r w:rsidR="00EE098B" w:rsidRPr="001C0C4B">
        <w:rPr>
          <w:rFonts w:ascii="Calibri" w:hAnsi="Calibri" w:cs="Calibri"/>
        </w:rPr>
        <w:t xml:space="preserve"> from</w:t>
      </w:r>
      <w:r w:rsidRPr="001C0C4B">
        <w:rPr>
          <w:rFonts w:ascii="Calibri" w:hAnsi="Calibri" w:cs="Calibri"/>
        </w:rPr>
        <w:t xml:space="preserve"> the manufacturer. </w:t>
      </w:r>
    </w:p>
    <w:p w14:paraId="343A2023" w14:textId="5D0570A5" w:rsidR="00C73DF6" w:rsidRPr="001C0C4B" w:rsidRDefault="00C73DF6" w:rsidP="00E31D55">
      <w:pPr>
        <w:spacing w:after="120" w:line="276" w:lineRule="auto"/>
        <w:rPr>
          <w:rFonts w:ascii="Calibri" w:hAnsi="Calibri" w:cs="Calibri"/>
        </w:rPr>
      </w:pPr>
      <w:r w:rsidRPr="001C0C4B">
        <w:rPr>
          <w:rFonts w:ascii="Calibri" w:hAnsi="Calibri" w:cs="Calibri"/>
        </w:rPr>
        <w:t xml:space="preserve">For preparation and administration instructions please see: </w:t>
      </w:r>
      <w:hyperlink r:id="rId52" w:history="1">
        <w:r w:rsidRPr="001C0C4B">
          <w:rPr>
            <w:rStyle w:val="Hyperlink"/>
            <w:rFonts w:ascii="Calibri" w:hAnsi="Calibri" w:cs="Calibri"/>
            <w:color w:val="auto"/>
          </w:rPr>
          <w:t>https://www.fda.gov/media/143892/download</w:t>
        </w:r>
      </w:hyperlink>
      <w:r w:rsidRPr="001C0C4B">
        <w:rPr>
          <w:rFonts w:ascii="Calibri" w:hAnsi="Calibri" w:cs="Calibri"/>
        </w:rPr>
        <w:t xml:space="preserve"> </w:t>
      </w:r>
    </w:p>
    <w:p w14:paraId="34EFBFE6" w14:textId="77777777" w:rsidR="00C73DF6" w:rsidRPr="001C0C4B" w:rsidRDefault="00C73DF6" w:rsidP="00C966A5">
      <w:pPr>
        <w:rPr>
          <w:lang w:val="en-GB"/>
        </w:rPr>
      </w:pPr>
      <w:r w:rsidRPr="001C0C4B">
        <w:rPr>
          <w:lang w:val="en-GB"/>
        </w:rPr>
        <w:t>Pharmacokinetic characteristics</w:t>
      </w:r>
    </w:p>
    <w:p w14:paraId="6CA1A495"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Pharmacokinetic profiles of casirivimab and imdevimab are expected to be consistent with the profile of other IgG1 mAbs. </w:t>
      </w:r>
    </w:p>
    <w:p w14:paraId="1033D3A7"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Specific Populations- the effect of different covariates (e.g., age, sex, race, body weight, disease severity, hepatic impairment) on the pharmacokinetics of casirivimab and imdevimab is unknown. Renal impairment is not expected to impact the pharmacokinetics of casirivimab and imdevimab, since mAbs with molecular weight &gt;69 kDa are known not to undergo renal elimination. </w:t>
      </w:r>
    </w:p>
    <w:p w14:paraId="2F4B7A52"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Drug-Drug Interactions- casirivimab and imdevimab are mAbs which are not renally excreted or metabolized by cytochrome P450 enzymes; therefore, interactions with concomitant medications that are renally excreted or that are substrates, inducers, or inhibitors of cytochrome P450 enzymes are unlikely </w:t>
      </w:r>
    </w:p>
    <w:p w14:paraId="7DA06EA8" w14:textId="77777777" w:rsidR="00C73DF6" w:rsidRPr="001C0C4B" w:rsidRDefault="00C73DF6" w:rsidP="00C966A5">
      <w:pPr>
        <w:rPr>
          <w:lang w:val="en-GB"/>
        </w:rPr>
      </w:pPr>
      <w:r w:rsidRPr="001C0C4B">
        <w:rPr>
          <w:lang w:val="en-GB"/>
        </w:rPr>
        <w:t xml:space="preserve">Pharmacokinetic schedule: only if there is evidence of accelerated viral clearance </w:t>
      </w:r>
    </w:p>
    <w:p w14:paraId="0EC21F31" w14:textId="77777777" w:rsidR="00C73DF6" w:rsidRPr="001C0C4B" w:rsidRDefault="00C73DF6" w:rsidP="00C73DF6">
      <w:pPr>
        <w:rPr>
          <w:rFonts w:ascii="Calibri" w:hAnsi="Calibri" w:cs="Calibri"/>
        </w:rPr>
      </w:pPr>
      <w:r w:rsidRPr="001C0C4B">
        <w:rPr>
          <w:rFonts w:ascii="Calibri" w:hAnsi="Calibri" w:cs="Calibri"/>
        </w:rPr>
        <w:lastRenderedPageBreak/>
        <w:t>As a type B intervention (positive control), intensive pharmacokinetic sampling will not be conducted on those receiving REGN-COV2.</w:t>
      </w:r>
    </w:p>
    <w:p w14:paraId="73320CC1" w14:textId="77777777" w:rsidR="00C73DF6" w:rsidRPr="001C0C4B" w:rsidRDefault="00C73DF6" w:rsidP="00C966A5">
      <w:pPr>
        <w:rPr>
          <w:lang w:val="en-GB"/>
        </w:rPr>
      </w:pPr>
      <w:r w:rsidRPr="001C0C4B">
        <w:rPr>
          <w:lang w:val="en-GB"/>
        </w:rPr>
        <w:t xml:space="preserve">Toxicity </w:t>
      </w:r>
    </w:p>
    <w:p w14:paraId="62204AB6" w14:textId="77777777" w:rsidR="00C73DF6" w:rsidRPr="001C0C4B" w:rsidRDefault="00C73DF6" w:rsidP="00C73DF6">
      <w:pPr>
        <w:tabs>
          <w:tab w:val="left" w:pos="709"/>
        </w:tabs>
        <w:spacing w:after="120" w:line="276" w:lineRule="auto"/>
        <w:jc w:val="both"/>
        <w:rPr>
          <w:rFonts w:ascii="Calibri" w:eastAsia="Calibri" w:hAnsi="Calibri" w:cs="Calibri"/>
        </w:rPr>
      </w:pPr>
      <w:r w:rsidRPr="001C0C4B">
        <w:rPr>
          <w:rFonts w:ascii="Calibri" w:hAnsi="Calibri" w:cs="Calibri"/>
        </w:rPr>
        <w:t xml:space="preserve">There is a potential for serious hypersensitivity reaction, including anaphylaxis, with administration of casirivimab and imdevimab. If signs or symptoms of a clinically significant hypersensitivity reaction or anaphylaxis occur, immediately discontinue administration and initiate appropriate medications and/or supportive therapy. </w:t>
      </w:r>
      <w:r w:rsidRPr="001C0C4B">
        <w:rPr>
          <w:rFonts w:ascii="Calibri" w:eastAsia="Calibri" w:hAnsi="Calibri" w:cs="Calibri"/>
        </w:rPr>
        <w:t>Infusion-related reactions have been observed with administration of casirivimab and imdevimab. Signs and symptoms of infusion-related reactions may include: fever, chills, nausea, headache, bronchospasm, hypotension, angioedema, throat irritation, rash including urticaria, pruritus, myalgia, dizziness. If an infusion-related reaction occurs, consider slowing or stopping the infusion and administer appropriate medications and/or supportive care.</w:t>
      </w:r>
    </w:p>
    <w:p w14:paraId="0BDF190A" w14:textId="77777777" w:rsidR="00C73DF6" w:rsidRPr="001C0C4B" w:rsidRDefault="00C73DF6" w:rsidP="00C966A5">
      <w:pPr>
        <w:rPr>
          <w:lang w:val="en-GB"/>
        </w:rPr>
      </w:pPr>
      <w:r w:rsidRPr="001C0C4B">
        <w:rPr>
          <w:lang w:val="en-GB"/>
        </w:rPr>
        <w:t>Contraindications and Cautions</w:t>
      </w:r>
    </w:p>
    <w:p w14:paraId="08D03DD9" w14:textId="77777777" w:rsidR="00C73DF6" w:rsidRPr="001C0C4B" w:rsidRDefault="00C73DF6" w:rsidP="00C73DF6">
      <w:pPr>
        <w:spacing w:after="120" w:line="276" w:lineRule="auto"/>
        <w:jc w:val="both"/>
        <w:rPr>
          <w:rFonts w:ascii="Calibri" w:eastAsia="Calibri" w:hAnsi="Calibri" w:cs="Calibri"/>
        </w:rPr>
      </w:pPr>
      <w:r w:rsidRPr="001C0C4B">
        <w:rPr>
          <w:rFonts w:ascii="Calibri" w:eastAsia="Calibri" w:hAnsi="Calibri" w:cs="Calibri"/>
        </w:rPr>
        <w:t>There are no contraindications.</w:t>
      </w:r>
    </w:p>
    <w:p w14:paraId="686382A5" w14:textId="15C29CAA" w:rsidR="00360271" w:rsidRPr="001C0C4B" w:rsidRDefault="00360271">
      <w:pPr>
        <w:rPr>
          <w:rFonts w:ascii="Calibri" w:hAnsi="Calibri"/>
          <w:u w:val="single"/>
        </w:rPr>
      </w:pPr>
      <w:r w:rsidRPr="001C0C4B">
        <w:rPr>
          <w:rFonts w:ascii="Calibri" w:hAnsi="Calibri"/>
          <w:u w:val="single"/>
        </w:rPr>
        <w:t>Reference</w:t>
      </w:r>
    </w:p>
    <w:p w14:paraId="4C97EE26" w14:textId="485CBDC4" w:rsidR="00360271" w:rsidRPr="001C0C4B" w:rsidRDefault="00360271">
      <w:pPr>
        <w:pStyle w:val="EndNoteBibliography"/>
        <w:numPr>
          <w:ilvl w:val="0"/>
          <w:numId w:val="50"/>
        </w:numPr>
        <w:spacing w:after="0"/>
        <w:jc w:val="both"/>
        <w:rPr>
          <w:sz w:val="20"/>
        </w:rPr>
      </w:pPr>
      <w:r w:rsidRPr="001C0C4B">
        <w:rPr>
          <w:sz w:val="20"/>
        </w:rPr>
        <w:t>Weinreich DM, Sivapalasingam S, Norton T, Ali S, Gao H, Bhore R, et al. REGN-COV2, a Neutralizing Antibody Cocktail, in Outpatients with Covid-19. New England Journal of Medicine. 2020;384(3):238-51.</w:t>
      </w:r>
    </w:p>
    <w:p w14:paraId="28E8DC33" w14:textId="4B6BF40E" w:rsidR="00326719" w:rsidRPr="001C0C4B" w:rsidRDefault="00326719">
      <w:pPr>
        <w:rPr>
          <w:rFonts w:ascii="Calibri" w:hAnsi="Calibri" w:cs="Calibri"/>
          <w:noProof/>
          <w:sz w:val="20"/>
          <w:szCs w:val="20"/>
        </w:rPr>
      </w:pPr>
      <w:r w:rsidRPr="001C0C4B">
        <w:rPr>
          <w:noProof/>
          <w:sz w:val="20"/>
          <w:szCs w:val="20"/>
        </w:rPr>
        <w:br w:type="page"/>
      </w:r>
    </w:p>
    <w:p w14:paraId="077E9C66" w14:textId="77777777" w:rsidR="00326719" w:rsidRPr="001C0C4B" w:rsidRDefault="00326719" w:rsidP="00326719">
      <w:pPr>
        <w:pStyle w:val="EndNoteBibliography"/>
        <w:spacing w:after="0"/>
        <w:jc w:val="both"/>
        <w:rPr>
          <w:noProof/>
          <w:sz w:val="20"/>
          <w:szCs w:val="20"/>
        </w:rPr>
      </w:pPr>
    </w:p>
    <w:p w14:paraId="7C5D7D4F" w14:textId="77DEB5F6" w:rsidR="00326719" w:rsidRPr="001C0C4B" w:rsidRDefault="00326719" w:rsidP="00BF2FEE">
      <w:pPr>
        <w:pStyle w:val="Heading2"/>
        <w:numPr>
          <w:ilvl w:val="1"/>
          <w:numId w:val="53"/>
        </w:numPr>
        <w:tabs>
          <w:tab w:val="left" w:pos="1080"/>
        </w:tabs>
        <w:rPr>
          <w:rFonts w:ascii="Calibri" w:hAnsi="Calibri"/>
          <w:color w:val="auto"/>
          <w:u w:val="single"/>
        </w:rPr>
      </w:pPr>
      <w:bookmarkStart w:id="515" w:name="_Toc96007364"/>
      <w:bookmarkStart w:id="516" w:name="_Toc95915290"/>
      <w:bookmarkStart w:id="517" w:name="_Toc96515793"/>
      <w:bookmarkStart w:id="518" w:name="_Toc74661334"/>
      <w:bookmarkStart w:id="519" w:name="_Toc110524029"/>
      <w:bookmarkStart w:id="520" w:name="_Toc96005667"/>
      <w:bookmarkStart w:id="521" w:name="_Toc112917677"/>
      <w:r w:rsidRPr="001C0C4B">
        <w:rPr>
          <w:rFonts w:ascii="Calibri" w:hAnsi="Calibri"/>
          <w:color w:val="auto"/>
          <w:u w:val="single"/>
        </w:rPr>
        <w:t>Nebulised Unfractionated Heparin (UFH)</w:t>
      </w:r>
      <w:bookmarkEnd w:id="515"/>
      <w:bookmarkEnd w:id="516"/>
      <w:bookmarkEnd w:id="517"/>
      <w:bookmarkEnd w:id="518"/>
      <w:bookmarkEnd w:id="519"/>
      <w:bookmarkEnd w:id="520"/>
      <w:bookmarkEnd w:id="521"/>
    </w:p>
    <w:p w14:paraId="35D1985E" w14:textId="77777777" w:rsidR="00C73DF6" w:rsidRPr="001C0C4B" w:rsidRDefault="00C73DF6" w:rsidP="00C966A5">
      <w:pPr>
        <w:rPr>
          <w:lang w:val="en-GB"/>
        </w:rPr>
      </w:pPr>
      <w:r w:rsidRPr="001C0C4B">
        <w:rPr>
          <w:lang w:val="en-GB"/>
        </w:rPr>
        <w:t>Rationale</w:t>
      </w:r>
    </w:p>
    <w:p w14:paraId="5B7178BE" w14:textId="494F81AD" w:rsidR="00C73DF6" w:rsidRPr="00093356" w:rsidRDefault="00C73DF6" w:rsidP="00E31D55">
      <w:pPr>
        <w:spacing w:after="120" w:line="276" w:lineRule="auto"/>
        <w:jc w:val="both"/>
        <w:rPr>
          <w:rFonts w:ascii="Calibri" w:hAnsi="Calibri" w:cs="Cordia New"/>
          <w:szCs w:val="28"/>
          <w:cs/>
          <w:lang w:bidi="th-TH"/>
        </w:rPr>
      </w:pPr>
      <w:r w:rsidRPr="001C0C4B">
        <w:rPr>
          <w:rFonts w:ascii="Calibri" w:hAnsi="Calibri" w:cs="Calibri"/>
        </w:rPr>
        <w:t xml:space="preserve">Nebulised UFH has demonstrated antiviral, anti-inflammatory, anticoagulant and mucolytic effects and is being trialled in various phases of COVID-19. In this trial, we aim to primarily establish the antiviral effect of this drug </w:t>
      </w:r>
      <w:r w:rsidRPr="001C0C4B">
        <w:rPr>
          <w:rFonts w:ascii="Calibri" w:hAnsi="Calibri" w:cs="Calibri"/>
          <w:i/>
          <w:iCs/>
        </w:rPr>
        <w:t>in vivo</w:t>
      </w:r>
      <w:r w:rsidRPr="001C0C4B">
        <w:rPr>
          <w:rFonts w:ascii="Calibri" w:hAnsi="Calibri" w:cs="Calibri"/>
        </w:rPr>
        <w:t>, although other effects of this drug may also be clinically relevant in COVID-19. In laboratory experiments, UFH blocked the binding and infectivity of SARS-CoV-2 to human bronchial epithelial cells and in a Vero E6 cell line, inhibition of SARS-CoV-2 infection occurred at therapeutically relevant concentrations. Use of UFH via the nebulisation allows for higher concentrations to be delivered to infected tissues, without concerns re: systemic effects of anticoagulation. UFH is a cheap and widely available drug which can be given nebulised in the community. If shown to be effective, this treatment may be studied in phase 3 studies to determine the effect on clinical endpoints, and affordable and widely available nebulising systems can be developed</w:t>
      </w:r>
      <w:r w:rsidR="005C51BE">
        <w:rPr>
          <w:rFonts w:ascii="Calibri" w:hAnsi="Calibri" w:cs="Calibri"/>
        </w:rPr>
        <w:t xml:space="preserve"> </w:t>
      </w:r>
      <w:r w:rsidR="00657E5D">
        <w:rPr>
          <w:rFonts w:ascii="Calibri" w:hAnsi="Calibri" w:cs="Calibri"/>
        </w:rPr>
        <w:t>(1)</w:t>
      </w:r>
      <w:r w:rsidRPr="001C0C4B">
        <w:rPr>
          <w:rFonts w:ascii="Calibri" w:hAnsi="Calibri" w:cs="Calibri"/>
        </w:rPr>
        <w:t>.</w:t>
      </w:r>
    </w:p>
    <w:p w14:paraId="2B31FDD2" w14:textId="77777777" w:rsidR="00C73DF6" w:rsidRPr="001C0C4B" w:rsidRDefault="00C73DF6" w:rsidP="00C966A5">
      <w:pPr>
        <w:rPr>
          <w:lang w:val="en-GB"/>
        </w:rPr>
      </w:pPr>
      <w:r w:rsidRPr="001C0C4B">
        <w:rPr>
          <w:lang w:val="en-GB"/>
        </w:rPr>
        <w:t>Composition &amp; dose</w:t>
      </w:r>
    </w:p>
    <w:p w14:paraId="37E3313D" w14:textId="168D49D7" w:rsidR="00C73DF6" w:rsidRPr="001C0C4B" w:rsidRDefault="00C73DF6" w:rsidP="00C73DF6">
      <w:pPr>
        <w:spacing w:after="120" w:line="276" w:lineRule="auto"/>
        <w:jc w:val="both"/>
        <w:rPr>
          <w:rFonts w:ascii="Calibri" w:hAnsi="Calibri" w:cs="Calibri"/>
        </w:rPr>
      </w:pPr>
      <w:r w:rsidRPr="001C0C4B">
        <w:rPr>
          <w:rFonts w:ascii="Calibri" w:hAnsi="Calibri" w:cs="Calibri"/>
        </w:rPr>
        <w:t>25000 IU UFH every 6 hours using a vibrating mesh nebuliser for 7 days.</w:t>
      </w:r>
      <w:r w:rsidR="00FC58FA" w:rsidRPr="001C0C4B">
        <w:rPr>
          <w:rFonts w:ascii="Calibri" w:hAnsi="Calibri" w:cs="Calibri"/>
        </w:rPr>
        <w:t xml:space="preserve"> </w:t>
      </w:r>
    </w:p>
    <w:p w14:paraId="21E4C3BC" w14:textId="77777777" w:rsidR="00C73DF6" w:rsidRPr="001C0C4B" w:rsidRDefault="00C73DF6" w:rsidP="00C966A5">
      <w:pPr>
        <w:rPr>
          <w:lang w:val="en-GB"/>
        </w:rPr>
      </w:pPr>
      <w:r w:rsidRPr="001C0C4B">
        <w:rPr>
          <w:lang w:val="en-GB"/>
        </w:rPr>
        <w:t>Pharmacokinetic characteristics</w:t>
      </w:r>
    </w:p>
    <w:p w14:paraId="6035BD37" w14:textId="284FC5D7" w:rsidR="00C73DF6" w:rsidRPr="001C0C4B" w:rsidRDefault="00C73DF6" w:rsidP="00C73DF6">
      <w:pPr>
        <w:spacing w:after="120" w:line="276" w:lineRule="auto"/>
        <w:jc w:val="both"/>
        <w:rPr>
          <w:rFonts w:ascii="Calibri" w:hAnsi="Calibri" w:cs="Calibri"/>
        </w:rPr>
      </w:pPr>
      <w:r w:rsidRPr="001C0C4B">
        <w:rPr>
          <w:rFonts w:ascii="Calibri" w:hAnsi="Calibri" w:cs="Calibri"/>
        </w:rPr>
        <w:t>UFH is rapidly taken up by respiratory endothelium and clinically significant systemic effects are not expected.</w:t>
      </w:r>
      <w:r w:rsidR="001F5271" w:rsidRPr="001C0C4B">
        <w:rPr>
          <w:rFonts w:ascii="Calibri" w:hAnsi="Calibri" w:cs="Calibri"/>
        </w:rPr>
        <w:t xml:space="preserve"> </w:t>
      </w:r>
    </w:p>
    <w:p w14:paraId="08A8D07C" w14:textId="77777777" w:rsidR="00C73DF6" w:rsidRPr="001C0C4B" w:rsidRDefault="00C73DF6" w:rsidP="00C966A5">
      <w:pPr>
        <w:rPr>
          <w:lang w:val="en-GB"/>
        </w:rPr>
      </w:pPr>
      <w:r w:rsidRPr="001C0C4B">
        <w:rPr>
          <w:lang w:val="en-GB"/>
        </w:rPr>
        <w:t xml:space="preserve">Pharmacokinetic schedule: only if there is evidence of accelerated viral clearance </w:t>
      </w:r>
    </w:p>
    <w:p w14:paraId="4F52CEEE" w14:textId="4CEAA5AF" w:rsidR="00C73DF6" w:rsidRPr="001C0C4B" w:rsidRDefault="00C73DF6" w:rsidP="00C73DF6">
      <w:pPr>
        <w:spacing w:after="120" w:line="276" w:lineRule="auto"/>
        <w:rPr>
          <w:rFonts w:ascii="Calibri" w:hAnsi="Calibri" w:cs="Calibri"/>
        </w:rPr>
      </w:pPr>
      <w:r w:rsidRPr="001C0C4B">
        <w:rPr>
          <w:rFonts w:ascii="Calibri" w:hAnsi="Calibri" w:cs="Calibri"/>
        </w:rPr>
        <w:t xml:space="preserve">As we are using the nebulised route of administration, high levels of drug will be expected in the oropharynx and respiratory tract, but negligible levels in the systemic circulation. An intensive </w:t>
      </w:r>
      <w:r w:rsidR="005907D4" w:rsidRPr="001C0C4B">
        <w:rPr>
          <w:rFonts w:ascii="Calibri" w:hAnsi="Calibri" w:cs="Calibri"/>
        </w:rPr>
        <w:t xml:space="preserve">pharmacokinetic </w:t>
      </w:r>
      <w:r w:rsidRPr="001C0C4B">
        <w:rPr>
          <w:rFonts w:ascii="Calibri" w:hAnsi="Calibri" w:cs="Calibri"/>
        </w:rPr>
        <w:t>schedule will not be conducted.</w:t>
      </w:r>
    </w:p>
    <w:p w14:paraId="36D96EE8" w14:textId="77777777" w:rsidR="00C73DF6" w:rsidRPr="001C0C4B" w:rsidRDefault="00C73DF6" w:rsidP="00C966A5">
      <w:pPr>
        <w:rPr>
          <w:lang w:val="en-GB"/>
        </w:rPr>
      </w:pPr>
      <w:r w:rsidRPr="001C0C4B">
        <w:rPr>
          <w:lang w:val="en-GB"/>
        </w:rPr>
        <w:t xml:space="preserve">Toxicity </w:t>
      </w:r>
    </w:p>
    <w:p w14:paraId="2BE7AC1D" w14:textId="77777777" w:rsidR="00E92598" w:rsidRPr="001C0C4B" w:rsidRDefault="00C73DF6" w:rsidP="00E92598">
      <w:pPr>
        <w:spacing w:after="120" w:line="276" w:lineRule="auto"/>
        <w:jc w:val="both"/>
        <w:rPr>
          <w:rFonts w:ascii="Calibri" w:hAnsi="Calibri" w:cs="Calibri"/>
        </w:rPr>
      </w:pPr>
      <w:r w:rsidRPr="001C0C4B">
        <w:rPr>
          <w:rFonts w:ascii="Calibri" w:hAnsi="Calibri" w:cs="Calibri"/>
        </w:rPr>
        <w:t>Toxicity relating to use of UFH normally relates to systemic effects of the drug on coagulation (through prolongation of the aPTT and increased likelihood of bleeding) and reactions to the drug.</w:t>
      </w:r>
      <w:r w:rsidR="00E92598" w:rsidRPr="001C0C4B">
        <w:rPr>
          <w:rFonts w:ascii="Calibri" w:hAnsi="Calibri" w:cs="Calibri"/>
        </w:rPr>
        <w:t xml:space="preserve"> At the proposed dose used in this study, nebulised UFH only modestly increases peak aPTT in patients who concomitantly receive IV or SC UFH and has no effect on the peak APTT in patients who receive IV or SC LMWH.</w:t>
      </w:r>
    </w:p>
    <w:p w14:paraId="4B694EDD" w14:textId="409DFDF3" w:rsidR="00C73DF6" w:rsidRPr="001C0C4B" w:rsidRDefault="00C73DF6" w:rsidP="00C966A5">
      <w:pPr>
        <w:rPr>
          <w:lang w:val="en-GB"/>
        </w:rPr>
      </w:pPr>
      <w:r w:rsidRPr="001C0C4B">
        <w:rPr>
          <w:lang w:val="en-GB"/>
        </w:rPr>
        <w:t>Contraindications</w:t>
      </w:r>
      <w:r w:rsidR="00326719" w:rsidRPr="001C0C4B">
        <w:rPr>
          <w:lang w:val="en-GB"/>
        </w:rPr>
        <w:t xml:space="preserve"> (1)</w:t>
      </w:r>
    </w:p>
    <w:p w14:paraId="22035D09" w14:textId="77777777" w:rsidR="00C73DF6" w:rsidRPr="001C0C4B" w:rsidRDefault="00C73DF6" w:rsidP="00E142CD">
      <w:pPr>
        <w:pStyle w:val="ListParagraph"/>
        <w:numPr>
          <w:ilvl w:val="0"/>
          <w:numId w:val="20"/>
        </w:numPr>
        <w:spacing w:after="120" w:line="276" w:lineRule="auto"/>
        <w:ind w:left="357" w:hanging="357"/>
        <w:rPr>
          <w:rFonts w:ascii="Calibri" w:hAnsi="Calibri" w:cs="Calibri"/>
        </w:rPr>
      </w:pPr>
      <w:r w:rsidRPr="001C0C4B">
        <w:rPr>
          <w:rFonts w:ascii="Calibri" w:hAnsi="Calibri" w:cs="Calibri"/>
        </w:rPr>
        <w:t>Heparin allergy or Heparin-induced thrombocytopaenia</w:t>
      </w:r>
    </w:p>
    <w:p w14:paraId="7614F98F" w14:textId="77777777" w:rsidR="00C73DF6" w:rsidRPr="001C0C4B" w:rsidRDefault="00C73DF6" w:rsidP="00E142CD">
      <w:pPr>
        <w:pStyle w:val="ListParagraph"/>
        <w:numPr>
          <w:ilvl w:val="0"/>
          <w:numId w:val="20"/>
        </w:numPr>
        <w:spacing w:after="120" w:line="276" w:lineRule="auto"/>
        <w:ind w:left="357" w:hanging="357"/>
        <w:rPr>
          <w:rFonts w:ascii="Calibri" w:hAnsi="Calibri" w:cs="Calibri"/>
        </w:rPr>
      </w:pPr>
      <w:r w:rsidRPr="001C0C4B">
        <w:rPr>
          <w:rFonts w:ascii="Calibri" w:hAnsi="Calibri" w:cs="Calibri"/>
        </w:rPr>
        <w:t>Known prolonged APTT &gt; 120ms or bleeding diathesis</w:t>
      </w:r>
    </w:p>
    <w:p w14:paraId="1DB6D43E" w14:textId="77777777" w:rsidR="00C73DF6" w:rsidRPr="001C0C4B" w:rsidRDefault="00C73DF6" w:rsidP="00E142CD">
      <w:pPr>
        <w:pStyle w:val="ListParagraph"/>
        <w:numPr>
          <w:ilvl w:val="0"/>
          <w:numId w:val="20"/>
        </w:numPr>
        <w:spacing w:after="120" w:line="276" w:lineRule="auto"/>
        <w:ind w:left="357" w:hanging="357"/>
        <w:rPr>
          <w:rFonts w:ascii="Calibri" w:hAnsi="Calibri" w:cs="Calibri"/>
        </w:rPr>
      </w:pPr>
      <w:r w:rsidRPr="001C0C4B">
        <w:rPr>
          <w:rFonts w:ascii="Calibri" w:hAnsi="Calibri" w:cs="Calibri"/>
        </w:rPr>
        <w:t>Pulmonary bleeding or uncontrolled bleeding</w:t>
      </w:r>
    </w:p>
    <w:p w14:paraId="09F91A94" w14:textId="77777777" w:rsidR="00C73DF6" w:rsidRPr="001C0C4B" w:rsidRDefault="00C73DF6" w:rsidP="00E142CD">
      <w:pPr>
        <w:pStyle w:val="ListParagraph"/>
        <w:numPr>
          <w:ilvl w:val="0"/>
          <w:numId w:val="20"/>
        </w:numPr>
        <w:spacing w:after="120" w:line="276" w:lineRule="auto"/>
        <w:ind w:left="357" w:hanging="357"/>
        <w:rPr>
          <w:rFonts w:ascii="Calibri" w:hAnsi="Calibri" w:cs="Calibri"/>
        </w:rPr>
      </w:pPr>
      <w:r w:rsidRPr="001C0C4B">
        <w:rPr>
          <w:rFonts w:ascii="Calibri" w:hAnsi="Calibri" w:cs="Calibri"/>
        </w:rPr>
        <w:t>Platelet count &lt; 20 x 10</w:t>
      </w:r>
      <w:r w:rsidRPr="001C0C4B">
        <w:rPr>
          <w:rFonts w:ascii="Calibri" w:hAnsi="Calibri" w:cs="Calibri"/>
          <w:sz w:val="24"/>
          <w:szCs w:val="24"/>
          <w:vertAlign w:val="superscript"/>
        </w:rPr>
        <w:t xml:space="preserve">9 </w:t>
      </w:r>
      <w:r w:rsidRPr="001C0C4B">
        <w:rPr>
          <w:rFonts w:ascii="Calibri" w:hAnsi="Calibri" w:cs="Calibri"/>
          <w:sz w:val="24"/>
          <w:szCs w:val="24"/>
        </w:rPr>
        <w:t>/L</w:t>
      </w:r>
    </w:p>
    <w:p w14:paraId="347D6141" w14:textId="77777777" w:rsidR="00C73DF6" w:rsidRPr="001C0C4B" w:rsidRDefault="00C73DF6" w:rsidP="00E142CD">
      <w:pPr>
        <w:pStyle w:val="ListParagraph"/>
        <w:numPr>
          <w:ilvl w:val="0"/>
          <w:numId w:val="20"/>
        </w:numPr>
        <w:spacing w:after="120" w:line="276" w:lineRule="auto"/>
        <w:ind w:left="357" w:hanging="357"/>
        <w:rPr>
          <w:rFonts w:ascii="Calibri" w:hAnsi="Calibri" w:cs="Calibri"/>
        </w:rPr>
      </w:pPr>
      <w:r w:rsidRPr="001C0C4B">
        <w:rPr>
          <w:rFonts w:ascii="Calibri" w:hAnsi="Calibri" w:cs="Calibri"/>
        </w:rPr>
        <w:t>Pregnant</w:t>
      </w:r>
    </w:p>
    <w:p w14:paraId="4908CB03" w14:textId="77777777" w:rsidR="00C73DF6" w:rsidRPr="001C0C4B" w:rsidRDefault="00C73DF6" w:rsidP="00C966A5">
      <w:pPr>
        <w:rPr>
          <w:lang w:val="en-GB"/>
        </w:rPr>
      </w:pPr>
      <w:r w:rsidRPr="001C0C4B">
        <w:rPr>
          <w:lang w:val="en-GB"/>
        </w:rPr>
        <w:t>Cautions</w:t>
      </w:r>
    </w:p>
    <w:p w14:paraId="3280E1BB" w14:textId="20666F71"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In addition to those with the above contraindications, caution should be taken by those using the nebulised system, as this may cause aerosolisation of virus and potentially increase the likelihood of transmission. As such, nebulisation if it occurs at the ward should occur in a negative pressure room with appropriate infection control procedures. If nebulisation occurs at home, this should be done in a room with adequate ventilation to the outside, where the patient can guarantee that the room will not be entered by any other persons for at </w:t>
      </w:r>
      <w:r w:rsidRPr="001C0C4B">
        <w:rPr>
          <w:rFonts w:ascii="Calibri" w:hAnsi="Calibri" w:cs="Calibri"/>
        </w:rPr>
        <w:lastRenderedPageBreak/>
        <w:t xml:space="preserve">least 2 hours after nebulisation occurs. Ideally this will be conducted outside, at least 50 metres from the nearest person. </w:t>
      </w:r>
    </w:p>
    <w:p w14:paraId="15608865" w14:textId="77777777" w:rsidR="00C73DF6" w:rsidRPr="001C0C4B" w:rsidRDefault="00C73DF6" w:rsidP="00C966A5">
      <w:pPr>
        <w:rPr>
          <w:lang w:val="en-GB"/>
        </w:rPr>
      </w:pPr>
      <w:r w:rsidRPr="001C0C4B">
        <w:rPr>
          <w:lang w:val="en-GB"/>
        </w:rPr>
        <w:t>Drug interactions</w:t>
      </w:r>
    </w:p>
    <w:p w14:paraId="335D4CC7"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The listed drug interactions for UFH relate to systemic use and are not relevant to its use as nebulised therapy. Those taking drugs with an increased risk of bleeding should be assessed and potentially excluded.</w:t>
      </w:r>
    </w:p>
    <w:p w14:paraId="1D575014" w14:textId="77777777" w:rsidR="00C73DF6" w:rsidRPr="001C0C4B" w:rsidRDefault="00C73DF6" w:rsidP="00C73DF6">
      <w:pPr>
        <w:spacing w:after="120" w:line="276" w:lineRule="auto"/>
        <w:jc w:val="both"/>
        <w:rPr>
          <w:rFonts w:ascii="Calibri" w:eastAsia="Calibri" w:hAnsi="Calibri" w:cs="Calibri"/>
        </w:rPr>
      </w:pPr>
      <w:r w:rsidRPr="001C0C4B">
        <w:rPr>
          <w:rFonts w:ascii="Calibri" w:eastAsia="Calibri" w:hAnsi="Calibri" w:cs="Calibri"/>
        </w:rPr>
        <w:t xml:space="preserve">Reference: </w:t>
      </w:r>
      <w:hyperlink r:id="rId53" w:history="1">
        <w:r w:rsidRPr="001C0C4B">
          <w:rPr>
            <w:rStyle w:val="Hyperlink"/>
            <w:rFonts w:ascii="Calibri" w:eastAsia="Calibri" w:hAnsi="Calibri" w:cs="Calibri"/>
            <w:color w:val="auto"/>
          </w:rPr>
          <w:t>https://www.fda.gov/media/143892/download</w:t>
        </w:r>
      </w:hyperlink>
      <w:r w:rsidRPr="001C0C4B">
        <w:rPr>
          <w:rFonts w:ascii="Calibri" w:eastAsia="Calibri" w:hAnsi="Calibri" w:cs="Calibri"/>
        </w:rPr>
        <w:t xml:space="preserve"> </w:t>
      </w:r>
    </w:p>
    <w:p w14:paraId="50A1AAD3" w14:textId="62093BAB" w:rsidR="00F878A7" w:rsidRPr="001C0C4B" w:rsidRDefault="00F878A7" w:rsidP="00C73DF6">
      <w:pPr>
        <w:spacing w:after="120" w:line="276" w:lineRule="auto"/>
        <w:jc w:val="both"/>
        <w:rPr>
          <w:rFonts w:ascii="Calibri" w:hAnsi="Calibri"/>
          <w:u w:val="single"/>
        </w:rPr>
      </w:pPr>
      <w:r w:rsidRPr="001C0C4B">
        <w:rPr>
          <w:rFonts w:ascii="Calibri" w:hAnsi="Calibri"/>
          <w:u w:val="single"/>
        </w:rPr>
        <w:t>Reference</w:t>
      </w:r>
    </w:p>
    <w:p w14:paraId="39A7C451" w14:textId="74A7FA37" w:rsidR="00C73DF6" w:rsidRPr="001C0C4B" w:rsidRDefault="00F878A7" w:rsidP="00ED5D50">
      <w:pPr>
        <w:pStyle w:val="ListParagraph"/>
        <w:numPr>
          <w:ilvl w:val="0"/>
          <w:numId w:val="51"/>
        </w:numPr>
        <w:spacing w:after="120" w:line="276" w:lineRule="auto"/>
        <w:jc w:val="both"/>
        <w:rPr>
          <w:noProof/>
          <w:sz w:val="20"/>
          <w:szCs w:val="20"/>
        </w:rPr>
      </w:pPr>
      <w:r w:rsidRPr="001C0C4B">
        <w:rPr>
          <w:sz w:val="20"/>
        </w:rPr>
        <w:t>van Haren FMP, Richardson A, Yoon HJ, Artigas A, Laffey JG, Dixon B, Smith R, Vilaseca AB, Barbera RA, Ismail TI et al: INHALEd nebulised unfractionated HEParin for the treatment of hospitalised patients with COVID-19 (INHALE-HEP): Protocol and statistical analysis plan for an investigator-initiated international metatrial of randomised studies. Br J Clin Pharmacol 2020.</w:t>
      </w:r>
    </w:p>
    <w:p w14:paraId="0889B416" w14:textId="30601C4D" w:rsidR="00326719" w:rsidRPr="001C0C4B" w:rsidRDefault="00326719">
      <w:pPr>
        <w:rPr>
          <w:rFonts w:ascii="Calibri" w:hAnsi="Calibri" w:cs="Calibri"/>
        </w:rPr>
      </w:pPr>
      <w:r w:rsidRPr="001C0C4B">
        <w:rPr>
          <w:rFonts w:ascii="Calibri" w:hAnsi="Calibri" w:cs="Calibri"/>
        </w:rPr>
        <w:br w:type="page"/>
      </w:r>
    </w:p>
    <w:p w14:paraId="7CC18E07" w14:textId="3B449249" w:rsidR="00326719" w:rsidRPr="001C0C4B" w:rsidRDefault="00326719" w:rsidP="00BF2FEE">
      <w:pPr>
        <w:pStyle w:val="Heading2"/>
        <w:numPr>
          <w:ilvl w:val="1"/>
          <w:numId w:val="53"/>
        </w:numPr>
        <w:tabs>
          <w:tab w:val="left" w:pos="990"/>
        </w:tabs>
        <w:rPr>
          <w:rFonts w:ascii="Calibri" w:hAnsi="Calibri" w:cs="Calibri"/>
          <w:color w:val="auto"/>
          <w:u w:val="single"/>
        </w:rPr>
      </w:pPr>
      <w:bookmarkStart w:id="522" w:name="_Toc74661335"/>
      <w:bookmarkStart w:id="523" w:name="_Toc110524030"/>
      <w:bookmarkStart w:id="524" w:name="_Toc96005668"/>
      <w:bookmarkStart w:id="525" w:name="_Toc112917678"/>
      <w:bookmarkStart w:id="526" w:name="_Toc96007365"/>
      <w:bookmarkStart w:id="527" w:name="_Toc95915291"/>
      <w:r w:rsidRPr="001C0C4B">
        <w:rPr>
          <w:rFonts w:ascii="Calibri" w:hAnsi="Calibri" w:cs="Calibri"/>
          <w:color w:val="auto"/>
          <w:u w:val="single"/>
        </w:rPr>
        <w:lastRenderedPageBreak/>
        <w:t>Favipiravir</w:t>
      </w:r>
      <w:bookmarkEnd w:id="522"/>
      <w:bookmarkEnd w:id="523"/>
      <w:bookmarkEnd w:id="524"/>
      <w:bookmarkEnd w:id="525"/>
    </w:p>
    <w:p w14:paraId="373F683F" w14:textId="73C9F00C" w:rsidR="00FC58FA" w:rsidRPr="001C0C4B" w:rsidRDefault="00FC58FA" w:rsidP="00C966A5">
      <w:pPr>
        <w:rPr>
          <w:rFonts w:ascii="Calibri" w:hAnsi="Calibri" w:cs="Calibri"/>
          <w:lang w:val="en-GB"/>
        </w:rPr>
      </w:pPr>
      <w:r w:rsidRPr="001C0C4B">
        <w:rPr>
          <w:rFonts w:ascii="Calibri" w:hAnsi="Calibri" w:cs="Calibri"/>
          <w:lang w:val="en-GB"/>
        </w:rPr>
        <w:t>Rationale</w:t>
      </w:r>
    </w:p>
    <w:p w14:paraId="3B678B81" w14:textId="6C5A34BB" w:rsidR="003C0384" w:rsidRPr="001C0C4B" w:rsidRDefault="007A2983" w:rsidP="00093265">
      <w:pPr>
        <w:jc w:val="both"/>
        <w:rPr>
          <w:rFonts w:ascii="Calibri" w:hAnsi="Calibri" w:cs="Calibri"/>
          <w:lang w:val="en-GB"/>
        </w:rPr>
      </w:pPr>
      <w:r w:rsidRPr="001C0C4B">
        <w:rPr>
          <w:rFonts w:ascii="Calibri" w:hAnsi="Calibri" w:cs="Calibri"/>
        </w:rPr>
        <w:t xml:space="preserve">Favipiravir is a small molecule antiviral which </w:t>
      </w:r>
      <w:r w:rsidR="000A02AB" w:rsidRPr="001C0C4B">
        <w:rPr>
          <w:rFonts w:ascii="Calibri" w:hAnsi="Calibri" w:cs="Calibri"/>
        </w:rPr>
        <w:t xml:space="preserve">was developed in 2002 as an inhibitor of viral replication of </w:t>
      </w:r>
      <w:r w:rsidRPr="001C0C4B">
        <w:rPr>
          <w:rFonts w:ascii="Calibri" w:hAnsi="Calibri" w:cs="Calibri"/>
        </w:rPr>
        <w:t xml:space="preserve">influenza </w:t>
      </w:r>
      <w:r w:rsidR="000A02AB" w:rsidRPr="001C0C4B">
        <w:rPr>
          <w:rFonts w:ascii="Calibri" w:hAnsi="Calibri" w:cs="Calibri"/>
        </w:rPr>
        <w:t>(1).</w:t>
      </w:r>
      <w:r w:rsidRPr="001C0C4B">
        <w:rPr>
          <w:rFonts w:ascii="Calibri" w:hAnsi="Calibri" w:cs="Calibri"/>
        </w:rPr>
        <w:t xml:space="preserve"> Favipiravir is a pyrazinecarboxamide derivative, thought to act as a selective viral RNA-dependent RNA polymerase inhibitor. Favipiravir is a prodrug which is metabolized to its active form, favipiravir-ribofuranosyl-5’-triphosphate. </w:t>
      </w:r>
      <w:r w:rsidR="000A02AB" w:rsidRPr="001C0C4B">
        <w:rPr>
          <w:rFonts w:ascii="Calibri" w:hAnsi="Calibri" w:cs="Calibri"/>
        </w:rPr>
        <w:t xml:space="preserve">Favipiravir has demonstrated </w:t>
      </w:r>
      <w:r w:rsidR="000A02AB" w:rsidRPr="001C0C4B">
        <w:rPr>
          <w:rFonts w:ascii="Calibri" w:hAnsi="Calibri" w:cs="Calibri"/>
          <w:i/>
          <w:iCs/>
        </w:rPr>
        <w:t>in vitro</w:t>
      </w:r>
      <w:r w:rsidR="000A02AB" w:rsidRPr="001C0C4B">
        <w:rPr>
          <w:rFonts w:ascii="Calibri" w:hAnsi="Calibri" w:cs="Calibri"/>
        </w:rPr>
        <w:t xml:space="preserve"> activity against SARS-CoV-2 (2).  An early open labelled control study compared Favipiravir and Lopinavir/ritonavir. It found that the favipiravir arm had a shorted viral clearance median time and significant improvement in chest CT compared to the control arm (improvement rate 91.43% compared to 62.22% - p=0.004) (3). A systematic review and meta-analysis were performed by Hassanipour et.al. (4). It showed a significant clinical improvement in </w:t>
      </w:r>
      <w:r w:rsidR="000A02AB" w:rsidRPr="001C0C4B">
        <w:rPr>
          <w:rFonts w:ascii="Calibri" w:hAnsi="Calibri" w:cs="Calibri"/>
          <w:lang w:val="en-GB"/>
        </w:rPr>
        <w:t xml:space="preserve">favipiravir </w:t>
      </w:r>
      <w:r w:rsidR="000A02AB" w:rsidRPr="001C0C4B">
        <w:rPr>
          <w:rFonts w:ascii="Calibri" w:hAnsi="Calibri" w:cs="Calibri"/>
        </w:rPr>
        <w:t xml:space="preserve">compared to control during the 7 days post hospitalization (RR = 1.24, 95% CI: 1.09–1.41; P = 0.001). Viral clearance was higher with </w:t>
      </w:r>
      <w:r w:rsidR="000A02AB" w:rsidRPr="001C0C4B">
        <w:rPr>
          <w:rFonts w:ascii="Calibri" w:hAnsi="Calibri" w:cs="Calibri"/>
          <w:lang w:val="en-GB"/>
        </w:rPr>
        <w:t xml:space="preserve">favipiravir </w:t>
      </w:r>
      <w:r w:rsidR="000A02AB" w:rsidRPr="001C0C4B">
        <w:rPr>
          <w:rFonts w:ascii="Calibri" w:hAnsi="Calibri" w:cs="Calibri"/>
        </w:rPr>
        <w:t xml:space="preserve">but it was not significant. Transfer to ICU and adverse events were not found to be significant. In those with mild to moderate COVID-19 there was no beneficial effect to mortality.   </w:t>
      </w:r>
    </w:p>
    <w:p w14:paraId="08B767CA" w14:textId="13D5D871" w:rsidR="00FC58FA" w:rsidRPr="001C0C4B" w:rsidRDefault="00FC58FA" w:rsidP="00C966A5">
      <w:pPr>
        <w:rPr>
          <w:rFonts w:ascii="Calibri" w:hAnsi="Calibri" w:cs="Calibri"/>
          <w:lang w:val="en-GB"/>
        </w:rPr>
      </w:pPr>
      <w:r w:rsidRPr="001C0C4B">
        <w:rPr>
          <w:rFonts w:ascii="Calibri" w:hAnsi="Calibri" w:cs="Calibri"/>
          <w:lang w:val="en-GB"/>
        </w:rPr>
        <w:t>Composition &amp; dose</w:t>
      </w:r>
    </w:p>
    <w:p w14:paraId="0DDD30EF" w14:textId="2AF8A83D" w:rsidR="007A2983" w:rsidRPr="001C0C4B" w:rsidRDefault="007A2983" w:rsidP="00093265">
      <w:pPr>
        <w:jc w:val="both"/>
        <w:rPr>
          <w:rFonts w:ascii="Calibri" w:hAnsi="Calibri" w:cs="Calibri"/>
          <w:lang w:val="en-GB"/>
        </w:rPr>
      </w:pPr>
      <w:r w:rsidRPr="001C0C4B">
        <w:rPr>
          <w:rFonts w:ascii="Calibri" w:hAnsi="Calibri" w:cs="Calibri"/>
          <w:lang w:val="en-GB"/>
        </w:rPr>
        <w:t xml:space="preserve">In this study, </w:t>
      </w:r>
      <w:r w:rsidR="00D56EF2" w:rsidRPr="001C0C4B">
        <w:rPr>
          <w:rFonts w:ascii="Calibri" w:hAnsi="Calibri" w:cs="Calibri"/>
          <w:lang w:val="en-GB"/>
        </w:rPr>
        <w:t>patients will be given 1800mg of favipiravir (nine 200mg tablets) at H0 and 1800mg of favipiravir (9 200mg tablet) at H12. Thereafter the patient will take 800mg BD (four 200mg tablets) for a further 6 days.</w:t>
      </w:r>
      <w:r w:rsidRPr="001C0C4B">
        <w:rPr>
          <w:rFonts w:ascii="Calibri" w:hAnsi="Calibri" w:cs="Calibri"/>
          <w:lang w:val="en-GB"/>
        </w:rPr>
        <w:t xml:space="preserve"> </w:t>
      </w:r>
    </w:p>
    <w:p w14:paraId="205B02AB" w14:textId="51723706" w:rsidR="00D56EF2" w:rsidRPr="001C0C4B" w:rsidRDefault="00D56EF2" w:rsidP="00093265">
      <w:pPr>
        <w:jc w:val="both"/>
        <w:rPr>
          <w:rFonts w:ascii="Calibri" w:hAnsi="Calibri" w:cs="Calibri"/>
          <w:lang w:val="en-GB"/>
        </w:rPr>
      </w:pPr>
      <w:r w:rsidRPr="001C0C4B">
        <w:rPr>
          <w:rFonts w:ascii="Calibri" w:hAnsi="Calibri" w:cs="Calibri"/>
        </w:rPr>
        <w:t>Favipiravir will either be obtained by the sponsor or the local teams from a reliable manufacturer.</w:t>
      </w:r>
    </w:p>
    <w:p w14:paraId="74FD8590" w14:textId="3B270981" w:rsidR="00FC58FA" w:rsidRPr="001C0C4B" w:rsidRDefault="00FC58FA" w:rsidP="00C966A5">
      <w:pPr>
        <w:rPr>
          <w:rFonts w:ascii="Calibri" w:hAnsi="Calibri" w:cs="Calibri"/>
          <w:lang w:val="en-GB"/>
        </w:rPr>
      </w:pPr>
      <w:r w:rsidRPr="001C0C4B">
        <w:rPr>
          <w:rFonts w:ascii="Calibri" w:hAnsi="Calibri" w:cs="Calibri"/>
          <w:lang w:val="en-GB"/>
        </w:rPr>
        <w:t>Pharmacokinetic characteristics</w:t>
      </w:r>
    </w:p>
    <w:p w14:paraId="63A471C1" w14:textId="7ADC7C60" w:rsidR="00D56EF2" w:rsidRPr="001C0C4B" w:rsidRDefault="003675BE" w:rsidP="00093265">
      <w:pPr>
        <w:jc w:val="both"/>
        <w:rPr>
          <w:rFonts w:ascii="Calibri" w:hAnsi="Calibri" w:cs="Calibri"/>
          <w:lang w:val="en-GB"/>
        </w:rPr>
      </w:pPr>
      <w:r w:rsidRPr="001C0C4B">
        <w:rPr>
          <w:rFonts w:ascii="Calibri" w:hAnsi="Calibri" w:cs="Calibri"/>
          <w:lang w:val="en-GB"/>
        </w:rPr>
        <w:t>Oral favipiravir reaches maximal concentrations at 2 hours post oral administration and has a half-life of 2-5.5 hours.</w:t>
      </w:r>
      <w:r w:rsidR="00EB143D" w:rsidRPr="001C0C4B">
        <w:rPr>
          <w:rFonts w:ascii="Calibri" w:hAnsi="Calibri" w:cs="Calibri"/>
          <w:lang w:val="en-GB"/>
        </w:rPr>
        <w:t xml:space="preserve"> Protein binding occurs at 54%. The active parent drug is metabolised to the inactive metabolite T-705M1 mainly by aldehyde oxidase and partially by xanthine oxidase. PK analysis of continuous doses of favipiravir in nonhuman primate models exhibit nonlinear pharmacokinetics over time, with decreasing trough levels at D4, relative to D2.</w:t>
      </w:r>
    </w:p>
    <w:p w14:paraId="57406938" w14:textId="0A8E5C52" w:rsidR="00FC58FA" w:rsidRPr="001C0C4B" w:rsidRDefault="00FC58FA" w:rsidP="00C966A5">
      <w:pPr>
        <w:rPr>
          <w:rFonts w:ascii="Calibri" w:hAnsi="Calibri" w:cs="Calibri"/>
          <w:lang w:val="en-GB"/>
        </w:rPr>
      </w:pPr>
      <w:r w:rsidRPr="001C0C4B">
        <w:rPr>
          <w:rFonts w:ascii="Calibri" w:hAnsi="Calibri" w:cs="Calibri"/>
          <w:lang w:val="en-GB"/>
        </w:rPr>
        <w:t xml:space="preserve">Pharmacokinetic schedule: only if there is evidence of accelerated viral clearance </w:t>
      </w:r>
    </w:p>
    <w:p w14:paraId="41F292A8" w14:textId="6F443503" w:rsidR="00EB143D" w:rsidRPr="001C0C4B" w:rsidRDefault="00EB143D" w:rsidP="00E23BAF">
      <w:pPr>
        <w:spacing w:after="120" w:line="276" w:lineRule="auto"/>
        <w:jc w:val="both"/>
        <w:rPr>
          <w:rFonts w:ascii="Calibri" w:hAnsi="Calibri" w:cs="Calibri"/>
        </w:rPr>
      </w:pPr>
      <w:r w:rsidRPr="001C0C4B">
        <w:rPr>
          <w:rFonts w:ascii="Calibri" w:hAnsi="Calibri" w:cs="Calibri"/>
        </w:rPr>
        <w:t xml:space="preserve">All patients will need to be admitted for 12 hours for intense sampling. The timings are: </w:t>
      </w:r>
    </w:p>
    <w:p w14:paraId="11F11944" w14:textId="77777777" w:rsidR="00EB143D" w:rsidRPr="001C0C4B" w:rsidRDefault="00EB143D"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Pre-dose D0H0, then</w:t>
      </w:r>
    </w:p>
    <w:p w14:paraId="6962FE32" w14:textId="77777777" w:rsidR="00EB143D" w:rsidRPr="001C0C4B" w:rsidRDefault="00EB143D" w:rsidP="009E06F8">
      <w:pPr>
        <w:pStyle w:val="bullet1"/>
        <w:numPr>
          <w:ilvl w:val="0"/>
          <w:numId w:val="11"/>
        </w:numPr>
        <w:spacing w:line="276" w:lineRule="auto"/>
        <w:ind w:left="357" w:hanging="357"/>
        <w:jc w:val="both"/>
        <w:rPr>
          <w:rFonts w:ascii="Calibri" w:hAnsi="Calibri" w:cs="Calibri"/>
          <w:lang w:val="en-GB"/>
        </w:rPr>
      </w:pPr>
      <w:r w:rsidRPr="001C0C4B">
        <w:rPr>
          <w:rFonts w:ascii="Calibri" w:hAnsi="Calibri" w:cs="Calibri"/>
          <w:lang w:val="en-GB"/>
        </w:rPr>
        <w:t>1, 2, 3, 4, 6, 9, 12 and 24h</w:t>
      </w:r>
    </w:p>
    <w:p w14:paraId="12787315" w14:textId="7CC6830B" w:rsidR="00EB143D" w:rsidRPr="001C0C4B" w:rsidRDefault="00EB143D" w:rsidP="00093265">
      <w:pPr>
        <w:spacing w:after="120" w:line="276" w:lineRule="auto"/>
        <w:jc w:val="both"/>
        <w:rPr>
          <w:rFonts w:ascii="Calibri" w:hAnsi="Calibri" w:cs="Calibri"/>
        </w:rPr>
      </w:pPr>
      <w:r w:rsidRPr="001C0C4B">
        <w:rPr>
          <w:rFonts w:ascii="Calibri" w:hAnsi="Calibri" w:cs="Calibri"/>
        </w:rPr>
        <w:t xml:space="preserve">Note that blood will be taken on D3 and D7 for routine haematology and biochemistry. The EDTA sample will be used to measure the drug concentrations.     </w:t>
      </w:r>
    </w:p>
    <w:p w14:paraId="02165138" w14:textId="3A721923" w:rsidR="00FC58FA" w:rsidRPr="001C0C4B" w:rsidRDefault="00FC58FA" w:rsidP="00C966A5">
      <w:pPr>
        <w:rPr>
          <w:rFonts w:ascii="Calibri" w:hAnsi="Calibri" w:cs="Calibri"/>
          <w:lang w:val="en-GB"/>
        </w:rPr>
      </w:pPr>
      <w:r w:rsidRPr="001C0C4B">
        <w:rPr>
          <w:rFonts w:ascii="Calibri" w:hAnsi="Calibri" w:cs="Calibri"/>
          <w:lang w:val="en-GB"/>
        </w:rPr>
        <w:t>Toxicity</w:t>
      </w:r>
    </w:p>
    <w:p w14:paraId="463B26BC" w14:textId="26CFBB6E" w:rsidR="00EB143D" w:rsidRPr="001C0C4B" w:rsidRDefault="007E2A40" w:rsidP="00093265">
      <w:pPr>
        <w:jc w:val="both"/>
        <w:rPr>
          <w:rFonts w:ascii="Calibri" w:hAnsi="Calibri" w:cs="Calibri"/>
          <w:lang w:val="en-GB"/>
        </w:rPr>
      </w:pPr>
      <w:r w:rsidRPr="001C0C4B">
        <w:rPr>
          <w:rFonts w:ascii="Calibri" w:hAnsi="Calibri" w:cs="Calibri"/>
          <w:lang w:val="en-GB"/>
        </w:rPr>
        <w:t>A review of the safety of favipiravir from 29 studies demonstrates a favourable safety profile. Side-effects which tend to be mild, include diarrhoea, as well as blood abnormalities including raised uric acid levels, low neutrophil count and raised liver function tests. Early concerns regarding QTc prolongation, were not born out in a study of healthy Japanese individuals using moxifloxacin as a positive control</w:t>
      </w:r>
      <w:r w:rsidR="007F172D" w:rsidRPr="001C0C4B">
        <w:rPr>
          <w:rFonts w:ascii="Calibri" w:hAnsi="Calibri" w:cs="Calibri"/>
          <w:lang w:val="en-GB"/>
        </w:rPr>
        <w:t>, where favipiravir showed no effect on QT intervals.</w:t>
      </w:r>
    </w:p>
    <w:p w14:paraId="0A56319F" w14:textId="67CB2AD1" w:rsidR="007F172D" w:rsidRPr="001C0C4B" w:rsidRDefault="007F172D" w:rsidP="00093265">
      <w:pPr>
        <w:jc w:val="both"/>
        <w:rPr>
          <w:rFonts w:ascii="Calibri" w:hAnsi="Calibri" w:cs="Calibri"/>
          <w:lang w:val="en-GB"/>
        </w:rPr>
      </w:pPr>
      <w:r w:rsidRPr="001C0C4B">
        <w:rPr>
          <w:rFonts w:ascii="Calibri" w:hAnsi="Calibri" w:cs="Calibri"/>
          <w:lang w:val="en-GB"/>
        </w:rPr>
        <w:t>Animal models have demonstrated teratogenicity, and no human studies on pregnant or lactating women have been conducted.</w:t>
      </w:r>
    </w:p>
    <w:p w14:paraId="48AAE994" w14:textId="602D99F7" w:rsidR="00FC58FA" w:rsidRPr="001C0C4B" w:rsidRDefault="00FC58FA" w:rsidP="00C966A5">
      <w:pPr>
        <w:rPr>
          <w:rFonts w:ascii="Calibri" w:hAnsi="Calibri" w:cs="Calibri"/>
          <w:lang w:val="en-GB"/>
        </w:rPr>
      </w:pPr>
      <w:r w:rsidRPr="001C0C4B">
        <w:rPr>
          <w:rFonts w:ascii="Calibri" w:hAnsi="Calibri" w:cs="Calibri"/>
          <w:lang w:val="en-GB"/>
        </w:rPr>
        <w:t>Contraindications</w:t>
      </w:r>
      <w:r w:rsidR="007F172D" w:rsidRPr="001C0C4B">
        <w:rPr>
          <w:rFonts w:ascii="Calibri" w:hAnsi="Calibri" w:cs="Calibri"/>
          <w:lang w:val="en-GB"/>
        </w:rPr>
        <w:t xml:space="preserve"> &amp; c</w:t>
      </w:r>
      <w:r w:rsidRPr="001C0C4B">
        <w:rPr>
          <w:rFonts w:ascii="Calibri" w:hAnsi="Calibri" w:cs="Calibri"/>
          <w:lang w:val="en-GB"/>
        </w:rPr>
        <w:t>autions</w:t>
      </w:r>
    </w:p>
    <w:p w14:paraId="50788DD8" w14:textId="51017641" w:rsidR="007F172D" w:rsidRPr="001C0C4B" w:rsidRDefault="007F172D" w:rsidP="00093265">
      <w:pPr>
        <w:jc w:val="both"/>
        <w:rPr>
          <w:rFonts w:ascii="Calibri" w:hAnsi="Calibri" w:cs="Calibri"/>
        </w:rPr>
      </w:pPr>
      <w:r w:rsidRPr="001C0C4B">
        <w:rPr>
          <w:rFonts w:ascii="Calibri" w:hAnsi="Calibri" w:cs="Calibri"/>
        </w:rPr>
        <w:t>Known hypersensitivity. See later section on drug-specific contraindications.</w:t>
      </w:r>
    </w:p>
    <w:p w14:paraId="4022869C" w14:textId="158DA839" w:rsidR="007F172D" w:rsidRPr="001C0C4B" w:rsidRDefault="007F172D" w:rsidP="00093265">
      <w:pPr>
        <w:jc w:val="both"/>
        <w:rPr>
          <w:rFonts w:ascii="Calibri" w:hAnsi="Calibri" w:cs="Calibri"/>
        </w:rPr>
      </w:pPr>
      <w:r w:rsidRPr="001C0C4B">
        <w:rPr>
          <w:rFonts w:ascii="Calibri" w:hAnsi="Calibri" w:cs="Calibri"/>
        </w:rPr>
        <w:lastRenderedPageBreak/>
        <w:t>Patients should avoid excessive exposure to sunlight or artificial UV light</w:t>
      </w:r>
    </w:p>
    <w:p w14:paraId="3D5145A7" w14:textId="77777777" w:rsidR="00FC58FA" w:rsidRPr="001C0C4B" w:rsidRDefault="00FC58FA" w:rsidP="00C966A5">
      <w:pPr>
        <w:rPr>
          <w:rFonts w:ascii="Calibri" w:hAnsi="Calibri" w:cs="Calibri"/>
          <w:lang w:val="en-GB"/>
        </w:rPr>
      </w:pPr>
      <w:r w:rsidRPr="001C0C4B">
        <w:rPr>
          <w:rFonts w:ascii="Calibri" w:hAnsi="Calibri" w:cs="Calibri"/>
          <w:lang w:val="en-GB"/>
        </w:rPr>
        <w:t>Drug interactions</w:t>
      </w:r>
    </w:p>
    <w:p w14:paraId="31C022B5" w14:textId="5BA5D528" w:rsidR="00E23BAF" w:rsidRPr="001C0C4B" w:rsidRDefault="007F172D" w:rsidP="00E23BAF">
      <w:pPr>
        <w:spacing w:after="120" w:line="276" w:lineRule="auto"/>
        <w:jc w:val="both"/>
        <w:rPr>
          <w:rFonts w:ascii="Calibri" w:hAnsi="Calibri" w:cs="Calibri"/>
        </w:rPr>
      </w:pPr>
      <w:r w:rsidRPr="001C0C4B">
        <w:rPr>
          <w:rFonts w:ascii="Calibri" w:hAnsi="Calibri" w:cs="Calibri"/>
        </w:rPr>
        <w:t xml:space="preserve">Favipiravir inhibits the formation of acetaminophen sulphate </w:t>
      </w:r>
      <w:r w:rsidRPr="001C0C4B">
        <w:rPr>
          <w:rFonts w:ascii="Calibri" w:hAnsi="Calibri" w:cs="Calibri"/>
          <w:i/>
          <w:iCs/>
        </w:rPr>
        <w:t>in vitro</w:t>
      </w:r>
      <w:r w:rsidRPr="001C0C4B">
        <w:rPr>
          <w:rFonts w:ascii="Calibri" w:hAnsi="Calibri" w:cs="Calibri"/>
        </w:rPr>
        <w:t xml:space="preserve"> and </w:t>
      </w:r>
      <w:r w:rsidRPr="001C0C4B">
        <w:rPr>
          <w:rFonts w:ascii="Calibri" w:hAnsi="Calibri" w:cs="Calibri"/>
          <w:i/>
          <w:iCs/>
        </w:rPr>
        <w:t>in vivo</w:t>
      </w:r>
      <w:r w:rsidRPr="001C0C4B">
        <w:rPr>
          <w:rFonts w:ascii="Calibri" w:hAnsi="Calibri" w:cs="Calibri"/>
        </w:rPr>
        <w:t>, resulting in a small magnitude increase in acetaminophen levels. As a result daily acetaminophen (paracetamol) should not exceed 3g/ day</w:t>
      </w:r>
      <w:r w:rsidR="00326719" w:rsidRPr="001C0C4B">
        <w:rPr>
          <w:rStyle w:val="FootnoteReference"/>
          <w:rFonts w:ascii="Calibri" w:hAnsi="Calibri"/>
        </w:rPr>
        <w:t xml:space="preserve"> </w:t>
      </w:r>
      <w:r w:rsidR="00326719" w:rsidRPr="001C0C4B">
        <w:rPr>
          <w:rFonts w:ascii="Calibri" w:hAnsi="Calibri"/>
        </w:rPr>
        <w:t>(</w:t>
      </w:r>
      <w:r w:rsidR="000A02AB" w:rsidRPr="001C0C4B">
        <w:rPr>
          <w:rFonts w:ascii="Calibri" w:hAnsi="Calibri" w:cs="Calibri"/>
        </w:rPr>
        <w:t>5</w:t>
      </w:r>
      <w:r w:rsidR="00326719" w:rsidRPr="001C0C4B">
        <w:rPr>
          <w:rFonts w:ascii="Calibri" w:hAnsi="Calibri"/>
        </w:rPr>
        <w:t>)</w:t>
      </w:r>
      <w:r w:rsidR="00F878A7" w:rsidRPr="001C0C4B">
        <w:rPr>
          <w:rFonts w:ascii="Calibri" w:hAnsi="Calibri"/>
        </w:rPr>
        <w:t>.</w:t>
      </w:r>
    </w:p>
    <w:p w14:paraId="5AC3575C" w14:textId="5AFAD15A" w:rsidR="00D73CFA" w:rsidRPr="001C0C4B" w:rsidRDefault="00D73CFA" w:rsidP="00E23BAF">
      <w:pPr>
        <w:spacing w:after="120" w:line="276" w:lineRule="auto"/>
        <w:jc w:val="both"/>
        <w:rPr>
          <w:rFonts w:ascii="Calibri" w:hAnsi="Calibri" w:cs="Calibri"/>
        </w:rPr>
      </w:pPr>
    </w:p>
    <w:p w14:paraId="633E49AD" w14:textId="6A509D6C" w:rsidR="00D73CFA" w:rsidRPr="001C0C4B" w:rsidRDefault="00F878A7" w:rsidP="00E23BAF">
      <w:pPr>
        <w:spacing w:after="120" w:line="276" w:lineRule="auto"/>
        <w:jc w:val="both"/>
        <w:rPr>
          <w:rFonts w:ascii="Calibri" w:hAnsi="Calibri"/>
          <w:u w:val="single"/>
          <w:lang w:val="en-GB"/>
        </w:rPr>
      </w:pPr>
      <w:r w:rsidRPr="001C0C4B">
        <w:rPr>
          <w:rFonts w:ascii="Calibri" w:hAnsi="Calibri"/>
          <w:u w:val="single"/>
          <w:lang w:val="en-GB"/>
        </w:rPr>
        <w:t>Reference</w:t>
      </w:r>
      <w:r w:rsidR="00B75369" w:rsidRPr="001C0C4B">
        <w:rPr>
          <w:rFonts w:ascii="Calibri" w:hAnsi="Calibri"/>
          <w:u w:val="single"/>
          <w:lang w:val="en-GB"/>
        </w:rPr>
        <w:t>s</w:t>
      </w:r>
    </w:p>
    <w:p w14:paraId="5994FA07" w14:textId="77777777" w:rsidR="000A02AB" w:rsidRPr="001C0C4B" w:rsidRDefault="000A02AB" w:rsidP="000A02AB">
      <w:pPr>
        <w:pStyle w:val="ListParagraph"/>
        <w:numPr>
          <w:ilvl w:val="0"/>
          <w:numId w:val="56"/>
        </w:numPr>
        <w:spacing w:line="256" w:lineRule="auto"/>
        <w:jc w:val="thaiDistribute"/>
        <w:rPr>
          <w:rFonts w:eastAsia="Times New Roman" w:cs="Times New Roman"/>
          <w:sz w:val="20"/>
          <w:szCs w:val="20"/>
          <w:lang w:val="en-GB" w:eastAsia="en-GB"/>
        </w:rPr>
      </w:pPr>
      <w:r w:rsidRPr="001C0C4B">
        <w:rPr>
          <w:rFonts w:eastAsia="Times New Roman" w:cs="Times New Roman"/>
          <w:sz w:val="20"/>
          <w:szCs w:val="20"/>
          <w:lang w:val="en-GB" w:eastAsia="en-GB"/>
        </w:rPr>
        <w:t>Furuta, Y., Takahashi, K., Fukuda, Y., Kuno, M., Kamiyama, T., Kozaki, K., Nomura, N., Egawa, H., Minami, S., Watanabe, Y., Narita, H. and Shiraki, K., 2002. In Vitro and In Vivo Activities of Anti-Influenza Virus Compound T-705. Antimicrobial Agents and Chemotherapy, 46(4), pp.977-981.</w:t>
      </w:r>
    </w:p>
    <w:p w14:paraId="4348B709" w14:textId="77777777" w:rsidR="000A02AB" w:rsidRPr="001C0C4B" w:rsidRDefault="000A02AB" w:rsidP="000A02AB">
      <w:pPr>
        <w:pStyle w:val="ListParagraph"/>
        <w:numPr>
          <w:ilvl w:val="0"/>
          <w:numId w:val="56"/>
        </w:numPr>
        <w:spacing w:line="256" w:lineRule="auto"/>
        <w:jc w:val="thaiDistribute"/>
        <w:rPr>
          <w:rFonts w:eastAsia="Times New Roman" w:cs="Times New Roman"/>
          <w:sz w:val="20"/>
          <w:szCs w:val="20"/>
          <w:lang w:val="en-GB" w:eastAsia="en-GB"/>
        </w:rPr>
      </w:pPr>
      <w:r w:rsidRPr="001C0C4B">
        <w:rPr>
          <w:rFonts w:eastAsia="Times New Roman" w:cs="Times New Roman"/>
          <w:sz w:val="20"/>
          <w:szCs w:val="20"/>
          <w:lang w:val="en-GB" w:eastAsia="en-GB"/>
        </w:rPr>
        <w:t>Wang M, Cao R, Zhang L, Yang X, Liu J, Xu M et al.</w:t>
      </w:r>
      <w:r w:rsidR="00B803C5" w:rsidRPr="001C0C4B">
        <w:rPr>
          <w:sz w:val="20"/>
          <w:lang w:val="en-GB"/>
        </w:rPr>
        <w:t xml:space="preserve"> Remdesivir and chloroquine effectively inhibit the recently emerged novel coronavirus (2019-nCoV) in vitro. Cell </w:t>
      </w:r>
      <w:r w:rsidRPr="001C0C4B">
        <w:rPr>
          <w:rFonts w:eastAsia="Times New Roman" w:cs="Times New Roman"/>
          <w:sz w:val="20"/>
          <w:szCs w:val="20"/>
          <w:lang w:val="en-GB" w:eastAsia="en-GB"/>
        </w:rPr>
        <w:t>Research. 2020;30(3):269-271.</w:t>
      </w:r>
    </w:p>
    <w:p w14:paraId="57A29B9A" w14:textId="77777777" w:rsidR="000A02AB" w:rsidRPr="001C0C4B" w:rsidRDefault="000A02AB" w:rsidP="000A02AB">
      <w:pPr>
        <w:pStyle w:val="ListParagraph"/>
        <w:numPr>
          <w:ilvl w:val="0"/>
          <w:numId w:val="56"/>
        </w:numPr>
        <w:spacing w:line="256" w:lineRule="auto"/>
        <w:jc w:val="thaiDistribute"/>
        <w:rPr>
          <w:rFonts w:eastAsia="Times New Roman" w:cs="Times New Roman"/>
          <w:sz w:val="20"/>
          <w:szCs w:val="20"/>
          <w:lang w:val="en-GB" w:eastAsia="en-GB"/>
        </w:rPr>
      </w:pPr>
      <w:r w:rsidRPr="001C0C4B">
        <w:rPr>
          <w:rFonts w:eastAsia="Times New Roman" w:cs="Times New Roman"/>
          <w:sz w:val="20"/>
          <w:szCs w:val="20"/>
          <w:lang w:val="en-GB" w:eastAsia="en-GB"/>
        </w:rPr>
        <w:t>Cai, Q., Yang, M., Liu, D., Chen, J., Shu, D., Xia, J., Liao, X., Gu, Y., Cai, Q., Yang, Y., Shen, C., Li, X., Peng, L., Huang, D., Zhang, J., Zhang, S., Wang, F., Liu, J., Chen, L., Chen, S., Wang, Z., Zhang, Z., Cao, R., Zhong, W., Liu, Y. and Liu, L., 2020. Experimental Treatment with Favipiravir for COVID-19: An Open-Label Control Study. Engineering, 6(10), pp.1192-1198.</w:t>
      </w:r>
    </w:p>
    <w:p w14:paraId="143839CA" w14:textId="77777777" w:rsidR="000A02AB" w:rsidRPr="001C0C4B" w:rsidRDefault="000A02AB" w:rsidP="000A02AB">
      <w:pPr>
        <w:pStyle w:val="ListParagraph"/>
        <w:numPr>
          <w:ilvl w:val="0"/>
          <w:numId w:val="56"/>
        </w:numPr>
        <w:spacing w:line="256" w:lineRule="auto"/>
        <w:rPr>
          <w:rFonts w:eastAsia="Times New Roman" w:cs="Times New Roman"/>
          <w:sz w:val="20"/>
          <w:szCs w:val="20"/>
          <w:lang w:val="en-GB" w:eastAsia="en-GB"/>
        </w:rPr>
      </w:pPr>
      <w:r w:rsidRPr="001C0C4B">
        <w:rPr>
          <w:rFonts w:eastAsia="Times New Roman" w:cs="Times New Roman"/>
          <w:sz w:val="20"/>
          <w:szCs w:val="20"/>
          <w:lang w:val="en-GB" w:eastAsia="en-GB"/>
        </w:rPr>
        <w:t>Hassanipour, S., Arab-Zozani, M., Amani, B., Heidarzad, F., Fathalipour, M. and Martinez-de-Hoyo, R., 2021. The efficacy and safety of Favipiravir in treatment of COVID-19: a systematic review and meta-analysis of clinical trials. Scientific Reports, 11(1).</w:t>
      </w:r>
    </w:p>
    <w:p w14:paraId="5BCCA1C9" w14:textId="66037771" w:rsidR="00F878A7" w:rsidRPr="001C0C4B" w:rsidRDefault="00F878A7" w:rsidP="00BF2FEE">
      <w:pPr>
        <w:pStyle w:val="ListParagraph"/>
        <w:numPr>
          <w:ilvl w:val="0"/>
          <w:numId w:val="56"/>
        </w:numPr>
        <w:spacing w:line="256" w:lineRule="auto"/>
        <w:jc w:val="thaiDistribute"/>
        <w:rPr>
          <w:sz w:val="20"/>
          <w:lang w:val="en-GB"/>
        </w:rPr>
      </w:pPr>
      <w:r w:rsidRPr="001C0C4B">
        <w:rPr>
          <w:color w:val="212121"/>
          <w:sz w:val="20"/>
          <w:shd w:val="clear" w:color="auto" w:fill="FFFFFF"/>
          <w:lang w:val="en-GB"/>
        </w:rPr>
        <w:t>Zhao Y, Harmatz JS, Epstein CR, Nakagawa Y, Kurosaki C, Nakamura T, Kadota T, Giesing D, Court MH, Greenblatt DJ. Favipiravir inhibits acetaminophen sulfate formation but minimally affects systemic pharmacokinetics of acetaminophen. Br J Clin Pharmacol. 2015 Nov;80(5):1076-85. doi: 10.1111/bcp.12644. Epub 2015 Jun 8. PMID: 25808818; PMCID: PMC4631180.</w:t>
      </w:r>
    </w:p>
    <w:p w14:paraId="54F35AC4" w14:textId="29932E2A" w:rsidR="000A02AB" w:rsidRPr="001C0C4B" w:rsidRDefault="000A02AB" w:rsidP="000A02AB">
      <w:pPr>
        <w:pStyle w:val="Heading2"/>
        <w:numPr>
          <w:ilvl w:val="0"/>
          <w:numId w:val="0"/>
        </w:numPr>
        <w:rPr>
          <w:rFonts w:asciiTheme="minorHAnsi" w:hAnsiTheme="minorHAnsi"/>
          <w:color w:val="000000" w:themeColor="text1"/>
          <w:u w:val="single"/>
        </w:rPr>
      </w:pPr>
      <w:bookmarkStart w:id="528" w:name="_Toc96007366"/>
      <w:bookmarkStart w:id="529" w:name="_Toc95915292"/>
      <w:bookmarkEnd w:id="526"/>
      <w:bookmarkEnd w:id="527"/>
    </w:p>
    <w:p w14:paraId="0E5ED88D" w14:textId="67A66426" w:rsidR="000A02AB" w:rsidRPr="001C0C4B" w:rsidRDefault="000A02AB" w:rsidP="000A02AB">
      <w:pPr>
        <w:rPr>
          <w:lang w:val="en-GB"/>
        </w:rPr>
      </w:pPr>
    </w:p>
    <w:p w14:paraId="755CF838" w14:textId="0AAB6433" w:rsidR="000A02AB" w:rsidRPr="001C0C4B" w:rsidRDefault="000A02AB" w:rsidP="000A02AB">
      <w:pPr>
        <w:rPr>
          <w:lang w:val="en-GB"/>
        </w:rPr>
      </w:pPr>
    </w:p>
    <w:p w14:paraId="6C2FA2B6" w14:textId="7A820411" w:rsidR="000A02AB" w:rsidRPr="001C0C4B" w:rsidRDefault="000A02AB" w:rsidP="000A02AB">
      <w:pPr>
        <w:rPr>
          <w:lang w:val="en-GB"/>
        </w:rPr>
      </w:pPr>
    </w:p>
    <w:p w14:paraId="68E30C5D" w14:textId="695E464A" w:rsidR="000A02AB" w:rsidRPr="001C0C4B" w:rsidRDefault="000A02AB" w:rsidP="000A02AB">
      <w:pPr>
        <w:rPr>
          <w:lang w:val="en-GB"/>
        </w:rPr>
      </w:pPr>
    </w:p>
    <w:p w14:paraId="60BB8469" w14:textId="14D38FD5" w:rsidR="000A02AB" w:rsidRPr="001C0C4B" w:rsidRDefault="000A02AB" w:rsidP="000A02AB">
      <w:pPr>
        <w:rPr>
          <w:lang w:val="en-GB"/>
        </w:rPr>
      </w:pPr>
    </w:p>
    <w:p w14:paraId="13419022" w14:textId="55433334" w:rsidR="000A02AB" w:rsidRPr="001C0C4B" w:rsidRDefault="000A02AB" w:rsidP="000A02AB">
      <w:pPr>
        <w:rPr>
          <w:lang w:val="en-GB"/>
        </w:rPr>
      </w:pPr>
    </w:p>
    <w:p w14:paraId="0E103D57" w14:textId="200DF837" w:rsidR="000A02AB" w:rsidRPr="001C0C4B" w:rsidRDefault="000A02AB" w:rsidP="000A02AB">
      <w:pPr>
        <w:rPr>
          <w:lang w:val="en-GB"/>
        </w:rPr>
      </w:pPr>
    </w:p>
    <w:p w14:paraId="52F82601" w14:textId="14D6CDE8" w:rsidR="000A02AB" w:rsidRPr="001C0C4B" w:rsidRDefault="000A02AB" w:rsidP="000A02AB">
      <w:pPr>
        <w:rPr>
          <w:lang w:val="en-GB"/>
        </w:rPr>
      </w:pPr>
    </w:p>
    <w:p w14:paraId="0FA5F315" w14:textId="2C67AA7A" w:rsidR="000A02AB" w:rsidRPr="001C0C4B" w:rsidRDefault="000A02AB" w:rsidP="000A02AB">
      <w:pPr>
        <w:rPr>
          <w:lang w:val="en-GB"/>
        </w:rPr>
      </w:pPr>
    </w:p>
    <w:p w14:paraId="2003D028" w14:textId="4D554D19" w:rsidR="000A02AB" w:rsidRPr="001C0C4B" w:rsidRDefault="000A02AB" w:rsidP="000A02AB">
      <w:pPr>
        <w:rPr>
          <w:lang w:val="en-GB"/>
        </w:rPr>
      </w:pPr>
    </w:p>
    <w:p w14:paraId="5C7B8542" w14:textId="09B41244" w:rsidR="000A02AB" w:rsidRPr="001C0C4B" w:rsidRDefault="000A02AB" w:rsidP="000A02AB">
      <w:pPr>
        <w:rPr>
          <w:lang w:val="en-GB"/>
        </w:rPr>
      </w:pPr>
    </w:p>
    <w:p w14:paraId="5C2D73A6" w14:textId="77777777" w:rsidR="000A02AB" w:rsidRPr="001C0C4B" w:rsidRDefault="000A02AB" w:rsidP="000A02AB">
      <w:pPr>
        <w:rPr>
          <w:lang w:val="en-GB"/>
        </w:rPr>
      </w:pPr>
    </w:p>
    <w:p w14:paraId="6722A1CD" w14:textId="331E17F2" w:rsidR="000A02AB" w:rsidRPr="001C0C4B" w:rsidRDefault="000A02AB" w:rsidP="000A02AB">
      <w:pPr>
        <w:rPr>
          <w:lang w:val="en-GB"/>
        </w:rPr>
      </w:pPr>
    </w:p>
    <w:p w14:paraId="02FCE654" w14:textId="09574F04" w:rsidR="00326719" w:rsidRPr="001C0C4B" w:rsidRDefault="00326719">
      <w:pPr>
        <w:rPr>
          <w:lang w:val="en-GB"/>
        </w:rPr>
      </w:pPr>
      <w:r w:rsidRPr="001C0C4B">
        <w:rPr>
          <w:lang w:val="en-GB"/>
        </w:rPr>
        <w:br w:type="page"/>
      </w:r>
    </w:p>
    <w:p w14:paraId="061D8316" w14:textId="00C2A53B" w:rsidR="00D73CFA" w:rsidRPr="001C0C4B" w:rsidRDefault="00D73CFA" w:rsidP="00BF2FEE">
      <w:pPr>
        <w:pStyle w:val="Heading2"/>
        <w:numPr>
          <w:ilvl w:val="1"/>
          <w:numId w:val="53"/>
        </w:numPr>
        <w:rPr>
          <w:rFonts w:asciiTheme="minorHAnsi" w:hAnsiTheme="minorHAnsi" w:cstheme="minorHAnsi"/>
          <w:color w:val="auto"/>
          <w:u w:val="single"/>
        </w:rPr>
      </w:pPr>
      <w:bookmarkStart w:id="530" w:name="_Toc110524031"/>
      <w:bookmarkStart w:id="531" w:name="_Toc96005669"/>
      <w:bookmarkStart w:id="532" w:name="_Toc112917679"/>
      <w:r w:rsidRPr="001C0C4B">
        <w:rPr>
          <w:rFonts w:asciiTheme="minorHAnsi" w:hAnsiTheme="minorHAnsi" w:cstheme="minorHAnsi"/>
          <w:color w:val="auto"/>
          <w:u w:val="single"/>
        </w:rPr>
        <w:lastRenderedPageBreak/>
        <w:t>M</w:t>
      </w:r>
      <w:r w:rsidR="007207D5" w:rsidRPr="001C0C4B">
        <w:rPr>
          <w:rFonts w:asciiTheme="minorHAnsi" w:hAnsiTheme="minorHAnsi" w:cstheme="minorHAnsi"/>
          <w:color w:val="auto"/>
          <w:u w:val="single"/>
        </w:rPr>
        <w:t>olnupiravir</w:t>
      </w:r>
      <w:bookmarkEnd w:id="528"/>
      <w:bookmarkEnd w:id="529"/>
      <w:bookmarkEnd w:id="530"/>
      <w:bookmarkEnd w:id="531"/>
      <w:bookmarkEnd w:id="532"/>
    </w:p>
    <w:p w14:paraId="353A841D" w14:textId="77777777" w:rsidR="00D73CFA" w:rsidRPr="001C0C4B" w:rsidRDefault="00D73CFA" w:rsidP="00ED5D50">
      <w:pPr>
        <w:jc w:val="both"/>
        <w:rPr>
          <w:u w:val="single"/>
          <w:lang w:val="en-GB"/>
        </w:rPr>
      </w:pPr>
      <w:r w:rsidRPr="001C0C4B">
        <w:rPr>
          <w:u w:val="single"/>
          <w:lang w:val="en-GB"/>
        </w:rPr>
        <w:t>Rationale</w:t>
      </w:r>
    </w:p>
    <w:p w14:paraId="740FF1E1" w14:textId="223A63EA" w:rsidR="00D73CFA" w:rsidRPr="001C0C4B" w:rsidRDefault="00D73CFA" w:rsidP="00ED5D50">
      <w:pPr>
        <w:jc w:val="both"/>
        <w:rPr>
          <w:lang w:val="en-GB"/>
        </w:rPr>
      </w:pPr>
      <w:r w:rsidRPr="001C0C4B">
        <w:rPr>
          <w:lang w:val="en-GB"/>
        </w:rPr>
        <w:t xml:space="preserve">Molnupiravir is a small molecule ribonucleoside prodrug of N-Hydroxycytidine (NHC). It is phosphorylated intracellularly into NHC triphosphate (NHC-TP). NHC-TP incorporates into viral RNA by viral RNA polymerase causing an accumulation of deleterious errors into the viral genome. This causes “error catastrophe” by increasing the rate of mutation in the viral genome to a level lethal to the virus and causing extinction </w:t>
      </w:r>
      <w:r w:rsidRPr="001C0C4B">
        <w:rPr>
          <w:lang w:val="en-GB"/>
        </w:rPr>
        <w:fldChar w:fldCharType="begin"/>
      </w:r>
      <w:r w:rsidRPr="001C0C4B">
        <w:rPr>
          <w:lang w:val="en-GB"/>
        </w:rPr>
        <w:instrText xml:space="preserve"> ADDIN EN.CITE &lt;EndNote&gt;&lt;Cite&gt;&lt;Author&gt;Singh&lt;/Author&gt;&lt;Year&gt;2021&lt;/Year&gt;&lt;RecNum&gt;26&lt;/RecNum&gt;&lt;DisplayText&gt;(1)&lt;/DisplayText&gt;&lt;record&gt;&lt;rec-number&gt;26&lt;/rec-number&gt;&lt;foreign-keys&gt;&lt;key app="EN" db-id="a529fxfdz0d2are0vx0xptzlxt5sapwf552v" timestamp="1640156998"&gt;26&lt;/key&gt;&lt;/foreign-keys&gt;&lt;ref-type name="Journal Article"&gt;17&lt;/ref-type&gt;&lt;contributors&gt;&lt;authors&gt;&lt;author&gt;Singh, Awadhesh Kumar&lt;/author&gt;&lt;author&gt;Singh, Akriti&lt;/author&gt;&lt;author&gt;Singh, Ritu&lt;/author&gt;&lt;author&gt;Misra, Anoop&lt;/author&gt;&lt;/authors&gt;&lt;/contributors&gt;&lt;titles&gt;&lt;title&gt;Molnupiravir in COVID-19: A systematic review of literature&lt;/title&gt;&lt;secondary-title&gt;Diabetes &amp;amp; Metabolic Syndrome: Clinical Research &amp;amp; Reviews&lt;/secondary-title&gt;&lt;/titles&gt;&lt;periodical&gt;&lt;full-title&gt;Diabetes &amp;amp; Metabolic Syndrome: Clinical Research &amp;amp; Reviews&lt;/full-title&gt;&lt;/periodical&gt;&lt;pages&gt;102329&lt;/pages&gt;&lt;volume&gt;15&lt;/volume&gt;&lt;number&gt;6&lt;/number&gt;&lt;dates&gt;&lt;year&gt;2021&lt;/year&gt;&lt;/dates&gt;&lt;isbn&gt;1871-4021&lt;/isbn&gt;&lt;urls&gt;&lt;/urls&gt;&lt;/record&gt;&lt;/Cite&gt;&lt;/EndNote&gt;</w:instrText>
      </w:r>
      <w:r w:rsidRPr="001C0C4B">
        <w:rPr>
          <w:lang w:val="en-GB"/>
        </w:rPr>
        <w:fldChar w:fldCharType="separate"/>
      </w:r>
      <w:r w:rsidRPr="001C0C4B">
        <w:rPr>
          <w:lang w:val="en-GB"/>
        </w:rPr>
        <w:t>(1)</w:t>
      </w:r>
      <w:r w:rsidRPr="001C0C4B">
        <w:rPr>
          <w:lang w:val="en-GB"/>
        </w:rPr>
        <w:fldChar w:fldCharType="end"/>
      </w:r>
      <w:r w:rsidRPr="001C0C4B">
        <w:rPr>
          <w:lang w:val="en-GB"/>
        </w:rPr>
        <w:t xml:space="preserve">.  </w:t>
      </w:r>
    </w:p>
    <w:p w14:paraId="1AC55157" w14:textId="4F223DBE" w:rsidR="00D73CFA" w:rsidRPr="001C0C4B" w:rsidRDefault="00D73CFA" w:rsidP="00ED5D50">
      <w:pPr>
        <w:jc w:val="both"/>
        <w:rPr>
          <w:lang w:val="en-GB"/>
        </w:rPr>
      </w:pPr>
      <w:r w:rsidRPr="001C0C4B">
        <w:rPr>
          <w:lang w:val="en-GB"/>
        </w:rPr>
        <w:t>Studies of mice infected with SARS-CoV</w:t>
      </w:r>
      <w:r w:rsidR="007207D5" w:rsidRPr="001C0C4B">
        <w:rPr>
          <w:lang w:val="en-GB"/>
        </w:rPr>
        <w:t>-1</w:t>
      </w:r>
      <w:r w:rsidRPr="001C0C4B">
        <w:rPr>
          <w:lang w:val="en-GB"/>
        </w:rPr>
        <w:t xml:space="preserve"> found that EDII-2801 (an orally bioavailable NHC-prodrug) prophylactically and therapeutically improved pulmonary function, and reduced virus titre </w:t>
      </w:r>
      <w:r w:rsidRPr="001C0C4B">
        <w:rPr>
          <w:lang w:val="en-GB"/>
        </w:rPr>
        <w:fldChar w:fldCharType="begin"/>
      </w:r>
      <w:r w:rsidRPr="001C0C4B">
        <w:rPr>
          <w:lang w:val="en-GB"/>
        </w:rPr>
        <w:instrText xml:space="preserve"> ADDIN EN.CITE &lt;EndNote&gt;&lt;Cite&gt;&lt;Author&gt;Sheahan&lt;/Author&gt;&lt;Year&gt;2020&lt;/Year&gt;&lt;RecNum&gt;27&lt;/RecNum&gt;&lt;DisplayText&gt;(2)&lt;/DisplayText&gt;&lt;record&gt;&lt;rec-number&gt;27&lt;/rec-number&gt;&lt;foreign-keys&gt;&lt;key app="EN" db-id="a529fxfdz0d2are0vx0xptzlxt5sapwf552v" timestamp="1640157317"&gt;27&lt;/key&gt;&lt;/foreign-keys&gt;&lt;ref-type name="Journal Article"&gt;17&lt;/ref-type&gt;&lt;contributors&gt;&lt;authors&gt;&lt;author&gt;Sheahan, Timothy P&lt;/author&gt;&lt;author&gt;Sims, Amy C&lt;/author&gt;&lt;author&gt;Zhou, Shuntai&lt;/author&gt;&lt;author&gt;Graham, Rachel L&lt;/author&gt;&lt;author&gt;Hill, Collin S&lt;/author&gt;&lt;author&gt;Leist, Sarah R&lt;/author&gt;&lt;author&gt;Schäfer, Alexandra&lt;/author&gt;&lt;author&gt;Dinnon, Kenneth H&lt;/author&gt;&lt;author&gt;Montgomery, Stephanie A&lt;/author&gt;&lt;author&gt;Agostini, Maria L&lt;/author&gt;&lt;/authors&gt;&lt;/contributors&gt;&lt;titles&gt;&lt;title&gt;An orally bioavailable broad-spectrum antiviral inhibits SARS-CoV-2 and multiple endemic, epidemic and bat coronavirus&lt;/title&gt;&lt;secondary-title&gt;Biorxiv&lt;/secondary-title&gt;&lt;/titles&gt;&lt;periodical&gt;&lt;full-title&gt;BioRxiv&lt;/full-title&gt;&lt;/periodical&gt;&lt;dates&gt;&lt;year&gt;2020&lt;/year&gt;&lt;/dates&gt;&lt;urls&gt;&lt;/urls&gt;&lt;/record&gt;&lt;/Cite&gt;&lt;/EndNote&gt;</w:instrText>
      </w:r>
      <w:r w:rsidRPr="001C0C4B">
        <w:rPr>
          <w:lang w:val="en-GB"/>
        </w:rPr>
        <w:fldChar w:fldCharType="separate"/>
      </w:r>
      <w:r w:rsidRPr="001C0C4B">
        <w:rPr>
          <w:lang w:val="en-GB"/>
        </w:rPr>
        <w:t>(2)</w:t>
      </w:r>
      <w:r w:rsidRPr="001C0C4B">
        <w:rPr>
          <w:lang w:val="en-GB"/>
        </w:rPr>
        <w:fldChar w:fldCharType="end"/>
      </w:r>
      <w:r w:rsidRPr="001C0C4B">
        <w:rPr>
          <w:lang w:val="en-GB"/>
        </w:rPr>
        <w:t xml:space="preserve">. An </w:t>
      </w:r>
      <w:r w:rsidRPr="001C0C4B">
        <w:rPr>
          <w:i/>
          <w:lang w:val="en-GB"/>
        </w:rPr>
        <w:t>in vivo</w:t>
      </w:r>
      <w:r w:rsidRPr="001C0C4B">
        <w:rPr>
          <w:lang w:val="en-GB"/>
        </w:rPr>
        <w:t xml:space="preserve"> study on human lung-only mice found that molnupiravir dramatically inhibited the replication of SARS-CoV-2 </w:t>
      </w:r>
      <w:r w:rsidRPr="001C0C4B">
        <w:rPr>
          <w:lang w:val="en-GB"/>
        </w:rPr>
        <w:fldChar w:fldCharType="begin"/>
      </w:r>
      <w:r w:rsidRPr="001C0C4B">
        <w:rPr>
          <w:lang w:val="en-GB"/>
        </w:rPr>
        <w:instrText xml:space="preserve"> ADDIN EN.CITE &lt;EndNote&gt;&lt;Cite&gt;&lt;Author&gt;Wahl&lt;/Author&gt;&lt;Year&gt;2021&lt;/Year&gt;&lt;RecNum&gt;29&lt;/RecNum&gt;&lt;DisplayText&gt;(3)&lt;/DisplayText&gt;&lt;record&gt;&lt;rec-number&gt;29&lt;/rec-number&gt;&lt;foreign-keys&gt;&lt;key app="EN" db-id="a529fxfdz0d2are0vx0xptzlxt5sapwf552v" timestamp="1640184276"&gt;29&lt;/key&gt;&lt;/foreign-keys&gt;&lt;ref-type name="Journal Article"&gt;17&lt;/ref-type&gt;&lt;contributors&gt;&lt;authors&gt;&lt;author&gt;Wahl, Angela&lt;/author&gt;&lt;author&gt;Gralinski, Lisa E&lt;/author&gt;&lt;author&gt;Johnson, Claire E&lt;/author&gt;&lt;author&gt;Yao, Wenbo&lt;/author&gt;&lt;author&gt;Kovarova, Martina&lt;/author&gt;&lt;author&gt;Dinnon, Kenneth H&lt;/author&gt;&lt;author&gt;Liu, Hongwei&lt;/author&gt;&lt;author&gt;Madden, Victoria J&lt;/author&gt;&lt;author&gt;Krzystek, Halina M&lt;/author&gt;&lt;author&gt;De, Chandrav&lt;/author&gt;&lt;/authors&gt;&lt;/contributors&gt;&lt;titles&gt;&lt;title&gt;SARS-CoV-2 infection is effectively treated and prevented by EIDD-2801&lt;/title&gt;&lt;secondary-title&gt;Nature&lt;/secondary-title&gt;&lt;/titles&gt;&lt;periodical&gt;&lt;full-title&gt;Nature&lt;/full-title&gt;&lt;/periodical&gt;&lt;pages&gt;451-457&lt;/pages&gt;&lt;volume&gt;591&lt;/volume&gt;&lt;number&gt;7850&lt;/number&gt;&lt;dates&gt;&lt;year&gt;2021&lt;/year&gt;&lt;/dates&gt;&lt;isbn&gt;1476-4687&lt;/isbn&gt;&lt;urls&gt;&lt;/urls&gt;&lt;/record&gt;&lt;/Cite&gt;&lt;/EndNote&gt;</w:instrText>
      </w:r>
      <w:r w:rsidRPr="001C0C4B">
        <w:rPr>
          <w:lang w:val="en-GB"/>
        </w:rPr>
        <w:fldChar w:fldCharType="separate"/>
      </w:r>
      <w:r w:rsidRPr="001C0C4B">
        <w:rPr>
          <w:lang w:val="en-GB"/>
        </w:rPr>
        <w:t>(3)</w:t>
      </w:r>
      <w:r w:rsidRPr="001C0C4B">
        <w:rPr>
          <w:lang w:val="en-GB"/>
        </w:rPr>
        <w:fldChar w:fldCharType="end"/>
      </w:r>
      <w:r w:rsidRPr="001C0C4B">
        <w:rPr>
          <w:lang w:val="en-GB"/>
        </w:rPr>
        <w:t xml:space="preserve">. A Phase 1 safety trial of doses up to 1600MG per day found molnupiravir was well tolerated with the incidence of adverse effects was highest in the placebo arm </w:t>
      </w:r>
      <w:r w:rsidRPr="001C0C4B">
        <w:rPr>
          <w:lang w:val="en-GB"/>
        </w:rPr>
        <w:fldChar w:fldCharType="begin"/>
      </w:r>
      <w:r w:rsidRPr="001C0C4B">
        <w:rPr>
          <w:lang w:val="en-GB"/>
        </w:rPr>
        <w:instrText xml:space="preserve"> ADDIN EN.CITE &lt;EndNote&gt;&lt;Cite&gt;&lt;Author&gt;Painter&lt;/Author&gt;&lt;Year&gt;2021&lt;/Year&gt;&lt;RecNum&gt;22&lt;/RecNum&gt;&lt;DisplayText&gt;(4)&lt;/DisplayText&gt;&lt;record&gt;&lt;rec-number&gt;22&lt;/rec-number&gt;&lt;foreign-keys&gt;&lt;key app="EN" db-id="a529fxfdz0d2are0vx0xptzlxt5sapwf552v" timestamp="1640080637"&gt;22&lt;/key&gt;&lt;/foreign-keys&gt;&lt;ref-type name="Journal Article"&gt;17&lt;/ref-type&gt;&lt;contributors&gt;&lt;authors&gt;&lt;author&gt;Painter, Wendy P&lt;/author&gt;&lt;author&gt;Holman, Wayne&lt;/author&gt;&lt;author&gt;Bush, Jim A&lt;/author&gt;&lt;author&gt;Almazedi, Firas&lt;/author&gt;&lt;author&gt;Malik, Hamzah&lt;/author&gt;&lt;author&gt;Eraut, Nicola CJE&lt;/author&gt;&lt;author&gt;Morin, Merribeth J&lt;/author&gt;&lt;author&gt;Szewczyk, Laura J&lt;/author&gt;&lt;author&gt;Painter, George R&lt;/author&gt;&lt;/authors&gt;&lt;/contributors&gt;&lt;titles&gt;&lt;title&gt;Human safety, tolerability, and pharmacokinetics of molnupiravir, a novel broad-spectrum oral antiviral agent with activity against SARS-CoV-2&lt;/title&gt;&lt;secondary-title&gt;Antimicrobial agents and chemotherapy&lt;/secondary-title&gt;&lt;/titles&gt;&lt;periodical&gt;&lt;full-title&gt;Antimicrobial agents and chemotherapy&lt;/full-title&gt;&lt;/periodical&gt;&lt;pages&gt;e02428-20&lt;/pages&gt;&lt;volume&gt;65&lt;/volume&gt;&lt;number&gt;5&lt;/number&gt;&lt;dates&gt;&lt;year&gt;2021&lt;/year&gt;&lt;/dates&gt;&lt;isbn&gt;0066-4804&lt;/isbn&gt;&lt;urls&gt;&lt;/urls&gt;&lt;/record&gt;&lt;/Cite&gt;&lt;/EndNote&gt;</w:instrText>
      </w:r>
      <w:r w:rsidRPr="001C0C4B">
        <w:rPr>
          <w:lang w:val="en-GB"/>
        </w:rPr>
        <w:fldChar w:fldCharType="separate"/>
      </w:r>
      <w:r w:rsidRPr="001C0C4B">
        <w:rPr>
          <w:lang w:val="en-GB"/>
        </w:rPr>
        <w:t>(4)</w:t>
      </w:r>
      <w:r w:rsidRPr="001C0C4B">
        <w:rPr>
          <w:lang w:val="en-GB"/>
        </w:rPr>
        <w:fldChar w:fldCharType="end"/>
      </w:r>
      <w:r w:rsidRPr="001C0C4B">
        <w:rPr>
          <w:lang w:val="en-GB"/>
        </w:rPr>
        <w:t xml:space="preserve">. Another Phase 1 trial concluded molnupiravir was safe and well tolerated and advised 800MG BD for 5 days </w:t>
      </w:r>
      <w:r w:rsidRPr="001C0C4B">
        <w:rPr>
          <w:lang w:val="en-GB"/>
        </w:rPr>
        <w:fldChar w:fldCharType="begin"/>
      </w:r>
      <w:r w:rsidRPr="001C0C4B">
        <w:rPr>
          <w:lang w:val="en-GB"/>
        </w:rPr>
        <w:instrText xml:space="preserve"> ADDIN EN.CITE &lt;EndNote&gt;&lt;Cite&gt;&lt;Author&gt;Khoo&lt;/Author&gt;&lt;Year&gt;2021&lt;/Year&gt;&lt;RecNum&gt;19&lt;/RecNum&gt;&lt;DisplayText&gt;(5)&lt;/DisplayText&gt;&lt;record&gt;&lt;rec-number&gt;19&lt;/rec-number&gt;&lt;foreign-keys&gt;&lt;key app="EN" db-id="a529fxfdz0d2are0vx0xptzlxt5sapwf552v" timestamp="1640079958"&gt;19&lt;/key&gt;&lt;/foreign-keys&gt;&lt;ref-type name="Journal Article"&gt;17&lt;/ref-type&gt;&lt;contributors&gt;&lt;authors&gt;&lt;author&gt;Khoo, Saye H&lt;/author&gt;&lt;author&gt;Fitzgerald, Richard&lt;/author&gt;&lt;author&gt;Fletcher, Thomas&lt;/author&gt;&lt;author&gt;Ewings, Sean&lt;/author&gt;&lt;author&gt;Jaki, Thomas&lt;/author&gt;&lt;author&gt;Lyon, Rebecca&lt;/author&gt;&lt;author&gt;Downs, Nichola&lt;/author&gt;&lt;author&gt;Walker, Lauren&lt;/author&gt;&lt;author&gt;Tansley-Hancock, Olana&lt;/author&gt;&lt;author&gt;Greenhalf, William&lt;/author&gt;&lt;/authors&gt;&lt;/contributors&gt;&lt;titles&gt;&lt;title&gt;Optimal dose and safety of molnupiravir in patients with early SARS-CoV-2: a Phase I, open-label, dose-escalating, randomized controlled study&lt;/title&gt;&lt;secondary-title&gt;Journal of Antimicrobial Chemotherapy&lt;/secondary-title&gt;&lt;/titles&gt;&lt;periodical&gt;&lt;full-title&gt;Journal of Antimicrobial Chemotherapy&lt;/full-title&gt;&lt;/periodical&gt;&lt;pages&gt;3286-3295&lt;/pages&gt;&lt;volume&gt;76&lt;/volume&gt;&lt;number&gt;12&lt;/number&gt;&lt;dates&gt;&lt;year&gt;2021&lt;/year&gt;&lt;/dates&gt;&lt;isbn&gt;0305-7453&lt;/isbn&gt;&lt;urls&gt;&lt;/urls&gt;&lt;/record&gt;&lt;/Cite&gt;&lt;/EndNote&gt;</w:instrText>
      </w:r>
      <w:r w:rsidRPr="001C0C4B">
        <w:rPr>
          <w:lang w:val="en-GB"/>
        </w:rPr>
        <w:fldChar w:fldCharType="separate"/>
      </w:r>
      <w:r w:rsidRPr="001C0C4B">
        <w:rPr>
          <w:lang w:val="en-GB"/>
        </w:rPr>
        <w:t>(5)</w:t>
      </w:r>
      <w:r w:rsidRPr="001C0C4B">
        <w:rPr>
          <w:lang w:val="en-GB"/>
        </w:rPr>
        <w:fldChar w:fldCharType="end"/>
      </w:r>
      <w:r w:rsidRPr="001C0C4B">
        <w:rPr>
          <w:lang w:val="en-GB"/>
        </w:rPr>
        <w:t>.</w:t>
      </w:r>
    </w:p>
    <w:p w14:paraId="1ECE39E5" w14:textId="77777777" w:rsidR="00D73CFA" w:rsidRPr="001C0C4B" w:rsidRDefault="00D73CFA" w:rsidP="00ED5D50">
      <w:pPr>
        <w:jc w:val="both"/>
        <w:rPr>
          <w:lang w:val="en-GB"/>
        </w:rPr>
      </w:pPr>
      <w:r w:rsidRPr="001C0C4B">
        <w:rPr>
          <w:lang w:val="en-GB"/>
        </w:rPr>
        <w:t>A Phase 2 trial compared viral clearance to a range of doses and found that by day 5, virus was not isolated for those receiving 400 or 800MG BD of molnupiravir (0/42 and 0/53 respectively), compared to 11.1% (6/54) in the placebo group (p = 0.03).</w:t>
      </w:r>
    </w:p>
    <w:p w14:paraId="688FBE03" w14:textId="07615E13" w:rsidR="00D73CFA" w:rsidRPr="001C0C4B" w:rsidRDefault="00D73CFA" w:rsidP="00ED5D50">
      <w:pPr>
        <w:jc w:val="both"/>
        <w:rPr>
          <w:lang w:val="en-GB"/>
        </w:rPr>
      </w:pPr>
      <w:r w:rsidRPr="001C0C4B">
        <w:rPr>
          <w:lang w:val="en-GB"/>
        </w:rPr>
        <w:t>The drug manufacturer, Merck</w:t>
      </w:r>
      <w:r w:rsidR="007207D5" w:rsidRPr="001C0C4B">
        <w:rPr>
          <w:lang w:val="en-GB"/>
        </w:rPr>
        <w:t>, Sharpe &amp; Dohme (MSD)</w:t>
      </w:r>
      <w:r w:rsidRPr="001C0C4B">
        <w:rPr>
          <w:lang w:val="en-GB"/>
        </w:rPr>
        <w:t xml:space="preserve">, performed a double blind randomised, placebo-controlled trial, which gave molnupiravir within 5 days of symptoms to non-hospitalised, unvaccinated adults with mild/moderate COVID-19 and at least 1 risk factor for severe COVID-19. Dose was 800MG BD for 5 days. Primary efficacy end point was hospitalisation due to any cause or death at day 29. Interim results showed that 28 out of 285 (7.3%) patients given molnupiravir had been hospitalised or died, compared to 53 out of 377 (14.1%) in the placebo group (-6.8% difference, −11.3 to −2.4; P=0.001). In addition the all-randomised analysis also showed that molnupiravir treatment was associated with greater reductions from baseline in mean viral load than placebo at days 3, 5 and 10 </w:t>
      </w:r>
      <w:r w:rsidRPr="001C0C4B">
        <w:rPr>
          <w:lang w:val="en-GB"/>
        </w:rPr>
        <w:fldChar w:fldCharType="begin"/>
      </w:r>
      <w:r w:rsidRPr="001C0C4B">
        <w:rPr>
          <w:lang w:val="en-GB"/>
        </w:rPr>
        <w:instrText xml:space="preserve"> ADDIN EN.CITE &lt;EndNote&gt;&lt;Cite&gt;&lt;Author&gt;Jayk Bernal&lt;/Author&gt;&lt;Year&gt;2021&lt;/Year&gt;&lt;RecNum&gt;25&lt;/RecNum&gt;&lt;DisplayText&gt;(6)&lt;/DisplayText&gt;&lt;record&gt;&lt;rec-number&gt;25&lt;/rec-number&gt;&lt;foreign-keys&gt;&lt;key app="EN" db-id="a529fxfdz0d2are0vx0xptzlxt5sapwf552v" timestamp="1640156609"&gt;25&lt;/key&gt;&lt;/foreign-keys&gt;&lt;ref-type name="Journal Article"&gt;17&lt;/ref-type&gt;&lt;contributors&gt;&lt;authors&gt;&lt;author&gt;Jayk Bernal, Angélica&lt;/author&gt;&lt;author&gt;Gomes da Silva, Monica M&lt;/author&gt;&lt;author&gt;Musungaie, Dany B&lt;/author&gt;&lt;author&gt;Kovalchuk, Evgeniy&lt;/author&gt;&lt;author&gt;Gonzalez, Antonio&lt;/author&gt;&lt;author&gt;Delos Reyes, Virginia&lt;/author&gt;&lt;author&gt;Martín-Quirós, Alejandro&lt;/author&gt;&lt;author&gt;Caraco, Yoseph&lt;/author&gt;&lt;author&gt;Williams-Diaz, Angela&lt;/author&gt;&lt;author&gt;Brown, Michelle L&lt;/author&gt;&lt;/authors&gt;&lt;/contributors&gt;&lt;titles&gt;&lt;title&gt;Molnupiravir for oral treatment of Covid-19 in nonhospitalized patients&lt;/title&gt;&lt;secondary-title&gt;New England Journal of Medicine&lt;/secondary-title&gt;&lt;/titles&gt;&lt;periodical&gt;&lt;full-title&gt;New England Journal of Medicine&lt;/full-title&gt;&lt;/periodical&gt;&lt;dates&gt;&lt;year&gt;2021&lt;/year&gt;&lt;/dates&gt;&lt;isbn&gt;0028-4793&lt;/isbn&gt;&lt;urls&gt;&lt;/urls&gt;&lt;/record&gt;&lt;/Cite&gt;&lt;/EndNote&gt;</w:instrText>
      </w:r>
      <w:r w:rsidRPr="001C0C4B">
        <w:rPr>
          <w:lang w:val="en-GB"/>
        </w:rPr>
        <w:fldChar w:fldCharType="separate"/>
      </w:r>
      <w:r w:rsidRPr="001C0C4B">
        <w:rPr>
          <w:lang w:val="en-GB"/>
        </w:rPr>
        <w:t>(6)</w:t>
      </w:r>
      <w:r w:rsidRPr="001C0C4B">
        <w:rPr>
          <w:lang w:val="en-GB"/>
        </w:rPr>
        <w:fldChar w:fldCharType="end"/>
      </w:r>
      <w:r w:rsidRPr="001C0C4B">
        <w:rPr>
          <w:lang w:val="en-GB"/>
        </w:rPr>
        <w:t>.</w:t>
      </w:r>
    </w:p>
    <w:p w14:paraId="64DA2010" w14:textId="18F10BD4" w:rsidR="00D73CFA" w:rsidRPr="001C0C4B" w:rsidRDefault="00D73CFA" w:rsidP="00ED5D50">
      <w:pPr>
        <w:jc w:val="both"/>
        <w:rPr>
          <w:lang w:val="en-GB"/>
        </w:rPr>
      </w:pPr>
      <w:r w:rsidRPr="001C0C4B">
        <w:rPr>
          <w:lang w:val="en-GB"/>
        </w:rPr>
        <w:t xml:space="preserve">However, when the data was presented to the FDA for approval, further analysis showed lower effectiveness. A press release showed data from all enrolled patients and found that the risk of hospitalisation in the molnupiravir group was 9.7% (68/699) compared to 6.8% (48/709) in the control group. The absolute risk reduction was 3.0% (0.1 to 5.9; p-value =0.0218).  A 50% decrease from the interim results </w:t>
      </w:r>
      <w:r w:rsidRPr="001C0C4B">
        <w:rPr>
          <w:lang w:val="en-GB"/>
        </w:rPr>
        <w:fldChar w:fldCharType="begin"/>
      </w:r>
      <w:r w:rsidRPr="001C0C4B">
        <w:rPr>
          <w:lang w:val="en-GB"/>
        </w:rPr>
        <w:instrText xml:space="preserve"> ADDIN EN.CITE &lt;EndNote&gt;&lt;Cite&gt;&lt;Author&gt;Merck &amp;amp; Co.&lt;/Author&gt;&lt;Year&gt;2021&lt;/Year&gt;&lt;RecNum&gt;28&lt;/RecNum&gt;&lt;DisplayText&gt;(7)&lt;/DisplayText&gt;&lt;record&gt;&lt;rec-number&gt;28&lt;/rec-number&gt;&lt;foreign-keys&gt;&lt;key app="EN" db-id="a529fxfdz0d2are0vx0xptzlxt5sapwf552v" timestamp="1640167951"&gt;28&lt;/key&gt;&lt;/foreign-keys&gt;&lt;ref-type name="Press Release"&gt;63&lt;/ref-type&gt;&lt;contributors&gt;&lt;authors&gt;&lt;author&gt;Merck &amp;amp; Co., Inc.&lt;/author&gt;&lt;/authors&gt;&lt;/contributors&gt;&lt;titles&gt;&lt;title&gt;Merck and Ridgeback Biotherapeutics Provide Update on Results from MOVe-OUT Study of Molnupiravir, an Investigational Oral Antiviral Medicine, in At Risk Adults With Mild-to-Moderate COVID-19&lt;/title&gt;&lt;/titles&gt;&lt;dates&gt;&lt;year&gt;2021&lt;/year&gt;&lt;pub-dates&gt;&lt;date&gt;26/November/2021&lt;/date&gt;&lt;/pub-dates&gt;&lt;/dates&gt;&lt;urls&gt;&lt;related-urls&gt;&lt;url&gt;https://www.merck.com/news/merck-and-ridgeback-biotherapeutics-provide-update-on-results-from-move-out-study-of-molnupiravir-an-investigational-oral-antiviral-medicine-in-at-risk-adults-with-mild-to-moderate-covid-19/&lt;/url&gt;&lt;/related-urls&gt;&lt;/urls&gt;&lt;/record&gt;&lt;/Cite&gt;&lt;/EndNote&gt;</w:instrText>
      </w:r>
      <w:r w:rsidRPr="001C0C4B">
        <w:rPr>
          <w:lang w:val="en-GB"/>
        </w:rPr>
        <w:fldChar w:fldCharType="separate"/>
      </w:r>
      <w:r w:rsidRPr="001C0C4B">
        <w:rPr>
          <w:lang w:val="en-GB"/>
        </w:rPr>
        <w:t>(7)</w:t>
      </w:r>
      <w:r w:rsidRPr="001C0C4B">
        <w:rPr>
          <w:lang w:val="en-GB"/>
        </w:rPr>
        <w:fldChar w:fldCharType="end"/>
      </w:r>
      <w:r w:rsidRPr="001C0C4B">
        <w:rPr>
          <w:lang w:val="en-GB"/>
        </w:rPr>
        <w:t>.</w:t>
      </w:r>
    </w:p>
    <w:p w14:paraId="1F0CFC94" w14:textId="77777777" w:rsidR="00D73CFA" w:rsidRPr="001C0C4B" w:rsidRDefault="00D73CFA" w:rsidP="00ED5D50">
      <w:pPr>
        <w:jc w:val="both"/>
        <w:rPr>
          <w:u w:val="single"/>
          <w:lang w:val="en-GB"/>
        </w:rPr>
      </w:pPr>
      <w:r w:rsidRPr="001C0C4B">
        <w:rPr>
          <w:u w:val="single"/>
          <w:lang w:val="en-GB"/>
        </w:rPr>
        <w:t>Composition &amp; dose</w:t>
      </w:r>
    </w:p>
    <w:p w14:paraId="5042696B" w14:textId="719E6752" w:rsidR="00D73CFA" w:rsidRPr="001C0C4B" w:rsidRDefault="00D73CFA" w:rsidP="00ED5D50">
      <w:pPr>
        <w:jc w:val="both"/>
        <w:rPr>
          <w:lang w:val="en-GB"/>
        </w:rPr>
      </w:pPr>
      <w:r w:rsidRPr="001C0C4B">
        <w:rPr>
          <w:lang w:val="en-GB"/>
        </w:rPr>
        <w:t>Each Lagevrio® capsule contains 200 mg of molnupiravir, recommended dose is 800mg taken orally every 12 hours for 5 days.</w:t>
      </w:r>
      <w:r w:rsidR="007207D5" w:rsidRPr="001C0C4B">
        <w:rPr>
          <w:lang w:val="en-GB"/>
        </w:rPr>
        <w:t xml:space="preserve"> Molnupiravir is being made by MSD, as well as under license by a number of generics manufacturers. </w:t>
      </w:r>
    </w:p>
    <w:p w14:paraId="64EEB2BE" w14:textId="4E408765" w:rsidR="007207D5" w:rsidRPr="001C0C4B" w:rsidRDefault="007207D5" w:rsidP="00ED5D50">
      <w:pPr>
        <w:spacing w:after="120" w:line="276" w:lineRule="auto"/>
        <w:jc w:val="both"/>
        <w:rPr>
          <w:rFonts w:ascii="Calibri" w:hAnsi="Calibri"/>
        </w:rPr>
      </w:pPr>
      <w:r w:rsidRPr="001C0C4B">
        <w:rPr>
          <w:rFonts w:ascii="Calibri" w:hAnsi="Calibri"/>
        </w:rPr>
        <w:t xml:space="preserve">Molnupiravir will either be obtained by the sponsor or the local teams from a reliable manufacturer (including high-quality generics manufacturers). </w:t>
      </w:r>
    </w:p>
    <w:p w14:paraId="1ED31BCB" w14:textId="77777777" w:rsidR="00D73CFA" w:rsidRPr="001C0C4B" w:rsidRDefault="00D73CFA" w:rsidP="00ED5D50">
      <w:pPr>
        <w:jc w:val="both"/>
        <w:rPr>
          <w:lang w:val="en-GB"/>
        </w:rPr>
      </w:pPr>
      <w:r w:rsidRPr="001C0C4B">
        <w:rPr>
          <w:lang w:val="en-GB"/>
        </w:rPr>
        <w:t>Should be given within 5 days of onset of symptoms.</w:t>
      </w:r>
    </w:p>
    <w:p w14:paraId="23DE0022" w14:textId="77777777" w:rsidR="00D73CFA" w:rsidRPr="001C0C4B" w:rsidRDefault="00D73CFA" w:rsidP="00ED5D50">
      <w:pPr>
        <w:jc w:val="both"/>
        <w:rPr>
          <w:u w:val="single"/>
          <w:lang w:val="en-GB"/>
        </w:rPr>
      </w:pPr>
      <w:r w:rsidRPr="001C0C4B">
        <w:rPr>
          <w:u w:val="single"/>
          <w:lang w:val="en-GB"/>
        </w:rPr>
        <w:t>Pharmacokinetic characteristics</w:t>
      </w:r>
    </w:p>
    <w:p w14:paraId="16B7D379" w14:textId="725F741E" w:rsidR="00D73CFA" w:rsidRPr="001C0C4B" w:rsidRDefault="00D73CFA" w:rsidP="00ED5D50">
      <w:pPr>
        <w:jc w:val="both"/>
        <w:rPr>
          <w:lang w:val="en-GB"/>
        </w:rPr>
      </w:pPr>
      <w:r w:rsidRPr="001C0C4B">
        <w:rPr>
          <w:lang w:val="en-GB"/>
        </w:rPr>
        <w:t>Molnupiravir is a prodrug metabolised to the ribonucleoside analogue N-Hydroxycytidine (NHC) and phosphorylated to the active ribonucleoside triphosphate (NHC-TP).  Following twice daily oral administration of 800 mg molnupiravir, median time to peak plasma NHC concentrations is 1.5 hours. The effective half-life of NHC is approximately 3.3 hours. It can be taken with or without food.</w:t>
      </w:r>
    </w:p>
    <w:p w14:paraId="3595B484" w14:textId="77777777" w:rsidR="00424FDD" w:rsidRPr="001C0C4B" w:rsidRDefault="00424FDD" w:rsidP="00424FDD">
      <w:pPr>
        <w:rPr>
          <w:lang w:val="en-GB"/>
        </w:rPr>
      </w:pPr>
      <w:r w:rsidRPr="001C0C4B">
        <w:rPr>
          <w:lang w:val="en-GB"/>
        </w:rPr>
        <w:t>Pharmacokinetic sampling schedule: (only if there is evidence of accelerated viral clearance)</w:t>
      </w:r>
    </w:p>
    <w:p w14:paraId="3AB9C9DF" w14:textId="77777777" w:rsidR="00424FDD" w:rsidRPr="001C0C4B" w:rsidRDefault="00424FDD" w:rsidP="00424FDD">
      <w:pPr>
        <w:spacing w:after="120" w:line="276" w:lineRule="auto"/>
        <w:jc w:val="both"/>
        <w:rPr>
          <w:rFonts w:ascii="Calibri" w:hAnsi="Calibri"/>
        </w:rPr>
      </w:pPr>
      <w:r w:rsidRPr="001C0C4B">
        <w:rPr>
          <w:rFonts w:ascii="Calibri" w:hAnsi="Calibri"/>
        </w:rPr>
        <w:lastRenderedPageBreak/>
        <w:t xml:space="preserve">The timings are: </w:t>
      </w:r>
    </w:p>
    <w:p w14:paraId="04824A74" w14:textId="77777777" w:rsidR="00424FDD" w:rsidRPr="001C0C4B" w:rsidRDefault="00424FDD" w:rsidP="00424FDD">
      <w:pPr>
        <w:pStyle w:val="bullet1"/>
        <w:numPr>
          <w:ilvl w:val="0"/>
          <w:numId w:val="11"/>
        </w:numPr>
        <w:spacing w:line="276" w:lineRule="auto"/>
        <w:ind w:left="357" w:hanging="357"/>
        <w:jc w:val="both"/>
        <w:rPr>
          <w:rFonts w:ascii="Calibri" w:hAnsi="Calibri"/>
          <w:lang w:val="en-GB"/>
        </w:rPr>
      </w:pPr>
      <w:r w:rsidRPr="001C0C4B">
        <w:rPr>
          <w:rFonts w:ascii="Calibri" w:hAnsi="Calibri"/>
          <w:lang w:val="en-GB"/>
        </w:rPr>
        <w:t>Pre-dose D0H0, then</w:t>
      </w:r>
    </w:p>
    <w:p w14:paraId="156F00D6" w14:textId="77777777" w:rsidR="00424FDD" w:rsidRPr="001C0C4B" w:rsidRDefault="00424FDD" w:rsidP="00424FDD">
      <w:pPr>
        <w:pStyle w:val="bullet1"/>
        <w:numPr>
          <w:ilvl w:val="0"/>
          <w:numId w:val="11"/>
        </w:numPr>
        <w:spacing w:line="276" w:lineRule="auto"/>
        <w:ind w:left="357" w:hanging="357"/>
        <w:jc w:val="both"/>
        <w:rPr>
          <w:rFonts w:ascii="Calibri" w:hAnsi="Calibri"/>
          <w:lang w:val="en-GB"/>
        </w:rPr>
      </w:pPr>
      <w:r w:rsidRPr="001C0C4B">
        <w:rPr>
          <w:rFonts w:ascii="Calibri" w:hAnsi="Calibri"/>
          <w:lang w:val="en-GB"/>
        </w:rPr>
        <w:t>1, 2, 3, 4, 6, 9, 12 and 24h post dose</w:t>
      </w:r>
    </w:p>
    <w:p w14:paraId="25388880" w14:textId="692410EB" w:rsidR="00D73CFA" w:rsidRPr="001C0C4B" w:rsidRDefault="00424FDD" w:rsidP="00ED5D50">
      <w:pPr>
        <w:spacing w:after="120" w:line="276" w:lineRule="auto"/>
        <w:jc w:val="both"/>
        <w:rPr>
          <w:rFonts w:ascii="Calibri" w:hAnsi="Calibri"/>
        </w:rPr>
      </w:pPr>
      <w:r w:rsidRPr="001C0C4B">
        <w:rPr>
          <w:rFonts w:ascii="Calibri" w:hAnsi="Calibri"/>
        </w:rPr>
        <w:t>Note that blood will be taken on D3 and D7 for routine haematology and biochemistry. The EDTA sample will be used to measure the drug concentrations.</w:t>
      </w:r>
    </w:p>
    <w:p w14:paraId="04D94B2E" w14:textId="77777777" w:rsidR="00D73CFA" w:rsidRPr="001C0C4B" w:rsidRDefault="00D73CFA" w:rsidP="00ED5D50">
      <w:pPr>
        <w:jc w:val="both"/>
        <w:rPr>
          <w:u w:val="single"/>
          <w:lang w:val="en-GB"/>
        </w:rPr>
      </w:pPr>
      <w:r w:rsidRPr="001C0C4B">
        <w:rPr>
          <w:u w:val="single"/>
          <w:lang w:val="en-GB"/>
        </w:rPr>
        <w:t>Toxicity</w:t>
      </w:r>
    </w:p>
    <w:p w14:paraId="07F9D26B" w14:textId="52F69444" w:rsidR="00D73CFA" w:rsidRPr="001C0C4B" w:rsidRDefault="00D73CFA" w:rsidP="00ED5D50">
      <w:pPr>
        <w:jc w:val="both"/>
        <w:rPr>
          <w:lang w:val="en-GB"/>
        </w:rPr>
      </w:pPr>
      <w:r w:rsidRPr="001C0C4B">
        <w:rPr>
          <w:lang w:val="en-GB"/>
        </w:rPr>
        <w:t xml:space="preserve">Highest dose tested in safety trials was 800MG BD, found to have a 0.9% probability of having 30% excess toxicity compared to control therefore considered safe </w:t>
      </w:r>
      <w:r w:rsidRPr="001C0C4B">
        <w:rPr>
          <w:lang w:val="en-GB"/>
        </w:rPr>
        <w:fldChar w:fldCharType="begin"/>
      </w:r>
      <w:r w:rsidRPr="001C0C4B">
        <w:rPr>
          <w:lang w:val="en-GB"/>
        </w:rPr>
        <w:instrText xml:space="preserve"> ADDIN EN.CITE &lt;EndNote&gt;&lt;Cite&gt;&lt;Author&gt;Khoo&lt;/Author&gt;&lt;Year&gt;2021&lt;/Year&gt;&lt;RecNum&gt;19&lt;/RecNum&gt;&lt;DisplayText&gt;(5)&lt;/DisplayText&gt;&lt;record&gt;&lt;rec-number&gt;19&lt;/rec-number&gt;&lt;foreign-keys&gt;&lt;key app="EN" db-id="a529fxfdz0d2are0vx0xptzlxt5sapwf552v" timestamp="1640079958"&gt;19&lt;/key&gt;&lt;/foreign-keys&gt;&lt;ref-type name="Journal Article"&gt;17&lt;/ref-type&gt;&lt;contributors&gt;&lt;authors&gt;&lt;author&gt;Khoo, Saye H&lt;/author&gt;&lt;author&gt;Fitzgerald, Richard&lt;/author&gt;&lt;author&gt;Fletcher, Thomas&lt;/author&gt;&lt;author&gt;Ewings, Sean&lt;/author&gt;&lt;author&gt;Jaki, Thomas&lt;/author&gt;&lt;author&gt;Lyon, Rebecca&lt;/author&gt;&lt;author&gt;Downs, Nichola&lt;/author&gt;&lt;author&gt;Walker, Lauren&lt;/author&gt;&lt;author&gt;Tansley-Hancock, Olana&lt;/author&gt;&lt;author&gt;Greenhalf, William&lt;/author&gt;&lt;/authors&gt;&lt;/contributors&gt;&lt;titles&gt;&lt;title&gt;Optimal dose and safety of molnupiravir in patients with early SARS-CoV-2: a Phase I, open-label, dose-escalating, randomized controlled study&lt;/title&gt;&lt;secondary-title&gt;Journal of Antimicrobial Chemotherapy&lt;/secondary-title&gt;&lt;/titles&gt;&lt;periodical&gt;&lt;full-title&gt;Journal of Antimicrobial Chemotherapy&lt;/full-title&gt;&lt;/periodical&gt;&lt;pages&gt;3286-3295&lt;/pages&gt;&lt;volume&gt;76&lt;/volume&gt;&lt;number&gt;12&lt;/number&gt;&lt;dates&gt;&lt;year&gt;2021&lt;/year&gt;&lt;/dates&gt;&lt;isbn&gt;0305-7453&lt;/isbn&gt;&lt;urls&gt;&lt;/urls&gt;&lt;/record&gt;&lt;/Cite&gt;&lt;/EndNote&gt;</w:instrText>
      </w:r>
      <w:r w:rsidRPr="001C0C4B">
        <w:rPr>
          <w:lang w:val="en-GB"/>
        </w:rPr>
        <w:fldChar w:fldCharType="separate"/>
      </w:r>
      <w:r w:rsidRPr="001C0C4B">
        <w:rPr>
          <w:lang w:val="en-GB"/>
        </w:rPr>
        <w:t>(5)</w:t>
      </w:r>
      <w:r w:rsidRPr="001C0C4B">
        <w:rPr>
          <w:lang w:val="en-GB"/>
        </w:rPr>
        <w:fldChar w:fldCharType="end"/>
      </w:r>
      <w:r w:rsidRPr="001C0C4B">
        <w:rPr>
          <w:lang w:val="en-GB"/>
        </w:rPr>
        <w:t>.</w:t>
      </w:r>
    </w:p>
    <w:p w14:paraId="160A00BB" w14:textId="77777777" w:rsidR="00D73CFA" w:rsidRPr="001C0C4B" w:rsidRDefault="00D73CFA" w:rsidP="00ED5D50">
      <w:pPr>
        <w:jc w:val="both"/>
        <w:rPr>
          <w:u w:val="single"/>
          <w:lang w:val="en-GB"/>
        </w:rPr>
      </w:pPr>
      <w:r w:rsidRPr="001C0C4B">
        <w:rPr>
          <w:u w:val="single"/>
          <w:lang w:val="en-GB"/>
        </w:rPr>
        <w:t>Contraindications</w:t>
      </w:r>
    </w:p>
    <w:p w14:paraId="352937F4" w14:textId="58A2C7CC" w:rsidR="00D73CFA" w:rsidRPr="001C0C4B" w:rsidRDefault="00D73CFA" w:rsidP="00ED5D50">
      <w:pPr>
        <w:jc w:val="both"/>
        <w:rPr>
          <w:lang w:val="en-GB"/>
        </w:rPr>
      </w:pPr>
      <w:r w:rsidRPr="001C0C4B">
        <w:rPr>
          <w:lang w:val="en-GB"/>
        </w:rPr>
        <w:t xml:space="preserve">Hypersensitivity </w:t>
      </w:r>
    </w:p>
    <w:p w14:paraId="09546422" w14:textId="77777777" w:rsidR="00D73CFA" w:rsidRPr="001C0C4B" w:rsidRDefault="00D73CFA" w:rsidP="00ED5D50">
      <w:pPr>
        <w:jc w:val="both"/>
        <w:rPr>
          <w:u w:val="single"/>
          <w:lang w:val="en-GB"/>
        </w:rPr>
      </w:pPr>
      <w:r w:rsidRPr="001C0C4B">
        <w:rPr>
          <w:u w:val="single"/>
          <w:lang w:val="en-GB"/>
        </w:rPr>
        <w:t>Cautions</w:t>
      </w:r>
    </w:p>
    <w:p w14:paraId="059233B0" w14:textId="77777777" w:rsidR="00D73CFA" w:rsidRPr="001C0C4B" w:rsidRDefault="00D73CFA" w:rsidP="00ED5D50">
      <w:pPr>
        <w:jc w:val="both"/>
        <w:rPr>
          <w:lang w:val="en-GB"/>
        </w:rPr>
      </w:pPr>
      <w:r w:rsidRPr="001C0C4B">
        <w:rPr>
          <w:lang w:val="en-GB"/>
        </w:rPr>
        <w:t>No dose adjustment needed for renal impairment however the pharmacokinetics have not been evaluated with eGFR &lt;30 mL/min, also not evaluated with hepatic impairment.</w:t>
      </w:r>
    </w:p>
    <w:p w14:paraId="54D5976A" w14:textId="06106A0A" w:rsidR="00D73CFA" w:rsidRPr="001C0C4B" w:rsidRDefault="007207D5" w:rsidP="00ED5D50">
      <w:pPr>
        <w:spacing w:after="120" w:line="240" w:lineRule="auto"/>
        <w:jc w:val="both"/>
        <w:rPr>
          <w:color w:val="000000"/>
          <w:shd w:val="clear" w:color="auto" w:fill="FFFFFF"/>
          <w:lang w:val="en-GB"/>
        </w:rPr>
      </w:pPr>
      <w:r w:rsidRPr="001C0C4B">
        <w:rPr>
          <w:color w:val="000000"/>
          <w:shd w:val="clear" w:color="auto" w:fill="FFFFFF"/>
          <w:lang w:val="en-GB"/>
        </w:rPr>
        <w:t>As per USA FDA advice, those on molnupiravir need to be aware of avoiding pregnancy. Females of child bearing potential need to use a reliable method of contraception for the duration of the treatment, and also for 4 days after the final dose of molnupiravir. Males of reproductive potential, if they are sexually active with</w:t>
      </w:r>
      <w:r w:rsidRPr="001C0C4B">
        <w:rPr>
          <w:rFonts w:eastAsia="Times New Roman" w:cstheme="minorHAnsi"/>
          <w:color w:val="000000"/>
          <w:shd w:val="clear" w:color="auto" w:fill="FFFFFF"/>
          <w:lang w:val="en-GB" w:eastAsia="en-GB"/>
        </w:rPr>
        <w:t xml:space="preserve"> </w:t>
      </w:r>
      <w:r w:rsidRPr="001C0C4B">
        <w:rPr>
          <w:color w:val="000000"/>
          <w:shd w:val="clear" w:color="auto" w:fill="FFFFFF"/>
          <w:lang w:val="en-GB"/>
        </w:rPr>
        <w:t>females of child bearing potential, should use a reliable form of contraception during the treatment and at least 3 months after the final dose.</w:t>
      </w:r>
    </w:p>
    <w:p w14:paraId="3EC0BD34" w14:textId="1F65DFA2" w:rsidR="0057180C" w:rsidRPr="001C0C4B" w:rsidRDefault="0057180C" w:rsidP="00ED5D50">
      <w:pPr>
        <w:spacing w:after="120" w:line="240" w:lineRule="auto"/>
        <w:jc w:val="both"/>
        <w:rPr>
          <w:color w:val="000000"/>
          <w:shd w:val="clear" w:color="auto" w:fill="FFFFFF"/>
          <w:lang w:val="en-GB"/>
        </w:rPr>
      </w:pPr>
      <w:r w:rsidRPr="001C0C4B">
        <w:rPr>
          <w:lang w:val="en-GB"/>
        </w:rPr>
        <w:t>Therefore, in addition to the baseline pregnancy test, a repeat test on women o</w:t>
      </w:r>
      <w:r w:rsidR="00205BE6" w:rsidRPr="001C0C4B">
        <w:rPr>
          <w:lang w:val="en-GB"/>
        </w:rPr>
        <w:t>f</w:t>
      </w:r>
      <w:r w:rsidRPr="001C0C4B">
        <w:rPr>
          <w:lang w:val="en-GB"/>
        </w:rPr>
        <w:t xml:space="preserve"> childbearing potential who are allocated to Molnupiravir will be done on D14.</w:t>
      </w:r>
    </w:p>
    <w:p w14:paraId="211EAB5B" w14:textId="77777777" w:rsidR="00D73CFA" w:rsidRPr="001C0C4B" w:rsidRDefault="00D73CFA" w:rsidP="00ED5D50">
      <w:pPr>
        <w:spacing w:after="120" w:line="240" w:lineRule="auto"/>
        <w:jc w:val="both"/>
        <w:rPr>
          <w:lang w:val="en-GB"/>
        </w:rPr>
      </w:pPr>
      <w:r w:rsidRPr="001C0C4B">
        <w:rPr>
          <w:u w:val="single"/>
          <w:lang w:val="en-GB"/>
        </w:rPr>
        <w:t>Drug Interactions</w:t>
      </w:r>
    </w:p>
    <w:p w14:paraId="33019CE9" w14:textId="2ADA5274" w:rsidR="00B83EA3" w:rsidRPr="001C0C4B" w:rsidRDefault="00D73CFA" w:rsidP="0064608D">
      <w:pPr>
        <w:jc w:val="both"/>
        <w:rPr>
          <w:rFonts w:ascii="Times New Roman" w:eastAsia="Times New Roman" w:hAnsi="Times New Roman" w:cs="Times New Roman"/>
          <w:sz w:val="24"/>
          <w:szCs w:val="24"/>
          <w:lang w:val="en-GB" w:eastAsia="en-GB"/>
        </w:rPr>
      </w:pPr>
      <w:r w:rsidRPr="001C0C4B">
        <w:rPr>
          <w:lang w:val="en-GB"/>
        </w:rPr>
        <w:t>None identified</w:t>
      </w:r>
      <w:r w:rsidR="00EA0098" w:rsidRPr="001C0C4B">
        <w:rPr>
          <w:lang w:val="en-GB"/>
        </w:rPr>
        <w:t xml:space="preserve">. </w:t>
      </w:r>
      <w:r w:rsidR="00913D19" w:rsidRPr="001C0C4B">
        <w:rPr>
          <w:lang w:val="en-GB"/>
        </w:rPr>
        <w:t>There are no theoretical drug interactions in combination nirmatrelvir-ritonavir</w:t>
      </w:r>
      <w:r w:rsidR="00B83EA3" w:rsidRPr="001C0C4B">
        <w:rPr>
          <w:lang w:val="en-GB"/>
        </w:rPr>
        <w:t xml:space="preserve">. </w:t>
      </w:r>
      <w:r w:rsidR="00B83EA3" w:rsidRPr="001C0C4B">
        <w:rPr>
          <w:rFonts w:ascii="Calibri" w:eastAsia="Times New Roman" w:hAnsi="Calibri" w:cs="Calibri"/>
          <w:color w:val="000000"/>
          <w:lang w:val="en-GB" w:eastAsia="en-GB"/>
        </w:rPr>
        <w:t>Molnupiravir and its metabolites are not substrates of the CYP enzymes, and are broken down into uridine and cytidine through the normal intracellular pyrimidine catabolism pathways.</w:t>
      </w:r>
    </w:p>
    <w:p w14:paraId="30A0807A" w14:textId="5FED6B9D" w:rsidR="00D73CFA" w:rsidRPr="001C0C4B" w:rsidRDefault="00D73CFA">
      <w:pPr>
        <w:spacing w:after="120" w:line="240" w:lineRule="auto"/>
        <w:jc w:val="both"/>
        <w:rPr>
          <w:lang w:val="en-GB"/>
        </w:rPr>
      </w:pPr>
    </w:p>
    <w:p w14:paraId="3612F93E" w14:textId="77777777" w:rsidR="00326719" w:rsidRPr="001C0C4B" w:rsidRDefault="0097654B" w:rsidP="00326719">
      <w:pPr>
        <w:spacing w:after="120" w:line="240" w:lineRule="auto"/>
        <w:jc w:val="both"/>
        <w:rPr>
          <w:u w:val="single"/>
          <w:lang w:val="en-GB"/>
        </w:rPr>
      </w:pPr>
      <w:r w:rsidRPr="001C0C4B">
        <w:rPr>
          <w:u w:val="single"/>
          <w:lang w:val="en-GB"/>
        </w:rPr>
        <w:t>References</w:t>
      </w:r>
    </w:p>
    <w:p w14:paraId="7E80BBA1" w14:textId="77D7C7CE" w:rsidR="0097654B" w:rsidRPr="001C0C4B" w:rsidRDefault="00326719" w:rsidP="0051159A">
      <w:pPr>
        <w:spacing w:after="0" w:line="240" w:lineRule="auto"/>
        <w:ind w:left="720" w:hanging="360"/>
        <w:jc w:val="both"/>
        <w:rPr>
          <w:u w:val="single"/>
          <w:lang w:val="en-GB"/>
        </w:rPr>
      </w:pPr>
      <w:r w:rsidRPr="001C0C4B">
        <w:rPr>
          <w:sz w:val="20"/>
          <w:lang w:val="en-GB"/>
        </w:rPr>
        <w:t>1.</w:t>
      </w:r>
      <w:r w:rsidRPr="001C0C4B">
        <w:rPr>
          <w:sz w:val="20"/>
        </w:rPr>
        <w:t xml:space="preserve"> </w:t>
      </w:r>
      <w:r w:rsidRPr="001C0C4B">
        <w:rPr>
          <w:sz w:val="20"/>
        </w:rPr>
        <w:tab/>
      </w:r>
      <w:r w:rsidR="0097654B" w:rsidRPr="001C0C4B">
        <w:rPr>
          <w:sz w:val="20"/>
        </w:rPr>
        <w:t>Singh AK, Singh A, Singh R, Misra A. Molnupiravir in COVID-19: A systematic review of literature. Diabetes &amp; Metabolic Syndrome: Clinical Research &amp; Reviews. 2021;15(6):102329.</w:t>
      </w:r>
    </w:p>
    <w:p w14:paraId="2BAB0128" w14:textId="0A35B069" w:rsidR="0097654B" w:rsidRPr="001C0C4B" w:rsidRDefault="0097654B" w:rsidP="0051159A">
      <w:pPr>
        <w:spacing w:after="0" w:line="240" w:lineRule="auto"/>
        <w:ind w:left="720" w:hanging="360"/>
        <w:jc w:val="both"/>
        <w:rPr>
          <w:sz w:val="20"/>
        </w:rPr>
      </w:pPr>
      <w:r w:rsidRPr="001C0C4B">
        <w:rPr>
          <w:sz w:val="20"/>
        </w:rPr>
        <w:t>2.</w:t>
      </w:r>
      <w:r w:rsidR="00326719" w:rsidRPr="001C0C4B">
        <w:rPr>
          <w:sz w:val="20"/>
        </w:rPr>
        <w:t xml:space="preserve"> </w:t>
      </w:r>
      <w:r w:rsidR="00326719" w:rsidRPr="001C0C4B">
        <w:rPr>
          <w:sz w:val="20"/>
        </w:rPr>
        <w:tab/>
      </w:r>
      <w:r w:rsidRPr="001C0C4B">
        <w:rPr>
          <w:sz w:val="20"/>
        </w:rPr>
        <w:t>Sheahan TP, Sims AC, Zhou S, Graham RL, Hill CS, Leist SR, et al. An orally bioavailable broad-spectrum antiviral inhibits SARS-CoV-2 and multiple endemic, epidemic and bat coronavirus. Biorxiv. 2020.</w:t>
      </w:r>
    </w:p>
    <w:p w14:paraId="5A582423" w14:textId="5C507809" w:rsidR="0097654B" w:rsidRPr="001C0C4B" w:rsidRDefault="0097654B" w:rsidP="0051159A">
      <w:pPr>
        <w:spacing w:after="0" w:line="240" w:lineRule="auto"/>
        <w:ind w:left="720" w:hanging="360"/>
        <w:jc w:val="both"/>
        <w:rPr>
          <w:sz w:val="20"/>
        </w:rPr>
      </w:pPr>
      <w:r w:rsidRPr="001C0C4B">
        <w:rPr>
          <w:sz w:val="20"/>
        </w:rPr>
        <w:t>3.</w:t>
      </w:r>
      <w:r w:rsidR="00326719" w:rsidRPr="001C0C4B">
        <w:rPr>
          <w:sz w:val="20"/>
        </w:rPr>
        <w:t xml:space="preserve"> </w:t>
      </w:r>
      <w:r w:rsidR="00326719" w:rsidRPr="001C0C4B">
        <w:rPr>
          <w:sz w:val="20"/>
        </w:rPr>
        <w:tab/>
      </w:r>
      <w:r w:rsidRPr="001C0C4B">
        <w:rPr>
          <w:sz w:val="20"/>
        </w:rPr>
        <w:t>Wahl A, Gralinski LE, Johnson CE, Yao W, Kovarova M, Dinnon KH, et al. SARS-CoV-2 infection is effectively treated and prevented by EIDD-2801. Nature. 2021;591(7850):451-7.</w:t>
      </w:r>
    </w:p>
    <w:p w14:paraId="026F2CEF" w14:textId="08F84088" w:rsidR="0097654B" w:rsidRPr="001C0C4B" w:rsidRDefault="0097654B" w:rsidP="0051159A">
      <w:pPr>
        <w:spacing w:after="0" w:line="240" w:lineRule="auto"/>
        <w:ind w:left="720" w:hanging="360"/>
        <w:jc w:val="both"/>
        <w:rPr>
          <w:sz w:val="20"/>
        </w:rPr>
      </w:pPr>
      <w:r w:rsidRPr="001C0C4B">
        <w:rPr>
          <w:sz w:val="20"/>
        </w:rPr>
        <w:t>4.</w:t>
      </w:r>
      <w:r w:rsidR="00326719" w:rsidRPr="001C0C4B">
        <w:rPr>
          <w:sz w:val="20"/>
        </w:rPr>
        <w:t xml:space="preserve"> </w:t>
      </w:r>
      <w:r w:rsidR="00326719" w:rsidRPr="001C0C4B">
        <w:rPr>
          <w:sz w:val="20"/>
        </w:rPr>
        <w:tab/>
      </w:r>
      <w:r w:rsidRPr="001C0C4B">
        <w:rPr>
          <w:sz w:val="20"/>
        </w:rPr>
        <w:t>Painter WP, Holman W, Bush JA, Almazedi F, Malik H, Eraut NC, et al. Human safety, tolerability, and pharmacokinetics of molnupiravir, a novel broad-spectrum oral antiviral agent with activity against SARS-CoV-2. Antimicrobial agents and chemotherapy. 2021;65(5):e02428-20.</w:t>
      </w:r>
    </w:p>
    <w:p w14:paraId="7E1B749C" w14:textId="0702A55C" w:rsidR="0097654B" w:rsidRPr="001C0C4B" w:rsidRDefault="0097654B" w:rsidP="0051159A">
      <w:pPr>
        <w:spacing w:after="0" w:line="240" w:lineRule="auto"/>
        <w:ind w:left="720" w:hanging="360"/>
        <w:jc w:val="both"/>
        <w:rPr>
          <w:sz w:val="20"/>
        </w:rPr>
      </w:pPr>
      <w:r w:rsidRPr="001C0C4B">
        <w:rPr>
          <w:sz w:val="20"/>
        </w:rPr>
        <w:t>5.</w:t>
      </w:r>
      <w:r w:rsidR="00326719" w:rsidRPr="001C0C4B">
        <w:rPr>
          <w:sz w:val="20"/>
        </w:rPr>
        <w:t xml:space="preserve"> </w:t>
      </w:r>
      <w:r w:rsidR="00326719" w:rsidRPr="001C0C4B">
        <w:rPr>
          <w:sz w:val="20"/>
        </w:rPr>
        <w:tab/>
      </w:r>
      <w:r w:rsidRPr="001C0C4B">
        <w:rPr>
          <w:sz w:val="20"/>
        </w:rPr>
        <w:t>Khoo SH, Fitzgerald R, Fletcher T, Ewings S, Jaki T, Lyon R, et al. Optimal dose and safety of molnupiravir in patients with early SARS-CoV-2: a Phase I, open-label, dose-escalating, randomized controlled study. Journal of Antimicrobial Chemotherapy. 2021;76(12):3286-95.</w:t>
      </w:r>
    </w:p>
    <w:p w14:paraId="6FDCA3B1" w14:textId="349801DF" w:rsidR="0097654B" w:rsidRPr="001C0C4B" w:rsidRDefault="0097654B" w:rsidP="0051159A">
      <w:pPr>
        <w:spacing w:after="0" w:line="240" w:lineRule="auto"/>
        <w:ind w:left="720" w:hanging="360"/>
        <w:jc w:val="both"/>
        <w:rPr>
          <w:sz w:val="20"/>
          <w:lang w:val="en-GB"/>
        </w:rPr>
      </w:pPr>
      <w:r w:rsidRPr="001C0C4B">
        <w:rPr>
          <w:sz w:val="20"/>
        </w:rPr>
        <w:t>6.</w:t>
      </w:r>
      <w:r w:rsidR="00326719" w:rsidRPr="001C0C4B">
        <w:rPr>
          <w:sz w:val="20"/>
        </w:rPr>
        <w:t xml:space="preserve"> </w:t>
      </w:r>
      <w:r w:rsidR="00326719" w:rsidRPr="001C0C4B">
        <w:rPr>
          <w:sz w:val="20"/>
        </w:rPr>
        <w:tab/>
      </w:r>
      <w:r w:rsidRPr="001C0C4B">
        <w:rPr>
          <w:sz w:val="20"/>
        </w:rPr>
        <w:t>Jayk Bernal A, Gomes da Silva MM, Musungaie DB, Kovalchuk E, Gonzalez A, Delos Reyes V, et al. Molnupiravir for oral treatment of Covid-19 in nonhospitalized patients. New England Journal of Medicine. 2021.</w:t>
      </w:r>
    </w:p>
    <w:p w14:paraId="3CF65E7A" w14:textId="26DF2D40" w:rsidR="00D73CFA" w:rsidRPr="001C0C4B" w:rsidRDefault="00D73CFA" w:rsidP="0051159A">
      <w:pPr>
        <w:spacing w:after="0" w:line="240" w:lineRule="auto"/>
        <w:ind w:left="720" w:hanging="360"/>
        <w:jc w:val="both"/>
        <w:rPr>
          <w:sz w:val="20"/>
          <w:szCs w:val="20"/>
        </w:rPr>
      </w:pPr>
      <w:r w:rsidRPr="001C0C4B">
        <w:rPr>
          <w:sz w:val="20"/>
        </w:rPr>
        <w:t>7.</w:t>
      </w:r>
      <w:r w:rsidR="00326719" w:rsidRPr="001C0C4B">
        <w:rPr>
          <w:sz w:val="20"/>
        </w:rPr>
        <w:t xml:space="preserve"> </w:t>
      </w:r>
      <w:r w:rsidR="00326719" w:rsidRPr="001C0C4B">
        <w:rPr>
          <w:sz w:val="20"/>
        </w:rPr>
        <w:tab/>
      </w:r>
      <w:r w:rsidRPr="001C0C4B">
        <w:rPr>
          <w:sz w:val="20"/>
        </w:rPr>
        <w:t>Merck and Ridgeback Biotherapeutics Provide Update on Results from MOVe-OUT Study of Molnupiravir, an Investigational Oral Antiviral Medicine, in At Risk Adults With Mild-to-Moderate COVID-19 [press release]. 26/November/2021 2021.</w:t>
      </w:r>
    </w:p>
    <w:p w14:paraId="6AFE6347" w14:textId="77777777" w:rsidR="00424FDD" w:rsidRPr="001C0C4B" w:rsidRDefault="00424FDD">
      <w:pPr>
        <w:rPr>
          <w:lang w:val="en-GB"/>
        </w:rPr>
      </w:pPr>
      <w:r w:rsidRPr="001C0C4B">
        <w:rPr>
          <w:lang w:val="en-GB"/>
        </w:rPr>
        <w:br w:type="page"/>
      </w:r>
    </w:p>
    <w:p w14:paraId="77F9366A" w14:textId="6B201C7A" w:rsidR="00D73CFA" w:rsidRPr="001C0C4B" w:rsidRDefault="007207D5" w:rsidP="00BF2FEE">
      <w:pPr>
        <w:pStyle w:val="Heading2"/>
        <w:numPr>
          <w:ilvl w:val="1"/>
          <w:numId w:val="53"/>
        </w:numPr>
        <w:rPr>
          <w:rFonts w:asciiTheme="minorHAnsi" w:hAnsiTheme="minorHAnsi" w:cstheme="minorHAnsi"/>
          <w:color w:val="auto"/>
          <w:u w:val="single"/>
        </w:rPr>
      </w:pPr>
      <w:bookmarkStart w:id="533" w:name="_Toc96007367"/>
      <w:bookmarkStart w:id="534" w:name="_Toc95915293"/>
      <w:bookmarkStart w:id="535" w:name="_Toc110524032"/>
      <w:bookmarkStart w:id="536" w:name="_Toc96005670"/>
      <w:bookmarkStart w:id="537" w:name="_Toc112917680"/>
      <w:r w:rsidRPr="001C0C4B">
        <w:rPr>
          <w:rFonts w:asciiTheme="minorHAnsi" w:hAnsiTheme="minorHAnsi" w:cstheme="minorHAnsi"/>
          <w:color w:val="auto"/>
          <w:u w:val="single"/>
        </w:rPr>
        <w:lastRenderedPageBreak/>
        <w:t>Nirmatrelvir/ritonavir</w:t>
      </w:r>
      <w:r w:rsidR="00D73CFA" w:rsidRPr="001C0C4B">
        <w:rPr>
          <w:rFonts w:asciiTheme="minorHAnsi" w:hAnsiTheme="minorHAnsi" w:cstheme="minorHAnsi"/>
          <w:color w:val="auto"/>
          <w:u w:val="single"/>
        </w:rPr>
        <w:t xml:space="preserve"> (</w:t>
      </w:r>
      <w:r w:rsidRPr="001C0C4B">
        <w:rPr>
          <w:rFonts w:asciiTheme="minorHAnsi" w:hAnsiTheme="minorHAnsi" w:cstheme="minorHAnsi"/>
          <w:color w:val="auto"/>
          <w:u w:val="single"/>
        </w:rPr>
        <w:t xml:space="preserve">e.g. </w:t>
      </w:r>
      <w:r w:rsidR="00D73CFA" w:rsidRPr="001C0C4B">
        <w:rPr>
          <w:rFonts w:asciiTheme="minorHAnsi" w:hAnsiTheme="minorHAnsi" w:cstheme="minorHAnsi"/>
          <w:color w:val="auto"/>
          <w:u w:val="single"/>
        </w:rPr>
        <w:t>PAXLOVID™)</w:t>
      </w:r>
      <w:bookmarkEnd w:id="533"/>
      <w:bookmarkEnd w:id="534"/>
      <w:bookmarkEnd w:id="535"/>
      <w:bookmarkEnd w:id="536"/>
      <w:bookmarkEnd w:id="537"/>
    </w:p>
    <w:p w14:paraId="2EA9892E" w14:textId="77777777" w:rsidR="00D73CFA" w:rsidRPr="001C0C4B" w:rsidRDefault="00D73CFA" w:rsidP="00696D65">
      <w:pPr>
        <w:jc w:val="both"/>
        <w:rPr>
          <w:u w:val="single"/>
          <w:lang w:val="en-GB"/>
        </w:rPr>
      </w:pPr>
      <w:r w:rsidRPr="001C0C4B">
        <w:rPr>
          <w:u w:val="single"/>
          <w:lang w:val="en-GB"/>
        </w:rPr>
        <w:t>Rationale</w:t>
      </w:r>
    </w:p>
    <w:p w14:paraId="3900692D" w14:textId="5B5E678C" w:rsidR="00D73CFA" w:rsidRPr="001C0C4B" w:rsidRDefault="00D73CFA" w:rsidP="00696D65">
      <w:pPr>
        <w:jc w:val="both"/>
        <w:rPr>
          <w:lang w:val="en-GB"/>
        </w:rPr>
      </w:pPr>
      <w:r w:rsidRPr="001C0C4B">
        <w:rPr>
          <w:lang w:val="en-GB"/>
        </w:rPr>
        <w:t>PAXLOVID™ is a therapeutic combination of 2 compounds, Nirmatrelvir and ritonavir, taken at the same time as separate pills. Nirmatrelvir (PF-07321332) is an oral covalent 3CL protease inhibitor of SARS-CoV-2 and ritonavir is an inhibitor of HIV-1 and HIV-2 protease. Ritonavir inhibits cytochrome P450A and CYP2D6 which inhibits the metabolism of nirmatrelvir.</w:t>
      </w:r>
    </w:p>
    <w:p w14:paraId="5FCFB76A" w14:textId="488014BF" w:rsidR="00D73CFA" w:rsidRPr="001C0C4B" w:rsidRDefault="00D73CFA" w:rsidP="00696D65">
      <w:pPr>
        <w:jc w:val="both"/>
        <w:rPr>
          <w:lang w:val="en-GB"/>
        </w:rPr>
      </w:pPr>
      <w:r w:rsidRPr="001C0C4B">
        <w:rPr>
          <w:lang w:val="en-GB"/>
        </w:rPr>
        <w:t xml:space="preserve">Coronoviruses contain two proteases, main protease – Mpro (also known as 3CL protease – 3CLpro) and papain-like protease. Pfizer developed a SARS-CoV Mpro inhibitor in 2002 (PF-00835231) which demonstrated in vitro and in vivo activity against  SARS-CoV-2 </w:t>
      </w:r>
      <w:r w:rsidRPr="001C0C4B">
        <w:rPr>
          <w:lang w:val="en-GB"/>
        </w:rPr>
        <w:fldChar w:fldCharType="begin"/>
      </w:r>
      <w:r w:rsidRPr="001C0C4B">
        <w:rPr>
          <w:lang w:val="en-GB"/>
        </w:rPr>
        <w:instrText xml:space="preserve"> ADDIN EN.CITE &lt;EndNote&gt;&lt;Cite&gt;&lt;Author&gt;Boras&lt;/Author&gt;&lt;Year&gt;2021&lt;/Year&gt;&lt;RecNum&gt;32&lt;/RecNum&gt;&lt;DisplayText&gt;(1)&lt;/DisplayText&gt;&lt;record&gt;&lt;rec-number&gt;32&lt;/rec-number&gt;&lt;foreign-keys&gt;&lt;key app="EN" db-id="a529fxfdz0d2are0vx0xptzlxt5sapwf552v" timestamp="1640754421"&gt;32&lt;/key&gt;&lt;/foreign-keys&gt;&lt;ref-type name="Journal Article"&gt;17&lt;/ref-type&gt;&lt;contributors&gt;&lt;authors&gt;&lt;author&gt;Boras, Britton&lt;/author&gt;&lt;author&gt;Jones, Rhys M&lt;/author&gt;&lt;author&gt;Anson, Brandon J&lt;/author&gt;&lt;author&gt;Arenson, Dan&lt;/author&gt;&lt;author&gt;Aschenbrenner, Lisa&lt;/author&gt;&lt;author&gt;Bakowski, Malina A&lt;/author&gt;&lt;author&gt;Beutler, Nathan&lt;/author&gt;&lt;author&gt;Binder, Joseph&lt;/author&gt;&lt;author&gt;Chen, Emily&lt;/author&gt;&lt;author&gt;Eng, Heather&lt;/author&gt;&lt;/authors&gt;&lt;/contributors&gt;&lt;titles&gt;&lt;title&gt;Discovery of a novel inhibitor of coronavirus 3CL protease as a clinical candidate for the potential treatment of COVID-19&lt;/title&gt;&lt;secondary-title&gt;BioRxiv&lt;/secondary-title&gt;&lt;/titles&gt;&lt;periodical&gt;&lt;full-title&gt;BioRxiv&lt;/full-title&gt;&lt;/periodical&gt;&lt;pages&gt;2020.09. 12.293498&lt;/pages&gt;&lt;dates&gt;&lt;year&gt;2021&lt;/year&gt;&lt;/dates&gt;&lt;urls&gt;&lt;/urls&gt;&lt;/record&gt;&lt;/Cite&gt;&lt;/EndNote&gt;</w:instrText>
      </w:r>
      <w:r w:rsidRPr="001C0C4B">
        <w:rPr>
          <w:lang w:val="en-GB"/>
        </w:rPr>
        <w:fldChar w:fldCharType="separate"/>
      </w:r>
      <w:r w:rsidRPr="001C0C4B">
        <w:rPr>
          <w:lang w:val="en-GB"/>
        </w:rPr>
        <w:t>(1)</w:t>
      </w:r>
      <w:r w:rsidRPr="001C0C4B">
        <w:rPr>
          <w:lang w:val="en-GB"/>
        </w:rPr>
        <w:fldChar w:fldCharType="end"/>
      </w:r>
      <w:r w:rsidRPr="001C0C4B">
        <w:rPr>
          <w:lang w:val="en-GB"/>
        </w:rPr>
        <w:t xml:space="preserve">.  Other studies also found successful in vitro inhibition of SARS-CoV-2 replication in derived alveolar basal epithelial cells expressing ACE2 </w:t>
      </w:r>
      <w:r w:rsidRPr="001C0C4B">
        <w:rPr>
          <w:lang w:val="en-GB"/>
        </w:rPr>
        <w:fldChar w:fldCharType="begin"/>
      </w:r>
      <w:r w:rsidRPr="001C0C4B">
        <w:rPr>
          <w:lang w:val="en-GB"/>
        </w:rPr>
        <w:instrText xml:space="preserve"> ADDIN EN.CITE &lt;EndNote&gt;&lt;Cite&gt;&lt;Author&gt;de Vries&lt;/Author&gt;&lt;Year&gt;2021&lt;/Year&gt;&lt;RecNum&gt;33&lt;/RecNum&gt;&lt;DisplayText&gt;(2)&lt;/DisplayText&gt;&lt;record&gt;&lt;rec-number&gt;33&lt;/rec-number&gt;&lt;foreign-keys&gt;&lt;key app="EN" db-id="a529fxfdz0d2are0vx0xptzlxt5sapwf552v" timestamp="1640754616"&gt;33&lt;/key&gt;&lt;/foreign-keys&gt;&lt;ref-type name="Journal Article"&gt;17&lt;/ref-type&gt;&lt;contributors&gt;&lt;authors&gt;&lt;author&gt;de Vries, Maren&lt;/author&gt;&lt;author&gt;Mohamed, Adil S&lt;/author&gt;&lt;author&gt;Prescott, Rachel A&lt;/author&gt;&lt;author&gt;Valero-Jimenez, Ana M&lt;/author&gt;&lt;author&gt;Desvignes, Ludovic&lt;/author&gt;&lt;author&gt;O’Connor, Rebecca&lt;/author&gt;&lt;author&gt;Steppan, Claire&lt;/author&gt;&lt;author&gt;Devlin, Joseph C&lt;/author&gt;&lt;author&gt;Ivanova, Ellie&lt;/author&gt;&lt;author&gt;Herrera, Alberto&lt;/author&gt;&lt;/authors&gt;&lt;/contributors&gt;&lt;titles&gt;&lt;title&gt;A comparative analysis of SARS-CoV-2 antivirals characterizes 3CLpro inhibitor PF-00835231 as a potential new treatment for COVID-19&lt;/title&gt;&lt;secondary-title&gt;Journal of Virology&lt;/secondary-title&gt;&lt;/titles&gt;&lt;periodical&gt;&lt;full-title&gt;Journal of Virology&lt;/full-title&gt;&lt;/periodical&gt;&lt;pages&gt;e01819-20&lt;/pages&gt;&lt;volume&gt;95&lt;/volume&gt;&lt;number&gt;10&lt;/number&gt;&lt;dates&gt;&lt;year&gt;2021&lt;/year&gt;&lt;/dates&gt;&lt;isbn&gt;0022-538X&lt;/isbn&gt;&lt;urls&gt;&lt;/urls&gt;&lt;/record&gt;&lt;/Cite&gt;&lt;/EndNote&gt;</w:instrText>
      </w:r>
      <w:r w:rsidRPr="001C0C4B">
        <w:rPr>
          <w:lang w:val="en-GB"/>
        </w:rPr>
        <w:fldChar w:fldCharType="separate"/>
      </w:r>
      <w:r w:rsidRPr="001C0C4B">
        <w:rPr>
          <w:lang w:val="en-GB"/>
        </w:rPr>
        <w:t>(2)</w:t>
      </w:r>
      <w:r w:rsidRPr="001C0C4B">
        <w:rPr>
          <w:lang w:val="en-GB"/>
        </w:rPr>
        <w:fldChar w:fldCharType="end"/>
      </w:r>
      <w:r w:rsidRPr="001C0C4B">
        <w:rPr>
          <w:lang w:val="en-GB"/>
        </w:rPr>
        <w:t xml:space="preserve"> and human bronchial epithelial cells </w:t>
      </w:r>
      <w:r w:rsidRPr="001C0C4B">
        <w:rPr>
          <w:lang w:val="en-GB"/>
        </w:rPr>
        <w:fldChar w:fldCharType="begin"/>
      </w:r>
      <w:r w:rsidRPr="001C0C4B">
        <w:rPr>
          <w:lang w:val="en-GB"/>
        </w:rPr>
        <w:instrText xml:space="preserve"> ADDIN EN.CITE &lt;EndNote&gt;&lt;Cite&gt;&lt;Author&gt;Barilli&lt;/Author&gt;&lt;Year&gt;2020&lt;/Year&gt;&lt;RecNum&gt;34&lt;/RecNum&gt;&lt;DisplayText&gt;(3)&lt;/DisplayText&gt;&lt;record&gt;&lt;rec-number&gt;34&lt;/rec-number&gt;&lt;foreign-keys&gt;&lt;key app="EN" db-id="a529fxfdz0d2are0vx0xptzlxt5sapwf552v" timestamp="1640754684"&gt;34&lt;/key&gt;&lt;/foreign-keys&gt;&lt;ref-type name="Journal Article"&gt;17&lt;/ref-type&gt;&lt;contributors&gt;&lt;authors&gt;&lt;author&gt;Barilli, Amelia&lt;/author&gt;&lt;author&gt;Visigalli, Rossana&lt;/author&gt;&lt;author&gt;Ferrari, Francesca&lt;/author&gt;&lt;author&gt;Di Lascia, Maria&lt;/author&gt;&lt;author&gt;Riccardi, Benedetta&lt;/author&gt;&lt;author&gt;Puccini, Paola&lt;/author&gt;&lt;author&gt;Dall’Asta, Valeria&lt;/author&gt;&lt;author&gt;Rotoli, Bianca Maria&lt;/author&gt;&lt;/authors&gt;&lt;/contributors&gt;&lt;titles&gt;&lt;title&gt;Organic Cation Transporters (OCTs) in EpiAirway™, a Cellular Model of Normal Human Bronchial Epithelium&lt;/title&gt;&lt;secondary-title&gt;Biomedicines&lt;/secondary-title&gt;&lt;/titles&gt;&lt;periodical&gt;&lt;full-title&gt;Biomedicines&lt;/full-title&gt;&lt;/periodical&gt;&lt;pages&gt;127&lt;/pages&gt;&lt;volume&gt;8&lt;/volume&gt;&lt;number&gt;5&lt;/number&gt;&lt;dates&gt;&lt;year&gt;2020&lt;/year&gt;&lt;/dates&gt;&lt;urls&gt;&lt;/urls&gt;&lt;/record&gt;&lt;/Cite&gt;&lt;/EndNote&gt;</w:instrText>
      </w:r>
      <w:r w:rsidRPr="001C0C4B">
        <w:rPr>
          <w:lang w:val="en-GB"/>
        </w:rPr>
        <w:fldChar w:fldCharType="separate"/>
      </w:r>
      <w:r w:rsidRPr="001C0C4B">
        <w:rPr>
          <w:lang w:val="en-GB"/>
        </w:rPr>
        <w:t>(3)</w:t>
      </w:r>
      <w:r w:rsidRPr="001C0C4B">
        <w:rPr>
          <w:lang w:val="en-GB"/>
        </w:rPr>
        <w:fldChar w:fldCharType="end"/>
      </w:r>
      <w:r w:rsidRPr="001C0C4B">
        <w:rPr>
          <w:lang w:val="en-GB"/>
        </w:rPr>
        <w:t xml:space="preserve">. This compound had insufficient bioavailability so the oral version PF-07321332 was developed </w:t>
      </w:r>
      <w:r w:rsidRPr="001C0C4B">
        <w:rPr>
          <w:lang w:val="en-GB"/>
        </w:rPr>
        <w:fldChar w:fldCharType="begin"/>
      </w:r>
      <w:r w:rsidRPr="001C0C4B">
        <w:rPr>
          <w:lang w:val="en-GB"/>
        </w:rPr>
        <w:instrText xml:space="preserve"> ADDIN EN.CITE &lt;EndNote&gt;&lt;Cite&gt;&lt;Author&gt;Owen&lt;/Author&gt;&lt;Year&gt;2021&lt;/Year&gt;&lt;RecNum&gt;35&lt;/RecNum&gt;&lt;DisplayText&gt;(4)&lt;/DisplayText&gt;&lt;record&gt;&lt;rec-number&gt;35&lt;/rec-number&gt;&lt;foreign-keys&gt;&lt;key app="EN" db-id="a529fxfdz0d2are0vx0xptzlxt5sapwf552v" timestamp="1640754714"&gt;35&lt;/key&gt;&lt;/foreign-keys&gt;&lt;ref-type name="Journal Article"&gt;17&lt;/ref-type&gt;&lt;contributors&gt;&lt;authors&gt;&lt;author&gt;Owen, Dafydd R&lt;/author&gt;&lt;author&gt;Allerton, Charlotte MN&lt;/author&gt;&lt;author&gt;Anderson, Annaliesa S&lt;/author&gt;&lt;author&gt;Aschenbrenner, Lisa&lt;/author&gt;&lt;author&gt;Avery, Melissa&lt;/author&gt;&lt;author&gt;Berritt, Simon&lt;/author&gt;&lt;author&gt;Boras, Britton&lt;/author&gt;&lt;author&gt;Cardin, Rhonda D&lt;/author&gt;&lt;author&gt;Carlo, Anthony&lt;/author&gt;&lt;author&gt;Coffman, Karen J&lt;/author&gt;&lt;/authors&gt;&lt;/contributors&gt;&lt;titles&gt;&lt;title&gt;An oral SARS-CoV-2 Mpro inhibitor clinical candidate for the treatment of COVID-19&lt;/title&gt;&lt;secondary-title&gt;Science&lt;/secondary-title&gt;&lt;/titles&gt;&lt;periodical&gt;&lt;full-title&gt;Science&lt;/full-title&gt;&lt;/periodical&gt;&lt;pages&gt;eabl4784&lt;/pages&gt;&lt;dates&gt;&lt;year&gt;2021&lt;/year&gt;&lt;/dates&gt;&lt;isbn&gt;0036-8075&lt;/isbn&gt;&lt;urls&gt;&lt;/urls&gt;&lt;/record&gt;&lt;/Cite&gt;&lt;/EndNote&gt;</w:instrText>
      </w:r>
      <w:r w:rsidRPr="001C0C4B">
        <w:rPr>
          <w:lang w:val="en-GB"/>
        </w:rPr>
        <w:fldChar w:fldCharType="separate"/>
      </w:r>
      <w:r w:rsidRPr="001C0C4B">
        <w:rPr>
          <w:lang w:val="en-GB"/>
        </w:rPr>
        <w:t>(4)</w:t>
      </w:r>
      <w:r w:rsidRPr="001C0C4B">
        <w:rPr>
          <w:lang w:val="en-GB"/>
        </w:rPr>
        <w:fldChar w:fldCharType="end"/>
      </w:r>
      <w:r w:rsidRPr="001C0C4B">
        <w:rPr>
          <w:lang w:val="en-GB"/>
        </w:rPr>
        <w:t>.</w:t>
      </w:r>
    </w:p>
    <w:p w14:paraId="3EBC5611" w14:textId="3AFBCC5F" w:rsidR="00D73CFA" w:rsidRPr="001C0C4B" w:rsidRDefault="00D73CFA" w:rsidP="00696D65">
      <w:pPr>
        <w:jc w:val="both"/>
        <w:rPr>
          <w:lang w:val="en-GB"/>
        </w:rPr>
      </w:pPr>
      <w:r w:rsidRPr="001C0C4B">
        <w:rPr>
          <w:lang w:val="en-GB"/>
        </w:rPr>
        <w:t xml:space="preserve">A Phase 2/3 EPIC-HR randomised double blind control trial from Pfizer looked at non-hospitalised patients at risk of progressing to severe illness. Intervention was ritonavir and nirmatrelvir started within three or five days of symptom onset. Primary endpoint was COVID-19-related hospitalisation or all cause death up to day 28.  For those receiving PAXLOVID™ within 3 days, 3/389 (0.7%) were hospitalised with zero deaths., compared to the placebo 27/385 hospitalised with 7 deaths, p&lt;0.0001. For treatment within 5 days, 6/607 (6.7%) were hospitalised with no deaths, compared to 41/612 (with 10 deaths) in the placebo group (p&lt;0.0001) </w:t>
      </w:r>
      <w:r w:rsidRPr="001C0C4B">
        <w:rPr>
          <w:lang w:val="en-GB"/>
        </w:rPr>
        <w:fldChar w:fldCharType="begin"/>
      </w:r>
      <w:r w:rsidRPr="001C0C4B">
        <w:rPr>
          <w:lang w:val="en-GB"/>
        </w:rPr>
        <w:instrText xml:space="preserve"> ADDIN EN.CITE &lt;EndNote&gt;&lt;Cite&gt;&lt;Author&gt;Mahase&lt;/Author&gt;&lt;Year&gt;2021&lt;/Year&gt;&lt;RecNum&gt;37&lt;/RecNum&gt;&lt;DisplayText&gt;(5)&lt;/DisplayText&gt;&lt;record&gt;&lt;rec-number&gt;37&lt;/rec-number&gt;&lt;foreign-keys&gt;&lt;key app="EN" db-id="a529fxfdz0d2are0vx0xptzlxt5sapwf552v" timestamp="1640756703"&gt;37&lt;/key&gt;&lt;/foreign-keys&gt;&lt;ref-type name="Generic"&gt;13&lt;/ref-type&gt;&lt;contributors&gt;&lt;authors&gt;&lt;author&gt;Mahase, Elisabeth&lt;/author&gt;&lt;/authors&gt;&lt;/contributors&gt;&lt;titles&gt;&lt;title&gt;Covid-19: Pfizer’s paxlovid is 89% effective in patients at risk of serious illness, company reports&lt;/title&gt;&lt;/titles&gt;&lt;dates&gt;&lt;year&gt;2021&lt;/year&gt;&lt;/dates&gt;&lt;publisher&gt;British Medical Journal Publishing Group&lt;/publisher&gt;&lt;isbn&gt;1756-1833&lt;/isbn&gt;&lt;urls&gt;&lt;/urls&gt;&lt;/record&gt;&lt;/Cite&gt;&lt;/EndNote&gt;</w:instrText>
      </w:r>
      <w:r w:rsidRPr="001C0C4B">
        <w:rPr>
          <w:lang w:val="en-GB"/>
        </w:rPr>
        <w:fldChar w:fldCharType="separate"/>
      </w:r>
      <w:r w:rsidRPr="001C0C4B">
        <w:rPr>
          <w:lang w:val="en-GB"/>
        </w:rPr>
        <w:t>(5)</w:t>
      </w:r>
      <w:r w:rsidRPr="001C0C4B">
        <w:rPr>
          <w:lang w:val="en-GB"/>
        </w:rPr>
        <w:fldChar w:fldCharType="end"/>
      </w:r>
      <w:r w:rsidRPr="001C0C4B">
        <w:rPr>
          <w:lang w:val="en-GB"/>
        </w:rPr>
        <w:t>.</w:t>
      </w:r>
    </w:p>
    <w:p w14:paraId="5A3EADFB" w14:textId="77777777" w:rsidR="00D73CFA" w:rsidRPr="001C0C4B" w:rsidRDefault="00D73CFA" w:rsidP="00696D65">
      <w:pPr>
        <w:jc w:val="both"/>
        <w:rPr>
          <w:u w:val="single"/>
          <w:lang w:val="en-GB"/>
        </w:rPr>
      </w:pPr>
      <w:r w:rsidRPr="001C0C4B">
        <w:rPr>
          <w:u w:val="single"/>
          <w:lang w:val="en-GB"/>
        </w:rPr>
        <w:t>Composition &amp; dose</w:t>
      </w:r>
    </w:p>
    <w:p w14:paraId="31A54DED" w14:textId="608ED6A3" w:rsidR="00D73CFA" w:rsidRPr="001C0C4B" w:rsidRDefault="00D73CFA" w:rsidP="00696D65">
      <w:pPr>
        <w:jc w:val="both"/>
        <w:rPr>
          <w:lang w:val="en-GB"/>
        </w:rPr>
      </w:pPr>
      <w:r w:rsidRPr="001C0C4B">
        <w:rPr>
          <w:lang w:val="en-GB"/>
        </w:rPr>
        <w:t>Administered as 300MG of nirmatrelvir (two 150MG tablets) with one 100 MG tablet of ritonavir given twice daily for 5 days.</w:t>
      </w:r>
    </w:p>
    <w:p w14:paraId="62CD0FC4" w14:textId="7E6BC7D4" w:rsidR="007207D5" w:rsidRPr="001C0C4B" w:rsidRDefault="007207D5" w:rsidP="00696D65">
      <w:pPr>
        <w:spacing w:after="120" w:line="276" w:lineRule="auto"/>
        <w:jc w:val="both"/>
        <w:rPr>
          <w:rFonts w:ascii="Calibri" w:hAnsi="Calibri"/>
        </w:rPr>
      </w:pPr>
      <w:r w:rsidRPr="001C0C4B">
        <w:rPr>
          <w:rFonts w:ascii="Calibri" w:hAnsi="Calibri"/>
        </w:rPr>
        <w:t xml:space="preserve">Nirmatrelvir/ritonavir will either be obtained by the sponsor or the local teams from a reliable manufacturer (including high-quality generics manufacturers). </w:t>
      </w:r>
    </w:p>
    <w:p w14:paraId="2DAB4B79" w14:textId="77777777" w:rsidR="00D73CFA" w:rsidRPr="001C0C4B" w:rsidRDefault="00D73CFA" w:rsidP="00696D65">
      <w:pPr>
        <w:jc w:val="both"/>
        <w:rPr>
          <w:u w:val="single"/>
          <w:lang w:val="en-GB"/>
        </w:rPr>
      </w:pPr>
      <w:r w:rsidRPr="001C0C4B">
        <w:rPr>
          <w:u w:val="single"/>
          <w:lang w:val="en-GB"/>
        </w:rPr>
        <w:t>Pharmacokinetic characteristics</w:t>
      </w:r>
    </w:p>
    <w:p w14:paraId="1F7B3AA6" w14:textId="68DC1A99" w:rsidR="00D73CFA" w:rsidRPr="001C0C4B" w:rsidRDefault="00D73CFA" w:rsidP="00424FDD">
      <w:pPr>
        <w:jc w:val="both"/>
        <w:rPr>
          <w:lang w:val="en-GB"/>
        </w:rPr>
      </w:pPr>
      <w:r w:rsidRPr="001C0C4B">
        <w:rPr>
          <w:lang w:val="en-GB"/>
        </w:rPr>
        <w:t>Ritonavir is administered with nirmatrelvir as a pharmacokinetic enhancer resulting in higher systemic concentrations and longer half-life of nirmatrelvir. This supports a twice daily administration.  Nirmatrelvir (when given with ritonavir) is eliminated renally, with a half-life of 6.05 hours, peak concentration is at 3 hours.  Ritonavir is metabolised in the liver, with a half-life of 6.15 hours, peak concentration is at 3.98 hours.</w:t>
      </w:r>
    </w:p>
    <w:p w14:paraId="3AD559AA" w14:textId="77777777" w:rsidR="00424FDD" w:rsidRPr="001C0C4B" w:rsidRDefault="00424FDD" w:rsidP="00424FDD">
      <w:pPr>
        <w:rPr>
          <w:lang w:val="en-GB"/>
        </w:rPr>
      </w:pPr>
      <w:r w:rsidRPr="001C0C4B">
        <w:rPr>
          <w:lang w:val="en-GB"/>
        </w:rPr>
        <w:t>Pharmacokinetic sampling schedule: (only if there is evidence of accelerated viral clearance)</w:t>
      </w:r>
    </w:p>
    <w:p w14:paraId="690F466F" w14:textId="77777777" w:rsidR="00424FDD" w:rsidRPr="001C0C4B" w:rsidRDefault="00424FDD" w:rsidP="00424FDD">
      <w:pPr>
        <w:spacing w:after="120" w:line="276" w:lineRule="auto"/>
        <w:jc w:val="both"/>
        <w:rPr>
          <w:rFonts w:ascii="Calibri" w:hAnsi="Calibri"/>
        </w:rPr>
      </w:pPr>
      <w:r w:rsidRPr="001C0C4B">
        <w:rPr>
          <w:rFonts w:ascii="Calibri" w:hAnsi="Calibri"/>
        </w:rPr>
        <w:t xml:space="preserve">The timings are: </w:t>
      </w:r>
    </w:p>
    <w:p w14:paraId="0A0DFD6C" w14:textId="77777777" w:rsidR="00424FDD" w:rsidRPr="001C0C4B" w:rsidRDefault="00424FDD" w:rsidP="00424FDD">
      <w:pPr>
        <w:pStyle w:val="bullet1"/>
        <w:numPr>
          <w:ilvl w:val="0"/>
          <w:numId w:val="11"/>
        </w:numPr>
        <w:spacing w:line="276" w:lineRule="auto"/>
        <w:ind w:left="357" w:hanging="357"/>
        <w:jc w:val="both"/>
        <w:rPr>
          <w:rFonts w:ascii="Calibri" w:hAnsi="Calibri"/>
          <w:lang w:val="en-GB"/>
        </w:rPr>
      </w:pPr>
      <w:r w:rsidRPr="001C0C4B">
        <w:rPr>
          <w:rFonts w:ascii="Calibri" w:hAnsi="Calibri"/>
          <w:lang w:val="en-GB"/>
        </w:rPr>
        <w:t>Pre-dose D0H0, then</w:t>
      </w:r>
    </w:p>
    <w:p w14:paraId="55BFDDB1" w14:textId="77777777" w:rsidR="00424FDD" w:rsidRPr="001C0C4B" w:rsidRDefault="00424FDD" w:rsidP="00424FDD">
      <w:pPr>
        <w:pStyle w:val="bullet1"/>
        <w:numPr>
          <w:ilvl w:val="0"/>
          <w:numId w:val="11"/>
        </w:numPr>
        <w:spacing w:line="276" w:lineRule="auto"/>
        <w:ind w:left="357" w:hanging="357"/>
        <w:jc w:val="both"/>
        <w:rPr>
          <w:rFonts w:ascii="Calibri" w:hAnsi="Calibri"/>
          <w:lang w:val="en-GB"/>
        </w:rPr>
      </w:pPr>
      <w:r w:rsidRPr="001C0C4B">
        <w:rPr>
          <w:rFonts w:ascii="Calibri" w:hAnsi="Calibri"/>
          <w:lang w:val="en-GB"/>
        </w:rPr>
        <w:t>1, 2, 3, 4, 6, 9, 12 and 24h post dose</w:t>
      </w:r>
    </w:p>
    <w:p w14:paraId="0CE57C74" w14:textId="2443E5B5" w:rsidR="00424FDD" w:rsidRPr="001C0C4B" w:rsidRDefault="00424FDD" w:rsidP="00696D65">
      <w:pPr>
        <w:spacing w:after="120" w:line="276" w:lineRule="auto"/>
        <w:jc w:val="both"/>
        <w:rPr>
          <w:rFonts w:ascii="Calibri" w:hAnsi="Calibri"/>
        </w:rPr>
      </w:pPr>
      <w:r w:rsidRPr="001C0C4B">
        <w:rPr>
          <w:rFonts w:ascii="Calibri" w:hAnsi="Calibri"/>
        </w:rPr>
        <w:t>Note that blood will be taken on D3 and D7 for routine haematology and biochemistry. The EDTA sample will be used to measure the drug concentrations.</w:t>
      </w:r>
    </w:p>
    <w:p w14:paraId="72119A4B" w14:textId="77777777" w:rsidR="00D73CFA" w:rsidRPr="001C0C4B" w:rsidRDefault="00D73CFA" w:rsidP="00696D65">
      <w:pPr>
        <w:jc w:val="both"/>
        <w:rPr>
          <w:u w:val="single"/>
          <w:lang w:val="en-GB"/>
        </w:rPr>
      </w:pPr>
      <w:r w:rsidRPr="001C0C4B">
        <w:rPr>
          <w:u w:val="single"/>
          <w:lang w:val="en-GB"/>
        </w:rPr>
        <w:t>Toxicity</w:t>
      </w:r>
    </w:p>
    <w:p w14:paraId="28591321" w14:textId="77777777" w:rsidR="00D73CFA" w:rsidRPr="001C0C4B" w:rsidRDefault="00D73CFA" w:rsidP="00696D65">
      <w:pPr>
        <w:jc w:val="both"/>
        <w:rPr>
          <w:lang w:val="en-GB"/>
        </w:rPr>
      </w:pPr>
      <w:r w:rsidRPr="001C0C4B">
        <w:rPr>
          <w:lang w:val="en-GB"/>
        </w:rPr>
        <w:t>Repeat-dose toxicity studies up to 1 month duration of nirmatrelvir in rats and monkeys resulted in</w:t>
      </w:r>
    </w:p>
    <w:p w14:paraId="7C3F9168" w14:textId="1CB69121" w:rsidR="00D73CFA" w:rsidRPr="001C0C4B" w:rsidRDefault="00D73CFA" w:rsidP="00696D65">
      <w:pPr>
        <w:jc w:val="both"/>
        <w:rPr>
          <w:lang w:val="en-GB"/>
        </w:rPr>
      </w:pPr>
      <w:r w:rsidRPr="001C0C4B">
        <w:rPr>
          <w:lang w:val="en-GB"/>
        </w:rPr>
        <w:t xml:space="preserve">no adverse findings. Ritonavir can cause retinal toxicity </w:t>
      </w:r>
      <w:r w:rsidR="007207D5" w:rsidRPr="001C0C4B">
        <w:rPr>
          <w:lang w:val="en-GB"/>
        </w:rPr>
        <w:t>with</w:t>
      </w:r>
      <w:r w:rsidRPr="001C0C4B">
        <w:rPr>
          <w:lang w:val="en-GB"/>
        </w:rPr>
        <w:t xml:space="preserve"> long term use </w:t>
      </w:r>
      <w:r w:rsidRPr="001C0C4B">
        <w:rPr>
          <w:lang w:val="en-GB"/>
        </w:rPr>
        <w:fldChar w:fldCharType="begin"/>
      </w:r>
      <w:r w:rsidRPr="001C0C4B">
        <w:rPr>
          <w:lang w:val="en-GB"/>
        </w:rPr>
        <w:instrText xml:space="preserve"> ADDIN EN.CITE &lt;EndNote&gt;&lt;Cite&gt;&lt;Author&gt;Tu&lt;/Author&gt;&lt;Year&gt;2016&lt;/Year&gt;&lt;RecNum&gt;38&lt;/RecNum&gt;&lt;DisplayText&gt;(6)&lt;/DisplayText&gt;&lt;record&gt;&lt;rec-number&gt;38&lt;/rec-number&gt;&lt;foreign-keys&gt;&lt;key app="EN" db-id="a529fxfdz0d2are0vx0xptzlxt5sapwf552v" timestamp="1640757927"&gt;38&lt;/key&gt;&lt;/foreign-keys&gt;&lt;ref-type name="Journal Article"&gt;17&lt;/ref-type&gt;&lt;contributors&gt;&lt;authors&gt;&lt;author&gt;Tu, Yufei&lt;/author&gt;&lt;author&gt;Poblete, Ronald J&lt;/author&gt;&lt;author&gt;Freilich, Benjamin D&lt;/author&gt;&lt;author&gt;Zarbin, Marco A&lt;/author&gt;&lt;author&gt;Bhagat, Neelakshi&lt;/author&gt;&lt;/authors&gt;&lt;/contributors&gt;&lt;titles&gt;&lt;title&gt;Retinal toxicity with ritonavir&lt;/title&gt;&lt;secondary-title&gt;International journal of ophthalmology&lt;/secondary-title&gt;&lt;/titles&gt;&lt;periodical&gt;&lt;full-title&gt;International journal of ophthalmology&lt;/full-title&gt;&lt;/periodical&gt;&lt;pages&gt;640&lt;/pages&gt;&lt;volume&gt;9&lt;/volume&gt;&lt;number&gt;4&lt;/number&gt;&lt;dates&gt;&lt;year&gt;2016&lt;/year&gt;&lt;/dates&gt;&lt;urls&gt;&lt;/urls&gt;&lt;/record&gt;&lt;/Cite&gt;&lt;/EndNote&gt;</w:instrText>
      </w:r>
      <w:r w:rsidRPr="001C0C4B">
        <w:rPr>
          <w:lang w:val="en-GB"/>
        </w:rPr>
        <w:fldChar w:fldCharType="separate"/>
      </w:r>
      <w:r w:rsidRPr="001C0C4B">
        <w:rPr>
          <w:lang w:val="en-GB"/>
        </w:rPr>
        <w:t>(6)</w:t>
      </w:r>
      <w:r w:rsidRPr="001C0C4B">
        <w:rPr>
          <w:lang w:val="en-GB"/>
        </w:rPr>
        <w:fldChar w:fldCharType="end"/>
      </w:r>
      <w:r w:rsidR="007207D5" w:rsidRPr="001C0C4B">
        <w:rPr>
          <w:lang w:val="en-GB"/>
        </w:rPr>
        <w:t>, although this is not relevant for the short-term use in the study</w:t>
      </w:r>
      <w:r w:rsidRPr="001C0C4B">
        <w:rPr>
          <w:lang w:val="en-GB"/>
        </w:rPr>
        <w:t>.</w:t>
      </w:r>
      <w:r w:rsidR="007207D5" w:rsidRPr="001C0C4B">
        <w:rPr>
          <w:lang w:val="en-GB"/>
        </w:rPr>
        <w:t xml:space="preserve"> Ritonavir alone does not cause any issues related to HIV drug-resistance. </w:t>
      </w:r>
    </w:p>
    <w:p w14:paraId="22EA6F8A" w14:textId="77777777" w:rsidR="00C058E5" w:rsidRPr="001C0C4B" w:rsidRDefault="00C058E5" w:rsidP="00696D65">
      <w:pPr>
        <w:jc w:val="both"/>
        <w:rPr>
          <w:lang w:val="en-GB"/>
        </w:rPr>
      </w:pPr>
    </w:p>
    <w:p w14:paraId="2DBA3A5E" w14:textId="77777777" w:rsidR="00D73CFA" w:rsidRPr="001C0C4B" w:rsidRDefault="00D73CFA" w:rsidP="00696D65">
      <w:pPr>
        <w:jc w:val="both"/>
        <w:rPr>
          <w:u w:val="single"/>
          <w:lang w:val="en-GB"/>
        </w:rPr>
      </w:pPr>
      <w:r w:rsidRPr="001C0C4B">
        <w:rPr>
          <w:u w:val="single"/>
          <w:lang w:val="en-GB"/>
        </w:rPr>
        <w:lastRenderedPageBreak/>
        <w:t>Contraindications</w:t>
      </w:r>
    </w:p>
    <w:p w14:paraId="28CEA856" w14:textId="551A0C1F" w:rsidR="007207D5" w:rsidRPr="001C0C4B" w:rsidRDefault="007207D5" w:rsidP="00424FDD">
      <w:pPr>
        <w:spacing w:after="120" w:line="276" w:lineRule="auto"/>
        <w:jc w:val="both"/>
        <w:rPr>
          <w:rFonts w:ascii="Calibri" w:hAnsi="Calibri"/>
        </w:rPr>
      </w:pPr>
      <w:r w:rsidRPr="001C0C4B">
        <w:rPr>
          <w:rFonts w:ascii="Calibri" w:hAnsi="Calibri"/>
        </w:rPr>
        <w:t xml:space="preserve">In our study, nirmatrelvir/ritonavir is contraindicated in: </w:t>
      </w:r>
    </w:p>
    <w:p w14:paraId="1B1CC6CF" w14:textId="2380660E" w:rsidR="007207D5" w:rsidRPr="001C0C4B" w:rsidRDefault="007207D5" w:rsidP="00255A69">
      <w:pPr>
        <w:pStyle w:val="bullet10"/>
      </w:pPr>
      <w:r w:rsidRPr="001C0C4B">
        <w:t>hypersensitivity to nirmatrelvir/ritonavir or any of its ingredients, including ritonavir.</w:t>
      </w:r>
    </w:p>
    <w:p w14:paraId="3A03A554" w14:textId="0FD7F191" w:rsidR="007207D5" w:rsidRPr="001C0C4B" w:rsidRDefault="007207D5" w:rsidP="00255A69">
      <w:pPr>
        <w:pStyle w:val="bullet10"/>
      </w:pPr>
      <w:r w:rsidRPr="001C0C4B">
        <w:t>co-administration with drugs highly dependent on CYP4503 A.</w:t>
      </w:r>
    </w:p>
    <w:p w14:paraId="38EA4ED9" w14:textId="77777777" w:rsidR="007207D5" w:rsidRPr="001C0C4B" w:rsidRDefault="007207D5" w:rsidP="00255A69">
      <w:pPr>
        <w:pStyle w:val="bullet10"/>
      </w:pPr>
      <w:r w:rsidRPr="001C0C4B">
        <w:t>co-administration with potent CYP450 3A inducers</w:t>
      </w:r>
    </w:p>
    <w:p w14:paraId="0FDFB1AD" w14:textId="77777777" w:rsidR="007207D5" w:rsidRPr="001C0C4B" w:rsidRDefault="007207D5" w:rsidP="00424FDD">
      <w:pPr>
        <w:spacing w:after="120" w:line="276" w:lineRule="auto"/>
        <w:jc w:val="both"/>
        <w:rPr>
          <w:rFonts w:ascii="Calibri" w:hAnsi="Calibri"/>
        </w:rPr>
      </w:pPr>
      <w:r w:rsidRPr="001C0C4B">
        <w:rPr>
          <w:rFonts w:ascii="Calibri" w:hAnsi="Calibri"/>
        </w:rPr>
        <w:t>More details regarding concomitant medication can be found at:</w:t>
      </w:r>
    </w:p>
    <w:p w14:paraId="13B00155" w14:textId="77777777" w:rsidR="007207D5" w:rsidRPr="001C0C4B" w:rsidRDefault="00000000" w:rsidP="00255A69">
      <w:pPr>
        <w:pStyle w:val="bullet10"/>
      </w:pPr>
      <w:hyperlink r:id="rId54" w:history="1">
        <w:r w:rsidR="007207D5" w:rsidRPr="001C0C4B">
          <w:rPr>
            <w:rStyle w:val="Hyperlink"/>
            <w:color w:val="auto"/>
          </w:rPr>
          <w:t>https://www.covid19-druginteractions.org/checker</w:t>
        </w:r>
      </w:hyperlink>
    </w:p>
    <w:p w14:paraId="622FD84B" w14:textId="77777777" w:rsidR="007207D5" w:rsidRPr="001C0C4B" w:rsidRDefault="00000000" w:rsidP="00255A69">
      <w:pPr>
        <w:pStyle w:val="bullet10"/>
      </w:pPr>
      <w:hyperlink r:id="rId55" w:history="1">
        <w:r w:rsidR="007207D5" w:rsidRPr="001C0C4B">
          <w:rPr>
            <w:rStyle w:val="Hyperlink"/>
            <w:color w:val="auto"/>
          </w:rPr>
          <w:t>https://crediblemeds.org/</w:t>
        </w:r>
      </w:hyperlink>
    </w:p>
    <w:p w14:paraId="60899AD9" w14:textId="77777777" w:rsidR="007207D5" w:rsidRPr="001C0C4B" w:rsidRDefault="00000000" w:rsidP="00255A69">
      <w:pPr>
        <w:pStyle w:val="bullet10"/>
      </w:pPr>
      <w:hyperlink r:id="rId56" w:history="1">
        <w:r w:rsidR="007207D5" w:rsidRPr="001C0C4B">
          <w:rPr>
            <w:rStyle w:val="Hyperlink"/>
            <w:color w:val="auto"/>
          </w:rPr>
          <w:t>https://compendium.ch/fr/Patient</w:t>
        </w:r>
      </w:hyperlink>
      <w:r w:rsidR="007207D5" w:rsidRPr="001C0C4B">
        <w:t xml:space="preserve"> - this is a Swiss website dealing with drug interactions</w:t>
      </w:r>
    </w:p>
    <w:p w14:paraId="1A065C5D" w14:textId="77777777" w:rsidR="007207D5" w:rsidRPr="001C0C4B" w:rsidRDefault="00000000" w:rsidP="00255A69">
      <w:pPr>
        <w:pStyle w:val="bullet10"/>
      </w:pPr>
      <w:hyperlink r:id="rId57" w:history="1">
        <w:r w:rsidR="007207D5" w:rsidRPr="001C0C4B">
          <w:rPr>
            <w:rStyle w:val="Hyperlink"/>
            <w:color w:val="auto"/>
          </w:rPr>
          <w:t>https://www.bnf.org/products/bnf-online/</w:t>
        </w:r>
      </w:hyperlink>
      <w:r w:rsidR="007207D5" w:rsidRPr="001C0C4B">
        <w:t xml:space="preserve"> - available only in the UK</w:t>
      </w:r>
    </w:p>
    <w:p w14:paraId="1CE99F4F" w14:textId="77777777" w:rsidR="00D73CFA" w:rsidRPr="001C0C4B" w:rsidRDefault="00D73CFA" w:rsidP="00696D65">
      <w:pPr>
        <w:jc w:val="both"/>
        <w:rPr>
          <w:u w:val="single"/>
          <w:lang w:val="en-GB"/>
        </w:rPr>
      </w:pPr>
      <w:r w:rsidRPr="001C0C4B">
        <w:rPr>
          <w:u w:val="single"/>
          <w:lang w:val="en-GB"/>
        </w:rPr>
        <w:t>Cautions</w:t>
      </w:r>
    </w:p>
    <w:p w14:paraId="49916334" w14:textId="77777777" w:rsidR="00D73CFA" w:rsidRPr="001C0C4B" w:rsidRDefault="00D73CFA" w:rsidP="00696D65">
      <w:pPr>
        <w:jc w:val="both"/>
        <w:rPr>
          <w:lang w:val="en-GB"/>
        </w:rPr>
      </w:pPr>
      <w:r w:rsidRPr="001C0C4B">
        <w:rPr>
          <w:lang w:val="en-GB"/>
        </w:rPr>
        <w:t>Caution should be given in patients with pre-existing liver disease/hepatitis or live enzyme abnormalities.  Dose reduction for renal impairment (eGFR ≥ 30 to &lt;60 mL/min) is 150MG nirmatrelvir and 100 MG ritonavir.</w:t>
      </w:r>
    </w:p>
    <w:p w14:paraId="6997A2FF" w14:textId="77777777" w:rsidR="00D73CFA" w:rsidRPr="001C0C4B" w:rsidRDefault="00D73CFA" w:rsidP="00696D65">
      <w:pPr>
        <w:jc w:val="both"/>
        <w:rPr>
          <w:lang w:val="en-GB"/>
        </w:rPr>
      </w:pPr>
      <w:r w:rsidRPr="001C0C4B">
        <w:rPr>
          <w:u w:val="single"/>
          <w:lang w:val="en-GB"/>
        </w:rPr>
        <w:t>Drug Interactions</w:t>
      </w:r>
    </w:p>
    <w:p w14:paraId="7954FA0F" w14:textId="359E2813" w:rsidR="00D73CFA" w:rsidRPr="001C0C4B" w:rsidRDefault="00D73CFA">
      <w:pPr>
        <w:jc w:val="both"/>
        <w:rPr>
          <w:lang w:val="en-GB"/>
        </w:rPr>
      </w:pPr>
      <w:r w:rsidRPr="001C0C4B">
        <w:rPr>
          <w:lang w:val="en-GB"/>
        </w:rPr>
        <w:t>Contraindicated with drugs that are highly dependent on CYP3A for clearance</w:t>
      </w:r>
      <w:r w:rsidR="00A55948" w:rsidRPr="001C0C4B">
        <w:rPr>
          <w:lang w:val="en-GB"/>
        </w:rPr>
        <w:t xml:space="preserve"> </w:t>
      </w:r>
      <w:r w:rsidRPr="001C0C4B">
        <w:rPr>
          <w:lang w:val="en-GB"/>
        </w:rPr>
        <w:t xml:space="preserve">or are potent CYP3A inducers </w:t>
      </w:r>
      <w:r w:rsidR="00913D19" w:rsidRPr="001C0C4B">
        <w:rPr>
          <w:lang w:val="en-GB"/>
        </w:rPr>
        <w:t>(see above). There are no theoretical drug interactions in combination molnupiravir.</w:t>
      </w:r>
    </w:p>
    <w:p w14:paraId="58266B3A" w14:textId="67C8E494" w:rsidR="0097654B" w:rsidRPr="001C0C4B" w:rsidRDefault="0097654B" w:rsidP="00696D65">
      <w:pPr>
        <w:spacing w:after="120" w:line="240" w:lineRule="auto"/>
        <w:jc w:val="both"/>
        <w:rPr>
          <w:u w:val="single"/>
          <w:lang w:val="en-GB"/>
        </w:rPr>
      </w:pPr>
      <w:r w:rsidRPr="001C0C4B">
        <w:rPr>
          <w:u w:val="single"/>
          <w:lang w:val="en-GB"/>
        </w:rPr>
        <w:t>References</w:t>
      </w:r>
    </w:p>
    <w:p w14:paraId="19CF02DA" w14:textId="75820DD6" w:rsidR="0097654B" w:rsidRPr="001C0C4B" w:rsidRDefault="0097654B" w:rsidP="0051159A">
      <w:pPr>
        <w:spacing w:after="0" w:line="240" w:lineRule="auto"/>
        <w:ind w:left="720" w:hanging="360"/>
        <w:jc w:val="both"/>
        <w:rPr>
          <w:sz w:val="20"/>
        </w:rPr>
      </w:pPr>
      <w:r w:rsidRPr="001C0C4B">
        <w:rPr>
          <w:sz w:val="20"/>
        </w:rPr>
        <w:t>1.</w:t>
      </w:r>
      <w:r w:rsidR="00326719" w:rsidRPr="001C0C4B">
        <w:rPr>
          <w:sz w:val="20"/>
        </w:rPr>
        <w:t xml:space="preserve"> </w:t>
      </w:r>
      <w:r w:rsidR="00326719" w:rsidRPr="001C0C4B">
        <w:rPr>
          <w:sz w:val="20"/>
        </w:rPr>
        <w:tab/>
      </w:r>
      <w:r w:rsidRPr="001C0C4B">
        <w:rPr>
          <w:sz w:val="20"/>
        </w:rPr>
        <w:t xml:space="preserve"> Boras B, Jones RM, Anson BJ, Arenson D, Aschenbrenner L, Bakowski MA, et al. Discovery of a novel inhibitor of coronavirus 3CL protease as a clinical candidate for the potential treatment of COVID-19. BioRxiv. 2021:2020.09. 12.293498.</w:t>
      </w:r>
    </w:p>
    <w:p w14:paraId="35AD1D05" w14:textId="09C5A54E" w:rsidR="0097654B" w:rsidRPr="001C0C4B" w:rsidRDefault="0097654B" w:rsidP="0051159A">
      <w:pPr>
        <w:spacing w:after="0" w:line="240" w:lineRule="auto"/>
        <w:ind w:left="720" w:hanging="360"/>
        <w:jc w:val="both"/>
        <w:rPr>
          <w:sz w:val="20"/>
        </w:rPr>
      </w:pPr>
      <w:r w:rsidRPr="001C0C4B">
        <w:rPr>
          <w:sz w:val="20"/>
        </w:rPr>
        <w:t>2.</w:t>
      </w:r>
      <w:r w:rsidR="00326719" w:rsidRPr="001C0C4B">
        <w:rPr>
          <w:sz w:val="20"/>
        </w:rPr>
        <w:t xml:space="preserve"> </w:t>
      </w:r>
      <w:r w:rsidR="00326719" w:rsidRPr="001C0C4B">
        <w:rPr>
          <w:sz w:val="20"/>
        </w:rPr>
        <w:tab/>
      </w:r>
      <w:r w:rsidRPr="001C0C4B">
        <w:rPr>
          <w:sz w:val="20"/>
        </w:rPr>
        <w:t>de Vries M, Mohamed AS, Prescott RA, Valero-Jimenez AM, Desvignes L, O’Connor R, et al. A comparative analysis of SARS-CoV-2 antivirals characterizes 3CLpro inhibitor PF-00835231 as a potential new treatment for COVID-19. Journal of Virology. 2021;95(10):e01819-20.</w:t>
      </w:r>
    </w:p>
    <w:p w14:paraId="6A998B96" w14:textId="18F9658F" w:rsidR="0097654B" w:rsidRPr="001C0C4B" w:rsidRDefault="0097654B" w:rsidP="0051159A">
      <w:pPr>
        <w:spacing w:after="0" w:line="240" w:lineRule="auto"/>
        <w:ind w:left="720" w:hanging="360"/>
        <w:jc w:val="both"/>
        <w:rPr>
          <w:sz w:val="20"/>
        </w:rPr>
      </w:pPr>
      <w:r w:rsidRPr="001C0C4B">
        <w:rPr>
          <w:sz w:val="20"/>
        </w:rPr>
        <w:t>3.</w:t>
      </w:r>
      <w:r w:rsidR="00326719" w:rsidRPr="001C0C4B">
        <w:rPr>
          <w:sz w:val="20"/>
        </w:rPr>
        <w:t xml:space="preserve"> </w:t>
      </w:r>
      <w:r w:rsidR="00326719" w:rsidRPr="001C0C4B">
        <w:rPr>
          <w:sz w:val="20"/>
        </w:rPr>
        <w:tab/>
      </w:r>
      <w:r w:rsidRPr="001C0C4B">
        <w:rPr>
          <w:sz w:val="20"/>
        </w:rPr>
        <w:t>Barilli A, Visigalli R, Ferrari F, Di Lascia M, Riccardi B, Puccini P, et al. Organic Cation Transporters (OCTs) in EpiAirway™, a Cellular Model of Normal Human Bronchial Epithelium. Biomedicines. 2020;8(5):127.</w:t>
      </w:r>
    </w:p>
    <w:p w14:paraId="1F8CE012" w14:textId="211A9D48" w:rsidR="0097654B" w:rsidRPr="001C0C4B" w:rsidRDefault="0097654B" w:rsidP="0051159A">
      <w:pPr>
        <w:spacing w:after="0" w:line="240" w:lineRule="auto"/>
        <w:ind w:left="720" w:hanging="360"/>
        <w:jc w:val="both"/>
        <w:rPr>
          <w:sz w:val="20"/>
        </w:rPr>
      </w:pPr>
      <w:r w:rsidRPr="001C0C4B">
        <w:rPr>
          <w:sz w:val="20"/>
        </w:rPr>
        <w:t>4.</w:t>
      </w:r>
      <w:r w:rsidR="00326719" w:rsidRPr="001C0C4B">
        <w:rPr>
          <w:sz w:val="20"/>
        </w:rPr>
        <w:t xml:space="preserve"> </w:t>
      </w:r>
      <w:r w:rsidR="00326719" w:rsidRPr="001C0C4B">
        <w:rPr>
          <w:sz w:val="20"/>
        </w:rPr>
        <w:tab/>
      </w:r>
      <w:r w:rsidRPr="001C0C4B">
        <w:rPr>
          <w:sz w:val="20"/>
        </w:rPr>
        <w:t>Owen DR, Allerton CM, Anderson AS, Aschenbrenner L, Avery M, Berritt S, et al. An oral SARS-CoV-2 Mpro inhibitor clinical candidate for the treatment of COVID-19. Science. 2021:eabl4784.</w:t>
      </w:r>
    </w:p>
    <w:p w14:paraId="25B142AF" w14:textId="77777777" w:rsidR="0097654B" w:rsidRPr="001C0C4B" w:rsidRDefault="0097654B" w:rsidP="0051159A">
      <w:pPr>
        <w:pStyle w:val="EndNoteBibliography"/>
        <w:spacing w:after="0"/>
        <w:ind w:left="720" w:hanging="360"/>
        <w:jc w:val="both"/>
        <w:rPr>
          <w:rFonts w:asciiTheme="minorHAnsi" w:hAnsiTheme="minorHAnsi"/>
          <w:lang w:val="en-GB"/>
        </w:rPr>
      </w:pPr>
      <w:r w:rsidRPr="001C0C4B">
        <w:rPr>
          <w:sz w:val="20"/>
        </w:rPr>
        <w:t>5.</w:t>
      </w:r>
      <w:r w:rsidRPr="001C0C4B">
        <w:rPr>
          <w:sz w:val="20"/>
        </w:rPr>
        <w:tab/>
        <w:t>Mahase E. Covid-19: Pfizer’s paxlovid is 89% effective in patients at risk of serious illness, company reports. British Medical Journal Publishing Group; 2021.</w:t>
      </w:r>
    </w:p>
    <w:p w14:paraId="36D8C212" w14:textId="47D0CA1D" w:rsidR="00D73CFA" w:rsidRPr="001C0C4B" w:rsidRDefault="00D73CFA" w:rsidP="0051159A">
      <w:pPr>
        <w:pStyle w:val="EndNoteBibliography"/>
        <w:spacing w:after="0"/>
        <w:ind w:left="720" w:hanging="360"/>
        <w:jc w:val="both"/>
        <w:rPr>
          <w:sz w:val="20"/>
        </w:rPr>
      </w:pPr>
      <w:r w:rsidRPr="001C0C4B">
        <w:rPr>
          <w:sz w:val="20"/>
        </w:rPr>
        <w:t xml:space="preserve">6. </w:t>
      </w:r>
      <w:r w:rsidR="00326719" w:rsidRPr="001C0C4B">
        <w:rPr>
          <w:sz w:val="20"/>
        </w:rPr>
        <w:tab/>
      </w:r>
      <w:r w:rsidRPr="001C0C4B">
        <w:rPr>
          <w:sz w:val="20"/>
        </w:rPr>
        <w:t>Tu Y, Poblete RJ, Freilich BD, Zarbin MA, Bhagat N. Retinal toxicity with ritonavir. International journal of ophthalmology. 2016;9(4):640.</w:t>
      </w:r>
    </w:p>
    <w:p w14:paraId="4778591D" w14:textId="77777777" w:rsidR="00D73CFA" w:rsidRPr="001C0C4B" w:rsidRDefault="00D73CFA" w:rsidP="00696D65">
      <w:pPr>
        <w:pStyle w:val="EndNoteBibliography"/>
        <w:jc w:val="both"/>
      </w:pPr>
    </w:p>
    <w:p w14:paraId="607D1C08" w14:textId="77777777" w:rsidR="00424FDD" w:rsidRPr="001C0C4B" w:rsidRDefault="00424FDD">
      <w:pPr>
        <w:rPr>
          <w:rFonts w:ascii="Calibri" w:hAnsi="Calibri"/>
          <w:lang w:val="en-GB"/>
        </w:rPr>
      </w:pPr>
      <w:r w:rsidRPr="001C0C4B">
        <w:rPr>
          <w:lang w:val="en-GB"/>
        </w:rPr>
        <w:br w:type="page"/>
      </w:r>
    </w:p>
    <w:p w14:paraId="3B6D3FB9" w14:textId="5EDDA5E8" w:rsidR="00133989" w:rsidRPr="001C0C4B" w:rsidRDefault="00133989" w:rsidP="00BF2FEE">
      <w:pPr>
        <w:pStyle w:val="Heading2"/>
        <w:numPr>
          <w:ilvl w:val="1"/>
          <w:numId w:val="53"/>
        </w:numPr>
        <w:rPr>
          <w:rFonts w:asciiTheme="minorHAnsi" w:hAnsiTheme="minorHAnsi" w:cstheme="minorHAnsi"/>
          <w:color w:val="auto"/>
          <w:u w:val="single"/>
        </w:rPr>
      </w:pPr>
      <w:bookmarkStart w:id="538" w:name="_Toc96007368"/>
      <w:bookmarkStart w:id="539" w:name="_Toc95915294"/>
      <w:bookmarkStart w:id="540" w:name="_Toc110524033"/>
      <w:bookmarkStart w:id="541" w:name="_Toc96005671"/>
      <w:bookmarkStart w:id="542" w:name="_Toc112917681"/>
      <w:r w:rsidRPr="001C0C4B">
        <w:rPr>
          <w:rFonts w:asciiTheme="minorHAnsi" w:hAnsiTheme="minorHAnsi" w:cstheme="minorHAnsi"/>
          <w:color w:val="auto"/>
          <w:u w:val="single"/>
        </w:rPr>
        <w:lastRenderedPageBreak/>
        <w:t>Sotrovimab</w:t>
      </w:r>
      <w:bookmarkEnd w:id="538"/>
      <w:bookmarkEnd w:id="539"/>
      <w:bookmarkEnd w:id="540"/>
      <w:bookmarkEnd w:id="541"/>
      <w:bookmarkEnd w:id="542"/>
    </w:p>
    <w:p w14:paraId="5ED35EB2" w14:textId="77777777" w:rsidR="00D73CFA" w:rsidRPr="001C0C4B" w:rsidRDefault="00D73CFA" w:rsidP="00696D65">
      <w:pPr>
        <w:pStyle w:val="EndNoteBibliography"/>
        <w:jc w:val="both"/>
        <w:rPr>
          <w:u w:val="single"/>
          <w:lang w:val="en-GB"/>
        </w:rPr>
      </w:pPr>
      <w:r w:rsidRPr="001C0C4B">
        <w:rPr>
          <w:u w:val="single"/>
          <w:lang w:val="en-GB"/>
        </w:rPr>
        <w:t>Rationale</w:t>
      </w:r>
    </w:p>
    <w:p w14:paraId="6DE4C77A" w14:textId="67792D0D" w:rsidR="00D73CFA" w:rsidRPr="001C0C4B" w:rsidRDefault="00D73CFA" w:rsidP="00696D65">
      <w:pPr>
        <w:pStyle w:val="EndNoteBibliography"/>
        <w:jc w:val="both"/>
        <w:rPr>
          <w:lang w:val="en-GB"/>
        </w:rPr>
      </w:pPr>
      <w:r w:rsidRPr="001C0C4B">
        <w:rPr>
          <w:lang w:val="en-GB"/>
        </w:rPr>
        <w:t xml:space="preserve">Sotrovimab (VIR-7831) is an Fc-engineered IgG1 human monoclonal antibody developed from a parental antibody isolated from a survivor of the SARS outbreak in 2003 </w:t>
      </w:r>
      <w:r w:rsidRPr="001C0C4B">
        <w:rPr>
          <w:lang w:val="en-GB"/>
        </w:rPr>
        <w:fldChar w:fldCharType="begin"/>
      </w:r>
      <w:r w:rsidRPr="001C0C4B">
        <w:rPr>
          <w:lang w:val="en-GB"/>
        </w:rPr>
        <w:instrText xml:space="preserve"> ADDIN EN.CITE &lt;EndNote&gt;&lt;Cite&gt;&lt;Author&gt;Pinto&lt;/Author&gt;&lt;Year&gt;2020&lt;/Year&gt;&lt;RecNum&gt;40&lt;/RecNum&gt;&lt;DisplayText&gt;(1)&lt;/DisplayText&gt;&lt;record&gt;&lt;rec-number&gt;40&lt;/rec-number&gt;&lt;foreign-keys&gt;&lt;key app="EN" db-id="a529fxfdz0d2are0vx0xptzlxt5sapwf552v" timestamp="1640759788"&gt;40&lt;/key&gt;&lt;/foreign-keys&gt;&lt;ref-type name="Journal Article"&gt;17&lt;/ref-type&gt;&lt;contributors&gt;&lt;authors&gt;&lt;author&gt;Pinto, Dora&lt;/author&gt;&lt;author&gt;Park, Young-Jun&lt;/author&gt;&lt;author&gt;Beltramello, Martina&lt;/author&gt;&lt;author&gt;Walls, Alexandra C&lt;/author&gt;&lt;author&gt;Tortorici, M Alejandra&lt;/author&gt;&lt;author&gt;Bianchi, Siro&lt;/author&gt;&lt;author&gt;Jaconi, Stefano&lt;/author&gt;&lt;author&gt;Culap, Katja&lt;/author&gt;&lt;author&gt;Zatta, Fabrizia&lt;/author&gt;&lt;author&gt;De Marco, Anna&lt;/author&gt;&lt;/authors&gt;&lt;/contributors&gt;&lt;titles&gt;&lt;title&gt;Cross-neutralization of SARS-CoV-2 by a human monoclonal SARS-CoV antibody&lt;/title&gt;&lt;secondary-title&gt;Nature&lt;/secondary-title&gt;&lt;/titles&gt;&lt;periodical&gt;&lt;full-title&gt;Nature&lt;/full-title&gt;&lt;/periodical&gt;&lt;pages&gt;290-295&lt;/pages&gt;&lt;volume&gt;583&lt;/volume&gt;&lt;number&gt;7815&lt;/number&gt;&lt;dates&gt;&lt;year&gt;2020&lt;/year&gt;&lt;/dates&gt;&lt;isbn&gt;1476-4687&lt;/isbn&gt;&lt;urls&gt;&lt;/urls&gt;&lt;/record&gt;&lt;/Cite&gt;&lt;/EndNote&gt;</w:instrText>
      </w:r>
      <w:r w:rsidRPr="001C0C4B">
        <w:rPr>
          <w:lang w:val="en-GB"/>
        </w:rPr>
        <w:fldChar w:fldCharType="separate"/>
      </w:r>
      <w:r w:rsidRPr="001C0C4B">
        <w:rPr>
          <w:lang w:val="en-GB"/>
        </w:rPr>
        <w:t>(1)</w:t>
      </w:r>
      <w:r w:rsidRPr="001C0C4B">
        <w:fldChar w:fldCharType="end"/>
      </w:r>
      <w:r w:rsidRPr="001C0C4B">
        <w:rPr>
          <w:lang w:val="en-GB"/>
        </w:rPr>
        <w:t xml:space="preserve">. Sotrovimab targets a highly conserved epitope in the SARS-CoV-2 spike protein at a region that does not compete with angiotensin-converting enzyme 2 binding. </w:t>
      </w:r>
    </w:p>
    <w:p w14:paraId="7CC573F9" w14:textId="2C4B53EA" w:rsidR="00D73CFA" w:rsidRPr="001C0C4B" w:rsidRDefault="00D73CFA" w:rsidP="00696D65">
      <w:pPr>
        <w:pStyle w:val="EndNoteBibliography"/>
        <w:jc w:val="both"/>
        <w:rPr>
          <w:lang w:val="en-GB"/>
        </w:rPr>
      </w:pPr>
      <w:r w:rsidRPr="001C0C4B">
        <w:rPr>
          <w:lang w:val="en-GB"/>
        </w:rPr>
        <w:t>In</w:t>
      </w:r>
      <w:r w:rsidR="007207D5" w:rsidRPr="001C0C4B">
        <w:rPr>
          <w:lang w:val="en-GB"/>
        </w:rPr>
        <w:t>-v</w:t>
      </w:r>
      <w:r w:rsidRPr="001C0C4B">
        <w:rPr>
          <w:lang w:val="en-GB"/>
        </w:rPr>
        <w:t xml:space="preserve">itro testing has shown that sotrovimab is able to retain activity against alpha, beta, gamma, delta and kappa variants, and even omicron pseudotyped virus encoding the then most prevalent haplotype of the Omicron spike. The same study showed that Syrian Golden hamsters infected with wildtype SARS-CoV-2 had significantly decreased total viral load and infectious virus levels with sotrovimab </w:t>
      </w:r>
      <w:r w:rsidRPr="001C0C4B">
        <w:rPr>
          <w:lang w:val="en-GB"/>
        </w:rPr>
        <w:fldChar w:fldCharType="begin"/>
      </w:r>
      <w:r w:rsidRPr="001C0C4B">
        <w:rPr>
          <w:lang w:val="en-GB"/>
        </w:rPr>
        <w:instrText xml:space="preserve"> ADDIN EN.CITE &lt;EndNote&gt;&lt;Cite&gt;&lt;Author&gt;Cathcart&lt;/Author&gt;&lt;Year&gt;2021&lt;/Year&gt;&lt;RecNum&gt;42&lt;/RecNum&gt;&lt;DisplayText&gt;(2)&lt;/DisplayText&gt;&lt;record&gt;&lt;rec-number&gt;42&lt;/rec-number&gt;&lt;foreign-keys&gt;&lt;key app="EN" db-id="a529fxfdz0d2are0vx0xptzlxt5sapwf552v" timestamp="1640759945"&gt;42&lt;/key&gt;&lt;/foreign-keys&gt;&lt;ref-type name="Journal Article"&gt;17&lt;/ref-type&gt;&lt;contributors&gt;&lt;authors&gt;&lt;author&gt;Cathcart, Andrea L&lt;/author&gt;&lt;author&gt;Havenar-Daughton, Colin&lt;/author&gt;&lt;author&gt;Lempp, Florian A&lt;/author&gt;&lt;author&gt;Ma, Daphne&lt;/author&gt;&lt;author&gt;Schmid, Michael&lt;/author&gt;&lt;author&gt;Agostini, Maria L&lt;/author&gt;&lt;author&gt;Guarino, Barbara&lt;/author&gt;&lt;author&gt;Rosen, Laura&lt;/author&gt;&lt;author&gt;Tucker, Heather&lt;/author&gt;&lt;author&gt;Dillen, Joshua&lt;/author&gt;&lt;/authors&gt;&lt;/contributors&gt;&lt;titles&gt;&lt;title&gt;The dual function monoclonal antibodies VIR-7831 and VIR-7832 demonstrate potent in vitro and in vivo activity against SARS-CoV-2&lt;/title&gt;&lt;secondary-title&gt;bioRxiv&lt;/secondary-title&gt;&lt;/titles&gt;&lt;periodical&gt;&lt;full-title&gt;BioRxiv&lt;/full-title&gt;&lt;/periodical&gt;&lt;dates&gt;&lt;year&gt;2021&lt;/year&gt;&lt;/dates&gt;&lt;urls&gt;&lt;/urls&gt;&lt;/record&gt;&lt;/Cite&gt;&lt;/EndNote&gt;</w:instrText>
      </w:r>
      <w:r w:rsidRPr="001C0C4B">
        <w:rPr>
          <w:lang w:val="en-GB"/>
        </w:rPr>
        <w:fldChar w:fldCharType="separate"/>
      </w:r>
      <w:r w:rsidRPr="001C0C4B">
        <w:rPr>
          <w:lang w:val="en-GB"/>
        </w:rPr>
        <w:t>(2)</w:t>
      </w:r>
      <w:r w:rsidRPr="001C0C4B">
        <w:fldChar w:fldCharType="end"/>
      </w:r>
      <w:r w:rsidRPr="001C0C4B">
        <w:rPr>
          <w:lang w:val="en-GB"/>
        </w:rPr>
        <w:t>.</w:t>
      </w:r>
    </w:p>
    <w:p w14:paraId="3DFF23F3" w14:textId="76565EED" w:rsidR="00D73CFA" w:rsidRPr="001C0C4B" w:rsidRDefault="00D73CFA" w:rsidP="00696D65">
      <w:pPr>
        <w:pStyle w:val="EndNoteBibliography"/>
        <w:jc w:val="both"/>
        <w:rPr>
          <w:lang w:val="en-GB"/>
        </w:rPr>
      </w:pPr>
      <w:r w:rsidRPr="001C0C4B">
        <w:rPr>
          <w:lang w:val="en-GB"/>
        </w:rPr>
        <w:t xml:space="preserve">A multicentre randomized, double-blind, multicentre, placebo-controlled, phase 3 study tested sotrovimab on non-hospitalised patients with symptomatic, mild to moderate COVID-19 and at least 1 risk factor for disease progression. Symptom onset was within 5 days, median age was 53. Primary efficacy outcome was all-cause hospitalization longer than 24 hours for acute illness management or death through day 29. Primary outcome was significantly reduced with sotrovimab (6/528 – 1%) compared to placebo (30/529 – 6%) by 79%  (95% CI, 50% – 91%; P&lt;.001) </w:t>
      </w:r>
      <w:r w:rsidRPr="001C0C4B">
        <w:rPr>
          <w:lang w:val="en-GB"/>
        </w:rPr>
        <w:fldChar w:fldCharType="begin"/>
      </w:r>
      <w:r w:rsidRPr="001C0C4B">
        <w:rPr>
          <w:lang w:val="en-GB"/>
        </w:rPr>
        <w:instrText xml:space="preserve"> ADDIN EN.CITE &lt;EndNote&gt;&lt;Cite&gt;&lt;Author&gt;Gupta&lt;/Author&gt;&lt;Year&gt;2021&lt;/Year&gt;&lt;RecNum&gt;43&lt;/RecNum&gt;&lt;DisplayText&gt;(3)&lt;/DisplayText&gt;&lt;record&gt;&lt;rec-number&gt;43&lt;/rec-number&gt;&lt;foreign-keys&gt;&lt;key app="EN" db-id="a529fxfdz0d2are0vx0xptzlxt5sapwf552v" timestamp="1640764455"&gt;43&lt;/key&gt;&lt;/foreign-keys&gt;&lt;ref-type name="Journal Article"&gt;17&lt;/ref-type&gt;&lt;contributors&gt;&lt;authors&gt;&lt;author&gt;Gupta, Anil&lt;/author&gt;&lt;author&gt;Gonzalez-Rojas, Yaneicy&lt;/author&gt;&lt;author&gt;Juarez, Erick&lt;/author&gt;&lt;author&gt;Casal, Manuel Crespo&lt;/author&gt;&lt;author&gt;Moya, Jaynier&lt;/author&gt;&lt;author&gt;Falci, Diego Rodrigues&lt;/author&gt;&lt;author&gt;Sarkis, Elias&lt;/author&gt;&lt;author&gt;Solis, Joel&lt;/author&gt;&lt;author&gt;Zheng, Hanzhe&lt;/author&gt;&lt;author&gt;Scott, Nicola&lt;/author&gt;&lt;/authors&gt;&lt;/contributors&gt;&lt;titles&gt;&lt;title&gt;Effect of the Neutralizing SARS-CoV-2 Antibody Sotrovimab in Preventing Progression of COVID-19: A Randomized Clinical Trial&lt;/title&gt;&lt;secondary-title&gt;medRxiv&lt;/secondary-title&gt;&lt;/titles&gt;&lt;periodical&gt;&lt;full-title&gt;medRxiv&lt;/full-title&gt;&lt;/periodical&gt;&lt;dates&gt;&lt;year&gt;2021&lt;/year&gt;&lt;/dates&gt;&lt;urls&gt;&lt;/urls&gt;&lt;/record&gt;&lt;/Cite&gt;&lt;/EndNote&gt;</w:instrText>
      </w:r>
      <w:r w:rsidRPr="001C0C4B">
        <w:rPr>
          <w:lang w:val="en-GB"/>
        </w:rPr>
        <w:fldChar w:fldCharType="separate"/>
      </w:r>
      <w:r w:rsidRPr="001C0C4B">
        <w:rPr>
          <w:lang w:val="en-GB"/>
        </w:rPr>
        <w:t>(3)</w:t>
      </w:r>
      <w:r w:rsidRPr="001C0C4B">
        <w:fldChar w:fldCharType="end"/>
      </w:r>
      <w:r w:rsidRPr="001C0C4B">
        <w:rPr>
          <w:lang w:val="en-GB"/>
        </w:rPr>
        <w:t>.</w:t>
      </w:r>
    </w:p>
    <w:p w14:paraId="0012EAF0" w14:textId="372AC92F" w:rsidR="00D73CFA" w:rsidRPr="001C0C4B" w:rsidRDefault="00D73CFA" w:rsidP="00696D65">
      <w:pPr>
        <w:pStyle w:val="EndNoteBibliography"/>
        <w:jc w:val="both"/>
        <w:rPr>
          <w:lang w:val="en-GB"/>
        </w:rPr>
      </w:pPr>
      <w:r w:rsidRPr="001C0C4B">
        <w:rPr>
          <w:lang w:val="en-GB"/>
        </w:rPr>
        <w:t>N</w:t>
      </w:r>
      <w:r w:rsidR="007207D5" w:rsidRPr="001C0C4B">
        <w:rPr>
          <w:lang w:val="en-GB"/>
        </w:rPr>
        <w:t>.</w:t>
      </w:r>
      <w:r w:rsidRPr="001C0C4B">
        <w:rPr>
          <w:lang w:val="en-GB"/>
        </w:rPr>
        <w:t>B</w:t>
      </w:r>
      <w:r w:rsidR="007207D5" w:rsidRPr="001C0C4B">
        <w:rPr>
          <w:lang w:val="en-GB"/>
        </w:rPr>
        <w:t>.</w:t>
      </w:r>
      <w:r w:rsidRPr="001C0C4B">
        <w:rPr>
          <w:lang w:val="en-GB"/>
        </w:rPr>
        <w:t xml:space="preserve"> – REGN-COV2 (the initial positive control monoclonal antibody) was shown in vitro studies to fail to neutralise omicron </w:t>
      </w:r>
      <w:r w:rsidRPr="001C0C4B">
        <w:rPr>
          <w:lang w:val="en-GB"/>
        </w:rPr>
        <w:fldChar w:fldCharType="begin"/>
      </w:r>
      <w:r w:rsidRPr="001C0C4B">
        <w:rPr>
          <w:lang w:val="en-GB"/>
        </w:rPr>
        <w:instrText xml:space="preserve"> ADDIN EN.CITE &lt;EndNote&gt;&lt;Cite&gt;&lt;Author&gt;Wilhelm&lt;/Author&gt;&lt;Year&gt;2021&lt;/Year&gt;&lt;RecNum&gt;185&lt;/RecNum&gt;&lt;DisplayText&gt;(4)&lt;/DisplayText&gt;&lt;record&gt;&lt;rec-number&gt;185&lt;/rec-number&gt;&lt;foreign-keys&gt;&lt;key app="EN" db-id="p9ta9dvz1fv9anevae850zaw522p9xf09dax" timestamp="1642149959"&gt;185&lt;/key&gt;&lt;/foreign-keys&gt;&lt;ref-type name="Journal Article"&gt;17&lt;/ref-type&gt;&lt;contributors&gt;&lt;authors&gt;&lt;author&gt;Wilhelm, Alexander&lt;/author&gt;&lt;author&gt;Widera, Marek&lt;/author&gt;&lt;author&gt;Grikscheit, Katharina&lt;/author&gt;&lt;author&gt;Toptan, Tuna&lt;/author&gt;&lt;author&gt;Schenk, Barbara&lt;/author&gt;&lt;author&gt;Pallas, Christiane&lt;/author&gt;&lt;author&gt;Metzler, Melinda&lt;/author&gt;&lt;author&gt;Kohmer, Niko&lt;/author&gt;&lt;author&gt;Hoehl, Sebastian&lt;/author&gt;&lt;author&gt;Helfritz, Fabian A&lt;/author&gt;&lt;/authors&gt;&lt;/contributors&gt;&lt;titles&gt;&lt;title&gt;Reduced neutralization of SARS-CoV-2 omicron variant by vaccine sera and monoclonal antibodies&lt;/title&gt;&lt;secondary-title&gt;MedRxiv&lt;/secondary-title&gt;&lt;/titles&gt;&lt;periodical&gt;&lt;full-title&gt;medRxiv&lt;/full-title&gt;&lt;/periodical&gt;&lt;dates&gt;&lt;year&gt;2021&lt;/year&gt;&lt;/dates&gt;&lt;urls&gt;&lt;/urls&gt;&lt;/record&gt;&lt;/Cite&gt;&lt;/EndNote&gt;</w:instrText>
      </w:r>
      <w:r w:rsidRPr="001C0C4B">
        <w:rPr>
          <w:lang w:val="en-GB"/>
        </w:rPr>
        <w:fldChar w:fldCharType="separate"/>
      </w:r>
      <w:r w:rsidRPr="001C0C4B">
        <w:rPr>
          <w:lang w:val="en-GB"/>
        </w:rPr>
        <w:t>(4)</w:t>
      </w:r>
      <w:r w:rsidRPr="001C0C4B">
        <w:fldChar w:fldCharType="end"/>
      </w:r>
      <w:r w:rsidR="007207D5" w:rsidRPr="001C0C4B">
        <w:t>, although the in-vivo significance of this is yet to be determined</w:t>
      </w:r>
      <w:r w:rsidRPr="001C0C4B">
        <w:rPr>
          <w:lang w:val="en-GB"/>
        </w:rPr>
        <w:t>.</w:t>
      </w:r>
    </w:p>
    <w:p w14:paraId="70CB9B81" w14:textId="77777777" w:rsidR="00D73CFA" w:rsidRPr="001C0C4B" w:rsidRDefault="00D73CFA" w:rsidP="00696D65">
      <w:pPr>
        <w:pStyle w:val="EndNoteBibliography"/>
        <w:jc w:val="both"/>
        <w:rPr>
          <w:u w:val="single"/>
          <w:lang w:val="en-GB"/>
        </w:rPr>
      </w:pPr>
      <w:r w:rsidRPr="001C0C4B">
        <w:rPr>
          <w:u w:val="single"/>
          <w:lang w:val="en-GB"/>
        </w:rPr>
        <w:t>Composition &amp; dose</w:t>
      </w:r>
    </w:p>
    <w:p w14:paraId="4E19850C" w14:textId="77777777" w:rsidR="00D73CFA" w:rsidRPr="001C0C4B" w:rsidRDefault="00D73CFA" w:rsidP="00696D65">
      <w:pPr>
        <w:pStyle w:val="EndNoteBibliography"/>
        <w:jc w:val="both"/>
        <w:rPr>
          <w:lang w:val="en-GB"/>
        </w:rPr>
      </w:pPr>
      <w:r w:rsidRPr="001C0C4B">
        <w:rPr>
          <w:lang w:val="en-GB"/>
        </w:rPr>
        <w:t>Recommended dose is 500MG sotrovimab administered as a single intravenous infusion over 60 minutes.  Patients should be monitored for at least 1 hour after administration.</w:t>
      </w:r>
    </w:p>
    <w:p w14:paraId="4411F51A" w14:textId="77777777" w:rsidR="00D73CFA" w:rsidRPr="001C0C4B" w:rsidRDefault="00D73CFA" w:rsidP="00696D65">
      <w:pPr>
        <w:pStyle w:val="EndNoteBibliography"/>
        <w:jc w:val="both"/>
        <w:rPr>
          <w:lang w:val="en-GB"/>
        </w:rPr>
      </w:pPr>
      <w:r w:rsidRPr="001C0C4B">
        <w:rPr>
          <w:lang w:val="en-GB"/>
        </w:rPr>
        <w:t>0.9% Sodium Chloride of 5% dextrose for injection, one vial of sotrovimab is 500MG/8ML.</w:t>
      </w:r>
    </w:p>
    <w:p w14:paraId="7FF4B4D1" w14:textId="77777777" w:rsidR="00D73CFA" w:rsidRPr="001C0C4B" w:rsidRDefault="00D73CFA" w:rsidP="00696D65">
      <w:pPr>
        <w:pStyle w:val="EndNoteBibliography"/>
        <w:jc w:val="both"/>
        <w:rPr>
          <w:u w:val="single"/>
          <w:lang w:val="en-GB"/>
        </w:rPr>
      </w:pPr>
      <w:r w:rsidRPr="001C0C4B">
        <w:rPr>
          <w:u w:val="single"/>
          <w:lang w:val="en-GB"/>
        </w:rPr>
        <w:t>Pharmacokinetic characteristics</w:t>
      </w:r>
    </w:p>
    <w:p w14:paraId="3166E73A" w14:textId="77777777" w:rsidR="00314642" w:rsidRPr="001C0C4B" w:rsidRDefault="00D73CFA" w:rsidP="00696D65">
      <w:pPr>
        <w:pStyle w:val="EndNoteBibliography"/>
        <w:jc w:val="both"/>
        <w:rPr>
          <w:lang w:val="en-GB"/>
        </w:rPr>
      </w:pPr>
      <w:r w:rsidRPr="001C0C4B">
        <w:rPr>
          <w:lang w:val="en-GB"/>
        </w:rPr>
        <w:t>The mean systemic clearance is 125 mL/day, and the median terminal half-life is approximately 49 days. The geometric mean maximum plasma concentration (Cmax) after a 1-hour sotrovimab intravenous infusion to be 117.6 mcg/mL, and the geometric mean Day 29 concentration to be 24.5 mcg/mL.</w:t>
      </w:r>
    </w:p>
    <w:p w14:paraId="283E6C7E" w14:textId="410329C9" w:rsidR="00D73CFA" w:rsidRPr="001C0C4B" w:rsidRDefault="000028F0" w:rsidP="00696D65">
      <w:pPr>
        <w:pStyle w:val="EndNoteBibliography"/>
        <w:jc w:val="both"/>
        <w:rPr>
          <w:lang w:val="en-GB"/>
        </w:rPr>
      </w:pPr>
      <w:r w:rsidRPr="001C0C4B">
        <w:rPr>
          <w:rFonts w:cstheme="minorHAnsi"/>
          <w:color w:val="000000" w:themeColor="text1"/>
          <w:u w:val="single"/>
        </w:rPr>
        <w:t>Toxicity</w:t>
      </w:r>
    </w:p>
    <w:p w14:paraId="7DD4E09B" w14:textId="77777777" w:rsidR="00D73CFA" w:rsidRPr="001C0C4B" w:rsidRDefault="00D73CFA" w:rsidP="00696D65">
      <w:pPr>
        <w:pStyle w:val="EndNoteBibliography"/>
        <w:jc w:val="both"/>
        <w:rPr>
          <w:lang w:val="en-GB"/>
        </w:rPr>
      </w:pPr>
      <w:r w:rsidRPr="001C0C4B">
        <w:rPr>
          <w:lang w:val="en-GB"/>
        </w:rPr>
        <w:t>Serious hypersensitivity reactions, including anaphylaxis, have been reported with administration of</w:t>
      </w:r>
    </w:p>
    <w:p w14:paraId="6AB99B68" w14:textId="77777777" w:rsidR="00D73CFA" w:rsidRPr="001C0C4B" w:rsidRDefault="00D73CFA" w:rsidP="00696D65">
      <w:pPr>
        <w:pStyle w:val="EndNoteBibliography"/>
        <w:jc w:val="both"/>
        <w:rPr>
          <w:lang w:val="en-GB"/>
        </w:rPr>
      </w:pPr>
      <w:r w:rsidRPr="001C0C4B">
        <w:rPr>
          <w:lang w:val="en-GB"/>
        </w:rPr>
        <w:t>sotrovimab. If signs or symptoms of a clinically significant hypersensitivity reaction or anaphylaxis occur during infusion, immediately discontinue administration and initiate appropriate medications and/or supportive care.</w:t>
      </w:r>
    </w:p>
    <w:p w14:paraId="6D8BE3C8" w14:textId="77777777" w:rsidR="00D73CFA" w:rsidRPr="001C0C4B" w:rsidRDefault="00D73CFA" w:rsidP="00696D65">
      <w:pPr>
        <w:pStyle w:val="EndNoteBibliography"/>
        <w:jc w:val="both"/>
        <w:rPr>
          <w:u w:val="single"/>
          <w:lang w:val="en-GB"/>
        </w:rPr>
      </w:pPr>
      <w:r w:rsidRPr="001C0C4B">
        <w:rPr>
          <w:u w:val="single"/>
          <w:lang w:val="en-GB"/>
        </w:rPr>
        <w:t>Contraindications</w:t>
      </w:r>
    </w:p>
    <w:p w14:paraId="2AAE6B4A" w14:textId="77777777" w:rsidR="00D73CFA" w:rsidRPr="001C0C4B" w:rsidRDefault="00D73CFA" w:rsidP="00696D65">
      <w:pPr>
        <w:pStyle w:val="EndNoteBibliography"/>
        <w:jc w:val="both"/>
        <w:rPr>
          <w:lang w:val="en-GB"/>
        </w:rPr>
      </w:pPr>
      <w:r w:rsidRPr="001C0C4B">
        <w:rPr>
          <w:lang w:val="en-GB"/>
        </w:rPr>
        <w:t xml:space="preserve">Hypersensitivity </w:t>
      </w:r>
    </w:p>
    <w:p w14:paraId="0056C4A3" w14:textId="77777777" w:rsidR="00D73CFA" w:rsidRPr="001C0C4B" w:rsidRDefault="00D73CFA" w:rsidP="00696D65">
      <w:pPr>
        <w:pStyle w:val="EndNoteBibliography"/>
        <w:jc w:val="both"/>
        <w:rPr>
          <w:u w:val="single"/>
          <w:lang w:val="en-GB"/>
        </w:rPr>
      </w:pPr>
      <w:r w:rsidRPr="001C0C4B">
        <w:rPr>
          <w:u w:val="single"/>
          <w:lang w:val="en-GB"/>
        </w:rPr>
        <w:t>Cautions</w:t>
      </w:r>
    </w:p>
    <w:p w14:paraId="1BC25106" w14:textId="77777777" w:rsidR="00D73CFA" w:rsidRPr="001C0C4B" w:rsidRDefault="00D73CFA" w:rsidP="00696D65">
      <w:pPr>
        <w:pStyle w:val="EndNoteBibliography"/>
        <w:jc w:val="both"/>
        <w:rPr>
          <w:lang w:val="en-GB"/>
        </w:rPr>
      </w:pPr>
      <w:r w:rsidRPr="001C0C4B">
        <w:rPr>
          <w:lang w:val="en-GB"/>
        </w:rPr>
        <w:t>Renal impairment is not expected to impact the pharmacokinetics of sotrovimab since monoclonal antibodies with molecular weight &gt;69 kDa do not undergo renal elimination. The effect of hepatic insufficiency is unknown.  The effect of other covariates (e.g., sex, race, body weight, disease of severity on the pharmacokinetics is also unknown.</w:t>
      </w:r>
    </w:p>
    <w:p w14:paraId="479A82DF" w14:textId="77777777" w:rsidR="00424FDD" w:rsidRPr="001C0C4B" w:rsidRDefault="00424FDD" w:rsidP="00424FDD">
      <w:pPr>
        <w:rPr>
          <w:lang w:val="en-GB"/>
        </w:rPr>
      </w:pPr>
      <w:r w:rsidRPr="001C0C4B">
        <w:rPr>
          <w:lang w:val="en-GB"/>
        </w:rPr>
        <w:t xml:space="preserve">Pharmacokinetic schedule: only if there is evidence of accelerated viral clearance </w:t>
      </w:r>
    </w:p>
    <w:p w14:paraId="08AB0251" w14:textId="18CC5ED8" w:rsidR="00D73CFA" w:rsidRPr="001C0C4B" w:rsidRDefault="00424FDD" w:rsidP="00696D65">
      <w:r w:rsidRPr="001C0C4B">
        <w:rPr>
          <w:rFonts w:ascii="Calibri" w:hAnsi="Calibri"/>
        </w:rPr>
        <w:t>As a type B intervention (positive control), intensive pharmacokinetic sampling will not be conducted on those receiving sotrovimab.</w:t>
      </w:r>
    </w:p>
    <w:p w14:paraId="2D92B84B" w14:textId="2986DA64" w:rsidR="00D73CFA" w:rsidRPr="001C0C4B" w:rsidRDefault="00D73CFA" w:rsidP="00696D65">
      <w:pPr>
        <w:pStyle w:val="EndNoteBibliography"/>
        <w:jc w:val="both"/>
        <w:rPr>
          <w:lang w:val="en-GB"/>
        </w:rPr>
      </w:pPr>
      <w:r w:rsidRPr="001C0C4B">
        <w:rPr>
          <w:lang w:val="en-GB"/>
        </w:rPr>
        <w:lastRenderedPageBreak/>
        <w:t>Drug Interactions</w:t>
      </w:r>
    </w:p>
    <w:p w14:paraId="70B4DC20" w14:textId="77777777" w:rsidR="00D73CFA" w:rsidRPr="001C0C4B" w:rsidRDefault="00D73CFA" w:rsidP="00696D65">
      <w:pPr>
        <w:pStyle w:val="EndNoteBibliography"/>
        <w:jc w:val="both"/>
        <w:rPr>
          <w:lang w:val="en-GB"/>
        </w:rPr>
      </w:pPr>
      <w:r w:rsidRPr="001C0C4B">
        <w:rPr>
          <w:lang w:val="en-GB"/>
        </w:rPr>
        <w:t>No formal drug interaction studies have been performed with sotrovimab. Sotrovimab is not renally</w:t>
      </w:r>
    </w:p>
    <w:p w14:paraId="1F0C8B30" w14:textId="3575035F" w:rsidR="00326719" w:rsidRPr="001C0C4B" w:rsidRDefault="00D73CFA" w:rsidP="00696D65">
      <w:pPr>
        <w:pStyle w:val="EndNoteBibliography"/>
        <w:jc w:val="both"/>
        <w:rPr>
          <w:lang w:val="en-GB"/>
        </w:rPr>
      </w:pPr>
      <w:r w:rsidRPr="001C0C4B">
        <w:rPr>
          <w:lang w:val="en-GB"/>
        </w:rPr>
        <w:t>excreted or metabolized by cytochrome P450 (CYP) enzymes; therefore, interactions with concomitant medications that are renally excreted or that are substrates, inducers, or inhibitors of CYP enzymes are unlikely.</w:t>
      </w:r>
    </w:p>
    <w:p w14:paraId="2E94B147" w14:textId="650F3391" w:rsidR="0097654B" w:rsidRPr="001C0C4B" w:rsidRDefault="0097654B" w:rsidP="0097654B">
      <w:pPr>
        <w:pStyle w:val="EndNoteBibliography"/>
        <w:jc w:val="both"/>
        <w:rPr>
          <w:u w:val="single"/>
          <w:lang w:val="en-GB"/>
        </w:rPr>
      </w:pPr>
      <w:r w:rsidRPr="001C0C4B">
        <w:rPr>
          <w:u w:val="single"/>
          <w:lang w:val="en-GB"/>
        </w:rPr>
        <w:t>References</w:t>
      </w:r>
    </w:p>
    <w:p w14:paraId="1961C803" w14:textId="6985CF61" w:rsidR="0097654B" w:rsidRPr="001C0C4B" w:rsidRDefault="0097654B" w:rsidP="0051159A">
      <w:pPr>
        <w:pStyle w:val="EndNoteBibliography"/>
        <w:spacing w:after="0"/>
        <w:ind w:left="720" w:hanging="360"/>
        <w:jc w:val="thaiDistribute"/>
        <w:rPr>
          <w:sz w:val="20"/>
        </w:rPr>
      </w:pPr>
      <w:r w:rsidRPr="001C0C4B">
        <w:rPr>
          <w:sz w:val="20"/>
        </w:rPr>
        <w:fldChar w:fldCharType="begin"/>
      </w:r>
      <w:r w:rsidRPr="001C0C4B">
        <w:rPr>
          <w:sz w:val="20"/>
        </w:rPr>
        <w:instrText xml:space="preserve"> ADDIN EN.REFLIST </w:instrText>
      </w:r>
      <w:r w:rsidRPr="001C0C4B">
        <w:rPr>
          <w:sz w:val="20"/>
        </w:rPr>
        <w:fldChar w:fldCharType="separate"/>
      </w:r>
      <w:r w:rsidRPr="001C0C4B">
        <w:rPr>
          <w:sz w:val="20"/>
        </w:rPr>
        <w:t>1.</w:t>
      </w:r>
      <w:r w:rsidR="00326719" w:rsidRPr="001C0C4B">
        <w:rPr>
          <w:sz w:val="20"/>
        </w:rPr>
        <w:t xml:space="preserve"> </w:t>
      </w:r>
      <w:r w:rsidR="00326719" w:rsidRPr="001C0C4B">
        <w:rPr>
          <w:sz w:val="20"/>
        </w:rPr>
        <w:tab/>
      </w:r>
      <w:r w:rsidRPr="001C0C4B">
        <w:rPr>
          <w:sz w:val="20"/>
        </w:rPr>
        <w:t>Pinto D, Park Y-J, Beltramello M, Walls AC, Tortorici MA, Bianchi S, et al. Cross-neutralization of SARS-CoV-2 by a human monoclonal SARS-CoV antibody. Nature. 2020;583(7815):290-5.</w:t>
      </w:r>
    </w:p>
    <w:p w14:paraId="5742DF0C" w14:textId="7C2BB833" w:rsidR="0097654B" w:rsidRPr="001C0C4B" w:rsidRDefault="0097654B" w:rsidP="0051159A">
      <w:pPr>
        <w:pStyle w:val="EndNoteBibliography"/>
        <w:spacing w:after="0"/>
        <w:ind w:left="720" w:hanging="360"/>
        <w:jc w:val="thaiDistribute"/>
        <w:rPr>
          <w:sz w:val="20"/>
        </w:rPr>
      </w:pPr>
      <w:r w:rsidRPr="001C0C4B">
        <w:rPr>
          <w:sz w:val="20"/>
        </w:rPr>
        <w:t>2.</w:t>
      </w:r>
      <w:r w:rsidR="00326719" w:rsidRPr="001C0C4B">
        <w:rPr>
          <w:sz w:val="20"/>
        </w:rPr>
        <w:t xml:space="preserve"> </w:t>
      </w:r>
      <w:r w:rsidR="00326719" w:rsidRPr="001C0C4B">
        <w:rPr>
          <w:sz w:val="20"/>
        </w:rPr>
        <w:tab/>
      </w:r>
      <w:r w:rsidRPr="001C0C4B">
        <w:rPr>
          <w:sz w:val="20"/>
        </w:rPr>
        <w:t>Cathcart AL, Havenar-Daughton C, Lempp FA, Ma D, Schmid M, Agostini ML, et al. The dual function monoclonal antibodies VIR-7831 and VIR-7832 demonstrate potent in vitro and in vivo activity against SARS-CoV-2. bioRxiv. 2021.</w:t>
      </w:r>
    </w:p>
    <w:p w14:paraId="3B73C5E6" w14:textId="368D40E5" w:rsidR="0097654B" w:rsidRPr="001C0C4B" w:rsidRDefault="0097654B" w:rsidP="0051159A">
      <w:pPr>
        <w:pStyle w:val="EndNoteBibliography"/>
        <w:spacing w:after="0"/>
        <w:ind w:left="720" w:hanging="360"/>
        <w:jc w:val="thaiDistribute"/>
        <w:rPr>
          <w:sz w:val="20"/>
        </w:rPr>
      </w:pPr>
      <w:r w:rsidRPr="001C0C4B">
        <w:rPr>
          <w:sz w:val="20"/>
        </w:rPr>
        <w:t>3.</w:t>
      </w:r>
      <w:r w:rsidR="00326719" w:rsidRPr="001C0C4B">
        <w:rPr>
          <w:sz w:val="20"/>
        </w:rPr>
        <w:t xml:space="preserve"> </w:t>
      </w:r>
      <w:r w:rsidR="00326719" w:rsidRPr="001C0C4B">
        <w:rPr>
          <w:sz w:val="20"/>
        </w:rPr>
        <w:tab/>
      </w:r>
      <w:r w:rsidRPr="001C0C4B">
        <w:rPr>
          <w:sz w:val="20"/>
        </w:rPr>
        <w:t>Gupta A, Gonzalez-Rojas Y, Juarez E, Casal MC, Moya J, Falci DR, et al. Effect of the Neutralizing SARS-CoV-2 Antibody Sotrovimab in Preventing Progression of COVID-19: A Randomized Clinical Trial. medRxiv. 2021.</w:t>
      </w:r>
    </w:p>
    <w:p w14:paraId="637BC9AA" w14:textId="64A56C10" w:rsidR="0097654B" w:rsidRPr="001C0C4B" w:rsidRDefault="0097654B" w:rsidP="0051159A">
      <w:pPr>
        <w:pStyle w:val="EndNoteBibliography"/>
        <w:spacing w:after="0"/>
        <w:ind w:left="720" w:hanging="360"/>
        <w:jc w:val="thaiDistribute"/>
        <w:rPr>
          <w:sz w:val="20"/>
        </w:rPr>
      </w:pPr>
      <w:r w:rsidRPr="001C0C4B">
        <w:rPr>
          <w:sz w:val="20"/>
        </w:rPr>
        <w:t>4.</w:t>
      </w:r>
      <w:r w:rsidR="00326719" w:rsidRPr="001C0C4B">
        <w:rPr>
          <w:sz w:val="20"/>
        </w:rPr>
        <w:t xml:space="preserve"> </w:t>
      </w:r>
      <w:r w:rsidR="00326719" w:rsidRPr="001C0C4B">
        <w:rPr>
          <w:sz w:val="20"/>
        </w:rPr>
        <w:tab/>
      </w:r>
      <w:r w:rsidRPr="001C0C4B">
        <w:rPr>
          <w:sz w:val="20"/>
        </w:rPr>
        <w:t>Wilhelm A, Widera M, Grikscheit K, Toptan T, Schenk B, Pallas C, et al. Reduced neutralization of SARS-CoV-2 omicron variant by vaccine sera and monoclonal antibodies. MedRxiv. 2021.</w:t>
      </w:r>
    </w:p>
    <w:p w14:paraId="498C8344" w14:textId="1EF4790B" w:rsidR="0097654B" w:rsidRPr="001C0C4B" w:rsidRDefault="0097654B" w:rsidP="0051159A">
      <w:pPr>
        <w:pStyle w:val="EndNoteBibliography"/>
        <w:spacing w:after="0"/>
        <w:ind w:left="720" w:hanging="360"/>
        <w:jc w:val="thaiDistribute"/>
        <w:rPr>
          <w:lang w:val="en-GB"/>
        </w:rPr>
      </w:pPr>
      <w:r w:rsidRPr="001C0C4B">
        <w:rPr>
          <w:sz w:val="20"/>
        </w:rPr>
        <w:fldChar w:fldCharType="end"/>
      </w:r>
    </w:p>
    <w:p w14:paraId="2FAD4896" w14:textId="77777777" w:rsidR="00D73CFA" w:rsidRPr="001C0C4B" w:rsidRDefault="00D73CFA" w:rsidP="00696D65">
      <w:pPr>
        <w:pStyle w:val="EndNoteBibliography"/>
        <w:jc w:val="both"/>
        <w:rPr>
          <w:lang w:val="en-GB"/>
        </w:rPr>
      </w:pPr>
    </w:p>
    <w:p w14:paraId="25C65FDC" w14:textId="77777777" w:rsidR="00D73CFA" w:rsidRPr="001C0C4B" w:rsidRDefault="00D73CFA" w:rsidP="00696D65">
      <w:pPr>
        <w:pStyle w:val="EndNoteBibliography"/>
        <w:jc w:val="both"/>
        <w:rPr>
          <w:lang w:val="en-GB"/>
        </w:rPr>
      </w:pPr>
    </w:p>
    <w:p w14:paraId="46584BB2" w14:textId="77777777" w:rsidR="00D73CFA" w:rsidRPr="001C0C4B" w:rsidRDefault="00D73CFA" w:rsidP="00696D65">
      <w:pPr>
        <w:pStyle w:val="EndNoteBibliography"/>
        <w:jc w:val="both"/>
        <w:rPr>
          <w:lang w:val="en-GB"/>
        </w:rPr>
      </w:pPr>
    </w:p>
    <w:p w14:paraId="26CBFCCB" w14:textId="77777777" w:rsidR="00424FDD" w:rsidRPr="001C0C4B" w:rsidRDefault="00424FDD">
      <w:pPr>
        <w:rPr>
          <w:rFonts w:ascii="Calibri" w:hAnsi="Calibri"/>
          <w:lang w:val="en-GB"/>
        </w:rPr>
      </w:pPr>
      <w:r w:rsidRPr="001C0C4B">
        <w:rPr>
          <w:lang w:val="en-GB"/>
        </w:rPr>
        <w:br w:type="page"/>
      </w:r>
    </w:p>
    <w:p w14:paraId="3EC88705" w14:textId="4806F61A" w:rsidR="00133989" w:rsidRPr="001C0C4B" w:rsidRDefault="00133989" w:rsidP="00BF2FEE">
      <w:pPr>
        <w:pStyle w:val="Heading2"/>
        <w:numPr>
          <w:ilvl w:val="1"/>
          <w:numId w:val="53"/>
        </w:numPr>
        <w:rPr>
          <w:rFonts w:asciiTheme="minorHAnsi" w:hAnsiTheme="minorHAnsi" w:cstheme="minorHAnsi"/>
          <w:color w:val="auto"/>
          <w:u w:val="single"/>
        </w:rPr>
      </w:pPr>
      <w:bookmarkStart w:id="543" w:name="_Toc96007369"/>
      <w:bookmarkStart w:id="544" w:name="_Toc95915295"/>
      <w:bookmarkStart w:id="545" w:name="_Toc110524034"/>
      <w:bookmarkStart w:id="546" w:name="_Toc96005672"/>
      <w:bookmarkStart w:id="547" w:name="_Toc112917682"/>
      <w:r w:rsidRPr="001C0C4B">
        <w:rPr>
          <w:rFonts w:asciiTheme="minorHAnsi" w:hAnsiTheme="minorHAnsi" w:cstheme="minorHAnsi"/>
          <w:color w:val="auto"/>
          <w:u w:val="single"/>
        </w:rPr>
        <w:lastRenderedPageBreak/>
        <w:t>Fluoxetine</w:t>
      </w:r>
      <w:bookmarkEnd w:id="543"/>
      <w:bookmarkEnd w:id="544"/>
      <w:bookmarkEnd w:id="545"/>
      <w:bookmarkEnd w:id="546"/>
      <w:bookmarkEnd w:id="547"/>
    </w:p>
    <w:p w14:paraId="38662B40" w14:textId="77777777" w:rsidR="00D73CFA" w:rsidRPr="001C0C4B" w:rsidRDefault="00D73CFA" w:rsidP="00696D65">
      <w:pPr>
        <w:pStyle w:val="EndNoteBibliography"/>
        <w:jc w:val="both"/>
        <w:rPr>
          <w:lang w:val="en-GB"/>
        </w:rPr>
      </w:pPr>
      <w:r w:rsidRPr="001C0C4B">
        <w:rPr>
          <w:lang w:val="en-GB"/>
        </w:rPr>
        <w:t>Rationale</w:t>
      </w:r>
    </w:p>
    <w:p w14:paraId="429601DA" w14:textId="56FF1CAC" w:rsidR="00D73CFA" w:rsidRPr="001C0C4B" w:rsidRDefault="00D73CFA" w:rsidP="00696D65">
      <w:pPr>
        <w:pStyle w:val="EndNoteBibliography"/>
        <w:jc w:val="both"/>
        <w:rPr>
          <w:lang w:val="en-GB"/>
        </w:rPr>
      </w:pPr>
      <w:r w:rsidRPr="001C0C4B">
        <w:rPr>
          <w:lang w:val="en-GB"/>
        </w:rPr>
        <w:t xml:space="preserve">Fluoxetine is a selective serotonin reuptake inhibitor introduced in the 1980s and the most globally widely used antidepressant </w:t>
      </w:r>
      <w:r w:rsidRPr="001C0C4B">
        <w:rPr>
          <w:lang w:val="en-GB"/>
        </w:rPr>
        <w:fldChar w:fldCharType="begin"/>
      </w:r>
      <w:r w:rsidRPr="001C0C4B">
        <w:rPr>
          <w:lang w:val="en-GB"/>
        </w:rPr>
        <w:instrText xml:space="preserve"> ADDIN EN.CITE &lt;EndNote&gt;&lt;Cite&gt;&lt;Author&gt;Rossi&lt;/Author&gt;&lt;Year&gt;2004&lt;/Year&gt;&lt;RecNum&gt;7&lt;/RecNum&gt;&lt;DisplayText&gt;(1)&lt;/DisplayText&gt;&lt;record&gt;&lt;rec-number&gt;7&lt;/rec-number&gt;&lt;foreign-keys&gt;&lt;key app="EN" db-id="a529fxfdz0d2are0vx0xptzlxt5sapwf552v" timestamp="1639473019"&gt;7&lt;/key&gt;&lt;/foreign-keys&gt;&lt;ref-type name="Journal Article"&gt;17&lt;/ref-type&gt;&lt;contributors&gt;&lt;authors&gt;&lt;author&gt;Rossi, Andrea&lt;/author&gt;&lt;author&gt;Barraco, Alessandra&lt;/author&gt;&lt;author&gt;Donda, Pietro&lt;/author&gt;&lt;/authors&gt;&lt;/contributors&gt;&lt;titles&gt;&lt;title&gt;Fluoxetine: a review on evidence based medicine&lt;/title&gt;&lt;secondary-title&gt;Annals of General Hospital Psychiatry&lt;/secondary-title&gt;&lt;/titles&gt;&lt;periodical&gt;&lt;full-title&gt;Annals of General Hospital Psychiatry&lt;/full-title&gt;&lt;/periodical&gt;&lt;pages&gt;1-8&lt;/pages&gt;&lt;volume&gt;3&lt;/volume&gt;&lt;number&gt;1&lt;/number&gt;&lt;dates&gt;&lt;year&gt;2004&lt;/year&gt;&lt;/dates&gt;&lt;isbn&gt;1475-2832&lt;/isbn&gt;&lt;urls&gt;&lt;/urls&gt;&lt;/record&gt;&lt;/Cite&gt;&lt;/EndNote&gt;</w:instrText>
      </w:r>
      <w:r w:rsidRPr="001C0C4B">
        <w:rPr>
          <w:lang w:val="en-GB"/>
        </w:rPr>
        <w:fldChar w:fldCharType="separate"/>
      </w:r>
      <w:r w:rsidRPr="001C0C4B">
        <w:rPr>
          <w:lang w:val="en-GB"/>
        </w:rPr>
        <w:t>(1)</w:t>
      </w:r>
      <w:r w:rsidRPr="001C0C4B">
        <w:rPr>
          <w:lang w:val="en-GB"/>
        </w:rPr>
        <w:fldChar w:fldCharType="end"/>
      </w:r>
      <w:r w:rsidRPr="001C0C4B">
        <w:rPr>
          <w:lang w:val="en-GB"/>
        </w:rPr>
        <w:t xml:space="preserve">. Recently it has been classified as a Functional Inhibitor of Acid SphingoMyelinAse (FIASMA) and considered for anti-viral properties. Acid SphingoMyelinAse is a glycosome which catalyses the degradation of sphingomyelin to phosphorycholine and ceramide; ceramide causes membrane changes mediating viral uptake </w:t>
      </w:r>
      <w:r w:rsidRPr="001C0C4B">
        <w:rPr>
          <w:lang w:val="en-GB"/>
        </w:rPr>
        <w:fldChar w:fldCharType="begin"/>
      </w:r>
      <w:r w:rsidRPr="001C0C4B">
        <w:rPr>
          <w:lang w:val="en-GB"/>
        </w:rPr>
        <w:instrText xml:space="preserve"> ADDIN EN.CITE &lt;EndNote&gt;&lt;Cite&gt;&lt;Author&gt;Kornhuber&lt;/Author&gt;&lt;Year&gt;2021&lt;/Year&gt;&lt;RecNum&gt;15&lt;/RecNum&gt;&lt;DisplayText&gt;(2)&lt;/DisplayText&gt;&lt;record&gt;&lt;rec-number&gt;15&lt;/rec-number&gt;&lt;foreign-keys&gt;&lt;key app="EN" db-id="a529fxfdz0d2are0vx0xptzlxt5sapwf552v" timestamp="1639918231"&gt;15&lt;/key&gt;&lt;/foreign-keys&gt;&lt;ref-type name="Journal Article"&gt;17&lt;/ref-type&gt;&lt;contributors&gt;&lt;authors&gt;&lt;author&gt;Kornhuber, Johannes&lt;/author&gt;&lt;author&gt;Hoertel, Nicolas&lt;/author&gt;&lt;author&gt;Gulbins, Erich&lt;/author&gt;&lt;/authors&gt;&lt;/contributors&gt;&lt;titles&gt;&lt;title&gt;The acid sphingomyelinase/ceramide system in COVID-19&lt;/title&gt;&lt;secondary-title&gt;Molecular Psychiatry&lt;/secondary-title&gt;&lt;/titles&gt;&lt;periodical&gt;&lt;full-title&gt;Molecular psychiatry&lt;/full-title&gt;&lt;/periodical&gt;&lt;pages&gt;1-8&lt;/pages&gt;&lt;dates&gt;&lt;year&gt;2021&lt;/year&gt;&lt;/dates&gt;&lt;isbn&gt;1476-5578&lt;/isbn&gt;&lt;urls&gt;&lt;/urls&gt;&lt;/record&gt;&lt;/Cite&gt;&lt;/EndNote&gt;</w:instrText>
      </w:r>
      <w:r w:rsidRPr="001C0C4B">
        <w:rPr>
          <w:lang w:val="en-GB"/>
        </w:rPr>
        <w:fldChar w:fldCharType="separate"/>
      </w:r>
      <w:r w:rsidRPr="001C0C4B">
        <w:rPr>
          <w:lang w:val="en-GB"/>
        </w:rPr>
        <w:t>(2)</w:t>
      </w:r>
      <w:r w:rsidRPr="001C0C4B">
        <w:rPr>
          <w:lang w:val="en-GB"/>
        </w:rPr>
        <w:fldChar w:fldCharType="end"/>
      </w:r>
      <w:r w:rsidRPr="001C0C4B">
        <w:rPr>
          <w:lang w:val="en-GB"/>
        </w:rPr>
        <w:t xml:space="preserve">.  ASM has shown to be activated by SARS-CoV-2. FIASMA’s have been demonstrated to displace ASM from lysosomal membranes, causing partial degradation, reducing the viral membrane fusion with the host cell </w:t>
      </w:r>
      <w:r w:rsidRPr="001C0C4B">
        <w:rPr>
          <w:lang w:val="en-GB"/>
        </w:rPr>
        <w:fldChar w:fldCharType="begin"/>
      </w:r>
      <w:r w:rsidRPr="001C0C4B">
        <w:rPr>
          <w:lang w:val="en-GB"/>
        </w:rPr>
        <w:instrText xml:space="preserve"> ADDIN EN.CITE &lt;EndNote&gt;&lt;Cite&gt;&lt;Author&gt;Carpinteiro&lt;/Author&gt;&lt;Year&gt;2020&lt;/Year&gt;&lt;RecNum&gt;4&lt;/RecNum&gt;&lt;DisplayText&gt;(3)&lt;/DisplayText&gt;&lt;record&gt;&lt;rec-number&gt;4&lt;/rec-number&gt;&lt;foreign-keys&gt;&lt;key app="EN" db-id="a529fxfdz0d2are0vx0xptzlxt5sapwf552v" timestamp="1639466842"&gt;4&lt;/key&gt;&lt;/foreign-keys&gt;&lt;ref-type name="Journal Article"&gt;17&lt;/ref-type&gt;&lt;contributors&gt;&lt;authors&gt;&lt;author&gt;Carpinteiro, Alexander&lt;/author&gt;&lt;author&gt;Edwards, Michael J&lt;/author&gt;&lt;author&gt;Hoffmann, Markus&lt;/author&gt;&lt;author&gt;Kochs, Georg&lt;/author&gt;&lt;author&gt;Gripp, Barbara&lt;/author&gt;&lt;author&gt;Weigang, Sebastian&lt;/author&gt;&lt;author&gt;Adams, Constantin&lt;/author&gt;&lt;author&gt;Carpinteiro, Elisa&lt;/author&gt;&lt;author&gt;Gulbins, Anne&lt;/author&gt;&lt;author&gt;Keitsch, Simone&lt;/author&gt;&lt;/authors&gt;&lt;/contributors&gt;&lt;titles&gt;&lt;title&gt;Pharmacological inhibition of acid sphingomyelinase prevents uptake of SARS-CoV-2 by epithelial cells&lt;/title&gt;&lt;secondary-title&gt;Cell Reports Medicine&lt;/secondary-title&gt;&lt;/titles&gt;&lt;periodical&gt;&lt;full-title&gt;Cell Reports Medicine&lt;/full-title&gt;&lt;/periodical&gt;&lt;pages&gt;100142&lt;/pages&gt;&lt;volume&gt;1&lt;/volume&gt;&lt;number&gt;8&lt;/number&gt;&lt;dates&gt;&lt;year&gt;2020&lt;/year&gt;&lt;/dates&gt;&lt;isbn&gt;2666-3791&lt;/isbn&gt;&lt;urls&gt;&lt;/urls&gt;&lt;/record&gt;&lt;/Cite&gt;&lt;/EndNote&gt;</w:instrText>
      </w:r>
      <w:r w:rsidRPr="001C0C4B">
        <w:rPr>
          <w:lang w:val="en-GB"/>
        </w:rPr>
        <w:fldChar w:fldCharType="separate"/>
      </w:r>
      <w:r w:rsidRPr="001C0C4B">
        <w:rPr>
          <w:lang w:val="en-GB"/>
        </w:rPr>
        <w:t>(3)</w:t>
      </w:r>
      <w:r w:rsidRPr="001C0C4B">
        <w:rPr>
          <w:lang w:val="en-GB"/>
        </w:rPr>
        <w:fldChar w:fldCharType="end"/>
      </w:r>
      <w:r w:rsidRPr="001C0C4B">
        <w:rPr>
          <w:lang w:val="en-GB"/>
        </w:rPr>
        <w:t>.</w:t>
      </w:r>
    </w:p>
    <w:p w14:paraId="0FD1EC9A" w14:textId="3D8141D5" w:rsidR="00D73CFA" w:rsidRPr="001C0C4B" w:rsidRDefault="00D73CFA" w:rsidP="00696D65">
      <w:pPr>
        <w:pStyle w:val="EndNoteBibliography"/>
        <w:jc w:val="both"/>
        <w:rPr>
          <w:lang w:val="en-GB"/>
        </w:rPr>
      </w:pPr>
      <w:r w:rsidRPr="001C0C4B">
        <w:rPr>
          <w:lang w:val="en-GB"/>
        </w:rPr>
        <w:t xml:space="preserve">Fluoxetine has been shown to have </w:t>
      </w:r>
      <w:r w:rsidRPr="001C0C4B">
        <w:rPr>
          <w:i/>
          <w:lang w:val="en-GB"/>
        </w:rPr>
        <w:t xml:space="preserve">in vitro </w:t>
      </w:r>
      <w:r w:rsidRPr="001C0C4B">
        <w:rPr>
          <w:lang w:val="en-GB"/>
        </w:rPr>
        <w:t xml:space="preserve">activity against SARS-CoV-2 with an EC50 of 2.6 µM demonstrated at a concentration equivalent to normal treatment for depression (0.8ug/ml) </w:t>
      </w:r>
      <w:r w:rsidRPr="001C0C4B">
        <w:rPr>
          <w:lang w:val="en-GB"/>
        </w:rPr>
        <w:fldChar w:fldCharType="begin"/>
      </w:r>
      <w:r w:rsidRPr="001C0C4B">
        <w:rPr>
          <w:lang w:val="en-GB"/>
        </w:rPr>
        <w:instrText xml:space="preserve"> ADDIN EN.CITE &lt;EndNote&gt;&lt;Cite&gt;&lt;Author&gt;Zimniak&lt;/Author&gt;&lt;Year&gt;2020&lt;/Year&gt;&lt;RecNum&gt;5&lt;/RecNum&gt;&lt;DisplayText&gt;(4)&lt;/DisplayText&gt;&lt;record&gt;&lt;rec-number&gt;5&lt;/rec-number&gt;&lt;foreign-keys&gt;&lt;key app="EN" db-id="a529fxfdz0d2are0vx0xptzlxt5sapwf552v" timestamp="1639471141"&gt;5&lt;/key&gt;&lt;/foreign-keys&gt;&lt;ref-type name="Journal Article"&gt;17&lt;/ref-type&gt;&lt;contributors&gt;&lt;authors&gt;&lt;author&gt;Zimniak, Melissa&lt;/author&gt;&lt;author&gt;Kirschner, Luisa&lt;/author&gt;&lt;author&gt;Hilpert, Helen&lt;/author&gt;&lt;author&gt;Seibel, Jürgen&lt;/author&gt;&lt;author&gt;Bodem, Jochen&lt;/author&gt;&lt;/authors&gt;&lt;/contributors&gt;&lt;titles&gt;&lt;title&gt;The serotonin reuptake inhibitor Fluoxetine inhibits SARS-CoV-2&lt;/title&gt;&lt;secondary-title&gt;BioRxiv&lt;/secondary-title&gt;&lt;/titles&gt;&lt;periodical&gt;&lt;full-title&gt;BioRxiv&lt;/full-title&gt;&lt;/periodical&gt;&lt;dates&gt;&lt;year&gt;2020&lt;/year&gt;&lt;/dates&gt;&lt;urls&gt;&lt;/urls&gt;&lt;/record&gt;&lt;/Cite&gt;&lt;/EndNote&gt;</w:instrText>
      </w:r>
      <w:r w:rsidRPr="001C0C4B">
        <w:rPr>
          <w:lang w:val="en-GB"/>
        </w:rPr>
        <w:fldChar w:fldCharType="separate"/>
      </w:r>
      <w:r w:rsidRPr="001C0C4B">
        <w:rPr>
          <w:lang w:val="en-GB"/>
        </w:rPr>
        <w:t>(4)</w:t>
      </w:r>
      <w:r w:rsidRPr="001C0C4B">
        <w:rPr>
          <w:lang w:val="en-GB"/>
        </w:rPr>
        <w:fldChar w:fldCharType="end"/>
      </w:r>
      <w:r w:rsidRPr="001C0C4B">
        <w:rPr>
          <w:lang w:val="en-GB"/>
        </w:rPr>
        <w:t xml:space="preserve">. Fluoxetine has also been shown to be effective against the alpha and beta variants </w:t>
      </w:r>
      <w:r w:rsidRPr="001C0C4B">
        <w:rPr>
          <w:lang w:val="en-GB"/>
        </w:rPr>
        <w:fldChar w:fldCharType="begin"/>
      </w:r>
      <w:r w:rsidRPr="001C0C4B">
        <w:rPr>
          <w:lang w:val="en-GB"/>
        </w:rPr>
        <w:instrText xml:space="preserve"> ADDIN EN.CITE &lt;EndNote&gt;&lt;Cite&gt;&lt;Author&gt;Fred&lt;/Author&gt;&lt;Year&gt;2021&lt;/Year&gt;&lt;RecNum&gt;6&lt;/RecNum&gt;&lt;DisplayText&gt;(5)&lt;/DisplayText&gt;&lt;record&gt;&lt;rec-number&gt;6&lt;/rec-number&gt;&lt;foreign-keys&gt;&lt;key app="EN" db-id="a529fxfdz0d2are0vx0xptzlxt5sapwf552v" timestamp="1639472358"&gt;6&lt;/key&gt;&lt;/foreign-keys&gt;&lt;ref-type name="Journal Article"&gt;17&lt;/ref-type&gt;&lt;contributors&gt;&lt;authors&gt;&lt;author&gt;Fred, Merve Senem&lt;/author&gt;&lt;author&gt;Kuivanen, Suvi&lt;/author&gt;&lt;author&gt;Ugurlu, Hasan&lt;/author&gt;&lt;author&gt;Casarotto, Plinio Cabrera&lt;/author&gt;&lt;author&gt;Levanov, Lev&lt;/author&gt;&lt;author&gt;Saksela, Kalle&lt;/author&gt;&lt;author&gt;Vapalahti, Olli&lt;/author&gt;&lt;author&gt;Castren, Eero&lt;/author&gt;&lt;/authors&gt;&lt;/contributors&gt;&lt;titles&gt;&lt;title&gt;Antidepressant and antipsychotic drugs reduce viral infection by SARS-CoV-2 and fluoxetine show antiviral activity against the novel variants in vitro&lt;/title&gt;&lt;secondary-title&gt;bioRxiv&lt;/secondary-title&gt;&lt;/titles&gt;&lt;periodical&gt;&lt;full-title&gt;BioRxiv&lt;/full-title&gt;&lt;/periodical&gt;&lt;dates&gt;&lt;year&gt;2021&lt;/year&gt;&lt;/dates&gt;&lt;urls&gt;&lt;/urls&gt;&lt;/record&gt;&lt;/Cite&gt;&lt;/EndNote&gt;</w:instrText>
      </w:r>
      <w:r w:rsidRPr="001C0C4B">
        <w:rPr>
          <w:lang w:val="en-GB"/>
        </w:rPr>
        <w:fldChar w:fldCharType="separate"/>
      </w:r>
      <w:r w:rsidRPr="001C0C4B">
        <w:rPr>
          <w:lang w:val="en-GB"/>
        </w:rPr>
        <w:t>(5)</w:t>
      </w:r>
      <w:r w:rsidRPr="001C0C4B">
        <w:rPr>
          <w:lang w:val="en-GB"/>
        </w:rPr>
        <w:fldChar w:fldCharType="end"/>
      </w:r>
      <w:r w:rsidRPr="001C0C4B">
        <w:rPr>
          <w:lang w:val="en-GB"/>
        </w:rPr>
        <w:t xml:space="preserve">, and can be effective without cytotoxic effect </w:t>
      </w:r>
      <w:r w:rsidRPr="001C0C4B">
        <w:rPr>
          <w:lang w:val="en-GB"/>
        </w:rPr>
        <w:fldChar w:fldCharType="begin"/>
      </w:r>
      <w:r w:rsidRPr="001C0C4B">
        <w:rPr>
          <w:lang w:val="en-GB"/>
        </w:rPr>
        <w:instrText xml:space="preserve"> ADDIN EN.CITE &lt;EndNote&gt;&lt;Cite&gt;&lt;Author&gt;Schloer&lt;/Author&gt;&lt;Year&gt;2020&lt;/Year&gt;&lt;RecNum&gt;12&lt;/RecNum&gt;&lt;DisplayText&gt;(6)&lt;/DisplayText&gt;&lt;record&gt;&lt;rec-number&gt;12&lt;/rec-number&gt;&lt;foreign-keys&gt;&lt;key app="EN" db-id="a529fxfdz0d2are0vx0xptzlxt5sapwf552v" timestamp="1639553919"&gt;12&lt;/key&gt;&lt;/foreign-keys&gt;&lt;ref-type name="Journal Article"&gt;17&lt;/ref-type&gt;&lt;contributors&gt;&lt;authors&gt;&lt;author&gt;Schloer, Sebastian&lt;/author&gt;&lt;author&gt;Brunotte, Linda&lt;/author&gt;&lt;author&gt;Goretzko, Jonas&lt;/author&gt;&lt;author&gt;Mecate-Zambrano, Angeles&lt;/author&gt;&lt;author&gt;Korthals, Nadia&lt;/author&gt;&lt;author&gt;Gerke, Volker&lt;/author&gt;&lt;author&gt;Ludwig, Stephan&lt;/author&gt;&lt;author&gt;Rescher, Ursula&lt;/author&gt;&lt;/authors&gt;&lt;/contributors&gt;&lt;titles&gt;&lt;title&gt;Targeting the endolysosomal host-SARS-CoV-2 interface by clinically licensed functional inhibitors of acid sphingomyelinase (FIASMA) including the antidepressant fluoxetine&lt;/title&gt;&lt;secondary-title&gt;Emerging microbes &amp;amp; infections&lt;/secondary-title&gt;&lt;/titles&gt;&lt;periodical&gt;&lt;full-title&gt;Emerging microbes &amp;amp; infections&lt;/full-title&gt;&lt;/periodical&gt;&lt;pages&gt;2245-2255&lt;/pages&gt;&lt;volume&gt;9&lt;/volume&gt;&lt;number&gt;1&lt;/number&gt;&lt;dates&gt;&lt;year&gt;2020&lt;/year&gt;&lt;/dates&gt;&lt;isbn&gt;2222-1751&lt;/isbn&gt;&lt;urls&gt;&lt;/urls&gt;&lt;/record&gt;&lt;/Cite&gt;&lt;/EndNote&gt;</w:instrText>
      </w:r>
      <w:r w:rsidRPr="001C0C4B">
        <w:rPr>
          <w:lang w:val="en-GB"/>
        </w:rPr>
        <w:fldChar w:fldCharType="separate"/>
      </w:r>
      <w:r w:rsidRPr="001C0C4B">
        <w:rPr>
          <w:lang w:val="en-GB"/>
        </w:rPr>
        <w:t>(6)</w:t>
      </w:r>
      <w:r w:rsidRPr="001C0C4B">
        <w:rPr>
          <w:lang w:val="en-GB"/>
        </w:rPr>
        <w:fldChar w:fldCharType="end"/>
      </w:r>
      <w:r w:rsidRPr="001C0C4B">
        <w:rPr>
          <w:lang w:val="en-GB"/>
        </w:rPr>
        <w:t xml:space="preserve">. </w:t>
      </w:r>
      <w:r w:rsidRPr="001C0C4B">
        <w:rPr>
          <w:i/>
          <w:lang w:val="en-GB"/>
        </w:rPr>
        <w:t>in silico</w:t>
      </w:r>
      <w:r w:rsidRPr="001C0C4B">
        <w:rPr>
          <w:lang w:val="en-GB"/>
        </w:rPr>
        <w:t xml:space="preserve"> data determined that 40MG per day would provide at least 85% of patients with the trough target plasma concentrations needed to reach the target EC90 concentration within 3 days </w:t>
      </w:r>
      <w:r w:rsidRPr="001C0C4B">
        <w:rPr>
          <w:lang w:val="en-GB"/>
        </w:rPr>
        <w:fldChar w:fldCharType="begin"/>
      </w:r>
      <w:r w:rsidRPr="001C0C4B">
        <w:rPr>
          <w:lang w:val="en-GB"/>
        </w:rPr>
        <w:instrText xml:space="preserve"> ADDIN EN.CITE &lt;EndNote&gt;&lt;Cite&gt;&lt;Author&gt;Eugene&lt;/Author&gt;&lt;Year&gt;2021&lt;/Year&gt;&lt;RecNum&gt;11&lt;/RecNum&gt;&lt;DisplayText&gt;(7)&lt;/DisplayText&gt;&lt;record&gt;&lt;rec-number&gt;11&lt;/rec-number&gt;&lt;foreign-keys&gt;&lt;key app="EN" db-id="a529fxfdz0d2are0vx0xptzlxt5sapwf552v" timestamp="1639549837"&gt;11&lt;/key&gt;&lt;/foreign-keys&gt;&lt;ref-type name="Journal Article"&gt;17&lt;/ref-type&gt;&lt;contributors&gt;&lt;authors&gt;&lt;author&gt;Eugene, Andy R&lt;/author&gt;&lt;/authors&gt;&lt;/contributors&gt;&lt;titles&gt;&lt;title&gt;Fluoxetine pharmacokinetics and tissue distribution suggest a possible role in reducing SARS-CoV-2 titers&lt;/title&gt;&lt;secondary-title&gt;F1000Research&lt;/secondary-title&gt;&lt;/titles&gt;&lt;periodical&gt;&lt;full-title&gt;F1000Research&lt;/full-title&gt;&lt;/periodical&gt;&lt;pages&gt;477&lt;/pages&gt;&lt;volume&gt;10&lt;/volume&gt;&lt;number&gt;477&lt;/number&gt;&lt;dates&gt;&lt;year&gt;2021&lt;/year&gt;&lt;/dates&gt;&lt;urls&gt;&lt;/urls&gt;&lt;/record&gt;&lt;/Cite&gt;&lt;/EndNote&gt;</w:instrText>
      </w:r>
      <w:r w:rsidRPr="001C0C4B">
        <w:rPr>
          <w:lang w:val="en-GB"/>
        </w:rPr>
        <w:fldChar w:fldCharType="separate"/>
      </w:r>
      <w:r w:rsidRPr="001C0C4B">
        <w:rPr>
          <w:lang w:val="en-GB"/>
        </w:rPr>
        <w:t>(7)</w:t>
      </w:r>
      <w:r w:rsidRPr="001C0C4B">
        <w:rPr>
          <w:lang w:val="en-GB"/>
        </w:rPr>
        <w:fldChar w:fldCharType="end"/>
      </w:r>
      <w:r w:rsidRPr="001C0C4B">
        <w:rPr>
          <w:lang w:val="en-GB"/>
        </w:rPr>
        <w:t xml:space="preserve">. </w:t>
      </w:r>
    </w:p>
    <w:p w14:paraId="43FEFD86" w14:textId="768CF7BE" w:rsidR="00D73CFA" w:rsidRPr="001C0C4B" w:rsidRDefault="00D73CFA" w:rsidP="00696D65">
      <w:pPr>
        <w:pStyle w:val="EndNoteBibliography"/>
        <w:jc w:val="both"/>
        <w:rPr>
          <w:lang w:val="en-GB"/>
        </w:rPr>
      </w:pPr>
      <w:r w:rsidRPr="001C0C4B">
        <w:rPr>
          <w:lang w:val="en-GB"/>
        </w:rPr>
        <w:t xml:space="preserve">Retrospective observational tries have demonstrated the potential use of fluoxetine against COVID-19.  Patients already on fluoxetine taking it within the first 48 hours of admission were found to have a lower risk of intubation or death (combined endpoint) </w:t>
      </w:r>
      <w:r w:rsidRPr="001C0C4B">
        <w:rPr>
          <w:lang w:val="en-GB"/>
        </w:rPr>
        <w:fldChar w:fldCharType="begin"/>
      </w:r>
      <w:r w:rsidRPr="001C0C4B">
        <w:rPr>
          <w:lang w:val="en-GB"/>
        </w:rPr>
        <w:instrText xml:space="preserve"> ADDIN EN.CITE &lt;EndNote&gt;&lt;Cite&gt;&lt;Author&gt;Hoertel&lt;/Author&gt;&lt;Year&gt;2021&lt;/Year&gt;&lt;RecNum&gt;3&lt;/RecNum&gt;&lt;DisplayText&gt;(8)&lt;/DisplayText&gt;&lt;record&gt;&lt;rec-number&gt;3&lt;/rec-number&gt;&lt;foreign-keys&gt;&lt;key app="EN" db-id="a529fxfdz0d2are0vx0xptzlxt5sapwf552v" timestamp="1639462403"&gt;3&lt;/key&gt;&lt;/foreign-keys&gt;&lt;ref-type name="Journal Article"&gt;17&lt;/ref-type&gt;&lt;contributors&gt;&lt;authors&gt;&lt;author&gt;Hoertel, Nicolas&lt;/author&gt;&lt;author&gt;Sánchez-Rico, Marina&lt;/author&gt;&lt;author&gt;Vernet, Raphaël&lt;/author&gt;&lt;author&gt;Beeker, Nathanaël&lt;/author&gt;&lt;author&gt;Jannot, Anne-Sophie&lt;/author&gt;&lt;author&gt;Neuraz, Antoine&lt;/author&gt;&lt;author&gt;Salamanca, Elisa&lt;/author&gt;&lt;author&gt;Paris, Nicolas&lt;/author&gt;&lt;author&gt;Daniel, Christel&lt;/author&gt;&lt;author&gt;Gramfort, Alexandre&lt;/author&gt;&lt;/authors&gt;&lt;/contributors&gt;&lt;titles&gt;&lt;title&gt;Association between antidepressant use and reduced risk of intubation or death in hospitalized patients with COVID-19: results from an observational study&lt;/title&gt;&lt;secondary-title&gt;Molecular psychiatry&lt;/secondary-title&gt;&lt;/titles&gt;&lt;periodical&gt;&lt;full-title&gt;Molecular psychiatry&lt;/full-title&gt;&lt;/periodical&gt;&lt;pages&gt;1-14&lt;/pages&gt;&lt;dates&gt;&lt;year&gt;2021&lt;/year&gt;&lt;/dates&gt;&lt;isbn&gt;1476-5578&lt;/isbn&gt;&lt;urls&gt;&lt;/urls&gt;&lt;/record&gt;&lt;/Cite&gt;&lt;/EndNote&gt;</w:instrText>
      </w:r>
      <w:r w:rsidRPr="001C0C4B">
        <w:rPr>
          <w:lang w:val="en-GB"/>
        </w:rPr>
        <w:fldChar w:fldCharType="separate"/>
      </w:r>
      <w:r w:rsidRPr="001C0C4B">
        <w:rPr>
          <w:lang w:val="en-GB"/>
        </w:rPr>
        <w:t>(8)</w:t>
      </w:r>
      <w:r w:rsidRPr="001C0C4B">
        <w:rPr>
          <w:lang w:val="en-GB"/>
        </w:rPr>
        <w:fldChar w:fldCharType="end"/>
      </w:r>
      <w:r w:rsidRPr="001C0C4B">
        <w:rPr>
          <w:lang w:val="en-GB"/>
        </w:rPr>
        <w:t xml:space="preserve">. Another study expanded this to within 10 days before or 7 days after COVID-19 diagnosis and found a reduction in death with fluoxetine </w:t>
      </w:r>
      <w:r w:rsidRPr="001C0C4B">
        <w:rPr>
          <w:lang w:val="en-GB"/>
        </w:rPr>
        <w:fldChar w:fldCharType="begin"/>
      </w:r>
      <w:r w:rsidRPr="001C0C4B">
        <w:rPr>
          <w:lang w:val="en-GB"/>
        </w:rPr>
        <w:instrText xml:space="preserve"> ADDIN EN.CITE &lt;EndNote&gt;&lt;Cite&gt;&lt;Author&gt;Oskotsky&lt;/Author&gt;&lt;Year&gt;2021&lt;/Year&gt;&lt;RecNum&gt;2&lt;/RecNum&gt;&lt;DisplayText&gt;(9)&lt;/DisplayText&gt;&lt;record&gt;&lt;rec-number&gt;2&lt;/rec-number&gt;&lt;foreign-keys&gt;&lt;key app="EN" db-id="a529fxfdz0d2are0vx0xptzlxt5sapwf552v" timestamp="1639462312"&gt;2&lt;/key&gt;&lt;/foreign-keys&gt;&lt;ref-type name="Journal Article"&gt;17&lt;/ref-type&gt;&lt;contributors&gt;&lt;authors&gt;&lt;author&gt;Oskotsky, Tomiko&lt;/author&gt;&lt;author&gt;Marić, Ivana&lt;/author&gt;&lt;author&gt;Tang, Alice&lt;/author&gt;&lt;author&gt;Oskotsky, Boris&lt;/author&gt;&lt;author&gt;Wong, Ronald J&lt;/author&gt;&lt;author&gt;Aghaeepour, Nima&lt;/author&gt;&lt;author&gt;Sirota, Marina&lt;/author&gt;&lt;author&gt;Stevenson, David K&lt;/author&gt;&lt;/authors&gt;&lt;/contributors&gt;&lt;titles&gt;&lt;title&gt;Mortality Risk Among Patients With COVID-19 Prescribed Selective Serotonin Reuptake Inhibitor Antidepressants&lt;/title&gt;&lt;secondary-title&gt;JAMA network open&lt;/secondary-title&gt;&lt;/titles&gt;&lt;periodical&gt;&lt;full-title&gt;JAMA network open&lt;/full-title&gt;&lt;/periodical&gt;&lt;pages&gt;e2133090-e2133090&lt;/pages&gt;&lt;volume&gt;4&lt;/volume&gt;&lt;number&gt;11&lt;/number&gt;&lt;dates&gt;&lt;year&gt;2021&lt;/year&gt;&lt;/dates&gt;&lt;urls&gt;&lt;/urls&gt;&lt;/record&gt;&lt;/Cite&gt;&lt;/EndNote&gt;</w:instrText>
      </w:r>
      <w:r w:rsidRPr="001C0C4B">
        <w:rPr>
          <w:lang w:val="en-GB"/>
        </w:rPr>
        <w:fldChar w:fldCharType="separate"/>
      </w:r>
      <w:r w:rsidRPr="001C0C4B">
        <w:rPr>
          <w:lang w:val="en-GB"/>
        </w:rPr>
        <w:t>(9)</w:t>
      </w:r>
      <w:r w:rsidRPr="001C0C4B">
        <w:rPr>
          <w:lang w:val="en-GB"/>
        </w:rPr>
        <w:fldChar w:fldCharType="end"/>
      </w:r>
      <w:r w:rsidRPr="001C0C4B">
        <w:rPr>
          <w:lang w:val="en-GB"/>
        </w:rPr>
        <w:t xml:space="preserve">. Finally, a Hungarian study gave anxious patients fluoxetine on admission and found in the fluoxetine group 13.6% died compared to 30.8% not receiving fluoxetine </w:t>
      </w:r>
      <w:r w:rsidRPr="001C0C4B">
        <w:rPr>
          <w:lang w:val="en-GB"/>
        </w:rPr>
        <w:fldChar w:fldCharType="begin"/>
      </w:r>
      <w:r w:rsidRPr="001C0C4B">
        <w:rPr>
          <w:lang w:val="en-GB"/>
        </w:rPr>
        <w:instrText xml:space="preserve"> ADDIN EN.CITE &lt;EndNote&gt;&lt;Cite&gt;&lt;Author&gt;Németh&lt;/Author&gt;&lt;Year&gt;2021&lt;/Year&gt;&lt;RecNum&gt;1&lt;/RecNum&gt;&lt;DisplayText&gt;(10)&lt;/DisplayText&gt;&lt;record&gt;&lt;rec-number&gt;1&lt;/rec-number&gt;&lt;foreign-keys&gt;&lt;key app="EN" db-id="a529fxfdz0d2are0vx0xptzlxt5sapwf552v" timestamp="1639462266"&gt;1&lt;/key&gt;&lt;/foreign-keys&gt;&lt;ref-type name="Journal Article"&gt;17&lt;/ref-type&gt;&lt;contributors&gt;&lt;authors&gt;&lt;author&gt;Németh, Zsófia Klára&lt;/author&gt;&lt;author&gt;Szûcs, Anna&lt;/author&gt;&lt;author&gt;Vitrai, József&lt;/author&gt;&lt;author&gt;Juhász, Dóra&lt;/author&gt;&lt;author&gt;Németh, János Pál&lt;/author&gt;&lt;author&gt;Holló, András&lt;/author&gt;&lt;/authors&gt;&lt;/contributors&gt;&lt;titles&gt;&lt;title&gt;Fluoxetine use is associated with improved survival of patients with COVID-19 pneumonia: A retrospective case-control study&lt;/title&gt;&lt;secondary-title&gt;Ideggyogyaszati Szemle&lt;/secondary-title&gt;&lt;/titles&gt;&lt;periodical&gt;&lt;full-title&gt;Ideggyogyaszati Szemle&lt;/full-title&gt;&lt;/periodical&gt;&lt;pages&gt;389-396&lt;/pages&gt;&lt;volume&gt;74&lt;/volume&gt;&lt;number&gt;11-12&lt;/number&gt;&lt;dates&gt;&lt;year&gt;2021&lt;/year&gt;&lt;/dates&gt;&lt;isbn&gt;0019-1442&lt;/isbn&gt;&lt;urls&gt;&lt;/urls&gt;&lt;/record&gt;&lt;/Cite&gt;&lt;/EndNote&gt;</w:instrText>
      </w:r>
      <w:r w:rsidRPr="001C0C4B">
        <w:rPr>
          <w:lang w:val="en-GB"/>
        </w:rPr>
        <w:fldChar w:fldCharType="separate"/>
      </w:r>
      <w:r w:rsidRPr="001C0C4B">
        <w:rPr>
          <w:lang w:val="en-GB"/>
        </w:rPr>
        <w:t>(10)</w:t>
      </w:r>
      <w:r w:rsidRPr="001C0C4B">
        <w:rPr>
          <w:lang w:val="en-GB"/>
        </w:rPr>
        <w:fldChar w:fldCharType="end"/>
      </w:r>
      <w:r w:rsidRPr="001C0C4B">
        <w:rPr>
          <w:lang w:val="en-GB"/>
        </w:rPr>
        <w:t>.</w:t>
      </w:r>
    </w:p>
    <w:p w14:paraId="57576E1B" w14:textId="02DA4244" w:rsidR="007207D5" w:rsidRPr="001C0C4B" w:rsidRDefault="00D73CFA" w:rsidP="00696D65">
      <w:pPr>
        <w:pStyle w:val="EndNoteBibliography"/>
        <w:jc w:val="both"/>
        <w:rPr>
          <w:lang w:val="en-GB"/>
        </w:rPr>
      </w:pPr>
      <w:r w:rsidRPr="001C0C4B">
        <w:rPr>
          <w:lang w:val="en-GB"/>
        </w:rPr>
        <w:t xml:space="preserve">There have been two clinical trials on another FIASMA – fluvoxamine. A double blind randomised controlled trial of 152 participants used a fluvoxamine dose of 100MG TDS for 15 days for SARS-CoV-2 non-hospitalised patients. Of the 80 participants that received fluvoxamine, none of them died, compared to 6 in the control group </w:t>
      </w:r>
      <w:r w:rsidRPr="001C0C4B">
        <w:rPr>
          <w:lang w:val="en-GB"/>
        </w:rPr>
        <w:fldChar w:fldCharType="begin"/>
      </w:r>
      <w:r w:rsidRPr="001C0C4B">
        <w:rPr>
          <w:lang w:val="en-GB"/>
        </w:rPr>
        <w:instrText xml:space="preserve"> ADDIN EN.CITE &lt;EndNote&gt;&lt;Cite&gt;&lt;Author&gt;Lenze&lt;/Author&gt;&lt;Year&gt;2020&lt;/Year&gt;&lt;RecNum&gt;8&lt;/RecNum&gt;&lt;DisplayText&gt;(11)&lt;/DisplayText&gt;&lt;record&gt;&lt;rec-number&gt;8&lt;/rec-number&gt;&lt;foreign-keys&gt;&lt;key app="EN" db-id="a529fxfdz0d2are0vx0xptzlxt5sapwf552v" timestamp="1639540390"&gt;8&lt;/key&gt;&lt;/foreign-keys&gt;&lt;ref-type name="Journal Article"&gt;17&lt;/ref-type&gt;&lt;contributors&gt;&lt;authors&gt;&lt;author&gt;Lenze, Eric J&lt;/author&gt;&lt;author&gt;Mattar, Caline&lt;/author&gt;&lt;author&gt;Zorumski, Charles F&lt;/author&gt;&lt;author&gt;Stevens, Angela&lt;/author&gt;&lt;author&gt;Schweiger, Julie&lt;/author&gt;&lt;author&gt;Nicol, Ginger E&lt;/author&gt;&lt;author&gt;Miller, J Philip&lt;/author&gt;&lt;author&gt;Yang, Lei&lt;/author&gt;&lt;author&gt;Yingling, Michael&lt;/author&gt;&lt;author&gt;Avidan, Michael S&lt;/author&gt;&lt;/authors&gt;&lt;/contributors&gt;&lt;titles&gt;&lt;title&gt;Fluvoxamine vs placebo and clinical deterioration in outpatients with symptomatic COVID-19: a randomized clinical trial&lt;/title&gt;&lt;secondary-title&gt;Jama&lt;/secondary-title&gt;&lt;/titles&gt;&lt;periodical&gt;&lt;full-title&gt;Jama&lt;/full-title&gt;&lt;/periodical&gt;&lt;pages&gt;2292-2300&lt;/pages&gt;&lt;volume&gt;324&lt;/volume&gt;&lt;number&gt;22&lt;/number&gt;&lt;dates&gt;&lt;year&gt;2020&lt;/year&gt;&lt;/dates&gt;&lt;isbn&gt;0098-7484&lt;/isbn&gt;&lt;urls&gt;&lt;/urls&gt;&lt;/record&gt;&lt;/Cite&gt;&lt;/EndNote&gt;</w:instrText>
      </w:r>
      <w:r w:rsidRPr="001C0C4B">
        <w:rPr>
          <w:lang w:val="en-GB"/>
        </w:rPr>
        <w:fldChar w:fldCharType="separate"/>
      </w:r>
      <w:r w:rsidRPr="001C0C4B">
        <w:rPr>
          <w:lang w:val="en-GB"/>
        </w:rPr>
        <w:t>(11)</w:t>
      </w:r>
      <w:r w:rsidRPr="001C0C4B">
        <w:rPr>
          <w:lang w:val="en-GB"/>
        </w:rPr>
        <w:fldChar w:fldCharType="end"/>
      </w:r>
      <w:r w:rsidRPr="001C0C4B">
        <w:rPr>
          <w:lang w:val="en-GB"/>
        </w:rPr>
        <w:t xml:space="preserve">. The TOGETHER trial used a dose of 100MG BD for 10 days, 741 received fluvoxamine and 756 received the placebo. There were 17 deaths in the fluvoxamine group compared to 25 in the placebo, p=0.24 </w:t>
      </w:r>
      <w:r w:rsidRPr="001C0C4B">
        <w:rPr>
          <w:lang w:val="en-GB"/>
        </w:rPr>
        <w:fldChar w:fldCharType="begin"/>
      </w:r>
      <w:r w:rsidRPr="001C0C4B">
        <w:rPr>
          <w:lang w:val="en-GB"/>
        </w:rPr>
        <w:instrText xml:space="preserve"> ADDIN EN.CITE &lt;EndNote&gt;&lt;Cite&gt;&lt;Author&gt;Reis&lt;/Author&gt;&lt;Year&gt;2021&lt;/Year&gt;&lt;RecNum&gt;9&lt;/RecNum&gt;&lt;DisplayText&gt;(12)&lt;/DisplayText&gt;&lt;record&gt;&lt;rec-number&gt;9&lt;/rec-number&gt;&lt;foreign-keys&gt;&lt;key app="EN" db-id="a529fxfdz0d2are0vx0xptzlxt5sapwf552v" timestamp="1639542203"&gt;9&lt;/key&gt;&lt;/foreign-keys&gt;&lt;ref-type name="Journal Article"&gt;17&lt;/ref-type&gt;&lt;contributors&gt;&lt;authors&gt;&lt;author&gt;Reis, Gilmar&lt;/author&gt;&lt;author&gt;dos Santos Moreira-Silva, Eduardo Augusto&lt;/author&gt;&lt;author&gt;Silva, Daniela Carla Medeiros&lt;/author&gt;&lt;author&gt;Thabane, Lehana&lt;/author&gt;&lt;author&gt;Milagres, Aline Cruz&lt;/author&gt;&lt;author&gt;Ferreira, Thiago Santiago&lt;/author&gt;&lt;author&gt;Dos Santos, Castilho Vitor Quirino&lt;/author&gt;&lt;author&gt;de Souza Campos, Vitoria Helena&lt;/author&gt;&lt;author&gt;Nogueira, Ana Maria Ribeiro&lt;/author&gt;&lt;author&gt;de Almeida, Ana Paula Figueiredo Guimaraes&lt;/author&gt;&lt;/authors&gt;&lt;/contributors&gt;&lt;titles&gt;&lt;title&gt;Effect of early treatment with fluvoxamine on risk of emergency care and hospitalisation among patients with COVID-19: the TOGETHER randomised, platform clinical trial&lt;/title&gt;&lt;secondary-title&gt;The Lancet Global Health&lt;/secondary-title&gt;&lt;/titles&gt;&lt;periodical&gt;&lt;full-title&gt;The Lancet Global Health&lt;/full-title&gt;&lt;/periodical&gt;&lt;dates&gt;&lt;year&gt;2021&lt;/year&gt;&lt;/dates&gt;&lt;isbn&gt;2214-109X&lt;/isbn&gt;&lt;urls&gt;&lt;/urls&gt;&lt;/record&gt;&lt;/Cite&gt;&lt;/EndNote&gt;</w:instrText>
      </w:r>
      <w:r w:rsidRPr="001C0C4B">
        <w:rPr>
          <w:lang w:val="en-GB"/>
        </w:rPr>
        <w:fldChar w:fldCharType="separate"/>
      </w:r>
      <w:r w:rsidRPr="001C0C4B">
        <w:rPr>
          <w:lang w:val="en-GB"/>
        </w:rPr>
        <w:t>(12)</w:t>
      </w:r>
      <w:r w:rsidRPr="001C0C4B">
        <w:rPr>
          <w:lang w:val="en-GB"/>
        </w:rPr>
        <w:fldChar w:fldCharType="end"/>
      </w:r>
      <w:r w:rsidRPr="001C0C4B">
        <w:rPr>
          <w:lang w:val="en-GB"/>
        </w:rPr>
        <w:t>. Hospitalisation was reduced with fluvoxamine, however the endpoint defined staying in the emergency department for &gt; 6 hours as hospitalisation, when this was removed the difference was not significant.</w:t>
      </w:r>
      <w:r w:rsidR="007207D5" w:rsidRPr="001C0C4B">
        <w:rPr>
          <w:lang w:val="en-GB"/>
        </w:rPr>
        <w:t xml:space="preserve"> </w:t>
      </w:r>
    </w:p>
    <w:p w14:paraId="7D2D7479" w14:textId="0A2CD5CA" w:rsidR="00D73CFA" w:rsidRPr="001C0C4B" w:rsidRDefault="007207D5" w:rsidP="00696D65">
      <w:pPr>
        <w:pStyle w:val="EndNoteBibliography"/>
        <w:jc w:val="both"/>
        <w:rPr>
          <w:lang w:val="en-GB"/>
        </w:rPr>
      </w:pPr>
      <w:r w:rsidRPr="001C0C4B">
        <w:rPr>
          <w:lang w:val="en-GB"/>
        </w:rPr>
        <w:t>The ANTICOV clinical trial is proposing fluoxetine 40MG/day + inhaled budesonide for 7 days. In Silico study recommended 40 MG/OD dose with provide target plasma concentrations in 3 days.</w:t>
      </w:r>
    </w:p>
    <w:p w14:paraId="53DA3E11" w14:textId="77777777" w:rsidR="00D73CFA" w:rsidRPr="001C0C4B" w:rsidRDefault="00D73CFA" w:rsidP="00696D65">
      <w:pPr>
        <w:pStyle w:val="EndNoteBibliography"/>
        <w:jc w:val="both"/>
        <w:rPr>
          <w:lang w:val="en-GB"/>
        </w:rPr>
      </w:pPr>
      <w:r w:rsidRPr="001C0C4B">
        <w:rPr>
          <w:lang w:val="en-GB"/>
        </w:rPr>
        <w:t>Dose</w:t>
      </w:r>
    </w:p>
    <w:p w14:paraId="4A20368B" w14:textId="3AB0A38D" w:rsidR="00D73CFA" w:rsidRPr="001C0C4B" w:rsidRDefault="007207D5" w:rsidP="00696D65">
      <w:pPr>
        <w:rPr>
          <w:lang w:val="en-GB"/>
        </w:rPr>
      </w:pPr>
      <w:r w:rsidRPr="001C0C4B">
        <w:rPr>
          <w:rFonts w:ascii="Calibri" w:hAnsi="Calibri"/>
          <w:lang w:val="en-GB"/>
        </w:rPr>
        <w:t xml:space="preserve">In this study, patients will be given 40MG OD on D0 and for a further 6 days. </w:t>
      </w:r>
    </w:p>
    <w:p w14:paraId="50D94956" w14:textId="77777777" w:rsidR="00D73CFA" w:rsidRPr="001C0C4B" w:rsidRDefault="00D73CFA" w:rsidP="00696D65">
      <w:pPr>
        <w:pStyle w:val="EndNoteBibliography"/>
        <w:jc w:val="both"/>
        <w:rPr>
          <w:lang w:val="en-GB"/>
        </w:rPr>
      </w:pPr>
      <w:r w:rsidRPr="001C0C4B">
        <w:rPr>
          <w:lang w:val="en-GB"/>
        </w:rPr>
        <w:t>Pharmacokinetic characteristics</w:t>
      </w:r>
    </w:p>
    <w:p w14:paraId="3ADF5616" w14:textId="0F31E4E5" w:rsidR="00D73CFA" w:rsidRPr="001C0C4B" w:rsidRDefault="00D73CFA" w:rsidP="00696D65">
      <w:pPr>
        <w:pStyle w:val="EndNoteBibliography"/>
        <w:jc w:val="both"/>
        <w:rPr>
          <w:lang w:val="en-GB"/>
        </w:rPr>
      </w:pPr>
      <w:r w:rsidRPr="001C0C4B">
        <w:rPr>
          <w:lang w:val="en-GB"/>
        </w:rPr>
        <w:t xml:space="preserve">Fluoxetine is well absorbed after oral intake with a large volume of distribution. Following a single oral 40 mg dose, peak plasma concentrations of fluoxetine from 15 to 55 ng/mL are observed after 6 to 8 hours. Food does not appear to affect systemic bioavailability. Fluoxetine is metabolized extensively in the liver to norfluoxetine, which has similar pharmacological activity. The main route of elimination is hepatic, to inactive metabolites excreted by the kidney. </w:t>
      </w:r>
    </w:p>
    <w:p w14:paraId="24F66EC6" w14:textId="552AAB9A" w:rsidR="00D73CFA" w:rsidRPr="001C0C4B" w:rsidRDefault="00D73CFA" w:rsidP="00696D65">
      <w:pPr>
        <w:pStyle w:val="EndNoteBibliography"/>
        <w:jc w:val="both"/>
        <w:rPr>
          <w:lang w:val="en-GB"/>
        </w:rPr>
      </w:pPr>
      <w:r w:rsidRPr="001C0C4B">
        <w:rPr>
          <w:lang w:val="en-GB"/>
        </w:rPr>
        <w:t>After acute administration, the elimination half-life of fluoxetine is 1 to 3 days and after chronic administration 4 to 6 days. Norfluoxetine is longer with an elimination half-life of 4 to 16 days after acute and chronic administration. Steady state plasma levels are attained after 4 to 5 weeks of continuous drug administration.</w:t>
      </w:r>
    </w:p>
    <w:p w14:paraId="54EA007A" w14:textId="77777777" w:rsidR="00424FDD" w:rsidRPr="001C0C4B" w:rsidRDefault="00424FDD" w:rsidP="00424FDD">
      <w:pPr>
        <w:rPr>
          <w:lang w:val="en-GB"/>
        </w:rPr>
      </w:pPr>
      <w:r w:rsidRPr="001C0C4B">
        <w:rPr>
          <w:lang w:val="en-GB"/>
        </w:rPr>
        <w:t>Pharmacokinetic sampling schedule: (only if there is evidence of accelerated viral clearance)</w:t>
      </w:r>
    </w:p>
    <w:p w14:paraId="4075AC7C" w14:textId="77777777" w:rsidR="00424FDD" w:rsidRPr="001C0C4B" w:rsidRDefault="00424FDD" w:rsidP="00424FDD">
      <w:pPr>
        <w:spacing w:after="120" w:line="276" w:lineRule="auto"/>
        <w:jc w:val="both"/>
        <w:rPr>
          <w:rFonts w:ascii="Calibri" w:hAnsi="Calibri"/>
        </w:rPr>
      </w:pPr>
      <w:r w:rsidRPr="001C0C4B">
        <w:rPr>
          <w:rFonts w:ascii="Calibri" w:hAnsi="Calibri"/>
        </w:rPr>
        <w:t xml:space="preserve">The timings are: </w:t>
      </w:r>
    </w:p>
    <w:p w14:paraId="7D66F1A0" w14:textId="77777777" w:rsidR="00424FDD" w:rsidRPr="001C0C4B" w:rsidRDefault="00424FDD" w:rsidP="00424FDD">
      <w:pPr>
        <w:pStyle w:val="bullet1"/>
        <w:numPr>
          <w:ilvl w:val="0"/>
          <w:numId w:val="11"/>
        </w:numPr>
        <w:spacing w:line="276" w:lineRule="auto"/>
        <w:ind w:left="357" w:hanging="357"/>
        <w:jc w:val="both"/>
        <w:rPr>
          <w:rFonts w:ascii="Calibri" w:hAnsi="Calibri"/>
          <w:lang w:val="en-GB"/>
        </w:rPr>
      </w:pPr>
      <w:r w:rsidRPr="001C0C4B">
        <w:rPr>
          <w:rFonts w:ascii="Calibri" w:hAnsi="Calibri"/>
          <w:lang w:val="en-GB"/>
        </w:rPr>
        <w:t>Pre-dose D0H0, then</w:t>
      </w:r>
    </w:p>
    <w:p w14:paraId="71508C7F" w14:textId="77777777" w:rsidR="00424FDD" w:rsidRPr="001C0C4B" w:rsidRDefault="00424FDD" w:rsidP="00424FDD">
      <w:pPr>
        <w:pStyle w:val="bullet1"/>
        <w:numPr>
          <w:ilvl w:val="0"/>
          <w:numId w:val="11"/>
        </w:numPr>
        <w:spacing w:line="276" w:lineRule="auto"/>
        <w:ind w:left="357" w:hanging="357"/>
        <w:jc w:val="both"/>
        <w:rPr>
          <w:rFonts w:ascii="Calibri" w:hAnsi="Calibri"/>
          <w:lang w:val="en-GB"/>
        </w:rPr>
      </w:pPr>
      <w:r w:rsidRPr="001C0C4B">
        <w:rPr>
          <w:rFonts w:ascii="Calibri" w:hAnsi="Calibri"/>
          <w:lang w:val="en-GB"/>
        </w:rPr>
        <w:lastRenderedPageBreak/>
        <w:t>1, 2, 3, 4, 6, 9, 12 and 24h post dose</w:t>
      </w:r>
    </w:p>
    <w:p w14:paraId="1D04612C" w14:textId="77FB8232" w:rsidR="00D73CFA" w:rsidRPr="001C0C4B" w:rsidRDefault="00424FDD" w:rsidP="00696D65">
      <w:pPr>
        <w:spacing w:after="120" w:line="276" w:lineRule="auto"/>
        <w:jc w:val="both"/>
      </w:pPr>
      <w:r w:rsidRPr="001C0C4B">
        <w:rPr>
          <w:rFonts w:ascii="Calibri" w:hAnsi="Calibri"/>
        </w:rPr>
        <w:t>Note that blood will be taken on D3 and D7 for routine haematology and biochemistry. The EDTA sample will be used to measure the drug concentrations.</w:t>
      </w:r>
    </w:p>
    <w:p w14:paraId="4C109426" w14:textId="77777777" w:rsidR="00D73CFA" w:rsidRPr="001C0C4B" w:rsidRDefault="00D73CFA" w:rsidP="00696D65">
      <w:pPr>
        <w:pStyle w:val="EndNoteBibliography"/>
        <w:jc w:val="both"/>
        <w:rPr>
          <w:lang w:val="en-GB"/>
        </w:rPr>
      </w:pPr>
      <w:r w:rsidRPr="001C0C4B">
        <w:rPr>
          <w:lang w:val="en-GB"/>
        </w:rPr>
        <w:t>Adverse effects</w:t>
      </w:r>
    </w:p>
    <w:p w14:paraId="4B362F19" w14:textId="42F9AC1A" w:rsidR="00D73CFA" w:rsidRPr="001C0C4B" w:rsidRDefault="00D73CFA" w:rsidP="00696D65">
      <w:pPr>
        <w:pStyle w:val="EndNoteBibliography"/>
        <w:jc w:val="both"/>
        <w:rPr>
          <w:lang w:val="en-GB"/>
        </w:rPr>
      </w:pPr>
      <w:r w:rsidRPr="001C0C4B">
        <w:rPr>
          <w:lang w:val="en-GB"/>
        </w:rPr>
        <w:t>Common adverse effects of fluoxetine affect the gastrointestinal system (nausea, diarrhoea and anorexia) and the nervous system (insomnia, somnolence and anxiety). Care must be taken in those with existing mental health problems. Serotonin syndrome can be prevented by avoiding overuse</w:t>
      </w:r>
      <w:r w:rsidR="007207D5" w:rsidRPr="001C0C4B">
        <w:rPr>
          <w:lang w:val="en-GB"/>
        </w:rPr>
        <w:t>, and should not be an issue at these doses for these durations</w:t>
      </w:r>
      <w:r w:rsidRPr="001C0C4B">
        <w:rPr>
          <w:lang w:val="en-GB"/>
        </w:rPr>
        <w:t xml:space="preserve">.  </w:t>
      </w:r>
    </w:p>
    <w:p w14:paraId="78B9A074" w14:textId="77777777" w:rsidR="00D73CFA" w:rsidRPr="001C0C4B" w:rsidRDefault="00D73CFA" w:rsidP="00696D65">
      <w:pPr>
        <w:pStyle w:val="EndNoteBibliography"/>
        <w:jc w:val="both"/>
        <w:rPr>
          <w:lang w:val="en-GB"/>
        </w:rPr>
      </w:pPr>
      <w:r w:rsidRPr="001C0C4B">
        <w:rPr>
          <w:lang w:val="en-GB"/>
        </w:rPr>
        <w:t>Contraindications</w:t>
      </w:r>
    </w:p>
    <w:p w14:paraId="044D8232" w14:textId="77777777" w:rsidR="00D73CFA" w:rsidRPr="001C0C4B" w:rsidRDefault="00D73CFA" w:rsidP="00696D65">
      <w:pPr>
        <w:pStyle w:val="EndNoteBibliography"/>
        <w:jc w:val="both"/>
        <w:rPr>
          <w:lang w:val="en-GB"/>
        </w:rPr>
      </w:pPr>
      <w:r w:rsidRPr="001C0C4B">
        <w:rPr>
          <w:lang w:val="en-GB"/>
        </w:rPr>
        <w:t>Known hypersensitivity</w:t>
      </w:r>
    </w:p>
    <w:p w14:paraId="35FDBFBA" w14:textId="2A1276A0" w:rsidR="00424FDD" w:rsidRPr="001C0C4B" w:rsidRDefault="00D73CFA" w:rsidP="00424FDD">
      <w:pPr>
        <w:pStyle w:val="EndNoteBibliography"/>
        <w:jc w:val="both"/>
        <w:rPr>
          <w:lang w:val="en-GB"/>
        </w:rPr>
      </w:pPr>
      <w:r w:rsidRPr="001C0C4B">
        <w:rPr>
          <w:lang w:val="en-GB"/>
        </w:rPr>
        <w:t>Use of MAOIs and thioridazine – fluoxetine must not be given within 14 days of discontinuation, and a 5-week gap must be given before starting an MAOI or thioridazine</w:t>
      </w:r>
    </w:p>
    <w:p w14:paraId="0B08E80F" w14:textId="0FD81D6F" w:rsidR="00D73CFA" w:rsidRPr="001C0C4B" w:rsidRDefault="00424FDD" w:rsidP="00696D65">
      <w:pPr>
        <w:jc w:val="both"/>
      </w:pPr>
      <w:r w:rsidRPr="001C0C4B">
        <w:rPr>
          <w:rFonts w:ascii="Calibri" w:hAnsi="Calibri"/>
        </w:rPr>
        <w:t>Other antidepressants (e.g. Selective Serotonin Reuptake Inhibitors (SSRIs)), which increase the risk of serotonin syndrome.</w:t>
      </w:r>
    </w:p>
    <w:p w14:paraId="6FBB50CD" w14:textId="77777777" w:rsidR="00D73CFA" w:rsidRPr="001C0C4B" w:rsidRDefault="00D73CFA" w:rsidP="00696D65">
      <w:pPr>
        <w:pStyle w:val="EndNoteBibliography"/>
        <w:jc w:val="both"/>
        <w:rPr>
          <w:lang w:val="en-GB"/>
        </w:rPr>
      </w:pPr>
      <w:r w:rsidRPr="001C0C4B">
        <w:rPr>
          <w:lang w:val="en-GB"/>
        </w:rPr>
        <w:t>Cautions</w:t>
      </w:r>
    </w:p>
    <w:p w14:paraId="0017C203" w14:textId="77777777" w:rsidR="00D73CFA" w:rsidRPr="001C0C4B" w:rsidRDefault="00D73CFA" w:rsidP="00696D65">
      <w:pPr>
        <w:pStyle w:val="EndNoteBibliography"/>
        <w:jc w:val="both"/>
        <w:rPr>
          <w:lang w:val="en-GB"/>
        </w:rPr>
      </w:pPr>
      <w:r w:rsidRPr="001C0C4B">
        <w:rPr>
          <w:lang w:val="en-GB"/>
        </w:rPr>
        <w:t>Since fluoxetine is metabolised in the liver hepatic impairment may cause a prolonged half-life.</w:t>
      </w:r>
    </w:p>
    <w:p w14:paraId="182C9CE4" w14:textId="7F3E27D3" w:rsidR="0051159A" w:rsidRPr="001C0C4B" w:rsidRDefault="00FD4E5E">
      <w:pPr>
        <w:jc w:val="both"/>
        <w:rPr>
          <w:rFonts w:ascii="Calibri" w:hAnsi="Calibri"/>
        </w:rPr>
      </w:pPr>
      <w:r w:rsidRPr="001C0C4B">
        <w:rPr>
          <w:rFonts w:ascii="Calibri" w:hAnsi="Calibri"/>
        </w:rPr>
        <w:t>Caution should be taken with those with a pre-existing psychiatric condition</w:t>
      </w:r>
      <w:r w:rsidR="0051159A" w:rsidRPr="001C0C4B">
        <w:rPr>
          <w:rFonts w:ascii="Calibri" w:hAnsi="Calibri"/>
        </w:rPr>
        <w:t>.</w:t>
      </w:r>
    </w:p>
    <w:p w14:paraId="1DD394D5" w14:textId="072B035C" w:rsidR="00C1598F" w:rsidRPr="001C0C4B" w:rsidRDefault="00C1598F">
      <w:pPr>
        <w:jc w:val="both"/>
        <w:rPr>
          <w:rFonts w:ascii="Calibri" w:hAnsi="Calibri"/>
          <w:u w:val="single"/>
        </w:rPr>
      </w:pPr>
      <w:r w:rsidRPr="001C0C4B">
        <w:rPr>
          <w:rFonts w:ascii="Calibri" w:hAnsi="Calibri"/>
          <w:u w:val="single"/>
        </w:rPr>
        <w:t>References</w:t>
      </w:r>
    </w:p>
    <w:p w14:paraId="59016720" w14:textId="4DB5E8C5" w:rsidR="00C1598F" w:rsidRPr="001C0C4B" w:rsidRDefault="00C1598F" w:rsidP="0051159A">
      <w:pPr>
        <w:pStyle w:val="EndNoteBibliography"/>
        <w:spacing w:after="0"/>
        <w:ind w:left="720" w:hanging="360"/>
        <w:jc w:val="thaiDistribute"/>
        <w:rPr>
          <w:sz w:val="20"/>
        </w:rPr>
      </w:pPr>
      <w:r w:rsidRPr="001C0C4B">
        <w:rPr>
          <w:sz w:val="20"/>
        </w:rPr>
        <w:t xml:space="preserve">1. </w:t>
      </w:r>
      <w:r w:rsidR="00326719" w:rsidRPr="001C0C4B">
        <w:rPr>
          <w:sz w:val="20"/>
        </w:rPr>
        <w:tab/>
      </w:r>
      <w:r w:rsidRPr="001C0C4B">
        <w:rPr>
          <w:sz w:val="20"/>
        </w:rPr>
        <w:t>Rossi A, Barraco A, Donda P. Fluoxetine: a review on evidence based medicine. Annals of General Hospital Psychiatry. 2004;3(1):1-8.</w:t>
      </w:r>
    </w:p>
    <w:p w14:paraId="25DE15DC" w14:textId="4BB277A9" w:rsidR="00C1598F" w:rsidRPr="001C0C4B" w:rsidRDefault="00C1598F" w:rsidP="0051159A">
      <w:pPr>
        <w:pStyle w:val="EndNoteBibliography"/>
        <w:spacing w:after="0"/>
        <w:ind w:left="720" w:hanging="360"/>
        <w:jc w:val="thaiDistribute"/>
        <w:rPr>
          <w:sz w:val="20"/>
        </w:rPr>
      </w:pPr>
      <w:r w:rsidRPr="001C0C4B">
        <w:rPr>
          <w:sz w:val="20"/>
        </w:rPr>
        <w:t>2.</w:t>
      </w:r>
      <w:r w:rsidR="00326719" w:rsidRPr="001C0C4B">
        <w:rPr>
          <w:sz w:val="20"/>
        </w:rPr>
        <w:t xml:space="preserve"> </w:t>
      </w:r>
      <w:r w:rsidR="00326719" w:rsidRPr="001C0C4B">
        <w:rPr>
          <w:sz w:val="20"/>
        </w:rPr>
        <w:tab/>
      </w:r>
      <w:r w:rsidRPr="001C0C4B">
        <w:rPr>
          <w:sz w:val="20"/>
        </w:rPr>
        <w:t>Kornhuber J, Hoertel N, Gulbins E. The acid sphingomyelinase/ceramide system in COVID-19. Molecular Psychiatry. 2021:1-8.</w:t>
      </w:r>
    </w:p>
    <w:p w14:paraId="53F96D97" w14:textId="220560C3" w:rsidR="00C1598F" w:rsidRPr="001C0C4B" w:rsidRDefault="00C1598F" w:rsidP="0051159A">
      <w:pPr>
        <w:pStyle w:val="EndNoteBibliography"/>
        <w:spacing w:after="0"/>
        <w:ind w:left="720" w:hanging="360"/>
        <w:jc w:val="thaiDistribute"/>
        <w:rPr>
          <w:sz w:val="20"/>
        </w:rPr>
      </w:pPr>
      <w:r w:rsidRPr="001C0C4B">
        <w:rPr>
          <w:sz w:val="20"/>
        </w:rPr>
        <w:t>3.</w:t>
      </w:r>
      <w:r w:rsidR="00326719" w:rsidRPr="001C0C4B">
        <w:rPr>
          <w:sz w:val="20"/>
        </w:rPr>
        <w:t xml:space="preserve"> </w:t>
      </w:r>
      <w:r w:rsidR="00326719" w:rsidRPr="001C0C4B">
        <w:rPr>
          <w:sz w:val="20"/>
        </w:rPr>
        <w:tab/>
      </w:r>
      <w:r w:rsidRPr="001C0C4B">
        <w:rPr>
          <w:sz w:val="20"/>
        </w:rPr>
        <w:t>Carpinteiro A, Edwards MJ, Hoffmann M, Kochs G, Gripp B, Weigang S, et al. Pharmacological inhibition of acid sphingomyelinase prevents uptake of SARS-CoV-2 by epithelial cells. Cell Reports Medicine. 2020;1(8):100142.</w:t>
      </w:r>
    </w:p>
    <w:p w14:paraId="22EE1D70" w14:textId="16587EF5" w:rsidR="00C1598F" w:rsidRPr="001C0C4B" w:rsidRDefault="00C1598F" w:rsidP="0051159A">
      <w:pPr>
        <w:pStyle w:val="EndNoteBibliography"/>
        <w:spacing w:after="0"/>
        <w:ind w:left="720" w:hanging="360"/>
        <w:jc w:val="thaiDistribute"/>
        <w:rPr>
          <w:sz w:val="20"/>
        </w:rPr>
      </w:pPr>
      <w:r w:rsidRPr="001C0C4B">
        <w:rPr>
          <w:sz w:val="20"/>
        </w:rPr>
        <w:t>4.</w:t>
      </w:r>
      <w:r w:rsidR="00326719" w:rsidRPr="001C0C4B">
        <w:rPr>
          <w:sz w:val="20"/>
        </w:rPr>
        <w:t xml:space="preserve"> </w:t>
      </w:r>
      <w:r w:rsidR="00326719" w:rsidRPr="001C0C4B">
        <w:rPr>
          <w:sz w:val="20"/>
        </w:rPr>
        <w:tab/>
      </w:r>
      <w:r w:rsidRPr="001C0C4B">
        <w:rPr>
          <w:sz w:val="20"/>
        </w:rPr>
        <w:t>Zimniak M, Kirschner L, Hilpert H, Seibel J, Bodem J. The serotonin reuptake inhibitor Fluoxetine inhibits SARS-CoV-2. BioRxiv. 2020.</w:t>
      </w:r>
    </w:p>
    <w:p w14:paraId="23EC1487" w14:textId="43D5FA11" w:rsidR="00C1598F" w:rsidRPr="001C0C4B" w:rsidRDefault="00C1598F" w:rsidP="0051159A">
      <w:pPr>
        <w:pStyle w:val="EndNoteBibliography"/>
        <w:spacing w:after="0"/>
        <w:ind w:left="720" w:hanging="360"/>
        <w:jc w:val="thaiDistribute"/>
        <w:rPr>
          <w:sz w:val="20"/>
        </w:rPr>
      </w:pPr>
      <w:r w:rsidRPr="001C0C4B">
        <w:rPr>
          <w:sz w:val="20"/>
        </w:rPr>
        <w:t>5.</w:t>
      </w:r>
      <w:r w:rsidR="00326719" w:rsidRPr="001C0C4B">
        <w:rPr>
          <w:sz w:val="20"/>
        </w:rPr>
        <w:t xml:space="preserve"> </w:t>
      </w:r>
      <w:r w:rsidR="00326719" w:rsidRPr="001C0C4B">
        <w:rPr>
          <w:sz w:val="20"/>
        </w:rPr>
        <w:tab/>
      </w:r>
      <w:r w:rsidRPr="001C0C4B">
        <w:rPr>
          <w:sz w:val="20"/>
        </w:rPr>
        <w:t>Fred MS, Kuivanen S, Ugurlu H, Casarotto PC, Levanov L, Saksela K, et al. Antidepressant and antipsychotic drugs reduce viral infection by SARS-CoV-2 and fluoxetine show antiviral activity against the novel variants in vitro. bioRxiv. 2021.</w:t>
      </w:r>
    </w:p>
    <w:p w14:paraId="32DC336B" w14:textId="51C46544" w:rsidR="00C1598F" w:rsidRPr="001C0C4B" w:rsidRDefault="00C1598F" w:rsidP="0051159A">
      <w:pPr>
        <w:pStyle w:val="EndNoteBibliography"/>
        <w:spacing w:after="0"/>
        <w:ind w:left="720" w:hanging="360"/>
        <w:jc w:val="thaiDistribute"/>
        <w:rPr>
          <w:sz w:val="20"/>
        </w:rPr>
      </w:pPr>
      <w:r w:rsidRPr="001C0C4B">
        <w:rPr>
          <w:sz w:val="20"/>
        </w:rPr>
        <w:t>6.</w:t>
      </w:r>
      <w:r w:rsidR="00326719" w:rsidRPr="001C0C4B">
        <w:rPr>
          <w:sz w:val="20"/>
        </w:rPr>
        <w:t xml:space="preserve"> </w:t>
      </w:r>
      <w:r w:rsidR="00326719" w:rsidRPr="001C0C4B">
        <w:rPr>
          <w:sz w:val="20"/>
        </w:rPr>
        <w:tab/>
      </w:r>
      <w:r w:rsidRPr="001C0C4B">
        <w:rPr>
          <w:sz w:val="20"/>
        </w:rPr>
        <w:t>Schloer S, Brunotte L, Goretzko J, Mecate-Zambrano A, Korthals N, Gerke V, et al. Targeting the endolysosomal host-SARS-CoV-2 interface by clinically licensed functional inhibitors of acid sphingomyelinase (FIASMA) including the antidepressant fluoxetine. Emerging microbes &amp; infections. 2020;9(1):2245-55.</w:t>
      </w:r>
    </w:p>
    <w:p w14:paraId="44AD6870" w14:textId="70DB6C8C" w:rsidR="00C1598F" w:rsidRPr="001C0C4B" w:rsidRDefault="00C1598F" w:rsidP="0051159A">
      <w:pPr>
        <w:pStyle w:val="EndNoteBibliography"/>
        <w:spacing w:after="0"/>
        <w:ind w:left="720" w:hanging="360"/>
        <w:jc w:val="thaiDistribute"/>
        <w:rPr>
          <w:sz w:val="20"/>
        </w:rPr>
      </w:pPr>
      <w:r w:rsidRPr="001C0C4B">
        <w:rPr>
          <w:sz w:val="20"/>
        </w:rPr>
        <w:t>7.</w:t>
      </w:r>
      <w:r w:rsidR="00326719" w:rsidRPr="001C0C4B">
        <w:rPr>
          <w:sz w:val="20"/>
        </w:rPr>
        <w:t xml:space="preserve"> </w:t>
      </w:r>
      <w:r w:rsidR="00326719" w:rsidRPr="001C0C4B">
        <w:rPr>
          <w:sz w:val="20"/>
        </w:rPr>
        <w:tab/>
      </w:r>
      <w:r w:rsidRPr="001C0C4B">
        <w:rPr>
          <w:sz w:val="20"/>
        </w:rPr>
        <w:t>Eugene AR. Fluoxetine pharmacokinetics and tissue distribution suggest a possible role in reducing SARS-CoV-2 titers. F1000Research. 2021;10(477):477.</w:t>
      </w:r>
    </w:p>
    <w:p w14:paraId="4B8C5EFD" w14:textId="6BA7A843" w:rsidR="00C1598F" w:rsidRPr="001C0C4B" w:rsidRDefault="00C1598F" w:rsidP="0051159A">
      <w:pPr>
        <w:pStyle w:val="EndNoteBibliography"/>
        <w:spacing w:after="0"/>
        <w:ind w:left="720" w:hanging="360"/>
        <w:jc w:val="thaiDistribute"/>
        <w:rPr>
          <w:sz w:val="20"/>
        </w:rPr>
      </w:pPr>
      <w:r w:rsidRPr="001C0C4B">
        <w:rPr>
          <w:sz w:val="20"/>
        </w:rPr>
        <w:t>8.</w:t>
      </w:r>
      <w:r w:rsidR="00326719" w:rsidRPr="001C0C4B">
        <w:rPr>
          <w:sz w:val="20"/>
        </w:rPr>
        <w:t xml:space="preserve"> </w:t>
      </w:r>
      <w:r w:rsidR="00326719" w:rsidRPr="001C0C4B">
        <w:rPr>
          <w:sz w:val="20"/>
        </w:rPr>
        <w:tab/>
      </w:r>
      <w:r w:rsidRPr="001C0C4B">
        <w:rPr>
          <w:sz w:val="20"/>
        </w:rPr>
        <w:t>Hoertel N, Sánchez-Rico M, Vernet R, Beeker N, Jannot A-S, Neuraz A, et al. Association between antidepressant use and reduced risk of intubation or death in hospitalized patients with COVID-19: results from an observational study. Molecular psychiatry. 2021:1-14.</w:t>
      </w:r>
    </w:p>
    <w:p w14:paraId="6324E2A1" w14:textId="2EDCE16B" w:rsidR="00C1598F" w:rsidRPr="001C0C4B" w:rsidRDefault="00C1598F" w:rsidP="0051159A">
      <w:pPr>
        <w:pStyle w:val="EndNoteBibliography"/>
        <w:spacing w:after="0"/>
        <w:ind w:left="720" w:hanging="360"/>
        <w:jc w:val="thaiDistribute"/>
        <w:rPr>
          <w:sz w:val="20"/>
        </w:rPr>
      </w:pPr>
      <w:r w:rsidRPr="001C0C4B">
        <w:rPr>
          <w:sz w:val="20"/>
        </w:rPr>
        <w:t>9.</w:t>
      </w:r>
      <w:r w:rsidR="00326719" w:rsidRPr="001C0C4B">
        <w:rPr>
          <w:sz w:val="20"/>
        </w:rPr>
        <w:t xml:space="preserve"> </w:t>
      </w:r>
      <w:r w:rsidR="00326719" w:rsidRPr="001C0C4B">
        <w:rPr>
          <w:sz w:val="20"/>
        </w:rPr>
        <w:tab/>
      </w:r>
      <w:r w:rsidRPr="001C0C4B">
        <w:rPr>
          <w:sz w:val="20"/>
        </w:rPr>
        <w:t>Oskotsky T, Marić I, Tang A, Oskotsky B, Wong RJ, Aghaeepour N, et al. Mortality Risk Among Patients With COVID-19 Prescribed Selective Serotonin Reuptake Inhibitor Antidepressants. JAMA network open. 2021;4(11):e2133090-e.</w:t>
      </w:r>
    </w:p>
    <w:p w14:paraId="191728B6" w14:textId="289F620C" w:rsidR="00C1598F" w:rsidRPr="001C0C4B" w:rsidRDefault="00C1598F" w:rsidP="0051159A">
      <w:pPr>
        <w:pStyle w:val="EndNoteBibliography"/>
        <w:spacing w:after="0"/>
        <w:ind w:left="720" w:hanging="360"/>
        <w:jc w:val="both"/>
        <w:rPr>
          <w:sz w:val="20"/>
        </w:rPr>
      </w:pPr>
      <w:r w:rsidRPr="001C0C4B">
        <w:rPr>
          <w:sz w:val="20"/>
        </w:rPr>
        <w:t>10.</w:t>
      </w:r>
      <w:r w:rsidR="00326719" w:rsidRPr="001C0C4B">
        <w:rPr>
          <w:sz w:val="20"/>
        </w:rPr>
        <w:t xml:space="preserve"> </w:t>
      </w:r>
      <w:r w:rsidR="00326719" w:rsidRPr="001C0C4B">
        <w:rPr>
          <w:sz w:val="20"/>
        </w:rPr>
        <w:tab/>
      </w:r>
      <w:r w:rsidRPr="001C0C4B">
        <w:rPr>
          <w:sz w:val="20"/>
        </w:rPr>
        <w:t>Németh ZK, Szûcs A, Vitrai J, Juhász D, Németh JP, Holló A. Fluoxetine use is associated with improved survival of patients with COVID-19 pneumonia: A retrospective case-control study. Ideggyogyaszati Szemle. 2021;74(11-12):389-96.</w:t>
      </w:r>
    </w:p>
    <w:p w14:paraId="0CCA561A" w14:textId="76E9B176" w:rsidR="0097654B" w:rsidRPr="001C0C4B" w:rsidRDefault="0097654B" w:rsidP="0051159A">
      <w:pPr>
        <w:pStyle w:val="EndNoteBibliography"/>
        <w:spacing w:after="0"/>
        <w:ind w:left="720" w:hanging="360"/>
        <w:jc w:val="both"/>
        <w:rPr>
          <w:sz w:val="20"/>
        </w:rPr>
      </w:pPr>
      <w:r w:rsidRPr="001C0C4B">
        <w:rPr>
          <w:sz w:val="20"/>
        </w:rPr>
        <w:t>11.</w:t>
      </w:r>
      <w:r w:rsidR="00326719" w:rsidRPr="001C0C4B">
        <w:rPr>
          <w:sz w:val="20"/>
        </w:rPr>
        <w:t xml:space="preserve"> </w:t>
      </w:r>
      <w:r w:rsidR="00326719" w:rsidRPr="001C0C4B">
        <w:rPr>
          <w:sz w:val="20"/>
        </w:rPr>
        <w:tab/>
      </w:r>
      <w:r w:rsidRPr="001C0C4B">
        <w:rPr>
          <w:sz w:val="20"/>
        </w:rPr>
        <w:t>Lenze EJ, Mattar C, Zorumski CF, Stevens A, Schweiger J, Nicol GE, et al. Fluvoxamine vs placebo and clinical deterioration in outpatients with symptomatic COVID-19: a randomized clinical trial. Jama. 2020;324(22):2292-300.</w:t>
      </w:r>
    </w:p>
    <w:p w14:paraId="2DD97116" w14:textId="1FA14383" w:rsidR="00AC07F0" w:rsidRPr="001C0C4B" w:rsidRDefault="0097654B" w:rsidP="0051159A">
      <w:pPr>
        <w:spacing w:after="0" w:line="240" w:lineRule="auto"/>
        <w:ind w:left="720" w:hanging="360"/>
        <w:jc w:val="both"/>
        <w:rPr>
          <w:noProof/>
          <w:sz w:val="20"/>
          <w:szCs w:val="20"/>
        </w:rPr>
      </w:pPr>
      <w:r w:rsidRPr="001C0C4B">
        <w:rPr>
          <w:sz w:val="20"/>
        </w:rPr>
        <w:lastRenderedPageBreak/>
        <w:t>12.</w:t>
      </w:r>
      <w:r w:rsidR="00326719" w:rsidRPr="001C0C4B">
        <w:rPr>
          <w:sz w:val="20"/>
        </w:rPr>
        <w:t xml:space="preserve"> </w:t>
      </w:r>
      <w:r w:rsidR="00326719" w:rsidRPr="001C0C4B">
        <w:rPr>
          <w:sz w:val="20"/>
        </w:rPr>
        <w:tab/>
      </w:r>
      <w:r w:rsidRPr="001C0C4B">
        <w:rPr>
          <w:sz w:val="20"/>
        </w:rPr>
        <w:t>Reis G, dos Santos Moreira-Silva EA, Silva DCM, Thabane L, Milagres AC, Ferreira TS, et al. Effect of early treatment with fluvoxamine on risk of emergency care and hospitalisation among patients with COVID-19: the TOGETHER randomised, platform clinical trial. The Lancet Global Health. 2021.</w:t>
      </w:r>
    </w:p>
    <w:p w14:paraId="5C608A40" w14:textId="1AF3BBBA" w:rsidR="00326719" w:rsidRPr="001C0C4B" w:rsidRDefault="00326719">
      <w:pPr>
        <w:rPr>
          <w:noProof/>
          <w:sz w:val="20"/>
          <w:szCs w:val="20"/>
        </w:rPr>
      </w:pPr>
      <w:r w:rsidRPr="001C0C4B">
        <w:rPr>
          <w:noProof/>
          <w:sz w:val="20"/>
          <w:szCs w:val="20"/>
        </w:rPr>
        <w:br w:type="page"/>
      </w:r>
    </w:p>
    <w:p w14:paraId="6380AFC3" w14:textId="7ED03DFE" w:rsidR="00133989" w:rsidRPr="001C0C4B" w:rsidRDefault="00133989" w:rsidP="00BF2FEE">
      <w:pPr>
        <w:pStyle w:val="Heading2"/>
        <w:numPr>
          <w:ilvl w:val="1"/>
          <w:numId w:val="53"/>
        </w:numPr>
        <w:rPr>
          <w:rFonts w:asciiTheme="minorHAnsi" w:hAnsiTheme="minorHAnsi" w:cstheme="minorHAnsi"/>
          <w:color w:val="auto"/>
          <w:u w:val="single"/>
        </w:rPr>
      </w:pPr>
      <w:bookmarkStart w:id="548" w:name="_Toc96007370"/>
      <w:bookmarkStart w:id="549" w:name="_Toc95915296"/>
      <w:bookmarkStart w:id="550" w:name="_Toc110524035"/>
      <w:bookmarkStart w:id="551" w:name="_Toc96005673"/>
      <w:bookmarkStart w:id="552" w:name="_Toc112917683"/>
      <w:r w:rsidRPr="001C0C4B">
        <w:rPr>
          <w:rFonts w:asciiTheme="minorHAnsi" w:hAnsiTheme="minorHAnsi" w:cstheme="minorHAnsi"/>
          <w:color w:val="auto"/>
          <w:u w:val="single"/>
        </w:rPr>
        <w:lastRenderedPageBreak/>
        <w:t>Fluvoxamine</w:t>
      </w:r>
      <w:bookmarkEnd w:id="548"/>
      <w:bookmarkEnd w:id="549"/>
      <w:bookmarkEnd w:id="550"/>
      <w:bookmarkEnd w:id="551"/>
      <w:bookmarkEnd w:id="552"/>
    </w:p>
    <w:p w14:paraId="25A6B978" w14:textId="470FF403" w:rsidR="00424FDD" w:rsidRPr="001C0C4B" w:rsidRDefault="00424FDD" w:rsidP="00696D65">
      <w:pPr>
        <w:jc w:val="both"/>
        <w:rPr>
          <w:rFonts w:ascii="Calibri" w:hAnsi="Calibri"/>
          <w:u w:val="single"/>
        </w:rPr>
      </w:pPr>
      <w:r w:rsidRPr="001C0C4B">
        <w:rPr>
          <w:rFonts w:ascii="Calibri" w:hAnsi="Calibri"/>
          <w:u w:val="single"/>
        </w:rPr>
        <w:t>Rationale</w:t>
      </w:r>
    </w:p>
    <w:p w14:paraId="355162AC" w14:textId="6FE517F3" w:rsidR="00424FDD" w:rsidRPr="001C0C4B" w:rsidRDefault="00424FDD" w:rsidP="00696D65">
      <w:pPr>
        <w:autoSpaceDE w:val="0"/>
        <w:autoSpaceDN w:val="0"/>
        <w:adjustRightInd w:val="0"/>
        <w:jc w:val="both"/>
        <w:rPr>
          <w:rFonts w:ascii="Calibri" w:hAnsi="Calibri"/>
        </w:rPr>
      </w:pPr>
      <w:r w:rsidRPr="001C0C4B">
        <w:rPr>
          <w:rFonts w:ascii="Calibri" w:hAnsi="Calibri"/>
        </w:rPr>
        <w:t xml:space="preserve">Fluvoxamine is a selective serotonin reuptake inhibitor developed in 1983 and approved by the U.S. FDA in 1994. It is used to treat major depressive disorder and Obsessive-Compulsive Disorder. Recently it has been classified as a Functional Inhibitor of Acid SphingoMyelinAse (FIASMA) and considered for anti-viral properties. Acid SphingoMyelinAse is a glycosome which catalyses the degradation of sphingomyelin to phosphorycholine and ceramide; ceramide causes membrane changes mediating viral uptake </w:t>
      </w:r>
      <w:r w:rsidRPr="001C0C4B">
        <w:rPr>
          <w:rFonts w:ascii="Calibri" w:hAnsi="Calibri"/>
          <w:color w:val="2F5496" w:themeColor="accent1" w:themeShade="BF"/>
          <w:sz w:val="26"/>
          <w:lang w:val="en-GB"/>
        </w:rPr>
        <w:fldChar w:fldCharType="begin"/>
      </w:r>
      <w:r w:rsidRPr="001C0C4B">
        <w:rPr>
          <w:rFonts w:ascii="Calibri" w:hAnsi="Calibri"/>
        </w:rPr>
        <w:instrText xml:space="preserve"> ADDIN EN.CITE &lt;EndNote&gt;&lt;Cite&gt;&lt;Author&gt;Kornhuber&lt;/Author&gt;&lt;Year&gt;2021&lt;/Year&gt;&lt;RecNum&gt;15&lt;/RecNum&gt;&lt;DisplayText&gt;(1)&lt;/DisplayText&gt;&lt;record&gt;&lt;rec-number&gt;15&lt;/rec-number&gt;&lt;foreign-keys&gt;&lt;key app="EN" db-id="a529fxfdz0d2are0vx0xptzlxt5sapwf552v" timestamp="1639918231"&gt;15&lt;/key&gt;&lt;/foreign-keys&gt;&lt;ref-type name="Journal Article"&gt;17&lt;/ref-type&gt;&lt;contributors&gt;&lt;authors&gt;&lt;author&gt;Kornhuber, Johannes&lt;/author&gt;&lt;author&gt;Hoertel, Nicolas&lt;/author&gt;&lt;author&gt;Gulbins, Erich&lt;/author&gt;&lt;/authors&gt;&lt;/contributors&gt;&lt;titles&gt;&lt;title&gt;The acid sphingomyelinase/ceramide system in COVID-19&lt;/title&gt;&lt;secondary-title&gt;Molecular Psychiatry&lt;/secondary-title&gt;&lt;/titles&gt;&lt;periodical&gt;&lt;full-title&gt;Molecular psychiatry&lt;/full-title&gt;&lt;/periodical&gt;&lt;pages&gt;1-8&lt;/pages&gt;&lt;dates&gt;&lt;year&gt;2021&lt;/year&gt;&lt;/dates&gt;&lt;isbn&gt;1476-5578&lt;/isbn&gt;&lt;urls&gt;&lt;/urls&gt;&lt;/record&gt;&lt;/Cite&gt;&lt;/EndNote&gt;</w:instrText>
      </w:r>
      <w:r w:rsidRPr="001C0C4B">
        <w:rPr>
          <w:rFonts w:ascii="Calibri" w:hAnsi="Calibri"/>
          <w:color w:val="2F5496" w:themeColor="accent1" w:themeShade="BF"/>
          <w:sz w:val="26"/>
          <w:lang w:val="en-GB"/>
        </w:rPr>
        <w:fldChar w:fldCharType="separate"/>
      </w:r>
      <w:r w:rsidRPr="001C0C4B">
        <w:rPr>
          <w:rFonts w:ascii="Calibri" w:hAnsi="Calibri"/>
        </w:rPr>
        <w:t>(1)</w:t>
      </w:r>
      <w:r w:rsidRPr="001C0C4B">
        <w:rPr>
          <w:rFonts w:ascii="Calibri" w:hAnsi="Calibri"/>
          <w:color w:val="2F5496" w:themeColor="accent1" w:themeShade="BF"/>
          <w:sz w:val="26"/>
          <w:lang w:val="en-GB"/>
        </w:rPr>
        <w:fldChar w:fldCharType="end"/>
      </w:r>
      <w:r w:rsidRPr="001C0C4B">
        <w:rPr>
          <w:rFonts w:ascii="Calibri" w:hAnsi="Calibri"/>
        </w:rPr>
        <w:t xml:space="preserve">. ASM has shown to be activated by SARS-CoV-2. FIASMA’s have been demonstrated to displace ASM from lysosomal membranes, causing partial degradation, reducing the viral membrane fusion with the host cell </w:t>
      </w:r>
      <w:r w:rsidRPr="001C0C4B">
        <w:rPr>
          <w:rFonts w:ascii="Calibri" w:hAnsi="Calibri"/>
          <w:color w:val="2F5496" w:themeColor="accent1" w:themeShade="BF"/>
          <w:sz w:val="26"/>
          <w:lang w:val="en-GB"/>
        </w:rPr>
        <w:fldChar w:fldCharType="begin"/>
      </w:r>
      <w:r w:rsidRPr="001C0C4B">
        <w:rPr>
          <w:rFonts w:ascii="Calibri" w:hAnsi="Calibri"/>
        </w:rPr>
        <w:instrText xml:space="preserve"> ADDIN EN.CITE &lt;EndNote&gt;&lt;Cite&gt;&lt;Author&gt;Carpinteiro&lt;/Author&gt;&lt;Year&gt;2020&lt;/Year&gt;&lt;RecNum&gt;4&lt;/RecNum&gt;&lt;DisplayText&gt;(2)&lt;/DisplayText&gt;&lt;record&gt;&lt;rec-number&gt;4&lt;/rec-number&gt;&lt;foreign-keys&gt;&lt;key app="EN" db-id="a529fxfdz0d2are0vx0xptzlxt5sapwf552v" timestamp="1639466842"&gt;4&lt;/key&gt;&lt;/foreign-keys&gt;&lt;ref-type name="Journal Article"&gt;17&lt;/ref-type&gt;&lt;contributors&gt;&lt;authors&gt;&lt;author&gt;Carpinteiro, Alexander&lt;/author&gt;&lt;author&gt;Edwards, Michael J&lt;/author&gt;&lt;author&gt;Hoffmann, Markus&lt;/author&gt;&lt;author&gt;Kochs, Georg&lt;/author&gt;&lt;author&gt;Gripp, Barbara&lt;/author&gt;&lt;author&gt;Weigang, Sebastian&lt;/author&gt;&lt;author&gt;Adams, Constantin&lt;/author&gt;&lt;author&gt;Carpinteiro, Elisa&lt;/author&gt;&lt;author&gt;Gulbins, Anne&lt;/author&gt;&lt;author&gt;Keitsch, Simone&lt;/author&gt;&lt;/authors&gt;&lt;/contributors&gt;&lt;titles&gt;&lt;title&gt;Pharmacological inhibition of acid sphingomyelinase prevents uptake of SARS-CoV-2 by epithelial cells&lt;/title&gt;&lt;secondary-title&gt;Cell Reports Medicine&lt;/secondary-title&gt;&lt;/titles&gt;&lt;periodical&gt;&lt;full-title&gt;Cell Reports Medicine&lt;/full-title&gt;&lt;/periodical&gt;&lt;pages&gt;100142&lt;/pages&gt;&lt;volume&gt;1&lt;/volume&gt;&lt;number&gt;8&lt;/number&gt;&lt;dates&gt;&lt;year&gt;2020&lt;/year&gt;&lt;/dates&gt;&lt;isbn&gt;2666-3791&lt;/isbn&gt;&lt;urls&gt;&lt;/urls&gt;&lt;/record&gt;&lt;/Cite&gt;&lt;/EndNote&gt;</w:instrText>
      </w:r>
      <w:r w:rsidRPr="001C0C4B">
        <w:rPr>
          <w:rFonts w:ascii="Calibri" w:hAnsi="Calibri"/>
          <w:color w:val="2F5496" w:themeColor="accent1" w:themeShade="BF"/>
          <w:sz w:val="26"/>
          <w:lang w:val="en-GB"/>
        </w:rPr>
        <w:fldChar w:fldCharType="separate"/>
      </w:r>
      <w:r w:rsidRPr="001C0C4B">
        <w:rPr>
          <w:rFonts w:ascii="Calibri" w:hAnsi="Calibri"/>
        </w:rPr>
        <w:t>(2)</w:t>
      </w:r>
      <w:r w:rsidRPr="001C0C4B">
        <w:rPr>
          <w:rFonts w:ascii="Calibri" w:hAnsi="Calibri"/>
          <w:color w:val="2F5496" w:themeColor="accent1" w:themeShade="BF"/>
          <w:sz w:val="26"/>
          <w:lang w:val="en-GB"/>
        </w:rPr>
        <w:fldChar w:fldCharType="end"/>
      </w:r>
      <w:r w:rsidRPr="001C0C4B">
        <w:rPr>
          <w:rFonts w:ascii="Calibri" w:hAnsi="Calibri"/>
        </w:rPr>
        <w:t>.</w:t>
      </w:r>
    </w:p>
    <w:p w14:paraId="415873E6" w14:textId="00E329B7" w:rsidR="00424FDD" w:rsidRPr="001C0C4B" w:rsidRDefault="00424FDD" w:rsidP="00696D65">
      <w:pPr>
        <w:jc w:val="both"/>
        <w:rPr>
          <w:rFonts w:ascii="Calibri" w:hAnsi="Calibri"/>
        </w:rPr>
      </w:pPr>
      <w:r w:rsidRPr="001C0C4B">
        <w:rPr>
          <w:rFonts w:ascii="Calibri" w:hAnsi="Calibri"/>
        </w:rPr>
        <w:t xml:space="preserve">A double blind randomised controlled trial of 152 participants used a fluvoxamine dose of 100MG TDS for 15 days for SARS-CoV-2 non-hospitalised patients. Of the 80 participants that received fluvoxamine, none of them died, compared to 6 in the control group </w:t>
      </w:r>
      <w:r w:rsidRPr="001C0C4B">
        <w:rPr>
          <w:rFonts w:ascii="Calibri" w:hAnsi="Calibri"/>
          <w:color w:val="2F5496" w:themeColor="accent1" w:themeShade="BF"/>
          <w:sz w:val="26"/>
          <w:lang w:val="en-GB"/>
        </w:rPr>
        <w:fldChar w:fldCharType="begin"/>
      </w:r>
      <w:r w:rsidRPr="001C0C4B">
        <w:rPr>
          <w:rFonts w:ascii="Calibri" w:hAnsi="Calibri"/>
        </w:rPr>
        <w:instrText xml:space="preserve"> ADDIN EN.CITE &lt;EndNote&gt;&lt;Cite&gt;&lt;Author&gt;Lenze&lt;/Author&gt;&lt;Year&gt;2020&lt;/Year&gt;&lt;RecNum&gt;8&lt;/RecNum&gt;&lt;DisplayText&gt;(3)&lt;/DisplayText&gt;&lt;record&gt;&lt;rec-number&gt;8&lt;/rec-number&gt;&lt;foreign-keys&gt;&lt;key app="EN" db-id="a529fxfdz0d2are0vx0xptzlxt5sapwf552v" timestamp="1639540390"&gt;8&lt;/key&gt;&lt;/foreign-keys&gt;&lt;ref-type name="Journal Article"&gt;17&lt;/ref-type&gt;&lt;contributors&gt;&lt;authors&gt;&lt;author&gt;Lenze, Eric J&lt;/author&gt;&lt;author&gt;Mattar, Caline&lt;/author&gt;&lt;author&gt;Zorumski, Charles F&lt;/author&gt;&lt;author&gt;Stevens, Angela&lt;/author&gt;&lt;author&gt;Schweiger, Julie&lt;/author&gt;&lt;author&gt;Nicol, Ginger E&lt;/author&gt;&lt;author&gt;Miller, J Philip&lt;/author&gt;&lt;author&gt;Yang, Lei&lt;/author&gt;&lt;author&gt;Yingling, Michael&lt;/author&gt;&lt;author&gt;Avidan, Michael S&lt;/author&gt;&lt;/authors&gt;&lt;/contributors&gt;&lt;titles&gt;&lt;title&gt;Fluvoxamine vs placebo and clinical deterioration in outpatients with symptomatic COVID-19: a randomized clinical trial&lt;/title&gt;&lt;secondary-title&gt;Jama&lt;/secondary-title&gt;&lt;/titles&gt;&lt;periodical&gt;&lt;full-title&gt;Jama&lt;/full-title&gt;&lt;/periodical&gt;&lt;pages&gt;2292-2300&lt;/pages&gt;&lt;volume&gt;324&lt;/volume&gt;&lt;number&gt;22&lt;/number&gt;&lt;dates&gt;&lt;year&gt;2020&lt;/year&gt;&lt;/dates&gt;&lt;isbn&gt;0098-7484&lt;/isbn&gt;&lt;urls&gt;&lt;/urls&gt;&lt;/record&gt;&lt;/Cite&gt;&lt;/EndNote&gt;</w:instrText>
      </w:r>
      <w:r w:rsidRPr="001C0C4B">
        <w:rPr>
          <w:rFonts w:ascii="Calibri" w:hAnsi="Calibri"/>
          <w:color w:val="2F5496" w:themeColor="accent1" w:themeShade="BF"/>
          <w:sz w:val="26"/>
          <w:lang w:val="en-GB"/>
        </w:rPr>
        <w:fldChar w:fldCharType="separate"/>
      </w:r>
      <w:r w:rsidRPr="001C0C4B">
        <w:rPr>
          <w:rFonts w:ascii="Calibri" w:hAnsi="Calibri"/>
        </w:rPr>
        <w:t>(3)</w:t>
      </w:r>
      <w:r w:rsidRPr="001C0C4B">
        <w:rPr>
          <w:rFonts w:ascii="Calibri" w:hAnsi="Calibri"/>
          <w:color w:val="2F5496" w:themeColor="accent1" w:themeShade="BF"/>
          <w:sz w:val="26"/>
          <w:lang w:val="en-GB"/>
        </w:rPr>
        <w:fldChar w:fldCharType="end"/>
      </w:r>
      <w:r w:rsidRPr="001C0C4B">
        <w:rPr>
          <w:rFonts w:ascii="Calibri" w:hAnsi="Calibri"/>
        </w:rPr>
        <w:t>. The TOGETHER trial used a dose of 100MG BD for 10 days.  741 received fluvoxamine and 756 received the placebo. There were 17 deaths in the fluvoxamine group compared to 25 in the placebo, p=0.24. Hospitalisation was reduced with fluvoxamine</w:t>
      </w:r>
      <w:r w:rsidRPr="001C0C4B">
        <w:t xml:space="preserve"> </w:t>
      </w:r>
      <w:r w:rsidRPr="001C0C4B">
        <w:rPr>
          <w:rFonts w:ascii="Calibri" w:hAnsi="Calibri"/>
        </w:rPr>
        <w:t xml:space="preserve">(119 [16%] of 756 vs 79 [11%] of 741); relative risk [RR] 0·68; 95% Bayesian credible interval [95% BCI]: 0·52–0·88). However, the endpoint defined staying in the emergency department for &gt; 6 hours as hospitalisation, when this was removed the difference was not significant </w:t>
      </w:r>
      <w:r w:rsidRPr="001C0C4B">
        <w:rPr>
          <w:rFonts w:ascii="Calibri" w:hAnsi="Calibri"/>
          <w:color w:val="2F5496" w:themeColor="accent1" w:themeShade="BF"/>
          <w:sz w:val="26"/>
          <w:lang w:val="en-GB"/>
        </w:rPr>
        <w:fldChar w:fldCharType="begin"/>
      </w:r>
      <w:r w:rsidRPr="001C0C4B">
        <w:rPr>
          <w:rFonts w:ascii="Calibri" w:hAnsi="Calibri"/>
        </w:rPr>
        <w:instrText xml:space="preserve"> ADDIN EN.CITE &lt;EndNote&gt;&lt;Cite&gt;&lt;Author&gt;Reis&lt;/Author&gt;&lt;Year&gt;2021&lt;/Year&gt;&lt;RecNum&gt;9&lt;/RecNum&gt;&lt;DisplayText&gt;(4)&lt;/DisplayText&gt;&lt;record&gt;&lt;rec-number&gt;9&lt;/rec-number&gt;&lt;foreign-keys&gt;&lt;key app="EN" db-id="a529fxfdz0d2are0vx0xptzlxt5sapwf552v" timestamp="1639542203"&gt;9&lt;/key&gt;&lt;/foreign-keys&gt;&lt;ref-type name="Journal Article"&gt;17&lt;/ref-type&gt;&lt;contributors&gt;&lt;authors&gt;&lt;author&gt;Reis, Gilmar&lt;/author&gt;&lt;author&gt;dos Santos Moreira-Silva, Eduardo Augusto&lt;/author&gt;&lt;author&gt;Silva, Daniela Carla Medeiros&lt;/author&gt;&lt;author&gt;Thabane, Lehana&lt;/author&gt;&lt;author&gt;Milagres, Aline Cruz&lt;/author&gt;&lt;author&gt;Ferreira, Thiago Santiago&lt;/author&gt;&lt;author&gt;Dos Santos, Castilho Vitor Quirino&lt;/author&gt;&lt;author&gt;de Souza Campos, Vitoria Helena&lt;/author&gt;&lt;author&gt;Nogueira, Ana Maria Ribeiro&lt;/author&gt;&lt;author&gt;de Almeida, Ana Paula Figueiredo Guimaraes&lt;/author&gt;&lt;/authors&gt;&lt;/contributors&gt;&lt;titles&gt;&lt;title&gt;Effect of early treatment with fluvoxamine on risk of emergency care and hospitalisation among patients with COVID-19: the TOGETHER randomised, platform clinical trial&lt;/title&gt;&lt;secondary-title&gt;The Lancet Global Health&lt;/secondary-title&gt;&lt;/titles&gt;&lt;periodical&gt;&lt;full-title&gt;The Lancet Global Health&lt;/full-title&gt;&lt;/periodical&gt;&lt;dates&gt;&lt;year&gt;2021&lt;/year&gt;&lt;/dates&gt;&lt;isbn&gt;2214-109X&lt;/isbn&gt;&lt;urls&gt;&lt;/urls&gt;&lt;/record&gt;&lt;/Cite&gt;&lt;/EndNote&gt;</w:instrText>
      </w:r>
      <w:r w:rsidRPr="001C0C4B">
        <w:rPr>
          <w:rFonts w:ascii="Calibri" w:hAnsi="Calibri"/>
          <w:color w:val="2F5496" w:themeColor="accent1" w:themeShade="BF"/>
          <w:sz w:val="26"/>
          <w:lang w:val="en-GB"/>
        </w:rPr>
        <w:fldChar w:fldCharType="separate"/>
      </w:r>
      <w:r w:rsidRPr="001C0C4B">
        <w:rPr>
          <w:rFonts w:ascii="Calibri" w:hAnsi="Calibri"/>
        </w:rPr>
        <w:t>(4)</w:t>
      </w:r>
      <w:r w:rsidRPr="001C0C4B">
        <w:rPr>
          <w:rFonts w:ascii="Calibri" w:hAnsi="Calibri"/>
          <w:color w:val="2F5496" w:themeColor="accent1" w:themeShade="BF"/>
          <w:sz w:val="26"/>
          <w:lang w:val="en-GB"/>
        </w:rPr>
        <w:fldChar w:fldCharType="end"/>
      </w:r>
      <w:r w:rsidRPr="001C0C4B">
        <w:rPr>
          <w:rFonts w:ascii="Calibri" w:hAnsi="Calibri"/>
        </w:rPr>
        <w:t>.</w:t>
      </w:r>
    </w:p>
    <w:p w14:paraId="678984EF" w14:textId="196150E8" w:rsidR="00424FDD" w:rsidRPr="001C0C4B" w:rsidRDefault="00424FDD" w:rsidP="00696D65">
      <w:pPr>
        <w:jc w:val="both"/>
        <w:rPr>
          <w:rFonts w:ascii="Calibri" w:hAnsi="Calibri"/>
        </w:rPr>
      </w:pPr>
      <w:r w:rsidRPr="001C0C4B">
        <w:rPr>
          <w:rFonts w:ascii="Calibri" w:hAnsi="Calibri"/>
        </w:rPr>
        <w:t xml:space="preserve">A quasi-randomised trial was performed in California after COVID-19 outbreak. During mass testing, patients were given the choice of fluvoxamine therapy. 50-100 MG loading dose, then 50MG BD for 14 days, follow up at 7 and 14 days. The fluvoxamine group were 5% non-white compared to 27% no therapy group. 38% of fluvoxamine patients were asymptomatic at day 0 compared to 58% in no therapy. Hospitalisation up to day 14 was 0/65 (0%) for fluvoxamine and 6/48 (12.5%) for no therapy (P=0.005) with 2 needing mechanical ventilation and one dying. At day 14 - ongoing symptoms were present in 0% with fluvoxamine compared with 60% (29 of 48) with no therapy (P &lt; 0.001). The most common ongoing symptom were anxiety (n = 19), however it was not shown which group was more anxious. No serious adverse events occurred with fluvoxamine </w:t>
      </w:r>
      <w:r w:rsidRPr="001C0C4B">
        <w:rPr>
          <w:rFonts w:ascii="Calibri" w:hAnsi="Calibri"/>
          <w:color w:val="2F5496" w:themeColor="accent1" w:themeShade="BF"/>
          <w:sz w:val="26"/>
          <w:lang w:val="en-GB"/>
        </w:rPr>
        <w:fldChar w:fldCharType="begin"/>
      </w:r>
      <w:r w:rsidRPr="001C0C4B">
        <w:rPr>
          <w:rFonts w:ascii="Calibri" w:hAnsi="Calibri"/>
        </w:rPr>
        <w:instrText xml:space="preserve"> ADDIN EN.CITE &lt;EndNote&gt;&lt;Cite&gt;&lt;Author&gt;Seftel&lt;/Author&gt;&lt;Year&gt;2021&lt;/Year&gt;&lt;RecNum&gt;45&lt;/RecNum&gt;&lt;DisplayText&gt;(5)&lt;/DisplayText&gt;&lt;record&gt;&lt;rec-number&gt;45&lt;/rec-number&gt;&lt;foreign-keys&gt;&lt;key app="EN" db-id="a529fxfdz0d2are0vx0xptzlxt5sapwf552v" timestamp="1643607198"&gt;45&lt;/key&gt;&lt;/foreign-keys&gt;&lt;ref-type name="Conference Proceedings"&gt;10&lt;/ref-type&gt;&lt;contributors&gt;&lt;authors&gt;&lt;author&gt;Seftel, David&lt;/author&gt;&lt;author&gt;Boulware, David R&lt;/author&gt;&lt;/authors&gt;&lt;/contributors&gt;&lt;titles&gt;&lt;title&gt;Prospective cohort of fluvoxamine for early treatment of coronavirus disease 19&lt;/title&gt;&lt;secondary-title&gt;Open Forum Infectious Diseases&lt;/secondary-title&gt;&lt;/titles&gt;&lt;pages&gt;ofab050&lt;/pages&gt;&lt;volume&gt;8&lt;/volume&gt;&lt;number&gt;2&lt;/number&gt;&lt;dates&gt;&lt;year&gt;2021&lt;/year&gt;&lt;/dates&gt;&lt;publisher&gt;Oxford University Press US&lt;/publisher&gt;&lt;isbn&gt;2328-8957&lt;/isbn&gt;&lt;urls&gt;&lt;/urls&gt;&lt;/record&gt;&lt;/Cite&gt;&lt;/EndNote&gt;</w:instrText>
      </w:r>
      <w:r w:rsidRPr="001C0C4B">
        <w:rPr>
          <w:rFonts w:ascii="Calibri" w:hAnsi="Calibri"/>
          <w:color w:val="2F5496" w:themeColor="accent1" w:themeShade="BF"/>
          <w:sz w:val="26"/>
          <w:lang w:val="en-GB"/>
        </w:rPr>
        <w:fldChar w:fldCharType="separate"/>
      </w:r>
      <w:r w:rsidRPr="001C0C4B">
        <w:rPr>
          <w:rFonts w:ascii="Calibri" w:hAnsi="Calibri"/>
        </w:rPr>
        <w:t>(5)</w:t>
      </w:r>
      <w:r w:rsidRPr="001C0C4B">
        <w:rPr>
          <w:rFonts w:ascii="Calibri" w:hAnsi="Calibri"/>
          <w:color w:val="2F5496" w:themeColor="accent1" w:themeShade="BF"/>
          <w:sz w:val="26"/>
          <w:lang w:val="en-GB"/>
        </w:rPr>
        <w:fldChar w:fldCharType="end"/>
      </w:r>
      <w:r w:rsidRPr="001C0C4B">
        <w:rPr>
          <w:rFonts w:ascii="Calibri" w:hAnsi="Calibri"/>
        </w:rPr>
        <w:t>.</w:t>
      </w:r>
    </w:p>
    <w:p w14:paraId="21BDADF3" w14:textId="77777777" w:rsidR="00424FDD" w:rsidRPr="001C0C4B" w:rsidRDefault="00424FDD" w:rsidP="00696D65">
      <w:pPr>
        <w:jc w:val="both"/>
        <w:rPr>
          <w:rFonts w:ascii="Calibri" w:hAnsi="Calibri"/>
          <w:u w:val="single"/>
        </w:rPr>
      </w:pPr>
      <w:r w:rsidRPr="001C0C4B">
        <w:rPr>
          <w:rFonts w:ascii="Calibri" w:hAnsi="Calibri"/>
          <w:u w:val="single"/>
        </w:rPr>
        <w:t>Dose</w:t>
      </w:r>
    </w:p>
    <w:p w14:paraId="1C2DE5D6" w14:textId="64053D65" w:rsidR="00424FDD" w:rsidRPr="001C0C4B" w:rsidRDefault="00424FDD" w:rsidP="00696D65">
      <w:r w:rsidRPr="001C0C4B">
        <w:rPr>
          <w:rFonts w:ascii="Calibri" w:hAnsi="Calibri"/>
        </w:rPr>
        <w:t xml:space="preserve">In this study, patients will be given 100mg TDS starting on D0 and for a further 6 days, as tolerated. </w:t>
      </w:r>
    </w:p>
    <w:p w14:paraId="64CC040B" w14:textId="4AB4FBD5" w:rsidR="00424FDD" w:rsidRPr="001C0C4B" w:rsidRDefault="00424FDD" w:rsidP="00696D65">
      <w:pPr>
        <w:jc w:val="both"/>
        <w:rPr>
          <w:rFonts w:ascii="Calibri" w:hAnsi="Calibri"/>
        </w:rPr>
      </w:pPr>
      <w:r w:rsidRPr="001C0C4B">
        <w:rPr>
          <w:rFonts w:ascii="Calibri" w:hAnsi="Calibri"/>
        </w:rPr>
        <w:t>Traditionally treatment is initiated at the lowest possible dose (50 mg) given once daily at bedtime, and then increased to 100 mg daily at bedtime after a few days, as tolerated.</w:t>
      </w:r>
    </w:p>
    <w:p w14:paraId="01C40E4A" w14:textId="77777777" w:rsidR="00424FDD" w:rsidRPr="001C0C4B" w:rsidRDefault="00424FDD" w:rsidP="00696D65">
      <w:pPr>
        <w:jc w:val="both"/>
        <w:rPr>
          <w:rFonts w:ascii="Calibri" w:hAnsi="Calibri"/>
        </w:rPr>
      </w:pPr>
      <w:r w:rsidRPr="001C0C4B">
        <w:rPr>
          <w:rFonts w:ascii="Calibri" w:hAnsi="Calibri"/>
        </w:rPr>
        <w:t>Effective daily dose is usually between 100 mg and 200 mg, up to a maximum of 300 mg.</w:t>
      </w:r>
    </w:p>
    <w:p w14:paraId="55D94FBF" w14:textId="386D77B1" w:rsidR="00424FDD" w:rsidRPr="001C0C4B" w:rsidRDefault="00424FDD" w:rsidP="00696D65">
      <w:pPr>
        <w:jc w:val="both"/>
        <w:rPr>
          <w:rFonts w:ascii="Calibri" w:hAnsi="Calibri"/>
        </w:rPr>
      </w:pPr>
      <w:r w:rsidRPr="001C0C4B">
        <w:rPr>
          <w:rFonts w:ascii="Calibri" w:hAnsi="Calibri"/>
        </w:rPr>
        <w:t>In the clinical trials listed above dosing was 100mg TDS, 100mg BD and 50mg BD (with loading dose) respectively – a large range.</w:t>
      </w:r>
    </w:p>
    <w:p w14:paraId="031CDD5D" w14:textId="77777777" w:rsidR="00424FDD" w:rsidRPr="001C0C4B" w:rsidRDefault="00424FDD" w:rsidP="00696D65">
      <w:pPr>
        <w:jc w:val="both"/>
        <w:rPr>
          <w:rFonts w:ascii="Calibri" w:hAnsi="Calibri"/>
          <w:u w:val="single"/>
        </w:rPr>
      </w:pPr>
      <w:r w:rsidRPr="001C0C4B">
        <w:rPr>
          <w:rFonts w:ascii="Calibri" w:hAnsi="Calibri"/>
          <w:u w:val="single"/>
        </w:rPr>
        <w:t>Pharmacokinetic characteristics</w:t>
      </w:r>
    </w:p>
    <w:p w14:paraId="0564EBF7" w14:textId="77777777" w:rsidR="00424FDD" w:rsidRPr="001C0C4B" w:rsidRDefault="00424FDD" w:rsidP="00696D65">
      <w:pPr>
        <w:jc w:val="both"/>
        <w:rPr>
          <w:rFonts w:ascii="Calibri" w:hAnsi="Calibri"/>
        </w:rPr>
      </w:pPr>
      <w:r w:rsidRPr="001C0C4B">
        <w:rPr>
          <w:rFonts w:ascii="Calibri" w:hAnsi="Calibri"/>
        </w:rPr>
        <w:t>Fluvoxamine is well absorbed after oral administration. Following a single 100 mg oral dose, peak plasma levels of 31-87 ng/mL were attained 1.5 to 8 hours post-dose.  Peak plasma levels are directly proportionate to dose of single oral doses.</w:t>
      </w:r>
    </w:p>
    <w:p w14:paraId="7062F3E8" w14:textId="24343FC6" w:rsidR="00424FDD" w:rsidRPr="001C0C4B" w:rsidRDefault="00424FDD" w:rsidP="00696D65">
      <w:pPr>
        <w:jc w:val="both"/>
        <w:rPr>
          <w:rFonts w:ascii="Calibri" w:hAnsi="Calibri"/>
        </w:rPr>
      </w:pPr>
      <w:r w:rsidRPr="001C0C4B">
        <w:rPr>
          <w:rFonts w:ascii="Calibri" w:hAnsi="Calibri"/>
        </w:rPr>
        <w:t xml:space="preserve">Following single doses, the mean plasma half-life is 15 hours, and slightly longer (17-22 hours), during repeated dosing. Steady-state plasma levels are usually achieved within 10-14 days. </w:t>
      </w:r>
    </w:p>
    <w:p w14:paraId="2ACCF821" w14:textId="607827FD" w:rsidR="00424FDD" w:rsidRPr="001C0C4B" w:rsidRDefault="00424FDD" w:rsidP="00424FDD">
      <w:pPr>
        <w:jc w:val="both"/>
        <w:rPr>
          <w:rFonts w:ascii="Calibri" w:hAnsi="Calibri"/>
        </w:rPr>
      </w:pPr>
      <w:r w:rsidRPr="001C0C4B">
        <w:rPr>
          <w:rFonts w:ascii="Calibri" w:hAnsi="Calibri"/>
        </w:rPr>
        <w:t xml:space="preserve">Fluvoxamine undergoes extensive hepatic transformation, to at least nine metabolites, which are excreted by the kidney. </w:t>
      </w:r>
    </w:p>
    <w:p w14:paraId="1AD24BC0" w14:textId="77777777" w:rsidR="00424FDD" w:rsidRPr="001C0C4B" w:rsidRDefault="00424FDD" w:rsidP="00424FDD">
      <w:r w:rsidRPr="001C0C4B">
        <w:lastRenderedPageBreak/>
        <w:t>Pharmacokinetic sampling schedule: (only if there is evidence of accelerated viral clearance)</w:t>
      </w:r>
    </w:p>
    <w:p w14:paraId="10B0B468" w14:textId="77777777" w:rsidR="00424FDD" w:rsidRPr="001C0C4B" w:rsidRDefault="00424FDD" w:rsidP="00424FDD">
      <w:pPr>
        <w:spacing w:after="120" w:line="276" w:lineRule="auto"/>
        <w:jc w:val="both"/>
        <w:rPr>
          <w:rFonts w:ascii="Calibri" w:hAnsi="Calibri"/>
        </w:rPr>
      </w:pPr>
      <w:r w:rsidRPr="001C0C4B">
        <w:rPr>
          <w:rFonts w:ascii="Calibri" w:hAnsi="Calibri"/>
        </w:rPr>
        <w:t xml:space="preserve">The timings are: </w:t>
      </w:r>
    </w:p>
    <w:p w14:paraId="6605C156" w14:textId="77777777" w:rsidR="00424FDD" w:rsidRPr="001C0C4B" w:rsidRDefault="00424FDD" w:rsidP="00424FDD">
      <w:pPr>
        <w:pStyle w:val="bullet1"/>
        <w:numPr>
          <w:ilvl w:val="0"/>
          <w:numId w:val="11"/>
        </w:numPr>
        <w:spacing w:line="276" w:lineRule="auto"/>
        <w:ind w:left="357" w:hanging="357"/>
        <w:jc w:val="both"/>
        <w:rPr>
          <w:rFonts w:ascii="Calibri" w:hAnsi="Calibri"/>
        </w:rPr>
      </w:pPr>
      <w:r w:rsidRPr="001C0C4B">
        <w:rPr>
          <w:rFonts w:ascii="Calibri" w:hAnsi="Calibri"/>
        </w:rPr>
        <w:t>Pre-dose D0H0, then</w:t>
      </w:r>
    </w:p>
    <w:p w14:paraId="05D6EBFE" w14:textId="77777777" w:rsidR="00424FDD" w:rsidRPr="001C0C4B" w:rsidRDefault="00424FDD" w:rsidP="00424FDD">
      <w:pPr>
        <w:pStyle w:val="bullet1"/>
        <w:numPr>
          <w:ilvl w:val="0"/>
          <w:numId w:val="11"/>
        </w:numPr>
        <w:spacing w:line="276" w:lineRule="auto"/>
        <w:ind w:left="357" w:hanging="357"/>
        <w:jc w:val="both"/>
        <w:rPr>
          <w:rFonts w:ascii="Calibri" w:hAnsi="Calibri"/>
        </w:rPr>
      </w:pPr>
      <w:r w:rsidRPr="001C0C4B">
        <w:rPr>
          <w:rFonts w:ascii="Calibri" w:hAnsi="Calibri"/>
        </w:rPr>
        <w:t>1, 2, 3, 4, 6, 9, 12 and 24h post dose</w:t>
      </w:r>
    </w:p>
    <w:p w14:paraId="7CA2EFF2" w14:textId="062C6826" w:rsidR="00424FDD" w:rsidRPr="001C0C4B" w:rsidRDefault="00424FDD" w:rsidP="00696D65">
      <w:pPr>
        <w:spacing w:after="120" w:line="276" w:lineRule="auto"/>
        <w:jc w:val="both"/>
        <w:rPr>
          <w:rFonts w:ascii="Calibri" w:hAnsi="Calibri"/>
        </w:rPr>
      </w:pPr>
      <w:r w:rsidRPr="001C0C4B">
        <w:rPr>
          <w:rFonts w:ascii="Calibri" w:hAnsi="Calibri"/>
        </w:rPr>
        <w:t>Note that blood will be taken on D3 and D7 for routine haematology and biochemistry. The EDTA sample will be used to measure the drug concentrations.</w:t>
      </w:r>
    </w:p>
    <w:p w14:paraId="1457D79E" w14:textId="77777777" w:rsidR="00424FDD" w:rsidRPr="001C0C4B" w:rsidRDefault="00424FDD" w:rsidP="00696D65">
      <w:pPr>
        <w:jc w:val="both"/>
        <w:rPr>
          <w:rFonts w:ascii="Calibri" w:hAnsi="Calibri"/>
          <w:u w:val="single"/>
        </w:rPr>
      </w:pPr>
      <w:r w:rsidRPr="001C0C4B">
        <w:rPr>
          <w:rFonts w:ascii="Calibri" w:hAnsi="Calibri"/>
          <w:u w:val="single"/>
        </w:rPr>
        <w:t>Adverse effects</w:t>
      </w:r>
    </w:p>
    <w:p w14:paraId="1A608627" w14:textId="1254E462" w:rsidR="00424FDD" w:rsidRPr="001C0C4B" w:rsidRDefault="00424FDD" w:rsidP="00696D65">
      <w:pPr>
        <w:jc w:val="both"/>
        <w:rPr>
          <w:rFonts w:ascii="Calibri" w:hAnsi="Calibri"/>
        </w:rPr>
      </w:pPr>
      <w:r w:rsidRPr="001C0C4B">
        <w:rPr>
          <w:rFonts w:ascii="Calibri" w:hAnsi="Calibri"/>
        </w:rPr>
        <w:t xml:space="preserve">Common adverse effects of fluvoxamine are gastrointestinal complaints (nausea, constipation, anorexia, diarrhoea and dyspepsia) and central nervous system complaints (somnolence, dry mouth, nervousness, insomnia and agitation). Care must be taken in those with existing mental health problems. Serotonin syndrome can be prevented by avoiding overuse.  </w:t>
      </w:r>
    </w:p>
    <w:p w14:paraId="04073DB2" w14:textId="77777777" w:rsidR="00424FDD" w:rsidRPr="001C0C4B" w:rsidRDefault="00424FDD" w:rsidP="00696D65">
      <w:pPr>
        <w:jc w:val="both"/>
        <w:rPr>
          <w:rFonts w:ascii="Calibri" w:hAnsi="Calibri"/>
          <w:u w:val="single"/>
        </w:rPr>
      </w:pPr>
      <w:r w:rsidRPr="001C0C4B">
        <w:rPr>
          <w:rFonts w:ascii="Calibri" w:hAnsi="Calibri"/>
          <w:u w:val="single"/>
        </w:rPr>
        <w:t>Contraindications</w:t>
      </w:r>
    </w:p>
    <w:p w14:paraId="24D679A2" w14:textId="77777777" w:rsidR="00424FDD" w:rsidRPr="001C0C4B" w:rsidRDefault="00424FDD" w:rsidP="00696D65">
      <w:pPr>
        <w:jc w:val="both"/>
        <w:rPr>
          <w:rFonts w:ascii="Calibri" w:hAnsi="Calibri"/>
        </w:rPr>
      </w:pPr>
      <w:r w:rsidRPr="001C0C4B">
        <w:rPr>
          <w:rFonts w:ascii="Calibri" w:hAnsi="Calibri"/>
        </w:rPr>
        <w:t>Known hypersensitivity</w:t>
      </w:r>
    </w:p>
    <w:p w14:paraId="00722EC7" w14:textId="10721CCD" w:rsidR="00424FDD" w:rsidRPr="001C0C4B" w:rsidRDefault="00424FDD" w:rsidP="00424FDD">
      <w:pPr>
        <w:jc w:val="both"/>
        <w:rPr>
          <w:rFonts w:ascii="Calibri" w:hAnsi="Calibri"/>
        </w:rPr>
      </w:pPr>
      <w:r w:rsidRPr="001C0C4B">
        <w:rPr>
          <w:rFonts w:ascii="Calibri" w:hAnsi="Calibri"/>
        </w:rPr>
        <w:t>Use of MAOIs and thioridazine – fluvoxamine must not be given within 14 days of discontinuation, and a 5-week gap must be given before starting an MAOI or thioridazine</w:t>
      </w:r>
    </w:p>
    <w:p w14:paraId="642237F9" w14:textId="56631DF4" w:rsidR="00424FDD" w:rsidRPr="001C0C4B" w:rsidRDefault="00424FDD" w:rsidP="00696D65">
      <w:pPr>
        <w:jc w:val="both"/>
        <w:rPr>
          <w:rFonts w:ascii="Calibri" w:hAnsi="Calibri"/>
        </w:rPr>
      </w:pPr>
      <w:r w:rsidRPr="001C0C4B">
        <w:rPr>
          <w:rFonts w:ascii="Calibri" w:hAnsi="Calibri"/>
        </w:rPr>
        <w:t>Other antidepressants (e.g. Selective Serotonin Reuptake Inhibitors (SSRIs), which increase the risk of serotonin syndrome.</w:t>
      </w:r>
    </w:p>
    <w:p w14:paraId="37792F55" w14:textId="77777777" w:rsidR="00424FDD" w:rsidRPr="001C0C4B" w:rsidRDefault="00424FDD" w:rsidP="00696D65">
      <w:pPr>
        <w:jc w:val="both"/>
        <w:rPr>
          <w:rFonts w:ascii="Calibri" w:hAnsi="Calibri"/>
          <w:u w:val="single"/>
        </w:rPr>
      </w:pPr>
      <w:r w:rsidRPr="001C0C4B">
        <w:rPr>
          <w:rFonts w:ascii="Calibri" w:hAnsi="Calibri"/>
          <w:u w:val="single"/>
        </w:rPr>
        <w:t>Cautions</w:t>
      </w:r>
    </w:p>
    <w:p w14:paraId="7FD81900" w14:textId="50A89E75" w:rsidR="00424FDD" w:rsidRPr="001C0C4B" w:rsidRDefault="00424FDD" w:rsidP="00424FDD">
      <w:pPr>
        <w:jc w:val="both"/>
        <w:rPr>
          <w:rFonts w:ascii="Calibri" w:hAnsi="Calibri"/>
        </w:rPr>
      </w:pPr>
      <w:r w:rsidRPr="001C0C4B">
        <w:rPr>
          <w:rFonts w:ascii="Calibri" w:hAnsi="Calibri"/>
        </w:rPr>
        <w:t>Patients with hepatic or renal insufficiency should begin treatment with a low dose and becarefully monitored.</w:t>
      </w:r>
    </w:p>
    <w:p w14:paraId="6FD3C126" w14:textId="28818903" w:rsidR="00FD4E5E" w:rsidRPr="001C0C4B" w:rsidRDefault="00FD4E5E">
      <w:pPr>
        <w:spacing w:after="120" w:line="276" w:lineRule="auto"/>
        <w:jc w:val="both"/>
        <w:rPr>
          <w:rFonts w:ascii="Calibri" w:hAnsi="Calibri"/>
        </w:rPr>
      </w:pPr>
      <w:r w:rsidRPr="001C0C4B">
        <w:rPr>
          <w:rFonts w:ascii="Calibri" w:hAnsi="Calibri"/>
        </w:rPr>
        <w:t>Caution should be taken with those with a pre-existing psychiatric condition</w:t>
      </w:r>
    </w:p>
    <w:p w14:paraId="0C720917" w14:textId="741688BA" w:rsidR="00C1598F" w:rsidRPr="001C0C4B" w:rsidRDefault="00C1598F" w:rsidP="00696D65">
      <w:pPr>
        <w:spacing w:after="120" w:line="276" w:lineRule="auto"/>
        <w:jc w:val="both"/>
        <w:rPr>
          <w:rFonts w:ascii="Calibri" w:hAnsi="Calibri"/>
          <w:u w:val="single"/>
        </w:rPr>
      </w:pPr>
      <w:r w:rsidRPr="001C0C4B">
        <w:rPr>
          <w:rFonts w:ascii="Calibri" w:hAnsi="Calibri"/>
          <w:u w:val="single"/>
        </w:rPr>
        <w:t>References</w:t>
      </w:r>
    </w:p>
    <w:p w14:paraId="2043FF8D" w14:textId="77777777" w:rsidR="00424FDD" w:rsidRPr="001C0C4B" w:rsidRDefault="00424FDD" w:rsidP="0051159A">
      <w:pPr>
        <w:pStyle w:val="EndNoteBibliography"/>
        <w:spacing w:after="0"/>
        <w:ind w:left="720" w:hanging="360"/>
        <w:jc w:val="both"/>
        <w:rPr>
          <w:sz w:val="20"/>
        </w:rPr>
      </w:pPr>
      <w:r w:rsidRPr="001C0C4B">
        <w:rPr>
          <w:rFonts w:asciiTheme="majorHAnsi" w:hAnsiTheme="majorHAnsi"/>
          <w:sz w:val="20"/>
        </w:rPr>
        <w:fldChar w:fldCharType="begin"/>
      </w:r>
      <w:r w:rsidRPr="001C0C4B">
        <w:rPr>
          <w:sz w:val="20"/>
        </w:rPr>
        <w:instrText xml:space="preserve"> ADDIN EN.REFLIST </w:instrText>
      </w:r>
      <w:r w:rsidRPr="001C0C4B">
        <w:rPr>
          <w:rFonts w:asciiTheme="majorHAnsi" w:hAnsiTheme="majorHAnsi"/>
          <w:sz w:val="20"/>
        </w:rPr>
        <w:fldChar w:fldCharType="separate"/>
      </w:r>
      <w:r w:rsidRPr="001C0C4B">
        <w:rPr>
          <w:sz w:val="20"/>
        </w:rPr>
        <w:t>1.</w:t>
      </w:r>
      <w:r w:rsidRPr="001C0C4B">
        <w:rPr>
          <w:sz w:val="20"/>
        </w:rPr>
        <w:tab/>
        <w:t>Kornhuber J, Hoertel N, Gulbins E. The acid sphingomyelinase/ceramide system in COVID-19. Molecular Psychiatry. 2021:1-8.</w:t>
      </w:r>
    </w:p>
    <w:p w14:paraId="6BAF8316" w14:textId="77777777" w:rsidR="00424FDD" w:rsidRPr="001C0C4B" w:rsidRDefault="00424FDD" w:rsidP="0051159A">
      <w:pPr>
        <w:pStyle w:val="EndNoteBibliography"/>
        <w:spacing w:after="0"/>
        <w:ind w:left="720" w:hanging="360"/>
        <w:jc w:val="both"/>
        <w:rPr>
          <w:sz w:val="20"/>
        </w:rPr>
      </w:pPr>
      <w:r w:rsidRPr="001C0C4B">
        <w:rPr>
          <w:sz w:val="20"/>
        </w:rPr>
        <w:t>2.</w:t>
      </w:r>
      <w:r w:rsidRPr="001C0C4B">
        <w:rPr>
          <w:sz w:val="20"/>
        </w:rPr>
        <w:tab/>
        <w:t>Carpinteiro A, Edwards MJ, Hoffmann M, Kochs G, Gripp B, Weigang S, et al. Pharmacological inhibition of acid sphingomyelinase prevents uptake of SARS-CoV-2 by epithelial cells. Cell Reports Medicine. 2020;1(8):100142.</w:t>
      </w:r>
    </w:p>
    <w:p w14:paraId="4744CC0B" w14:textId="77777777" w:rsidR="00424FDD" w:rsidRPr="001C0C4B" w:rsidRDefault="00424FDD" w:rsidP="0051159A">
      <w:pPr>
        <w:pStyle w:val="EndNoteBibliography"/>
        <w:spacing w:after="0"/>
        <w:ind w:left="720" w:hanging="360"/>
        <w:jc w:val="both"/>
        <w:rPr>
          <w:sz w:val="20"/>
        </w:rPr>
      </w:pPr>
      <w:r w:rsidRPr="001C0C4B">
        <w:rPr>
          <w:sz w:val="20"/>
        </w:rPr>
        <w:t>3.</w:t>
      </w:r>
      <w:r w:rsidRPr="001C0C4B">
        <w:rPr>
          <w:sz w:val="20"/>
        </w:rPr>
        <w:tab/>
        <w:t>Lenze EJ, Mattar C, Zorumski CF, Stevens A, Schweiger J, Nicol GE, et al. Fluvoxamine vs placebo and clinical deterioration in outpatients with symptomatic COVID-19: a randomized clinical trial. Jama. 2020;324(22):2292-300.</w:t>
      </w:r>
    </w:p>
    <w:p w14:paraId="35548EF3" w14:textId="77777777" w:rsidR="00424FDD" w:rsidRPr="001C0C4B" w:rsidRDefault="00424FDD" w:rsidP="0051159A">
      <w:pPr>
        <w:pStyle w:val="EndNoteBibliography"/>
        <w:spacing w:after="0"/>
        <w:ind w:left="720" w:hanging="360"/>
        <w:jc w:val="both"/>
        <w:rPr>
          <w:sz w:val="20"/>
        </w:rPr>
      </w:pPr>
      <w:r w:rsidRPr="001C0C4B">
        <w:rPr>
          <w:sz w:val="20"/>
        </w:rPr>
        <w:t>4.</w:t>
      </w:r>
      <w:r w:rsidRPr="001C0C4B">
        <w:rPr>
          <w:sz w:val="20"/>
        </w:rPr>
        <w:tab/>
        <w:t>Reis G, dos Santos Moreira-Silva EA, Silva DCM, Thabane L, Milagres AC, Ferreira TS, et al. Effect of early treatment with fluvoxamine on risk of emergency care and hospitalisation among patients with COVID-19: the TOGETHER randomised, platform clinical trial. The Lancet Global Health. 2021.</w:t>
      </w:r>
    </w:p>
    <w:p w14:paraId="07FCC8A9" w14:textId="77777777" w:rsidR="00424FDD" w:rsidRPr="001C0C4B" w:rsidRDefault="00424FDD" w:rsidP="0051159A">
      <w:pPr>
        <w:pStyle w:val="EndNoteBibliography"/>
        <w:spacing w:after="0"/>
        <w:ind w:left="720" w:hanging="360"/>
        <w:jc w:val="both"/>
        <w:rPr>
          <w:sz w:val="20"/>
        </w:rPr>
      </w:pPr>
      <w:r w:rsidRPr="001C0C4B">
        <w:rPr>
          <w:sz w:val="20"/>
        </w:rPr>
        <w:t>5.</w:t>
      </w:r>
      <w:r w:rsidRPr="001C0C4B">
        <w:rPr>
          <w:sz w:val="20"/>
        </w:rPr>
        <w:tab/>
        <w:t>Seftel D, Boulware DR, editors. Prospective cohort of fluvoxamine for early treatment of coronavirus disease 19. Open Forum Infectious Diseases; 2021: Oxford University Press US.</w:t>
      </w:r>
    </w:p>
    <w:p w14:paraId="4DB3F1E3" w14:textId="3C978655" w:rsidR="00FD4E5E" w:rsidRPr="001C0C4B" w:rsidRDefault="00424FDD" w:rsidP="0051159A">
      <w:pPr>
        <w:spacing w:after="0" w:line="240" w:lineRule="auto"/>
        <w:ind w:left="720" w:hanging="360"/>
        <w:jc w:val="both"/>
        <w:rPr>
          <w:rFonts w:ascii="Calibri" w:hAnsi="Calibri" w:cs="Calibri"/>
          <w:sz w:val="20"/>
          <w:szCs w:val="20"/>
        </w:rPr>
      </w:pPr>
      <w:r w:rsidRPr="001C0C4B">
        <w:rPr>
          <w:rFonts w:ascii="Calibri" w:hAnsi="Calibri"/>
          <w:sz w:val="20"/>
        </w:rPr>
        <w:fldChar w:fldCharType="end"/>
      </w:r>
    </w:p>
    <w:p w14:paraId="4763E7B9" w14:textId="0E7108EC" w:rsidR="003F5167" w:rsidRPr="001C0C4B" w:rsidRDefault="00FD4E5E" w:rsidP="00FD4E5E">
      <w:pPr>
        <w:rPr>
          <w:rFonts w:ascii="Calibri" w:hAnsi="Calibri" w:cs="Calibri"/>
          <w:sz w:val="20"/>
          <w:szCs w:val="20"/>
        </w:rPr>
      </w:pPr>
      <w:r w:rsidRPr="001C0C4B">
        <w:rPr>
          <w:rFonts w:ascii="Calibri" w:hAnsi="Calibri" w:cs="Calibri"/>
          <w:sz w:val="20"/>
          <w:szCs w:val="20"/>
        </w:rPr>
        <w:br w:type="page"/>
      </w:r>
    </w:p>
    <w:p w14:paraId="5F6D0DDD" w14:textId="1ED597D6" w:rsidR="00A92487" w:rsidRPr="001C0C4B" w:rsidRDefault="000028F0" w:rsidP="00C70C89">
      <w:pPr>
        <w:pStyle w:val="Heading2"/>
        <w:numPr>
          <w:ilvl w:val="1"/>
          <w:numId w:val="53"/>
        </w:numPr>
        <w:tabs>
          <w:tab w:val="left" w:pos="1170"/>
        </w:tabs>
        <w:ind w:left="792" w:hanging="432"/>
        <w:rPr>
          <w:rFonts w:asciiTheme="minorHAnsi" w:hAnsiTheme="minorHAnsi"/>
          <w:color w:val="000000" w:themeColor="text1"/>
          <w:u w:val="single"/>
        </w:rPr>
      </w:pPr>
      <w:bookmarkStart w:id="553" w:name="_Toc97739499"/>
      <w:bookmarkStart w:id="554" w:name="_Toc110524036"/>
      <w:bookmarkStart w:id="555" w:name="_Toc112917684"/>
      <w:r w:rsidRPr="001C0C4B">
        <w:rPr>
          <w:rFonts w:asciiTheme="minorHAnsi" w:hAnsiTheme="minorHAnsi"/>
          <w:color w:val="000000" w:themeColor="text1"/>
          <w:u w:val="single"/>
        </w:rPr>
        <w:lastRenderedPageBreak/>
        <w:t>AZD7442 (Evusheld)</w:t>
      </w:r>
      <w:bookmarkEnd w:id="553"/>
      <w:bookmarkEnd w:id="554"/>
      <w:bookmarkEnd w:id="555"/>
    </w:p>
    <w:p w14:paraId="77B1E411" w14:textId="77777777" w:rsidR="000028F0" w:rsidRPr="001C0C4B" w:rsidRDefault="000028F0" w:rsidP="000028F0">
      <w:pPr>
        <w:jc w:val="both"/>
        <w:rPr>
          <w:rFonts w:cstheme="minorHAnsi"/>
          <w:color w:val="000000" w:themeColor="text1"/>
          <w:u w:val="single"/>
        </w:rPr>
      </w:pPr>
      <w:r w:rsidRPr="001C0C4B">
        <w:rPr>
          <w:rFonts w:cstheme="minorHAnsi"/>
          <w:color w:val="000000" w:themeColor="text1"/>
          <w:u w:val="single"/>
        </w:rPr>
        <w:t>Rationale</w:t>
      </w:r>
    </w:p>
    <w:p w14:paraId="7E874507" w14:textId="77777777" w:rsidR="000028F0" w:rsidRPr="001C0C4B" w:rsidRDefault="000028F0" w:rsidP="000028F0">
      <w:pPr>
        <w:jc w:val="both"/>
        <w:rPr>
          <w:rFonts w:cstheme="minorHAnsi"/>
          <w:color w:val="000000" w:themeColor="text1"/>
        </w:rPr>
      </w:pPr>
      <w:r w:rsidRPr="001C0C4B">
        <w:rPr>
          <w:rFonts w:cstheme="minorHAnsi"/>
          <w:color w:val="000000" w:themeColor="text1"/>
        </w:rPr>
        <w:t xml:space="preserve">AZD7442 is a combination of two long acting antibodies – tixagevimab and cilgavimab. They were both derived from B cells donated by patients who recovered from SARS-CoV-2. Individually they prevent the spike protein from being attached to the ACE2 receptor, together they extend the half-life and reduce effector functions. In non-human primate models, prophylactic AZD7442 prevented infection from SARS-CoV-2, and therapeutic administration caused accelerated virus clearance from lungs. A phase 1 study in healthy participants found that a 300 MG IM injection (IM injections of 150MG of tixagevimab and 150MG of cilgavimab), provided SARS-CoV-2 neutralising titres 10-fold higher than that of convalescent serum for at least 3 months. They remained 3 fold higher after 9 months </w:t>
      </w:r>
      <w:r w:rsidRPr="001C0C4B">
        <w:rPr>
          <w:rFonts w:cstheme="minorHAnsi"/>
          <w:color w:val="000000" w:themeColor="text1"/>
        </w:rPr>
        <w:fldChar w:fldCharType="begin"/>
      </w:r>
      <w:r w:rsidRPr="001C0C4B">
        <w:rPr>
          <w:rFonts w:cstheme="minorHAnsi"/>
          <w:color w:val="000000" w:themeColor="text1"/>
        </w:rPr>
        <w:instrText xml:space="preserve"> ADDIN EN.CITE &lt;EndNote&gt;&lt;Cite&gt;&lt;Author&gt;Loo&lt;/Author&gt;&lt;Year&gt;2022&lt;/Year&gt;&lt;RecNum&gt;55&lt;/RecNum&gt;&lt;DisplayText&gt;(1)&lt;/DisplayText&gt;&lt;record&gt;&lt;rec-number&gt;55&lt;/rec-number&gt;&lt;foreign-keys&gt;&lt;key app="EN" db-id="a529fxfdz0d2are0vx0xptzlxt5sapwf552v" timestamp="1646635653"&gt;55&lt;/key&gt;&lt;/foreign-keys&gt;&lt;ref-type name="Journal Article"&gt;17&lt;/ref-type&gt;&lt;contributors&gt;&lt;authors&gt;&lt;author&gt;Loo, Yueh-Ming&lt;/author&gt;&lt;author&gt;McTamney, Patrick M&lt;/author&gt;&lt;author&gt;Arends, Rosalinda H&lt;/author&gt;&lt;author&gt;Abram, Michael E&lt;/author&gt;&lt;author&gt;Aksyuk, Anastasia A&lt;/author&gt;&lt;author&gt;Diallo, Seme&lt;/author&gt;&lt;author&gt;Flores, Daniel J&lt;/author&gt;&lt;author&gt;Kelly, Elizabeth J&lt;/author&gt;&lt;author&gt;Ren, Kuishu&lt;/author&gt;&lt;author&gt;Roque, Richard&lt;/author&gt;&lt;/authors&gt;&lt;/contributors&gt;&lt;titles&gt;&lt;title&gt;The SARS-CoV-2 monoclonal antibody combination, AZD7442, is protective in non-human primates and has an extended half-life in humans&lt;/title&gt;&lt;secondary-title&gt;Science Translational Medicine&lt;/secondary-title&gt;&lt;/titles&gt;&lt;periodical&gt;&lt;full-title&gt;Science Translational Medicine&lt;/full-title&gt;&lt;/periodical&gt;&lt;pages&gt;eabl8124&lt;/pages&gt;&lt;dates&gt;&lt;year&gt;2022&lt;/year&gt;&lt;/dates&gt;&lt;isbn&gt;1946-6234&lt;/isbn&gt;&lt;urls&gt;&lt;/urls&gt;&lt;/record&gt;&lt;/Cite&gt;&lt;/EndNote&gt;</w:instrText>
      </w:r>
      <w:r w:rsidRPr="001C0C4B">
        <w:rPr>
          <w:rFonts w:cstheme="minorHAnsi"/>
          <w:color w:val="000000" w:themeColor="text1"/>
        </w:rPr>
        <w:fldChar w:fldCharType="separate"/>
      </w:r>
      <w:r w:rsidRPr="001C0C4B">
        <w:rPr>
          <w:rFonts w:cstheme="minorHAnsi"/>
          <w:noProof/>
          <w:color w:val="000000" w:themeColor="text1"/>
        </w:rPr>
        <w:t>(1)</w:t>
      </w:r>
      <w:r w:rsidRPr="001C0C4B">
        <w:rPr>
          <w:rFonts w:cstheme="minorHAnsi"/>
          <w:color w:val="000000" w:themeColor="text1"/>
        </w:rPr>
        <w:fldChar w:fldCharType="end"/>
      </w:r>
      <w:r w:rsidRPr="001C0C4B">
        <w:rPr>
          <w:rFonts w:cstheme="minorHAnsi"/>
          <w:color w:val="000000" w:themeColor="text1"/>
        </w:rPr>
        <w:t>.</w:t>
      </w:r>
    </w:p>
    <w:p w14:paraId="26700A44" w14:textId="77777777" w:rsidR="000028F0" w:rsidRPr="001C0C4B" w:rsidRDefault="000028F0" w:rsidP="000028F0">
      <w:pPr>
        <w:jc w:val="both"/>
        <w:rPr>
          <w:rFonts w:cstheme="minorHAnsi"/>
          <w:color w:val="000000" w:themeColor="text1"/>
        </w:rPr>
      </w:pPr>
      <w:r w:rsidRPr="001C0C4B">
        <w:rPr>
          <w:rFonts w:cstheme="minorHAnsi"/>
          <w:color w:val="000000" w:themeColor="text1"/>
        </w:rPr>
        <w:t xml:space="preserve">A phase 3 double blind placebo-controlled study (PROVENT trial) used Evusheld as immunoprophylaxis on unvaccinated adults without prior infection. The intervention group was given a single 300 MG AZD7442 dose for prevention of symptomatic positive SARS-CoV-2 RT-PCR. Primary efficacy analysis showed that the relative risk ratio was 0.77 (0.46 – 0.90) vs placebo (P&lt;0.001) </w:t>
      </w:r>
      <w:r w:rsidRPr="001C0C4B">
        <w:rPr>
          <w:rFonts w:cstheme="minorHAnsi"/>
          <w:color w:val="000000" w:themeColor="text1"/>
        </w:rPr>
        <w:fldChar w:fldCharType="begin"/>
      </w:r>
      <w:r w:rsidRPr="001C0C4B">
        <w:rPr>
          <w:rFonts w:cstheme="minorHAnsi"/>
          <w:color w:val="000000" w:themeColor="text1"/>
        </w:rPr>
        <w:instrText xml:space="preserve"> ADDIN EN.CITE &lt;EndNote&gt;&lt;Cite&gt;&lt;Author&gt;Levin&lt;/Author&gt;&lt;Year&gt;2021&lt;/Year&gt;&lt;RecNum&gt;52&lt;/RecNum&gt;&lt;DisplayText&gt;(2)&lt;/DisplayText&gt;&lt;record&gt;&lt;rec-number&gt;52&lt;/rec-number&gt;&lt;foreign-keys&gt;&lt;key app="EN" db-id="a529fxfdz0d2are0vx0xptzlxt5sapwf552v" timestamp="1646629092"&gt;52&lt;/key&gt;&lt;/foreign-keys&gt;&lt;ref-type name="Conference Proceedings"&gt;10&lt;/ref-type&gt;&lt;contributors&gt;&lt;authors&gt;&lt;author&gt;Levin, Myron J&lt;/author&gt;&lt;author&gt;Ustianowski, Andrew&lt;/author&gt;&lt;author&gt;De Wit, Stéphane&lt;/author&gt;&lt;author&gt;Launay, Odile&lt;/author&gt;&lt;author&gt;Avila, Miles&lt;/author&gt;&lt;author&gt;Seegobin, Seth&lt;/author&gt;&lt;author&gt;Templeton, Alison&lt;/author&gt;&lt;author&gt;Yuan, Yuan&lt;/author&gt;&lt;author&gt;Ambery, Philip&lt;/author&gt;&lt;author&gt;Arends, Rosalinda H&lt;/author&gt;&lt;/authors&gt;&lt;/contributors&gt;&lt;titles&gt;&lt;title&gt;LB5. PROVENT: Phase 3 Study of Efficacy and Safety of AZD7442 (Tixagevimab/Cilgavimab) for Pre-exposure Prophylaxis of COVID-19 in Adults&lt;/title&gt;&lt;secondary-title&gt;Open Forum Infectious Diseases&lt;/secondary-title&gt;&lt;/titles&gt;&lt;pages&gt;S810-S810&lt;/pages&gt;&lt;volume&gt;8&lt;/volume&gt;&lt;number&gt;Supplement_1&lt;/number&gt;&lt;dates&gt;&lt;year&gt;2021&lt;/year&gt;&lt;/dates&gt;&lt;publisher&gt;Oxford University Press US&lt;/publisher&gt;&lt;isbn&gt;2328-8957&lt;/isbn&gt;&lt;urls&gt;&lt;/urls&gt;&lt;/record&gt;&lt;/Cite&gt;&lt;/EndNote&gt;</w:instrText>
      </w:r>
      <w:r w:rsidRPr="001C0C4B">
        <w:rPr>
          <w:rFonts w:cstheme="minorHAnsi"/>
          <w:color w:val="000000" w:themeColor="text1"/>
        </w:rPr>
        <w:fldChar w:fldCharType="separate"/>
      </w:r>
      <w:r w:rsidRPr="001C0C4B">
        <w:rPr>
          <w:rFonts w:cstheme="minorHAnsi"/>
          <w:noProof/>
          <w:color w:val="000000" w:themeColor="text1"/>
        </w:rPr>
        <w:t>(2)</w:t>
      </w:r>
      <w:r w:rsidRPr="001C0C4B">
        <w:rPr>
          <w:rFonts w:cstheme="minorHAnsi"/>
          <w:color w:val="000000" w:themeColor="text1"/>
        </w:rPr>
        <w:fldChar w:fldCharType="end"/>
      </w:r>
      <w:r w:rsidRPr="001C0C4B">
        <w:rPr>
          <w:rFonts w:cstheme="minorHAnsi"/>
          <w:color w:val="000000" w:themeColor="text1"/>
        </w:rPr>
        <w:t>.</w:t>
      </w:r>
    </w:p>
    <w:p w14:paraId="33469BC2" w14:textId="77777777" w:rsidR="000028F0" w:rsidRPr="001C0C4B" w:rsidRDefault="000028F0" w:rsidP="000028F0">
      <w:pPr>
        <w:jc w:val="both"/>
        <w:rPr>
          <w:rFonts w:cstheme="minorHAnsi"/>
          <w:color w:val="000000" w:themeColor="text1"/>
        </w:rPr>
      </w:pPr>
      <w:r w:rsidRPr="001C0C4B">
        <w:rPr>
          <w:rFonts w:cstheme="minorHAnsi"/>
          <w:color w:val="000000" w:themeColor="text1"/>
        </w:rPr>
        <w:t xml:space="preserve">Another Phase 3 randomised double-blind controlled trial (STORM CHASER) gave unvaccinated adults with confirmed exposure to SARS-CoV-2 (within the last 8 days) a single 300 MG AZD7442 dose. AZD7442 reduced the risk of developing symptomatic COVID-19 by 73% (27 – 90%) </w:t>
      </w:r>
      <w:r w:rsidRPr="001C0C4B">
        <w:rPr>
          <w:rFonts w:cstheme="minorHAnsi"/>
          <w:color w:val="000000" w:themeColor="text1"/>
        </w:rPr>
        <w:fldChar w:fldCharType="begin"/>
      </w:r>
      <w:r w:rsidRPr="001C0C4B">
        <w:rPr>
          <w:rFonts w:cstheme="minorHAnsi"/>
          <w:color w:val="000000" w:themeColor="text1"/>
        </w:rPr>
        <w:instrText xml:space="preserve"> ADDIN EN.CITE &lt;EndNote&gt;&lt;Cite&gt;&lt;Author&gt;CHASER&lt;/Author&gt;&lt;RecNum&gt;54&lt;/RecNum&gt;&lt;DisplayText&gt;(3)&lt;/DisplayText&gt;&lt;record&gt;&lt;rec-number&gt;54&lt;/rec-number&gt;&lt;foreign-keys&gt;&lt;key app="EN" db-id="a529fxfdz0d2are0vx0xptzlxt5sapwf552v" timestamp="1646634489"&gt;54&lt;/key&gt;&lt;/foreign-keys&gt;&lt;ref-type name="Journal Article"&gt;17&lt;/ref-type&gt;&lt;contributors&gt;&lt;authors&gt;&lt;author&gt;CHASER, STORM&lt;/author&gt;&lt;/authors&gt;&lt;/contributors&gt;&lt;titles&gt;&lt;title&gt;AstraZeneca: Update on AZD7442 STORM CHASER trial in post-exposure prevention of symptomatic COVID-19&lt;/title&gt;&lt;/titles&gt;&lt;dates&gt;&lt;/dates&gt;&lt;urls&gt;&lt;/urls&gt;&lt;/record&gt;&lt;/Cite&gt;&lt;/EndNote&gt;</w:instrText>
      </w:r>
      <w:r w:rsidRPr="001C0C4B">
        <w:rPr>
          <w:rFonts w:cstheme="minorHAnsi"/>
          <w:color w:val="000000" w:themeColor="text1"/>
        </w:rPr>
        <w:fldChar w:fldCharType="separate"/>
      </w:r>
      <w:r w:rsidRPr="001C0C4B">
        <w:rPr>
          <w:rFonts w:cstheme="minorHAnsi"/>
          <w:noProof/>
          <w:color w:val="000000" w:themeColor="text1"/>
        </w:rPr>
        <w:t>(3)</w:t>
      </w:r>
      <w:r w:rsidRPr="001C0C4B">
        <w:rPr>
          <w:rFonts w:cstheme="minorHAnsi"/>
          <w:color w:val="000000" w:themeColor="text1"/>
        </w:rPr>
        <w:fldChar w:fldCharType="end"/>
      </w:r>
      <w:r w:rsidRPr="001C0C4B">
        <w:rPr>
          <w:rFonts w:cstheme="minorHAnsi"/>
          <w:color w:val="000000" w:themeColor="text1"/>
        </w:rPr>
        <w:t>.</w:t>
      </w:r>
    </w:p>
    <w:p w14:paraId="36D23F23" w14:textId="77777777" w:rsidR="000028F0" w:rsidRPr="001C0C4B" w:rsidRDefault="000028F0" w:rsidP="000028F0">
      <w:pPr>
        <w:jc w:val="both"/>
        <w:rPr>
          <w:rFonts w:cstheme="minorHAnsi"/>
          <w:color w:val="000000" w:themeColor="text1"/>
        </w:rPr>
      </w:pPr>
      <w:r w:rsidRPr="001C0C4B">
        <w:rPr>
          <w:rFonts w:cstheme="minorHAnsi"/>
          <w:color w:val="000000" w:themeColor="text1"/>
        </w:rPr>
        <w:t xml:space="preserve">The TACKLE phase 3, randomised, double blind, placebo-controlled trial used a 600MG IM dose of AZD7442 (IM injections of 300MG of tixagevimab and 300MG of cilgavimab). Eligible patients were those with mild-to-moderate COVID-19 and symptomatic for no longer than seven days. Primary end point was severe COVID-19 or death. In the intervention arm there were 18 recorded events (18/407) and 37 in the placebo arm (37/415) </w:t>
      </w:r>
      <w:r w:rsidRPr="001C0C4B">
        <w:rPr>
          <w:rFonts w:cstheme="minorHAnsi"/>
          <w:color w:val="000000" w:themeColor="text1"/>
        </w:rPr>
        <w:fldChar w:fldCharType="begin"/>
      </w:r>
      <w:r w:rsidRPr="001C0C4B">
        <w:rPr>
          <w:rFonts w:cstheme="minorHAnsi"/>
          <w:color w:val="000000" w:themeColor="text1"/>
        </w:rPr>
        <w:instrText xml:space="preserve"> ADDIN EN.CITE &lt;EndNote&gt;&lt;Cite&gt;&lt;Author&gt;Mode&lt;/Author&gt;&lt;RecNum&gt;53&lt;/RecNum&gt;&lt;DisplayText&gt;(4)&lt;/DisplayText&gt;&lt;record&gt;&lt;rec-number&gt;53&lt;/rec-number&gt;&lt;foreign-keys&gt;&lt;key app="EN" db-id="a529fxfdz0d2are0vx0xptzlxt5sapwf552v" timestamp="1646633828"&gt;53&lt;/key&gt;&lt;/foreign-keys&gt;&lt;ref-type name="Journal Article"&gt;17&lt;/ref-type&gt;&lt;contributors&gt;&lt;authors&gt;&lt;author&gt;Mode, Dark&lt;/author&gt;&lt;author&gt;Stockholm, Large Cap&lt;/author&gt;&lt;/authors&gt;&lt;/contributors&gt;&lt;titles&gt;&lt;title&gt;AstraZeneca: AZD7442 reduced risk of developing severe COVID-19 or death in TACKLE Phase III outpatient treatment trial&lt;/title&gt;&lt;/titles&gt;&lt;dates&gt;&lt;/dates&gt;&lt;urls&gt;&lt;/urls&gt;&lt;/record&gt;&lt;/Cite&gt;&lt;/EndNote&gt;</w:instrText>
      </w:r>
      <w:r w:rsidRPr="001C0C4B">
        <w:rPr>
          <w:rFonts w:cstheme="minorHAnsi"/>
          <w:color w:val="000000" w:themeColor="text1"/>
        </w:rPr>
        <w:fldChar w:fldCharType="separate"/>
      </w:r>
      <w:r w:rsidRPr="001C0C4B">
        <w:rPr>
          <w:rFonts w:cstheme="minorHAnsi"/>
          <w:noProof/>
          <w:color w:val="000000" w:themeColor="text1"/>
        </w:rPr>
        <w:t>(4)</w:t>
      </w:r>
      <w:r w:rsidRPr="001C0C4B">
        <w:rPr>
          <w:rFonts w:cstheme="minorHAnsi"/>
          <w:color w:val="000000" w:themeColor="text1"/>
        </w:rPr>
        <w:fldChar w:fldCharType="end"/>
      </w:r>
      <w:r w:rsidRPr="001C0C4B">
        <w:rPr>
          <w:rFonts w:cstheme="minorHAnsi"/>
          <w:color w:val="000000" w:themeColor="text1"/>
        </w:rPr>
        <w:t>.</w:t>
      </w:r>
    </w:p>
    <w:p w14:paraId="3ACCFD81" w14:textId="77777777" w:rsidR="000028F0" w:rsidRPr="001C0C4B" w:rsidRDefault="000028F0" w:rsidP="000028F0">
      <w:pPr>
        <w:jc w:val="both"/>
        <w:rPr>
          <w:rFonts w:cstheme="minorHAnsi"/>
          <w:color w:val="000000" w:themeColor="text1"/>
          <w:u w:val="single"/>
        </w:rPr>
      </w:pPr>
      <w:r w:rsidRPr="001C0C4B">
        <w:rPr>
          <w:rFonts w:cstheme="minorHAnsi"/>
          <w:color w:val="000000" w:themeColor="text1"/>
          <w:u w:val="single"/>
        </w:rPr>
        <w:t>Composition &amp; dose</w:t>
      </w:r>
    </w:p>
    <w:p w14:paraId="652604E5" w14:textId="77777777" w:rsidR="000028F0" w:rsidRPr="001C0C4B" w:rsidRDefault="000028F0" w:rsidP="000028F0">
      <w:pPr>
        <w:jc w:val="both"/>
        <w:rPr>
          <w:rFonts w:cstheme="minorHAnsi"/>
          <w:color w:val="000000" w:themeColor="text1"/>
        </w:rPr>
      </w:pPr>
      <w:r w:rsidRPr="001C0C4B">
        <w:rPr>
          <w:rFonts w:cstheme="minorHAnsi"/>
          <w:color w:val="000000" w:themeColor="text1"/>
        </w:rPr>
        <w:t xml:space="preserve">Recommended dose by the US FDA is 300MG of tixagevimab and 300 MG of cilgavimab administered as consecutive IM injections at different sites. Patients should be monitored for at least 1 hour after administration. </w:t>
      </w:r>
    </w:p>
    <w:p w14:paraId="7E96A685" w14:textId="77777777" w:rsidR="000028F0" w:rsidRPr="001C0C4B" w:rsidRDefault="000028F0" w:rsidP="000028F0">
      <w:pPr>
        <w:jc w:val="both"/>
        <w:rPr>
          <w:u w:val="single"/>
        </w:rPr>
      </w:pPr>
      <w:r w:rsidRPr="001C0C4B">
        <w:rPr>
          <w:u w:val="single"/>
        </w:rPr>
        <w:t>Pharmacokinetic characteristics</w:t>
      </w:r>
    </w:p>
    <w:p w14:paraId="747F3AA5" w14:textId="77777777" w:rsidR="000028F0" w:rsidRPr="001C0C4B" w:rsidRDefault="000028F0" w:rsidP="000028F0">
      <w:pPr>
        <w:jc w:val="both"/>
        <w:rPr>
          <w:rFonts w:cstheme="minorHAnsi"/>
          <w:color w:val="000000" w:themeColor="text1"/>
        </w:rPr>
      </w:pPr>
      <w:r w:rsidRPr="001C0C4B">
        <w:t xml:space="preserve">Peak plasma time is 14 days for both antibodies, peak plasma concentration is 16.5 mcg/mL for </w:t>
      </w:r>
      <w:r w:rsidRPr="001C0C4B">
        <w:rPr>
          <w:rFonts w:cstheme="minorHAnsi"/>
          <w:color w:val="000000" w:themeColor="text1"/>
        </w:rPr>
        <w:t>tixagevimab and 15.3 mcg/ml for cilgavimab. The half-life is 87.9 days for tixagevimab and 82.9 days for cilgavimab.</w:t>
      </w:r>
    </w:p>
    <w:p w14:paraId="4FF9AF5F" w14:textId="77777777" w:rsidR="000028F0" w:rsidRPr="001C0C4B" w:rsidRDefault="000028F0" w:rsidP="000028F0">
      <w:pPr>
        <w:rPr>
          <w:u w:val="single"/>
          <w:lang w:val="en-GB"/>
        </w:rPr>
      </w:pPr>
      <w:r w:rsidRPr="001C0C4B">
        <w:rPr>
          <w:u w:val="single"/>
          <w:lang w:val="en-GB"/>
        </w:rPr>
        <w:t xml:space="preserve">Pharmacokinetic schedule: only if there is evidence of accelerated viral clearance </w:t>
      </w:r>
    </w:p>
    <w:p w14:paraId="38C9AADA" w14:textId="77777777" w:rsidR="000028F0" w:rsidRPr="001C0C4B" w:rsidRDefault="000028F0" w:rsidP="000028F0">
      <w:r w:rsidRPr="001C0C4B">
        <w:rPr>
          <w:rFonts w:ascii="Calibri" w:hAnsi="Calibri"/>
        </w:rPr>
        <w:t>As a type B intervention (positive control), intensive pharmacokinetic sampling will not be conducted on those receiving Evusheld.</w:t>
      </w:r>
    </w:p>
    <w:p w14:paraId="2BAC30C8" w14:textId="780C3963" w:rsidR="000028F0" w:rsidRPr="001C0C4B" w:rsidRDefault="000028F0" w:rsidP="000028F0">
      <w:pPr>
        <w:jc w:val="both"/>
        <w:rPr>
          <w:rFonts w:cstheme="minorHAnsi"/>
          <w:color w:val="000000" w:themeColor="text1"/>
          <w:u w:val="single"/>
        </w:rPr>
      </w:pPr>
      <w:r w:rsidRPr="00A124E5">
        <w:rPr>
          <w:rFonts w:cstheme="minorHAnsi"/>
          <w:color w:val="000000" w:themeColor="text1"/>
          <w:u w:val="single"/>
        </w:rPr>
        <w:t>Toxicity</w:t>
      </w:r>
    </w:p>
    <w:p w14:paraId="07D83C5B" w14:textId="77777777" w:rsidR="000028F0" w:rsidRPr="001C0C4B" w:rsidRDefault="000028F0" w:rsidP="000028F0">
      <w:pPr>
        <w:jc w:val="both"/>
        <w:rPr>
          <w:rFonts w:cstheme="minorHAnsi"/>
          <w:color w:val="000000" w:themeColor="text1"/>
        </w:rPr>
      </w:pPr>
      <w:r w:rsidRPr="001C0C4B">
        <w:rPr>
          <w:rFonts w:cstheme="minorHAnsi"/>
          <w:color w:val="000000" w:themeColor="text1"/>
        </w:rPr>
        <w:t>Serious hypersensitivity reactions, including anaphylaxis, have been observed with Human immunoglobulin G1 (IgG1) monoclonal antibodies like Evusheld. If signs and symptoms of a clinically significant hypersensitivity reaction or anaphylaxis occur while taking Evusheld, immediately discontinue administration and initiate appropriate medications and/or supportive care.</w:t>
      </w:r>
    </w:p>
    <w:p w14:paraId="0D901E6B" w14:textId="77777777" w:rsidR="000028F0" w:rsidRPr="001C0C4B" w:rsidRDefault="000028F0" w:rsidP="000028F0">
      <w:pPr>
        <w:jc w:val="both"/>
        <w:rPr>
          <w:rFonts w:cstheme="minorHAnsi"/>
          <w:color w:val="000000" w:themeColor="text1"/>
          <w:u w:val="single"/>
        </w:rPr>
      </w:pPr>
      <w:r w:rsidRPr="001C0C4B">
        <w:rPr>
          <w:rFonts w:cstheme="minorHAnsi"/>
          <w:color w:val="000000" w:themeColor="text1"/>
          <w:u w:val="single"/>
        </w:rPr>
        <w:t>Contraindications</w:t>
      </w:r>
    </w:p>
    <w:p w14:paraId="6CEB9A8D" w14:textId="77777777" w:rsidR="000028F0" w:rsidRPr="001C0C4B" w:rsidRDefault="000028F0" w:rsidP="000028F0">
      <w:pPr>
        <w:jc w:val="both"/>
        <w:rPr>
          <w:rFonts w:cstheme="minorHAnsi"/>
          <w:color w:val="000000" w:themeColor="text1"/>
        </w:rPr>
      </w:pPr>
      <w:r w:rsidRPr="001C0C4B">
        <w:rPr>
          <w:rFonts w:cstheme="minorHAnsi"/>
          <w:color w:val="000000" w:themeColor="text1"/>
        </w:rPr>
        <w:t xml:space="preserve">Hypersensitivity </w:t>
      </w:r>
    </w:p>
    <w:p w14:paraId="25950F75" w14:textId="77777777" w:rsidR="000028F0" w:rsidRPr="001C0C4B" w:rsidRDefault="000028F0" w:rsidP="000028F0">
      <w:pPr>
        <w:jc w:val="both"/>
        <w:rPr>
          <w:rFonts w:cstheme="minorHAnsi"/>
          <w:color w:val="000000" w:themeColor="text1"/>
          <w:u w:val="single"/>
        </w:rPr>
      </w:pPr>
      <w:r w:rsidRPr="001C0C4B">
        <w:rPr>
          <w:rFonts w:cstheme="minorHAnsi"/>
          <w:color w:val="000000" w:themeColor="text1"/>
          <w:u w:val="single"/>
        </w:rPr>
        <w:lastRenderedPageBreak/>
        <w:t>Cautions</w:t>
      </w:r>
    </w:p>
    <w:p w14:paraId="627EB546" w14:textId="77777777" w:rsidR="000028F0" w:rsidRPr="001C0C4B" w:rsidRDefault="000028F0" w:rsidP="000028F0">
      <w:pPr>
        <w:tabs>
          <w:tab w:val="left" w:pos="2143"/>
        </w:tabs>
        <w:jc w:val="both"/>
        <w:rPr>
          <w:rFonts w:cstheme="minorHAnsi"/>
          <w:color w:val="000000" w:themeColor="text1"/>
        </w:rPr>
      </w:pPr>
      <w:r w:rsidRPr="001C0C4B">
        <w:rPr>
          <w:rFonts w:cstheme="minorHAnsi"/>
          <w:color w:val="000000" w:themeColor="text1"/>
        </w:rPr>
        <w:t xml:space="preserve">A higher proportion of subjects who received Evusheld versus placebo have reported myocardial infarction and cardiac failure serious adverse events. All of these subjects had cardiac risk factors or a previous history of cardiovascular disease, there was no clear temporal pattern. A causal relationship between Evusheld and these events has not been established. </w:t>
      </w:r>
    </w:p>
    <w:p w14:paraId="31FD19FE" w14:textId="77777777" w:rsidR="000028F0" w:rsidRPr="001C0C4B" w:rsidRDefault="000028F0" w:rsidP="000028F0">
      <w:pPr>
        <w:tabs>
          <w:tab w:val="left" w:pos="2143"/>
        </w:tabs>
        <w:jc w:val="both"/>
        <w:rPr>
          <w:rFonts w:cstheme="minorHAnsi"/>
          <w:color w:val="000000" w:themeColor="text1"/>
        </w:rPr>
      </w:pPr>
      <w:r w:rsidRPr="001C0C4B">
        <w:rPr>
          <w:rFonts w:cstheme="minorHAnsi"/>
          <w:color w:val="000000" w:themeColor="text1"/>
          <w:u w:val="single"/>
        </w:rPr>
        <w:t>Drug Interactions</w:t>
      </w:r>
    </w:p>
    <w:p w14:paraId="55DAFDC3" w14:textId="77777777" w:rsidR="000028F0" w:rsidRPr="001C0C4B" w:rsidRDefault="000028F0" w:rsidP="000028F0">
      <w:pPr>
        <w:jc w:val="both"/>
      </w:pPr>
      <w:r w:rsidRPr="001C0C4B">
        <w:t>No formal drug interaction studies have been performed with Evusheld. Tixagevimab and cilgavimab are not renally excreted or metabolized by cytochrome P450 (CYP) enzymes. Interactions with concomitant medications that are renally excreted or that are substrates, inducers, or inhibitors of CYP enzymes are unlikely.</w:t>
      </w:r>
    </w:p>
    <w:p w14:paraId="4D460F89" w14:textId="77777777" w:rsidR="000028F0" w:rsidRPr="001C0C4B" w:rsidRDefault="000028F0" w:rsidP="000028F0">
      <w:pPr>
        <w:jc w:val="both"/>
        <w:rPr>
          <w:u w:val="single"/>
        </w:rPr>
      </w:pPr>
      <w:r w:rsidRPr="001C0C4B">
        <w:rPr>
          <w:u w:val="single"/>
        </w:rPr>
        <w:t>References</w:t>
      </w:r>
    </w:p>
    <w:p w14:paraId="7808C2D9" w14:textId="77777777" w:rsidR="006565DC" w:rsidRPr="001C0C4B" w:rsidRDefault="000028F0" w:rsidP="006565DC">
      <w:pPr>
        <w:pStyle w:val="EndNoteBibliography"/>
        <w:spacing w:after="0"/>
        <w:ind w:left="720" w:hanging="360"/>
        <w:jc w:val="both"/>
        <w:rPr>
          <w:noProof/>
          <w:sz w:val="20"/>
          <w:szCs w:val="20"/>
        </w:rPr>
      </w:pPr>
      <w:r w:rsidRPr="001C0C4B">
        <w:rPr>
          <w:sz w:val="20"/>
          <w:szCs w:val="20"/>
        </w:rPr>
        <w:fldChar w:fldCharType="begin"/>
      </w:r>
      <w:r w:rsidRPr="001C0C4B">
        <w:rPr>
          <w:sz w:val="20"/>
          <w:szCs w:val="20"/>
        </w:rPr>
        <w:instrText xml:space="preserve"> ADDIN EN.REFLIST </w:instrText>
      </w:r>
      <w:r w:rsidRPr="001C0C4B">
        <w:rPr>
          <w:sz w:val="20"/>
          <w:szCs w:val="20"/>
        </w:rPr>
        <w:fldChar w:fldCharType="separate"/>
      </w:r>
      <w:r w:rsidRPr="001C0C4B">
        <w:rPr>
          <w:noProof/>
          <w:sz w:val="20"/>
          <w:szCs w:val="20"/>
        </w:rPr>
        <w:t>1.</w:t>
      </w:r>
      <w:r w:rsidRPr="001C0C4B">
        <w:rPr>
          <w:noProof/>
          <w:sz w:val="20"/>
          <w:szCs w:val="20"/>
        </w:rPr>
        <w:tab/>
        <w:t>Loo Y-M, McTamney PM, Arends RH, Abram ME, Aksyuk AA, Diallo S, et al. The SARS-CoV-2 monoclonal antibody combination, AZD7442, is protective in non-human primates and has an extended half-life in humans. Science Translational Medicine. 2022:eabl8124.</w:t>
      </w:r>
    </w:p>
    <w:p w14:paraId="53B46383" w14:textId="77777777" w:rsidR="006565DC" w:rsidRPr="001C0C4B" w:rsidRDefault="006565DC" w:rsidP="006565DC">
      <w:pPr>
        <w:pStyle w:val="EndNoteBibliography"/>
        <w:spacing w:after="0"/>
        <w:ind w:left="720" w:hanging="360"/>
        <w:jc w:val="both"/>
        <w:rPr>
          <w:noProof/>
          <w:sz w:val="20"/>
          <w:szCs w:val="20"/>
        </w:rPr>
      </w:pPr>
      <w:r w:rsidRPr="001C0C4B">
        <w:rPr>
          <w:noProof/>
          <w:sz w:val="20"/>
          <w:szCs w:val="20"/>
        </w:rPr>
        <w:t xml:space="preserve">2. </w:t>
      </w:r>
      <w:r w:rsidRPr="001C0C4B">
        <w:rPr>
          <w:noProof/>
          <w:sz w:val="20"/>
          <w:szCs w:val="20"/>
        </w:rPr>
        <w:tab/>
      </w:r>
      <w:r w:rsidR="000028F0" w:rsidRPr="001C0C4B">
        <w:rPr>
          <w:noProof/>
          <w:sz w:val="20"/>
          <w:szCs w:val="20"/>
        </w:rPr>
        <w:t>Levin MJ, Ustianowski A, De Wit S, Launay O, Avila M, Seegobin S, et al., editors. LB5. PROVENT: Phase 3 Study of Efficacy and Safety of AZD7442 (Tixagevimab/Cilgavimab) for Pre-exposure Prophylaxis of COVID-19 in Adults. Open Forum Infectious Diseases; 2021: Oxford University Press US.</w:t>
      </w:r>
    </w:p>
    <w:p w14:paraId="4D8CB14E" w14:textId="77777777" w:rsidR="006565DC" w:rsidRPr="001C0C4B" w:rsidRDefault="006565DC" w:rsidP="006565DC">
      <w:pPr>
        <w:pStyle w:val="EndNoteBibliography"/>
        <w:spacing w:after="0"/>
        <w:ind w:left="720" w:hanging="360"/>
        <w:jc w:val="both"/>
        <w:rPr>
          <w:noProof/>
          <w:sz w:val="20"/>
          <w:szCs w:val="20"/>
        </w:rPr>
      </w:pPr>
      <w:r w:rsidRPr="001C0C4B">
        <w:rPr>
          <w:noProof/>
          <w:sz w:val="20"/>
          <w:szCs w:val="20"/>
        </w:rPr>
        <w:t>3.</w:t>
      </w:r>
      <w:r w:rsidRPr="001C0C4B">
        <w:rPr>
          <w:noProof/>
          <w:sz w:val="20"/>
          <w:szCs w:val="20"/>
        </w:rPr>
        <w:tab/>
      </w:r>
      <w:r w:rsidR="000028F0" w:rsidRPr="001C0C4B">
        <w:rPr>
          <w:noProof/>
          <w:sz w:val="20"/>
          <w:szCs w:val="20"/>
        </w:rPr>
        <w:t>CHASER S. AstraZeneca: Update on AZD7442 STORM CHASER trial in post-exposure prevention of symptomatic COVID-19.</w:t>
      </w:r>
    </w:p>
    <w:p w14:paraId="57F8BA89" w14:textId="52EFBB21" w:rsidR="000028F0" w:rsidRPr="001C0C4B" w:rsidRDefault="006565DC" w:rsidP="006565DC">
      <w:pPr>
        <w:pStyle w:val="EndNoteBibliography"/>
        <w:spacing w:after="0"/>
        <w:ind w:left="720" w:hanging="360"/>
        <w:jc w:val="both"/>
        <w:rPr>
          <w:noProof/>
          <w:sz w:val="20"/>
          <w:szCs w:val="20"/>
        </w:rPr>
      </w:pPr>
      <w:r w:rsidRPr="001C0C4B">
        <w:rPr>
          <w:noProof/>
          <w:sz w:val="20"/>
          <w:szCs w:val="20"/>
        </w:rPr>
        <w:t>4.</w:t>
      </w:r>
      <w:r w:rsidRPr="001C0C4B">
        <w:rPr>
          <w:noProof/>
          <w:sz w:val="20"/>
          <w:szCs w:val="20"/>
        </w:rPr>
        <w:tab/>
      </w:r>
      <w:r w:rsidR="000028F0" w:rsidRPr="001C0C4B">
        <w:rPr>
          <w:noProof/>
          <w:sz w:val="20"/>
          <w:szCs w:val="20"/>
        </w:rPr>
        <w:t>Mode D, Stockholm LC. AstraZeneca: AZD7442 reduced risk of developing severe COVID-19 or death in TACKLE Phase III outpatient treatment trial.</w:t>
      </w:r>
    </w:p>
    <w:p w14:paraId="7C190DAC" w14:textId="3CF7B081" w:rsidR="000028F0" w:rsidRPr="001C0C4B" w:rsidRDefault="000028F0" w:rsidP="000028F0">
      <w:pPr>
        <w:ind w:left="720" w:hanging="360"/>
        <w:jc w:val="both"/>
        <w:rPr>
          <w:sz w:val="20"/>
          <w:szCs w:val="20"/>
        </w:rPr>
      </w:pPr>
      <w:r w:rsidRPr="001C0C4B">
        <w:rPr>
          <w:sz w:val="20"/>
          <w:szCs w:val="20"/>
        </w:rPr>
        <w:fldChar w:fldCharType="end"/>
      </w:r>
    </w:p>
    <w:p w14:paraId="053B11BE" w14:textId="46246770" w:rsidR="00A92487" w:rsidRPr="001C0C4B" w:rsidRDefault="00A92487" w:rsidP="000028F0">
      <w:pPr>
        <w:ind w:left="720" w:hanging="360"/>
        <w:jc w:val="both"/>
        <w:rPr>
          <w:rFonts w:ascii="Calibri" w:hAnsi="Calibri" w:cs="Calibri"/>
          <w:sz w:val="20"/>
          <w:szCs w:val="20"/>
        </w:rPr>
      </w:pPr>
    </w:p>
    <w:p w14:paraId="7DA0FD1D" w14:textId="77777777" w:rsidR="00A92487" w:rsidRPr="001C0C4B" w:rsidRDefault="00A92487" w:rsidP="000028F0">
      <w:pPr>
        <w:ind w:left="720" w:hanging="360"/>
        <w:jc w:val="both"/>
        <w:rPr>
          <w:rFonts w:ascii="Calibri" w:hAnsi="Calibri" w:cs="Calibri"/>
          <w:sz w:val="20"/>
          <w:szCs w:val="20"/>
        </w:rPr>
      </w:pPr>
    </w:p>
    <w:p w14:paraId="1B35C2CE" w14:textId="67638E3B" w:rsidR="00A92487" w:rsidRPr="001C0C4B" w:rsidRDefault="00FD4E5E" w:rsidP="00263B62">
      <w:pPr>
        <w:pStyle w:val="Heading2"/>
      </w:pPr>
      <w:r w:rsidRPr="001C0C4B">
        <w:rPr>
          <w:rFonts w:ascii="Calibri" w:hAnsi="Calibri" w:cs="Calibri"/>
          <w:sz w:val="20"/>
          <w:szCs w:val="20"/>
        </w:rPr>
        <w:br w:type="page"/>
      </w:r>
    </w:p>
    <w:p w14:paraId="65E3F98F" w14:textId="31109FF4" w:rsidR="00263B62" w:rsidRPr="001C0C4B" w:rsidRDefault="00263B62" w:rsidP="000B290D">
      <w:pPr>
        <w:pStyle w:val="Heading2"/>
        <w:numPr>
          <w:ilvl w:val="1"/>
          <w:numId w:val="53"/>
        </w:numPr>
        <w:tabs>
          <w:tab w:val="left" w:pos="1080"/>
        </w:tabs>
        <w:ind w:left="792" w:hanging="432"/>
        <w:jc w:val="both"/>
        <w:rPr>
          <w:rFonts w:cstheme="minorHAnsi"/>
          <w:color w:val="000000" w:themeColor="text1"/>
          <w:u w:val="single"/>
        </w:rPr>
      </w:pPr>
      <w:bookmarkStart w:id="556" w:name="_Toc110524037"/>
      <w:bookmarkStart w:id="557" w:name="_Toc112917685"/>
      <w:r w:rsidRPr="001C0C4B">
        <w:rPr>
          <w:rFonts w:asciiTheme="minorHAnsi" w:hAnsiTheme="minorHAnsi"/>
          <w:color w:val="000000" w:themeColor="text1"/>
          <w:u w:val="single"/>
        </w:rPr>
        <w:lastRenderedPageBreak/>
        <w:t>Ensitrelvir</w:t>
      </w:r>
      <w:bookmarkEnd w:id="556"/>
      <w:bookmarkEnd w:id="557"/>
    </w:p>
    <w:p w14:paraId="787F1D18" w14:textId="77777777" w:rsidR="00A92487" w:rsidRPr="001C0C4B" w:rsidRDefault="00A92487" w:rsidP="00BF2FEE">
      <w:pPr>
        <w:jc w:val="both"/>
        <w:rPr>
          <w:rFonts w:cstheme="minorHAnsi"/>
          <w:color w:val="000000" w:themeColor="text1"/>
          <w:u w:val="single"/>
        </w:rPr>
      </w:pPr>
      <w:r w:rsidRPr="001C0C4B">
        <w:rPr>
          <w:rFonts w:cstheme="minorHAnsi"/>
          <w:color w:val="000000" w:themeColor="text1"/>
          <w:u w:val="single"/>
        </w:rPr>
        <w:t>Rationale</w:t>
      </w:r>
    </w:p>
    <w:p w14:paraId="3F8C0DC4" w14:textId="0B5BF13D" w:rsidR="00A92487" w:rsidRPr="001C0C4B" w:rsidRDefault="00A92487" w:rsidP="00BF2FEE">
      <w:pPr>
        <w:jc w:val="both"/>
        <w:rPr>
          <w:rFonts w:cstheme="minorHAnsi"/>
          <w:color w:val="000000" w:themeColor="text1"/>
        </w:rPr>
      </w:pPr>
      <w:r w:rsidRPr="001C0C4B">
        <w:rPr>
          <w:rFonts w:cstheme="minorHAnsi"/>
          <w:color w:val="000000" w:themeColor="text1"/>
        </w:rPr>
        <w:t>Ensitrelvir (S-217622) is a 3C-like protease inhibitor d</w:t>
      </w:r>
      <w:r w:rsidR="00C83F3A" w:rsidRPr="001C0C4B">
        <w:rPr>
          <w:rFonts w:cstheme="minorHAnsi"/>
          <w:color w:val="000000" w:themeColor="text1"/>
        </w:rPr>
        <w:t>eveloped by Shionogi &amp; Co., Ltd.</w:t>
      </w:r>
      <w:r w:rsidRPr="001C0C4B">
        <w:rPr>
          <w:rFonts w:cstheme="minorHAnsi"/>
          <w:color w:val="000000" w:themeColor="text1"/>
        </w:rPr>
        <w:t xml:space="preserve">. S-217622 is an oral novel small-molecule inhibitor for 3C-like protease developed through large-scale screening and structure based optimisation </w:t>
      </w:r>
      <w:r w:rsidRPr="001C0C4B">
        <w:rPr>
          <w:rFonts w:cstheme="minorHAnsi"/>
          <w:color w:val="000000" w:themeColor="text1"/>
        </w:rPr>
        <w:fldChar w:fldCharType="begin"/>
      </w:r>
      <w:r w:rsidRPr="001C0C4B">
        <w:rPr>
          <w:rFonts w:cstheme="minorHAnsi"/>
          <w:color w:val="000000" w:themeColor="text1"/>
        </w:rPr>
        <w:instrText xml:space="preserve"> ADDIN EN.CITE &lt;EndNote&gt;&lt;Cite&gt;&lt;Author&gt;Unoh&lt;/Author&gt;&lt;Year&gt;2022&lt;/Year&gt;&lt;RecNum&gt;200&lt;/RecNum&gt;&lt;DisplayText&gt;(1)&lt;/DisplayText&gt;&lt;record&gt;&lt;rec-number&gt;200&lt;/rec-number&gt;&lt;foreign-keys&gt;&lt;key app="EN" db-id="p9ta9dvz1fv9anevae850zaw522p9xf09dax" timestamp="1650949898"&gt;200&lt;/key&gt;&lt;/foreign-keys&gt;&lt;ref-type name="Journal Article"&gt;17&lt;/ref-type&gt;&lt;contributors&gt;&lt;authors&gt;&lt;author&gt;Unoh, Yuto&lt;/author&gt;&lt;author&gt;Uehara, Shota&lt;/author&gt;&lt;author&gt;Nakahara, Kenji&lt;/author&gt;&lt;author&gt;Nobori, Haruaki&lt;/author&gt;&lt;author&gt;Yamatsu, Yukiko&lt;/author&gt;&lt;author&gt;Yamamoto, Shiho&lt;/author&gt;&lt;author&gt;Maruyama, Yuki&lt;/author&gt;&lt;author&gt;Taoda, Yoshiyuki&lt;/author&gt;&lt;author&gt;Kasamatsu, Koji&lt;/author&gt;&lt;author&gt;Suto, Takahiro&lt;/author&gt;&lt;/authors&gt;&lt;/contributors&gt;&lt;titles&gt;&lt;title&gt;Discovery of S-217622, a Noncovalent Oral SARS-CoV-2 3CL Protease Inhibitor Clinical Candidate for Treating COVID-19&lt;/title&gt;&lt;secondary-title&gt;Journal of Medicinal Chemistry&lt;/secondary-title&gt;&lt;/titles&gt;&lt;periodical&gt;&lt;full-title&gt;Journal of Medicinal Chemistry&lt;/full-title&gt;&lt;/periodical&gt;&lt;dates&gt;&lt;year&gt;2022&lt;/year&gt;&lt;/dates&gt;&lt;isbn&gt;0022-2623&lt;/isbn&gt;&lt;urls&gt;&lt;/urls&gt;&lt;/record&gt;&lt;/Cite&gt;&lt;/EndNote&gt;</w:instrText>
      </w:r>
      <w:r w:rsidRPr="001C0C4B">
        <w:rPr>
          <w:rFonts w:cstheme="minorHAnsi"/>
          <w:color w:val="000000" w:themeColor="text1"/>
        </w:rPr>
        <w:fldChar w:fldCharType="separate"/>
      </w:r>
      <w:r w:rsidRPr="001C0C4B">
        <w:rPr>
          <w:rFonts w:cstheme="minorHAnsi"/>
          <w:noProof/>
          <w:color w:val="000000" w:themeColor="text1"/>
        </w:rPr>
        <w:t>(1)</w:t>
      </w:r>
      <w:r w:rsidRPr="001C0C4B">
        <w:rPr>
          <w:rFonts w:cstheme="minorHAnsi"/>
          <w:color w:val="000000" w:themeColor="text1"/>
        </w:rPr>
        <w:fldChar w:fldCharType="end"/>
      </w:r>
      <w:r w:rsidRPr="001C0C4B">
        <w:rPr>
          <w:rFonts w:cstheme="minorHAnsi"/>
          <w:color w:val="000000" w:themeColor="text1"/>
        </w:rPr>
        <w:t>. Coronaviruses contain two proteases, main protease – Mpro (also known as 3CL protease – 3CLpro) and papain-like protease. They cleave nascent viral polyproteins for maturation in host cells. Because these proteases play essential roles in the intracellular amplification stage of SARS-CoV-2 and lack human homologues, they are ideal targets for specific antivirals. S-217622 showed favourable bioavailability and tolerability in healthy adults in a phase I trial, and has been evaluated in phase II/III trial.</w:t>
      </w:r>
    </w:p>
    <w:p w14:paraId="7AF8EF57" w14:textId="77777777" w:rsidR="00A92487" w:rsidRPr="001C0C4B" w:rsidRDefault="00A92487" w:rsidP="00BF2FEE">
      <w:pPr>
        <w:jc w:val="both"/>
        <w:rPr>
          <w:rFonts w:cstheme="minorHAnsi"/>
          <w:color w:val="000000" w:themeColor="text1"/>
        </w:rPr>
      </w:pPr>
      <w:r w:rsidRPr="001C0C4B">
        <w:rPr>
          <w:rFonts w:cstheme="minorHAnsi"/>
          <w:i/>
          <w:iCs/>
          <w:color w:val="000000" w:themeColor="text1"/>
        </w:rPr>
        <w:t xml:space="preserve">In vivo </w:t>
      </w:r>
      <w:r w:rsidRPr="001C0C4B">
        <w:rPr>
          <w:rFonts w:cstheme="minorHAnsi"/>
          <w:color w:val="000000" w:themeColor="text1"/>
        </w:rPr>
        <w:t xml:space="preserve">testing was performed on intranasally infected hamsters with omicron given S-217622. There was marked reduction in lung virus titres, no virus was detected in 3 of the 4 tested hamsters at day 4 post infection. There was also a 9.9 fold reduction in viral loads in the nasal turbinates at day 4 </w:t>
      </w:r>
      <w:r w:rsidRPr="001C0C4B">
        <w:rPr>
          <w:rFonts w:cstheme="minorHAnsi"/>
          <w:color w:val="000000" w:themeColor="text1"/>
        </w:rPr>
        <w:fldChar w:fldCharType="begin"/>
      </w:r>
      <w:r w:rsidRPr="001C0C4B">
        <w:rPr>
          <w:rFonts w:cstheme="minorHAnsi"/>
          <w:color w:val="000000" w:themeColor="text1"/>
        </w:rPr>
        <w:instrText xml:space="preserve"> ADDIN EN.CITE &lt;EndNote&gt;&lt;Cite&gt;&lt;Author&gt;Uraki&lt;/Author&gt;&lt;Year&gt;2022&lt;/Year&gt;&lt;RecNum&gt;212&lt;/RecNum&gt;&lt;DisplayText&gt;(2)&lt;/DisplayText&gt;&lt;record&gt;&lt;rec-number&gt;212&lt;/rec-number&gt;&lt;foreign-keys&gt;&lt;key app="EN" db-id="p9ta9dvz1fv9anevae850zaw522p9xf09dax" timestamp="1652923243"&gt;212&lt;/key&gt;&lt;/foreign-keys&gt;&lt;ref-type name="Journal Article"&gt;17&lt;/ref-type&gt;&lt;contributors&gt;&lt;authors&gt;&lt;author&gt;Uraki, Ryuta&lt;/author&gt;&lt;author&gt;Kiso, Maki&lt;/author&gt;&lt;author&gt;Imai, Masaki&lt;/author&gt;&lt;author&gt;Yamayoshi, Seiya&lt;/author&gt;&lt;author&gt;Ito, Mutsumi&lt;/author&gt;&lt;author&gt;Ujie, Michiko&lt;/author&gt;&lt;author&gt;Furusawa, Yuri&lt;/author&gt;&lt;author&gt;Iwatsuki-Horimoto, Kiyoko&lt;/author&gt;&lt;author&gt;Sakai-Tagawa, Yuko&lt;/author&gt;&lt;author&gt;Kawaoka, Yoshihiro&lt;/author&gt;&lt;/authors&gt;&lt;/contributors&gt;&lt;titles&gt;&lt;title&gt;Therapeutic efficacy of antibodies and antivirals against a SARS-CoV-2 Omicron variant&lt;/title&gt;&lt;/titles&gt;&lt;dates&gt;&lt;year&gt;2022&lt;/year&gt;&lt;/dates&gt;&lt;urls&gt;&lt;/urls&gt;&lt;/record&gt;&lt;/Cite&gt;&lt;/EndNote&gt;</w:instrText>
      </w:r>
      <w:r w:rsidRPr="001C0C4B">
        <w:rPr>
          <w:rFonts w:cstheme="minorHAnsi"/>
          <w:color w:val="000000" w:themeColor="text1"/>
        </w:rPr>
        <w:fldChar w:fldCharType="separate"/>
      </w:r>
      <w:r w:rsidRPr="001C0C4B">
        <w:rPr>
          <w:rFonts w:cstheme="minorHAnsi"/>
          <w:noProof/>
          <w:color w:val="000000" w:themeColor="text1"/>
        </w:rPr>
        <w:t>(2)</w:t>
      </w:r>
      <w:r w:rsidRPr="001C0C4B">
        <w:rPr>
          <w:rFonts w:cstheme="minorHAnsi"/>
          <w:color w:val="000000" w:themeColor="text1"/>
        </w:rPr>
        <w:fldChar w:fldCharType="end"/>
      </w:r>
      <w:r w:rsidRPr="001C0C4B">
        <w:rPr>
          <w:rFonts w:cstheme="minorHAnsi"/>
          <w:color w:val="000000" w:themeColor="text1"/>
        </w:rPr>
        <w:t>.</w:t>
      </w:r>
    </w:p>
    <w:p w14:paraId="3B02E653" w14:textId="77777777" w:rsidR="00A92487" w:rsidRPr="001C0C4B" w:rsidRDefault="00A92487" w:rsidP="00BF2FEE">
      <w:pPr>
        <w:jc w:val="both"/>
        <w:rPr>
          <w:rFonts w:cstheme="minorHAnsi"/>
          <w:color w:val="000000" w:themeColor="text1"/>
        </w:rPr>
      </w:pPr>
      <w:r w:rsidRPr="001C0C4B">
        <w:rPr>
          <w:rFonts w:cstheme="minorHAnsi"/>
          <w:color w:val="000000" w:themeColor="text1"/>
        </w:rPr>
        <w:t xml:space="preserve">The data from a phase 2/3 study showed promising results. Japanese patients with mild/moderate COVID-19 were given placebo or a 5-day course of oral ensitrelvir fumaric acid (dosing 375mg on day 1 followed by 125mg daily, or 750mg on day 1 followed by 250mg daily). For the phase 2a trial, the primary outcome was the change from baseline in SARS-CoV-2 viral titre. The median time to viral clearance (first negative SARS-CoV-2 viral titre) was significantly shorter compared to placebo in the ensitrelvir 125 mg group (61.3 hours; reduction of 49.8 hours; P = 0.0159) and 250 mg group (62.7 hours, reduction of 48.4 hours; P = 0.0205)). </w:t>
      </w:r>
    </w:p>
    <w:p w14:paraId="794AD298" w14:textId="77777777" w:rsidR="00A92487" w:rsidRPr="001C0C4B" w:rsidRDefault="00A92487" w:rsidP="00BF2FEE">
      <w:pPr>
        <w:jc w:val="both"/>
        <w:rPr>
          <w:rFonts w:cstheme="minorHAnsi"/>
          <w:color w:val="000000" w:themeColor="text1"/>
        </w:rPr>
      </w:pPr>
      <w:r w:rsidRPr="001C0C4B">
        <w:rPr>
          <w:rFonts w:cstheme="minorHAnsi"/>
          <w:color w:val="000000" w:themeColor="text1"/>
        </w:rPr>
        <w:t xml:space="preserve">For safety assessment, treatment-emergent adverse events (TEAEs) were assessed and reported in 11 (52.4%) of the 125mg group, 16 (69.6%) of the 250mg group, and 9 (37.5%) in the placebo. They were all mild to moderate in severity, and the most common was a decrease in HDL cholesterol </w:t>
      </w:r>
      <w:r w:rsidRPr="001C0C4B">
        <w:rPr>
          <w:rFonts w:cstheme="minorHAnsi"/>
          <w:color w:val="000000" w:themeColor="text1"/>
        </w:rPr>
        <w:fldChar w:fldCharType="begin"/>
      </w:r>
      <w:r w:rsidRPr="001C0C4B">
        <w:rPr>
          <w:rFonts w:cstheme="minorHAnsi"/>
          <w:color w:val="000000" w:themeColor="text1"/>
        </w:rPr>
        <w:instrText xml:space="preserve"> ADDIN EN.CITE &lt;EndNote&gt;&lt;Cite&gt;&lt;Author&gt;Mukae&lt;/Author&gt;&lt;Year&gt;2022&lt;/Year&gt;&lt;RecNum&gt;213&lt;/RecNum&gt;&lt;DisplayText&gt;(3)&lt;/DisplayText&gt;&lt;record&gt;&lt;rec-number&gt;213&lt;/rec-number&gt;&lt;foreign-keys&gt;&lt;key app="EN" db-id="p9ta9dvz1fv9anevae850zaw522p9xf09dax" timestamp="1653348916"&gt;213&lt;/key&gt;&lt;/foreign-keys&gt;&lt;ref-type name="Journal Article"&gt;17&lt;/ref-type&gt;&lt;contributors&gt;&lt;authors&gt;&lt;author&gt;Mukae, Hiroshi&lt;/author&gt;&lt;author&gt;Yotsuyanagi, Hiroshi&lt;/author&gt;&lt;author&gt;Ohmagari, Norio&lt;/author&gt;&lt;author&gt;Doi, Yohei&lt;/author&gt;&lt;author&gt;Imamura, Takumi&lt;/author&gt;&lt;author&gt;Sonoyama, Takuhiro&lt;/author&gt;&lt;author&gt;Fukuhara, Takahiro&lt;/author&gt;&lt;author&gt;Ichihashi, Genki&lt;/author&gt;&lt;author&gt;Sanaki, Takao&lt;/author&gt;&lt;author&gt;Baba, Keiko&lt;/author&gt;&lt;/authors&gt;&lt;/contributors&gt;&lt;titles&gt;&lt;title&gt;A Randomized Phase 2/3 Study of Ensitrelvir, a Novel Oral SARS-CoV-2 3C-like Protease Inhibitor, in Japanese Patients With Mild-to-Moderate COVID-19 or Asymptomatic SARS-CoV-2 Infection: Results of the Phase 2a Part&lt;/title&gt;&lt;secondary-title&gt;medRxiv&lt;/secondary-title&gt;&lt;/titles&gt;&lt;periodical&gt;&lt;full-title&gt;medRxiv&lt;/full-title&gt;&lt;/periodical&gt;&lt;dates&gt;&lt;year&gt;2022&lt;/year&gt;&lt;/dates&gt;&lt;urls&gt;&lt;/urls&gt;&lt;/record&gt;&lt;/Cite&gt;&lt;/EndNote&gt;</w:instrText>
      </w:r>
      <w:r w:rsidRPr="001C0C4B">
        <w:rPr>
          <w:rFonts w:cstheme="minorHAnsi"/>
          <w:color w:val="000000" w:themeColor="text1"/>
        </w:rPr>
        <w:fldChar w:fldCharType="separate"/>
      </w:r>
      <w:r w:rsidRPr="001C0C4B">
        <w:rPr>
          <w:rFonts w:cstheme="minorHAnsi"/>
          <w:noProof/>
          <w:color w:val="000000" w:themeColor="text1"/>
        </w:rPr>
        <w:t>(3)</w:t>
      </w:r>
      <w:r w:rsidRPr="001C0C4B">
        <w:rPr>
          <w:rFonts w:cstheme="minorHAnsi"/>
          <w:color w:val="000000" w:themeColor="text1"/>
        </w:rPr>
        <w:fldChar w:fldCharType="end"/>
      </w:r>
      <w:r w:rsidRPr="001C0C4B">
        <w:rPr>
          <w:rFonts w:cstheme="minorHAnsi"/>
          <w:color w:val="000000" w:themeColor="text1"/>
        </w:rPr>
        <w:t xml:space="preserve">. </w:t>
      </w:r>
    </w:p>
    <w:p w14:paraId="467E0642" w14:textId="77777777" w:rsidR="00A92487" w:rsidRPr="001C0C4B" w:rsidRDefault="00A92487" w:rsidP="00BF2FEE">
      <w:pPr>
        <w:jc w:val="both"/>
        <w:rPr>
          <w:rFonts w:cstheme="minorHAnsi"/>
          <w:color w:val="000000" w:themeColor="text1"/>
        </w:rPr>
      </w:pPr>
      <w:r w:rsidRPr="001C0C4B">
        <w:rPr>
          <w:rFonts w:cstheme="minorHAnsi"/>
          <w:color w:val="000000" w:themeColor="text1"/>
        </w:rPr>
        <w:t xml:space="preserve">The phase 2b part of the trial was performed next. Patients were randomized (1:1:1) to receive oral ensitrelvir fumaric acid at the same doses as the phase 2a trial. The co-primary efficacy endpoints were total scores for 12 COVID-19 symptoms and SARS-CoV-2 viral titre. </w:t>
      </w:r>
    </w:p>
    <w:p w14:paraId="6BC2E153" w14:textId="77777777" w:rsidR="00A92487" w:rsidRPr="001C0C4B" w:rsidRDefault="00A92487" w:rsidP="00BF2FEE">
      <w:pPr>
        <w:jc w:val="both"/>
        <w:rPr>
          <w:rFonts w:cstheme="minorHAnsi"/>
          <w:color w:val="000000" w:themeColor="text1"/>
        </w:rPr>
      </w:pPr>
      <w:r w:rsidRPr="001C0C4B">
        <w:rPr>
          <w:rFonts w:cstheme="minorHAnsi"/>
          <w:color w:val="000000" w:themeColor="text1"/>
        </w:rPr>
        <w:t>The mean total score of the predefined 12 COVID-19 symptoms showed a decreasing trend with time after treatment initiation in all groups. The time-weighted average change from baseline up to 120 hours was significantly greater with ensitrelvir versus placebo in the subtotal scores for acute symptoms (250mg group, P=0.0070), for main clinical symptoms (250mg group, P=0.0149) and for respiratory symptoms (125mg and 250mg groups, P=0.0153 and 0.0033, respectively). No significant difference was seen in the time to first improvement of COVID-19 symptoms.</w:t>
      </w:r>
    </w:p>
    <w:p w14:paraId="2E4B14B4" w14:textId="77777777" w:rsidR="00A92487" w:rsidRPr="001C0C4B" w:rsidRDefault="00A92487" w:rsidP="00BF2FEE">
      <w:pPr>
        <w:jc w:val="both"/>
        <w:rPr>
          <w:rFonts w:cstheme="minorHAnsi"/>
          <w:color w:val="000000" w:themeColor="text1"/>
        </w:rPr>
      </w:pPr>
      <w:r w:rsidRPr="001C0C4B">
        <w:rPr>
          <w:rFonts w:cstheme="minorHAnsi"/>
          <w:color w:val="000000" w:themeColor="text1"/>
        </w:rPr>
        <w:t>For viral titre – day 4 change from baselines for viral titre was significantly greater with ensitrelvir 125mg and 250mg (differences from placebo: −0.41, P=&lt;0.0001 for both).</w:t>
      </w:r>
    </w:p>
    <w:p w14:paraId="1166186F" w14:textId="77777777" w:rsidR="00A92487" w:rsidRPr="001C0C4B" w:rsidRDefault="00A92487" w:rsidP="00BF2FEE">
      <w:pPr>
        <w:jc w:val="both"/>
        <w:rPr>
          <w:rFonts w:cstheme="minorHAnsi"/>
          <w:color w:val="000000" w:themeColor="text1"/>
        </w:rPr>
      </w:pPr>
      <w:r w:rsidRPr="001C0C4B">
        <w:rPr>
          <w:rFonts w:cstheme="minorHAnsi"/>
          <w:color w:val="000000" w:themeColor="text1"/>
        </w:rPr>
        <w:t xml:space="preserve">For safety, there were overall 48 (34.3%), 60 (42.9%), and 44 (31.2%) patients in the ensitrelvir 125 mg, ensitrelvir 250 mg, and placebo groups, respectively, reporting TEAEs (most were mild). Adverse Events were observed in 19 (13.6%), 31 (22.1%), and 7 (5.0%) patients in the ensitrelvir 125 mg, ensitrelvir 250 mg, and placebo groups, respectively. The majority resolved without sequelae. As with the phase 2a trial the most frequently reported were a decrease in HDL. Other common adverse events in the test groups were headaches, diarrhoea, rash and back pain. </w:t>
      </w:r>
    </w:p>
    <w:p w14:paraId="14C4020A" w14:textId="430B9F58" w:rsidR="00A92487" w:rsidRDefault="00A92487" w:rsidP="00BF2FEE">
      <w:pPr>
        <w:jc w:val="both"/>
        <w:rPr>
          <w:rFonts w:cstheme="minorHAnsi"/>
          <w:color w:val="000000" w:themeColor="text1"/>
        </w:rPr>
      </w:pPr>
      <w:r w:rsidRPr="001C0C4B">
        <w:rPr>
          <w:rFonts w:cstheme="minorHAnsi"/>
          <w:color w:val="000000" w:themeColor="text1"/>
        </w:rPr>
        <w:t xml:space="preserve">There were two SAEs in the placebo group only. Asymptomatic dose-dependent, transient change in the HDL cholesterol, triglyceride, total bilirubin, and iron levels was observed on day 6 in the ensitrelvir groups </w:t>
      </w:r>
      <w:r w:rsidRPr="001C0C4B">
        <w:rPr>
          <w:rFonts w:cstheme="minorHAnsi"/>
          <w:color w:val="000000" w:themeColor="text1"/>
        </w:rPr>
        <w:fldChar w:fldCharType="begin"/>
      </w:r>
      <w:r w:rsidRPr="001C0C4B">
        <w:rPr>
          <w:rFonts w:cstheme="minorHAnsi"/>
          <w:color w:val="000000" w:themeColor="text1"/>
        </w:rPr>
        <w:instrText xml:space="preserve"> ADDIN EN.CITE &lt;EndNote&gt;&lt;Cite&gt;&lt;Author&gt;Mukae&lt;/Author&gt;&lt;Year&gt;2022&lt;/Year&gt;&lt;RecNum&gt;222&lt;/RecNum&gt;&lt;DisplayText&gt;(4)&lt;/DisplayText&gt;&lt;record&gt;&lt;rec-number&gt;222&lt;/rec-number&gt;&lt;foreign-keys&gt;&lt;key app="EN" db-id="p9ta9dvz1fv9anevae850zaw522p9xf09dax" timestamp="1656756350"&gt;222&lt;/key&gt;&lt;/foreign-keys&gt;&lt;ref-type name="Journal Article"&gt;17&lt;/ref-type&gt;&lt;contributors&gt;&lt;authors&gt;&lt;author&gt;Mukae, Hiroshi&lt;/author&gt;&lt;author&gt;Yotsuyanagi, Hiroshi&lt;/author&gt;&lt;author&gt;Ohmagari, Norio&lt;/author&gt;&lt;author&gt;Doi, Yohei&lt;/author&gt;&lt;author&gt;Sakaguchi, Hiroki&lt;/author&gt;&lt;author&gt;Sonoyama, Takuhiro&lt;/author&gt;&lt;author&gt;Ichihashi, Genki&lt;/author&gt;&lt;author&gt;Sanaki, Takao&lt;/author&gt;&lt;author&gt;Baba, Keiko&lt;/author&gt;&lt;author&gt;Tsuge, Yuko&lt;/author&gt;&lt;/authors&gt;&lt;/contributors&gt;&lt;titles&gt;&lt;title&gt;Efficacy and safety of ensitrelvir in patients with mild-to-moderate COVID-19: the phase 2b part of a randomized, placebo-controlled, phase 2/3 study&lt;/title&gt;&lt;secondary-title&gt;medRxiv&lt;/secondary-title&gt;&lt;/titles&gt;&lt;periodical&gt;&lt;full-title&gt;medRxiv&lt;/full-title&gt;&lt;/periodical&gt;&lt;dates&gt;&lt;year&gt;2022&lt;/year&gt;&lt;/dates&gt;&lt;urls&gt;&lt;/urls&gt;&lt;/record&gt;&lt;/Cite&gt;&lt;/EndNote&gt;</w:instrText>
      </w:r>
      <w:r w:rsidRPr="001C0C4B">
        <w:rPr>
          <w:rFonts w:cstheme="minorHAnsi"/>
          <w:color w:val="000000" w:themeColor="text1"/>
        </w:rPr>
        <w:fldChar w:fldCharType="separate"/>
      </w:r>
      <w:r w:rsidRPr="001C0C4B">
        <w:rPr>
          <w:rFonts w:cstheme="minorHAnsi"/>
          <w:noProof/>
          <w:color w:val="000000" w:themeColor="text1"/>
        </w:rPr>
        <w:t>(4)</w:t>
      </w:r>
      <w:r w:rsidRPr="001C0C4B">
        <w:rPr>
          <w:rFonts w:cstheme="minorHAnsi"/>
          <w:color w:val="000000" w:themeColor="text1"/>
        </w:rPr>
        <w:fldChar w:fldCharType="end"/>
      </w:r>
      <w:r w:rsidRPr="001C0C4B">
        <w:rPr>
          <w:rFonts w:cstheme="minorHAnsi"/>
          <w:color w:val="000000" w:themeColor="text1"/>
        </w:rPr>
        <w:t>.</w:t>
      </w:r>
    </w:p>
    <w:p w14:paraId="2FECD43A" w14:textId="77777777" w:rsidR="000C7EB3" w:rsidRPr="001C0C4B" w:rsidRDefault="000C7EB3" w:rsidP="00BF2FEE">
      <w:pPr>
        <w:jc w:val="both"/>
        <w:rPr>
          <w:rFonts w:cstheme="minorHAnsi"/>
          <w:color w:val="000000" w:themeColor="text1"/>
        </w:rPr>
      </w:pPr>
    </w:p>
    <w:p w14:paraId="3E8EF773" w14:textId="77777777" w:rsidR="00A92487" w:rsidRPr="001C0C4B" w:rsidRDefault="00A92487" w:rsidP="00BF2FEE">
      <w:pPr>
        <w:jc w:val="both"/>
        <w:rPr>
          <w:rFonts w:cstheme="minorHAnsi"/>
          <w:color w:val="000000" w:themeColor="text1"/>
          <w:u w:val="single"/>
        </w:rPr>
      </w:pPr>
      <w:r w:rsidRPr="001C0C4B">
        <w:rPr>
          <w:rFonts w:cstheme="minorHAnsi"/>
          <w:color w:val="000000" w:themeColor="text1"/>
          <w:u w:val="single"/>
        </w:rPr>
        <w:lastRenderedPageBreak/>
        <w:t>Composition &amp; dose</w:t>
      </w:r>
    </w:p>
    <w:p w14:paraId="0DB7CB00" w14:textId="77777777" w:rsidR="00A92487" w:rsidRPr="001C0C4B" w:rsidRDefault="00A92487" w:rsidP="00BF2FEE">
      <w:pPr>
        <w:jc w:val="both"/>
        <w:rPr>
          <w:rFonts w:cstheme="minorHAnsi"/>
          <w:color w:val="000000" w:themeColor="text1"/>
        </w:rPr>
      </w:pPr>
      <w:r w:rsidRPr="001C0C4B">
        <w:rPr>
          <w:rFonts w:cstheme="minorHAnsi"/>
          <w:color w:val="000000" w:themeColor="text1"/>
        </w:rPr>
        <w:t>Each tablet contains ensitrelvir fumaric acid 125mg.</w:t>
      </w:r>
    </w:p>
    <w:p w14:paraId="5EF378C5" w14:textId="77777777" w:rsidR="00A92487" w:rsidRPr="001C0C4B" w:rsidRDefault="00A92487" w:rsidP="00BF2FEE">
      <w:pPr>
        <w:jc w:val="both"/>
        <w:rPr>
          <w:rFonts w:cstheme="minorHAnsi"/>
          <w:color w:val="000000" w:themeColor="text1"/>
        </w:rPr>
      </w:pPr>
      <w:r w:rsidRPr="001C0C4B">
        <w:rPr>
          <w:rFonts w:cstheme="minorHAnsi"/>
          <w:color w:val="000000" w:themeColor="text1"/>
        </w:rPr>
        <w:t>Dose is three 125mg tablets (375mg) on day 1, then one 125mg tablet for a total treatment course of 5 days.</w:t>
      </w:r>
    </w:p>
    <w:p w14:paraId="3D6CF921" w14:textId="77777777" w:rsidR="00A92487" w:rsidRPr="001C0C4B" w:rsidRDefault="00A92487" w:rsidP="00BF2FEE">
      <w:pPr>
        <w:jc w:val="both"/>
        <w:rPr>
          <w:rFonts w:cstheme="minorHAnsi"/>
          <w:u w:val="single"/>
        </w:rPr>
      </w:pPr>
      <w:r w:rsidRPr="001C0C4B">
        <w:rPr>
          <w:rFonts w:cstheme="minorHAnsi"/>
          <w:u w:val="single"/>
        </w:rPr>
        <w:t>Pharmacokinetic characteristics</w:t>
      </w:r>
    </w:p>
    <w:p w14:paraId="189E3F7B" w14:textId="77777777" w:rsidR="00A92487" w:rsidRPr="001C0C4B" w:rsidRDefault="00A92487" w:rsidP="00BF2FEE">
      <w:pPr>
        <w:jc w:val="both"/>
        <w:rPr>
          <w:rFonts w:cstheme="minorHAnsi"/>
        </w:rPr>
      </w:pPr>
      <w:r w:rsidRPr="001C0C4B">
        <w:rPr>
          <w:rFonts w:cstheme="minorHAnsi"/>
        </w:rPr>
        <w:t xml:space="preserve">The geometric mean of half-life ranged from 42.2 to 48.1 hours. </w:t>
      </w:r>
    </w:p>
    <w:p w14:paraId="09F61905" w14:textId="77777777" w:rsidR="00A92487" w:rsidRPr="001C0C4B" w:rsidRDefault="00A92487" w:rsidP="00BF2FEE">
      <w:pPr>
        <w:jc w:val="both"/>
        <w:rPr>
          <w:rFonts w:cstheme="minorHAnsi"/>
          <w:u w:val="single"/>
        </w:rPr>
      </w:pPr>
      <w:r w:rsidRPr="001C0C4B">
        <w:rPr>
          <w:rFonts w:cstheme="minorHAnsi"/>
          <w:u w:val="single"/>
        </w:rPr>
        <w:t xml:space="preserve">Pharmacokinetic schedule: only if there is evidence of accelerated viral clearance </w:t>
      </w:r>
    </w:p>
    <w:p w14:paraId="412A854C" w14:textId="77777777" w:rsidR="00A92487" w:rsidRPr="001C0C4B" w:rsidRDefault="00A92487" w:rsidP="00263B62">
      <w:pPr>
        <w:spacing w:line="276" w:lineRule="auto"/>
        <w:jc w:val="both"/>
        <w:rPr>
          <w:rFonts w:cstheme="minorHAnsi"/>
        </w:rPr>
      </w:pPr>
      <w:r w:rsidRPr="001C0C4B">
        <w:rPr>
          <w:rFonts w:cstheme="minorHAnsi"/>
        </w:rPr>
        <w:t xml:space="preserve">All patients will need to be admitted for 12 hours for intense sampling. The timings are: </w:t>
      </w:r>
    </w:p>
    <w:p w14:paraId="17487C18" w14:textId="77777777" w:rsidR="00A92487" w:rsidRPr="001C0C4B" w:rsidRDefault="00A92487" w:rsidP="00263B62">
      <w:pPr>
        <w:pStyle w:val="bullet1"/>
        <w:numPr>
          <w:ilvl w:val="0"/>
          <w:numId w:val="11"/>
        </w:numPr>
        <w:spacing w:after="160" w:line="276" w:lineRule="auto"/>
        <w:ind w:left="357" w:hanging="357"/>
        <w:jc w:val="both"/>
        <w:rPr>
          <w:rFonts w:cstheme="minorHAnsi"/>
          <w:lang w:val="en-GB"/>
        </w:rPr>
      </w:pPr>
      <w:r w:rsidRPr="001C0C4B">
        <w:rPr>
          <w:rFonts w:cstheme="minorHAnsi"/>
          <w:lang w:val="en-GB"/>
        </w:rPr>
        <w:t>Pre-dose D0H0, then</w:t>
      </w:r>
    </w:p>
    <w:p w14:paraId="52CD6322" w14:textId="77777777" w:rsidR="00A92487" w:rsidRPr="001C0C4B" w:rsidRDefault="00A92487" w:rsidP="00263B62">
      <w:pPr>
        <w:pStyle w:val="bullet1"/>
        <w:numPr>
          <w:ilvl w:val="0"/>
          <w:numId w:val="11"/>
        </w:numPr>
        <w:spacing w:after="160" w:line="276" w:lineRule="auto"/>
        <w:ind w:left="357" w:hanging="357"/>
        <w:jc w:val="both"/>
        <w:rPr>
          <w:rFonts w:cstheme="minorHAnsi"/>
          <w:lang w:val="en-GB"/>
        </w:rPr>
      </w:pPr>
      <w:r w:rsidRPr="001C0C4B">
        <w:rPr>
          <w:rFonts w:cstheme="minorHAnsi"/>
          <w:lang w:val="en-GB"/>
        </w:rPr>
        <w:t>1, 2, 3, 4, 6, 9, 12 and 24h</w:t>
      </w:r>
    </w:p>
    <w:p w14:paraId="2C60F4F5" w14:textId="77777777" w:rsidR="00A92487" w:rsidRPr="001C0C4B" w:rsidRDefault="00A92487" w:rsidP="00BF2FEE">
      <w:pPr>
        <w:jc w:val="both"/>
        <w:rPr>
          <w:rFonts w:cstheme="minorHAnsi"/>
          <w:color w:val="000000" w:themeColor="text1"/>
          <w:u w:val="single"/>
        </w:rPr>
      </w:pPr>
      <w:r w:rsidRPr="001C0C4B">
        <w:rPr>
          <w:rFonts w:cstheme="minorHAnsi"/>
          <w:color w:val="000000" w:themeColor="text1"/>
          <w:u w:val="single"/>
        </w:rPr>
        <w:t>Toxicity</w:t>
      </w:r>
    </w:p>
    <w:p w14:paraId="1EA21A2C" w14:textId="77777777" w:rsidR="00A92487" w:rsidRPr="001C0C4B" w:rsidRDefault="00A92487" w:rsidP="00BF2FEE">
      <w:pPr>
        <w:jc w:val="both"/>
        <w:rPr>
          <w:rFonts w:cstheme="minorHAnsi"/>
          <w:color w:val="000000" w:themeColor="text1"/>
        </w:rPr>
      </w:pPr>
      <w:r w:rsidRPr="001C0C4B">
        <w:rPr>
          <w:rFonts w:cstheme="minorHAnsi"/>
          <w:color w:val="000000" w:themeColor="text1"/>
        </w:rPr>
        <w:t>Asymptomatic dose-dependent, transient change in the HDL cholesterol, triglyceride, total bilirubin, and iron levels have been observed.</w:t>
      </w:r>
    </w:p>
    <w:p w14:paraId="4BD2C22E" w14:textId="77777777" w:rsidR="00A92487" w:rsidRPr="001C0C4B" w:rsidRDefault="00A92487" w:rsidP="00BF2FEE">
      <w:pPr>
        <w:jc w:val="both"/>
        <w:rPr>
          <w:rFonts w:cstheme="minorHAnsi"/>
          <w:color w:val="000000" w:themeColor="text1"/>
          <w:u w:val="single"/>
        </w:rPr>
      </w:pPr>
      <w:r w:rsidRPr="001C0C4B">
        <w:rPr>
          <w:rFonts w:cstheme="minorHAnsi"/>
          <w:color w:val="000000" w:themeColor="text1"/>
          <w:u w:val="single"/>
        </w:rPr>
        <w:t>Contraindications</w:t>
      </w:r>
    </w:p>
    <w:p w14:paraId="6F704164" w14:textId="77777777" w:rsidR="00A92487" w:rsidRPr="001C0C4B" w:rsidRDefault="00A92487" w:rsidP="00BF2FEE">
      <w:pPr>
        <w:jc w:val="both"/>
        <w:rPr>
          <w:rFonts w:cstheme="minorHAnsi"/>
          <w:color w:val="000000" w:themeColor="text1"/>
        </w:rPr>
      </w:pPr>
      <w:r w:rsidRPr="001C0C4B">
        <w:rPr>
          <w:rFonts w:cstheme="minorHAnsi"/>
          <w:color w:val="000000" w:themeColor="text1"/>
        </w:rPr>
        <w:t xml:space="preserve">Hypersensitivity </w:t>
      </w:r>
    </w:p>
    <w:p w14:paraId="40897BA2" w14:textId="77777777" w:rsidR="00A92487" w:rsidRPr="001C0C4B" w:rsidRDefault="00A92487" w:rsidP="00BF2FEE">
      <w:pPr>
        <w:jc w:val="both"/>
        <w:rPr>
          <w:rFonts w:cstheme="minorHAnsi"/>
          <w:color w:val="000000" w:themeColor="text1"/>
        </w:rPr>
      </w:pPr>
      <w:r w:rsidRPr="001C0C4B">
        <w:rPr>
          <w:rFonts w:cstheme="minorHAnsi"/>
          <w:color w:val="000000" w:themeColor="text1"/>
        </w:rPr>
        <w:t>Ensitrelvir is contraindicated with medicinal products that are highly dependent on CYP3A for clearance and for which elevated concentrations are associated with serious and/or life-threatening reactions.</w:t>
      </w:r>
    </w:p>
    <w:p w14:paraId="7558DBAD"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 xml:space="preserve">Anticancer agents: ibrutinib, venetoclax </w:t>
      </w:r>
    </w:p>
    <w:p w14:paraId="6CF07647"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 xml:space="preserve">Antigout agents: colchicine (in the participants with hepatic or renal impairment.) </w:t>
      </w:r>
    </w:p>
    <w:p w14:paraId="5FF67A80"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 xml:space="preserve">Antihyperlipidemic agents: lomitapide </w:t>
      </w:r>
    </w:p>
    <w:p w14:paraId="0DC67252"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 xml:space="preserve">Antiplatelet agents: ticagrelor </w:t>
      </w:r>
    </w:p>
    <w:p w14:paraId="111C63E5"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 xml:space="preserve">Antipsychotics: lurasidone </w:t>
      </w:r>
    </w:p>
    <w:p w14:paraId="09311333"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 xml:space="preserve">Antiviral agents: anamorelin </w:t>
      </w:r>
    </w:p>
    <w:p w14:paraId="3ABA382F"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 xml:space="preserve">Cardiovascular agents: ivabradine </w:t>
      </w:r>
    </w:p>
    <w:p w14:paraId="150A46CF"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 xml:space="preserve">Ergot derivatives: ergotamine </w:t>
      </w:r>
    </w:p>
    <w:p w14:paraId="464B1D9C"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 xml:space="preserve">PDE5 inhibitors: tadalafil </w:t>
      </w:r>
    </w:p>
    <w:p w14:paraId="4ABBBC2B" w14:textId="77777777" w:rsidR="00A92487" w:rsidRPr="001C0C4B" w:rsidRDefault="00A92487" w:rsidP="00BF2FEE">
      <w:pPr>
        <w:pStyle w:val="ListParagraph"/>
        <w:numPr>
          <w:ilvl w:val="0"/>
          <w:numId w:val="69"/>
        </w:numPr>
        <w:spacing w:line="240" w:lineRule="auto"/>
        <w:jc w:val="both"/>
        <w:rPr>
          <w:rFonts w:cstheme="minorHAnsi"/>
          <w:color w:val="000000" w:themeColor="text1"/>
        </w:rPr>
      </w:pPr>
      <w:r w:rsidRPr="001C0C4B">
        <w:rPr>
          <w:rFonts w:cstheme="minorHAnsi"/>
          <w:color w:val="000000" w:themeColor="text1"/>
        </w:rPr>
        <w:t>Sedative/hypnotics: suvorexant</w:t>
      </w:r>
    </w:p>
    <w:p w14:paraId="1F2E96F0" w14:textId="77777777" w:rsidR="00A92487" w:rsidRPr="001C0C4B" w:rsidRDefault="00A92487" w:rsidP="00BF2FEE">
      <w:pPr>
        <w:jc w:val="both"/>
        <w:rPr>
          <w:rFonts w:cstheme="minorHAnsi"/>
          <w:color w:val="000000" w:themeColor="text1"/>
        </w:rPr>
      </w:pPr>
      <w:r w:rsidRPr="001C0C4B">
        <w:rPr>
          <w:rFonts w:cstheme="minorHAnsi"/>
          <w:color w:val="000000" w:themeColor="text1"/>
        </w:rPr>
        <w:t>In addition,</w:t>
      </w:r>
      <w:r w:rsidRPr="001C0C4B">
        <w:rPr>
          <w:rFonts w:cstheme="minorHAnsi"/>
        </w:rPr>
        <w:t xml:space="preserve"> </w:t>
      </w:r>
      <w:r w:rsidRPr="001C0C4B">
        <w:rPr>
          <w:rFonts w:cstheme="minorHAnsi"/>
          <w:color w:val="000000" w:themeColor="text1"/>
        </w:rPr>
        <w:t xml:space="preserve">medicinal products that are potent CYP3A inducers which are considered to decrease the plasma concentration of S-217622 significantly and may reduce virologic response. </w:t>
      </w:r>
    </w:p>
    <w:p w14:paraId="59613C71" w14:textId="77777777" w:rsidR="00A92487" w:rsidRPr="001C0C4B" w:rsidRDefault="00A92487" w:rsidP="00BF2FEE">
      <w:pPr>
        <w:pStyle w:val="ListParagraph"/>
        <w:numPr>
          <w:ilvl w:val="0"/>
          <w:numId w:val="70"/>
        </w:numPr>
        <w:spacing w:line="240" w:lineRule="auto"/>
        <w:jc w:val="both"/>
        <w:rPr>
          <w:rFonts w:cstheme="minorHAnsi"/>
          <w:color w:val="000000" w:themeColor="text1"/>
        </w:rPr>
      </w:pPr>
      <w:r w:rsidRPr="001C0C4B">
        <w:rPr>
          <w:rFonts w:cstheme="minorHAnsi"/>
          <w:color w:val="000000" w:themeColor="text1"/>
        </w:rPr>
        <w:t xml:space="preserve">Antibiotics: rifampicin </w:t>
      </w:r>
    </w:p>
    <w:p w14:paraId="0258B14B" w14:textId="77777777" w:rsidR="00A92487" w:rsidRPr="001C0C4B" w:rsidRDefault="00A92487" w:rsidP="00BF2FEE">
      <w:pPr>
        <w:pStyle w:val="ListParagraph"/>
        <w:numPr>
          <w:ilvl w:val="0"/>
          <w:numId w:val="70"/>
        </w:numPr>
        <w:spacing w:line="240" w:lineRule="auto"/>
        <w:jc w:val="both"/>
        <w:rPr>
          <w:rFonts w:cstheme="minorHAnsi"/>
          <w:color w:val="000000" w:themeColor="text1"/>
        </w:rPr>
      </w:pPr>
      <w:r w:rsidRPr="001C0C4B">
        <w:rPr>
          <w:rFonts w:cstheme="minorHAnsi"/>
          <w:color w:val="000000" w:themeColor="text1"/>
        </w:rPr>
        <w:t>Anticancer agents: apalutamide, enzalutamide, mitotane</w:t>
      </w:r>
    </w:p>
    <w:p w14:paraId="1F962F7D" w14:textId="77777777" w:rsidR="00A92487" w:rsidRPr="001C0C4B" w:rsidRDefault="00A92487" w:rsidP="00BF2FEE">
      <w:pPr>
        <w:pStyle w:val="ListParagraph"/>
        <w:numPr>
          <w:ilvl w:val="0"/>
          <w:numId w:val="70"/>
        </w:numPr>
        <w:spacing w:line="240" w:lineRule="auto"/>
        <w:jc w:val="both"/>
        <w:rPr>
          <w:rFonts w:cstheme="minorHAnsi"/>
          <w:color w:val="000000" w:themeColor="text1"/>
        </w:rPr>
      </w:pPr>
      <w:r w:rsidRPr="001C0C4B">
        <w:rPr>
          <w:rFonts w:cstheme="minorHAnsi"/>
          <w:color w:val="000000" w:themeColor="text1"/>
        </w:rPr>
        <w:t xml:space="preserve">Anticonvulsants: carbamazepine, phenytoin </w:t>
      </w:r>
    </w:p>
    <w:p w14:paraId="5FA88C74" w14:textId="77777777" w:rsidR="00A92487" w:rsidRPr="001C0C4B" w:rsidRDefault="00A92487" w:rsidP="00BF2FEE">
      <w:pPr>
        <w:pStyle w:val="ListParagraph"/>
        <w:numPr>
          <w:ilvl w:val="0"/>
          <w:numId w:val="70"/>
        </w:numPr>
        <w:spacing w:line="240" w:lineRule="auto"/>
        <w:jc w:val="both"/>
        <w:rPr>
          <w:rFonts w:cstheme="minorHAnsi"/>
          <w:color w:val="000000" w:themeColor="text1"/>
        </w:rPr>
      </w:pPr>
      <w:r w:rsidRPr="001C0C4B">
        <w:rPr>
          <w:rFonts w:cstheme="minorHAnsi"/>
          <w:color w:val="000000" w:themeColor="text1"/>
        </w:rPr>
        <w:t>Herbal products: St John’s wort</w:t>
      </w:r>
    </w:p>
    <w:p w14:paraId="602117E7" w14:textId="77777777" w:rsidR="00A92487" w:rsidRPr="001C0C4B" w:rsidRDefault="00A92487" w:rsidP="00BF2FEE">
      <w:pPr>
        <w:jc w:val="both"/>
        <w:rPr>
          <w:rFonts w:cstheme="minorHAnsi"/>
          <w:color w:val="000000" w:themeColor="text1"/>
          <w:u w:val="single"/>
        </w:rPr>
      </w:pPr>
      <w:r w:rsidRPr="001C0C4B">
        <w:rPr>
          <w:rFonts w:cstheme="minorHAnsi"/>
          <w:color w:val="000000" w:themeColor="text1"/>
          <w:u w:val="single"/>
        </w:rPr>
        <w:t>Cautions</w:t>
      </w:r>
    </w:p>
    <w:p w14:paraId="709EE9FB" w14:textId="77777777" w:rsidR="00A92487" w:rsidRPr="001C0C4B" w:rsidRDefault="00A92487" w:rsidP="00BF2FEE">
      <w:pPr>
        <w:jc w:val="both"/>
        <w:rPr>
          <w:rFonts w:cstheme="minorHAnsi"/>
          <w:color w:val="000000" w:themeColor="text1"/>
        </w:rPr>
      </w:pPr>
      <w:r w:rsidRPr="001C0C4B">
        <w:rPr>
          <w:rFonts w:cstheme="minorHAnsi"/>
          <w:color w:val="000000" w:themeColor="text1"/>
        </w:rPr>
        <w:t>There are no studies in pregnant woman. The potential risk of ensitrelvir in pregnant women is unknown, breastfeeding should be avoided.</w:t>
      </w:r>
    </w:p>
    <w:p w14:paraId="1B83460F" w14:textId="783D6191" w:rsidR="00A92487" w:rsidRDefault="00A92487" w:rsidP="00BF2FEE">
      <w:pPr>
        <w:jc w:val="both"/>
        <w:rPr>
          <w:rFonts w:cstheme="minorHAnsi"/>
          <w:color w:val="000000" w:themeColor="text1"/>
        </w:rPr>
      </w:pPr>
      <w:r w:rsidRPr="001C0C4B">
        <w:rPr>
          <w:rFonts w:cstheme="minorHAnsi"/>
          <w:color w:val="000000" w:themeColor="text1"/>
        </w:rPr>
        <w:t>The adverse reactions identified in clinical studies are rash, pruritus, nausea, diarrhoea, headache and dyslipidaemia.</w:t>
      </w:r>
    </w:p>
    <w:p w14:paraId="65D4F6D4" w14:textId="77777777" w:rsidR="000C7EB3" w:rsidRPr="001C0C4B" w:rsidRDefault="000C7EB3" w:rsidP="00BF2FEE">
      <w:pPr>
        <w:jc w:val="both"/>
        <w:rPr>
          <w:rFonts w:cstheme="minorHAnsi"/>
          <w:color w:val="000000" w:themeColor="text1"/>
        </w:rPr>
      </w:pPr>
    </w:p>
    <w:p w14:paraId="16237B4D" w14:textId="77777777" w:rsidR="00A92487" w:rsidRPr="001C0C4B" w:rsidRDefault="00A92487" w:rsidP="00BF2FEE">
      <w:pPr>
        <w:tabs>
          <w:tab w:val="left" w:pos="2143"/>
        </w:tabs>
        <w:jc w:val="both"/>
        <w:rPr>
          <w:rFonts w:cstheme="minorHAnsi"/>
          <w:color w:val="000000" w:themeColor="text1"/>
          <w:u w:val="single"/>
        </w:rPr>
      </w:pPr>
      <w:r w:rsidRPr="001C0C4B">
        <w:rPr>
          <w:rFonts w:cstheme="minorHAnsi"/>
          <w:color w:val="000000" w:themeColor="text1"/>
          <w:u w:val="single"/>
        </w:rPr>
        <w:lastRenderedPageBreak/>
        <w:t>Drug Interactions</w:t>
      </w:r>
    </w:p>
    <w:p w14:paraId="6A3E083F" w14:textId="77777777" w:rsidR="00A92487" w:rsidRPr="001C0C4B" w:rsidRDefault="00A92487" w:rsidP="00BF2FEE">
      <w:pPr>
        <w:jc w:val="both"/>
        <w:rPr>
          <w:rFonts w:cstheme="minorHAnsi"/>
        </w:rPr>
      </w:pPr>
      <w:r w:rsidRPr="001C0C4B">
        <w:rPr>
          <w:rFonts w:cstheme="minorHAnsi"/>
        </w:rPr>
        <w:t>See contraindications above.</w:t>
      </w:r>
    </w:p>
    <w:p w14:paraId="68CF3978" w14:textId="77777777" w:rsidR="00A92487" w:rsidRPr="001C0C4B" w:rsidRDefault="00A92487" w:rsidP="00BF2FEE">
      <w:pPr>
        <w:jc w:val="both"/>
        <w:rPr>
          <w:rFonts w:cstheme="minorHAnsi"/>
          <w:u w:val="single"/>
        </w:rPr>
      </w:pPr>
      <w:r w:rsidRPr="001C0C4B">
        <w:rPr>
          <w:rFonts w:cstheme="minorHAnsi"/>
          <w:u w:val="single"/>
        </w:rPr>
        <w:t>References</w:t>
      </w:r>
    </w:p>
    <w:p w14:paraId="70DC8F9A" w14:textId="77777777" w:rsidR="00A92487" w:rsidRPr="001C0C4B" w:rsidRDefault="00A92487" w:rsidP="00312AC7">
      <w:pPr>
        <w:pStyle w:val="EndNoteBibliography"/>
        <w:spacing w:after="0"/>
        <w:ind w:left="720" w:hanging="360"/>
        <w:jc w:val="both"/>
        <w:rPr>
          <w:rFonts w:asciiTheme="minorHAnsi" w:hAnsiTheme="minorHAnsi" w:cstheme="minorHAnsi"/>
          <w:sz w:val="20"/>
          <w:szCs w:val="20"/>
        </w:rPr>
      </w:pPr>
      <w:r w:rsidRPr="001C0C4B">
        <w:rPr>
          <w:rFonts w:asciiTheme="minorHAnsi" w:hAnsiTheme="minorHAnsi" w:cstheme="minorHAnsi"/>
          <w:sz w:val="20"/>
          <w:szCs w:val="20"/>
        </w:rPr>
        <w:fldChar w:fldCharType="begin"/>
      </w:r>
      <w:r w:rsidRPr="001C0C4B">
        <w:rPr>
          <w:rFonts w:asciiTheme="minorHAnsi" w:hAnsiTheme="minorHAnsi" w:cstheme="minorHAnsi"/>
          <w:sz w:val="20"/>
          <w:szCs w:val="20"/>
        </w:rPr>
        <w:instrText xml:space="preserve"> ADDIN EN.REFLIST </w:instrText>
      </w:r>
      <w:r w:rsidRPr="001C0C4B">
        <w:rPr>
          <w:rFonts w:asciiTheme="minorHAnsi" w:hAnsiTheme="minorHAnsi" w:cstheme="minorHAnsi"/>
          <w:sz w:val="20"/>
          <w:szCs w:val="20"/>
        </w:rPr>
        <w:fldChar w:fldCharType="end"/>
      </w:r>
      <w:r w:rsidRPr="001C0C4B">
        <w:rPr>
          <w:rFonts w:asciiTheme="minorHAnsi" w:hAnsiTheme="minorHAnsi" w:cstheme="minorHAnsi"/>
          <w:sz w:val="20"/>
          <w:szCs w:val="20"/>
        </w:rPr>
        <w:t>1.</w:t>
      </w:r>
      <w:r w:rsidRPr="001C0C4B">
        <w:rPr>
          <w:rFonts w:asciiTheme="minorHAnsi" w:hAnsiTheme="minorHAnsi" w:cstheme="minorHAnsi"/>
          <w:sz w:val="20"/>
          <w:szCs w:val="20"/>
        </w:rPr>
        <w:tab/>
        <w:t>Unoh Y, Uehara S, Nakahara K, Nobori H, Yamatsu Y, Yamamoto S, et al. Discovery of S-217622, a Noncovalent Oral SARS-CoV-2 3CL Protease Inhibitor Clinical Candidate for Treating COVID-19. Journal of Medicinal Chemistry. 2022.</w:t>
      </w:r>
    </w:p>
    <w:p w14:paraId="587DED12" w14:textId="77777777" w:rsidR="00A92487" w:rsidRPr="001C0C4B" w:rsidRDefault="00A92487" w:rsidP="00312AC7">
      <w:pPr>
        <w:pStyle w:val="EndNoteBibliography"/>
        <w:spacing w:after="0"/>
        <w:ind w:left="720" w:hanging="360"/>
        <w:jc w:val="both"/>
        <w:rPr>
          <w:rFonts w:asciiTheme="minorHAnsi" w:hAnsiTheme="minorHAnsi" w:cstheme="minorHAnsi"/>
          <w:sz w:val="20"/>
          <w:szCs w:val="20"/>
        </w:rPr>
      </w:pPr>
      <w:r w:rsidRPr="001C0C4B">
        <w:rPr>
          <w:rFonts w:asciiTheme="minorHAnsi" w:hAnsiTheme="minorHAnsi" w:cstheme="minorHAnsi"/>
          <w:sz w:val="20"/>
          <w:szCs w:val="20"/>
        </w:rPr>
        <w:t>2.</w:t>
      </w:r>
      <w:r w:rsidRPr="001C0C4B">
        <w:rPr>
          <w:rFonts w:asciiTheme="minorHAnsi" w:hAnsiTheme="minorHAnsi" w:cstheme="minorHAnsi"/>
          <w:sz w:val="20"/>
          <w:szCs w:val="20"/>
        </w:rPr>
        <w:tab/>
        <w:t>Uraki R, Kiso M, Imai M, Yamayoshi S, Ito M, Ujie M, et al. Therapeutic efficacy of antibodies and antivirals against a SARS-CoV-2 Omicron variant. 2022.</w:t>
      </w:r>
    </w:p>
    <w:p w14:paraId="71FCBB8E" w14:textId="77777777" w:rsidR="00A92487" w:rsidRPr="001C0C4B" w:rsidRDefault="00A92487" w:rsidP="00312AC7">
      <w:pPr>
        <w:pStyle w:val="EndNoteBibliography"/>
        <w:spacing w:after="0"/>
        <w:ind w:left="720" w:hanging="360"/>
        <w:jc w:val="both"/>
        <w:rPr>
          <w:rFonts w:asciiTheme="minorHAnsi" w:hAnsiTheme="minorHAnsi" w:cstheme="minorHAnsi"/>
          <w:sz w:val="20"/>
          <w:szCs w:val="20"/>
        </w:rPr>
      </w:pPr>
      <w:r w:rsidRPr="001C0C4B">
        <w:rPr>
          <w:rFonts w:asciiTheme="minorHAnsi" w:hAnsiTheme="minorHAnsi" w:cstheme="minorHAnsi"/>
          <w:sz w:val="20"/>
          <w:szCs w:val="20"/>
        </w:rPr>
        <w:t>3.</w:t>
      </w:r>
      <w:r w:rsidRPr="001C0C4B">
        <w:rPr>
          <w:rFonts w:asciiTheme="minorHAnsi" w:hAnsiTheme="minorHAnsi" w:cstheme="minorHAnsi"/>
          <w:sz w:val="20"/>
          <w:szCs w:val="20"/>
        </w:rPr>
        <w:tab/>
        <w:t>Mukae H, Yotsuyanagi H, Ohmagari N, Doi Y, Imamura T, Sonoyama T, et al. A Randomized Phase 2/3 Study of Ensitrelvir, a Novel Oral SARS-CoV-2 3C-like Protease Inhibitor, in Japanese Patients With Mild-to-Moderate COVID-19 or Asymptomatic SARS-CoV-2 Infection: Results of the Phase 2a Part. medRxiv. 2022.</w:t>
      </w:r>
    </w:p>
    <w:p w14:paraId="07B425A2" w14:textId="77777777" w:rsidR="00A92487" w:rsidRPr="001C0C4B" w:rsidRDefault="00A92487" w:rsidP="00312AC7">
      <w:pPr>
        <w:pStyle w:val="EndNoteBibliography"/>
        <w:spacing w:after="0"/>
        <w:ind w:left="720" w:hanging="360"/>
        <w:jc w:val="both"/>
        <w:rPr>
          <w:rFonts w:asciiTheme="minorHAnsi" w:hAnsiTheme="minorHAnsi" w:cstheme="minorHAnsi"/>
          <w:sz w:val="20"/>
          <w:szCs w:val="20"/>
        </w:rPr>
      </w:pPr>
      <w:r w:rsidRPr="001C0C4B">
        <w:rPr>
          <w:rFonts w:asciiTheme="minorHAnsi" w:hAnsiTheme="minorHAnsi" w:cstheme="minorHAnsi"/>
          <w:sz w:val="20"/>
          <w:szCs w:val="20"/>
        </w:rPr>
        <w:t>4.</w:t>
      </w:r>
      <w:r w:rsidRPr="001C0C4B">
        <w:rPr>
          <w:rFonts w:asciiTheme="minorHAnsi" w:hAnsiTheme="minorHAnsi" w:cstheme="minorHAnsi"/>
          <w:sz w:val="20"/>
          <w:szCs w:val="20"/>
        </w:rPr>
        <w:tab/>
        <w:t>Mukae H, Yotsuyanagi H, Ohmagari N, Doi Y, Sakaguchi H, Sonoyama T, et al. Efficacy and safety of ensitrelvir in patients with mild-to-moderate COVID-19: the phase 2b part of a randomized, placebo-controlled, phase 2/3 study. medRxiv. 2022.</w:t>
      </w:r>
    </w:p>
    <w:p w14:paraId="1E99858A" w14:textId="1DF8A31D" w:rsidR="00A92487" w:rsidRPr="001C0C4B" w:rsidRDefault="00A92487" w:rsidP="00FD4E5E">
      <w:pPr>
        <w:rPr>
          <w:rFonts w:ascii="Calibri" w:hAnsi="Calibri" w:cs="Calibri"/>
          <w:sz w:val="20"/>
          <w:szCs w:val="20"/>
        </w:rPr>
      </w:pPr>
    </w:p>
    <w:p w14:paraId="66966314" w14:textId="1E85F972" w:rsidR="00285042" w:rsidRPr="001C0C4B" w:rsidRDefault="00285042" w:rsidP="00FD4E5E">
      <w:pPr>
        <w:rPr>
          <w:rFonts w:ascii="Calibri" w:hAnsi="Calibri" w:cs="Calibri"/>
          <w:sz w:val="20"/>
          <w:szCs w:val="20"/>
        </w:rPr>
      </w:pPr>
    </w:p>
    <w:p w14:paraId="14BF4B15" w14:textId="1DA6B4BE" w:rsidR="00285042" w:rsidRPr="001C0C4B" w:rsidRDefault="00285042" w:rsidP="00FD4E5E">
      <w:pPr>
        <w:rPr>
          <w:rFonts w:ascii="Calibri" w:hAnsi="Calibri" w:cs="Calibri"/>
          <w:sz w:val="20"/>
          <w:szCs w:val="20"/>
        </w:rPr>
      </w:pPr>
    </w:p>
    <w:p w14:paraId="1F70A2C9" w14:textId="22807F94" w:rsidR="00285042" w:rsidRPr="001C0C4B" w:rsidRDefault="00285042" w:rsidP="00FD4E5E">
      <w:pPr>
        <w:rPr>
          <w:rFonts w:ascii="Calibri" w:hAnsi="Calibri" w:cs="Calibri"/>
          <w:sz w:val="20"/>
          <w:szCs w:val="20"/>
        </w:rPr>
      </w:pPr>
    </w:p>
    <w:p w14:paraId="36AB0D3C" w14:textId="75B45924" w:rsidR="00285042" w:rsidRPr="001C0C4B" w:rsidRDefault="00285042" w:rsidP="00FD4E5E">
      <w:pPr>
        <w:rPr>
          <w:rFonts w:ascii="Calibri" w:hAnsi="Calibri" w:cs="Calibri"/>
          <w:sz w:val="20"/>
          <w:szCs w:val="20"/>
        </w:rPr>
      </w:pPr>
    </w:p>
    <w:p w14:paraId="22CCAB99" w14:textId="46E62128" w:rsidR="00285042" w:rsidRPr="001C0C4B" w:rsidRDefault="00285042" w:rsidP="00FD4E5E">
      <w:pPr>
        <w:rPr>
          <w:rFonts w:ascii="Calibri" w:hAnsi="Calibri" w:cs="Calibri"/>
          <w:sz w:val="20"/>
          <w:szCs w:val="20"/>
        </w:rPr>
      </w:pPr>
    </w:p>
    <w:p w14:paraId="0592C75D" w14:textId="114C08B1" w:rsidR="00285042" w:rsidRPr="001C0C4B" w:rsidRDefault="00285042" w:rsidP="00FD4E5E">
      <w:pPr>
        <w:rPr>
          <w:rFonts w:ascii="Calibri" w:hAnsi="Calibri" w:cs="Calibri"/>
          <w:sz w:val="20"/>
          <w:szCs w:val="20"/>
        </w:rPr>
      </w:pPr>
    </w:p>
    <w:p w14:paraId="2CF627FF" w14:textId="3E225D51" w:rsidR="00285042" w:rsidRPr="001C0C4B" w:rsidRDefault="00285042" w:rsidP="00FD4E5E">
      <w:pPr>
        <w:rPr>
          <w:rFonts w:ascii="Calibri" w:hAnsi="Calibri" w:cs="Calibri"/>
          <w:sz w:val="20"/>
          <w:szCs w:val="20"/>
        </w:rPr>
      </w:pPr>
    </w:p>
    <w:p w14:paraId="4762C6CA" w14:textId="17226C5A" w:rsidR="00285042" w:rsidRPr="001C0C4B" w:rsidRDefault="00285042" w:rsidP="00FD4E5E">
      <w:pPr>
        <w:rPr>
          <w:rFonts w:ascii="Calibri" w:hAnsi="Calibri" w:cs="Calibri"/>
          <w:sz w:val="20"/>
          <w:szCs w:val="20"/>
        </w:rPr>
      </w:pPr>
    </w:p>
    <w:p w14:paraId="1EA36BCC" w14:textId="43A72772" w:rsidR="00285042" w:rsidRPr="001C0C4B" w:rsidRDefault="00285042" w:rsidP="00FD4E5E">
      <w:pPr>
        <w:rPr>
          <w:rFonts w:ascii="Calibri" w:hAnsi="Calibri" w:cs="Calibri"/>
          <w:sz w:val="20"/>
          <w:szCs w:val="20"/>
        </w:rPr>
      </w:pPr>
    </w:p>
    <w:p w14:paraId="7EA11DD9" w14:textId="79BD5057" w:rsidR="00285042" w:rsidRPr="001C0C4B" w:rsidRDefault="00285042" w:rsidP="00FD4E5E">
      <w:pPr>
        <w:rPr>
          <w:rFonts w:ascii="Calibri" w:hAnsi="Calibri" w:cs="Calibri"/>
          <w:sz w:val="20"/>
          <w:szCs w:val="20"/>
        </w:rPr>
      </w:pPr>
    </w:p>
    <w:p w14:paraId="6EC01A41" w14:textId="0FC79FA0" w:rsidR="00285042" w:rsidRPr="001C0C4B" w:rsidRDefault="00285042" w:rsidP="00FD4E5E">
      <w:pPr>
        <w:rPr>
          <w:rFonts w:ascii="Calibri" w:hAnsi="Calibri" w:cs="Calibri"/>
          <w:sz w:val="20"/>
          <w:szCs w:val="20"/>
        </w:rPr>
      </w:pPr>
    </w:p>
    <w:p w14:paraId="78437000" w14:textId="4C07FCBA" w:rsidR="00285042" w:rsidRPr="001C0C4B" w:rsidRDefault="00285042" w:rsidP="00FD4E5E">
      <w:pPr>
        <w:rPr>
          <w:rFonts w:ascii="Calibri" w:hAnsi="Calibri" w:cs="Calibri"/>
          <w:sz w:val="20"/>
          <w:szCs w:val="20"/>
        </w:rPr>
      </w:pPr>
    </w:p>
    <w:p w14:paraId="69774B40" w14:textId="36870E78" w:rsidR="00285042" w:rsidRPr="001C0C4B" w:rsidRDefault="00285042" w:rsidP="00FD4E5E">
      <w:pPr>
        <w:rPr>
          <w:rFonts w:ascii="Calibri" w:hAnsi="Calibri" w:cs="Calibri"/>
          <w:sz w:val="20"/>
          <w:szCs w:val="20"/>
        </w:rPr>
      </w:pPr>
    </w:p>
    <w:p w14:paraId="7642D733" w14:textId="336AF619" w:rsidR="00285042" w:rsidRPr="001C0C4B" w:rsidRDefault="00285042" w:rsidP="00FD4E5E">
      <w:pPr>
        <w:rPr>
          <w:rFonts w:ascii="Calibri" w:hAnsi="Calibri" w:cs="Calibri"/>
          <w:sz w:val="20"/>
          <w:szCs w:val="20"/>
        </w:rPr>
      </w:pPr>
    </w:p>
    <w:p w14:paraId="296FE790" w14:textId="0EAD34A5" w:rsidR="00285042" w:rsidRPr="001C0C4B" w:rsidRDefault="00285042" w:rsidP="00FD4E5E">
      <w:pPr>
        <w:rPr>
          <w:rFonts w:ascii="Calibri" w:hAnsi="Calibri" w:cs="Calibri"/>
          <w:sz w:val="20"/>
          <w:szCs w:val="20"/>
        </w:rPr>
      </w:pPr>
    </w:p>
    <w:p w14:paraId="25C962BA" w14:textId="73C4C987" w:rsidR="00285042" w:rsidRPr="001C0C4B" w:rsidRDefault="00285042" w:rsidP="00FD4E5E">
      <w:pPr>
        <w:rPr>
          <w:rFonts w:ascii="Calibri" w:hAnsi="Calibri" w:cs="Calibri"/>
          <w:sz w:val="20"/>
          <w:szCs w:val="20"/>
        </w:rPr>
      </w:pPr>
    </w:p>
    <w:p w14:paraId="5F742A5D" w14:textId="18CBA384" w:rsidR="00285042" w:rsidRPr="001C0C4B" w:rsidRDefault="00285042" w:rsidP="00FD4E5E">
      <w:pPr>
        <w:rPr>
          <w:rFonts w:ascii="Calibri" w:hAnsi="Calibri" w:cs="Calibri"/>
          <w:sz w:val="20"/>
          <w:szCs w:val="20"/>
        </w:rPr>
      </w:pPr>
    </w:p>
    <w:p w14:paraId="574CC3A9" w14:textId="254CB663" w:rsidR="00285042" w:rsidRPr="001C0C4B" w:rsidRDefault="00285042" w:rsidP="00FD4E5E">
      <w:pPr>
        <w:rPr>
          <w:rFonts w:ascii="Calibri" w:hAnsi="Calibri" w:cs="Calibri"/>
          <w:sz w:val="20"/>
          <w:szCs w:val="20"/>
        </w:rPr>
      </w:pPr>
    </w:p>
    <w:p w14:paraId="23362FA8" w14:textId="3EB79936" w:rsidR="00285042" w:rsidRPr="001C0C4B" w:rsidRDefault="00285042" w:rsidP="00FD4E5E">
      <w:pPr>
        <w:rPr>
          <w:rFonts w:ascii="Calibri" w:hAnsi="Calibri" w:cs="Calibri"/>
          <w:sz w:val="20"/>
          <w:szCs w:val="20"/>
        </w:rPr>
      </w:pPr>
    </w:p>
    <w:p w14:paraId="247D7EAA" w14:textId="3BB388CA" w:rsidR="00881611" w:rsidRPr="001C0C4B" w:rsidRDefault="00881611" w:rsidP="00FD4E5E">
      <w:pPr>
        <w:rPr>
          <w:rFonts w:ascii="Calibri" w:hAnsi="Calibri" w:cs="Calibri"/>
          <w:sz w:val="20"/>
          <w:szCs w:val="20"/>
        </w:rPr>
      </w:pPr>
    </w:p>
    <w:p w14:paraId="719376CF" w14:textId="77777777" w:rsidR="00881611" w:rsidRPr="001C0C4B" w:rsidRDefault="00881611" w:rsidP="00FD4E5E">
      <w:pPr>
        <w:rPr>
          <w:rFonts w:ascii="Calibri" w:hAnsi="Calibri" w:cs="Calibri"/>
          <w:sz w:val="20"/>
          <w:szCs w:val="20"/>
        </w:rPr>
      </w:pPr>
    </w:p>
    <w:p w14:paraId="183FF570" w14:textId="77777777" w:rsidR="00285042" w:rsidRPr="001C0C4B" w:rsidRDefault="00285042" w:rsidP="00FD4E5E">
      <w:pPr>
        <w:rPr>
          <w:rFonts w:ascii="Calibri" w:hAnsi="Calibri" w:cs="Calibri"/>
          <w:sz w:val="20"/>
          <w:szCs w:val="20"/>
        </w:rPr>
      </w:pPr>
    </w:p>
    <w:p w14:paraId="15D22757" w14:textId="305DA461" w:rsidR="00A92487" w:rsidRPr="001C0C4B" w:rsidRDefault="00C73DF6" w:rsidP="00BF2FEE">
      <w:pPr>
        <w:pStyle w:val="Heading1"/>
        <w:numPr>
          <w:ilvl w:val="0"/>
          <w:numId w:val="53"/>
        </w:numPr>
        <w:rPr>
          <w:rFonts w:ascii="Calibri" w:hAnsi="Calibri" w:cs="Calibri"/>
          <w:color w:val="auto"/>
          <w:sz w:val="22"/>
          <w:szCs w:val="22"/>
          <w:lang w:val="en-GB"/>
        </w:rPr>
      </w:pPr>
      <w:bookmarkStart w:id="558" w:name="_Toc96007371"/>
      <w:bookmarkStart w:id="559" w:name="_Toc95915297"/>
      <w:bookmarkStart w:id="560" w:name="_Toc74661336"/>
      <w:bookmarkStart w:id="561" w:name="_Toc110524038"/>
      <w:bookmarkStart w:id="562" w:name="_Toc96005674"/>
      <w:bookmarkStart w:id="563" w:name="_Toc112917686"/>
      <w:r w:rsidRPr="001C0C4B">
        <w:rPr>
          <w:rFonts w:ascii="Calibri" w:hAnsi="Calibri" w:cs="Calibri"/>
          <w:color w:val="auto"/>
          <w:sz w:val="22"/>
          <w:szCs w:val="22"/>
          <w:lang w:val="en-GB"/>
        </w:rPr>
        <w:lastRenderedPageBreak/>
        <w:t>Appendix 3 – Sample size simulations</w:t>
      </w:r>
      <w:bookmarkEnd w:id="558"/>
      <w:bookmarkEnd w:id="559"/>
      <w:bookmarkEnd w:id="560"/>
      <w:bookmarkEnd w:id="561"/>
      <w:bookmarkEnd w:id="562"/>
      <w:bookmarkEnd w:id="563"/>
    </w:p>
    <w:p w14:paraId="02DB69C3"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Sample size projections were done via simulation. Each simulation used a pharmacodynamic model of viral clearance (4) that was fitted to prospectively collected viral load data in 46 individuals. For simplicity, we assumed there was no site dependent effects.</w:t>
      </w:r>
    </w:p>
    <w:p w14:paraId="36750DB8" w14:textId="13B2B56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Interim analyses were performed after 50 patients were enrolled and then for every subsequent 25 patients. In the simulation, out of the 5 interventions 4 were ineffective (no increase in viral clearance) and 1 was effective (10% increase in viral clearance). Figures </w:t>
      </w:r>
      <w:r w:rsidR="008B78A7" w:rsidRPr="001C0C4B">
        <w:rPr>
          <w:rFonts w:ascii="Calibri" w:hAnsi="Calibri" w:cs="Calibri"/>
        </w:rPr>
        <w:t xml:space="preserve">7 </w:t>
      </w:r>
      <w:r w:rsidRPr="001C0C4B">
        <w:rPr>
          <w:rFonts w:ascii="Calibri" w:hAnsi="Calibri" w:cs="Calibri"/>
        </w:rPr>
        <w:t xml:space="preserve">&amp; </w:t>
      </w:r>
      <w:r w:rsidR="000863C4" w:rsidRPr="001C0C4B">
        <w:rPr>
          <w:rFonts w:ascii="Calibri" w:hAnsi="Calibri" w:cs="Calibri"/>
        </w:rPr>
        <w:t>8</w:t>
      </w:r>
      <w:r w:rsidR="008B78A7" w:rsidRPr="001C0C4B">
        <w:rPr>
          <w:rFonts w:ascii="Calibri" w:hAnsi="Calibri" w:cs="Calibri"/>
        </w:rPr>
        <w:t xml:space="preserve"> </w:t>
      </w:r>
      <w:r w:rsidRPr="001C0C4B">
        <w:rPr>
          <w:rFonts w:ascii="Calibri" w:hAnsi="Calibri" w:cs="Calibri"/>
        </w:rPr>
        <w:t>show the type 1 and 1-type 2 errors for different choices of stopping rule thresholds, respectively.</w:t>
      </w:r>
    </w:p>
    <w:p w14:paraId="439C284F" w14:textId="77777777" w:rsidR="00C73DF6" w:rsidRPr="001C0C4B" w:rsidRDefault="00C73DF6" w:rsidP="000C7EB3">
      <w:pPr>
        <w:keepNext/>
        <w:spacing w:after="120" w:line="276" w:lineRule="auto"/>
        <w:jc w:val="center"/>
        <w:rPr>
          <w:rFonts w:ascii="Calibri" w:hAnsi="Calibri" w:cs="Calibri"/>
        </w:rPr>
      </w:pPr>
      <w:r w:rsidRPr="001C0C4B">
        <w:rPr>
          <w:rFonts w:ascii="Calibri" w:hAnsi="Calibri" w:cs="Calibri"/>
          <w:noProof/>
          <w:lang w:bidi="th-TH"/>
        </w:rPr>
        <w:drawing>
          <wp:inline distT="0" distB="0" distL="0" distR="0" wp14:anchorId="40BB4014" wp14:editId="435F151B">
            <wp:extent cx="4572000" cy="4572000"/>
            <wp:effectExtent l="0" t="0" r="0" b="0"/>
            <wp:docPr id="56854804" name="Picture 5685480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4804"/>
                    <pic:cNvPicPr/>
                  </pic:nvPicPr>
                  <pic:blipFill>
                    <a:blip r:embed="rId5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8C32EB9" w14:textId="49E5E8C4" w:rsidR="00C73DF6" w:rsidRPr="001C0C4B" w:rsidRDefault="00C73DF6" w:rsidP="000C7EB3">
      <w:pPr>
        <w:pStyle w:val="Caption"/>
        <w:spacing w:after="120" w:line="276" w:lineRule="auto"/>
        <w:jc w:val="center"/>
        <w:rPr>
          <w:rFonts w:ascii="Calibri" w:hAnsi="Calibri" w:cs="Calibri"/>
          <w:color w:val="auto"/>
          <w:sz w:val="22"/>
          <w:szCs w:val="22"/>
        </w:rPr>
      </w:pPr>
      <w:r w:rsidRPr="001C0C4B">
        <w:rPr>
          <w:rFonts w:ascii="Calibri" w:hAnsi="Calibri" w:cs="Calibri"/>
          <w:color w:val="auto"/>
          <w:sz w:val="22"/>
          <w:szCs w:val="22"/>
        </w:rPr>
        <w:t xml:space="preserve">Figure </w:t>
      </w:r>
      <w:r w:rsidR="000863C4" w:rsidRPr="001C0C4B">
        <w:rPr>
          <w:rFonts w:ascii="Calibri" w:hAnsi="Calibri" w:cs="Calibri"/>
          <w:color w:val="auto"/>
          <w:sz w:val="22"/>
          <w:szCs w:val="22"/>
        </w:rPr>
        <w:t>7</w:t>
      </w:r>
      <w:r w:rsidR="00093265" w:rsidRPr="001C0C4B">
        <w:rPr>
          <w:rFonts w:ascii="Calibri" w:hAnsi="Calibri" w:cs="Calibri"/>
          <w:color w:val="auto"/>
          <w:sz w:val="22"/>
          <w:szCs w:val="22"/>
        </w:rPr>
        <w:t xml:space="preserve"> </w:t>
      </w:r>
      <w:r w:rsidRPr="001C0C4B">
        <w:rPr>
          <w:rFonts w:ascii="Calibri" w:hAnsi="Calibri" w:cs="Calibri"/>
          <w:color w:val="auto"/>
          <w:sz w:val="22"/>
          <w:szCs w:val="22"/>
        </w:rPr>
        <w:t>Estimated type 1 error</w:t>
      </w:r>
    </w:p>
    <w:p w14:paraId="52E448BF"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 xml:space="preserve"> </w:t>
      </w:r>
    </w:p>
    <w:p w14:paraId="1AC7A38D" w14:textId="77777777" w:rsidR="00C73DF6" w:rsidRPr="001C0C4B" w:rsidRDefault="00C73DF6" w:rsidP="000C7EB3">
      <w:pPr>
        <w:keepNext/>
        <w:spacing w:after="120" w:line="276" w:lineRule="auto"/>
        <w:jc w:val="center"/>
        <w:rPr>
          <w:rFonts w:ascii="Calibri" w:hAnsi="Calibri" w:cs="Calibri"/>
        </w:rPr>
      </w:pPr>
      <w:r w:rsidRPr="001C0C4B">
        <w:rPr>
          <w:rFonts w:ascii="Calibri" w:hAnsi="Calibri" w:cs="Calibri"/>
          <w:noProof/>
          <w:lang w:bidi="th-TH"/>
        </w:rPr>
        <w:lastRenderedPageBreak/>
        <w:drawing>
          <wp:inline distT="0" distB="0" distL="0" distR="0" wp14:anchorId="1B2B7409" wp14:editId="541A047C">
            <wp:extent cx="4572000" cy="4572000"/>
            <wp:effectExtent l="0" t="0" r="0" b="0"/>
            <wp:docPr id="820746563" name="Picture 8207465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746563"/>
                    <pic:cNvPicPr/>
                  </pic:nvPicPr>
                  <pic:blipFill>
                    <a:blip r:embed="rId5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7DA1BBB" w14:textId="141F7176" w:rsidR="00C73DF6" w:rsidRPr="001C0C4B" w:rsidRDefault="00C73DF6" w:rsidP="000C7EB3">
      <w:pPr>
        <w:pStyle w:val="Caption"/>
        <w:spacing w:after="120" w:line="276" w:lineRule="auto"/>
        <w:jc w:val="center"/>
        <w:rPr>
          <w:rFonts w:ascii="Calibri" w:hAnsi="Calibri" w:cs="Calibri"/>
          <w:color w:val="auto"/>
          <w:sz w:val="22"/>
          <w:szCs w:val="22"/>
        </w:rPr>
      </w:pPr>
      <w:r w:rsidRPr="001C0C4B">
        <w:rPr>
          <w:rFonts w:ascii="Calibri" w:hAnsi="Calibri" w:cs="Calibri"/>
          <w:color w:val="auto"/>
          <w:sz w:val="22"/>
          <w:szCs w:val="22"/>
        </w:rPr>
        <w:t xml:space="preserve">Figure </w:t>
      </w:r>
      <w:r w:rsidR="000863C4" w:rsidRPr="001C0C4B">
        <w:rPr>
          <w:rFonts w:ascii="Calibri" w:hAnsi="Calibri" w:cs="Calibri"/>
          <w:color w:val="auto"/>
          <w:sz w:val="22"/>
          <w:szCs w:val="22"/>
        </w:rPr>
        <w:t>8</w:t>
      </w:r>
      <w:r w:rsidR="00093265" w:rsidRPr="001C0C4B">
        <w:rPr>
          <w:rFonts w:ascii="Calibri" w:hAnsi="Calibri" w:cs="Calibri"/>
          <w:color w:val="auto"/>
          <w:sz w:val="22"/>
          <w:szCs w:val="22"/>
        </w:rPr>
        <w:t xml:space="preserve"> </w:t>
      </w:r>
      <w:r w:rsidRPr="001C0C4B">
        <w:rPr>
          <w:rFonts w:ascii="Calibri" w:hAnsi="Calibri" w:cs="Calibri"/>
          <w:color w:val="auto"/>
          <w:sz w:val="22"/>
          <w:szCs w:val="22"/>
        </w:rPr>
        <w:t>Estimated power (1-type 2 error)</w:t>
      </w:r>
    </w:p>
    <w:p w14:paraId="0566C807" w14:textId="77777777" w:rsidR="00C73DF6" w:rsidRPr="001C0C4B" w:rsidRDefault="00C73DF6" w:rsidP="00C73DF6">
      <w:pPr>
        <w:spacing w:after="120" w:line="276" w:lineRule="auto"/>
        <w:jc w:val="both"/>
        <w:rPr>
          <w:rFonts w:ascii="Calibri" w:hAnsi="Calibri" w:cs="Calibri"/>
        </w:rPr>
      </w:pPr>
    </w:p>
    <w:p w14:paraId="53146805" w14:textId="77777777" w:rsidR="00C73DF6" w:rsidRPr="001C0C4B" w:rsidRDefault="00C73DF6" w:rsidP="00C73DF6">
      <w:pPr>
        <w:spacing w:after="120" w:line="276" w:lineRule="auto"/>
        <w:jc w:val="both"/>
        <w:rPr>
          <w:rFonts w:ascii="Calibri" w:eastAsia="Calibri" w:hAnsi="Calibri" w:cs="Calibri"/>
        </w:rPr>
      </w:pPr>
    </w:p>
    <w:p w14:paraId="50E7597D"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br w:type="page"/>
      </w:r>
    </w:p>
    <w:p w14:paraId="5660E9CC" w14:textId="4B917924" w:rsidR="00C73DF6" w:rsidRPr="001C0C4B" w:rsidRDefault="00C73DF6" w:rsidP="00BF2FEE">
      <w:pPr>
        <w:pStyle w:val="Heading1"/>
        <w:numPr>
          <w:ilvl w:val="0"/>
          <w:numId w:val="53"/>
        </w:numPr>
        <w:rPr>
          <w:rFonts w:ascii="Calibri" w:hAnsi="Calibri" w:cs="Calibri"/>
          <w:color w:val="auto"/>
          <w:sz w:val="22"/>
          <w:szCs w:val="22"/>
          <w:lang w:val="en-GB"/>
        </w:rPr>
      </w:pPr>
      <w:bookmarkStart w:id="564" w:name="_Toc96007372"/>
      <w:bookmarkStart w:id="565" w:name="_Toc95915298"/>
      <w:bookmarkStart w:id="566" w:name="_Toc74661337"/>
      <w:bookmarkStart w:id="567" w:name="_Toc110524039"/>
      <w:bookmarkStart w:id="568" w:name="_Toc96005675"/>
      <w:bookmarkStart w:id="569" w:name="_Toc112917687"/>
      <w:r w:rsidRPr="001C0C4B">
        <w:rPr>
          <w:rFonts w:ascii="Calibri" w:hAnsi="Calibri" w:cs="Calibri"/>
          <w:color w:val="auto"/>
          <w:sz w:val="22"/>
          <w:szCs w:val="22"/>
          <w:lang w:val="en-GB"/>
        </w:rPr>
        <w:lastRenderedPageBreak/>
        <w:t>Appendix 4 – Exclusion criteria</w:t>
      </w:r>
      <w:bookmarkEnd w:id="564"/>
      <w:bookmarkEnd w:id="565"/>
      <w:bookmarkEnd w:id="566"/>
      <w:bookmarkEnd w:id="567"/>
      <w:bookmarkEnd w:id="568"/>
      <w:bookmarkEnd w:id="569"/>
    </w:p>
    <w:p w14:paraId="5EF62BB2" w14:textId="7E6F4261" w:rsidR="00C73DF6" w:rsidRPr="001C0C4B" w:rsidRDefault="00C73DF6" w:rsidP="00DB39CE">
      <w:pPr>
        <w:rPr>
          <w:rFonts w:ascii="Calibri" w:eastAsiaTheme="minorEastAsia" w:hAnsi="Calibri" w:cs="Calibri"/>
        </w:rPr>
      </w:pPr>
      <w:r w:rsidRPr="001C0C4B">
        <w:rPr>
          <w:rStyle w:val="normaltextrun"/>
          <w:rFonts w:ascii="Calibri" w:eastAsiaTheme="minorEastAsia" w:hAnsi="Calibri" w:cs="Calibri"/>
        </w:rPr>
        <w:t xml:space="preserve">The exclusion criteria in the Master Protocol are expanded upon here. The exclusion criteria in </w:t>
      </w:r>
      <w:r w:rsidRPr="001C0C4B">
        <w:rPr>
          <w:rStyle w:val="normaltextrun"/>
          <w:rFonts w:ascii="Calibri" w:eastAsiaTheme="minorEastAsia" w:hAnsi="Calibri" w:cs="Calibri"/>
          <w:b/>
          <w:bCs/>
        </w:rPr>
        <w:t xml:space="preserve">bold </w:t>
      </w:r>
      <w:r w:rsidRPr="001C0C4B">
        <w:rPr>
          <w:rStyle w:val="normaltextrun"/>
          <w:rFonts w:ascii="Calibri" w:eastAsiaTheme="minorEastAsia" w:hAnsi="Calibri" w:cs="Calibri"/>
        </w:rPr>
        <w:t>below have a corresponding section in this appendix where more details are given. The patient may not enter the study if ANY of the following apply:</w:t>
      </w:r>
    </w:p>
    <w:p w14:paraId="24F73DC8" w14:textId="5FE209DF" w:rsidR="00C73DF6" w:rsidRPr="001C0C4B" w:rsidRDefault="0051300B" w:rsidP="00E142CD">
      <w:pPr>
        <w:pStyle w:val="paragraph"/>
        <w:numPr>
          <w:ilvl w:val="0"/>
          <w:numId w:val="25"/>
        </w:numPr>
        <w:spacing w:before="0" w:beforeAutospacing="0" w:after="120" w:afterAutospacing="0" w:line="276" w:lineRule="auto"/>
        <w:jc w:val="both"/>
        <w:textAlignment w:val="baseline"/>
        <w:rPr>
          <w:rFonts w:ascii="Calibri" w:eastAsiaTheme="minorEastAsia" w:hAnsi="Calibri" w:cs="Calibri"/>
          <w:sz w:val="22"/>
          <w:szCs w:val="22"/>
        </w:rPr>
      </w:pPr>
      <w:r w:rsidRPr="001C0C4B">
        <w:rPr>
          <w:rStyle w:val="normaltextrun"/>
          <w:rFonts w:ascii="Calibri" w:eastAsiaTheme="minorEastAsia" w:hAnsi="Calibri" w:cs="Calibri"/>
          <w:b/>
          <w:bCs/>
          <w:sz w:val="22"/>
          <w:szCs w:val="22"/>
        </w:rPr>
        <w:t xml:space="preserve">Taking </w:t>
      </w:r>
      <w:r w:rsidR="00F1363D" w:rsidRPr="001C0C4B">
        <w:rPr>
          <w:rStyle w:val="normaltextrun"/>
          <w:rFonts w:ascii="Calibri" w:eastAsiaTheme="minorEastAsia" w:hAnsi="Calibri" w:cs="Calibri"/>
          <w:b/>
          <w:bCs/>
          <w:sz w:val="22"/>
          <w:szCs w:val="22"/>
        </w:rPr>
        <w:t xml:space="preserve">any </w:t>
      </w:r>
      <w:r w:rsidR="00C73DF6" w:rsidRPr="001C0C4B">
        <w:rPr>
          <w:rStyle w:val="normaltextrun"/>
          <w:rFonts w:ascii="Calibri" w:eastAsiaTheme="minorEastAsia" w:hAnsi="Calibri" w:cs="Calibri"/>
          <w:b/>
          <w:bCs/>
          <w:sz w:val="22"/>
          <w:szCs w:val="22"/>
        </w:rPr>
        <w:t>concomitant medications or drugs</w:t>
      </w:r>
      <w:r w:rsidR="008B6191" w:rsidRPr="001C0C4B">
        <w:rPr>
          <w:rStyle w:val="normaltextrun"/>
          <w:rFonts w:ascii="Calibri" w:hAnsi="Calibri" w:cs="Calibri"/>
          <w:bCs/>
          <w:sz w:val="22"/>
          <w:szCs w:val="22"/>
        </w:rPr>
        <w:t>†</w:t>
      </w:r>
    </w:p>
    <w:p w14:paraId="14B7166C" w14:textId="5EBB0ACB" w:rsidR="00CE2F74" w:rsidRPr="001C0C4B" w:rsidRDefault="00E9713D" w:rsidP="00E142CD">
      <w:pPr>
        <w:pStyle w:val="paragraph"/>
        <w:numPr>
          <w:ilvl w:val="0"/>
          <w:numId w:val="25"/>
        </w:numPr>
        <w:spacing w:before="0" w:beforeAutospacing="0" w:after="120" w:afterAutospacing="0" w:line="276" w:lineRule="auto"/>
        <w:jc w:val="both"/>
        <w:textAlignment w:val="baseline"/>
        <w:rPr>
          <w:rFonts w:ascii="Calibri" w:eastAsiaTheme="minorEastAsia" w:hAnsi="Calibri" w:cs="Calibri"/>
          <w:sz w:val="22"/>
          <w:szCs w:val="22"/>
        </w:rPr>
      </w:pPr>
      <w:r w:rsidRPr="001C0C4B">
        <w:rPr>
          <w:rFonts w:ascii="Calibri" w:hAnsi="Calibri" w:cs="Calibri"/>
          <w:b/>
          <w:sz w:val="22"/>
          <w:szCs w:val="22"/>
        </w:rPr>
        <w:t>Presence of any chronic illness/</w:t>
      </w:r>
      <w:r w:rsidR="00974AA9" w:rsidRPr="001C0C4B">
        <w:rPr>
          <w:rFonts w:ascii="Calibri" w:hAnsi="Calibri" w:cs="Calibri"/>
          <w:b/>
          <w:sz w:val="22"/>
          <w:szCs w:val="22"/>
        </w:rPr>
        <w:t xml:space="preserve"> </w:t>
      </w:r>
      <w:r w:rsidRPr="001C0C4B">
        <w:rPr>
          <w:rFonts w:ascii="Calibri" w:hAnsi="Calibri" w:cs="Calibri"/>
          <w:b/>
          <w:sz w:val="22"/>
          <w:szCs w:val="22"/>
        </w:rPr>
        <w:t>condition requiring long term treatment</w:t>
      </w:r>
      <w:r w:rsidR="00274670" w:rsidRPr="001C0C4B">
        <w:rPr>
          <w:rFonts w:ascii="Calibri" w:hAnsi="Calibri" w:cs="Calibri"/>
          <w:b/>
          <w:sz w:val="22"/>
          <w:szCs w:val="22"/>
        </w:rPr>
        <w:t>,</w:t>
      </w:r>
      <w:r w:rsidRPr="001C0C4B">
        <w:rPr>
          <w:rFonts w:ascii="Calibri" w:hAnsi="Calibri" w:cs="Calibri"/>
          <w:b/>
          <w:sz w:val="22"/>
          <w:szCs w:val="22"/>
        </w:rPr>
        <w:t xml:space="preserve"> or </w:t>
      </w:r>
      <w:r w:rsidR="0051300B" w:rsidRPr="001C0C4B">
        <w:rPr>
          <w:rFonts w:ascii="Calibri" w:hAnsi="Calibri" w:cs="Calibri"/>
          <w:b/>
          <w:sz w:val="22"/>
          <w:szCs w:val="22"/>
        </w:rPr>
        <w:t xml:space="preserve">other </w:t>
      </w:r>
      <w:r w:rsidRPr="001C0C4B">
        <w:rPr>
          <w:rFonts w:ascii="Calibri" w:hAnsi="Calibri" w:cs="Calibri"/>
          <w:b/>
          <w:sz w:val="22"/>
          <w:szCs w:val="22"/>
        </w:rPr>
        <w:t>significant comorbidity</w:t>
      </w:r>
      <w:r w:rsidRPr="001C0C4B">
        <w:rPr>
          <w:rStyle w:val="normaltextrun"/>
          <w:rFonts w:ascii="Calibri" w:eastAsiaTheme="minorEastAsia" w:hAnsi="Calibri" w:cs="Calibri"/>
          <w:b/>
          <w:sz w:val="22"/>
          <w:szCs w:val="22"/>
        </w:rPr>
        <w:t xml:space="preserve"> </w:t>
      </w:r>
    </w:p>
    <w:p w14:paraId="1D1C3B71" w14:textId="77777777" w:rsidR="00CE2F74" w:rsidRPr="001C0C4B" w:rsidRDefault="00CE2F74" w:rsidP="00E142CD">
      <w:pPr>
        <w:pStyle w:val="paragraph"/>
        <w:numPr>
          <w:ilvl w:val="0"/>
          <w:numId w:val="25"/>
        </w:numPr>
        <w:spacing w:before="0" w:beforeAutospacing="0" w:after="120" w:afterAutospacing="0" w:line="276" w:lineRule="auto"/>
        <w:jc w:val="both"/>
        <w:textAlignment w:val="baseline"/>
        <w:rPr>
          <w:rFonts w:cstheme="minorHAnsi"/>
          <w:b/>
          <w:bCs/>
        </w:rPr>
      </w:pPr>
      <w:r w:rsidRPr="001C0C4B">
        <w:rPr>
          <w:rFonts w:asciiTheme="minorHAnsi" w:hAnsiTheme="minorHAnsi" w:cstheme="minorHAnsi"/>
          <w:b/>
          <w:bCs/>
          <w:sz w:val="22"/>
          <w:szCs w:val="22"/>
        </w:rPr>
        <w:t xml:space="preserve">Laboratory abnormalities discovered at screening </w:t>
      </w:r>
    </w:p>
    <w:p w14:paraId="2A616792" w14:textId="37631C77" w:rsidR="00C73DF6" w:rsidRPr="001C0C4B" w:rsidRDefault="00081E22" w:rsidP="00F7283A">
      <w:pPr>
        <w:pStyle w:val="paragraph"/>
        <w:numPr>
          <w:ilvl w:val="0"/>
          <w:numId w:val="25"/>
        </w:numPr>
        <w:spacing w:before="0" w:beforeAutospacing="0" w:after="120" w:afterAutospacing="0" w:line="276" w:lineRule="auto"/>
        <w:jc w:val="both"/>
        <w:textAlignment w:val="baseline"/>
        <w:rPr>
          <w:rStyle w:val="eop"/>
          <w:rFonts w:ascii="Calibri" w:eastAsiaTheme="majorEastAsia" w:hAnsi="Calibri"/>
          <w:sz w:val="22"/>
          <w:lang w:val="en-US"/>
        </w:rPr>
      </w:pPr>
      <w:r w:rsidRPr="001C0C4B">
        <w:rPr>
          <w:rStyle w:val="normaltextrun"/>
          <w:rFonts w:ascii="Calibri" w:eastAsiaTheme="minorEastAsia" w:hAnsi="Calibri"/>
          <w:sz w:val="22"/>
        </w:rPr>
        <w:t>For females: pregnancy</w:t>
      </w:r>
      <w:r w:rsidRPr="001C0C4B">
        <w:rPr>
          <w:rStyle w:val="normaltextrun"/>
          <w:rFonts w:ascii="Calibri" w:hAnsi="Calibri"/>
          <w:sz w:val="22"/>
        </w:rPr>
        <w:t>,</w:t>
      </w:r>
      <w:r w:rsidRPr="001C0C4B">
        <w:rPr>
          <w:rFonts w:ascii="Calibri" w:hAnsi="Calibri"/>
          <w:sz w:val="22"/>
        </w:rPr>
        <w:t xml:space="preserve"> </w:t>
      </w:r>
      <w:r w:rsidRPr="001C0C4B">
        <w:rPr>
          <w:rFonts w:ascii="Calibri" w:eastAsiaTheme="minorEastAsia" w:hAnsi="Calibri"/>
          <w:sz w:val="22"/>
        </w:rPr>
        <w:t>actively trying to become pregnant</w:t>
      </w:r>
      <w:r w:rsidRPr="001C0C4B">
        <w:rPr>
          <w:rFonts w:ascii="Calibri" w:hAnsi="Calibri"/>
          <w:sz w:val="22"/>
        </w:rPr>
        <w:t>,</w:t>
      </w:r>
      <w:r w:rsidRPr="001C0C4B">
        <w:rPr>
          <w:rStyle w:val="normaltextrun"/>
          <w:rFonts w:ascii="Calibri" w:eastAsiaTheme="minorEastAsia" w:hAnsi="Calibri"/>
          <w:sz w:val="22"/>
        </w:rPr>
        <w:t xml:space="preserve"> or lactation</w:t>
      </w:r>
    </w:p>
    <w:p w14:paraId="75CF171D" w14:textId="77777777" w:rsidR="00C73DF6" w:rsidRPr="001C0C4B" w:rsidRDefault="00C73DF6" w:rsidP="00E142CD">
      <w:pPr>
        <w:pStyle w:val="ListParagraph"/>
        <w:numPr>
          <w:ilvl w:val="0"/>
          <w:numId w:val="25"/>
        </w:numPr>
        <w:spacing w:after="120" w:line="276" w:lineRule="auto"/>
        <w:contextualSpacing w:val="0"/>
        <w:jc w:val="both"/>
        <w:textAlignment w:val="baseline"/>
        <w:rPr>
          <w:rStyle w:val="eop"/>
          <w:rFonts w:ascii="Calibri" w:hAnsi="Calibri" w:cs="Calibri"/>
          <w:b/>
          <w:bCs/>
          <w:sz w:val="24"/>
          <w:szCs w:val="24"/>
          <w:lang w:val="en-GB" w:eastAsia="en-GB"/>
        </w:rPr>
      </w:pPr>
      <w:r w:rsidRPr="001C0C4B">
        <w:rPr>
          <w:rStyle w:val="eop"/>
          <w:rFonts w:ascii="Calibri" w:eastAsiaTheme="minorEastAsia" w:hAnsi="Calibri" w:cs="Calibri"/>
          <w:b/>
          <w:bCs/>
        </w:rPr>
        <w:t xml:space="preserve">Contraindication to taking, or known hypersensitivity reaction to any of the proposed therapeutics </w:t>
      </w:r>
    </w:p>
    <w:p w14:paraId="24B6B3E4" w14:textId="090406AD" w:rsidR="00C73DF6" w:rsidRPr="001C0C4B" w:rsidRDefault="00C73DF6" w:rsidP="00E142CD">
      <w:pPr>
        <w:pStyle w:val="ListParagraph"/>
        <w:numPr>
          <w:ilvl w:val="0"/>
          <w:numId w:val="25"/>
        </w:numPr>
        <w:spacing w:after="120" w:line="276" w:lineRule="auto"/>
        <w:contextualSpacing w:val="0"/>
        <w:jc w:val="both"/>
        <w:textAlignment w:val="baseline"/>
        <w:rPr>
          <w:rStyle w:val="eop"/>
          <w:rFonts w:ascii="Calibri" w:hAnsi="Calibri" w:cs="Calibri"/>
          <w:lang w:val="en-GB" w:eastAsia="en-GB"/>
        </w:rPr>
      </w:pPr>
      <w:r w:rsidRPr="001C0C4B">
        <w:rPr>
          <w:rStyle w:val="eop"/>
          <w:rFonts w:ascii="Calibri" w:eastAsiaTheme="minorEastAsia" w:hAnsi="Calibri" w:cs="Calibri"/>
        </w:rPr>
        <w:t>Currently participating in another COVID-19 therapeutic or vaccine trial</w:t>
      </w:r>
    </w:p>
    <w:p w14:paraId="3A86772E" w14:textId="77777777" w:rsidR="00B83F15" w:rsidRPr="001C0C4B" w:rsidRDefault="00B83F15" w:rsidP="00E142CD">
      <w:pPr>
        <w:pStyle w:val="ListParagraph"/>
        <w:numPr>
          <w:ilvl w:val="0"/>
          <w:numId w:val="25"/>
        </w:numPr>
        <w:spacing w:after="0" w:line="240" w:lineRule="auto"/>
        <w:jc w:val="both"/>
        <w:textAlignment w:val="baseline"/>
        <w:rPr>
          <w:rStyle w:val="eop"/>
          <w:rFonts w:ascii="Calibri" w:hAnsi="Calibri" w:cs="Calibri"/>
          <w:lang w:val="en-GB" w:eastAsia="en-GB"/>
        </w:rPr>
      </w:pPr>
      <w:r w:rsidRPr="001C0C4B">
        <w:rPr>
          <w:rStyle w:val="eop"/>
          <w:rFonts w:eastAsiaTheme="minorEastAsia"/>
        </w:rPr>
        <w:t>Evidence of pneumonia (although imaging is NOT required)</w:t>
      </w:r>
    </w:p>
    <w:p w14:paraId="7A80CEB2" w14:textId="77777777" w:rsidR="00B83F15" w:rsidRPr="001C0C4B" w:rsidRDefault="00B83F15" w:rsidP="00175B86">
      <w:pPr>
        <w:pStyle w:val="ListParagraph"/>
        <w:spacing w:after="120" w:line="276" w:lineRule="auto"/>
        <w:contextualSpacing w:val="0"/>
        <w:jc w:val="both"/>
        <w:textAlignment w:val="baseline"/>
        <w:rPr>
          <w:rStyle w:val="eop"/>
          <w:rFonts w:ascii="Calibri" w:hAnsi="Calibri" w:cs="Calibri"/>
          <w:lang w:val="en-GB" w:eastAsia="en-GB"/>
        </w:rPr>
      </w:pPr>
    </w:p>
    <w:p w14:paraId="59CDC786" w14:textId="77777777" w:rsidR="00EE5D0C" w:rsidRPr="001C0C4B" w:rsidRDefault="00EE5D0C" w:rsidP="004A09F6">
      <w:pPr>
        <w:pStyle w:val="footnote"/>
        <w:rPr>
          <w:rStyle w:val="normaltextrun"/>
          <w:rFonts w:ascii="Calibri" w:hAnsi="Calibri" w:cs="Calibri"/>
          <w:sz w:val="22"/>
          <w:szCs w:val="22"/>
        </w:rPr>
      </w:pPr>
      <w:r w:rsidRPr="001C0C4B">
        <w:rPr>
          <w:rFonts w:ascii="Calibri" w:hAnsi="Calibri" w:cs="Calibri"/>
          <w:sz w:val="22"/>
          <w:szCs w:val="22"/>
        </w:rPr>
        <w:t>† healthy women on the oral contraceptive pill are eligible to join the study</w:t>
      </w:r>
    </w:p>
    <w:p w14:paraId="101FEB27" w14:textId="77777777" w:rsidR="00C73DF6" w:rsidRPr="001C0C4B" w:rsidRDefault="00C73DF6" w:rsidP="00255A69">
      <w:pPr>
        <w:pStyle w:val="bullet10"/>
      </w:pPr>
    </w:p>
    <w:p w14:paraId="338CE8EC" w14:textId="5C839C2A" w:rsidR="00C73DF6" w:rsidRPr="001C0C4B" w:rsidRDefault="0051300B" w:rsidP="00E142CD">
      <w:pPr>
        <w:pStyle w:val="ListParagraph"/>
        <w:numPr>
          <w:ilvl w:val="0"/>
          <w:numId w:val="26"/>
        </w:numPr>
        <w:rPr>
          <w:rFonts w:ascii="Calibri" w:hAnsi="Calibri" w:cs="Calibri"/>
          <w:lang w:val="en-GB"/>
        </w:rPr>
      </w:pPr>
      <w:r w:rsidRPr="001C0C4B">
        <w:rPr>
          <w:rFonts w:ascii="Calibri" w:hAnsi="Calibri" w:cs="Calibri"/>
          <w:lang w:val="en-GB"/>
        </w:rPr>
        <w:t xml:space="preserve">Taking </w:t>
      </w:r>
      <w:r w:rsidR="00F1363D" w:rsidRPr="001C0C4B">
        <w:rPr>
          <w:rFonts w:ascii="Calibri" w:hAnsi="Calibri" w:cs="Calibri"/>
          <w:lang w:val="en-GB"/>
        </w:rPr>
        <w:t xml:space="preserve">any </w:t>
      </w:r>
      <w:r w:rsidR="00C73DF6" w:rsidRPr="001C0C4B">
        <w:rPr>
          <w:rFonts w:ascii="Calibri" w:hAnsi="Calibri" w:cs="Calibri"/>
          <w:lang w:val="en-GB"/>
        </w:rPr>
        <w:t>concomitant medications or drugs</w:t>
      </w:r>
    </w:p>
    <w:p w14:paraId="53D8871E" w14:textId="73B9376B" w:rsidR="00DB52B6" w:rsidRPr="001C0C4B" w:rsidRDefault="00C0581C" w:rsidP="00C0581C">
      <w:pPr>
        <w:rPr>
          <w:rFonts w:ascii="Calibri" w:hAnsi="Calibri" w:cs="Calibri"/>
        </w:rPr>
      </w:pPr>
      <w:r w:rsidRPr="001C0C4B">
        <w:rPr>
          <w:rFonts w:ascii="Calibri" w:hAnsi="Calibri" w:cs="Calibri"/>
        </w:rPr>
        <w:t xml:space="preserve">The study will exclude all patients taking </w:t>
      </w:r>
      <w:r w:rsidRPr="001C0C4B">
        <w:rPr>
          <w:rFonts w:ascii="Calibri" w:hAnsi="Calibri" w:cs="Calibri"/>
          <w:b/>
          <w:bCs/>
        </w:rPr>
        <w:t>regular drugs</w:t>
      </w:r>
      <w:r w:rsidR="00024E5D" w:rsidRPr="001C0C4B">
        <w:rPr>
          <w:rFonts w:ascii="Calibri" w:hAnsi="Calibri" w:cs="Calibri"/>
        </w:rPr>
        <w:t xml:space="preserve"> including herbal drugs for the treatment of COVID-19</w:t>
      </w:r>
      <w:r w:rsidR="000C29FD" w:rsidRPr="001C0C4B">
        <w:rPr>
          <w:rFonts w:ascii="Calibri" w:hAnsi="Calibri" w:cs="Calibri"/>
        </w:rPr>
        <w:t>,</w:t>
      </w:r>
      <w:r w:rsidRPr="001C0C4B">
        <w:rPr>
          <w:rFonts w:ascii="Calibri" w:hAnsi="Calibri" w:cs="Calibri"/>
        </w:rPr>
        <w:t xml:space="preserve"> but some patients may take over the counter drugs</w:t>
      </w:r>
      <w:r w:rsidR="00DB52B6" w:rsidRPr="001C0C4B">
        <w:rPr>
          <w:rFonts w:ascii="Calibri" w:hAnsi="Calibri" w:cs="Calibri"/>
        </w:rPr>
        <w:t xml:space="preserve"> or other vitamin and herbal supplements if considered safe in the judgement of the site investigator upon screening assessment</w:t>
      </w:r>
      <w:r w:rsidRPr="001C0C4B">
        <w:rPr>
          <w:rFonts w:ascii="Calibri" w:hAnsi="Calibri" w:cs="Calibri"/>
        </w:rPr>
        <w:t xml:space="preserve">. </w:t>
      </w:r>
      <w:r w:rsidR="00DB52B6" w:rsidRPr="001C0C4B">
        <w:rPr>
          <w:rFonts w:ascii="Calibri" w:hAnsi="Calibri" w:cs="Calibri"/>
        </w:rPr>
        <w:t>Patients should be counseled to end and avoid all non-essential medications during study participation.</w:t>
      </w:r>
      <w:r w:rsidR="007678BC" w:rsidRPr="001C0C4B">
        <w:rPr>
          <w:rFonts w:ascii="Calibri" w:hAnsi="Calibri" w:cs="Calibri"/>
        </w:rPr>
        <w:t xml:space="preserve"> In certain circumstances where a patient is on a regular medication, which does not reflect an excluded underlying illness and in the decision of the study PI is not likely to interfere with the study outcomes, or predispose the patient to any increased risk, a decision can be made to enrol. In all cases, the risks/ benefits of this decision should be documented, as well as the person(s) making the decision.</w:t>
      </w:r>
    </w:p>
    <w:p w14:paraId="77BA081E" w14:textId="6F02A749" w:rsidR="00C0581C" w:rsidRPr="001C0C4B" w:rsidRDefault="00C0581C" w:rsidP="00C0581C">
      <w:pPr>
        <w:rPr>
          <w:rFonts w:ascii="Calibri" w:hAnsi="Calibri" w:cs="Calibri"/>
        </w:rPr>
      </w:pPr>
      <w:r w:rsidRPr="001C0C4B">
        <w:rPr>
          <w:rFonts w:ascii="Calibri" w:hAnsi="Calibri" w:cs="Calibri"/>
        </w:rPr>
        <w:t>Drug interactions change rapidly as new data become available. If in any doubt, please refer to some of the web sites below:</w:t>
      </w:r>
    </w:p>
    <w:p w14:paraId="36D662FB" w14:textId="77777777" w:rsidR="00C0581C" w:rsidRPr="001C0C4B" w:rsidRDefault="00000000" w:rsidP="00255A69">
      <w:pPr>
        <w:pStyle w:val="bullet10"/>
        <w:rPr>
          <w:rFonts w:cs="Calibri"/>
        </w:rPr>
      </w:pPr>
      <w:hyperlink r:id="rId60" w:history="1">
        <w:r w:rsidR="00C0581C" w:rsidRPr="001C0C4B">
          <w:rPr>
            <w:rStyle w:val="Hyperlink"/>
            <w:rFonts w:cs="Calibri"/>
            <w:color w:val="auto"/>
          </w:rPr>
          <w:t>https://www.covid19-druginteractions.org/checker</w:t>
        </w:r>
      </w:hyperlink>
    </w:p>
    <w:p w14:paraId="59A0093B" w14:textId="77777777" w:rsidR="00C0581C" w:rsidRPr="001C0C4B" w:rsidRDefault="00000000" w:rsidP="00255A69">
      <w:pPr>
        <w:pStyle w:val="bullet10"/>
        <w:rPr>
          <w:rFonts w:cs="Calibri"/>
          <w:iCs/>
        </w:rPr>
      </w:pPr>
      <w:hyperlink r:id="rId61" w:history="1">
        <w:r w:rsidR="00C0581C" w:rsidRPr="001C0C4B">
          <w:rPr>
            <w:rStyle w:val="Hyperlink"/>
            <w:rFonts w:cs="Calibri"/>
            <w:iCs/>
            <w:color w:val="auto"/>
          </w:rPr>
          <w:t>https://crediblemeds.org/</w:t>
        </w:r>
      </w:hyperlink>
    </w:p>
    <w:p w14:paraId="6B8EF24D" w14:textId="77777777" w:rsidR="00C0581C" w:rsidRPr="001C0C4B" w:rsidRDefault="00000000" w:rsidP="00255A69">
      <w:pPr>
        <w:pStyle w:val="bullet10"/>
        <w:rPr>
          <w:iCs/>
        </w:rPr>
      </w:pPr>
      <w:hyperlink r:id="rId62" w:history="1">
        <w:r w:rsidR="00C0581C" w:rsidRPr="001C0C4B">
          <w:rPr>
            <w:rStyle w:val="Hyperlink"/>
            <w:rFonts w:cs="Calibri"/>
            <w:color w:val="auto"/>
          </w:rPr>
          <w:t>https://compendium.ch/fr/Patient</w:t>
        </w:r>
      </w:hyperlink>
      <w:r w:rsidR="00C0581C" w:rsidRPr="001C0C4B">
        <w:t xml:space="preserve"> - this is a Swiss website dealing with drug interactions</w:t>
      </w:r>
    </w:p>
    <w:p w14:paraId="65F253F4" w14:textId="77777777" w:rsidR="00C0581C" w:rsidRPr="001C0C4B" w:rsidRDefault="00000000" w:rsidP="00255A69">
      <w:pPr>
        <w:pStyle w:val="bullet10"/>
        <w:rPr>
          <w:iCs/>
        </w:rPr>
      </w:pPr>
      <w:hyperlink r:id="rId63" w:history="1">
        <w:r w:rsidR="00C0581C" w:rsidRPr="001C0C4B">
          <w:rPr>
            <w:rStyle w:val="Hyperlink"/>
            <w:rFonts w:cs="Calibri"/>
            <w:color w:val="auto"/>
          </w:rPr>
          <w:t>https://www.bnf.org/products/bnf-online/</w:t>
        </w:r>
      </w:hyperlink>
      <w:r w:rsidR="00C0581C" w:rsidRPr="001C0C4B">
        <w:t xml:space="preserve"> - available only in the UK</w:t>
      </w:r>
    </w:p>
    <w:p w14:paraId="1C8BABB5" w14:textId="77777777" w:rsidR="00C0581C" w:rsidRPr="001C0C4B" w:rsidRDefault="00000000" w:rsidP="00255A69">
      <w:pPr>
        <w:pStyle w:val="bullet10"/>
      </w:pPr>
      <w:hyperlink r:id="rId64" w:anchor="di-druglist" w:history="1">
        <w:r w:rsidR="00C0581C" w:rsidRPr="001C0C4B">
          <w:rPr>
            <w:rStyle w:val="Hyperlink"/>
            <w:rFonts w:cs="Calibri"/>
            <w:color w:val="auto"/>
          </w:rPr>
          <w:t>https://www.uptodate.com/drug-interactions/?source=responsive_home#di-druglist</w:t>
        </w:r>
      </w:hyperlink>
      <w:r w:rsidR="00C0581C" w:rsidRPr="001C0C4B">
        <w:t xml:space="preserve"> – this requires a subscription</w:t>
      </w:r>
    </w:p>
    <w:p w14:paraId="6F74E8EA" w14:textId="77777777" w:rsidR="00C73DF6" w:rsidRPr="001C0C4B" w:rsidRDefault="00C73DF6" w:rsidP="00C73DF6">
      <w:pPr>
        <w:rPr>
          <w:rFonts w:ascii="Calibri" w:hAnsi="Calibri" w:cs="Calibri"/>
        </w:rPr>
      </w:pPr>
    </w:p>
    <w:p w14:paraId="731858E8" w14:textId="2EF0A345" w:rsidR="00C73DF6" w:rsidRPr="001C0C4B" w:rsidRDefault="00F42604" w:rsidP="00E142CD">
      <w:pPr>
        <w:pStyle w:val="ListParagraph"/>
        <w:numPr>
          <w:ilvl w:val="0"/>
          <w:numId w:val="26"/>
        </w:numPr>
        <w:rPr>
          <w:rFonts w:ascii="Calibri" w:hAnsi="Calibri" w:cs="Calibri"/>
          <w:lang w:val="en-GB"/>
        </w:rPr>
      </w:pPr>
      <w:r w:rsidRPr="001C0C4B">
        <w:rPr>
          <w:rFonts w:ascii="Calibri" w:hAnsi="Calibri" w:cs="Calibri"/>
          <w:lang w:val="en-GB"/>
        </w:rPr>
        <w:t>Presence of any chronic illness/</w:t>
      </w:r>
      <w:r w:rsidR="00AE4A4D" w:rsidRPr="001C0C4B">
        <w:rPr>
          <w:rFonts w:ascii="Calibri" w:hAnsi="Calibri" w:cs="Calibri"/>
          <w:lang w:val="en-GB"/>
        </w:rPr>
        <w:t xml:space="preserve"> </w:t>
      </w:r>
      <w:r w:rsidRPr="001C0C4B">
        <w:rPr>
          <w:rFonts w:ascii="Calibri" w:hAnsi="Calibri" w:cs="Calibri"/>
          <w:lang w:val="en-GB"/>
        </w:rPr>
        <w:t>condition requiring long term treatment</w:t>
      </w:r>
      <w:r w:rsidR="00274670" w:rsidRPr="001C0C4B">
        <w:rPr>
          <w:rFonts w:ascii="Calibri" w:hAnsi="Calibri" w:cs="Calibri"/>
          <w:lang w:val="en-GB"/>
        </w:rPr>
        <w:t>,</w:t>
      </w:r>
      <w:r w:rsidRPr="001C0C4B">
        <w:rPr>
          <w:rFonts w:ascii="Calibri" w:hAnsi="Calibri" w:cs="Calibri"/>
          <w:lang w:val="en-GB"/>
        </w:rPr>
        <w:t xml:space="preserve"> or</w:t>
      </w:r>
      <w:r w:rsidR="0051300B" w:rsidRPr="001C0C4B">
        <w:rPr>
          <w:rFonts w:ascii="Calibri" w:hAnsi="Calibri" w:cs="Calibri"/>
          <w:lang w:val="en-GB"/>
        </w:rPr>
        <w:t xml:space="preserve"> other</w:t>
      </w:r>
      <w:r w:rsidRPr="001C0C4B">
        <w:rPr>
          <w:rFonts w:ascii="Calibri" w:hAnsi="Calibri" w:cs="Calibri"/>
          <w:lang w:val="en-GB"/>
        </w:rPr>
        <w:t xml:space="preserve"> significant comorbidity</w:t>
      </w:r>
    </w:p>
    <w:p w14:paraId="00C9D033" w14:textId="3C593716" w:rsidR="00C27140" w:rsidRPr="001C0C4B" w:rsidRDefault="00C27140" w:rsidP="00C27140">
      <w:pPr>
        <w:jc w:val="both"/>
        <w:rPr>
          <w:rFonts w:ascii="Calibri" w:hAnsi="Calibri" w:cs="Calibri"/>
        </w:rPr>
      </w:pPr>
      <w:r w:rsidRPr="001C0C4B">
        <w:rPr>
          <w:rFonts w:ascii="Calibri" w:hAnsi="Calibri" w:cs="Calibri"/>
        </w:rPr>
        <w:t>The protocol excludes almost all individuals with a chronic illness of any severity and those with an illness that requires long term treatment. In addition, the following are considered significant comorbidities</w:t>
      </w:r>
      <w:r w:rsidRPr="001C0C4B">
        <w:rPr>
          <w:rFonts w:ascii="Calibri" w:eastAsia="Calibri" w:hAnsi="Calibri" w:cs="Cordia New"/>
        </w:rPr>
        <w:t xml:space="preserve"> due to their </w:t>
      </w:r>
      <w:r w:rsidRPr="001C0C4B">
        <w:rPr>
          <w:rFonts w:ascii="Calibri" w:eastAsia="Calibri" w:hAnsi="Calibri" w:cs="Cordia New"/>
        </w:rPr>
        <w:lastRenderedPageBreak/>
        <w:t>known association with worse outcomes in COVID-19 according to the MOPH guideline; 1. Chronic respiratory disease, 2. Cardiovascular disease, 3. Chronic kidney disease, 4. Stroke, 5. Obesity, 6. Cancer, 7. Diabetes.</w:t>
      </w:r>
    </w:p>
    <w:p w14:paraId="5944D8A4" w14:textId="49D4F441" w:rsidR="00C27140" w:rsidRPr="001C0C4B" w:rsidRDefault="00C27140" w:rsidP="00255A69">
      <w:pPr>
        <w:pStyle w:val="bullet10"/>
      </w:pPr>
      <w:r w:rsidRPr="001C0C4B">
        <w:t>BMI ≥ 3</w:t>
      </w:r>
      <w:r w:rsidR="0090448B" w:rsidRPr="001C0C4B">
        <w:t>5</w:t>
      </w:r>
      <w:r w:rsidRPr="001C0C4B">
        <w:t xml:space="preserve"> kg/m</w:t>
      </w:r>
      <w:r w:rsidRPr="001C0C4B">
        <w:rPr>
          <w:vertAlign w:val="superscript"/>
        </w:rPr>
        <w:t>2</w:t>
      </w:r>
    </w:p>
    <w:p w14:paraId="4137FA8C" w14:textId="77777777" w:rsidR="00C27140" w:rsidRPr="001C0C4B" w:rsidRDefault="00C27140" w:rsidP="00255A69">
      <w:pPr>
        <w:pStyle w:val="bullet10"/>
      </w:pPr>
      <w:r w:rsidRPr="001C0C4B">
        <w:t>Diet controlled diabetes mellitus</w:t>
      </w:r>
    </w:p>
    <w:p w14:paraId="1B93B28A" w14:textId="09AB2EA5" w:rsidR="00C27140" w:rsidRPr="001C0C4B" w:rsidRDefault="00C27140" w:rsidP="00255A69">
      <w:pPr>
        <w:pStyle w:val="bullet10"/>
      </w:pPr>
      <w:r w:rsidRPr="001C0C4B">
        <w:t xml:space="preserve">Reduced kidney function – eGFR &lt; </w:t>
      </w:r>
      <w:r w:rsidR="003D69F6" w:rsidRPr="001C0C4B">
        <w:t>70</w:t>
      </w:r>
      <w:r w:rsidRPr="001C0C4B">
        <w:t xml:space="preserve"> mls/min/1.73m</w:t>
      </w:r>
      <w:r w:rsidRPr="001C0C4B">
        <w:rPr>
          <w:vertAlign w:val="superscript"/>
        </w:rPr>
        <w:t>2</w:t>
      </w:r>
      <w:r w:rsidRPr="001C0C4B">
        <w:t>*</w:t>
      </w:r>
    </w:p>
    <w:p w14:paraId="0C351E45" w14:textId="7FBD842A" w:rsidR="00C27140" w:rsidRPr="001C0C4B" w:rsidRDefault="00C27140" w:rsidP="00255A69">
      <w:pPr>
        <w:pStyle w:val="bullet10"/>
        <w:rPr>
          <w:rFonts w:cs="Calibri"/>
        </w:rPr>
      </w:pPr>
      <w:r w:rsidRPr="001C0C4B">
        <w:rPr>
          <w:rFonts w:cs="Calibri"/>
        </w:rPr>
        <w:t>Any known underlying liver disease</w:t>
      </w:r>
      <w:r w:rsidRPr="001C0C4B">
        <w:t>, HIV infection and other immunocompromised condition.</w:t>
      </w:r>
    </w:p>
    <w:p w14:paraId="0CEDD523" w14:textId="77777777" w:rsidR="00C27140" w:rsidRPr="001C0C4B" w:rsidRDefault="00C27140" w:rsidP="00255A69">
      <w:pPr>
        <w:pStyle w:val="bullet10"/>
      </w:pPr>
      <w:r w:rsidRPr="001C0C4B">
        <w:t>Asplenia</w:t>
      </w:r>
    </w:p>
    <w:p w14:paraId="1B16584A" w14:textId="77777777" w:rsidR="00C27140" w:rsidRPr="001C0C4B" w:rsidRDefault="00C27140" w:rsidP="00255A69">
      <w:pPr>
        <w:pStyle w:val="bullet10"/>
      </w:pPr>
      <w:r w:rsidRPr="001C0C4B">
        <w:t xml:space="preserve">Any underlying bleeding disorder e.g. haemophilia, von Willibrand’s disease </w:t>
      </w:r>
    </w:p>
    <w:p w14:paraId="4345C7AE" w14:textId="77777777" w:rsidR="00C27140" w:rsidRPr="001C0C4B" w:rsidRDefault="00C27140" w:rsidP="00255A69">
      <w:pPr>
        <w:pStyle w:val="bullet10"/>
      </w:pPr>
      <w:r w:rsidRPr="001C0C4B">
        <w:t>Suffering with any other disease which in the opinion of the investigator poses undue risk to the potential patient</w:t>
      </w:r>
    </w:p>
    <w:p w14:paraId="670A2BE9" w14:textId="77777777" w:rsidR="00C27140" w:rsidRPr="001C0C4B" w:rsidRDefault="00C27140" w:rsidP="00C27140">
      <w:pPr>
        <w:pStyle w:val="footnote"/>
        <w:rPr>
          <w:rFonts w:ascii="Calibri" w:hAnsi="Calibri" w:cs="Calibri"/>
          <w:sz w:val="22"/>
          <w:szCs w:val="22"/>
        </w:rPr>
      </w:pPr>
      <w:r w:rsidRPr="001C0C4B">
        <w:rPr>
          <w:rFonts w:ascii="Calibri" w:hAnsi="Calibri" w:cs="Calibri"/>
          <w:sz w:val="22"/>
          <w:szCs w:val="22"/>
        </w:rPr>
        <w:t xml:space="preserve">*eGFR for males is calculated based on the Chronic Kidney Disease Epidemiology Collaboration </w:t>
      </w:r>
      <w:r w:rsidRPr="001C0C4B">
        <w:rPr>
          <w:rFonts w:ascii="Calibri" w:hAnsi="Calibri" w:cs="Calibri"/>
          <w:noProof/>
          <w:sz w:val="22"/>
          <w:szCs w:val="22"/>
        </w:rPr>
        <w:t>(Andrew S Levey, Lesley A Stevens et al. 2009)</w:t>
      </w:r>
    </w:p>
    <w:p w14:paraId="0C437159" w14:textId="77777777" w:rsidR="00C27140" w:rsidRPr="001C0C4B" w:rsidRDefault="00000000" w:rsidP="00C27140">
      <w:pPr>
        <w:pStyle w:val="footnote"/>
        <w:rPr>
          <w:rFonts w:ascii="Calibri" w:hAnsi="Calibri" w:cs="Calibri"/>
          <w:sz w:val="22"/>
          <w:szCs w:val="22"/>
        </w:rPr>
      </w:pPr>
      <w:hyperlink r:id="rId65" w:history="1">
        <w:r w:rsidR="00C27140" w:rsidRPr="001C0C4B">
          <w:rPr>
            <w:rStyle w:val="Hyperlink"/>
            <w:rFonts w:ascii="Calibri" w:hAnsi="Calibri" w:cs="Calibri"/>
            <w:color w:val="auto"/>
            <w:sz w:val="22"/>
            <w:szCs w:val="22"/>
          </w:rPr>
          <w:t>https://qxmd.com/calculate/calculator_251/egfr-using-ckd-epi</w:t>
        </w:r>
      </w:hyperlink>
    </w:p>
    <w:p w14:paraId="438966E4" w14:textId="77777777" w:rsidR="00C27140" w:rsidRPr="001C0C4B" w:rsidRDefault="00C27140" w:rsidP="00C73DF6">
      <w:pPr>
        <w:spacing w:after="120" w:line="276" w:lineRule="auto"/>
        <w:jc w:val="both"/>
        <w:rPr>
          <w:rFonts w:ascii="Calibri" w:hAnsi="Calibri" w:cs="Calibri"/>
          <w:lang w:val="en-GB"/>
        </w:rPr>
      </w:pPr>
    </w:p>
    <w:p w14:paraId="3D2CB62C" w14:textId="7184AC5C" w:rsidR="00C73DF6" w:rsidRPr="001C0C4B" w:rsidRDefault="00C73DF6" w:rsidP="00E142CD">
      <w:pPr>
        <w:pStyle w:val="ListParagraph"/>
        <w:numPr>
          <w:ilvl w:val="0"/>
          <w:numId w:val="26"/>
        </w:numPr>
        <w:rPr>
          <w:rFonts w:ascii="Calibri" w:hAnsi="Calibri" w:cs="Calibri"/>
          <w:lang w:val="en-GB"/>
        </w:rPr>
      </w:pPr>
      <w:r w:rsidRPr="001C0C4B">
        <w:rPr>
          <w:rFonts w:ascii="Calibri" w:hAnsi="Calibri" w:cs="Calibri"/>
          <w:lang w:val="en-GB"/>
        </w:rPr>
        <w:t xml:space="preserve">Laboratory abnormalities discovered at screening </w:t>
      </w:r>
    </w:p>
    <w:p w14:paraId="775589FA"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These are:</w:t>
      </w:r>
    </w:p>
    <w:p w14:paraId="279B2D6A" w14:textId="77777777" w:rsidR="00C73DF6" w:rsidRPr="001C0C4B" w:rsidRDefault="00C73DF6" w:rsidP="00255A69">
      <w:pPr>
        <w:pStyle w:val="bullet10"/>
      </w:pPr>
      <w:r w:rsidRPr="001C0C4B">
        <w:t>haemoglobin &lt; 8 g/dL</w:t>
      </w:r>
    </w:p>
    <w:p w14:paraId="0729FD13" w14:textId="77777777" w:rsidR="00C73DF6" w:rsidRPr="001C0C4B" w:rsidRDefault="00C73DF6" w:rsidP="00255A69">
      <w:pPr>
        <w:pStyle w:val="bullet10"/>
      </w:pPr>
      <w:r w:rsidRPr="001C0C4B">
        <w:t>platelet count &lt; 50,000/uL</w:t>
      </w:r>
    </w:p>
    <w:p w14:paraId="70DE72E7" w14:textId="77777777" w:rsidR="00C73DF6" w:rsidRPr="001C0C4B" w:rsidRDefault="00C73DF6" w:rsidP="00255A69">
      <w:pPr>
        <w:pStyle w:val="bullet10"/>
      </w:pPr>
      <w:r w:rsidRPr="001C0C4B">
        <w:t xml:space="preserve">ALT &gt; x 2 ULN </w:t>
      </w:r>
    </w:p>
    <w:p w14:paraId="20EB002E" w14:textId="77777777" w:rsidR="00C73DF6" w:rsidRPr="001C0C4B" w:rsidRDefault="00C73DF6" w:rsidP="00255A69">
      <w:pPr>
        <w:pStyle w:val="bullet10"/>
      </w:pPr>
      <w:r w:rsidRPr="001C0C4B">
        <w:t>total bilirubin &gt; 1.5 x ULN</w:t>
      </w:r>
    </w:p>
    <w:p w14:paraId="7272ACB7" w14:textId="072918EE" w:rsidR="00C73DF6" w:rsidRPr="001C0C4B" w:rsidRDefault="00C73DF6" w:rsidP="00255A69">
      <w:pPr>
        <w:pStyle w:val="bullet10"/>
        <w:rPr>
          <w:vertAlign w:val="superscript"/>
        </w:rPr>
      </w:pPr>
      <w:r w:rsidRPr="001C0C4B">
        <w:t xml:space="preserve">eGFR &lt; </w:t>
      </w:r>
      <w:r w:rsidR="003D69F6" w:rsidRPr="001C0C4B">
        <w:t>70</w:t>
      </w:r>
      <w:r w:rsidRPr="001C0C4B">
        <w:t xml:space="preserve"> mls/min/</w:t>
      </w:r>
      <w:r w:rsidR="008A1E77" w:rsidRPr="001C0C4B">
        <w:t>1.73</w:t>
      </w:r>
      <w:r w:rsidR="00675AEC" w:rsidRPr="001C0C4B">
        <w:t>m</w:t>
      </w:r>
      <w:r w:rsidR="00675AEC" w:rsidRPr="001C0C4B">
        <w:rPr>
          <w:vertAlign w:val="superscript"/>
        </w:rPr>
        <w:t>2</w:t>
      </w:r>
    </w:p>
    <w:p w14:paraId="6418D56C" w14:textId="77777777" w:rsidR="00800894" w:rsidRPr="001C0C4B" w:rsidRDefault="00800894" w:rsidP="00255A69">
      <w:pPr>
        <w:pStyle w:val="bullet10"/>
      </w:pPr>
    </w:p>
    <w:p w14:paraId="4F56D09A" w14:textId="6C5BA3BD" w:rsidR="00C73DF6" w:rsidRPr="001C0C4B" w:rsidRDefault="00C73DF6" w:rsidP="00E142CD">
      <w:pPr>
        <w:pStyle w:val="ListParagraph"/>
        <w:numPr>
          <w:ilvl w:val="0"/>
          <w:numId w:val="26"/>
        </w:numPr>
        <w:rPr>
          <w:rFonts w:ascii="Calibri" w:hAnsi="Calibri" w:cs="Calibri"/>
          <w:lang w:val="en-GB"/>
        </w:rPr>
      </w:pPr>
      <w:r w:rsidRPr="001C0C4B">
        <w:rPr>
          <w:rFonts w:ascii="Calibri" w:hAnsi="Calibri" w:cs="Calibri"/>
          <w:lang w:val="en-GB"/>
        </w:rPr>
        <w:t>Contraindication to taking, or known hypersensitivity reaction to any of the proposed therapeutics:</w:t>
      </w:r>
    </w:p>
    <w:p w14:paraId="508D8C18"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Where a contraindication is mentioned in the above sections, or an above contraindication incorporates drug-specific contraindications below, it is not repeated again in this section, unless further information is given which warrants some repetition. For a complete list of drug-specific contraindications please see the section for that drug in Appendix 2.</w:t>
      </w:r>
    </w:p>
    <w:p w14:paraId="614460FD" w14:textId="77777777" w:rsidR="00C73DF6" w:rsidRPr="001C0C4B" w:rsidRDefault="00C73DF6" w:rsidP="00C73DF6">
      <w:pPr>
        <w:spacing w:after="120" w:line="276" w:lineRule="auto"/>
        <w:jc w:val="both"/>
        <w:rPr>
          <w:rFonts w:ascii="Calibri" w:hAnsi="Calibri" w:cs="Calibri"/>
        </w:rPr>
      </w:pPr>
      <w:r w:rsidRPr="001C0C4B">
        <w:rPr>
          <w:rFonts w:ascii="Calibri" w:hAnsi="Calibri" w:cs="Calibri"/>
        </w:rPr>
        <w:t>To repeat, a known hypersensitivity reaction to ANY of the proposed therapeutics below (even if the patient were to be randomised to a different treatment arm or control) is an exclusion criterion from entering into the study.</w:t>
      </w:r>
    </w:p>
    <w:p w14:paraId="4A2E8F19" w14:textId="157DD644" w:rsidR="00406D46" w:rsidRPr="001C0C4B" w:rsidRDefault="00C73DF6" w:rsidP="00E92601">
      <w:r w:rsidRPr="001C0C4B">
        <w:t>The following are relevant contraindications (i.e. in potentially eligible patients)</w:t>
      </w:r>
      <w:r w:rsidR="00AC07F0" w:rsidRPr="001C0C4B">
        <w:t>:</w:t>
      </w:r>
    </w:p>
    <w:p w14:paraId="01D08F42" w14:textId="1DB880B6" w:rsidR="00C73DF6" w:rsidRPr="001C0C4B" w:rsidRDefault="00C73DF6" w:rsidP="00C73DF6">
      <w:pPr>
        <w:pStyle w:val="Heading3"/>
        <w:spacing w:before="0" w:after="120" w:line="276" w:lineRule="auto"/>
        <w:jc w:val="both"/>
        <w:rPr>
          <w:rFonts w:ascii="Calibri" w:hAnsi="Calibri" w:cs="Calibri"/>
          <w:color w:val="auto"/>
          <w:sz w:val="22"/>
          <w:szCs w:val="22"/>
        </w:rPr>
      </w:pPr>
      <w:bookmarkStart w:id="570" w:name="_Toc96007373"/>
      <w:bookmarkStart w:id="571" w:name="_Toc95915299"/>
      <w:bookmarkStart w:id="572" w:name="_Toc74661338"/>
      <w:bookmarkStart w:id="573" w:name="_Toc110524040"/>
      <w:bookmarkStart w:id="574" w:name="_Toc96005676"/>
      <w:bookmarkStart w:id="575" w:name="_Toc112917688"/>
      <w:r w:rsidRPr="001C0C4B">
        <w:rPr>
          <w:rFonts w:ascii="Calibri" w:hAnsi="Calibri" w:cs="Calibri"/>
          <w:color w:val="auto"/>
          <w:sz w:val="22"/>
          <w:szCs w:val="22"/>
        </w:rPr>
        <w:t>Hydroxychloroquine</w:t>
      </w:r>
      <w:bookmarkEnd w:id="570"/>
      <w:bookmarkEnd w:id="571"/>
      <w:bookmarkEnd w:id="572"/>
      <w:bookmarkEnd w:id="573"/>
      <w:bookmarkEnd w:id="574"/>
      <w:bookmarkEnd w:id="575"/>
    </w:p>
    <w:p w14:paraId="39148E46" w14:textId="77777777" w:rsidR="00C73DF6" w:rsidRPr="001C0C4B" w:rsidRDefault="00C73DF6" w:rsidP="00255A69">
      <w:pPr>
        <w:pStyle w:val="bullet10"/>
        <w:rPr>
          <w:lang w:eastAsia="fr-BE"/>
        </w:rPr>
      </w:pPr>
      <w:r w:rsidRPr="001C0C4B">
        <w:rPr>
          <w:lang w:eastAsia="fr-BE"/>
        </w:rPr>
        <w:t xml:space="preserve">patients with pre-existing retinopathy of the eye </w:t>
      </w:r>
    </w:p>
    <w:p w14:paraId="64A2EF38" w14:textId="77777777" w:rsidR="00C73DF6" w:rsidRPr="001C0C4B" w:rsidRDefault="00C73DF6" w:rsidP="00255A69">
      <w:pPr>
        <w:pStyle w:val="bullet10"/>
        <w:rPr>
          <w:lang w:eastAsia="fr-BE"/>
        </w:rPr>
      </w:pPr>
      <w:r w:rsidRPr="001C0C4B">
        <w:rPr>
          <w:lang w:eastAsia="fr-BE"/>
        </w:rPr>
        <w:t xml:space="preserve">patients with known hypersensitivity to any 4-aminoquinoline compounds </w:t>
      </w:r>
    </w:p>
    <w:p w14:paraId="59C01561" w14:textId="14441E1E" w:rsidR="00C73DF6" w:rsidRPr="001C0C4B" w:rsidRDefault="00C73DF6" w:rsidP="00255A69">
      <w:pPr>
        <w:pStyle w:val="bullet10"/>
        <w:rPr>
          <w:lang w:eastAsia="fr-BE"/>
        </w:rPr>
      </w:pPr>
      <w:r w:rsidRPr="001C0C4B">
        <w:rPr>
          <w:lang w:eastAsia="fr-BE"/>
        </w:rPr>
        <w:t>epilepsy</w:t>
      </w:r>
    </w:p>
    <w:p w14:paraId="14441FDF" w14:textId="648EF5F8" w:rsidR="00361EE0" w:rsidRPr="001C0C4B" w:rsidRDefault="00361EE0" w:rsidP="00255A69">
      <w:pPr>
        <w:pStyle w:val="bullet10"/>
        <w:rPr>
          <w:lang w:eastAsia="fr-BE"/>
        </w:rPr>
      </w:pPr>
      <w:r w:rsidRPr="001C0C4B">
        <w:rPr>
          <w:lang w:eastAsia="fr-BE"/>
        </w:rPr>
        <w:lastRenderedPageBreak/>
        <w:t>Prolonged QTc (see Hydroxychloroquine specific appendix)</w:t>
      </w:r>
    </w:p>
    <w:p w14:paraId="39010281" w14:textId="5BDE764C" w:rsidR="00C73DF6" w:rsidRPr="001C0C4B" w:rsidRDefault="00C73DF6" w:rsidP="002E1591">
      <w:pPr>
        <w:pStyle w:val="Heading3"/>
        <w:spacing w:before="0" w:after="120" w:line="276" w:lineRule="auto"/>
        <w:jc w:val="both"/>
        <w:rPr>
          <w:rFonts w:ascii="Calibri" w:hAnsi="Calibri" w:cs="Calibri"/>
          <w:color w:val="auto"/>
          <w:sz w:val="22"/>
          <w:szCs w:val="22"/>
        </w:rPr>
      </w:pPr>
      <w:bookmarkStart w:id="576" w:name="_Toc96007374"/>
      <w:bookmarkStart w:id="577" w:name="_Toc95915300"/>
      <w:bookmarkStart w:id="578" w:name="_Toc74661339"/>
      <w:bookmarkStart w:id="579" w:name="_Toc110524041"/>
      <w:bookmarkStart w:id="580" w:name="_Toc96005677"/>
      <w:bookmarkStart w:id="581" w:name="_Toc112917689"/>
      <w:r w:rsidRPr="001C0C4B">
        <w:rPr>
          <w:rFonts w:ascii="Calibri" w:hAnsi="Calibri" w:cs="Calibri"/>
          <w:color w:val="auto"/>
          <w:sz w:val="22"/>
          <w:szCs w:val="22"/>
        </w:rPr>
        <w:t>Remdesivir</w:t>
      </w:r>
      <w:bookmarkEnd w:id="576"/>
      <w:bookmarkEnd w:id="577"/>
      <w:bookmarkEnd w:id="578"/>
      <w:bookmarkEnd w:id="579"/>
      <w:bookmarkEnd w:id="580"/>
      <w:bookmarkEnd w:id="581"/>
    </w:p>
    <w:p w14:paraId="76C9E7A6" w14:textId="77777777" w:rsidR="00C73DF6" w:rsidRPr="001C0C4B" w:rsidRDefault="00C73DF6" w:rsidP="00255A69">
      <w:pPr>
        <w:pStyle w:val="bullet10"/>
      </w:pPr>
      <w:r w:rsidRPr="001C0C4B">
        <w:t>No additional contraindications</w:t>
      </w:r>
    </w:p>
    <w:p w14:paraId="3AC8D4E0" w14:textId="2A7C38B8" w:rsidR="00C73DF6" w:rsidRPr="001C0C4B" w:rsidRDefault="00C73DF6" w:rsidP="00C73DF6">
      <w:pPr>
        <w:pStyle w:val="Heading3"/>
        <w:spacing w:before="0" w:after="120" w:line="276" w:lineRule="auto"/>
        <w:jc w:val="both"/>
        <w:rPr>
          <w:rFonts w:ascii="Calibri" w:hAnsi="Calibri" w:cs="Calibri"/>
          <w:color w:val="auto"/>
          <w:sz w:val="22"/>
          <w:szCs w:val="22"/>
        </w:rPr>
      </w:pPr>
      <w:bookmarkStart w:id="582" w:name="_Toc96007375"/>
      <w:bookmarkStart w:id="583" w:name="_Toc95915301"/>
      <w:bookmarkStart w:id="584" w:name="_Toc74661340"/>
      <w:bookmarkStart w:id="585" w:name="_Toc110524042"/>
      <w:bookmarkStart w:id="586" w:name="_Toc96005678"/>
      <w:bookmarkStart w:id="587" w:name="_Toc112917690"/>
      <w:r w:rsidRPr="001C0C4B">
        <w:rPr>
          <w:rFonts w:ascii="Calibri" w:hAnsi="Calibri" w:cs="Calibri"/>
          <w:color w:val="auto"/>
          <w:sz w:val="22"/>
          <w:szCs w:val="22"/>
        </w:rPr>
        <w:t>Ivermectin</w:t>
      </w:r>
      <w:bookmarkEnd w:id="582"/>
      <w:bookmarkEnd w:id="583"/>
      <w:bookmarkEnd w:id="584"/>
      <w:bookmarkEnd w:id="585"/>
      <w:bookmarkEnd w:id="586"/>
      <w:bookmarkEnd w:id="587"/>
    </w:p>
    <w:p w14:paraId="459B5BBC" w14:textId="77777777" w:rsidR="00C73DF6" w:rsidRPr="001C0C4B" w:rsidRDefault="00C73DF6" w:rsidP="00255A69">
      <w:pPr>
        <w:pStyle w:val="bullet10"/>
      </w:pPr>
      <w:r w:rsidRPr="001C0C4B">
        <w:t>No additional contraindications</w:t>
      </w:r>
    </w:p>
    <w:p w14:paraId="741B0446" w14:textId="021D64F0" w:rsidR="00C73DF6" w:rsidRPr="001C0C4B" w:rsidRDefault="00C73DF6" w:rsidP="00C73DF6">
      <w:pPr>
        <w:pStyle w:val="Heading3"/>
        <w:spacing w:before="0" w:after="120" w:line="276" w:lineRule="auto"/>
        <w:jc w:val="both"/>
        <w:rPr>
          <w:rFonts w:ascii="Calibri" w:hAnsi="Calibri" w:cs="Calibri"/>
          <w:color w:val="auto"/>
          <w:sz w:val="22"/>
          <w:szCs w:val="22"/>
        </w:rPr>
      </w:pPr>
      <w:bookmarkStart w:id="588" w:name="_Toc96007376"/>
      <w:bookmarkStart w:id="589" w:name="_Toc95915302"/>
      <w:bookmarkStart w:id="590" w:name="_Toc74661341"/>
      <w:bookmarkStart w:id="591" w:name="_Toc110524043"/>
      <w:bookmarkStart w:id="592" w:name="_Toc96005679"/>
      <w:bookmarkStart w:id="593" w:name="_Toc112917691"/>
      <w:r w:rsidRPr="001C0C4B">
        <w:rPr>
          <w:rFonts w:ascii="Calibri" w:hAnsi="Calibri" w:cs="Calibri"/>
          <w:color w:val="auto"/>
          <w:sz w:val="22"/>
          <w:szCs w:val="22"/>
        </w:rPr>
        <w:t>Nitazoxanide</w:t>
      </w:r>
      <w:bookmarkEnd w:id="588"/>
      <w:bookmarkEnd w:id="589"/>
      <w:bookmarkEnd w:id="590"/>
      <w:bookmarkEnd w:id="591"/>
      <w:bookmarkEnd w:id="592"/>
      <w:bookmarkEnd w:id="593"/>
    </w:p>
    <w:p w14:paraId="4B7FEE7C" w14:textId="77777777" w:rsidR="00C73DF6" w:rsidRPr="001C0C4B" w:rsidRDefault="00C73DF6" w:rsidP="00255A69">
      <w:pPr>
        <w:pStyle w:val="bullet10"/>
      </w:pPr>
      <w:r w:rsidRPr="001C0C4B">
        <w:t>No additional contraindications</w:t>
      </w:r>
    </w:p>
    <w:p w14:paraId="05ECEB09" w14:textId="2346855E" w:rsidR="00C73DF6" w:rsidRPr="001C0C4B" w:rsidRDefault="00C73DF6" w:rsidP="00C73DF6">
      <w:pPr>
        <w:pStyle w:val="Heading3"/>
        <w:spacing w:before="0" w:after="120" w:line="276" w:lineRule="auto"/>
        <w:jc w:val="both"/>
        <w:rPr>
          <w:rFonts w:ascii="Calibri" w:hAnsi="Calibri" w:cs="Calibri"/>
          <w:color w:val="auto"/>
          <w:sz w:val="22"/>
          <w:szCs w:val="22"/>
        </w:rPr>
      </w:pPr>
      <w:bookmarkStart w:id="594" w:name="_Toc96007377"/>
      <w:bookmarkStart w:id="595" w:name="_Toc95915303"/>
      <w:bookmarkStart w:id="596" w:name="_Toc74661342"/>
      <w:bookmarkStart w:id="597" w:name="_Toc110524044"/>
      <w:bookmarkStart w:id="598" w:name="_Toc96005680"/>
      <w:bookmarkStart w:id="599" w:name="_Toc112917692"/>
      <w:r w:rsidRPr="001C0C4B">
        <w:rPr>
          <w:rFonts w:ascii="Calibri" w:hAnsi="Calibri" w:cs="Calibri"/>
          <w:color w:val="auto"/>
          <w:sz w:val="22"/>
          <w:szCs w:val="22"/>
        </w:rPr>
        <w:t>Miglustat</w:t>
      </w:r>
      <w:bookmarkEnd w:id="594"/>
      <w:bookmarkEnd w:id="595"/>
      <w:bookmarkEnd w:id="596"/>
      <w:bookmarkEnd w:id="597"/>
      <w:bookmarkEnd w:id="598"/>
      <w:bookmarkEnd w:id="599"/>
    </w:p>
    <w:p w14:paraId="6D015F88" w14:textId="2130545A" w:rsidR="00C73DF6" w:rsidRPr="001C0C4B" w:rsidRDefault="00C73DF6" w:rsidP="00255A69">
      <w:pPr>
        <w:pStyle w:val="bullet10"/>
      </w:pPr>
      <w:r w:rsidRPr="001C0C4B">
        <w:t xml:space="preserve">For females of childbearing age, contraception should be used </w:t>
      </w:r>
      <w:r w:rsidR="00E23BAF" w:rsidRPr="001C0C4B">
        <w:t xml:space="preserve">throughout the study and </w:t>
      </w:r>
      <w:r w:rsidRPr="001C0C4B">
        <w:t xml:space="preserve">for 2 weeks post last dose </w:t>
      </w:r>
    </w:p>
    <w:p w14:paraId="68BAC523" w14:textId="7182D2AE" w:rsidR="00C73DF6" w:rsidRPr="001C0C4B" w:rsidRDefault="00C73DF6" w:rsidP="00C73DF6">
      <w:pPr>
        <w:pStyle w:val="Heading3"/>
        <w:spacing w:before="0" w:after="120" w:line="276" w:lineRule="auto"/>
        <w:jc w:val="both"/>
        <w:rPr>
          <w:rFonts w:ascii="Calibri" w:hAnsi="Calibri" w:cs="Calibri"/>
          <w:color w:val="auto"/>
          <w:sz w:val="22"/>
          <w:szCs w:val="22"/>
        </w:rPr>
      </w:pPr>
      <w:bookmarkStart w:id="600" w:name="_Toc96007378"/>
      <w:bookmarkStart w:id="601" w:name="_Toc95915304"/>
      <w:bookmarkStart w:id="602" w:name="_Toc74661343"/>
      <w:bookmarkStart w:id="603" w:name="_Toc110524045"/>
      <w:bookmarkStart w:id="604" w:name="_Toc96005681"/>
      <w:bookmarkStart w:id="605" w:name="_Toc112917693"/>
      <w:r w:rsidRPr="001C0C4B">
        <w:rPr>
          <w:rFonts w:ascii="Calibri" w:hAnsi="Calibri" w:cs="Calibri"/>
          <w:color w:val="auto"/>
          <w:sz w:val="22"/>
          <w:szCs w:val="22"/>
        </w:rPr>
        <w:t>Lopinavir/ritonavir</w:t>
      </w:r>
      <w:bookmarkEnd w:id="600"/>
      <w:bookmarkEnd w:id="601"/>
      <w:bookmarkEnd w:id="602"/>
      <w:bookmarkEnd w:id="603"/>
      <w:bookmarkEnd w:id="604"/>
      <w:bookmarkEnd w:id="605"/>
      <w:r w:rsidRPr="001C0C4B">
        <w:rPr>
          <w:rFonts w:ascii="Calibri" w:hAnsi="Calibri" w:cs="Calibri"/>
          <w:color w:val="auto"/>
          <w:sz w:val="22"/>
          <w:szCs w:val="22"/>
        </w:rPr>
        <w:t xml:space="preserve"> </w:t>
      </w:r>
    </w:p>
    <w:p w14:paraId="6029BCBC" w14:textId="31F0AAB1" w:rsidR="00C73DF6" w:rsidRPr="001C0C4B" w:rsidRDefault="00326719" w:rsidP="00255A69">
      <w:pPr>
        <w:pStyle w:val="bullet10"/>
      </w:pPr>
      <w:r w:rsidRPr="001C0C4B">
        <w:t>C</w:t>
      </w:r>
      <w:r w:rsidR="00C73DF6" w:rsidRPr="001C0C4B">
        <w:t>oncomitant use with drugs that are metabolised by CYP 3A</w:t>
      </w:r>
    </w:p>
    <w:p w14:paraId="3C3A5D27" w14:textId="382A92C4" w:rsidR="00C73DF6" w:rsidRPr="001C0C4B" w:rsidRDefault="00C73DF6" w:rsidP="00C73DF6">
      <w:pPr>
        <w:pStyle w:val="Heading3"/>
        <w:spacing w:before="0" w:after="120" w:line="276" w:lineRule="auto"/>
        <w:jc w:val="both"/>
        <w:rPr>
          <w:rFonts w:ascii="Calibri" w:hAnsi="Calibri" w:cs="Calibri"/>
          <w:color w:val="auto"/>
          <w:sz w:val="22"/>
          <w:szCs w:val="22"/>
        </w:rPr>
      </w:pPr>
      <w:bookmarkStart w:id="606" w:name="_Toc74661344"/>
      <w:bookmarkStart w:id="607" w:name="_Toc96007379"/>
      <w:bookmarkStart w:id="608" w:name="_Toc95915305"/>
      <w:bookmarkStart w:id="609" w:name="_Toc110524046"/>
      <w:bookmarkStart w:id="610" w:name="_Toc96005682"/>
      <w:bookmarkStart w:id="611" w:name="_Toc112917694"/>
      <w:r w:rsidRPr="001C0C4B">
        <w:rPr>
          <w:rFonts w:ascii="Calibri" w:hAnsi="Calibri" w:cs="Calibri"/>
          <w:color w:val="auto"/>
          <w:sz w:val="22"/>
          <w:szCs w:val="22"/>
        </w:rPr>
        <w:t>REGN-</w:t>
      </w:r>
      <w:bookmarkEnd w:id="606"/>
      <w:r w:rsidR="007207D5" w:rsidRPr="001C0C4B">
        <w:rPr>
          <w:rFonts w:ascii="Calibri" w:hAnsi="Calibri" w:cs="Calibri"/>
          <w:color w:val="auto"/>
          <w:sz w:val="22"/>
          <w:szCs w:val="22"/>
        </w:rPr>
        <w:t>COV2</w:t>
      </w:r>
      <w:bookmarkEnd w:id="607"/>
      <w:bookmarkEnd w:id="608"/>
      <w:bookmarkEnd w:id="609"/>
      <w:bookmarkEnd w:id="610"/>
      <w:bookmarkEnd w:id="611"/>
      <w:r w:rsidR="007207D5" w:rsidRPr="001C0C4B">
        <w:rPr>
          <w:rFonts w:ascii="Calibri" w:hAnsi="Calibri" w:cs="Calibri"/>
          <w:color w:val="auto"/>
          <w:sz w:val="22"/>
          <w:szCs w:val="22"/>
        </w:rPr>
        <w:t xml:space="preserve"> </w:t>
      </w:r>
    </w:p>
    <w:p w14:paraId="26146761" w14:textId="77777777" w:rsidR="00C73DF6" w:rsidRPr="001C0C4B" w:rsidRDefault="00C73DF6" w:rsidP="00255A69">
      <w:pPr>
        <w:pStyle w:val="bullet10"/>
      </w:pPr>
      <w:r w:rsidRPr="001C0C4B">
        <w:t>No additional contraindications</w:t>
      </w:r>
    </w:p>
    <w:p w14:paraId="56C48417" w14:textId="53B196A1" w:rsidR="0051300B" w:rsidRPr="001C0C4B" w:rsidRDefault="00974AA9" w:rsidP="0051300B">
      <w:pPr>
        <w:pStyle w:val="Heading3"/>
        <w:spacing w:before="0" w:after="120" w:line="276" w:lineRule="auto"/>
        <w:jc w:val="both"/>
        <w:rPr>
          <w:rFonts w:ascii="Calibri" w:hAnsi="Calibri" w:cs="Calibri"/>
          <w:color w:val="auto"/>
          <w:sz w:val="22"/>
          <w:szCs w:val="22"/>
        </w:rPr>
      </w:pPr>
      <w:bookmarkStart w:id="612" w:name="_Toc96007380"/>
      <w:bookmarkStart w:id="613" w:name="_Toc95915306"/>
      <w:bookmarkStart w:id="614" w:name="_Toc74661345"/>
      <w:bookmarkStart w:id="615" w:name="_Toc110524047"/>
      <w:bookmarkStart w:id="616" w:name="_Toc96005683"/>
      <w:bookmarkStart w:id="617" w:name="_Toc112917695"/>
      <w:r w:rsidRPr="001C0C4B">
        <w:rPr>
          <w:rFonts w:ascii="Calibri" w:hAnsi="Calibri" w:cs="Calibri"/>
          <w:color w:val="auto"/>
          <w:sz w:val="22"/>
          <w:szCs w:val="22"/>
        </w:rPr>
        <w:t>Nebulised Unfactionated Heparin (UFH)</w:t>
      </w:r>
      <w:bookmarkEnd w:id="612"/>
      <w:bookmarkEnd w:id="613"/>
      <w:bookmarkEnd w:id="614"/>
      <w:bookmarkEnd w:id="615"/>
      <w:bookmarkEnd w:id="616"/>
      <w:bookmarkEnd w:id="617"/>
    </w:p>
    <w:p w14:paraId="7EB3D509" w14:textId="77777777" w:rsidR="00974AA9" w:rsidRPr="001C0C4B" w:rsidRDefault="00974AA9" w:rsidP="00E142CD">
      <w:pPr>
        <w:pStyle w:val="ListParagraph"/>
        <w:numPr>
          <w:ilvl w:val="0"/>
          <w:numId w:val="20"/>
        </w:numPr>
        <w:spacing w:after="120" w:line="276" w:lineRule="auto"/>
        <w:rPr>
          <w:rFonts w:ascii="Calibri" w:hAnsi="Calibri" w:cs="Calibri"/>
        </w:rPr>
      </w:pPr>
      <w:r w:rsidRPr="001C0C4B">
        <w:rPr>
          <w:rFonts w:ascii="Calibri" w:hAnsi="Calibri" w:cs="Calibri"/>
        </w:rPr>
        <w:t>Heparin allergy or Heparin-induced thrombocytopaenia</w:t>
      </w:r>
    </w:p>
    <w:p w14:paraId="5400C2CA" w14:textId="77777777" w:rsidR="00974AA9" w:rsidRPr="001C0C4B" w:rsidRDefault="00974AA9" w:rsidP="00E142CD">
      <w:pPr>
        <w:pStyle w:val="ListParagraph"/>
        <w:numPr>
          <w:ilvl w:val="0"/>
          <w:numId w:val="20"/>
        </w:numPr>
        <w:spacing w:after="120" w:line="276" w:lineRule="auto"/>
        <w:rPr>
          <w:rFonts w:ascii="Calibri" w:hAnsi="Calibri" w:cs="Calibri"/>
        </w:rPr>
      </w:pPr>
      <w:r w:rsidRPr="001C0C4B">
        <w:rPr>
          <w:rFonts w:ascii="Calibri" w:hAnsi="Calibri" w:cs="Calibri"/>
        </w:rPr>
        <w:t>Known prolonged APTT &gt; 120ms or bleeding diathesis</w:t>
      </w:r>
    </w:p>
    <w:p w14:paraId="2BBD696F" w14:textId="4452A362" w:rsidR="0051300B" w:rsidRPr="001C0C4B" w:rsidRDefault="00974AA9" w:rsidP="00E142CD">
      <w:pPr>
        <w:pStyle w:val="ListParagraph"/>
        <w:numPr>
          <w:ilvl w:val="0"/>
          <w:numId w:val="20"/>
        </w:numPr>
        <w:spacing w:after="120" w:line="276" w:lineRule="auto"/>
        <w:rPr>
          <w:rFonts w:ascii="Calibri" w:hAnsi="Calibri" w:cs="Calibri"/>
        </w:rPr>
      </w:pPr>
      <w:r w:rsidRPr="001C0C4B">
        <w:rPr>
          <w:rFonts w:ascii="Calibri" w:hAnsi="Calibri" w:cs="Calibri"/>
        </w:rPr>
        <w:t>Pulmonary bleeding or uncontrolled bleeding</w:t>
      </w:r>
    </w:p>
    <w:p w14:paraId="6C91C4A1" w14:textId="420F5F46" w:rsidR="00AC07F0" w:rsidRPr="001C0C4B" w:rsidRDefault="00AC07F0" w:rsidP="00AC07F0">
      <w:pPr>
        <w:pStyle w:val="Heading3"/>
        <w:spacing w:before="0" w:after="120" w:line="276" w:lineRule="auto"/>
        <w:jc w:val="both"/>
        <w:rPr>
          <w:rFonts w:ascii="Calibri" w:hAnsi="Calibri" w:cs="Calibri"/>
          <w:color w:val="auto"/>
          <w:sz w:val="22"/>
          <w:szCs w:val="22"/>
        </w:rPr>
      </w:pPr>
      <w:bookmarkStart w:id="618" w:name="_Toc96007381"/>
      <w:bookmarkStart w:id="619" w:name="_Toc95915307"/>
      <w:bookmarkStart w:id="620" w:name="_Toc74661346"/>
      <w:bookmarkStart w:id="621" w:name="_Toc110524048"/>
      <w:bookmarkStart w:id="622" w:name="_Toc96005684"/>
      <w:bookmarkStart w:id="623" w:name="_Toc112917696"/>
      <w:r w:rsidRPr="001C0C4B">
        <w:rPr>
          <w:rFonts w:ascii="Calibri" w:hAnsi="Calibri" w:cs="Calibri"/>
          <w:color w:val="auto"/>
          <w:sz w:val="22"/>
          <w:szCs w:val="22"/>
        </w:rPr>
        <w:t>Favipiravir</w:t>
      </w:r>
      <w:bookmarkEnd w:id="618"/>
      <w:bookmarkEnd w:id="619"/>
      <w:bookmarkEnd w:id="620"/>
      <w:bookmarkEnd w:id="621"/>
      <w:bookmarkEnd w:id="622"/>
      <w:bookmarkEnd w:id="623"/>
    </w:p>
    <w:p w14:paraId="3EACE346" w14:textId="67123810" w:rsidR="00AC07F0" w:rsidRPr="001C0C4B" w:rsidRDefault="00E23BAF" w:rsidP="00E142CD">
      <w:pPr>
        <w:pStyle w:val="ListParagraph"/>
        <w:numPr>
          <w:ilvl w:val="0"/>
          <w:numId w:val="20"/>
        </w:numPr>
        <w:spacing w:after="120" w:line="276" w:lineRule="auto"/>
        <w:rPr>
          <w:rFonts w:ascii="Calibri" w:hAnsi="Calibri" w:cs="Calibri"/>
        </w:rPr>
      </w:pPr>
      <w:r w:rsidRPr="001C0C4B">
        <w:rPr>
          <w:rFonts w:ascii="Calibri" w:hAnsi="Calibri" w:cs="Calibri"/>
        </w:rPr>
        <w:t>Gout or history of gout</w:t>
      </w:r>
    </w:p>
    <w:p w14:paraId="1A9F9951" w14:textId="0B2A44AF" w:rsidR="00D73CFA" w:rsidRPr="001C0C4B" w:rsidRDefault="00E23BAF" w:rsidP="00345F18">
      <w:pPr>
        <w:pStyle w:val="ListParagraph"/>
        <w:numPr>
          <w:ilvl w:val="0"/>
          <w:numId w:val="20"/>
        </w:numPr>
        <w:spacing w:after="120" w:line="276" w:lineRule="auto"/>
        <w:rPr>
          <w:rFonts w:ascii="Calibri" w:hAnsi="Calibri" w:cs="Calibri"/>
        </w:rPr>
      </w:pPr>
      <w:r w:rsidRPr="001C0C4B">
        <w:rPr>
          <w:rFonts w:ascii="Calibri" w:hAnsi="Calibri" w:cs="Calibri"/>
        </w:rPr>
        <w:t xml:space="preserve">For females of childbearing age, they should </w:t>
      </w:r>
      <w:r w:rsidR="00640D2D" w:rsidRPr="001C0C4B">
        <w:rPr>
          <w:rFonts w:ascii="Calibri" w:hAnsi="Calibri" w:cs="Calibri"/>
        </w:rPr>
        <w:t>use effective contraception during the study and for</w:t>
      </w:r>
      <w:r w:rsidRPr="001C0C4B">
        <w:rPr>
          <w:rFonts w:ascii="Calibri" w:hAnsi="Calibri" w:cs="Calibri"/>
        </w:rPr>
        <w:t xml:space="preserve"> 7 days after the last dose. For males, contraception should be used during the study and for 7 days post last dose and they should abstain from sex with a pregnant women.</w:t>
      </w:r>
    </w:p>
    <w:p w14:paraId="0600736E" w14:textId="7E22B383" w:rsidR="00FD4E5E" w:rsidRPr="001C0C4B" w:rsidRDefault="00FD4E5E" w:rsidP="00FD4E5E">
      <w:pPr>
        <w:pStyle w:val="Heading3"/>
        <w:spacing w:before="0" w:after="120" w:line="276" w:lineRule="auto"/>
        <w:jc w:val="both"/>
        <w:rPr>
          <w:rFonts w:ascii="Calibri" w:hAnsi="Calibri"/>
          <w:color w:val="auto"/>
          <w:sz w:val="22"/>
        </w:rPr>
      </w:pPr>
      <w:bookmarkStart w:id="624" w:name="_Toc96007382"/>
      <w:bookmarkStart w:id="625" w:name="_Toc95915308"/>
      <w:bookmarkStart w:id="626" w:name="_Toc110524049"/>
      <w:bookmarkStart w:id="627" w:name="_Toc96005685"/>
      <w:bookmarkStart w:id="628" w:name="_Toc112917697"/>
      <w:r w:rsidRPr="001C0C4B">
        <w:rPr>
          <w:rFonts w:ascii="Calibri" w:hAnsi="Calibri"/>
          <w:color w:val="auto"/>
          <w:sz w:val="22"/>
        </w:rPr>
        <w:t>Molnupiravir</w:t>
      </w:r>
      <w:bookmarkEnd w:id="624"/>
      <w:bookmarkEnd w:id="625"/>
      <w:bookmarkEnd w:id="626"/>
      <w:bookmarkEnd w:id="627"/>
      <w:bookmarkEnd w:id="628"/>
    </w:p>
    <w:p w14:paraId="0A54D3DE" w14:textId="798CD3F3" w:rsidR="007207D5" w:rsidRPr="001C0C4B" w:rsidRDefault="007207D5" w:rsidP="00BF2FEE">
      <w:pPr>
        <w:spacing w:after="0" w:line="240" w:lineRule="auto"/>
        <w:jc w:val="thaiDistribute"/>
        <w:rPr>
          <w:color w:val="000000"/>
          <w:shd w:val="clear" w:color="auto" w:fill="FFFFFF"/>
          <w:lang w:val="en-GB"/>
        </w:rPr>
      </w:pPr>
      <w:r w:rsidRPr="001C0C4B">
        <w:rPr>
          <w:color w:val="000000"/>
          <w:shd w:val="clear" w:color="auto" w:fill="FFFFFF"/>
          <w:lang w:val="en-GB"/>
        </w:rPr>
        <w:t>As per USA FDA advice, those on molnupiravir need to be aware of avoiding pregnancy.  Females of child bearing potential need to use a reliable method of contraception for the duration of the treatment, and also for 4 days after the final dose of molnupiravir.  Males of reproductive potential, if they are sexually active with females of child bearing potential, should use a reliable form of contraception during the treatment and at least 3 months after the final dose</w:t>
      </w:r>
    </w:p>
    <w:p w14:paraId="62A83183" w14:textId="5AE6F876" w:rsidR="007207D5" w:rsidRPr="001C0C4B" w:rsidRDefault="007207D5" w:rsidP="007207D5">
      <w:pPr>
        <w:spacing w:after="0" w:line="240" w:lineRule="auto"/>
        <w:rPr>
          <w:sz w:val="24"/>
          <w:lang w:val="en-GB"/>
        </w:rPr>
      </w:pPr>
    </w:p>
    <w:p w14:paraId="0D321789" w14:textId="2632D439" w:rsidR="00FD4E5E" w:rsidRPr="001C0C4B" w:rsidRDefault="00FD4E5E" w:rsidP="00FD4E5E">
      <w:pPr>
        <w:pStyle w:val="Heading3"/>
        <w:spacing w:before="0" w:after="120" w:line="276" w:lineRule="auto"/>
        <w:jc w:val="both"/>
        <w:rPr>
          <w:rFonts w:ascii="Calibri" w:hAnsi="Calibri"/>
          <w:color w:val="auto"/>
          <w:sz w:val="22"/>
        </w:rPr>
      </w:pPr>
      <w:bookmarkStart w:id="629" w:name="_Toc96007383"/>
      <w:bookmarkStart w:id="630" w:name="_Toc95915309"/>
      <w:bookmarkStart w:id="631" w:name="_Toc110524050"/>
      <w:bookmarkStart w:id="632" w:name="_Toc96005686"/>
      <w:bookmarkStart w:id="633" w:name="_Toc112917698"/>
      <w:r w:rsidRPr="001C0C4B">
        <w:rPr>
          <w:rFonts w:ascii="Calibri" w:hAnsi="Calibri"/>
          <w:color w:val="auto"/>
          <w:sz w:val="22"/>
        </w:rPr>
        <w:t>Nirmatrelvir/ritonavir</w:t>
      </w:r>
      <w:bookmarkEnd w:id="629"/>
      <w:bookmarkEnd w:id="630"/>
      <w:bookmarkEnd w:id="631"/>
      <w:bookmarkEnd w:id="632"/>
      <w:bookmarkEnd w:id="633"/>
    </w:p>
    <w:p w14:paraId="36B026D8" w14:textId="6FF005AF" w:rsidR="007207D5" w:rsidRPr="001C0C4B" w:rsidRDefault="007207D5" w:rsidP="00255A69">
      <w:pPr>
        <w:pStyle w:val="bullet10"/>
      </w:pPr>
      <w:r w:rsidRPr="001C0C4B">
        <w:t>No additional contraindications</w:t>
      </w:r>
    </w:p>
    <w:p w14:paraId="0C0BE391" w14:textId="26407E34" w:rsidR="00FD4E5E" w:rsidRPr="001C0C4B" w:rsidRDefault="00FD4E5E" w:rsidP="00FD4E5E">
      <w:pPr>
        <w:pStyle w:val="Heading3"/>
        <w:spacing w:before="0" w:after="120" w:line="276" w:lineRule="auto"/>
        <w:jc w:val="both"/>
        <w:rPr>
          <w:rFonts w:ascii="Calibri" w:hAnsi="Calibri"/>
          <w:color w:val="auto"/>
          <w:sz w:val="22"/>
        </w:rPr>
      </w:pPr>
      <w:bookmarkStart w:id="634" w:name="_Toc96007384"/>
      <w:bookmarkStart w:id="635" w:name="_Toc95915310"/>
      <w:bookmarkStart w:id="636" w:name="_Toc110524051"/>
      <w:bookmarkStart w:id="637" w:name="_Toc96005687"/>
      <w:bookmarkStart w:id="638" w:name="_Toc112917699"/>
      <w:r w:rsidRPr="001C0C4B">
        <w:rPr>
          <w:rFonts w:ascii="Calibri" w:hAnsi="Calibri"/>
          <w:color w:val="auto"/>
          <w:sz w:val="22"/>
        </w:rPr>
        <w:t>Sotrovimab</w:t>
      </w:r>
      <w:bookmarkEnd w:id="634"/>
      <w:bookmarkEnd w:id="635"/>
      <w:bookmarkEnd w:id="636"/>
      <w:bookmarkEnd w:id="637"/>
      <w:bookmarkEnd w:id="638"/>
    </w:p>
    <w:p w14:paraId="45F491B4" w14:textId="77777777" w:rsidR="00D73CFA" w:rsidRPr="001C0C4B" w:rsidRDefault="00D73CFA" w:rsidP="00255A69">
      <w:pPr>
        <w:pStyle w:val="bullet10"/>
      </w:pPr>
      <w:r w:rsidRPr="001C0C4B">
        <w:t>No additional contraindications</w:t>
      </w:r>
    </w:p>
    <w:p w14:paraId="66315FBA" w14:textId="74D66AC3" w:rsidR="00FD4E5E" w:rsidRPr="001C0C4B" w:rsidRDefault="00FD4E5E" w:rsidP="00FD4E5E">
      <w:pPr>
        <w:pStyle w:val="Heading3"/>
        <w:spacing w:before="0" w:after="120" w:line="276" w:lineRule="auto"/>
        <w:jc w:val="both"/>
        <w:rPr>
          <w:rFonts w:ascii="Calibri" w:hAnsi="Calibri"/>
          <w:color w:val="auto"/>
          <w:sz w:val="22"/>
        </w:rPr>
      </w:pPr>
      <w:bookmarkStart w:id="639" w:name="_Toc96007385"/>
      <w:bookmarkStart w:id="640" w:name="_Toc95915311"/>
      <w:bookmarkStart w:id="641" w:name="_Toc110524052"/>
      <w:bookmarkStart w:id="642" w:name="_Toc96005688"/>
      <w:bookmarkStart w:id="643" w:name="_Toc112917700"/>
      <w:r w:rsidRPr="001C0C4B">
        <w:rPr>
          <w:rFonts w:ascii="Calibri" w:hAnsi="Calibri"/>
          <w:color w:val="auto"/>
          <w:sz w:val="22"/>
        </w:rPr>
        <w:t>Fluoxetine</w:t>
      </w:r>
      <w:bookmarkEnd w:id="639"/>
      <w:bookmarkEnd w:id="640"/>
      <w:bookmarkEnd w:id="641"/>
      <w:bookmarkEnd w:id="642"/>
      <w:bookmarkEnd w:id="643"/>
    </w:p>
    <w:p w14:paraId="0E81B722" w14:textId="77777777" w:rsidR="00D73CFA" w:rsidRPr="001C0C4B" w:rsidRDefault="00D73CFA" w:rsidP="00255A69">
      <w:pPr>
        <w:pStyle w:val="bullet10"/>
      </w:pPr>
      <w:r w:rsidRPr="001C0C4B">
        <w:t>No additional contraindications</w:t>
      </w:r>
    </w:p>
    <w:p w14:paraId="61D52E67" w14:textId="54944778" w:rsidR="00FD4E5E" w:rsidRPr="001C0C4B" w:rsidRDefault="00FD4E5E" w:rsidP="00FD4E5E">
      <w:pPr>
        <w:pStyle w:val="Heading3"/>
        <w:spacing w:before="0" w:after="120" w:line="276" w:lineRule="auto"/>
        <w:jc w:val="both"/>
        <w:rPr>
          <w:rFonts w:ascii="Calibri" w:hAnsi="Calibri"/>
          <w:color w:val="auto"/>
          <w:sz w:val="22"/>
        </w:rPr>
      </w:pPr>
      <w:bookmarkStart w:id="644" w:name="_Toc96007386"/>
      <w:bookmarkStart w:id="645" w:name="_Toc95915312"/>
      <w:bookmarkStart w:id="646" w:name="_Toc110524053"/>
      <w:bookmarkStart w:id="647" w:name="_Toc96005689"/>
      <w:bookmarkStart w:id="648" w:name="_Toc112917701"/>
      <w:r w:rsidRPr="001C0C4B">
        <w:rPr>
          <w:rFonts w:ascii="Calibri" w:hAnsi="Calibri"/>
          <w:color w:val="auto"/>
          <w:sz w:val="22"/>
        </w:rPr>
        <w:lastRenderedPageBreak/>
        <w:t>Fluvoxamine</w:t>
      </w:r>
      <w:bookmarkEnd w:id="644"/>
      <w:bookmarkEnd w:id="645"/>
      <w:bookmarkEnd w:id="646"/>
      <w:bookmarkEnd w:id="647"/>
      <w:bookmarkEnd w:id="648"/>
    </w:p>
    <w:p w14:paraId="6F0D9A3E" w14:textId="5D5B842A" w:rsidR="000028F0" w:rsidRPr="001C0C4B" w:rsidRDefault="000028F0" w:rsidP="00255A69">
      <w:pPr>
        <w:pStyle w:val="bullet10"/>
      </w:pPr>
      <w:r w:rsidRPr="001C0C4B">
        <w:t>No additional contraindications</w:t>
      </w:r>
    </w:p>
    <w:p w14:paraId="28D54FF9" w14:textId="1160ABB0" w:rsidR="000028F0" w:rsidRPr="001C0C4B" w:rsidRDefault="000028F0" w:rsidP="000028F0">
      <w:pPr>
        <w:pStyle w:val="Heading3"/>
        <w:spacing w:before="0" w:after="120" w:line="276" w:lineRule="auto"/>
        <w:jc w:val="both"/>
        <w:rPr>
          <w:rFonts w:ascii="Calibri" w:hAnsi="Calibri"/>
          <w:color w:val="auto"/>
          <w:sz w:val="22"/>
        </w:rPr>
      </w:pPr>
      <w:bookmarkStart w:id="649" w:name="_Toc110524054"/>
      <w:bookmarkStart w:id="650" w:name="_Toc112917702"/>
      <w:r w:rsidRPr="001C0C4B">
        <w:rPr>
          <w:rFonts w:ascii="Calibri" w:hAnsi="Calibri"/>
          <w:color w:val="auto"/>
          <w:sz w:val="22"/>
        </w:rPr>
        <w:t>AZD7442(Evusheld)</w:t>
      </w:r>
      <w:bookmarkEnd w:id="649"/>
      <w:bookmarkEnd w:id="650"/>
    </w:p>
    <w:p w14:paraId="1A238B38" w14:textId="40FF43F7" w:rsidR="00424FDD" w:rsidRPr="001C0C4B" w:rsidRDefault="00424FDD" w:rsidP="00255A69">
      <w:pPr>
        <w:pStyle w:val="bullet10"/>
      </w:pPr>
      <w:r w:rsidRPr="001C0C4B">
        <w:t>No additional contraindications</w:t>
      </w:r>
    </w:p>
    <w:p w14:paraId="2C35F688" w14:textId="6670E821" w:rsidR="00881611" w:rsidRPr="001C0C4B" w:rsidRDefault="00881611" w:rsidP="00881611">
      <w:pPr>
        <w:pStyle w:val="Heading3"/>
        <w:spacing w:before="0" w:after="120" w:line="276" w:lineRule="auto"/>
        <w:jc w:val="both"/>
        <w:rPr>
          <w:rFonts w:ascii="Calibri" w:hAnsi="Calibri"/>
          <w:color w:val="auto"/>
          <w:sz w:val="22"/>
        </w:rPr>
      </w:pPr>
      <w:bookmarkStart w:id="651" w:name="_Toc110524055"/>
      <w:bookmarkStart w:id="652" w:name="_Toc112917703"/>
      <w:r w:rsidRPr="001C0C4B">
        <w:rPr>
          <w:rFonts w:ascii="Calibri" w:hAnsi="Calibri"/>
          <w:color w:val="auto"/>
          <w:sz w:val="22"/>
        </w:rPr>
        <w:t>Ensitrelvir</w:t>
      </w:r>
      <w:bookmarkEnd w:id="651"/>
      <w:bookmarkEnd w:id="652"/>
    </w:p>
    <w:p w14:paraId="2A572F2E" w14:textId="4DA1020B" w:rsidR="00881611" w:rsidRPr="001C0C4B" w:rsidRDefault="00881611" w:rsidP="00255A69">
      <w:pPr>
        <w:pStyle w:val="bullet10"/>
      </w:pPr>
      <w:r w:rsidRPr="001C0C4B">
        <w:t>No additional contraindications</w:t>
      </w:r>
    </w:p>
    <w:p w14:paraId="34D84C45" w14:textId="6BBA8549" w:rsidR="00FA0217" w:rsidRPr="001C0C4B" w:rsidRDefault="0092569D" w:rsidP="00421762">
      <w:pPr>
        <w:pStyle w:val="Heading3"/>
        <w:spacing w:before="0" w:after="120" w:line="276" w:lineRule="auto"/>
        <w:rPr>
          <w:rFonts w:asciiTheme="minorHAnsi" w:hAnsiTheme="minorHAnsi" w:cstheme="minorHAnsi"/>
        </w:rPr>
      </w:pPr>
      <w:bookmarkStart w:id="653" w:name="_Toc112917704"/>
      <w:r w:rsidRPr="001C0C4B">
        <w:rPr>
          <w:rFonts w:asciiTheme="minorHAnsi" w:hAnsiTheme="minorHAnsi" w:cstheme="minorHAnsi"/>
          <w:sz w:val="22"/>
          <w:szCs w:val="22"/>
        </w:rPr>
        <w:t>M</w:t>
      </w:r>
      <w:r w:rsidR="00FA0217" w:rsidRPr="001C0C4B">
        <w:rPr>
          <w:rFonts w:asciiTheme="minorHAnsi" w:hAnsiTheme="minorHAnsi" w:cstheme="minorHAnsi"/>
          <w:sz w:val="22"/>
          <w:szCs w:val="22"/>
        </w:rPr>
        <w:t>olnupiravir and Nirmatrelvir/Ritonavir</w:t>
      </w:r>
      <w:r w:rsidRPr="001C0C4B">
        <w:rPr>
          <w:rFonts w:asciiTheme="minorHAnsi" w:hAnsiTheme="minorHAnsi" w:cstheme="minorHAnsi"/>
          <w:sz w:val="22"/>
          <w:szCs w:val="22"/>
        </w:rPr>
        <w:t xml:space="preserve"> combination</w:t>
      </w:r>
      <w:bookmarkEnd w:id="653"/>
    </w:p>
    <w:p w14:paraId="631E5554" w14:textId="3DA25D41" w:rsidR="00FA0217" w:rsidRPr="001C0C4B" w:rsidRDefault="00FA0217" w:rsidP="0092569D">
      <w:pPr>
        <w:pStyle w:val="bullet10"/>
        <w:rPr>
          <w:rFonts w:asciiTheme="minorHAnsi" w:hAnsiTheme="minorHAnsi" w:cstheme="minorHAnsi"/>
        </w:rPr>
      </w:pPr>
      <w:r w:rsidRPr="001C0C4B">
        <w:rPr>
          <w:rFonts w:asciiTheme="minorHAnsi" w:hAnsiTheme="minorHAnsi" w:cstheme="minorHAnsi"/>
        </w:rPr>
        <w:t>No interactions, no additional contraindications to individual drugs</w:t>
      </w:r>
    </w:p>
    <w:p w14:paraId="1BDF425C" w14:textId="77777777" w:rsidR="00881611" w:rsidRPr="001C0C4B" w:rsidRDefault="00881611" w:rsidP="00255A69">
      <w:pPr>
        <w:pStyle w:val="bullet10"/>
      </w:pPr>
    </w:p>
    <w:p w14:paraId="6B83D518" w14:textId="0C06BEAC" w:rsidR="00C73DF6" w:rsidRPr="001C0C4B" w:rsidRDefault="00C73DF6" w:rsidP="002E1591">
      <w:pPr>
        <w:pStyle w:val="Heading3"/>
        <w:spacing w:before="0" w:after="120" w:line="276" w:lineRule="auto"/>
        <w:jc w:val="both"/>
        <w:rPr>
          <w:rFonts w:ascii="Calibri" w:hAnsi="Calibri" w:cs="Calibri"/>
          <w:color w:val="auto"/>
          <w:sz w:val="22"/>
          <w:szCs w:val="22"/>
          <w:u w:val="single"/>
        </w:rPr>
      </w:pPr>
      <w:bookmarkStart w:id="654" w:name="_Toc96007387"/>
      <w:bookmarkStart w:id="655" w:name="_Toc95915313"/>
      <w:bookmarkStart w:id="656" w:name="_Toc74661347"/>
      <w:bookmarkStart w:id="657" w:name="_Toc110524056"/>
      <w:bookmarkStart w:id="658" w:name="_Toc96005690"/>
      <w:bookmarkStart w:id="659" w:name="_Toc112917705"/>
      <w:r w:rsidRPr="001C0C4B">
        <w:rPr>
          <w:rFonts w:ascii="Calibri" w:hAnsi="Calibri" w:cs="Calibri"/>
          <w:color w:val="auto"/>
          <w:sz w:val="22"/>
          <w:szCs w:val="22"/>
          <w:u w:val="single"/>
        </w:rPr>
        <w:t>References for exclusion criteria</w:t>
      </w:r>
      <w:bookmarkEnd w:id="654"/>
      <w:bookmarkEnd w:id="655"/>
      <w:bookmarkEnd w:id="656"/>
      <w:bookmarkEnd w:id="657"/>
      <w:bookmarkEnd w:id="658"/>
      <w:bookmarkEnd w:id="659"/>
    </w:p>
    <w:p w14:paraId="3B92E3BE" w14:textId="77777777" w:rsidR="00C73DF6" w:rsidRPr="001C0C4B" w:rsidRDefault="00C73DF6" w:rsidP="000C3983">
      <w:pPr>
        <w:spacing w:after="120" w:line="276" w:lineRule="auto"/>
        <w:ind w:left="360"/>
        <w:jc w:val="both"/>
        <w:rPr>
          <w:rFonts w:ascii="Calibri" w:hAnsi="Calibri" w:cs="Calibri"/>
          <w:noProof/>
        </w:rPr>
      </w:pPr>
      <w:r w:rsidRPr="001C0C4B">
        <w:rPr>
          <w:rFonts w:ascii="Calibri" w:hAnsi="Calibri" w:cs="Calibri"/>
          <w:noProof/>
        </w:rPr>
        <w:t xml:space="preserve">Andrew S Levey, Lesley A Stevens, Christopher H Schmid, Yaping Lucy Zhang, Alejandro F Castro, Harold I Feldman, John W Kusek, Paul Eggers, Frederick Van Lente, Tom Greene and J. Coresh (2009). "A new equation to estimate glomerular filtration rate." </w:t>
      </w:r>
      <w:r w:rsidRPr="001C0C4B">
        <w:rPr>
          <w:rFonts w:ascii="Calibri" w:hAnsi="Calibri" w:cs="Calibri"/>
          <w:noProof/>
          <w:u w:val="single"/>
        </w:rPr>
        <w:t>Annals of Internal Medicine</w:t>
      </w:r>
      <w:r w:rsidRPr="001C0C4B">
        <w:rPr>
          <w:rFonts w:ascii="Calibri" w:hAnsi="Calibri" w:cs="Calibri"/>
          <w:noProof/>
        </w:rPr>
        <w:t xml:space="preserve"> </w:t>
      </w:r>
      <w:r w:rsidRPr="001C0C4B">
        <w:rPr>
          <w:rFonts w:ascii="Calibri" w:hAnsi="Calibri" w:cs="Calibri"/>
          <w:b/>
          <w:noProof/>
        </w:rPr>
        <w:t>150</w:t>
      </w:r>
      <w:r w:rsidRPr="001C0C4B">
        <w:rPr>
          <w:rFonts w:ascii="Calibri" w:hAnsi="Calibri" w:cs="Calibri"/>
          <w:noProof/>
        </w:rPr>
        <w:t>: 604-612.</w:t>
      </w:r>
    </w:p>
    <w:p w14:paraId="306A7368" w14:textId="1223A5EC" w:rsidR="00C73DF6" w:rsidRPr="001C0C4B" w:rsidRDefault="00C73DF6" w:rsidP="000C3983">
      <w:pPr>
        <w:spacing w:after="120" w:line="276" w:lineRule="auto"/>
        <w:ind w:left="360"/>
        <w:jc w:val="both"/>
        <w:rPr>
          <w:rFonts w:ascii="Calibri" w:hAnsi="Calibri" w:cs="Calibri"/>
        </w:rPr>
      </w:pPr>
      <w:r w:rsidRPr="001C0C4B">
        <w:rPr>
          <w:rFonts w:ascii="Calibri" w:hAnsi="Calibri" w:cs="Calibri"/>
        </w:rPr>
        <w:t xml:space="preserve">Williamson, E. J., A. J. Walker, K. Bhaskaran, S. Bacon, C. Bates, C. E. Morton, H. J. Curtis, A. Mehrkar, D. Evans, P. Inglesby, J. Cockburn, H. I. McDonald, B. MacKenna, L. Tomlinson, I. J. Douglas, C. T. Rentsch, R. Mathur, A. Y. S. Wong, R. Grieve, D. Harrison, H. Forbes, A. Schultze, R. Croker, J. Parry, F. Hester, S. Harper, R. Perera, S. J. W. Evans, L. Smeeth and B. Goldacre (2020). "Factors associated with COVID-19-related death using OpenSAFELY." </w:t>
      </w:r>
      <w:r w:rsidRPr="001C0C4B">
        <w:rPr>
          <w:rFonts w:ascii="Calibri" w:hAnsi="Calibri" w:cs="Calibri"/>
          <w:u w:val="single"/>
        </w:rPr>
        <w:t>Nature</w:t>
      </w:r>
      <w:r w:rsidRPr="001C0C4B">
        <w:rPr>
          <w:rFonts w:ascii="Calibri" w:hAnsi="Calibri" w:cs="Calibri"/>
        </w:rPr>
        <w:t xml:space="preserve"> </w:t>
      </w:r>
      <w:r w:rsidRPr="001C0C4B">
        <w:rPr>
          <w:rFonts w:ascii="Calibri" w:hAnsi="Calibri" w:cs="Calibri"/>
          <w:b/>
        </w:rPr>
        <w:t>584</w:t>
      </w:r>
      <w:r w:rsidRPr="001C0C4B">
        <w:rPr>
          <w:rFonts w:ascii="Calibri" w:hAnsi="Calibri" w:cs="Calibri"/>
        </w:rPr>
        <w:t>(7821): 430-436.</w:t>
      </w:r>
    </w:p>
    <w:p w14:paraId="6D08A1C7" w14:textId="4D61407E" w:rsidR="003047C8" w:rsidRPr="001C0C4B" w:rsidRDefault="003047C8">
      <w:pPr>
        <w:autoSpaceDE w:val="0"/>
        <w:autoSpaceDN w:val="0"/>
        <w:adjustRightInd w:val="0"/>
        <w:spacing w:after="0" w:line="240" w:lineRule="auto"/>
        <w:rPr>
          <w:rFonts w:ascii="Calibri" w:hAnsi="Calibri" w:cs="Calibri"/>
        </w:rPr>
      </w:pPr>
    </w:p>
    <w:p w14:paraId="26F41072" w14:textId="76E934A7" w:rsidR="003047C8" w:rsidRPr="001C0C4B" w:rsidRDefault="003047C8">
      <w:pPr>
        <w:autoSpaceDE w:val="0"/>
        <w:autoSpaceDN w:val="0"/>
        <w:adjustRightInd w:val="0"/>
        <w:spacing w:after="0" w:line="240" w:lineRule="auto"/>
        <w:rPr>
          <w:rFonts w:ascii="Calibri" w:hAnsi="Calibri" w:cs="Calibri"/>
        </w:rPr>
      </w:pPr>
    </w:p>
    <w:p w14:paraId="6B95D9DC" w14:textId="6AE36A44" w:rsidR="003047C8" w:rsidRPr="001C0C4B" w:rsidRDefault="003047C8">
      <w:pPr>
        <w:autoSpaceDE w:val="0"/>
        <w:autoSpaceDN w:val="0"/>
        <w:adjustRightInd w:val="0"/>
        <w:spacing w:after="0" w:line="240" w:lineRule="auto"/>
        <w:rPr>
          <w:rFonts w:ascii="Calibri" w:hAnsi="Calibri" w:cs="Calibri"/>
        </w:rPr>
      </w:pPr>
    </w:p>
    <w:p w14:paraId="31709203" w14:textId="60FE46F9" w:rsidR="003047C8" w:rsidRPr="001C0C4B" w:rsidRDefault="003047C8">
      <w:pPr>
        <w:autoSpaceDE w:val="0"/>
        <w:autoSpaceDN w:val="0"/>
        <w:adjustRightInd w:val="0"/>
        <w:spacing w:after="0" w:line="240" w:lineRule="auto"/>
        <w:rPr>
          <w:rFonts w:ascii="Calibri" w:hAnsi="Calibri" w:cs="Calibri"/>
        </w:rPr>
      </w:pPr>
    </w:p>
    <w:p w14:paraId="15F5AABB" w14:textId="0494066A" w:rsidR="003047C8" w:rsidRPr="001C0C4B" w:rsidRDefault="003047C8">
      <w:pPr>
        <w:autoSpaceDE w:val="0"/>
        <w:autoSpaceDN w:val="0"/>
        <w:adjustRightInd w:val="0"/>
        <w:spacing w:after="0" w:line="240" w:lineRule="auto"/>
        <w:rPr>
          <w:rFonts w:ascii="Calibri" w:hAnsi="Calibri" w:cs="Calibri"/>
        </w:rPr>
      </w:pPr>
    </w:p>
    <w:p w14:paraId="3DC6C961" w14:textId="0FE9CF41" w:rsidR="003047C8" w:rsidRPr="001C0C4B" w:rsidRDefault="003047C8">
      <w:pPr>
        <w:autoSpaceDE w:val="0"/>
        <w:autoSpaceDN w:val="0"/>
        <w:adjustRightInd w:val="0"/>
        <w:spacing w:after="0" w:line="240" w:lineRule="auto"/>
        <w:rPr>
          <w:rFonts w:ascii="Calibri" w:hAnsi="Calibri" w:cs="Calibri"/>
        </w:rPr>
      </w:pPr>
    </w:p>
    <w:p w14:paraId="17C0BA0C" w14:textId="0463C873" w:rsidR="003047C8" w:rsidRPr="001C0C4B" w:rsidRDefault="003047C8">
      <w:pPr>
        <w:autoSpaceDE w:val="0"/>
        <w:autoSpaceDN w:val="0"/>
        <w:adjustRightInd w:val="0"/>
        <w:spacing w:after="0" w:line="240" w:lineRule="auto"/>
        <w:rPr>
          <w:rFonts w:ascii="Calibri" w:hAnsi="Calibri" w:cs="Calibri"/>
        </w:rPr>
      </w:pPr>
    </w:p>
    <w:p w14:paraId="030DA738" w14:textId="07D875FD" w:rsidR="003047C8" w:rsidRPr="001C0C4B" w:rsidRDefault="003047C8">
      <w:pPr>
        <w:autoSpaceDE w:val="0"/>
        <w:autoSpaceDN w:val="0"/>
        <w:adjustRightInd w:val="0"/>
        <w:spacing w:after="0" w:line="240" w:lineRule="auto"/>
        <w:rPr>
          <w:rFonts w:ascii="Calibri" w:hAnsi="Calibri" w:cs="Calibri"/>
        </w:rPr>
      </w:pPr>
    </w:p>
    <w:p w14:paraId="16332E33" w14:textId="2F69A6E2" w:rsidR="003047C8" w:rsidRPr="001C0C4B" w:rsidRDefault="003047C8">
      <w:pPr>
        <w:autoSpaceDE w:val="0"/>
        <w:autoSpaceDN w:val="0"/>
        <w:adjustRightInd w:val="0"/>
        <w:spacing w:after="0" w:line="240" w:lineRule="auto"/>
        <w:rPr>
          <w:rFonts w:ascii="Calibri" w:hAnsi="Calibri" w:cs="Calibri"/>
        </w:rPr>
      </w:pPr>
    </w:p>
    <w:p w14:paraId="0333F948" w14:textId="40135291" w:rsidR="0066086A" w:rsidRPr="001C0C4B" w:rsidRDefault="0066086A">
      <w:pPr>
        <w:autoSpaceDE w:val="0"/>
        <w:autoSpaceDN w:val="0"/>
        <w:adjustRightInd w:val="0"/>
        <w:spacing w:after="0" w:line="240" w:lineRule="auto"/>
        <w:rPr>
          <w:rFonts w:ascii="Calibri" w:hAnsi="Calibri" w:cs="Calibri"/>
        </w:rPr>
      </w:pPr>
    </w:p>
    <w:p w14:paraId="40535C31" w14:textId="62B6C52A" w:rsidR="0066086A" w:rsidRPr="001C0C4B" w:rsidRDefault="0066086A">
      <w:pPr>
        <w:autoSpaceDE w:val="0"/>
        <w:autoSpaceDN w:val="0"/>
        <w:adjustRightInd w:val="0"/>
        <w:spacing w:after="0" w:line="240" w:lineRule="auto"/>
        <w:rPr>
          <w:rFonts w:ascii="Calibri" w:hAnsi="Calibri" w:cs="Calibri"/>
        </w:rPr>
      </w:pPr>
    </w:p>
    <w:p w14:paraId="18B6C84F" w14:textId="3439C7A6" w:rsidR="0066086A" w:rsidRPr="001C0C4B" w:rsidRDefault="0066086A">
      <w:pPr>
        <w:autoSpaceDE w:val="0"/>
        <w:autoSpaceDN w:val="0"/>
        <w:adjustRightInd w:val="0"/>
        <w:spacing w:after="0" w:line="240" w:lineRule="auto"/>
        <w:rPr>
          <w:rFonts w:ascii="Calibri" w:hAnsi="Calibri" w:cs="Calibri"/>
        </w:rPr>
      </w:pPr>
    </w:p>
    <w:p w14:paraId="27ACF8EF" w14:textId="1E6B4275" w:rsidR="0066086A" w:rsidRPr="001C0C4B" w:rsidRDefault="0066086A">
      <w:pPr>
        <w:autoSpaceDE w:val="0"/>
        <w:autoSpaceDN w:val="0"/>
        <w:adjustRightInd w:val="0"/>
        <w:spacing w:after="0" w:line="240" w:lineRule="auto"/>
        <w:rPr>
          <w:rFonts w:ascii="Calibri" w:hAnsi="Calibri" w:cs="Calibri"/>
        </w:rPr>
      </w:pPr>
    </w:p>
    <w:p w14:paraId="13E14245" w14:textId="632B8EB4" w:rsidR="0066086A" w:rsidRPr="001C0C4B" w:rsidRDefault="0066086A">
      <w:pPr>
        <w:autoSpaceDE w:val="0"/>
        <w:autoSpaceDN w:val="0"/>
        <w:adjustRightInd w:val="0"/>
        <w:spacing w:after="0" w:line="240" w:lineRule="auto"/>
        <w:rPr>
          <w:rFonts w:ascii="Calibri" w:hAnsi="Calibri" w:cs="Calibri"/>
        </w:rPr>
      </w:pPr>
    </w:p>
    <w:p w14:paraId="190E7B4A" w14:textId="73EA06B6" w:rsidR="0066086A" w:rsidRPr="001C0C4B" w:rsidRDefault="0066086A">
      <w:pPr>
        <w:autoSpaceDE w:val="0"/>
        <w:autoSpaceDN w:val="0"/>
        <w:adjustRightInd w:val="0"/>
        <w:spacing w:after="0" w:line="240" w:lineRule="auto"/>
        <w:rPr>
          <w:rFonts w:ascii="Calibri" w:hAnsi="Calibri" w:cs="Calibri"/>
        </w:rPr>
      </w:pPr>
    </w:p>
    <w:p w14:paraId="74106747" w14:textId="1EA390DB" w:rsidR="0066086A" w:rsidRPr="001C0C4B" w:rsidRDefault="0066086A">
      <w:pPr>
        <w:autoSpaceDE w:val="0"/>
        <w:autoSpaceDN w:val="0"/>
        <w:adjustRightInd w:val="0"/>
        <w:spacing w:after="0" w:line="240" w:lineRule="auto"/>
        <w:rPr>
          <w:rFonts w:ascii="Calibri" w:hAnsi="Calibri" w:cs="Calibri"/>
        </w:rPr>
      </w:pPr>
    </w:p>
    <w:p w14:paraId="03F8EB5E" w14:textId="6CFAA725" w:rsidR="0066086A" w:rsidRPr="001C0C4B" w:rsidRDefault="0066086A">
      <w:pPr>
        <w:autoSpaceDE w:val="0"/>
        <w:autoSpaceDN w:val="0"/>
        <w:adjustRightInd w:val="0"/>
        <w:spacing w:after="0" w:line="240" w:lineRule="auto"/>
        <w:rPr>
          <w:rFonts w:ascii="Calibri" w:hAnsi="Calibri" w:cs="Calibri"/>
        </w:rPr>
      </w:pPr>
    </w:p>
    <w:p w14:paraId="66EB3166" w14:textId="0C996CE3" w:rsidR="0066086A" w:rsidRPr="001C0C4B" w:rsidRDefault="0066086A">
      <w:pPr>
        <w:autoSpaceDE w:val="0"/>
        <w:autoSpaceDN w:val="0"/>
        <w:adjustRightInd w:val="0"/>
        <w:spacing w:after="0" w:line="240" w:lineRule="auto"/>
        <w:rPr>
          <w:rFonts w:ascii="Calibri" w:hAnsi="Calibri" w:cs="Calibri"/>
        </w:rPr>
      </w:pPr>
    </w:p>
    <w:p w14:paraId="74F2E840" w14:textId="7A9313CF" w:rsidR="0066086A" w:rsidRPr="001C0C4B" w:rsidRDefault="0066086A">
      <w:pPr>
        <w:autoSpaceDE w:val="0"/>
        <w:autoSpaceDN w:val="0"/>
        <w:adjustRightInd w:val="0"/>
        <w:spacing w:after="0" w:line="240" w:lineRule="auto"/>
        <w:rPr>
          <w:rFonts w:ascii="Calibri" w:hAnsi="Calibri" w:cs="Calibri"/>
        </w:rPr>
      </w:pPr>
    </w:p>
    <w:p w14:paraId="776BEB20" w14:textId="549AD477" w:rsidR="0066086A" w:rsidRPr="001C0C4B" w:rsidRDefault="0066086A">
      <w:pPr>
        <w:autoSpaceDE w:val="0"/>
        <w:autoSpaceDN w:val="0"/>
        <w:adjustRightInd w:val="0"/>
        <w:spacing w:after="0" w:line="240" w:lineRule="auto"/>
        <w:rPr>
          <w:rFonts w:ascii="Calibri" w:hAnsi="Calibri" w:cs="Calibri"/>
        </w:rPr>
      </w:pPr>
    </w:p>
    <w:p w14:paraId="52D5AFEC" w14:textId="358A3A4F" w:rsidR="0066086A" w:rsidRPr="001C0C4B" w:rsidRDefault="0066086A">
      <w:pPr>
        <w:autoSpaceDE w:val="0"/>
        <w:autoSpaceDN w:val="0"/>
        <w:adjustRightInd w:val="0"/>
        <w:spacing w:after="0" w:line="240" w:lineRule="auto"/>
        <w:rPr>
          <w:rFonts w:ascii="Calibri" w:hAnsi="Calibri" w:cs="Calibri"/>
        </w:rPr>
      </w:pPr>
    </w:p>
    <w:p w14:paraId="12EBB701" w14:textId="3A4BC1D2" w:rsidR="0066086A" w:rsidRPr="001C0C4B" w:rsidRDefault="0066086A">
      <w:pPr>
        <w:autoSpaceDE w:val="0"/>
        <w:autoSpaceDN w:val="0"/>
        <w:adjustRightInd w:val="0"/>
        <w:spacing w:after="0" w:line="240" w:lineRule="auto"/>
        <w:rPr>
          <w:rFonts w:ascii="Calibri" w:hAnsi="Calibri" w:cs="Calibri"/>
        </w:rPr>
      </w:pPr>
    </w:p>
    <w:p w14:paraId="07577460" w14:textId="59E44658" w:rsidR="0066086A" w:rsidRPr="001C0C4B" w:rsidRDefault="0066086A">
      <w:pPr>
        <w:autoSpaceDE w:val="0"/>
        <w:autoSpaceDN w:val="0"/>
        <w:adjustRightInd w:val="0"/>
        <w:spacing w:after="0" w:line="240" w:lineRule="auto"/>
        <w:rPr>
          <w:rFonts w:ascii="Calibri" w:hAnsi="Calibri" w:cs="Calibri"/>
        </w:rPr>
      </w:pPr>
    </w:p>
    <w:p w14:paraId="256B8632" w14:textId="4BA793C7" w:rsidR="0066086A" w:rsidRPr="001C0C4B" w:rsidRDefault="0066086A">
      <w:pPr>
        <w:autoSpaceDE w:val="0"/>
        <w:autoSpaceDN w:val="0"/>
        <w:adjustRightInd w:val="0"/>
        <w:spacing w:after="0" w:line="240" w:lineRule="auto"/>
        <w:rPr>
          <w:rFonts w:ascii="Calibri" w:hAnsi="Calibri" w:cs="Calibri"/>
        </w:rPr>
      </w:pPr>
    </w:p>
    <w:p w14:paraId="76DD07F7" w14:textId="05E47AAE" w:rsidR="0066086A" w:rsidRPr="001C0C4B" w:rsidRDefault="0066086A">
      <w:pPr>
        <w:autoSpaceDE w:val="0"/>
        <w:autoSpaceDN w:val="0"/>
        <w:adjustRightInd w:val="0"/>
        <w:spacing w:after="0" w:line="240" w:lineRule="auto"/>
        <w:rPr>
          <w:rFonts w:ascii="Calibri" w:hAnsi="Calibri" w:cs="Calibri"/>
        </w:rPr>
      </w:pPr>
    </w:p>
    <w:p w14:paraId="7E57A8BA" w14:textId="0F669A44" w:rsidR="00F50CB8" w:rsidRPr="001C0C4B" w:rsidRDefault="00F50CB8" w:rsidP="001B506F">
      <w:pPr>
        <w:pStyle w:val="Heading1"/>
        <w:numPr>
          <w:ilvl w:val="0"/>
          <w:numId w:val="60"/>
        </w:numPr>
        <w:rPr>
          <w:rFonts w:ascii="Calibri" w:hAnsi="Calibri" w:cs="Calibri"/>
          <w:color w:val="auto"/>
          <w:sz w:val="22"/>
          <w:szCs w:val="22"/>
          <w:lang w:val="en-GB"/>
        </w:rPr>
      </w:pPr>
      <w:bookmarkStart w:id="660" w:name="_Toc96005691"/>
      <w:bookmarkStart w:id="661" w:name="_Toc74661348"/>
      <w:bookmarkStart w:id="662" w:name="_Toc110524057"/>
      <w:bookmarkStart w:id="663" w:name="_Toc112917706"/>
      <w:r w:rsidRPr="001C0C4B">
        <w:rPr>
          <w:rFonts w:ascii="Calibri" w:hAnsi="Calibri" w:cs="Calibri"/>
          <w:color w:val="auto"/>
          <w:sz w:val="22"/>
          <w:szCs w:val="22"/>
          <w:lang w:val="en-GB"/>
        </w:rPr>
        <w:lastRenderedPageBreak/>
        <w:t>Appendix 5</w:t>
      </w:r>
      <w:bookmarkStart w:id="664" w:name="_Toc96005692"/>
      <w:bookmarkEnd w:id="660"/>
      <w:r w:rsidR="001B506F" w:rsidRPr="001C0C4B">
        <w:rPr>
          <w:rFonts w:ascii="Calibri" w:hAnsi="Calibri" w:cs="Calibri"/>
          <w:color w:val="auto"/>
          <w:sz w:val="22"/>
          <w:szCs w:val="22"/>
          <w:lang w:val="en-GB"/>
        </w:rPr>
        <w:t xml:space="preserve"> </w:t>
      </w:r>
      <w:r w:rsidRPr="001C0C4B">
        <w:rPr>
          <w:rFonts w:ascii="Calibri" w:hAnsi="Calibri" w:cs="Calibri"/>
          <w:color w:val="auto"/>
          <w:sz w:val="22"/>
          <w:szCs w:val="22"/>
          <w:lang w:val="en-GB"/>
        </w:rPr>
        <w:t xml:space="preserve">– </w:t>
      </w:r>
      <w:r w:rsidR="008B78A7" w:rsidRPr="001C0C4B">
        <w:rPr>
          <w:rFonts w:ascii="Calibri" w:hAnsi="Calibri" w:cs="Calibri"/>
          <w:color w:val="auto"/>
          <w:sz w:val="22"/>
          <w:szCs w:val="22"/>
          <w:lang w:val="en-GB"/>
        </w:rPr>
        <w:t>Amendment History</w:t>
      </w:r>
      <w:bookmarkEnd w:id="661"/>
      <w:bookmarkEnd w:id="662"/>
      <w:bookmarkEnd w:id="663"/>
      <w:bookmarkEnd w:id="664"/>
    </w:p>
    <w:p w14:paraId="06461E8C" w14:textId="1DD11C7B" w:rsidR="00F50CB8" w:rsidRPr="001C0C4B" w:rsidRDefault="00F50CB8" w:rsidP="00BF2FEE">
      <w:pPr>
        <w:spacing w:line="240" w:lineRule="auto"/>
        <w:rPr>
          <w:rFonts w:ascii="Calibri" w:hAnsi="Calibri"/>
          <w:lang w:val="x-none"/>
        </w:rPr>
      </w:pPr>
    </w:p>
    <w:tbl>
      <w:tblPr>
        <w:tblStyle w:val="TableGrid"/>
        <w:tblW w:w="9643" w:type="dxa"/>
        <w:tblLook w:val="01E0" w:firstRow="1" w:lastRow="1" w:firstColumn="1" w:lastColumn="1" w:noHBand="0" w:noVBand="0"/>
      </w:tblPr>
      <w:tblGrid>
        <w:gridCol w:w="1593"/>
        <w:gridCol w:w="1281"/>
        <w:gridCol w:w="1296"/>
        <w:gridCol w:w="1891"/>
        <w:gridCol w:w="3582"/>
      </w:tblGrid>
      <w:tr w:rsidR="0037739C" w:rsidRPr="001C0C4B" w14:paraId="14481287" w14:textId="77777777" w:rsidTr="007845D4">
        <w:trPr>
          <w:trHeight w:val="821"/>
        </w:trPr>
        <w:tc>
          <w:tcPr>
            <w:tcW w:w="1593" w:type="dxa"/>
          </w:tcPr>
          <w:p w14:paraId="77A5A33F" w14:textId="77777777" w:rsidR="0037739C" w:rsidRPr="001C0C4B" w:rsidRDefault="0037739C" w:rsidP="007845D4">
            <w:pPr>
              <w:rPr>
                <w:rFonts w:ascii="Calibri" w:hAnsi="Calibri" w:cs="Calibri"/>
                <w:b/>
              </w:rPr>
            </w:pPr>
            <w:r w:rsidRPr="001C0C4B">
              <w:rPr>
                <w:rFonts w:ascii="Calibri" w:hAnsi="Calibri" w:cs="Calibri"/>
                <w:b/>
              </w:rPr>
              <w:t>Amendment No.</w:t>
            </w:r>
          </w:p>
        </w:tc>
        <w:tc>
          <w:tcPr>
            <w:tcW w:w="1281" w:type="dxa"/>
          </w:tcPr>
          <w:p w14:paraId="28749330" w14:textId="77777777" w:rsidR="0037739C" w:rsidRPr="001C0C4B" w:rsidRDefault="0037739C" w:rsidP="007845D4">
            <w:pPr>
              <w:rPr>
                <w:rFonts w:ascii="Calibri" w:hAnsi="Calibri" w:cs="Calibri"/>
                <w:b/>
              </w:rPr>
            </w:pPr>
            <w:r w:rsidRPr="001C0C4B">
              <w:rPr>
                <w:rFonts w:ascii="Calibri" w:hAnsi="Calibri" w:cs="Calibri"/>
                <w:b/>
              </w:rPr>
              <w:t>Protocol Version No.</w:t>
            </w:r>
          </w:p>
        </w:tc>
        <w:tc>
          <w:tcPr>
            <w:tcW w:w="1296" w:type="dxa"/>
          </w:tcPr>
          <w:p w14:paraId="1B3F501D" w14:textId="77777777" w:rsidR="0037739C" w:rsidRPr="001C0C4B" w:rsidRDefault="0037739C" w:rsidP="007845D4">
            <w:pPr>
              <w:rPr>
                <w:rFonts w:ascii="Calibri" w:hAnsi="Calibri" w:cs="Calibri"/>
                <w:b/>
              </w:rPr>
            </w:pPr>
            <w:r w:rsidRPr="001C0C4B">
              <w:rPr>
                <w:rFonts w:ascii="Calibri" w:hAnsi="Calibri" w:cs="Calibri"/>
                <w:b/>
              </w:rPr>
              <w:t>Date issued</w:t>
            </w:r>
          </w:p>
        </w:tc>
        <w:tc>
          <w:tcPr>
            <w:tcW w:w="1891" w:type="dxa"/>
          </w:tcPr>
          <w:p w14:paraId="66F11A6F" w14:textId="77777777" w:rsidR="0037739C" w:rsidRPr="001C0C4B" w:rsidRDefault="0037739C" w:rsidP="007845D4">
            <w:pPr>
              <w:rPr>
                <w:rFonts w:ascii="Calibri" w:hAnsi="Calibri" w:cs="Calibri"/>
                <w:b/>
              </w:rPr>
            </w:pPr>
            <w:r w:rsidRPr="001C0C4B">
              <w:rPr>
                <w:rFonts w:ascii="Calibri" w:hAnsi="Calibri" w:cs="Calibri"/>
                <w:b/>
              </w:rPr>
              <w:t>Author(s) of changes</w:t>
            </w:r>
          </w:p>
        </w:tc>
        <w:tc>
          <w:tcPr>
            <w:tcW w:w="3582" w:type="dxa"/>
          </w:tcPr>
          <w:p w14:paraId="4A90137A" w14:textId="77777777" w:rsidR="0037739C" w:rsidRPr="001C0C4B" w:rsidRDefault="0037739C" w:rsidP="007845D4">
            <w:pPr>
              <w:rPr>
                <w:rFonts w:ascii="Calibri" w:hAnsi="Calibri" w:cs="Calibri"/>
                <w:b/>
              </w:rPr>
            </w:pPr>
            <w:r w:rsidRPr="001C0C4B">
              <w:rPr>
                <w:rFonts w:ascii="Calibri" w:hAnsi="Calibri" w:cs="Calibri"/>
                <w:b/>
              </w:rPr>
              <w:t>Details of Changes made</w:t>
            </w:r>
          </w:p>
        </w:tc>
      </w:tr>
      <w:tr w:rsidR="00F11455" w:rsidRPr="0037739C" w14:paraId="1DE9DB4E" w14:textId="77777777" w:rsidTr="007845D4">
        <w:trPr>
          <w:trHeight w:val="290"/>
        </w:trPr>
        <w:tc>
          <w:tcPr>
            <w:tcW w:w="1593" w:type="dxa"/>
          </w:tcPr>
          <w:p w14:paraId="4146BCD0" w14:textId="6A92B95C" w:rsidR="00F11455" w:rsidRPr="00863279" w:rsidRDefault="007C1936" w:rsidP="00F11455">
            <w:pPr>
              <w:rPr>
                <w:rFonts w:ascii="Calibri" w:hAnsi="Calibri" w:cs="Calibri"/>
                <w:sz w:val="20"/>
                <w:szCs w:val="20"/>
              </w:rPr>
            </w:pPr>
            <w:r w:rsidRPr="00863279">
              <w:rPr>
                <w:rFonts w:ascii="Calibri" w:hAnsi="Calibri" w:cs="Calibri"/>
                <w:sz w:val="20"/>
                <w:szCs w:val="20"/>
              </w:rPr>
              <w:t>1</w:t>
            </w:r>
          </w:p>
        </w:tc>
        <w:tc>
          <w:tcPr>
            <w:tcW w:w="1281" w:type="dxa"/>
          </w:tcPr>
          <w:p w14:paraId="51C64FAD" w14:textId="19DDEB85" w:rsidR="00F11455" w:rsidRPr="00863279" w:rsidRDefault="007C1936" w:rsidP="00F11455">
            <w:pPr>
              <w:rPr>
                <w:rFonts w:ascii="Calibri" w:hAnsi="Calibri" w:cs="Calibri"/>
                <w:sz w:val="20"/>
                <w:szCs w:val="20"/>
              </w:rPr>
            </w:pPr>
            <w:r w:rsidRPr="00863279">
              <w:rPr>
                <w:rFonts w:ascii="Calibri" w:hAnsi="Calibri" w:cs="Calibri"/>
                <w:sz w:val="20"/>
                <w:szCs w:val="20"/>
              </w:rPr>
              <w:t>3</w:t>
            </w:r>
            <w:r w:rsidR="00F11455" w:rsidRPr="00863279">
              <w:rPr>
                <w:rFonts w:ascii="Calibri" w:hAnsi="Calibri" w:cs="Calibri"/>
                <w:sz w:val="20"/>
                <w:szCs w:val="20"/>
              </w:rPr>
              <w:t>.0</w:t>
            </w:r>
          </w:p>
        </w:tc>
        <w:tc>
          <w:tcPr>
            <w:tcW w:w="1296" w:type="dxa"/>
          </w:tcPr>
          <w:p w14:paraId="3FEB9111" w14:textId="71A112C6" w:rsidR="00F11455" w:rsidRPr="00863279" w:rsidRDefault="00056558" w:rsidP="00F11455">
            <w:pPr>
              <w:rPr>
                <w:rFonts w:ascii="Calibri" w:hAnsi="Calibri" w:cs="Calibri"/>
                <w:sz w:val="20"/>
                <w:szCs w:val="20"/>
              </w:rPr>
            </w:pPr>
            <w:r w:rsidRPr="00863279">
              <w:rPr>
                <w:rFonts w:ascii="Calibri" w:hAnsi="Calibri" w:cs="Calibri"/>
                <w:sz w:val="20"/>
                <w:szCs w:val="20"/>
              </w:rPr>
              <w:t>11</w:t>
            </w:r>
            <w:r w:rsidR="007C1936" w:rsidRPr="00863279">
              <w:rPr>
                <w:rFonts w:ascii="Calibri" w:hAnsi="Calibri" w:cs="Calibri"/>
                <w:sz w:val="20"/>
                <w:szCs w:val="20"/>
              </w:rPr>
              <w:t xml:space="preserve"> July 2022</w:t>
            </w:r>
          </w:p>
        </w:tc>
        <w:tc>
          <w:tcPr>
            <w:tcW w:w="1891" w:type="dxa"/>
          </w:tcPr>
          <w:p w14:paraId="4B28FE42" w14:textId="33288C24" w:rsidR="00F11455" w:rsidRPr="00863279" w:rsidRDefault="007C1936" w:rsidP="00F11455">
            <w:pPr>
              <w:ind w:right="-74"/>
              <w:rPr>
                <w:rFonts w:ascii="Calibri" w:hAnsi="Calibri" w:cs="Calibri"/>
                <w:sz w:val="20"/>
                <w:szCs w:val="20"/>
              </w:rPr>
            </w:pPr>
            <w:r w:rsidRPr="00863279">
              <w:rPr>
                <w:rFonts w:ascii="Calibri" w:eastAsia="Calibri" w:hAnsi="Calibri" w:cs="Calibri"/>
                <w:sz w:val="20"/>
                <w:szCs w:val="20"/>
                <w:lang w:val="en-GB"/>
              </w:rPr>
              <w:t>Professor Sir Nicholas J White</w:t>
            </w:r>
            <w:r w:rsidR="00DF2D4B" w:rsidRPr="00863279">
              <w:rPr>
                <w:rFonts w:ascii="Calibri" w:eastAsia="Calibri" w:hAnsi="Calibri" w:cs="Calibri"/>
                <w:sz w:val="20"/>
                <w:szCs w:val="20"/>
                <w:lang w:val="en-GB"/>
              </w:rPr>
              <w:t xml:space="preserve"> and </w:t>
            </w:r>
            <w:r w:rsidR="00DF2D4B" w:rsidRPr="00863279">
              <w:rPr>
                <w:rFonts w:ascii="Calibri" w:hAnsi="Calibri" w:cs="Calibri"/>
                <w:sz w:val="20"/>
                <w:szCs w:val="20"/>
              </w:rPr>
              <w:t>Dr William Schilling</w:t>
            </w:r>
          </w:p>
        </w:tc>
        <w:tc>
          <w:tcPr>
            <w:tcW w:w="3582" w:type="dxa"/>
          </w:tcPr>
          <w:p w14:paraId="65B60F5F"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Co-investigators changed</w:t>
            </w:r>
          </w:p>
          <w:p w14:paraId="14789A96"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Sponsor address changed.</w:t>
            </w:r>
          </w:p>
          <w:p w14:paraId="71CF359F"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Synopsis: removed “Study Patient” row</w:t>
            </w:r>
          </w:p>
          <w:p w14:paraId="3548F964"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Selection criteria changed throughout</w:t>
            </w:r>
          </w:p>
          <w:p w14:paraId="4B944912"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Synopsis: Clarified in “Planned Sample Size” that no fixed sample size</w:t>
            </w:r>
          </w:p>
          <w:p w14:paraId="12C405EB"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Synopsis: Changed “Planned Study Period” from “2 years” to “3 years”</w:t>
            </w:r>
          </w:p>
          <w:p w14:paraId="47EC6B79"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Synopsis: </w:t>
            </w:r>
            <w:r w:rsidR="009E453A" w:rsidRPr="001C0C4B">
              <w:rPr>
                <w:rFonts w:eastAsia="Times New Roman" w:cstheme="minorHAnsi"/>
                <w:lang w:val="en-GB"/>
              </w:rPr>
              <w:t xml:space="preserve">Updated </w:t>
            </w:r>
            <w:r w:rsidRPr="00337226">
              <w:rPr>
                <w:rFonts w:ascii="Calibri" w:hAnsi="Calibri" w:cs="Calibri"/>
                <w:bCs/>
                <w:color w:val="000000" w:themeColor="text1"/>
                <w:sz w:val="20"/>
                <w:szCs w:val="20"/>
                <w:lang w:val="en-GB"/>
              </w:rPr>
              <w:t xml:space="preserve">“interventions” </w:t>
            </w:r>
            <w:r w:rsidR="009E453A" w:rsidRPr="001C0C4B">
              <w:rPr>
                <w:rFonts w:eastAsia="Times New Roman" w:cstheme="minorHAnsi"/>
                <w:lang w:val="en-GB"/>
              </w:rPr>
              <w:t xml:space="preserve">information </w:t>
            </w:r>
            <w:r w:rsidRPr="00337226">
              <w:rPr>
                <w:rFonts w:ascii="Calibri" w:hAnsi="Calibri" w:cs="Calibri"/>
                <w:bCs/>
                <w:color w:val="000000" w:themeColor="text1"/>
                <w:sz w:val="20"/>
                <w:szCs w:val="20"/>
                <w:lang w:val="en-GB"/>
              </w:rPr>
              <w:t>of type A and B throughout</w:t>
            </w:r>
          </w:p>
          <w:p w14:paraId="53E3CE6F"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Synopsis: Updated “Control” throughout</w:t>
            </w:r>
          </w:p>
          <w:p w14:paraId="65734B1E"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Synopsis: Updated “Rational” throughout</w:t>
            </w:r>
          </w:p>
          <w:p w14:paraId="1315B317"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Objectives and/or endpoint wording changed throughout</w:t>
            </w:r>
          </w:p>
          <w:p w14:paraId="34BA344D"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“3 Background and rationale”: Updated information of </w:t>
            </w:r>
            <w:r w:rsidRPr="00337226">
              <w:rPr>
                <w:rFonts w:ascii="Calibri" w:hAnsi="Calibri" w:cs="Calibri"/>
                <w:color w:val="000000" w:themeColor="text1"/>
                <w:sz w:val="20"/>
                <w:szCs w:val="20"/>
              </w:rPr>
              <w:t xml:space="preserve">small molecule medications and updated </w:t>
            </w:r>
            <w:r w:rsidR="009E453A" w:rsidRPr="001C0C4B">
              <w:rPr>
                <w:rFonts w:cstheme="minorHAnsi"/>
              </w:rPr>
              <w:t xml:space="preserve">to reflect current global </w:t>
            </w:r>
            <w:r w:rsidRPr="00337226">
              <w:rPr>
                <w:rFonts w:ascii="Calibri" w:hAnsi="Calibri" w:cs="Calibri"/>
                <w:color w:val="000000" w:themeColor="text1"/>
                <w:sz w:val="20"/>
                <w:szCs w:val="20"/>
              </w:rPr>
              <w:t xml:space="preserve">vaccine and </w:t>
            </w:r>
            <w:r w:rsidR="009E453A" w:rsidRPr="001C0C4B">
              <w:rPr>
                <w:rFonts w:eastAsia="Times New Roman" w:cstheme="minorHAnsi"/>
                <w:lang w:val="en-GB"/>
              </w:rPr>
              <w:t xml:space="preserve">COVID-19 situation </w:t>
            </w:r>
            <w:r w:rsidRPr="00337226">
              <w:rPr>
                <w:rFonts w:ascii="Calibri" w:hAnsi="Calibri" w:cs="Calibri"/>
                <w:color w:val="000000" w:themeColor="text1"/>
                <w:sz w:val="20"/>
                <w:szCs w:val="20"/>
              </w:rPr>
              <w:t>including omicron variant.</w:t>
            </w:r>
          </w:p>
          <w:p w14:paraId="66754CAE"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“3.1 Proposal”: </w:t>
            </w:r>
            <w:r w:rsidRPr="00337226">
              <w:rPr>
                <w:rFonts w:ascii="Calibri" w:hAnsi="Calibri" w:cs="Calibri"/>
                <w:bCs/>
                <w:color w:val="000000" w:themeColor="text1"/>
                <w:sz w:val="20"/>
                <w:szCs w:val="20"/>
              </w:rPr>
              <w:t>Emphasis of why this type of trial is most suited and clarification of the expected outcome of the interim analysis.</w:t>
            </w:r>
          </w:p>
          <w:p w14:paraId="3D0B9FD4"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“5 Study design”: </w:t>
            </w:r>
            <w:r w:rsidRPr="00337226">
              <w:rPr>
                <w:rFonts w:ascii="Calibri" w:hAnsi="Calibri" w:cs="Calibri"/>
                <w:color w:val="000000" w:themeColor="text1"/>
                <w:sz w:val="20"/>
                <w:szCs w:val="20"/>
                <w:lang w:val="en-GB"/>
              </w:rPr>
              <w:t>U</w:t>
            </w:r>
            <w:r w:rsidRPr="00337226">
              <w:rPr>
                <w:rFonts w:ascii="Calibri" w:hAnsi="Calibri" w:cs="Calibri"/>
                <w:bCs/>
                <w:color w:val="000000" w:themeColor="text1"/>
                <w:sz w:val="20"/>
                <w:szCs w:val="20"/>
                <w:lang w:val="en-GB"/>
              </w:rPr>
              <w:t>pdated information about the places to recruit the participants, site and current study design.</w:t>
            </w:r>
          </w:p>
          <w:p w14:paraId="01FF6215"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“5.1 Interventions”: </w:t>
            </w:r>
            <w:r w:rsidRPr="00337226">
              <w:rPr>
                <w:rFonts w:ascii="Calibri" w:hAnsi="Calibri" w:cs="Calibri"/>
                <w:color w:val="000000" w:themeColor="text1"/>
                <w:sz w:val="20"/>
                <w:szCs w:val="20"/>
              </w:rPr>
              <w:t xml:space="preserve">Pick the winner no longer applies, language changed to reflect addition of small molecule drugs and updated Figure 4 </w:t>
            </w:r>
          </w:p>
          <w:p w14:paraId="3D627FD8"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Section “7 Study set-up and procedures”: Updated study procedures. Swabs will be done in duplicate before receiving the first dose of the intervention (or if on no intervention arm).</w:t>
            </w:r>
          </w:p>
          <w:p w14:paraId="06CF4E80"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“7.1 Virological sampling”: Clarification that duplicate means one swab on each tonsil, increased viral transport medium (VTM), updated the laboratory procedures </w:t>
            </w:r>
            <w:r w:rsidRPr="00337226">
              <w:rPr>
                <w:rFonts w:ascii="Calibri" w:hAnsi="Calibri" w:cs="Calibri"/>
                <w:bCs/>
                <w:color w:val="000000" w:themeColor="text1"/>
                <w:sz w:val="20"/>
                <w:szCs w:val="20"/>
                <w:lang w:val="en-GB"/>
              </w:rPr>
              <w:lastRenderedPageBreak/>
              <w:t>and added saliva collection process in some participants</w:t>
            </w:r>
          </w:p>
          <w:p w14:paraId="57A9ABDC" w14:textId="77777777" w:rsidR="007F1E13" w:rsidRDefault="00C8629D" w:rsidP="007F1E13">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Section “7.5 Baseline assessments”: if the results haven’t returned the participant can be given the first dose then excluded later if there are laboratory abnormalities. The procedures are also updated.</w:t>
            </w:r>
          </w:p>
          <w:p w14:paraId="5E451DDF" w14:textId="3BAC2F91" w:rsidR="009E453A" w:rsidRPr="007F1E13" w:rsidRDefault="00C8629D" w:rsidP="007F1E13">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7F1E13">
              <w:rPr>
                <w:bCs/>
                <w:color w:val="000000" w:themeColor="text1"/>
                <w:sz w:val="20"/>
                <w:szCs w:val="20"/>
                <w:lang w:val="en-GB"/>
              </w:rPr>
              <w:t xml:space="preserve">Section “7.6.1 </w:t>
            </w:r>
            <w:r w:rsidRPr="007F1E13">
              <w:rPr>
                <w:bCs/>
                <w:color w:val="000000" w:themeColor="text1"/>
                <w:sz w:val="20"/>
                <w:szCs w:val="20"/>
              </w:rPr>
              <w:t>Randomisation D0</w:t>
            </w:r>
            <w:r w:rsidRPr="007F1E13">
              <w:rPr>
                <w:bCs/>
                <w:color w:val="000000" w:themeColor="text1"/>
                <w:sz w:val="20"/>
                <w:szCs w:val="20"/>
                <w:lang w:val="en-GB"/>
              </w:rPr>
              <w:t xml:space="preserve">”: Updated the ratio of randomization as no antiviral </w:t>
            </w:r>
            <w:r w:rsidR="009E453A" w:rsidRPr="007F1E13">
              <w:rPr>
                <w:rFonts w:eastAsia="Times New Roman" w:cstheme="minorHAnsi"/>
                <w:lang w:val="en-GB"/>
              </w:rPr>
              <w:t xml:space="preserve">treatment </w:t>
            </w:r>
            <w:r w:rsidRPr="007F1E13">
              <w:rPr>
                <w:bCs/>
                <w:color w:val="000000" w:themeColor="text1"/>
                <w:sz w:val="20"/>
                <w:szCs w:val="20"/>
                <w:lang w:val="en-GB"/>
              </w:rPr>
              <w:t>will be fixed at “at least 20%” throughout the study and the randomization ratios will be uniform for all available interventions.</w:t>
            </w:r>
          </w:p>
          <w:p w14:paraId="672BF967" w14:textId="77777777" w:rsidR="007F1E13" w:rsidRDefault="00C8629D" w:rsidP="007F1E13">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“7.6.2 Day 1 - day 7”: </w:t>
            </w:r>
            <w:r w:rsidR="009E453A" w:rsidRPr="001C0C4B">
              <w:rPr>
                <w:rFonts w:eastAsia="Times New Roman" w:cstheme="minorHAnsi"/>
                <w:lang w:val="en-GB"/>
              </w:rPr>
              <w:t xml:space="preserve">Updated </w:t>
            </w:r>
            <w:r w:rsidRPr="00337226">
              <w:rPr>
                <w:rFonts w:ascii="Calibri" w:hAnsi="Calibri" w:cs="Calibri"/>
                <w:bCs/>
                <w:color w:val="000000" w:themeColor="text1"/>
                <w:sz w:val="20"/>
                <w:szCs w:val="20"/>
                <w:lang w:val="en-GB"/>
              </w:rPr>
              <w:t>the procedures during day 1- day 7</w:t>
            </w:r>
          </w:p>
          <w:p w14:paraId="1C97DE30" w14:textId="76C4638C" w:rsidR="009E453A" w:rsidRPr="007F1E13" w:rsidRDefault="00C8629D" w:rsidP="007F1E13">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7F1E13">
              <w:rPr>
                <w:bCs/>
                <w:color w:val="000000" w:themeColor="text1"/>
                <w:sz w:val="20"/>
                <w:szCs w:val="20"/>
                <w:lang w:val="en-GB"/>
              </w:rPr>
              <w:t xml:space="preserve">Section “7.7 Intensive pharmacokinetic sampling”: Explained more details about the </w:t>
            </w:r>
            <w:r w:rsidR="009E453A" w:rsidRPr="007F1E13">
              <w:rPr>
                <w:rFonts w:eastAsia="Times New Roman" w:cstheme="minorHAnsi"/>
                <w:lang w:val="en-GB"/>
              </w:rPr>
              <w:t xml:space="preserve">study </w:t>
            </w:r>
            <w:r w:rsidRPr="007F1E13">
              <w:rPr>
                <w:bCs/>
                <w:color w:val="000000" w:themeColor="text1"/>
                <w:sz w:val="20"/>
                <w:szCs w:val="20"/>
                <w:lang w:val="en-GB"/>
              </w:rPr>
              <w:t>drugs for intensive PK sampling.</w:t>
            </w:r>
          </w:p>
          <w:p w14:paraId="3C000946"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“7.8 </w:t>
            </w:r>
            <w:bookmarkStart w:id="665" w:name="_Toc105008651"/>
            <w:bookmarkStart w:id="666" w:name="_Toc74661289"/>
            <w:r w:rsidRPr="00337226">
              <w:rPr>
                <w:rFonts w:ascii="Calibri" w:hAnsi="Calibri" w:cs="Calibri"/>
                <w:bCs/>
                <w:color w:val="000000" w:themeColor="text1"/>
                <w:sz w:val="20"/>
                <w:szCs w:val="20"/>
              </w:rPr>
              <w:t>Management of patients who become ill</w:t>
            </w:r>
            <w:bookmarkEnd w:id="665"/>
            <w:bookmarkEnd w:id="666"/>
            <w:r w:rsidRPr="00337226">
              <w:rPr>
                <w:rFonts w:ascii="Calibri" w:hAnsi="Calibri" w:cs="Calibri"/>
                <w:bCs/>
                <w:color w:val="000000" w:themeColor="text1"/>
                <w:sz w:val="20"/>
                <w:szCs w:val="20"/>
                <w:lang w:val="en-GB"/>
              </w:rPr>
              <w:t>”: If treatment arm is changed, duplicate swabs will be taken again prior to any new treatment.</w:t>
            </w:r>
          </w:p>
          <w:p w14:paraId="6870A841"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Section “9.1 Definition/Serious Adverse Event (SAE)”: Removed “and not otherwise receiving medical treatment”</w:t>
            </w:r>
          </w:p>
          <w:p w14:paraId="1CDACDD9" w14:textId="77777777" w:rsidR="007F1E13" w:rsidRDefault="00C8629D" w:rsidP="007F1E13">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bCs/>
                <w:color w:val="000000" w:themeColor="text1"/>
                <w:sz w:val="20"/>
                <w:szCs w:val="20"/>
                <w:lang w:val="en-GB"/>
              </w:rPr>
              <w:t xml:space="preserve">Section “10.1 </w:t>
            </w:r>
            <w:bookmarkStart w:id="667" w:name="_Toc105008663"/>
            <w:bookmarkStart w:id="668" w:name="_Toc74661301"/>
            <w:r w:rsidR="009E453A" w:rsidRPr="001C0C4B">
              <w:rPr>
                <w:rFonts w:cstheme="minorHAnsi"/>
              </w:rPr>
              <w:t>Overview of adaptive study design and overall approach</w:t>
            </w:r>
            <w:bookmarkEnd w:id="667"/>
            <w:bookmarkEnd w:id="668"/>
            <w:r w:rsidRPr="00337226">
              <w:rPr>
                <w:rFonts w:ascii="Calibri" w:hAnsi="Calibri" w:cs="Calibri"/>
                <w:bCs/>
                <w:color w:val="000000" w:themeColor="text1"/>
                <w:sz w:val="20"/>
                <w:szCs w:val="20"/>
              </w:rPr>
              <w:t>”:</w:t>
            </w:r>
            <w:r w:rsidRPr="00337226">
              <w:rPr>
                <w:rFonts w:ascii="Calibri" w:hAnsi="Calibri" w:cs="Calibri"/>
                <w:bCs/>
                <w:color w:val="000000" w:themeColor="text1"/>
                <w:sz w:val="20"/>
                <w:szCs w:val="20"/>
                <w:lang w:val="en-GB"/>
              </w:rPr>
              <w:t xml:space="preserve"> Added</w:t>
            </w:r>
            <w:r w:rsidR="009E453A" w:rsidRPr="001C0C4B">
              <w:rPr>
                <w:rFonts w:cstheme="minorHAnsi"/>
              </w:rPr>
              <w:t xml:space="preserve"> new </w:t>
            </w:r>
            <w:r w:rsidRPr="00337226">
              <w:rPr>
                <w:rFonts w:ascii="Calibri" w:hAnsi="Calibri" w:cs="Calibri"/>
                <w:bCs/>
                <w:color w:val="000000" w:themeColor="text1"/>
                <w:sz w:val="20"/>
                <w:szCs w:val="20"/>
                <w:lang w:val="en-GB"/>
              </w:rPr>
              <w:t>information.</w:t>
            </w:r>
          </w:p>
          <w:p w14:paraId="458EB451" w14:textId="77777777" w:rsidR="007F1E13" w:rsidRPr="007F1E13" w:rsidRDefault="00C8629D" w:rsidP="007F1E13">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7F1E13">
              <w:rPr>
                <w:bCs/>
                <w:color w:val="000000" w:themeColor="text1"/>
                <w:sz w:val="20"/>
                <w:szCs w:val="20"/>
                <w:lang w:val="en-GB"/>
              </w:rPr>
              <w:t xml:space="preserve">Section “10.2 </w:t>
            </w:r>
            <w:bookmarkStart w:id="669" w:name="_Toc105008664"/>
            <w:r w:rsidR="009E453A" w:rsidRPr="007F1E13">
              <w:rPr>
                <w:rFonts w:cstheme="minorHAnsi"/>
              </w:rPr>
              <w:t>Results of the first interim analysis</w:t>
            </w:r>
            <w:bookmarkEnd w:id="669"/>
            <w:r w:rsidRPr="007F1E13">
              <w:rPr>
                <w:bCs/>
                <w:color w:val="000000" w:themeColor="text1"/>
                <w:sz w:val="20"/>
                <w:szCs w:val="20"/>
              </w:rPr>
              <w:t>”:</w:t>
            </w:r>
            <w:r w:rsidRPr="007F1E13">
              <w:rPr>
                <w:bCs/>
                <w:color w:val="000000" w:themeColor="text1"/>
                <w:sz w:val="20"/>
                <w:szCs w:val="20"/>
                <w:lang w:val="en-GB"/>
              </w:rPr>
              <w:t xml:space="preserve"> This new section and Figure 6 have been added.</w:t>
            </w:r>
          </w:p>
          <w:p w14:paraId="0850F57C" w14:textId="7D01B521" w:rsidR="009E453A" w:rsidRPr="007F1E13" w:rsidRDefault="00C8629D" w:rsidP="007F1E13">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7F1E13">
              <w:rPr>
                <w:bCs/>
                <w:color w:val="000000" w:themeColor="text1"/>
                <w:sz w:val="20"/>
                <w:szCs w:val="20"/>
                <w:lang w:val="en-GB"/>
              </w:rPr>
              <w:t xml:space="preserve">Section “10.3 </w:t>
            </w:r>
            <w:bookmarkStart w:id="670" w:name="_Toc105008665"/>
            <w:bookmarkStart w:id="671" w:name="_Toc74661302"/>
            <w:r w:rsidRPr="007F1E13">
              <w:rPr>
                <w:bCs/>
                <w:color w:val="000000" w:themeColor="text1"/>
                <w:sz w:val="20"/>
                <w:szCs w:val="20"/>
              </w:rPr>
              <w:t>Bayesian hierarchical model</w:t>
            </w:r>
            <w:r w:rsidR="009E453A" w:rsidRPr="007F1E13">
              <w:rPr>
                <w:rFonts w:cstheme="minorHAnsi"/>
              </w:rPr>
              <w:t xml:space="preserve"> of viral clearance</w:t>
            </w:r>
            <w:bookmarkEnd w:id="670"/>
            <w:bookmarkEnd w:id="671"/>
            <w:r w:rsidRPr="007F1E13">
              <w:rPr>
                <w:bCs/>
                <w:color w:val="000000" w:themeColor="text1"/>
                <w:sz w:val="20"/>
                <w:szCs w:val="20"/>
              </w:rPr>
              <w:t xml:space="preserve">”: </w:t>
            </w:r>
            <w:r w:rsidRPr="007F1E13">
              <w:rPr>
                <w:bCs/>
                <w:color w:val="000000" w:themeColor="text1"/>
                <w:sz w:val="20"/>
                <w:szCs w:val="20"/>
                <w:lang w:val="en-GB"/>
              </w:rPr>
              <w:t>Statistical explanation has been updated</w:t>
            </w:r>
            <w:r w:rsidR="009E453A" w:rsidRPr="007F1E13">
              <w:rPr>
                <w:rFonts w:cstheme="minorHAnsi"/>
              </w:rPr>
              <w:t>.</w:t>
            </w:r>
          </w:p>
          <w:p w14:paraId="7B569DB6"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“Estimating the optimal structural model for clearance rate”:  Deleted. </w:t>
            </w:r>
            <w:r w:rsidRPr="00337226">
              <w:rPr>
                <w:rFonts w:ascii="Calibri" w:hAnsi="Calibri" w:cs="Calibri"/>
                <w:bCs/>
                <w:color w:val="000000" w:themeColor="text1"/>
                <w:sz w:val="20"/>
                <w:szCs w:val="20"/>
              </w:rPr>
              <w:t>No-longer required as the methodology has been validated.</w:t>
            </w:r>
          </w:p>
          <w:p w14:paraId="64246E4B" w14:textId="73546728"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bCs/>
                <w:color w:val="000000" w:themeColor="text1"/>
                <w:sz w:val="20"/>
                <w:szCs w:val="20"/>
                <w:lang w:val="en-GB"/>
              </w:rPr>
              <w:t xml:space="preserve">Section “10.5 </w:t>
            </w:r>
            <w:bookmarkStart w:id="672" w:name="_Toc105008667"/>
            <w:bookmarkStart w:id="673" w:name="_Toc74661305"/>
            <w:r w:rsidRPr="00337226">
              <w:rPr>
                <w:bCs/>
                <w:color w:val="000000" w:themeColor="text1"/>
                <w:sz w:val="20"/>
                <w:szCs w:val="20"/>
              </w:rPr>
              <w:t>Sample size estimation, randomisation</w:t>
            </w:r>
            <w:r w:rsidR="009E453A" w:rsidRPr="001C0C4B">
              <w:rPr>
                <w:rFonts w:eastAsia="Times New Roman" w:cstheme="minorHAnsi"/>
                <w:lang w:val="en-GB"/>
              </w:rPr>
              <w:t xml:space="preserve"> and </w:t>
            </w:r>
            <w:r w:rsidRPr="00337226">
              <w:rPr>
                <w:rFonts w:ascii="Calibri" w:hAnsi="Calibri" w:cs="Calibri"/>
                <w:bCs/>
                <w:color w:val="000000" w:themeColor="text1"/>
                <w:sz w:val="20"/>
                <w:szCs w:val="20"/>
              </w:rPr>
              <w:t>statistical considerations</w:t>
            </w:r>
            <w:r w:rsidR="009E453A" w:rsidRPr="001C0C4B">
              <w:rPr>
                <w:rFonts w:eastAsia="Times New Roman" w:cstheme="minorHAnsi"/>
                <w:lang w:val="en-GB"/>
              </w:rPr>
              <w:t xml:space="preserve"> for </w:t>
            </w:r>
            <w:r w:rsidRPr="00337226">
              <w:rPr>
                <w:rFonts w:ascii="Calibri" w:hAnsi="Calibri" w:cs="Calibri"/>
                <w:bCs/>
                <w:color w:val="000000" w:themeColor="text1"/>
                <w:sz w:val="20"/>
                <w:szCs w:val="20"/>
              </w:rPr>
              <w:t>the Bayesian group sequential design</w:t>
            </w:r>
            <w:bookmarkEnd w:id="672"/>
            <w:bookmarkEnd w:id="673"/>
            <w:r w:rsidRPr="00337226">
              <w:rPr>
                <w:rFonts w:ascii="Calibri" w:hAnsi="Calibri" w:cs="Calibri"/>
                <w:bCs/>
                <w:color w:val="000000" w:themeColor="text1"/>
                <w:sz w:val="20"/>
                <w:szCs w:val="20"/>
                <w:lang w:val="en-GB"/>
              </w:rPr>
              <w:t>”: Information have been updated.</w:t>
            </w:r>
          </w:p>
          <w:p w14:paraId="02DCAD2B" w14:textId="77777777" w:rsidR="007F1E13" w:rsidRDefault="00C8629D" w:rsidP="007F1E13">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“10.7 </w:t>
            </w:r>
            <w:bookmarkStart w:id="674" w:name="_Toc105008669"/>
            <w:bookmarkStart w:id="675" w:name="_Toc74661307"/>
            <w:r w:rsidRPr="00337226">
              <w:rPr>
                <w:rFonts w:ascii="Calibri" w:hAnsi="Calibri" w:cs="Calibri"/>
                <w:bCs/>
                <w:color w:val="000000" w:themeColor="text1"/>
                <w:sz w:val="20"/>
                <w:szCs w:val="20"/>
              </w:rPr>
              <w:t>Final analysis of primary outcome</w:t>
            </w:r>
            <w:bookmarkEnd w:id="674"/>
            <w:bookmarkEnd w:id="675"/>
            <w:r w:rsidRPr="00337226">
              <w:rPr>
                <w:rFonts w:ascii="Calibri" w:hAnsi="Calibri" w:cs="Calibri"/>
                <w:bCs/>
                <w:color w:val="000000" w:themeColor="text1"/>
                <w:sz w:val="20"/>
                <w:szCs w:val="20"/>
              </w:rPr>
              <w:t xml:space="preserve">”: </w:t>
            </w:r>
            <w:r w:rsidRPr="00337226">
              <w:rPr>
                <w:rFonts w:ascii="Calibri" w:hAnsi="Calibri" w:cs="Calibri"/>
                <w:bCs/>
                <w:color w:val="000000" w:themeColor="text1"/>
                <w:sz w:val="20"/>
                <w:szCs w:val="20"/>
                <w:lang w:val="en-GB"/>
              </w:rPr>
              <w:t>Linear</w:t>
            </w:r>
            <w:r w:rsidR="009E453A" w:rsidRPr="001C0C4B">
              <w:rPr>
                <w:rFonts w:cstheme="minorHAnsi"/>
              </w:rPr>
              <w:t xml:space="preserve"> and </w:t>
            </w:r>
            <w:r w:rsidRPr="00337226">
              <w:rPr>
                <w:rFonts w:ascii="Calibri" w:hAnsi="Calibri" w:cs="Calibri"/>
                <w:bCs/>
                <w:color w:val="000000" w:themeColor="text1"/>
                <w:sz w:val="20"/>
                <w:szCs w:val="20"/>
                <w:lang w:val="en-GB"/>
              </w:rPr>
              <w:t xml:space="preserve">non-linear models are being used, </w:t>
            </w:r>
            <w:r w:rsidRPr="00337226">
              <w:rPr>
                <w:rFonts w:ascii="Calibri" w:hAnsi="Calibri" w:cs="Calibri"/>
                <w:bCs/>
                <w:color w:val="000000" w:themeColor="text1"/>
                <w:sz w:val="20"/>
                <w:szCs w:val="20"/>
                <w:lang w:val="en-GB"/>
              </w:rPr>
              <w:lastRenderedPageBreak/>
              <w:t xml:space="preserve">package </w:t>
            </w:r>
            <w:r w:rsidRPr="00337226">
              <w:rPr>
                <w:rFonts w:ascii="Calibri" w:hAnsi="Calibri" w:cs="Calibri"/>
                <w:bCs/>
                <w:i/>
                <w:iCs/>
                <w:color w:val="000000" w:themeColor="text1"/>
                <w:sz w:val="20"/>
                <w:szCs w:val="20"/>
                <w:lang w:val="en-GB"/>
              </w:rPr>
              <w:t>rstan</w:t>
            </w:r>
            <w:r w:rsidRPr="00337226">
              <w:rPr>
                <w:rFonts w:ascii="Calibri" w:hAnsi="Calibri" w:cs="Calibri"/>
                <w:bCs/>
                <w:color w:val="000000" w:themeColor="text1"/>
                <w:sz w:val="20"/>
                <w:szCs w:val="20"/>
                <w:lang w:val="en-GB"/>
              </w:rPr>
              <w:t xml:space="preserve"> is being used instead of </w:t>
            </w:r>
            <w:r w:rsidRPr="00337226">
              <w:rPr>
                <w:rFonts w:ascii="Calibri" w:hAnsi="Calibri" w:cs="Calibri"/>
                <w:bCs/>
                <w:i/>
                <w:iCs/>
                <w:color w:val="000000" w:themeColor="text1"/>
                <w:sz w:val="20"/>
                <w:szCs w:val="20"/>
                <w:lang w:val="en-GB"/>
              </w:rPr>
              <w:t>rstanarm</w:t>
            </w:r>
            <w:r w:rsidRPr="00337226">
              <w:rPr>
                <w:rFonts w:ascii="Calibri" w:hAnsi="Calibri" w:cs="Calibri"/>
                <w:bCs/>
                <w:color w:val="000000" w:themeColor="text1"/>
                <w:sz w:val="20"/>
                <w:szCs w:val="20"/>
                <w:lang w:val="en-GB"/>
              </w:rPr>
              <w:t>. Analysis code available from github, link was given.</w:t>
            </w:r>
          </w:p>
          <w:p w14:paraId="55C24E0E" w14:textId="7E83017A" w:rsidR="00C8629D" w:rsidRPr="007F1E13" w:rsidRDefault="00C8629D" w:rsidP="007F1E13">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7F1E13">
              <w:rPr>
                <w:rFonts w:ascii="Calibri" w:hAnsi="Calibri" w:cs="Calibri"/>
                <w:bCs/>
                <w:color w:val="000000" w:themeColor="text1"/>
                <w:sz w:val="20"/>
                <w:szCs w:val="20"/>
                <w:lang w:val="en-GB"/>
              </w:rPr>
              <w:t>Section “13 Ethical and regulatory considerations”: Clarification of what treatment will be given to no antiviral treatment arm.</w:t>
            </w:r>
          </w:p>
          <w:p w14:paraId="1A395717"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Section “13.7 Benefits”: Maximum amount per patient (</w:t>
            </w:r>
            <w:r w:rsidRPr="00337226">
              <w:rPr>
                <w:rFonts w:ascii="Calibri" w:eastAsia="Calibri" w:hAnsi="Calibri" w:cs="Calibri"/>
                <w:bCs/>
                <w:color w:val="000000" w:themeColor="text1"/>
                <w:sz w:val="20"/>
                <w:szCs w:val="20"/>
                <w:lang w:val="en-GB"/>
              </w:rPr>
              <w:t xml:space="preserve">£400 GBP) </w:t>
            </w:r>
            <w:r w:rsidRPr="00337226">
              <w:rPr>
                <w:rFonts w:ascii="Calibri" w:hAnsi="Calibri" w:cs="Calibri"/>
                <w:bCs/>
                <w:color w:val="000000" w:themeColor="text1"/>
                <w:sz w:val="20"/>
                <w:szCs w:val="20"/>
                <w:lang w:val="en-GB"/>
              </w:rPr>
              <w:t>has been removed.</w:t>
            </w:r>
          </w:p>
          <w:p w14:paraId="6787E9BB"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Section “14 References”: References have been updated</w:t>
            </w:r>
            <w:r w:rsidRPr="00337226">
              <w:rPr>
                <w:rFonts w:ascii="Calibri" w:hAnsi="Calibri" w:cs="Calibri"/>
                <w:bCs/>
                <w:color w:val="000000" w:themeColor="text1"/>
                <w:sz w:val="20"/>
                <w:szCs w:val="20"/>
              </w:rPr>
              <w:t>.</w:t>
            </w:r>
          </w:p>
          <w:p w14:paraId="641E9495"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Section “15 Appendix 1 Schedule of activities”: “If new treatment” column and explanation below the table have been added/updated.</w:t>
            </w:r>
          </w:p>
          <w:p w14:paraId="4B944144" w14:textId="77777777" w:rsidR="00C8629D" w:rsidRPr="00337226" w:rsidRDefault="00C8629D" w:rsidP="00337226">
            <w:pPr>
              <w:pStyle w:val="ListParagraph"/>
              <w:numPr>
                <w:ilvl w:val="0"/>
                <w:numId w:val="64"/>
              </w:numPr>
              <w:autoSpaceDE w:val="0"/>
              <w:autoSpaceDN w:val="0"/>
              <w:adjustRightInd w:val="0"/>
              <w:ind w:left="390" w:hanging="39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Section “16</w:t>
            </w:r>
            <w:r w:rsidR="009E453A" w:rsidRPr="001C0C4B">
              <w:rPr>
                <w:rFonts w:eastAsia="Times New Roman" w:cstheme="minorHAnsi"/>
                <w:lang w:val="en-GB"/>
              </w:rPr>
              <w:t xml:space="preserve"> Appendix 2</w:t>
            </w:r>
            <w:r w:rsidRPr="00337226">
              <w:rPr>
                <w:rFonts w:ascii="Calibri" w:hAnsi="Calibri" w:cs="Calibri"/>
                <w:bCs/>
                <w:color w:val="000000" w:themeColor="text1"/>
                <w:sz w:val="20"/>
                <w:szCs w:val="20"/>
                <w:lang w:val="en-GB"/>
              </w:rPr>
              <w:t xml:space="preserve"> Study drugs”:</w:t>
            </w:r>
          </w:p>
          <w:p w14:paraId="11989E41" w14:textId="77777777" w:rsidR="00C8629D" w:rsidRPr="00337226" w:rsidRDefault="00C8629D" w:rsidP="00337226">
            <w:pPr>
              <w:pStyle w:val="ListParagraph"/>
              <w:numPr>
                <w:ilvl w:val="0"/>
                <w:numId w:val="66"/>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Hydroxychloroquine, lopinavir/ritonavir, miglustat, nitazoxanide and nebulized</w:t>
            </w:r>
            <w:r w:rsidRPr="00337226">
              <w:rPr>
                <w:rFonts w:ascii="Calibri" w:hAnsi="Calibri" w:cs="Calibri"/>
                <w:color w:val="000000" w:themeColor="text1"/>
                <w:sz w:val="20"/>
                <w:szCs w:val="20"/>
              </w:rPr>
              <w:t xml:space="preserve"> unfractionated heparin</w:t>
            </w:r>
            <w:r w:rsidRPr="00337226">
              <w:rPr>
                <w:rFonts w:ascii="Calibri" w:hAnsi="Calibri" w:cs="Calibri"/>
                <w:bCs/>
                <w:color w:val="000000" w:themeColor="text1"/>
                <w:sz w:val="20"/>
                <w:szCs w:val="20"/>
                <w:lang w:val="en-GB"/>
              </w:rPr>
              <w:t xml:space="preserve"> (UFH): Reference order updated. </w:t>
            </w:r>
          </w:p>
          <w:p w14:paraId="26FBE135" w14:textId="77777777" w:rsidR="00C8629D" w:rsidRPr="00337226" w:rsidRDefault="00C8629D" w:rsidP="00337226">
            <w:pPr>
              <w:pStyle w:val="ListParagraph"/>
              <w:numPr>
                <w:ilvl w:val="0"/>
                <w:numId w:val="66"/>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Remdesivir: Changed for more up to date information with more references. </w:t>
            </w:r>
          </w:p>
          <w:p w14:paraId="27FB6D92" w14:textId="77777777" w:rsidR="00C8629D" w:rsidRPr="00337226" w:rsidRDefault="00C8629D" w:rsidP="00337226">
            <w:pPr>
              <w:pStyle w:val="ListParagraph"/>
              <w:numPr>
                <w:ilvl w:val="0"/>
                <w:numId w:val="66"/>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Ivermectin: Dosing table changed for higher mg of tablets and reference order updated.</w:t>
            </w:r>
          </w:p>
          <w:p w14:paraId="73A7402B" w14:textId="77777777" w:rsidR="00C8629D" w:rsidRPr="00337226" w:rsidRDefault="00C8629D" w:rsidP="00337226">
            <w:pPr>
              <w:pStyle w:val="ListParagraph"/>
              <w:numPr>
                <w:ilvl w:val="0"/>
                <w:numId w:val="66"/>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REGN-COV2: Dose changed from 1,200 mg to 600 mg of casirivimab and 1,200 mg to 600 mg of imdevimab and reference order updated.</w:t>
            </w:r>
          </w:p>
          <w:p w14:paraId="7255B26C" w14:textId="77777777" w:rsidR="00C8629D" w:rsidRPr="00337226" w:rsidRDefault="00C8629D" w:rsidP="00337226">
            <w:pPr>
              <w:pStyle w:val="ListParagraph"/>
              <w:numPr>
                <w:ilvl w:val="0"/>
                <w:numId w:val="66"/>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Favipiravir: Introduction changed for more up to date information including references.</w:t>
            </w:r>
          </w:p>
          <w:p w14:paraId="5CAABC5D" w14:textId="77777777" w:rsidR="00C8629D" w:rsidRPr="00337226" w:rsidRDefault="00C8629D" w:rsidP="00337226">
            <w:pPr>
              <w:pStyle w:val="ListParagraph"/>
              <w:numPr>
                <w:ilvl w:val="0"/>
                <w:numId w:val="66"/>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Molnupiravir, nirmatrelvir/ritonavir (PAXLOVID™), sotrovimab, fluoxetine, fluvoxamine and AZD7442 (evusheld): </w:t>
            </w:r>
            <w:r w:rsidRPr="00337226">
              <w:rPr>
                <w:rFonts w:ascii="Calibri" w:hAnsi="Calibri" w:cs="Calibri"/>
                <w:bCs/>
                <w:color w:val="000000" w:themeColor="text1"/>
                <w:sz w:val="20"/>
                <w:szCs w:val="20"/>
                <w:lang w:val="en-GB" w:bidi="th-TH"/>
              </w:rPr>
              <w:t>M</w:t>
            </w:r>
            <w:r w:rsidRPr="00337226">
              <w:rPr>
                <w:rFonts w:ascii="Calibri" w:hAnsi="Calibri" w:cs="Calibri"/>
                <w:bCs/>
                <w:color w:val="000000" w:themeColor="text1"/>
                <w:sz w:val="20"/>
                <w:szCs w:val="20"/>
                <w:lang w:val="en-GB"/>
              </w:rPr>
              <w:t>onograph added (Section 16.10 – 16.15).</w:t>
            </w:r>
          </w:p>
          <w:p w14:paraId="1D09219D" w14:textId="77777777" w:rsidR="00C8629D" w:rsidRPr="00337226" w:rsidRDefault="00C8629D" w:rsidP="00337226">
            <w:pPr>
              <w:pStyle w:val="ListParagraph"/>
              <w:numPr>
                <w:ilvl w:val="0"/>
                <w:numId w:val="64"/>
              </w:numPr>
              <w:autoSpaceDE w:val="0"/>
              <w:autoSpaceDN w:val="0"/>
              <w:adjustRightInd w:val="0"/>
              <w:ind w:left="30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Section “18 Appendix 4 Exclusion criteria”: </w:t>
            </w:r>
          </w:p>
          <w:p w14:paraId="025B581C" w14:textId="77777777" w:rsidR="00C8629D" w:rsidRPr="00337226" w:rsidRDefault="00C8629D" w:rsidP="00337226">
            <w:pPr>
              <w:pStyle w:val="ListParagraph"/>
              <w:numPr>
                <w:ilvl w:val="0"/>
                <w:numId w:val="67"/>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Update information to comply with the exclusion criteria</w:t>
            </w:r>
          </w:p>
          <w:p w14:paraId="054FD602" w14:textId="77777777" w:rsidR="00C8629D" w:rsidRPr="00337226" w:rsidRDefault="00C8629D" w:rsidP="00337226">
            <w:pPr>
              <w:pStyle w:val="ListParagraph"/>
              <w:numPr>
                <w:ilvl w:val="0"/>
                <w:numId w:val="67"/>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Added line to include herbal drugs in regular drugs</w:t>
            </w:r>
          </w:p>
          <w:p w14:paraId="0124000E" w14:textId="77777777" w:rsidR="00F67007" w:rsidRDefault="00C8629D" w:rsidP="00F67007">
            <w:pPr>
              <w:pStyle w:val="ListParagraph"/>
              <w:numPr>
                <w:ilvl w:val="0"/>
                <w:numId w:val="67"/>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 xml:space="preserve">Added line of the decision of the study PI whether to enrol participants taking regular medications. </w:t>
            </w:r>
          </w:p>
          <w:p w14:paraId="7FFCEBCB" w14:textId="339F4B99" w:rsidR="009E453A" w:rsidRPr="00F67007" w:rsidRDefault="00C8629D" w:rsidP="00F67007">
            <w:pPr>
              <w:pStyle w:val="ListParagraph"/>
              <w:numPr>
                <w:ilvl w:val="0"/>
                <w:numId w:val="67"/>
              </w:numPr>
              <w:autoSpaceDE w:val="0"/>
              <w:autoSpaceDN w:val="0"/>
              <w:adjustRightInd w:val="0"/>
              <w:ind w:left="570" w:hanging="180"/>
              <w:jc w:val="both"/>
              <w:rPr>
                <w:rFonts w:ascii="Calibri" w:hAnsi="Calibri" w:cs="Calibri"/>
                <w:bCs/>
                <w:color w:val="000000" w:themeColor="text1"/>
                <w:sz w:val="20"/>
                <w:szCs w:val="20"/>
                <w:lang w:val="en-GB"/>
              </w:rPr>
            </w:pPr>
            <w:r w:rsidRPr="00F67007">
              <w:rPr>
                <w:bCs/>
                <w:color w:val="000000" w:themeColor="text1"/>
                <w:sz w:val="20"/>
                <w:szCs w:val="20"/>
                <w:lang w:val="en-GB"/>
              </w:rPr>
              <w:t xml:space="preserve">Add in the list of the most severe comorbidities, and include HIV and </w:t>
            </w:r>
            <w:r w:rsidRPr="00F67007">
              <w:rPr>
                <w:bCs/>
                <w:color w:val="000000" w:themeColor="text1"/>
                <w:sz w:val="20"/>
                <w:szCs w:val="20"/>
                <w:lang w:val="en-GB"/>
              </w:rPr>
              <w:lastRenderedPageBreak/>
              <w:t>other immunocompromised condition</w:t>
            </w:r>
            <w:r w:rsidR="009E453A" w:rsidRPr="00F67007">
              <w:rPr>
                <w:rFonts w:eastAsia="Times New Roman" w:cstheme="minorHAnsi"/>
                <w:lang w:val="en-GB"/>
              </w:rPr>
              <w:t xml:space="preserve">. </w:t>
            </w:r>
          </w:p>
          <w:p w14:paraId="2186A17F" w14:textId="77777777" w:rsidR="00F67007" w:rsidRDefault="009E453A" w:rsidP="00F67007">
            <w:pPr>
              <w:pStyle w:val="ListParagraph"/>
              <w:numPr>
                <w:ilvl w:val="0"/>
                <w:numId w:val="67"/>
              </w:numPr>
              <w:autoSpaceDE w:val="0"/>
              <w:autoSpaceDN w:val="0"/>
              <w:adjustRightInd w:val="0"/>
              <w:ind w:left="570" w:hanging="180"/>
              <w:jc w:val="both"/>
              <w:rPr>
                <w:rFonts w:ascii="Calibri" w:hAnsi="Calibri" w:cs="Calibri"/>
                <w:bCs/>
                <w:color w:val="000000" w:themeColor="text1"/>
                <w:sz w:val="20"/>
                <w:szCs w:val="20"/>
                <w:lang w:val="en-GB"/>
              </w:rPr>
            </w:pPr>
            <w:r w:rsidRPr="001C0C4B">
              <w:rPr>
                <w:rFonts w:cstheme="minorHAnsi"/>
                <w:bCs/>
                <w:color w:val="000000" w:themeColor="text1"/>
                <w:lang w:val="en-GB"/>
              </w:rPr>
              <w:t xml:space="preserve">Changed the BMI from </w:t>
            </w:r>
            <w:r w:rsidR="00C8629D" w:rsidRPr="00337226">
              <w:rPr>
                <w:rFonts w:ascii="Calibri" w:hAnsi="Calibri" w:cs="Calibri"/>
                <w:bCs/>
                <w:color w:val="000000" w:themeColor="text1"/>
                <w:sz w:val="20"/>
                <w:szCs w:val="20"/>
                <w:lang w:val="en-GB"/>
              </w:rPr>
              <w:t xml:space="preserve">≥ </w:t>
            </w:r>
            <w:r w:rsidRPr="001C0C4B">
              <w:rPr>
                <w:rFonts w:cstheme="minorHAnsi"/>
                <w:bCs/>
                <w:color w:val="000000" w:themeColor="text1"/>
                <w:lang w:val="en-GB"/>
              </w:rPr>
              <w:t xml:space="preserve">30 to </w:t>
            </w:r>
            <w:r w:rsidR="00C8629D" w:rsidRPr="00337226">
              <w:rPr>
                <w:rFonts w:ascii="Calibri" w:hAnsi="Calibri" w:cs="Calibri"/>
                <w:bCs/>
                <w:color w:val="000000" w:themeColor="text1"/>
                <w:sz w:val="20"/>
                <w:szCs w:val="20"/>
                <w:lang w:val="en-GB"/>
              </w:rPr>
              <w:t xml:space="preserve">≥ </w:t>
            </w:r>
            <w:r w:rsidRPr="001C0C4B">
              <w:rPr>
                <w:rFonts w:cstheme="minorHAnsi"/>
                <w:bCs/>
                <w:color w:val="000000" w:themeColor="text1"/>
                <w:lang w:val="en-GB"/>
              </w:rPr>
              <w:t>35 kg/m</w:t>
            </w:r>
            <w:r w:rsidRPr="001C0C4B">
              <w:rPr>
                <w:rFonts w:cstheme="minorHAnsi"/>
                <w:bCs/>
                <w:color w:val="000000" w:themeColor="text1"/>
                <w:vertAlign w:val="superscript"/>
                <w:lang w:val="en-GB"/>
              </w:rPr>
              <w:t>2</w:t>
            </w:r>
            <w:r w:rsidR="00C8629D" w:rsidRPr="00337226">
              <w:rPr>
                <w:rFonts w:ascii="Calibri" w:hAnsi="Calibri" w:cs="Calibri"/>
                <w:bCs/>
                <w:color w:val="000000" w:themeColor="text1"/>
                <w:sz w:val="20"/>
                <w:szCs w:val="20"/>
                <w:lang w:val="en-GB"/>
              </w:rPr>
              <w:t>.</w:t>
            </w:r>
          </w:p>
          <w:p w14:paraId="1B5DC069" w14:textId="220B2B3E" w:rsidR="009E453A" w:rsidRPr="00F67007" w:rsidRDefault="00C8629D" w:rsidP="00F67007">
            <w:pPr>
              <w:pStyle w:val="ListParagraph"/>
              <w:numPr>
                <w:ilvl w:val="0"/>
                <w:numId w:val="67"/>
              </w:numPr>
              <w:autoSpaceDE w:val="0"/>
              <w:autoSpaceDN w:val="0"/>
              <w:adjustRightInd w:val="0"/>
              <w:ind w:left="570" w:hanging="180"/>
              <w:jc w:val="both"/>
              <w:rPr>
                <w:rFonts w:ascii="Calibri" w:hAnsi="Calibri" w:cs="Calibri"/>
                <w:bCs/>
                <w:color w:val="000000" w:themeColor="text1"/>
                <w:sz w:val="20"/>
                <w:szCs w:val="20"/>
                <w:lang w:val="en-GB"/>
              </w:rPr>
            </w:pPr>
            <w:r w:rsidRPr="00F67007">
              <w:rPr>
                <w:bCs/>
                <w:color w:val="000000" w:themeColor="text1"/>
                <w:sz w:val="20"/>
                <w:szCs w:val="20"/>
                <w:lang w:val="en-GB"/>
              </w:rPr>
              <w:t>Changed the</w:t>
            </w:r>
            <w:r w:rsidR="009E453A" w:rsidRPr="00F67007">
              <w:rPr>
                <w:rFonts w:cstheme="minorHAnsi"/>
                <w:bCs/>
                <w:color w:val="000000" w:themeColor="text1"/>
                <w:lang w:val="en-GB"/>
              </w:rPr>
              <w:t xml:space="preserve"> eGFR </w:t>
            </w:r>
            <w:r w:rsidRPr="00F67007">
              <w:rPr>
                <w:bCs/>
                <w:color w:val="000000" w:themeColor="text1"/>
                <w:sz w:val="20"/>
                <w:szCs w:val="20"/>
                <w:lang w:val="en-GB"/>
              </w:rPr>
              <w:t xml:space="preserve">limit of exclusion </w:t>
            </w:r>
            <w:r w:rsidR="009E453A" w:rsidRPr="00F67007">
              <w:rPr>
                <w:rFonts w:cstheme="minorHAnsi"/>
                <w:bCs/>
                <w:color w:val="000000" w:themeColor="text1"/>
                <w:lang w:val="en-GB"/>
              </w:rPr>
              <w:t xml:space="preserve">from </w:t>
            </w:r>
            <w:r w:rsidRPr="00F67007">
              <w:rPr>
                <w:bCs/>
                <w:color w:val="000000" w:themeColor="text1"/>
                <w:sz w:val="20"/>
                <w:szCs w:val="20"/>
                <w:lang w:val="en-GB"/>
              </w:rPr>
              <w:t>&lt;</w:t>
            </w:r>
            <w:r w:rsidR="009E453A" w:rsidRPr="00F67007">
              <w:rPr>
                <w:rFonts w:cstheme="minorHAnsi"/>
                <w:bCs/>
                <w:color w:val="000000" w:themeColor="text1"/>
                <w:lang w:val="en-GB"/>
              </w:rPr>
              <w:t xml:space="preserve">80 to </w:t>
            </w:r>
            <w:r w:rsidRPr="00F67007">
              <w:rPr>
                <w:bCs/>
                <w:color w:val="000000" w:themeColor="text1"/>
                <w:sz w:val="20"/>
                <w:szCs w:val="20"/>
                <w:lang w:val="en-GB"/>
              </w:rPr>
              <w:t>&lt;</w:t>
            </w:r>
            <w:r w:rsidR="009E453A" w:rsidRPr="00F67007">
              <w:rPr>
                <w:rFonts w:cstheme="minorHAnsi"/>
                <w:bCs/>
                <w:color w:val="000000" w:themeColor="text1"/>
                <w:lang w:val="en-GB"/>
              </w:rPr>
              <w:t xml:space="preserve">70 </w:t>
            </w:r>
            <w:r w:rsidR="009E453A" w:rsidRPr="00F67007">
              <w:rPr>
                <w:rFonts w:cstheme="minorHAnsi"/>
                <w:color w:val="000000" w:themeColor="text1"/>
              </w:rPr>
              <w:t>mls/min/1.73m</w:t>
            </w:r>
            <w:r w:rsidR="009E453A" w:rsidRPr="00F67007">
              <w:rPr>
                <w:rFonts w:cstheme="minorHAnsi"/>
                <w:color w:val="000000" w:themeColor="text1"/>
                <w:vertAlign w:val="superscript"/>
              </w:rPr>
              <w:t>2</w:t>
            </w:r>
          </w:p>
          <w:p w14:paraId="1E3DFCFD" w14:textId="77777777" w:rsidR="00C8629D" w:rsidRPr="00337226" w:rsidRDefault="00C8629D" w:rsidP="00337226">
            <w:pPr>
              <w:pStyle w:val="ListParagraph"/>
              <w:numPr>
                <w:ilvl w:val="0"/>
                <w:numId w:val="67"/>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Added contraindications for hydroxychloroquine (prolong QTc), molnupiravir, nirmatrelvir/ritonavir (PAXLOVID™), sotrovimab, fluoxetine, fluvoxamine and AZD7442 (evusheld).</w:t>
            </w:r>
          </w:p>
          <w:p w14:paraId="4B1F34C6" w14:textId="77777777" w:rsidR="00C8629D" w:rsidRPr="00337226" w:rsidRDefault="00C8629D" w:rsidP="00337226">
            <w:pPr>
              <w:pStyle w:val="ListParagraph"/>
              <w:numPr>
                <w:ilvl w:val="0"/>
                <w:numId w:val="67"/>
              </w:numPr>
              <w:autoSpaceDE w:val="0"/>
              <w:autoSpaceDN w:val="0"/>
              <w:adjustRightInd w:val="0"/>
              <w:ind w:left="570" w:hanging="180"/>
              <w:jc w:val="both"/>
              <w:rPr>
                <w:rFonts w:ascii="Calibri" w:hAnsi="Calibri" w:cs="Calibri"/>
                <w:bCs/>
                <w:color w:val="000000" w:themeColor="text1"/>
                <w:sz w:val="20"/>
                <w:szCs w:val="20"/>
                <w:lang w:val="en-GB"/>
              </w:rPr>
            </w:pPr>
            <w:r w:rsidRPr="00337226">
              <w:rPr>
                <w:rFonts w:ascii="Calibri" w:hAnsi="Calibri" w:cs="Calibri"/>
                <w:bCs/>
                <w:color w:val="000000" w:themeColor="text1"/>
                <w:sz w:val="20"/>
                <w:szCs w:val="20"/>
                <w:lang w:val="en-GB"/>
              </w:rPr>
              <w:t>Added that study may be done as an inpatient or an outpatient throughout.</w:t>
            </w:r>
          </w:p>
          <w:p w14:paraId="7EAF15F2" w14:textId="49967426" w:rsidR="00F11455" w:rsidRPr="001C0C4B" w:rsidRDefault="00C8629D" w:rsidP="00A40407">
            <w:pPr>
              <w:pStyle w:val="xmsonormal"/>
              <w:numPr>
                <w:ilvl w:val="0"/>
                <w:numId w:val="64"/>
              </w:numPr>
              <w:ind w:left="304" w:hanging="304"/>
              <w:jc w:val="thaiDistribute"/>
              <w:rPr>
                <w:rFonts w:asciiTheme="minorHAnsi" w:eastAsia="Times New Roman" w:hAnsiTheme="minorHAnsi" w:cstheme="minorHAnsi"/>
                <w:sz w:val="22"/>
                <w:szCs w:val="22"/>
              </w:rPr>
            </w:pPr>
            <w:r w:rsidRPr="00337226">
              <w:rPr>
                <w:bCs/>
                <w:color w:val="000000" w:themeColor="text1"/>
                <w:sz w:val="20"/>
                <w:szCs w:val="20"/>
                <w:lang w:val="en-GB"/>
              </w:rPr>
              <w:t>Administrative changes</w:t>
            </w:r>
          </w:p>
        </w:tc>
      </w:tr>
      <w:tr w:rsidR="0032227F" w:rsidRPr="00B33323" w14:paraId="53C4893A" w14:textId="77777777" w:rsidTr="007845D4">
        <w:trPr>
          <w:trHeight w:val="290"/>
        </w:trPr>
        <w:tc>
          <w:tcPr>
            <w:tcW w:w="1593" w:type="dxa"/>
          </w:tcPr>
          <w:p w14:paraId="4851D833" w14:textId="66D06296" w:rsidR="0032227F" w:rsidRPr="0076179F" w:rsidRDefault="0032227F" w:rsidP="0032227F">
            <w:pPr>
              <w:rPr>
                <w:rFonts w:ascii="Calibri" w:hAnsi="Calibri" w:cs="Calibri"/>
                <w:sz w:val="20"/>
                <w:szCs w:val="20"/>
              </w:rPr>
            </w:pPr>
            <w:r w:rsidRPr="0076179F">
              <w:rPr>
                <w:rFonts w:ascii="Calibri" w:hAnsi="Calibri" w:cs="Calibri"/>
                <w:sz w:val="20"/>
                <w:szCs w:val="20"/>
              </w:rPr>
              <w:lastRenderedPageBreak/>
              <w:t>2</w:t>
            </w:r>
          </w:p>
        </w:tc>
        <w:tc>
          <w:tcPr>
            <w:tcW w:w="1281" w:type="dxa"/>
          </w:tcPr>
          <w:p w14:paraId="06E003EF" w14:textId="2F400F97" w:rsidR="0032227F" w:rsidRPr="0076179F" w:rsidRDefault="0032227F" w:rsidP="0032227F">
            <w:pPr>
              <w:rPr>
                <w:rFonts w:ascii="Calibri" w:hAnsi="Calibri" w:cs="Calibri"/>
                <w:sz w:val="20"/>
                <w:szCs w:val="20"/>
              </w:rPr>
            </w:pPr>
            <w:r w:rsidRPr="0076179F">
              <w:rPr>
                <w:rFonts w:ascii="Calibri" w:hAnsi="Calibri" w:cs="Calibri"/>
                <w:sz w:val="20"/>
                <w:szCs w:val="20"/>
              </w:rPr>
              <w:t>4.0</w:t>
            </w:r>
          </w:p>
        </w:tc>
        <w:tc>
          <w:tcPr>
            <w:tcW w:w="1296" w:type="dxa"/>
          </w:tcPr>
          <w:p w14:paraId="5B038E69" w14:textId="1C5CA9BE" w:rsidR="0032227F" w:rsidRPr="0076179F" w:rsidRDefault="0032227F" w:rsidP="0032227F">
            <w:pPr>
              <w:rPr>
                <w:rFonts w:ascii="Calibri" w:hAnsi="Calibri" w:cs="Calibri"/>
                <w:sz w:val="20"/>
                <w:szCs w:val="20"/>
              </w:rPr>
            </w:pPr>
            <w:r w:rsidRPr="0076179F">
              <w:rPr>
                <w:rFonts w:ascii="Calibri" w:hAnsi="Calibri" w:cs="Calibri"/>
                <w:sz w:val="20"/>
                <w:szCs w:val="20"/>
              </w:rPr>
              <w:t>17 August 2022</w:t>
            </w:r>
          </w:p>
        </w:tc>
        <w:tc>
          <w:tcPr>
            <w:tcW w:w="1891" w:type="dxa"/>
          </w:tcPr>
          <w:p w14:paraId="327B40E4" w14:textId="14A4EB98" w:rsidR="0032227F" w:rsidRPr="0076179F" w:rsidRDefault="003761EA" w:rsidP="0032227F">
            <w:pPr>
              <w:ind w:right="-74"/>
              <w:rPr>
                <w:rFonts w:ascii="Calibri" w:hAnsi="Calibri" w:cs="Calibri"/>
                <w:sz w:val="20"/>
                <w:szCs w:val="20"/>
              </w:rPr>
            </w:pPr>
            <w:r w:rsidRPr="0076179F">
              <w:rPr>
                <w:rFonts w:ascii="Calibri" w:eastAsia="Calibri" w:hAnsi="Calibri" w:cs="Calibri"/>
                <w:sz w:val="20"/>
                <w:szCs w:val="20"/>
                <w:lang w:val="en-GB"/>
              </w:rPr>
              <w:t xml:space="preserve">Professor Sir Nicholas J White and </w:t>
            </w:r>
            <w:r w:rsidRPr="0076179F">
              <w:rPr>
                <w:rFonts w:ascii="Calibri" w:hAnsi="Calibri" w:cs="Calibri"/>
                <w:sz w:val="20"/>
                <w:szCs w:val="20"/>
              </w:rPr>
              <w:t>Dr William Schilling</w:t>
            </w:r>
          </w:p>
        </w:tc>
        <w:tc>
          <w:tcPr>
            <w:tcW w:w="3582" w:type="dxa"/>
          </w:tcPr>
          <w:p w14:paraId="48554953" w14:textId="77777777"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lang w:val="en-GB"/>
              </w:rPr>
            </w:pPr>
            <w:r w:rsidRPr="0076179F">
              <w:rPr>
                <w:rFonts w:ascii="Calibri" w:hAnsi="Calibri" w:cs="Calibri"/>
                <w:bCs/>
                <w:sz w:val="20"/>
                <w:szCs w:val="20"/>
                <w:lang w:val="en-GB"/>
              </w:rPr>
              <w:t xml:space="preserve">Funder: Update funder name including grant reference number </w:t>
            </w:r>
          </w:p>
          <w:p w14:paraId="7577363E" w14:textId="6A2C319C"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lang w:val="en-GB"/>
              </w:rPr>
            </w:pPr>
            <w:r w:rsidRPr="0076179F">
              <w:rPr>
                <w:rFonts w:ascii="Calibri" w:hAnsi="Calibri" w:cs="Calibri"/>
                <w:bCs/>
                <w:sz w:val="20"/>
                <w:szCs w:val="20"/>
                <w:lang w:val="en-GB"/>
              </w:rPr>
              <w:t>Section “1: Synopsis”: Updated “Planned Sample Size”</w:t>
            </w:r>
            <w:r w:rsidR="00A36D8E" w:rsidRPr="0076179F">
              <w:rPr>
                <w:rFonts w:ascii="Calibri" w:hAnsi="Calibri" w:cs="Calibri"/>
                <w:bCs/>
                <w:sz w:val="20"/>
                <w:szCs w:val="20"/>
                <w:lang w:val="en-GB"/>
              </w:rPr>
              <w:t xml:space="preserve"> by adding</w:t>
            </w:r>
            <w:r w:rsidR="00A36D8E" w:rsidRPr="0076179F">
              <w:rPr>
                <w:rFonts w:ascii="Calibri" w:hAnsi="Calibri" w:cs="Calibri"/>
                <w:lang w:val="en-GB"/>
              </w:rPr>
              <w:t xml:space="preserve"> </w:t>
            </w:r>
            <w:r w:rsidR="00A36D8E" w:rsidRPr="0076179F">
              <w:rPr>
                <w:rFonts w:ascii="Calibri" w:hAnsi="Calibri" w:cs="Calibri"/>
                <w:sz w:val="20"/>
                <w:szCs w:val="20"/>
                <w:lang w:val="en-GB"/>
              </w:rPr>
              <w:t>expected total participant and study countries</w:t>
            </w:r>
          </w:p>
          <w:p w14:paraId="2CC07A2B" w14:textId="77777777"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lang w:val="en-GB"/>
              </w:rPr>
            </w:pPr>
            <w:r w:rsidRPr="0076179F">
              <w:rPr>
                <w:rFonts w:ascii="Calibri" w:hAnsi="Calibri" w:cs="Calibri"/>
                <w:bCs/>
                <w:sz w:val="20"/>
                <w:szCs w:val="20"/>
                <w:lang w:val="en-GB"/>
              </w:rPr>
              <w:t>Section “1: Synopsis”: Updated “interventions” information of type A</w:t>
            </w:r>
          </w:p>
          <w:p w14:paraId="59EC9DD9" w14:textId="77777777"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lang w:val="en-GB"/>
              </w:rPr>
            </w:pPr>
            <w:r w:rsidRPr="0076179F">
              <w:rPr>
                <w:rFonts w:ascii="Calibri" w:hAnsi="Calibri" w:cs="Calibri"/>
                <w:bCs/>
                <w:sz w:val="20"/>
                <w:szCs w:val="20"/>
                <w:lang w:val="en-GB"/>
              </w:rPr>
              <w:t xml:space="preserve">Section “3 Background and rationale”: Added information about </w:t>
            </w:r>
            <w:r w:rsidRPr="0076179F">
              <w:rPr>
                <w:rFonts w:ascii="Calibri" w:hAnsi="Calibri" w:cs="Calibri"/>
                <w:bCs/>
                <w:sz w:val="20"/>
                <w:szCs w:val="20"/>
              </w:rPr>
              <w:t xml:space="preserve">‘viral rebound’ and </w:t>
            </w:r>
            <w:r w:rsidRPr="0076179F">
              <w:rPr>
                <w:rFonts w:ascii="Calibri" w:hAnsi="Calibri" w:cs="Calibri"/>
                <w:bCs/>
                <w:color w:val="000000" w:themeColor="text1"/>
                <w:sz w:val="20"/>
                <w:szCs w:val="20"/>
              </w:rPr>
              <w:t>clarify more about assessment</w:t>
            </w:r>
            <w:r w:rsidRPr="0076179F">
              <w:rPr>
                <w:rFonts w:ascii="Calibri" w:hAnsi="Calibri" w:cs="Calibri"/>
                <w:bCs/>
                <w:sz w:val="20"/>
                <w:szCs w:val="20"/>
                <w:lang w:val="en-GB"/>
              </w:rPr>
              <w:t xml:space="preserve"> </w:t>
            </w:r>
          </w:p>
          <w:p w14:paraId="3F849CFF" w14:textId="77777777"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lang w:val="en-GB"/>
              </w:rPr>
            </w:pPr>
            <w:r w:rsidRPr="0076179F">
              <w:rPr>
                <w:rFonts w:ascii="Calibri" w:hAnsi="Calibri" w:cs="Calibri"/>
                <w:bCs/>
                <w:sz w:val="20"/>
                <w:szCs w:val="20"/>
                <w:lang w:val="en-GB"/>
              </w:rPr>
              <w:t xml:space="preserve">Section “5.1 Interventions”: Added “Ensitrelvir and a combination of Molnupiravir and </w:t>
            </w:r>
            <w:r w:rsidRPr="0076179F">
              <w:rPr>
                <w:rFonts w:ascii="Calibri" w:hAnsi="Calibri" w:cs="Calibri"/>
                <w:bCs/>
                <w:sz w:val="20"/>
                <w:szCs w:val="20"/>
              </w:rPr>
              <w:t>Nirmatrelvir/Ritonavir” in type A and “Evusheld” in type B</w:t>
            </w:r>
          </w:p>
          <w:p w14:paraId="67A7A66F" w14:textId="691E718B" w:rsidR="00B33323" w:rsidRPr="00053DDC" w:rsidRDefault="00B33323" w:rsidP="00B33323">
            <w:pPr>
              <w:pStyle w:val="ListParagraph"/>
              <w:numPr>
                <w:ilvl w:val="0"/>
                <w:numId w:val="76"/>
              </w:numPr>
              <w:autoSpaceDE w:val="0"/>
              <w:autoSpaceDN w:val="0"/>
              <w:adjustRightInd w:val="0"/>
              <w:ind w:left="311"/>
              <w:jc w:val="both"/>
              <w:rPr>
                <w:rFonts w:cstheme="minorHAnsi"/>
                <w:bCs/>
                <w:sz w:val="20"/>
                <w:szCs w:val="20"/>
                <w:lang w:val="en-GB"/>
              </w:rPr>
            </w:pPr>
            <w:r w:rsidRPr="00053DDC">
              <w:rPr>
                <w:rFonts w:cstheme="minorHAnsi"/>
                <w:bCs/>
                <w:sz w:val="20"/>
                <w:szCs w:val="20"/>
                <w:lang w:val="en-GB"/>
              </w:rPr>
              <w:t>Section “7.6 Days of Study”: Added Day 10 activities</w:t>
            </w:r>
            <w:r w:rsidR="00053DDC" w:rsidRPr="00053DDC">
              <w:rPr>
                <w:rFonts w:cstheme="minorHAnsi"/>
                <w:sz w:val="20"/>
                <w:szCs w:val="20"/>
              </w:rPr>
              <w:t xml:space="preserve"> </w:t>
            </w:r>
            <w:r w:rsidR="00053DDC" w:rsidRPr="00053DDC">
              <w:rPr>
                <w:rFonts w:cstheme="minorHAnsi"/>
                <w:bCs/>
                <w:sz w:val="20"/>
                <w:szCs w:val="20"/>
                <w:lang w:val="en-GB"/>
              </w:rPr>
              <w:t>to capture asymptomatic viral rebound</w:t>
            </w:r>
            <w:r w:rsidR="00053DDC" w:rsidRPr="00053DDC">
              <w:rPr>
                <w:rFonts w:cstheme="minorHAnsi"/>
                <w:sz w:val="20"/>
                <w:szCs w:val="20"/>
              </w:rPr>
              <w:t xml:space="preserve"> and safety concern for viral rebound</w:t>
            </w:r>
          </w:p>
          <w:p w14:paraId="3A203B3E" w14:textId="77777777"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rPr>
            </w:pPr>
            <w:r w:rsidRPr="0076179F">
              <w:rPr>
                <w:rFonts w:ascii="Calibri" w:hAnsi="Calibri" w:cs="Calibri"/>
                <w:bCs/>
                <w:sz w:val="20"/>
                <w:szCs w:val="20"/>
                <w:lang w:val="en-GB"/>
              </w:rPr>
              <w:t xml:space="preserve">Section “7.8 Management of patients who become ill”: Added new procedure to </w:t>
            </w:r>
            <w:r w:rsidRPr="0076179F">
              <w:rPr>
                <w:rFonts w:ascii="Calibri" w:hAnsi="Calibri" w:cs="Calibri"/>
                <w:bCs/>
                <w:sz w:val="20"/>
                <w:szCs w:val="20"/>
              </w:rPr>
              <w:t>determine the viral rebound which is important with certain antivirals (e.g. Paxlovid) and may impact effectiveness of these against onward viral transmission.</w:t>
            </w:r>
          </w:p>
          <w:p w14:paraId="70F88374" w14:textId="77777777"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rPr>
            </w:pPr>
            <w:r w:rsidRPr="0076179F">
              <w:rPr>
                <w:rFonts w:ascii="Calibri" w:hAnsi="Calibri" w:cs="Calibri"/>
                <w:bCs/>
                <w:sz w:val="20"/>
                <w:szCs w:val="20"/>
                <w:lang w:val="en-GB"/>
              </w:rPr>
              <w:t xml:space="preserve">Section “9.3 Procedures for recording adverse events”: Added </w:t>
            </w:r>
            <w:r w:rsidRPr="0076179F">
              <w:rPr>
                <w:rFonts w:ascii="Calibri" w:hAnsi="Calibri" w:cs="Calibri"/>
                <w:bCs/>
                <w:sz w:val="20"/>
                <w:szCs w:val="20"/>
              </w:rPr>
              <w:t>safety evaluation for combination drugs</w:t>
            </w:r>
          </w:p>
          <w:p w14:paraId="18AE9F47" w14:textId="77777777"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rPr>
            </w:pPr>
            <w:r w:rsidRPr="0076179F">
              <w:rPr>
                <w:rFonts w:ascii="Calibri" w:hAnsi="Calibri" w:cs="Calibri"/>
                <w:bCs/>
                <w:sz w:val="20"/>
                <w:szCs w:val="20"/>
                <w:lang w:val="en-GB"/>
              </w:rPr>
              <w:t xml:space="preserve">Section “10.5 </w:t>
            </w:r>
            <w:r w:rsidRPr="0076179F">
              <w:rPr>
                <w:rFonts w:ascii="Calibri" w:hAnsi="Calibri" w:cs="Calibri"/>
                <w:bCs/>
                <w:sz w:val="20"/>
                <w:szCs w:val="20"/>
              </w:rPr>
              <w:t>Sample size estimation, randomisation and statistical considerations for the Bayesian group sequential design</w:t>
            </w:r>
            <w:r w:rsidRPr="0076179F">
              <w:rPr>
                <w:rFonts w:ascii="Calibri" w:hAnsi="Calibri" w:cs="Calibri"/>
                <w:bCs/>
                <w:sz w:val="20"/>
                <w:szCs w:val="20"/>
                <w:lang w:val="en-GB"/>
              </w:rPr>
              <w:t xml:space="preserve">”: Added tentative sample size (60 patients) in each arm </w:t>
            </w:r>
            <w:r w:rsidRPr="0076179F">
              <w:rPr>
                <w:rFonts w:ascii="Calibri" w:eastAsia="Times New Roman" w:hAnsi="Calibri" w:cs="Calibri"/>
                <w:bCs/>
                <w:sz w:val="20"/>
                <w:szCs w:val="20"/>
                <w:lang w:val="en-GB"/>
              </w:rPr>
              <w:t>for an effect size of 12.5% increase in viral clearance</w:t>
            </w:r>
          </w:p>
          <w:p w14:paraId="4D8A6C21" w14:textId="77777777"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rPr>
            </w:pPr>
            <w:r w:rsidRPr="0076179F">
              <w:rPr>
                <w:rFonts w:ascii="Calibri" w:hAnsi="Calibri" w:cs="Calibri"/>
                <w:bCs/>
                <w:sz w:val="20"/>
                <w:szCs w:val="20"/>
                <w:lang w:val="en-GB"/>
              </w:rPr>
              <w:lastRenderedPageBreak/>
              <w:t>Section “11.2 Data handling and record keeping</w:t>
            </w:r>
            <w:r w:rsidRPr="0076179F">
              <w:rPr>
                <w:rFonts w:ascii="Calibri" w:hAnsi="Calibri" w:cs="Calibri"/>
                <w:bCs/>
                <w:sz w:val="20"/>
                <w:szCs w:val="20"/>
              </w:rPr>
              <w:t>”: Extended the retention of the records to “at least five years”</w:t>
            </w:r>
          </w:p>
          <w:p w14:paraId="17468DA7" w14:textId="2756F1E3"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rPr>
            </w:pPr>
            <w:r w:rsidRPr="0076179F">
              <w:rPr>
                <w:rFonts w:ascii="Calibri" w:hAnsi="Calibri" w:cs="Calibri"/>
                <w:bCs/>
                <w:sz w:val="20"/>
                <w:szCs w:val="20"/>
                <w:lang w:val="en-GB"/>
              </w:rPr>
              <w:t xml:space="preserve">Section “15 Appendix 1 Schedule of activities”: </w:t>
            </w:r>
          </w:p>
          <w:p w14:paraId="29A2DCC8" w14:textId="77777777" w:rsidR="00B33323" w:rsidRPr="0076179F" w:rsidRDefault="00B33323" w:rsidP="00B33323">
            <w:pPr>
              <w:pStyle w:val="ListParagraph"/>
              <w:numPr>
                <w:ilvl w:val="1"/>
                <w:numId w:val="76"/>
              </w:numPr>
              <w:autoSpaceDE w:val="0"/>
              <w:autoSpaceDN w:val="0"/>
              <w:adjustRightInd w:val="0"/>
              <w:ind w:left="581" w:hanging="270"/>
              <w:jc w:val="both"/>
              <w:rPr>
                <w:rFonts w:ascii="Calibri" w:hAnsi="Calibri" w:cs="Calibri"/>
                <w:bCs/>
                <w:sz w:val="20"/>
                <w:szCs w:val="20"/>
                <w:lang w:val="en-GB"/>
              </w:rPr>
            </w:pPr>
            <w:r w:rsidRPr="0076179F">
              <w:rPr>
                <w:rFonts w:ascii="Calibri" w:hAnsi="Calibri" w:cs="Calibri"/>
                <w:bCs/>
                <w:sz w:val="20"/>
                <w:szCs w:val="20"/>
                <w:lang w:val="en-GB"/>
              </w:rPr>
              <w:t xml:space="preserve">Added column “D10” </w:t>
            </w:r>
          </w:p>
          <w:p w14:paraId="20694D4C" w14:textId="77777777" w:rsidR="00B33323" w:rsidRPr="0076179F" w:rsidRDefault="00B33323" w:rsidP="00B33323">
            <w:pPr>
              <w:pStyle w:val="ListParagraph"/>
              <w:numPr>
                <w:ilvl w:val="1"/>
                <w:numId w:val="76"/>
              </w:numPr>
              <w:autoSpaceDE w:val="0"/>
              <w:autoSpaceDN w:val="0"/>
              <w:adjustRightInd w:val="0"/>
              <w:ind w:left="581" w:hanging="270"/>
              <w:jc w:val="both"/>
              <w:rPr>
                <w:rFonts w:ascii="Calibri" w:hAnsi="Calibri" w:cs="Calibri"/>
                <w:bCs/>
                <w:sz w:val="20"/>
                <w:szCs w:val="20"/>
                <w:lang w:val="en-GB"/>
              </w:rPr>
            </w:pPr>
            <w:r w:rsidRPr="0076179F">
              <w:rPr>
                <w:rFonts w:ascii="Calibri" w:hAnsi="Calibri" w:cs="Calibri"/>
                <w:bCs/>
                <w:sz w:val="20"/>
                <w:szCs w:val="20"/>
                <w:lang w:val="en-GB"/>
              </w:rPr>
              <w:t>Changed column title from “If new treatment” to “if new treatment/symptoms”</w:t>
            </w:r>
          </w:p>
          <w:p w14:paraId="62A37E5B" w14:textId="0334ECB3" w:rsidR="00B33323" w:rsidRPr="0076179F" w:rsidRDefault="00B33323" w:rsidP="00B33323">
            <w:pPr>
              <w:pStyle w:val="ListParagraph"/>
              <w:numPr>
                <w:ilvl w:val="1"/>
                <w:numId w:val="76"/>
              </w:numPr>
              <w:autoSpaceDE w:val="0"/>
              <w:autoSpaceDN w:val="0"/>
              <w:adjustRightInd w:val="0"/>
              <w:ind w:left="581" w:hanging="270"/>
              <w:jc w:val="both"/>
              <w:rPr>
                <w:rFonts w:ascii="Calibri" w:hAnsi="Calibri" w:cs="Calibri"/>
                <w:bCs/>
                <w:sz w:val="20"/>
                <w:szCs w:val="20"/>
                <w:lang w:val="en-GB"/>
              </w:rPr>
            </w:pPr>
            <w:r w:rsidRPr="0076179F">
              <w:rPr>
                <w:rFonts w:ascii="Calibri" w:hAnsi="Calibri" w:cs="Calibri"/>
                <w:bCs/>
                <w:sz w:val="20"/>
                <w:szCs w:val="20"/>
                <w:lang w:val="en-GB"/>
              </w:rPr>
              <w:t>Clarified the definition of “if new treatment/symptoms”</w:t>
            </w:r>
          </w:p>
          <w:p w14:paraId="0D380519" w14:textId="77777777" w:rsidR="00B33323" w:rsidRPr="0076179F" w:rsidRDefault="00B33323" w:rsidP="00B33323">
            <w:pPr>
              <w:pStyle w:val="ListParagraph"/>
              <w:numPr>
                <w:ilvl w:val="0"/>
                <w:numId w:val="76"/>
              </w:numPr>
              <w:autoSpaceDE w:val="0"/>
              <w:autoSpaceDN w:val="0"/>
              <w:adjustRightInd w:val="0"/>
              <w:ind w:left="311"/>
              <w:jc w:val="both"/>
              <w:rPr>
                <w:rFonts w:ascii="Calibri" w:hAnsi="Calibri" w:cs="Calibri"/>
                <w:bCs/>
                <w:sz w:val="20"/>
                <w:szCs w:val="20"/>
                <w:lang w:val="en-GB"/>
              </w:rPr>
            </w:pPr>
            <w:r w:rsidRPr="0076179F">
              <w:rPr>
                <w:rFonts w:ascii="Calibri" w:hAnsi="Calibri" w:cs="Calibri"/>
                <w:bCs/>
                <w:sz w:val="20"/>
                <w:szCs w:val="20"/>
                <w:lang w:val="en-GB"/>
              </w:rPr>
              <w:t>Section “16 Appendix 2 Study drugs”:</w:t>
            </w:r>
          </w:p>
          <w:p w14:paraId="7BCE792A" w14:textId="77777777" w:rsidR="00B33323" w:rsidRPr="0076179F" w:rsidRDefault="00B33323" w:rsidP="00B33323">
            <w:pPr>
              <w:pStyle w:val="ListParagraph"/>
              <w:numPr>
                <w:ilvl w:val="0"/>
                <w:numId w:val="75"/>
              </w:numPr>
              <w:autoSpaceDE w:val="0"/>
              <w:autoSpaceDN w:val="0"/>
              <w:adjustRightInd w:val="0"/>
              <w:ind w:left="581" w:hanging="270"/>
              <w:jc w:val="both"/>
              <w:rPr>
                <w:rFonts w:ascii="Calibri" w:hAnsi="Calibri" w:cs="Calibri"/>
                <w:bCs/>
                <w:sz w:val="20"/>
                <w:szCs w:val="20"/>
                <w:lang w:val="en-GB"/>
              </w:rPr>
            </w:pPr>
            <w:r w:rsidRPr="0076179F">
              <w:rPr>
                <w:rFonts w:ascii="Calibri" w:hAnsi="Calibri" w:cs="Calibri"/>
                <w:bCs/>
                <w:sz w:val="20"/>
                <w:szCs w:val="20"/>
                <w:lang w:val="en-GB"/>
              </w:rPr>
              <w:t xml:space="preserve">Molnupiravir: Updated section “drug interaction” </w:t>
            </w:r>
          </w:p>
          <w:p w14:paraId="68675C36" w14:textId="77777777" w:rsidR="00B33323" w:rsidRPr="0076179F" w:rsidRDefault="00B33323" w:rsidP="00B33323">
            <w:pPr>
              <w:pStyle w:val="ListParagraph"/>
              <w:numPr>
                <w:ilvl w:val="0"/>
                <w:numId w:val="75"/>
              </w:numPr>
              <w:autoSpaceDE w:val="0"/>
              <w:autoSpaceDN w:val="0"/>
              <w:adjustRightInd w:val="0"/>
              <w:ind w:left="581" w:hanging="270"/>
              <w:jc w:val="both"/>
              <w:rPr>
                <w:rFonts w:ascii="Calibri" w:hAnsi="Calibri" w:cs="Calibri"/>
                <w:bCs/>
                <w:sz w:val="20"/>
                <w:szCs w:val="20"/>
                <w:lang w:val="en-GB"/>
              </w:rPr>
            </w:pPr>
            <w:r w:rsidRPr="0076179F">
              <w:rPr>
                <w:rFonts w:ascii="Calibri" w:hAnsi="Calibri" w:cs="Calibri"/>
                <w:bCs/>
                <w:sz w:val="20"/>
                <w:szCs w:val="20"/>
                <w:lang w:val="en-GB"/>
              </w:rPr>
              <w:t>N</w:t>
            </w:r>
            <w:r w:rsidRPr="0076179F">
              <w:rPr>
                <w:rFonts w:ascii="Calibri" w:hAnsi="Calibri" w:cs="Calibri"/>
                <w:bCs/>
                <w:sz w:val="20"/>
                <w:szCs w:val="20"/>
              </w:rPr>
              <w:t>irmatrelvir/ritonavir (e.g. PAXLOVID™)</w:t>
            </w:r>
            <w:r w:rsidRPr="0076179F">
              <w:rPr>
                <w:rFonts w:ascii="Calibri" w:hAnsi="Calibri" w:cs="Calibri"/>
                <w:bCs/>
                <w:sz w:val="20"/>
                <w:szCs w:val="20"/>
                <w:lang w:val="en-GB"/>
              </w:rPr>
              <w:t xml:space="preserve">: Updated section “drug interaction” </w:t>
            </w:r>
          </w:p>
          <w:p w14:paraId="173C7B73" w14:textId="460FD4E6" w:rsidR="00B33323" w:rsidRPr="0076179F" w:rsidRDefault="00B33323" w:rsidP="00B33323">
            <w:pPr>
              <w:pStyle w:val="ListParagraph"/>
              <w:numPr>
                <w:ilvl w:val="0"/>
                <w:numId w:val="75"/>
              </w:numPr>
              <w:autoSpaceDE w:val="0"/>
              <w:autoSpaceDN w:val="0"/>
              <w:adjustRightInd w:val="0"/>
              <w:ind w:left="581" w:hanging="270"/>
              <w:jc w:val="both"/>
              <w:rPr>
                <w:rFonts w:ascii="Calibri" w:hAnsi="Calibri" w:cs="Calibri"/>
                <w:bCs/>
                <w:sz w:val="20"/>
                <w:szCs w:val="20"/>
                <w:lang w:val="en-GB"/>
              </w:rPr>
            </w:pPr>
            <w:r w:rsidRPr="0076179F">
              <w:rPr>
                <w:rFonts w:ascii="Calibri" w:hAnsi="Calibri" w:cs="Calibri"/>
                <w:bCs/>
                <w:sz w:val="20"/>
                <w:szCs w:val="20"/>
                <w:lang w:val="en-GB"/>
              </w:rPr>
              <w:t>Ensitrelvir: Added monograph (Section 16.16).</w:t>
            </w:r>
          </w:p>
          <w:p w14:paraId="68EF4BF2" w14:textId="77777777" w:rsidR="00B33323" w:rsidRPr="0076179F" w:rsidRDefault="00B33323" w:rsidP="00B33323">
            <w:pPr>
              <w:pStyle w:val="ListParagraph"/>
              <w:numPr>
                <w:ilvl w:val="0"/>
                <w:numId w:val="76"/>
              </w:numPr>
              <w:autoSpaceDE w:val="0"/>
              <w:autoSpaceDN w:val="0"/>
              <w:adjustRightInd w:val="0"/>
              <w:ind w:left="311" w:hanging="311"/>
              <w:jc w:val="both"/>
              <w:rPr>
                <w:rFonts w:ascii="Calibri" w:hAnsi="Calibri" w:cs="Calibri"/>
                <w:bCs/>
                <w:sz w:val="20"/>
                <w:szCs w:val="20"/>
                <w:lang w:val="en-GB"/>
              </w:rPr>
            </w:pPr>
            <w:r w:rsidRPr="0076179F">
              <w:rPr>
                <w:rFonts w:ascii="Calibri" w:hAnsi="Calibri" w:cs="Calibri"/>
                <w:bCs/>
                <w:sz w:val="20"/>
                <w:szCs w:val="20"/>
                <w:lang w:val="en-GB"/>
              </w:rPr>
              <w:t>Section “18 Appendix 4 Exclusion criteria”:</w:t>
            </w:r>
            <w:r w:rsidRPr="0076179F">
              <w:rPr>
                <w:rFonts w:ascii="Calibri" w:hAnsi="Calibri" w:cs="Calibri"/>
                <w:bCs/>
                <w:sz w:val="20"/>
                <w:szCs w:val="25"/>
                <w:cs/>
                <w:lang w:val="en-GB" w:bidi="th-TH"/>
              </w:rPr>
              <w:t xml:space="preserve"> </w:t>
            </w:r>
            <w:r w:rsidRPr="0076179F">
              <w:rPr>
                <w:rFonts w:ascii="Calibri" w:hAnsi="Calibri" w:cs="Calibri"/>
                <w:bCs/>
                <w:sz w:val="20"/>
                <w:szCs w:val="20"/>
                <w:lang w:val="en-GB"/>
              </w:rPr>
              <w:t>Added contraindications for ensitrelvir and molnupiravir and nirmatrelvir/ritonavir combination</w:t>
            </w:r>
          </w:p>
          <w:p w14:paraId="3D753023" w14:textId="3AA7AECF" w:rsidR="0032227F" w:rsidRPr="0076179F" w:rsidRDefault="000655B1" w:rsidP="000655B1">
            <w:pPr>
              <w:autoSpaceDE w:val="0"/>
              <w:autoSpaceDN w:val="0"/>
              <w:adjustRightInd w:val="0"/>
              <w:jc w:val="both"/>
              <w:rPr>
                <w:rFonts w:ascii="Calibri" w:hAnsi="Calibri" w:cs="Calibri"/>
                <w:bCs/>
                <w:sz w:val="20"/>
                <w:szCs w:val="20"/>
                <w:lang w:val="en-GB"/>
              </w:rPr>
            </w:pPr>
            <w:r w:rsidRPr="0076179F">
              <w:rPr>
                <w:rFonts w:ascii="Calibri" w:hAnsi="Calibri" w:cs="Calibri"/>
                <w:b/>
                <w:sz w:val="20"/>
                <w:szCs w:val="20"/>
                <w:cs/>
                <w:lang w:val="en-GB" w:bidi="th-TH"/>
              </w:rPr>
              <w:t>14.</w:t>
            </w:r>
            <w:r w:rsidRPr="0076179F">
              <w:rPr>
                <w:rFonts w:ascii="Calibri" w:hAnsi="Calibri" w:cs="Calibri"/>
                <w:bCs/>
                <w:sz w:val="20"/>
                <w:szCs w:val="25"/>
                <w:cs/>
                <w:lang w:val="en-GB" w:bidi="th-TH"/>
              </w:rPr>
              <w:t xml:space="preserve"> </w:t>
            </w:r>
            <w:r w:rsidR="00B33323" w:rsidRPr="0076179F">
              <w:rPr>
                <w:rFonts w:ascii="Calibri" w:hAnsi="Calibri" w:cs="Calibri"/>
                <w:bCs/>
                <w:sz w:val="20"/>
                <w:szCs w:val="20"/>
                <w:lang w:val="en-GB"/>
              </w:rPr>
              <w:t>Administrative changes</w:t>
            </w:r>
          </w:p>
        </w:tc>
      </w:tr>
    </w:tbl>
    <w:p w14:paraId="7A3E6216" w14:textId="77777777" w:rsidR="0037739C" w:rsidRPr="0037739C" w:rsidRDefault="0037739C" w:rsidP="00BF2FEE">
      <w:pPr>
        <w:spacing w:line="240" w:lineRule="auto"/>
        <w:rPr>
          <w:rFonts w:ascii="Calibri" w:hAnsi="Calibri"/>
        </w:rPr>
      </w:pPr>
    </w:p>
    <w:sectPr w:rsidR="0037739C" w:rsidRPr="0037739C" w:rsidSect="005858D4">
      <w:footerReference w:type="default" r:id="rId66"/>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B2FAD" w14:textId="77777777" w:rsidR="00274B00" w:rsidRDefault="00274B00" w:rsidP="002907D4">
      <w:pPr>
        <w:spacing w:after="0" w:line="240" w:lineRule="auto"/>
      </w:pPr>
      <w:r>
        <w:separator/>
      </w:r>
    </w:p>
  </w:endnote>
  <w:endnote w:type="continuationSeparator" w:id="0">
    <w:p w14:paraId="29725970" w14:textId="77777777" w:rsidR="00274B00" w:rsidRDefault="00274B00" w:rsidP="002907D4">
      <w:pPr>
        <w:spacing w:after="0" w:line="240" w:lineRule="auto"/>
      </w:pPr>
      <w:r>
        <w:continuationSeparator/>
      </w:r>
    </w:p>
  </w:endnote>
  <w:endnote w:type="continuationNotice" w:id="1">
    <w:p w14:paraId="33DBDC5A" w14:textId="77777777" w:rsidR="00274B00" w:rsidRDefault="00274B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IDFont+F1">
    <w:altName w:val="Yu Gothic"/>
    <w:panose1 w:val="020B0604020202020204"/>
    <w:charset w:val="80"/>
    <w:family w:val="auto"/>
    <w:pitch w:val="default"/>
    <w:sig w:usb0="00000001" w:usb1="08070000" w:usb2="00000010" w:usb3="00000000" w:csb0="00020000" w:csb1="00000000"/>
  </w:font>
  <w:font w:name="GuardianSansGR-Regular">
    <w:altName w:val="Yu Gothic"/>
    <w:panose1 w:val="020B0604020202020204"/>
    <w:charset w:val="80"/>
    <w:family w:val="auto"/>
    <w:pitch w:val="default"/>
    <w:sig w:usb0="00000001" w:usb1="08070000" w:usb2="00000010" w:usb3="00000000" w:csb0="00020000" w:csb1="00000000"/>
  </w:font>
  <w:font w:name="Leelawadee UI">
    <w:panose1 w:val="020B0502040204020203"/>
    <w:charset w:val="DE"/>
    <w:family w:val="swiss"/>
    <w:pitch w:val="variable"/>
    <w:sig w:usb0="8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656B" w14:textId="2AA001E9" w:rsidR="00657E5D" w:rsidRPr="00E142CD" w:rsidRDefault="00657E5D" w:rsidP="002823ED">
    <w:pPr>
      <w:pStyle w:val="Footer"/>
      <w:tabs>
        <w:tab w:val="clear" w:pos="4680"/>
        <w:tab w:val="clear" w:pos="9360"/>
        <w:tab w:val="left" w:pos="3820"/>
      </w:tabs>
      <w:rPr>
        <w:sz w:val="20"/>
        <w:szCs w:val="20"/>
      </w:rPr>
    </w:pPr>
    <w:r w:rsidRPr="001C0C4B">
      <w:rPr>
        <w:sz w:val="20"/>
        <w:szCs w:val="20"/>
      </w:rPr>
      <w:t>PLATCOV_</w:t>
    </w:r>
    <w:r>
      <w:rPr>
        <w:sz w:val="20"/>
        <w:szCs w:val="20"/>
      </w:rPr>
      <w:t>Master</w:t>
    </w:r>
    <w:r w:rsidRPr="001C0C4B">
      <w:rPr>
        <w:sz w:val="20"/>
        <w:szCs w:val="20"/>
      </w:rPr>
      <w:t xml:space="preserve"> protocol_</w:t>
    </w:r>
    <w:r w:rsidRPr="009A5CCE">
      <w:rPr>
        <w:sz w:val="20"/>
        <w:szCs w:val="20"/>
      </w:rPr>
      <w:t>V</w:t>
    </w:r>
    <w:r>
      <w:rPr>
        <w:sz w:val="20"/>
        <w:szCs w:val="20"/>
      </w:rPr>
      <w:t>4</w:t>
    </w:r>
    <w:r w:rsidRPr="001C0C4B">
      <w:rPr>
        <w:sz w:val="20"/>
        <w:szCs w:val="20"/>
      </w:rPr>
      <w:t>.0_</w:t>
    </w:r>
    <w:r>
      <w:rPr>
        <w:sz w:val="20"/>
        <w:szCs w:val="20"/>
      </w:rPr>
      <w:t>17Aug</w:t>
    </w:r>
    <w:r w:rsidRPr="009A5CCE">
      <w:rPr>
        <w:sz w:val="20"/>
        <w:szCs w:val="20"/>
      </w:rPr>
      <w:t>2</w:t>
    </w:r>
    <w:r>
      <w:rPr>
        <w:sz w:val="20"/>
        <w:szCs w:val="20"/>
      </w:rPr>
      <w:t xml:space="preserve">2 </w:t>
    </w:r>
    <w:r w:rsidRPr="009A5CCE">
      <w:rPr>
        <w:sz w:val="20"/>
        <w:szCs w:val="20"/>
      </w:rPr>
      <w:t xml:space="preserve">            </w:t>
    </w:r>
    <w:r w:rsidRPr="001C0C4B">
      <w:rPr>
        <w:sz w:val="20"/>
        <w:szCs w:val="20"/>
      </w:rPr>
      <w:t xml:space="preserve">                       CONFIDENTIAL                                          Page </w:t>
    </w:r>
    <w:r w:rsidRPr="001C0C4B">
      <w:rPr>
        <w:b/>
        <w:bCs/>
        <w:sz w:val="20"/>
        <w:szCs w:val="20"/>
      </w:rPr>
      <w:fldChar w:fldCharType="begin"/>
    </w:r>
    <w:r w:rsidRPr="001C0C4B">
      <w:rPr>
        <w:b/>
        <w:bCs/>
        <w:sz w:val="20"/>
        <w:szCs w:val="20"/>
      </w:rPr>
      <w:instrText xml:space="preserve"> PAGE  \* Arabic  \* MERGEFORMAT </w:instrText>
    </w:r>
    <w:r w:rsidRPr="001C0C4B">
      <w:rPr>
        <w:b/>
        <w:bCs/>
        <w:sz w:val="20"/>
        <w:szCs w:val="20"/>
      </w:rPr>
      <w:fldChar w:fldCharType="separate"/>
    </w:r>
    <w:r w:rsidR="005D4773">
      <w:rPr>
        <w:b/>
        <w:bCs/>
        <w:noProof/>
        <w:sz w:val="20"/>
        <w:szCs w:val="20"/>
      </w:rPr>
      <w:t>32</w:t>
    </w:r>
    <w:r w:rsidRPr="001C0C4B">
      <w:rPr>
        <w:b/>
        <w:bCs/>
        <w:sz w:val="20"/>
        <w:szCs w:val="20"/>
      </w:rPr>
      <w:fldChar w:fldCharType="end"/>
    </w:r>
    <w:r w:rsidRPr="001C0C4B">
      <w:rPr>
        <w:sz w:val="20"/>
        <w:szCs w:val="20"/>
      </w:rPr>
      <w:t xml:space="preserve"> of </w:t>
    </w:r>
    <w:r w:rsidRPr="001C0C4B">
      <w:rPr>
        <w:b/>
        <w:bCs/>
        <w:sz w:val="20"/>
        <w:szCs w:val="20"/>
      </w:rPr>
      <w:fldChar w:fldCharType="begin"/>
    </w:r>
    <w:r w:rsidRPr="001C0C4B">
      <w:rPr>
        <w:b/>
        <w:bCs/>
        <w:sz w:val="20"/>
        <w:szCs w:val="20"/>
      </w:rPr>
      <w:instrText xml:space="preserve"> NUMPAGES  \* Arabic  \* MERGEFORMAT </w:instrText>
    </w:r>
    <w:r w:rsidRPr="001C0C4B">
      <w:rPr>
        <w:b/>
        <w:bCs/>
        <w:sz w:val="20"/>
        <w:szCs w:val="20"/>
      </w:rPr>
      <w:fldChar w:fldCharType="separate"/>
    </w:r>
    <w:r w:rsidR="005D4773">
      <w:rPr>
        <w:b/>
        <w:bCs/>
        <w:noProof/>
        <w:sz w:val="20"/>
        <w:szCs w:val="20"/>
      </w:rPr>
      <w:t>90</w:t>
    </w:r>
    <w:r w:rsidRPr="001C0C4B">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83C77" w14:textId="77777777" w:rsidR="00274B00" w:rsidRDefault="00274B00" w:rsidP="002907D4">
      <w:pPr>
        <w:spacing w:after="0" w:line="240" w:lineRule="auto"/>
      </w:pPr>
      <w:r>
        <w:separator/>
      </w:r>
    </w:p>
  </w:footnote>
  <w:footnote w:type="continuationSeparator" w:id="0">
    <w:p w14:paraId="1A74D0DF" w14:textId="77777777" w:rsidR="00274B00" w:rsidRDefault="00274B00" w:rsidP="002907D4">
      <w:pPr>
        <w:spacing w:after="0" w:line="240" w:lineRule="auto"/>
      </w:pPr>
      <w:r>
        <w:continuationSeparator/>
      </w:r>
    </w:p>
  </w:footnote>
  <w:footnote w:type="continuationNotice" w:id="1">
    <w:p w14:paraId="05EC6AFA" w14:textId="77777777" w:rsidR="00274B00" w:rsidRDefault="00274B00">
      <w:pPr>
        <w:spacing w:after="0" w:line="240" w:lineRule="auto"/>
      </w:pPr>
    </w:p>
  </w:footnote>
  <w:footnote w:id="2">
    <w:p w14:paraId="7AB28493" w14:textId="77777777" w:rsidR="00657E5D" w:rsidRPr="00B96A30" w:rsidRDefault="00657E5D">
      <w:pPr>
        <w:pStyle w:val="FootnoteText"/>
      </w:pPr>
      <w:r w:rsidRPr="00B96A30">
        <w:rPr>
          <w:rStyle w:val="FootnoteReference"/>
        </w:rPr>
        <w:footnoteRef/>
      </w:r>
      <w:r w:rsidRPr="00B96A30">
        <w:t xml:space="preserve"> </w:t>
      </w:r>
      <w:hyperlink r:id="rId1" w:history="1">
        <w:r w:rsidRPr="00B96A30">
          <w:rPr>
            <w:rStyle w:val="Hyperlink"/>
          </w:rPr>
          <w:t>https://www.fda.gov/media/78495/download</w:t>
        </w:r>
      </w:hyperlink>
    </w:p>
    <w:p w14:paraId="2D94E56D" w14:textId="77777777" w:rsidR="00657E5D" w:rsidRDefault="00657E5D">
      <w:pPr>
        <w:pStyle w:val="FootnoteText"/>
      </w:pPr>
      <w:r w:rsidRPr="00B96A30">
        <w:t>https://www.ema.europa.eu/en/documents/scientific-guideline/reflection-paper-methodological-issues-confirmatory-clinical-trials-planned-adaptive-design_en.pdf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A9E"/>
    <w:multiLevelType w:val="hybridMultilevel"/>
    <w:tmpl w:val="0078573A"/>
    <w:lvl w:ilvl="0" w:tplc="9084C4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D7827"/>
    <w:multiLevelType w:val="hybridMultilevel"/>
    <w:tmpl w:val="EB62D28E"/>
    <w:lvl w:ilvl="0" w:tplc="178C98F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0636E"/>
    <w:multiLevelType w:val="multilevel"/>
    <w:tmpl w:val="1A42D17C"/>
    <w:lvl w:ilvl="0">
      <w:start w:val="1"/>
      <w:numFmt w:val="decimal"/>
      <w:lvlText w:val="%1."/>
      <w:lvlJc w:val="left"/>
      <w:pPr>
        <w:ind w:left="360" w:hanging="360"/>
      </w:pPr>
    </w:lvl>
    <w:lvl w:ilvl="1">
      <w:start w:val="1"/>
      <w:numFmt w:val="decimal"/>
      <w:lvlText w:val="%1.%2."/>
      <w:lvlJc w:val="left"/>
      <w:pPr>
        <w:ind w:left="715"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9F0EDA"/>
    <w:multiLevelType w:val="multilevel"/>
    <w:tmpl w:val="DBAE60AC"/>
    <w:lvl w:ilvl="0">
      <w:start w:val="1"/>
      <w:numFmt w:val="decimal"/>
      <w:lvlText w:val="%1."/>
      <w:lvlJc w:val="left"/>
      <w:pPr>
        <w:ind w:left="360" w:hanging="360"/>
      </w:pPr>
      <w:rPr>
        <w:rFonts w:hint="default"/>
      </w:rPr>
    </w:lvl>
    <w:lvl w:ilvl="1">
      <w:start w:val="1"/>
      <w:numFmt w:val="decimal"/>
      <w:lvlText w:val="%1.%2."/>
      <w:lvlJc w:val="left"/>
      <w:pPr>
        <w:ind w:left="1141"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F74398"/>
    <w:multiLevelType w:val="multilevel"/>
    <w:tmpl w:val="1A42D17C"/>
    <w:lvl w:ilvl="0">
      <w:start w:val="1"/>
      <w:numFmt w:val="decimal"/>
      <w:lvlText w:val="%1."/>
      <w:lvlJc w:val="left"/>
      <w:pPr>
        <w:ind w:left="360" w:hanging="360"/>
      </w:pPr>
      <w:rPr>
        <w:rFonts w:hint="default"/>
        <w:color w:val="000000" w:themeColor="text1"/>
      </w:rPr>
    </w:lvl>
    <w:lvl w:ilvl="1">
      <w:start w:val="1"/>
      <w:numFmt w:val="decimal"/>
      <w:lvlText w:val="%1.%2."/>
      <w:lvlJc w:val="left"/>
      <w:pPr>
        <w:ind w:left="715"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F87FD2"/>
    <w:multiLevelType w:val="multilevel"/>
    <w:tmpl w:val="E9F4F5CC"/>
    <w:lvl w:ilvl="0">
      <w:start w:val="1"/>
      <w:numFmt w:val="bullet"/>
      <w:lvlText w:val=""/>
      <w:lvlJc w:val="left"/>
      <w:pPr>
        <w:ind w:left="360" w:hanging="360"/>
      </w:pPr>
      <w:rPr>
        <w:rFonts w:ascii="Symbol" w:hAnsi="Symbol" w:hint="default"/>
        <w:b w:val="0"/>
      </w:rPr>
    </w:lvl>
    <w:lvl w:ilvl="1">
      <w:start w:val="11"/>
      <w:numFmt w:val="decimal"/>
      <w:lvlText w:val="%1.%2"/>
      <w:lvlJc w:val="left"/>
      <w:pPr>
        <w:ind w:left="420" w:hanging="420"/>
      </w:pPr>
      <w:rPr>
        <w:rFonts w:asciiTheme="majorHAnsi" w:hAnsiTheme="majorHAnsi" w:cstheme="majorBidi" w:hint="default"/>
        <w:b w:val="0"/>
      </w:rPr>
    </w:lvl>
    <w:lvl w:ilvl="2">
      <w:start w:val="1"/>
      <w:numFmt w:val="decimal"/>
      <w:lvlText w:val="%1.%2.%3"/>
      <w:lvlJc w:val="left"/>
      <w:pPr>
        <w:ind w:left="720" w:hanging="720"/>
      </w:pPr>
      <w:rPr>
        <w:rFonts w:asciiTheme="majorHAnsi" w:hAnsiTheme="majorHAnsi" w:cstheme="majorBidi" w:hint="default"/>
        <w:b w:val="0"/>
      </w:rPr>
    </w:lvl>
    <w:lvl w:ilvl="3">
      <w:start w:val="1"/>
      <w:numFmt w:val="decimal"/>
      <w:lvlText w:val="%1.%2.%3.%4"/>
      <w:lvlJc w:val="left"/>
      <w:pPr>
        <w:ind w:left="720" w:hanging="720"/>
      </w:pPr>
      <w:rPr>
        <w:rFonts w:asciiTheme="majorHAnsi" w:hAnsiTheme="majorHAnsi" w:cstheme="majorBidi" w:hint="default"/>
        <w:b w:val="0"/>
      </w:rPr>
    </w:lvl>
    <w:lvl w:ilvl="4">
      <w:start w:val="1"/>
      <w:numFmt w:val="decimal"/>
      <w:lvlText w:val="%1.%2.%3.%4.%5"/>
      <w:lvlJc w:val="left"/>
      <w:pPr>
        <w:ind w:left="1080" w:hanging="1080"/>
      </w:pPr>
      <w:rPr>
        <w:rFonts w:asciiTheme="majorHAnsi" w:hAnsiTheme="majorHAnsi" w:cstheme="majorBidi" w:hint="default"/>
        <w:b w:val="0"/>
      </w:rPr>
    </w:lvl>
    <w:lvl w:ilvl="5">
      <w:start w:val="1"/>
      <w:numFmt w:val="decimal"/>
      <w:lvlText w:val="%1.%2.%3.%4.%5.%6"/>
      <w:lvlJc w:val="left"/>
      <w:pPr>
        <w:ind w:left="1080" w:hanging="1080"/>
      </w:pPr>
      <w:rPr>
        <w:rFonts w:asciiTheme="majorHAnsi" w:hAnsiTheme="majorHAnsi" w:cstheme="majorBidi" w:hint="default"/>
        <w:b w:val="0"/>
      </w:rPr>
    </w:lvl>
    <w:lvl w:ilvl="6">
      <w:start w:val="1"/>
      <w:numFmt w:val="decimal"/>
      <w:lvlText w:val="%1.%2.%3.%4.%5.%6.%7"/>
      <w:lvlJc w:val="left"/>
      <w:pPr>
        <w:ind w:left="1440" w:hanging="1440"/>
      </w:pPr>
      <w:rPr>
        <w:rFonts w:asciiTheme="majorHAnsi" w:hAnsiTheme="majorHAnsi" w:cstheme="majorBidi" w:hint="default"/>
        <w:b w:val="0"/>
      </w:rPr>
    </w:lvl>
    <w:lvl w:ilvl="7">
      <w:start w:val="1"/>
      <w:numFmt w:val="decimal"/>
      <w:lvlText w:val="%1.%2.%3.%4.%5.%6.%7.%8"/>
      <w:lvlJc w:val="left"/>
      <w:pPr>
        <w:ind w:left="1440" w:hanging="1440"/>
      </w:pPr>
      <w:rPr>
        <w:rFonts w:asciiTheme="majorHAnsi" w:hAnsiTheme="majorHAnsi" w:cstheme="majorBidi" w:hint="default"/>
        <w:b w:val="0"/>
      </w:rPr>
    </w:lvl>
    <w:lvl w:ilvl="8">
      <w:start w:val="1"/>
      <w:numFmt w:val="decimal"/>
      <w:lvlText w:val="%1.%2.%3.%4.%5.%6.%7.%8.%9"/>
      <w:lvlJc w:val="left"/>
      <w:pPr>
        <w:ind w:left="1800" w:hanging="1800"/>
      </w:pPr>
      <w:rPr>
        <w:rFonts w:asciiTheme="majorHAnsi" w:hAnsiTheme="majorHAnsi" w:cstheme="majorBidi" w:hint="default"/>
        <w:b w:val="0"/>
      </w:rPr>
    </w:lvl>
  </w:abstractNum>
  <w:abstractNum w:abstractNumId="6" w15:restartNumberingAfterBreak="0">
    <w:nsid w:val="0FF3114D"/>
    <w:multiLevelType w:val="hybridMultilevel"/>
    <w:tmpl w:val="D208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C4EDB"/>
    <w:multiLevelType w:val="hybridMultilevel"/>
    <w:tmpl w:val="0A70DE9C"/>
    <w:lvl w:ilvl="0" w:tplc="C1A20278">
      <w:start w:val="1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3568A"/>
    <w:multiLevelType w:val="hybridMultilevel"/>
    <w:tmpl w:val="71B22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CB0296"/>
    <w:multiLevelType w:val="hybridMultilevel"/>
    <w:tmpl w:val="FFFFFFFF"/>
    <w:lvl w:ilvl="0" w:tplc="D426586A">
      <w:start w:val="1"/>
      <w:numFmt w:val="bullet"/>
      <w:lvlText w:val=""/>
      <w:lvlJc w:val="left"/>
      <w:pPr>
        <w:ind w:left="720" w:hanging="360"/>
      </w:pPr>
      <w:rPr>
        <w:rFonts w:ascii="Symbol" w:hAnsi="Symbol" w:hint="default"/>
      </w:rPr>
    </w:lvl>
    <w:lvl w:ilvl="1" w:tplc="50CC0AD4">
      <w:start w:val="1"/>
      <w:numFmt w:val="bullet"/>
      <w:lvlText w:val="o"/>
      <w:lvlJc w:val="left"/>
      <w:pPr>
        <w:ind w:left="1440" w:hanging="360"/>
      </w:pPr>
      <w:rPr>
        <w:rFonts w:ascii="Courier New" w:hAnsi="Courier New" w:hint="default"/>
      </w:rPr>
    </w:lvl>
    <w:lvl w:ilvl="2" w:tplc="D28E2C58">
      <w:start w:val="1"/>
      <w:numFmt w:val="bullet"/>
      <w:lvlText w:val=""/>
      <w:lvlJc w:val="left"/>
      <w:pPr>
        <w:ind w:left="2160" w:hanging="360"/>
      </w:pPr>
      <w:rPr>
        <w:rFonts w:ascii="Wingdings" w:hAnsi="Wingdings" w:hint="default"/>
      </w:rPr>
    </w:lvl>
    <w:lvl w:ilvl="3" w:tplc="785CD208">
      <w:start w:val="1"/>
      <w:numFmt w:val="bullet"/>
      <w:lvlText w:val=""/>
      <w:lvlJc w:val="left"/>
      <w:pPr>
        <w:ind w:left="2880" w:hanging="360"/>
      </w:pPr>
      <w:rPr>
        <w:rFonts w:ascii="Symbol" w:hAnsi="Symbol" w:hint="default"/>
      </w:rPr>
    </w:lvl>
    <w:lvl w:ilvl="4" w:tplc="2888750E">
      <w:start w:val="1"/>
      <w:numFmt w:val="bullet"/>
      <w:lvlText w:val="o"/>
      <w:lvlJc w:val="left"/>
      <w:pPr>
        <w:ind w:left="3600" w:hanging="360"/>
      </w:pPr>
      <w:rPr>
        <w:rFonts w:ascii="Courier New" w:hAnsi="Courier New" w:hint="default"/>
      </w:rPr>
    </w:lvl>
    <w:lvl w:ilvl="5" w:tplc="0CDCAE68">
      <w:start w:val="1"/>
      <w:numFmt w:val="bullet"/>
      <w:lvlText w:val=""/>
      <w:lvlJc w:val="left"/>
      <w:pPr>
        <w:ind w:left="4320" w:hanging="360"/>
      </w:pPr>
      <w:rPr>
        <w:rFonts w:ascii="Wingdings" w:hAnsi="Wingdings" w:hint="default"/>
      </w:rPr>
    </w:lvl>
    <w:lvl w:ilvl="6" w:tplc="38B62454">
      <w:start w:val="1"/>
      <w:numFmt w:val="bullet"/>
      <w:lvlText w:val=""/>
      <w:lvlJc w:val="left"/>
      <w:pPr>
        <w:ind w:left="5040" w:hanging="360"/>
      </w:pPr>
      <w:rPr>
        <w:rFonts w:ascii="Symbol" w:hAnsi="Symbol" w:hint="default"/>
      </w:rPr>
    </w:lvl>
    <w:lvl w:ilvl="7" w:tplc="08F04CE4">
      <w:start w:val="1"/>
      <w:numFmt w:val="bullet"/>
      <w:lvlText w:val="o"/>
      <w:lvlJc w:val="left"/>
      <w:pPr>
        <w:ind w:left="5760" w:hanging="360"/>
      </w:pPr>
      <w:rPr>
        <w:rFonts w:ascii="Courier New" w:hAnsi="Courier New" w:hint="default"/>
      </w:rPr>
    </w:lvl>
    <w:lvl w:ilvl="8" w:tplc="49A83CC2">
      <w:start w:val="1"/>
      <w:numFmt w:val="bullet"/>
      <w:lvlText w:val=""/>
      <w:lvlJc w:val="left"/>
      <w:pPr>
        <w:ind w:left="6480" w:hanging="360"/>
      </w:pPr>
      <w:rPr>
        <w:rFonts w:ascii="Wingdings" w:hAnsi="Wingdings" w:hint="default"/>
      </w:rPr>
    </w:lvl>
  </w:abstractNum>
  <w:abstractNum w:abstractNumId="10" w15:restartNumberingAfterBreak="0">
    <w:nsid w:val="19DA73EC"/>
    <w:multiLevelType w:val="hybridMultilevel"/>
    <w:tmpl w:val="E94A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A6FA0"/>
    <w:multiLevelType w:val="multilevel"/>
    <w:tmpl w:val="1A2EAC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D2E2CE8"/>
    <w:multiLevelType w:val="hybridMultilevel"/>
    <w:tmpl w:val="20A4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2A6D72"/>
    <w:multiLevelType w:val="hybridMultilevel"/>
    <w:tmpl w:val="DB0CEA44"/>
    <w:lvl w:ilvl="0" w:tplc="CE0C47EC">
      <w:start w:val="1"/>
      <w:numFmt w:val="bullet"/>
      <w:lvlText w:val=""/>
      <w:lvlJc w:val="left"/>
      <w:pPr>
        <w:tabs>
          <w:tab w:val="num" w:pos="720"/>
        </w:tabs>
        <w:ind w:left="720" w:hanging="360"/>
      </w:pPr>
      <w:rPr>
        <w:rFonts w:ascii="Symbol" w:hAnsi="Symbol" w:hint="default"/>
        <w:sz w:val="20"/>
      </w:rPr>
    </w:lvl>
    <w:lvl w:ilvl="1" w:tplc="9C92324A">
      <w:start w:val="1"/>
      <w:numFmt w:val="bullet"/>
      <w:lvlText w:val=""/>
      <w:lvlJc w:val="left"/>
      <w:pPr>
        <w:tabs>
          <w:tab w:val="num" w:pos="1440"/>
        </w:tabs>
        <w:ind w:left="1440" w:hanging="360"/>
      </w:pPr>
      <w:rPr>
        <w:rFonts w:ascii="Symbol" w:hAnsi="Symbol" w:hint="default"/>
        <w:sz w:val="20"/>
      </w:rPr>
    </w:lvl>
    <w:lvl w:ilvl="2" w:tplc="BDC0F44A" w:tentative="1">
      <w:start w:val="1"/>
      <w:numFmt w:val="bullet"/>
      <w:lvlText w:val=""/>
      <w:lvlJc w:val="left"/>
      <w:pPr>
        <w:tabs>
          <w:tab w:val="num" w:pos="2160"/>
        </w:tabs>
        <w:ind w:left="2160" w:hanging="360"/>
      </w:pPr>
      <w:rPr>
        <w:rFonts w:ascii="Symbol" w:hAnsi="Symbol" w:hint="default"/>
        <w:sz w:val="20"/>
      </w:rPr>
    </w:lvl>
    <w:lvl w:ilvl="3" w:tplc="48126F42" w:tentative="1">
      <w:start w:val="1"/>
      <w:numFmt w:val="bullet"/>
      <w:lvlText w:val=""/>
      <w:lvlJc w:val="left"/>
      <w:pPr>
        <w:tabs>
          <w:tab w:val="num" w:pos="2880"/>
        </w:tabs>
        <w:ind w:left="2880" w:hanging="360"/>
      </w:pPr>
      <w:rPr>
        <w:rFonts w:ascii="Symbol" w:hAnsi="Symbol" w:hint="default"/>
        <w:sz w:val="20"/>
      </w:rPr>
    </w:lvl>
    <w:lvl w:ilvl="4" w:tplc="B532E55C" w:tentative="1">
      <w:start w:val="1"/>
      <w:numFmt w:val="bullet"/>
      <w:lvlText w:val=""/>
      <w:lvlJc w:val="left"/>
      <w:pPr>
        <w:tabs>
          <w:tab w:val="num" w:pos="3600"/>
        </w:tabs>
        <w:ind w:left="3600" w:hanging="360"/>
      </w:pPr>
      <w:rPr>
        <w:rFonts w:ascii="Symbol" w:hAnsi="Symbol" w:hint="default"/>
        <w:sz w:val="20"/>
      </w:rPr>
    </w:lvl>
    <w:lvl w:ilvl="5" w:tplc="8156404E" w:tentative="1">
      <w:start w:val="1"/>
      <w:numFmt w:val="bullet"/>
      <w:lvlText w:val=""/>
      <w:lvlJc w:val="left"/>
      <w:pPr>
        <w:tabs>
          <w:tab w:val="num" w:pos="4320"/>
        </w:tabs>
        <w:ind w:left="4320" w:hanging="360"/>
      </w:pPr>
      <w:rPr>
        <w:rFonts w:ascii="Symbol" w:hAnsi="Symbol" w:hint="default"/>
        <w:sz w:val="20"/>
      </w:rPr>
    </w:lvl>
    <w:lvl w:ilvl="6" w:tplc="56A6A378" w:tentative="1">
      <w:start w:val="1"/>
      <w:numFmt w:val="bullet"/>
      <w:lvlText w:val=""/>
      <w:lvlJc w:val="left"/>
      <w:pPr>
        <w:tabs>
          <w:tab w:val="num" w:pos="5040"/>
        </w:tabs>
        <w:ind w:left="5040" w:hanging="360"/>
      </w:pPr>
      <w:rPr>
        <w:rFonts w:ascii="Symbol" w:hAnsi="Symbol" w:hint="default"/>
        <w:sz w:val="20"/>
      </w:rPr>
    </w:lvl>
    <w:lvl w:ilvl="7" w:tplc="A94C6546" w:tentative="1">
      <w:start w:val="1"/>
      <w:numFmt w:val="bullet"/>
      <w:lvlText w:val=""/>
      <w:lvlJc w:val="left"/>
      <w:pPr>
        <w:tabs>
          <w:tab w:val="num" w:pos="5760"/>
        </w:tabs>
        <w:ind w:left="5760" w:hanging="360"/>
      </w:pPr>
      <w:rPr>
        <w:rFonts w:ascii="Symbol" w:hAnsi="Symbol" w:hint="default"/>
        <w:sz w:val="20"/>
      </w:rPr>
    </w:lvl>
    <w:lvl w:ilvl="8" w:tplc="AB84753C"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876ABC"/>
    <w:multiLevelType w:val="hybridMultilevel"/>
    <w:tmpl w:val="5A5ABA0E"/>
    <w:lvl w:ilvl="0" w:tplc="31A0402C">
      <w:start w:val="1"/>
      <w:numFmt w:val="decimal"/>
      <w:lvlText w:val="%1."/>
      <w:lvlJc w:val="left"/>
      <w:pPr>
        <w:ind w:left="720" w:hanging="360"/>
      </w:pPr>
      <w:rPr>
        <w:rFonts w:hint="default"/>
        <w:b w:val="0"/>
        <w:bCs/>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42BCA99C">
      <w:numFmt w:val="bullet"/>
      <w:lvlText w:val="-"/>
      <w:lvlJc w:val="left"/>
      <w:pPr>
        <w:ind w:left="2880" w:hanging="360"/>
      </w:pPr>
      <w:rPr>
        <w:rFonts w:ascii="Arial" w:eastAsiaTheme="minorHAns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AA0067"/>
    <w:multiLevelType w:val="multilevel"/>
    <w:tmpl w:val="7CDEBBC8"/>
    <w:lvl w:ilvl="0">
      <w:start w:val="2"/>
      <w:numFmt w:val="decimal"/>
      <w:lvlText w:val="%1."/>
      <w:lvlJc w:val="left"/>
      <w:pPr>
        <w:ind w:left="360" w:hanging="360"/>
      </w:pPr>
      <w:rPr>
        <w:rFonts w:hint="default"/>
      </w:rPr>
    </w:lvl>
    <w:lvl w:ilvl="1">
      <w:start w:val="9"/>
      <w:numFmt w:val="none"/>
      <w:lvlText w:val="16.5"/>
      <w:lvlJc w:val="left"/>
      <w:pPr>
        <w:ind w:left="716"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33A209B"/>
    <w:multiLevelType w:val="hybridMultilevel"/>
    <w:tmpl w:val="3DFE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F4A68"/>
    <w:multiLevelType w:val="hybridMultilevel"/>
    <w:tmpl w:val="7F402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975DA1"/>
    <w:multiLevelType w:val="hybridMultilevel"/>
    <w:tmpl w:val="57641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D8107B"/>
    <w:multiLevelType w:val="hybridMultilevel"/>
    <w:tmpl w:val="FFFFFFFF"/>
    <w:lvl w:ilvl="0" w:tplc="CAB650B6">
      <w:start w:val="1"/>
      <w:numFmt w:val="bullet"/>
      <w:lvlText w:val=""/>
      <w:lvlJc w:val="left"/>
      <w:pPr>
        <w:ind w:left="720" w:hanging="360"/>
      </w:pPr>
      <w:rPr>
        <w:rFonts w:ascii="Symbol" w:hAnsi="Symbol" w:hint="default"/>
      </w:rPr>
    </w:lvl>
    <w:lvl w:ilvl="1" w:tplc="D5300C6E">
      <w:start w:val="1"/>
      <w:numFmt w:val="bullet"/>
      <w:lvlText w:val="o"/>
      <w:lvlJc w:val="left"/>
      <w:pPr>
        <w:ind w:left="1440" w:hanging="360"/>
      </w:pPr>
      <w:rPr>
        <w:rFonts w:ascii="Courier New" w:hAnsi="Courier New" w:hint="default"/>
      </w:rPr>
    </w:lvl>
    <w:lvl w:ilvl="2" w:tplc="4A9EEA08">
      <w:start w:val="1"/>
      <w:numFmt w:val="bullet"/>
      <w:lvlText w:val=""/>
      <w:lvlJc w:val="left"/>
      <w:pPr>
        <w:ind w:left="2160" w:hanging="360"/>
      </w:pPr>
      <w:rPr>
        <w:rFonts w:ascii="Wingdings" w:hAnsi="Wingdings" w:hint="default"/>
      </w:rPr>
    </w:lvl>
    <w:lvl w:ilvl="3" w:tplc="F9060758">
      <w:start w:val="1"/>
      <w:numFmt w:val="bullet"/>
      <w:lvlText w:val=""/>
      <w:lvlJc w:val="left"/>
      <w:pPr>
        <w:ind w:left="2880" w:hanging="360"/>
      </w:pPr>
      <w:rPr>
        <w:rFonts w:ascii="Symbol" w:hAnsi="Symbol" w:hint="default"/>
      </w:rPr>
    </w:lvl>
    <w:lvl w:ilvl="4" w:tplc="2F8C67BE">
      <w:start w:val="1"/>
      <w:numFmt w:val="bullet"/>
      <w:lvlText w:val="o"/>
      <w:lvlJc w:val="left"/>
      <w:pPr>
        <w:ind w:left="3600" w:hanging="360"/>
      </w:pPr>
      <w:rPr>
        <w:rFonts w:ascii="Courier New" w:hAnsi="Courier New" w:hint="default"/>
      </w:rPr>
    </w:lvl>
    <w:lvl w:ilvl="5" w:tplc="68A264A6">
      <w:start w:val="1"/>
      <w:numFmt w:val="bullet"/>
      <w:lvlText w:val=""/>
      <w:lvlJc w:val="left"/>
      <w:pPr>
        <w:ind w:left="4320" w:hanging="360"/>
      </w:pPr>
      <w:rPr>
        <w:rFonts w:ascii="Wingdings" w:hAnsi="Wingdings" w:hint="default"/>
      </w:rPr>
    </w:lvl>
    <w:lvl w:ilvl="6" w:tplc="C08A25AA">
      <w:start w:val="1"/>
      <w:numFmt w:val="bullet"/>
      <w:lvlText w:val=""/>
      <w:lvlJc w:val="left"/>
      <w:pPr>
        <w:ind w:left="5040" w:hanging="360"/>
      </w:pPr>
      <w:rPr>
        <w:rFonts w:ascii="Symbol" w:hAnsi="Symbol" w:hint="default"/>
      </w:rPr>
    </w:lvl>
    <w:lvl w:ilvl="7" w:tplc="7576C76A">
      <w:start w:val="1"/>
      <w:numFmt w:val="bullet"/>
      <w:lvlText w:val="o"/>
      <w:lvlJc w:val="left"/>
      <w:pPr>
        <w:ind w:left="5760" w:hanging="360"/>
      </w:pPr>
      <w:rPr>
        <w:rFonts w:ascii="Courier New" w:hAnsi="Courier New" w:hint="default"/>
      </w:rPr>
    </w:lvl>
    <w:lvl w:ilvl="8" w:tplc="A628B496">
      <w:start w:val="1"/>
      <w:numFmt w:val="bullet"/>
      <w:lvlText w:val=""/>
      <w:lvlJc w:val="left"/>
      <w:pPr>
        <w:ind w:left="6480" w:hanging="360"/>
      </w:pPr>
      <w:rPr>
        <w:rFonts w:ascii="Wingdings" w:hAnsi="Wingdings" w:hint="default"/>
      </w:rPr>
    </w:lvl>
  </w:abstractNum>
  <w:abstractNum w:abstractNumId="20" w15:restartNumberingAfterBreak="0">
    <w:nsid w:val="29BA00D2"/>
    <w:multiLevelType w:val="hybridMultilevel"/>
    <w:tmpl w:val="6E08C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A4970DE"/>
    <w:multiLevelType w:val="hybridMultilevel"/>
    <w:tmpl w:val="FFFFFFFF"/>
    <w:lvl w:ilvl="0" w:tplc="66042E88">
      <w:start w:val="1"/>
      <w:numFmt w:val="bullet"/>
      <w:lvlText w:val=""/>
      <w:lvlJc w:val="left"/>
      <w:pPr>
        <w:ind w:left="720" w:hanging="360"/>
      </w:pPr>
      <w:rPr>
        <w:rFonts w:ascii="Symbol" w:hAnsi="Symbol" w:hint="default"/>
      </w:rPr>
    </w:lvl>
    <w:lvl w:ilvl="1" w:tplc="88908640">
      <w:start w:val="1"/>
      <w:numFmt w:val="bullet"/>
      <w:lvlText w:val="o"/>
      <w:lvlJc w:val="left"/>
      <w:pPr>
        <w:ind w:left="1440" w:hanging="360"/>
      </w:pPr>
      <w:rPr>
        <w:rFonts w:ascii="Courier New" w:hAnsi="Courier New" w:hint="default"/>
      </w:rPr>
    </w:lvl>
    <w:lvl w:ilvl="2" w:tplc="DF542C4A">
      <w:start w:val="1"/>
      <w:numFmt w:val="bullet"/>
      <w:lvlText w:val=""/>
      <w:lvlJc w:val="left"/>
      <w:pPr>
        <w:ind w:left="2160" w:hanging="360"/>
      </w:pPr>
      <w:rPr>
        <w:rFonts w:ascii="Wingdings" w:hAnsi="Wingdings" w:hint="default"/>
      </w:rPr>
    </w:lvl>
    <w:lvl w:ilvl="3" w:tplc="9CAE5334">
      <w:start w:val="1"/>
      <w:numFmt w:val="bullet"/>
      <w:lvlText w:val=""/>
      <w:lvlJc w:val="left"/>
      <w:pPr>
        <w:ind w:left="2880" w:hanging="360"/>
      </w:pPr>
      <w:rPr>
        <w:rFonts w:ascii="Symbol" w:hAnsi="Symbol" w:hint="default"/>
      </w:rPr>
    </w:lvl>
    <w:lvl w:ilvl="4" w:tplc="5AD88668">
      <w:start w:val="1"/>
      <w:numFmt w:val="bullet"/>
      <w:lvlText w:val="o"/>
      <w:lvlJc w:val="left"/>
      <w:pPr>
        <w:ind w:left="3600" w:hanging="360"/>
      </w:pPr>
      <w:rPr>
        <w:rFonts w:ascii="Courier New" w:hAnsi="Courier New" w:hint="default"/>
      </w:rPr>
    </w:lvl>
    <w:lvl w:ilvl="5" w:tplc="D3E2365E">
      <w:start w:val="1"/>
      <w:numFmt w:val="bullet"/>
      <w:lvlText w:val=""/>
      <w:lvlJc w:val="left"/>
      <w:pPr>
        <w:ind w:left="4320" w:hanging="360"/>
      </w:pPr>
      <w:rPr>
        <w:rFonts w:ascii="Wingdings" w:hAnsi="Wingdings" w:hint="default"/>
      </w:rPr>
    </w:lvl>
    <w:lvl w:ilvl="6" w:tplc="1A48C5F6">
      <w:start w:val="1"/>
      <w:numFmt w:val="bullet"/>
      <w:lvlText w:val=""/>
      <w:lvlJc w:val="left"/>
      <w:pPr>
        <w:ind w:left="5040" w:hanging="360"/>
      </w:pPr>
      <w:rPr>
        <w:rFonts w:ascii="Symbol" w:hAnsi="Symbol" w:hint="default"/>
      </w:rPr>
    </w:lvl>
    <w:lvl w:ilvl="7" w:tplc="0904475A">
      <w:start w:val="1"/>
      <w:numFmt w:val="bullet"/>
      <w:lvlText w:val="o"/>
      <w:lvlJc w:val="left"/>
      <w:pPr>
        <w:ind w:left="5760" w:hanging="360"/>
      </w:pPr>
      <w:rPr>
        <w:rFonts w:ascii="Courier New" w:hAnsi="Courier New" w:hint="default"/>
      </w:rPr>
    </w:lvl>
    <w:lvl w:ilvl="8" w:tplc="B074F5B0">
      <w:start w:val="1"/>
      <w:numFmt w:val="bullet"/>
      <w:lvlText w:val=""/>
      <w:lvlJc w:val="left"/>
      <w:pPr>
        <w:ind w:left="6480" w:hanging="360"/>
      </w:pPr>
      <w:rPr>
        <w:rFonts w:ascii="Wingdings" w:hAnsi="Wingdings" w:hint="default"/>
      </w:rPr>
    </w:lvl>
  </w:abstractNum>
  <w:abstractNum w:abstractNumId="22" w15:restartNumberingAfterBreak="0">
    <w:nsid w:val="2CB712FC"/>
    <w:multiLevelType w:val="hybridMultilevel"/>
    <w:tmpl w:val="0E6C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BA7240"/>
    <w:multiLevelType w:val="hybridMultilevel"/>
    <w:tmpl w:val="92DA62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E0955BE"/>
    <w:multiLevelType w:val="hybridMultilevel"/>
    <w:tmpl w:val="B18256C8"/>
    <w:lvl w:ilvl="0" w:tplc="C2826FAC">
      <w:start w:val="1"/>
      <w:numFmt w:val="decimal"/>
      <w:lvlText w:val="%1."/>
      <w:lvlJc w:val="left"/>
      <w:pPr>
        <w:ind w:left="720" w:hanging="360"/>
      </w:pPr>
      <w:rPr>
        <w:rFonts w:cs="Segoe UI" w:hint="default"/>
        <w:color w:val="2121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9569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2B63A58"/>
    <w:multiLevelType w:val="hybridMultilevel"/>
    <w:tmpl w:val="0562E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3D53CF6"/>
    <w:multiLevelType w:val="hybridMultilevel"/>
    <w:tmpl w:val="B1CE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210A9B"/>
    <w:multiLevelType w:val="hybridMultilevel"/>
    <w:tmpl w:val="5A5ABA0E"/>
    <w:lvl w:ilvl="0" w:tplc="31A0402C">
      <w:start w:val="1"/>
      <w:numFmt w:val="decimal"/>
      <w:lvlText w:val="%1."/>
      <w:lvlJc w:val="left"/>
      <w:pPr>
        <w:ind w:left="720" w:hanging="360"/>
      </w:pPr>
      <w:rPr>
        <w:rFonts w:hint="default"/>
        <w:b w:val="0"/>
        <w:bCs/>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42BCA99C">
      <w:numFmt w:val="bullet"/>
      <w:lvlText w:val="-"/>
      <w:lvlJc w:val="left"/>
      <w:pPr>
        <w:ind w:left="2880" w:hanging="360"/>
      </w:pPr>
      <w:rPr>
        <w:rFonts w:ascii="Arial" w:eastAsiaTheme="minorHAns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AC5F7F"/>
    <w:multiLevelType w:val="hybridMultilevel"/>
    <w:tmpl w:val="CDFA7A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7D0954"/>
    <w:multiLevelType w:val="hybridMultilevel"/>
    <w:tmpl w:val="FFFFFFFF"/>
    <w:lvl w:ilvl="0" w:tplc="06507604">
      <w:start w:val="1"/>
      <w:numFmt w:val="bullet"/>
      <w:lvlText w:val=""/>
      <w:lvlJc w:val="left"/>
      <w:pPr>
        <w:ind w:left="720" w:hanging="360"/>
      </w:pPr>
      <w:rPr>
        <w:rFonts w:ascii="Symbol" w:hAnsi="Symbol" w:hint="default"/>
      </w:rPr>
    </w:lvl>
    <w:lvl w:ilvl="1" w:tplc="DE54D8F6">
      <w:start w:val="1"/>
      <w:numFmt w:val="bullet"/>
      <w:lvlText w:val="o"/>
      <w:lvlJc w:val="left"/>
      <w:pPr>
        <w:ind w:left="1440" w:hanging="360"/>
      </w:pPr>
      <w:rPr>
        <w:rFonts w:ascii="Courier New" w:hAnsi="Courier New" w:hint="default"/>
      </w:rPr>
    </w:lvl>
    <w:lvl w:ilvl="2" w:tplc="E2AA15A0">
      <w:start w:val="1"/>
      <w:numFmt w:val="bullet"/>
      <w:lvlText w:val=""/>
      <w:lvlJc w:val="left"/>
      <w:pPr>
        <w:ind w:left="2160" w:hanging="360"/>
      </w:pPr>
      <w:rPr>
        <w:rFonts w:ascii="Wingdings" w:hAnsi="Wingdings" w:hint="default"/>
      </w:rPr>
    </w:lvl>
    <w:lvl w:ilvl="3" w:tplc="23B2C45E">
      <w:start w:val="1"/>
      <w:numFmt w:val="bullet"/>
      <w:lvlText w:val=""/>
      <w:lvlJc w:val="left"/>
      <w:pPr>
        <w:ind w:left="2880" w:hanging="360"/>
      </w:pPr>
      <w:rPr>
        <w:rFonts w:ascii="Symbol" w:hAnsi="Symbol" w:hint="default"/>
      </w:rPr>
    </w:lvl>
    <w:lvl w:ilvl="4" w:tplc="D0A285F0">
      <w:start w:val="1"/>
      <w:numFmt w:val="bullet"/>
      <w:lvlText w:val="o"/>
      <w:lvlJc w:val="left"/>
      <w:pPr>
        <w:ind w:left="3600" w:hanging="360"/>
      </w:pPr>
      <w:rPr>
        <w:rFonts w:ascii="Courier New" w:hAnsi="Courier New" w:hint="default"/>
      </w:rPr>
    </w:lvl>
    <w:lvl w:ilvl="5" w:tplc="C1709F42">
      <w:start w:val="1"/>
      <w:numFmt w:val="bullet"/>
      <w:lvlText w:val=""/>
      <w:lvlJc w:val="left"/>
      <w:pPr>
        <w:ind w:left="4320" w:hanging="360"/>
      </w:pPr>
      <w:rPr>
        <w:rFonts w:ascii="Wingdings" w:hAnsi="Wingdings" w:hint="default"/>
      </w:rPr>
    </w:lvl>
    <w:lvl w:ilvl="6" w:tplc="3B1AB68A">
      <w:start w:val="1"/>
      <w:numFmt w:val="bullet"/>
      <w:lvlText w:val=""/>
      <w:lvlJc w:val="left"/>
      <w:pPr>
        <w:ind w:left="5040" w:hanging="360"/>
      </w:pPr>
      <w:rPr>
        <w:rFonts w:ascii="Symbol" w:hAnsi="Symbol" w:hint="default"/>
      </w:rPr>
    </w:lvl>
    <w:lvl w:ilvl="7" w:tplc="76CE2F3A">
      <w:start w:val="1"/>
      <w:numFmt w:val="bullet"/>
      <w:lvlText w:val="o"/>
      <w:lvlJc w:val="left"/>
      <w:pPr>
        <w:ind w:left="5760" w:hanging="360"/>
      </w:pPr>
      <w:rPr>
        <w:rFonts w:ascii="Courier New" w:hAnsi="Courier New" w:hint="default"/>
      </w:rPr>
    </w:lvl>
    <w:lvl w:ilvl="8" w:tplc="2E6079C0">
      <w:start w:val="1"/>
      <w:numFmt w:val="bullet"/>
      <w:lvlText w:val=""/>
      <w:lvlJc w:val="left"/>
      <w:pPr>
        <w:ind w:left="6480" w:hanging="360"/>
      </w:pPr>
      <w:rPr>
        <w:rFonts w:ascii="Wingdings" w:hAnsi="Wingdings" w:hint="default"/>
      </w:rPr>
    </w:lvl>
  </w:abstractNum>
  <w:abstractNum w:abstractNumId="31" w15:restartNumberingAfterBreak="0">
    <w:nsid w:val="3B840324"/>
    <w:multiLevelType w:val="hybridMultilevel"/>
    <w:tmpl w:val="5C827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B851361"/>
    <w:multiLevelType w:val="hybridMultilevel"/>
    <w:tmpl w:val="6C84A724"/>
    <w:lvl w:ilvl="0" w:tplc="864455E6">
      <w:start w:val="1"/>
      <w:numFmt w:val="upperLetter"/>
      <w:lvlText w:val="%1."/>
      <w:lvlJc w:val="left"/>
      <w:pPr>
        <w:ind w:left="720" w:hanging="360"/>
      </w:pPr>
    </w:lvl>
    <w:lvl w:ilvl="1" w:tplc="E97A7606">
      <w:start w:val="1"/>
      <w:numFmt w:val="lowerLetter"/>
      <w:lvlText w:val="%2."/>
      <w:lvlJc w:val="left"/>
      <w:pPr>
        <w:ind w:left="1440" w:hanging="360"/>
      </w:pPr>
    </w:lvl>
    <w:lvl w:ilvl="2" w:tplc="551ED8D4">
      <w:start w:val="1"/>
      <w:numFmt w:val="lowerRoman"/>
      <w:lvlText w:val="%3."/>
      <w:lvlJc w:val="right"/>
      <w:pPr>
        <w:ind w:left="2160" w:hanging="180"/>
      </w:pPr>
    </w:lvl>
    <w:lvl w:ilvl="3" w:tplc="F670EC38">
      <w:start w:val="1"/>
      <w:numFmt w:val="decimal"/>
      <w:lvlText w:val="%4."/>
      <w:lvlJc w:val="left"/>
      <w:pPr>
        <w:ind w:left="2880" w:hanging="360"/>
      </w:pPr>
    </w:lvl>
    <w:lvl w:ilvl="4" w:tplc="D396B77C">
      <w:start w:val="1"/>
      <w:numFmt w:val="lowerLetter"/>
      <w:lvlText w:val="%5."/>
      <w:lvlJc w:val="left"/>
      <w:pPr>
        <w:ind w:left="3600" w:hanging="360"/>
      </w:pPr>
    </w:lvl>
    <w:lvl w:ilvl="5" w:tplc="9006BF78">
      <w:start w:val="1"/>
      <w:numFmt w:val="lowerRoman"/>
      <w:lvlText w:val="%6."/>
      <w:lvlJc w:val="right"/>
      <w:pPr>
        <w:ind w:left="4320" w:hanging="180"/>
      </w:pPr>
    </w:lvl>
    <w:lvl w:ilvl="6" w:tplc="FC9EEC4E">
      <w:start w:val="1"/>
      <w:numFmt w:val="decimal"/>
      <w:lvlText w:val="%7."/>
      <w:lvlJc w:val="left"/>
      <w:pPr>
        <w:ind w:left="5040" w:hanging="360"/>
      </w:pPr>
    </w:lvl>
    <w:lvl w:ilvl="7" w:tplc="EE6C5846">
      <w:start w:val="1"/>
      <w:numFmt w:val="lowerLetter"/>
      <w:lvlText w:val="%8."/>
      <w:lvlJc w:val="left"/>
      <w:pPr>
        <w:ind w:left="5760" w:hanging="360"/>
      </w:pPr>
    </w:lvl>
    <w:lvl w:ilvl="8" w:tplc="E6C25634">
      <w:start w:val="1"/>
      <w:numFmt w:val="lowerRoman"/>
      <w:lvlText w:val="%9."/>
      <w:lvlJc w:val="right"/>
      <w:pPr>
        <w:ind w:left="6480" w:hanging="180"/>
      </w:pPr>
    </w:lvl>
  </w:abstractNum>
  <w:abstractNum w:abstractNumId="33" w15:restartNumberingAfterBreak="0">
    <w:nsid w:val="3C6C4119"/>
    <w:multiLevelType w:val="multilevel"/>
    <w:tmpl w:val="4F6079A0"/>
    <w:lvl w:ilvl="0">
      <w:start w:val="6"/>
      <w:numFmt w:val="decimal"/>
      <w:lvlText w:val="%1."/>
      <w:lvlJc w:val="left"/>
      <w:pPr>
        <w:ind w:left="360" w:hanging="360"/>
      </w:pPr>
      <w:rPr>
        <w:rFonts w:hint="default"/>
      </w:rPr>
    </w:lvl>
    <w:lvl w:ilvl="1">
      <w:start w:val="3"/>
      <w:numFmt w:val="decimal"/>
      <w:lvlText w:val="%1.%2."/>
      <w:lvlJc w:val="left"/>
      <w:pPr>
        <w:ind w:left="715"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E661F4A"/>
    <w:multiLevelType w:val="multilevel"/>
    <w:tmpl w:val="AC421362"/>
    <w:lvl w:ilvl="0">
      <w:start w:val="20"/>
      <w:numFmt w:val="decimal"/>
      <w:lvlText w:val="%1."/>
      <w:lvlJc w:val="left"/>
      <w:pPr>
        <w:ind w:left="360" w:hanging="360"/>
      </w:pPr>
      <w:rPr>
        <w:rFonts w:hint="default"/>
      </w:rPr>
    </w:lvl>
    <w:lvl w:ilvl="1">
      <w:start w:val="1"/>
      <w:numFmt w:val="decimal"/>
      <w:lvlText w:val="%1.%2."/>
      <w:lvlJc w:val="left"/>
      <w:pPr>
        <w:ind w:left="715"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ECB45C4"/>
    <w:multiLevelType w:val="multilevel"/>
    <w:tmpl w:val="F6EAF95E"/>
    <w:lvl w:ilvl="0">
      <w:start w:val="16"/>
      <w:numFmt w:val="decimal"/>
      <w:lvlText w:val="%1"/>
      <w:lvlJc w:val="left"/>
      <w:pPr>
        <w:ind w:left="1320" w:hanging="600"/>
      </w:pPr>
      <w:rPr>
        <w:rFonts w:hint="default"/>
      </w:rPr>
    </w:lvl>
    <w:lvl w:ilvl="1">
      <w:start w:val="10"/>
      <w:numFmt w:val="decimal"/>
      <w:lvlText w:val="%1.%2"/>
      <w:lvlJc w:val="left"/>
      <w:pPr>
        <w:ind w:left="2029" w:hanging="600"/>
      </w:pPr>
      <w:rPr>
        <w:rFont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36" w15:restartNumberingAfterBreak="0">
    <w:nsid w:val="45C839AD"/>
    <w:multiLevelType w:val="multilevel"/>
    <w:tmpl w:val="5C96503C"/>
    <w:lvl w:ilvl="0">
      <w:start w:val="6"/>
      <w:numFmt w:val="decimal"/>
      <w:lvlText w:val="%1."/>
      <w:lvlJc w:val="left"/>
      <w:pPr>
        <w:ind w:left="360" w:hanging="360"/>
      </w:pPr>
      <w:rPr>
        <w:rFonts w:hint="default"/>
      </w:rPr>
    </w:lvl>
    <w:lvl w:ilvl="1">
      <w:start w:val="2"/>
      <w:numFmt w:val="decimal"/>
      <w:lvlText w:val="%1.%2."/>
      <w:lvlJc w:val="left"/>
      <w:pPr>
        <w:ind w:left="715"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E51CF"/>
    <w:multiLevelType w:val="hybridMultilevel"/>
    <w:tmpl w:val="378412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92B39F7"/>
    <w:multiLevelType w:val="multilevel"/>
    <w:tmpl w:val="F38C005C"/>
    <w:lvl w:ilvl="0">
      <w:start w:val="16"/>
      <w:numFmt w:val="decimal"/>
      <w:lvlText w:val="%1"/>
      <w:lvlJc w:val="left"/>
      <w:pPr>
        <w:ind w:left="460" w:hanging="460"/>
      </w:pPr>
      <w:rPr>
        <w:rFonts w:hint="default"/>
      </w:rPr>
    </w:lvl>
    <w:lvl w:ilvl="1">
      <w:start w:val="8"/>
      <w:numFmt w:val="decimal"/>
      <w:lvlText w:val="%1.%2"/>
      <w:lvlJc w:val="left"/>
      <w:pPr>
        <w:ind w:left="460" w:hanging="460"/>
      </w:pPr>
      <w:rPr>
        <w:rFonts w:asciiTheme="minorHAnsi" w:hAnsiTheme="minorHAnsi" w:cstheme="minorHAnsi" w:hint="default"/>
        <w:b w:val="0"/>
        <w:bCs w:val="0"/>
        <w:sz w:val="22"/>
        <w:szCs w:val="22"/>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4AAA2B34"/>
    <w:multiLevelType w:val="hybridMultilevel"/>
    <w:tmpl w:val="1696B9DE"/>
    <w:lvl w:ilvl="0" w:tplc="2B56C8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1F2BDA"/>
    <w:multiLevelType w:val="hybridMultilevel"/>
    <w:tmpl w:val="FFFFFFFF"/>
    <w:lvl w:ilvl="0" w:tplc="2322578E">
      <w:start w:val="1"/>
      <w:numFmt w:val="bullet"/>
      <w:lvlText w:val=""/>
      <w:lvlJc w:val="left"/>
      <w:pPr>
        <w:ind w:left="720" w:hanging="360"/>
      </w:pPr>
      <w:rPr>
        <w:rFonts w:ascii="Symbol" w:hAnsi="Symbol" w:hint="default"/>
      </w:rPr>
    </w:lvl>
    <w:lvl w:ilvl="1" w:tplc="3EE64840">
      <w:start w:val="1"/>
      <w:numFmt w:val="bullet"/>
      <w:lvlText w:val="o"/>
      <w:lvlJc w:val="left"/>
      <w:pPr>
        <w:ind w:left="1440" w:hanging="360"/>
      </w:pPr>
      <w:rPr>
        <w:rFonts w:ascii="Courier New" w:hAnsi="Courier New" w:hint="default"/>
      </w:rPr>
    </w:lvl>
    <w:lvl w:ilvl="2" w:tplc="3CCE3018">
      <w:start w:val="1"/>
      <w:numFmt w:val="bullet"/>
      <w:lvlText w:val=""/>
      <w:lvlJc w:val="left"/>
      <w:pPr>
        <w:ind w:left="2160" w:hanging="360"/>
      </w:pPr>
      <w:rPr>
        <w:rFonts w:ascii="Wingdings" w:hAnsi="Wingdings" w:hint="default"/>
      </w:rPr>
    </w:lvl>
    <w:lvl w:ilvl="3" w:tplc="524EF4B4">
      <w:start w:val="1"/>
      <w:numFmt w:val="bullet"/>
      <w:lvlText w:val=""/>
      <w:lvlJc w:val="left"/>
      <w:pPr>
        <w:ind w:left="2880" w:hanging="360"/>
      </w:pPr>
      <w:rPr>
        <w:rFonts w:ascii="Symbol" w:hAnsi="Symbol" w:hint="default"/>
      </w:rPr>
    </w:lvl>
    <w:lvl w:ilvl="4" w:tplc="4BECF206">
      <w:start w:val="1"/>
      <w:numFmt w:val="bullet"/>
      <w:lvlText w:val="o"/>
      <w:lvlJc w:val="left"/>
      <w:pPr>
        <w:ind w:left="3600" w:hanging="360"/>
      </w:pPr>
      <w:rPr>
        <w:rFonts w:ascii="Courier New" w:hAnsi="Courier New" w:hint="default"/>
      </w:rPr>
    </w:lvl>
    <w:lvl w:ilvl="5" w:tplc="7E9A4844">
      <w:start w:val="1"/>
      <w:numFmt w:val="bullet"/>
      <w:lvlText w:val=""/>
      <w:lvlJc w:val="left"/>
      <w:pPr>
        <w:ind w:left="4320" w:hanging="360"/>
      </w:pPr>
      <w:rPr>
        <w:rFonts w:ascii="Wingdings" w:hAnsi="Wingdings" w:hint="default"/>
      </w:rPr>
    </w:lvl>
    <w:lvl w:ilvl="6" w:tplc="D55E0E28">
      <w:start w:val="1"/>
      <w:numFmt w:val="bullet"/>
      <w:lvlText w:val=""/>
      <w:lvlJc w:val="left"/>
      <w:pPr>
        <w:ind w:left="5040" w:hanging="360"/>
      </w:pPr>
      <w:rPr>
        <w:rFonts w:ascii="Symbol" w:hAnsi="Symbol" w:hint="default"/>
      </w:rPr>
    </w:lvl>
    <w:lvl w:ilvl="7" w:tplc="66E020C8">
      <w:start w:val="1"/>
      <w:numFmt w:val="bullet"/>
      <w:lvlText w:val="o"/>
      <w:lvlJc w:val="left"/>
      <w:pPr>
        <w:ind w:left="5760" w:hanging="360"/>
      </w:pPr>
      <w:rPr>
        <w:rFonts w:ascii="Courier New" w:hAnsi="Courier New" w:hint="default"/>
      </w:rPr>
    </w:lvl>
    <w:lvl w:ilvl="8" w:tplc="E75C45DA">
      <w:start w:val="1"/>
      <w:numFmt w:val="bullet"/>
      <w:lvlText w:val=""/>
      <w:lvlJc w:val="left"/>
      <w:pPr>
        <w:ind w:left="6480" w:hanging="360"/>
      </w:pPr>
      <w:rPr>
        <w:rFonts w:ascii="Wingdings" w:hAnsi="Wingdings" w:hint="default"/>
      </w:rPr>
    </w:lvl>
  </w:abstractNum>
  <w:abstractNum w:abstractNumId="41" w15:restartNumberingAfterBreak="0">
    <w:nsid w:val="4B971728"/>
    <w:multiLevelType w:val="multilevel"/>
    <w:tmpl w:val="2C3A1EBA"/>
    <w:lvl w:ilvl="0">
      <w:start w:val="19"/>
      <w:numFmt w:val="decimal"/>
      <w:lvlText w:val="%1"/>
      <w:lvlJc w:val="left"/>
      <w:pPr>
        <w:ind w:left="600" w:hanging="600"/>
      </w:pPr>
      <w:rPr>
        <w:rFonts w:hint="default"/>
      </w:rPr>
    </w:lvl>
    <w:lvl w:ilvl="1">
      <w:start w:val="10"/>
      <w:numFmt w:val="decimal"/>
      <w:lvlText w:val="%1.%2"/>
      <w:lvlJc w:val="left"/>
      <w:pPr>
        <w:ind w:left="600" w:hanging="60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EDD305C"/>
    <w:multiLevelType w:val="hybridMultilevel"/>
    <w:tmpl w:val="CDFA7A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1C7CB9"/>
    <w:multiLevelType w:val="multilevel"/>
    <w:tmpl w:val="E16A2BD2"/>
    <w:lvl w:ilvl="0">
      <w:start w:val="1"/>
      <w:numFmt w:val="decimal"/>
      <w:pStyle w:val="Heading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50F7248"/>
    <w:multiLevelType w:val="multilevel"/>
    <w:tmpl w:val="1A42D17C"/>
    <w:lvl w:ilvl="0">
      <w:start w:val="1"/>
      <w:numFmt w:val="decimal"/>
      <w:lvlText w:val="%1."/>
      <w:lvlJc w:val="left"/>
      <w:pPr>
        <w:ind w:left="360" w:hanging="360"/>
      </w:pPr>
    </w:lvl>
    <w:lvl w:ilvl="1">
      <w:start w:val="1"/>
      <w:numFmt w:val="decimal"/>
      <w:lvlText w:val="%1.%2."/>
      <w:lvlJc w:val="left"/>
      <w:pPr>
        <w:ind w:left="716"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70F13CD"/>
    <w:multiLevelType w:val="multilevel"/>
    <w:tmpl w:val="47A0599E"/>
    <w:lvl w:ilvl="0">
      <w:start w:val="16"/>
      <w:numFmt w:val="decimal"/>
      <w:lvlText w:val="%1"/>
      <w:lvlJc w:val="left"/>
      <w:pPr>
        <w:ind w:left="460" w:hanging="460"/>
      </w:pPr>
      <w:rPr>
        <w:rFonts w:hint="default"/>
      </w:rPr>
    </w:lvl>
    <w:lvl w:ilvl="1">
      <w:start w:val="2"/>
      <w:numFmt w:val="decimal"/>
      <w:lvlText w:val="%1.%2"/>
      <w:lvlJc w:val="left"/>
      <w:pPr>
        <w:ind w:left="743" w:hanging="460"/>
      </w:pPr>
      <w:rPr>
        <w:rFonts w:hint="default"/>
        <w:sz w:val="22"/>
        <w:szCs w:val="22"/>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571C103E"/>
    <w:multiLevelType w:val="hybridMultilevel"/>
    <w:tmpl w:val="A012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0A2C29"/>
    <w:multiLevelType w:val="hybridMultilevel"/>
    <w:tmpl w:val="9D646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720E65"/>
    <w:multiLevelType w:val="hybridMultilevel"/>
    <w:tmpl w:val="9496E364"/>
    <w:lvl w:ilvl="0" w:tplc="1F069F9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E81CFF"/>
    <w:multiLevelType w:val="hybridMultilevel"/>
    <w:tmpl w:val="FFFFFFFF"/>
    <w:lvl w:ilvl="0" w:tplc="2E305584">
      <w:start w:val="1"/>
      <w:numFmt w:val="bullet"/>
      <w:lvlText w:val=""/>
      <w:lvlJc w:val="left"/>
      <w:pPr>
        <w:ind w:left="720" w:hanging="360"/>
      </w:pPr>
      <w:rPr>
        <w:rFonts w:ascii="Symbol" w:hAnsi="Symbol" w:hint="default"/>
      </w:rPr>
    </w:lvl>
    <w:lvl w:ilvl="1" w:tplc="33D4B7C4">
      <w:start w:val="1"/>
      <w:numFmt w:val="bullet"/>
      <w:lvlText w:val="o"/>
      <w:lvlJc w:val="left"/>
      <w:pPr>
        <w:ind w:left="1440" w:hanging="360"/>
      </w:pPr>
      <w:rPr>
        <w:rFonts w:ascii="Courier New" w:hAnsi="Courier New" w:hint="default"/>
      </w:rPr>
    </w:lvl>
    <w:lvl w:ilvl="2" w:tplc="5D76F82C">
      <w:start w:val="1"/>
      <w:numFmt w:val="bullet"/>
      <w:lvlText w:val=""/>
      <w:lvlJc w:val="left"/>
      <w:pPr>
        <w:ind w:left="2160" w:hanging="360"/>
      </w:pPr>
      <w:rPr>
        <w:rFonts w:ascii="Wingdings" w:hAnsi="Wingdings" w:hint="default"/>
      </w:rPr>
    </w:lvl>
    <w:lvl w:ilvl="3" w:tplc="3D74DF76">
      <w:start w:val="1"/>
      <w:numFmt w:val="bullet"/>
      <w:lvlText w:val=""/>
      <w:lvlJc w:val="left"/>
      <w:pPr>
        <w:ind w:left="2880" w:hanging="360"/>
      </w:pPr>
      <w:rPr>
        <w:rFonts w:ascii="Symbol" w:hAnsi="Symbol" w:hint="default"/>
      </w:rPr>
    </w:lvl>
    <w:lvl w:ilvl="4" w:tplc="34DE96FC">
      <w:start w:val="1"/>
      <w:numFmt w:val="bullet"/>
      <w:lvlText w:val="o"/>
      <w:lvlJc w:val="left"/>
      <w:pPr>
        <w:ind w:left="3600" w:hanging="360"/>
      </w:pPr>
      <w:rPr>
        <w:rFonts w:ascii="Courier New" w:hAnsi="Courier New" w:hint="default"/>
      </w:rPr>
    </w:lvl>
    <w:lvl w:ilvl="5" w:tplc="C478E5D6">
      <w:start w:val="1"/>
      <w:numFmt w:val="bullet"/>
      <w:lvlText w:val=""/>
      <w:lvlJc w:val="left"/>
      <w:pPr>
        <w:ind w:left="4320" w:hanging="360"/>
      </w:pPr>
      <w:rPr>
        <w:rFonts w:ascii="Wingdings" w:hAnsi="Wingdings" w:hint="default"/>
      </w:rPr>
    </w:lvl>
    <w:lvl w:ilvl="6" w:tplc="D08C167A">
      <w:start w:val="1"/>
      <w:numFmt w:val="bullet"/>
      <w:lvlText w:val=""/>
      <w:lvlJc w:val="left"/>
      <w:pPr>
        <w:ind w:left="5040" w:hanging="360"/>
      </w:pPr>
      <w:rPr>
        <w:rFonts w:ascii="Symbol" w:hAnsi="Symbol" w:hint="default"/>
      </w:rPr>
    </w:lvl>
    <w:lvl w:ilvl="7" w:tplc="A5E6E662">
      <w:start w:val="1"/>
      <w:numFmt w:val="bullet"/>
      <w:lvlText w:val="o"/>
      <w:lvlJc w:val="left"/>
      <w:pPr>
        <w:ind w:left="5760" w:hanging="360"/>
      </w:pPr>
      <w:rPr>
        <w:rFonts w:ascii="Courier New" w:hAnsi="Courier New" w:hint="default"/>
      </w:rPr>
    </w:lvl>
    <w:lvl w:ilvl="8" w:tplc="D896AD56">
      <w:start w:val="1"/>
      <w:numFmt w:val="bullet"/>
      <w:lvlText w:val=""/>
      <w:lvlJc w:val="left"/>
      <w:pPr>
        <w:ind w:left="6480" w:hanging="360"/>
      </w:pPr>
      <w:rPr>
        <w:rFonts w:ascii="Wingdings" w:hAnsi="Wingdings" w:hint="default"/>
      </w:rPr>
    </w:lvl>
  </w:abstractNum>
  <w:abstractNum w:abstractNumId="50" w15:restartNumberingAfterBreak="0">
    <w:nsid w:val="5C2F4884"/>
    <w:multiLevelType w:val="hybridMultilevel"/>
    <w:tmpl w:val="5694C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B8391E"/>
    <w:multiLevelType w:val="hybridMultilevel"/>
    <w:tmpl w:val="F3EC5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5205D6"/>
    <w:multiLevelType w:val="multilevel"/>
    <w:tmpl w:val="1A42D17C"/>
    <w:lvl w:ilvl="0">
      <w:start w:val="1"/>
      <w:numFmt w:val="decimal"/>
      <w:lvlText w:val="%1."/>
      <w:lvlJc w:val="left"/>
      <w:pPr>
        <w:ind w:left="360" w:hanging="360"/>
      </w:pPr>
    </w:lvl>
    <w:lvl w:ilvl="1">
      <w:start w:val="1"/>
      <w:numFmt w:val="decimal"/>
      <w:lvlText w:val="%1.%2."/>
      <w:lvlJc w:val="left"/>
      <w:pPr>
        <w:ind w:left="715"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836BBB"/>
    <w:multiLevelType w:val="multilevel"/>
    <w:tmpl w:val="638C79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560A9F"/>
    <w:multiLevelType w:val="hybridMultilevel"/>
    <w:tmpl w:val="2F567F8A"/>
    <w:lvl w:ilvl="0" w:tplc="5D1EB24C">
      <w:start w:val="1"/>
      <w:numFmt w:val="upperLetter"/>
      <w:lvlText w:val="%1."/>
      <w:lvlJc w:val="left"/>
      <w:pPr>
        <w:ind w:left="720" w:hanging="360"/>
      </w:pPr>
    </w:lvl>
    <w:lvl w:ilvl="1" w:tplc="829AE4BC">
      <w:start w:val="1"/>
      <w:numFmt w:val="lowerLetter"/>
      <w:lvlText w:val="%2."/>
      <w:lvlJc w:val="left"/>
      <w:pPr>
        <w:ind w:left="1440" w:hanging="360"/>
      </w:pPr>
    </w:lvl>
    <w:lvl w:ilvl="2" w:tplc="9092CA32">
      <w:start w:val="1"/>
      <w:numFmt w:val="lowerRoman"/>
      <w:lvlText w:val="%3."/>
      <w:lvlJc w:val="right"/>
      <w:pPr>
        <w:ind w:left="2160" w:hanging="180"/>
      </w:pPr>
    </w:lvl>
    <w:lvl w:ilvl="3" w:tplc="98708690">
      <w:start w:val="1"/>
      <w:numFmt w:val="decimal"/>
      <w:lvlText w:val="%4."/>
      <w:lvlJc w:val="left"/>
      <w:pPr>
        <w:ind w:left="2880" w:hanging="360"/>
      </w:pPr>
    </w:lvl>
    <w:lvl w:ilvl="4" w:tplc="D158C426">
      <w:start w:val="1"/>
      <w:numFmt w:val="lowerLetter"/>
      <w:lvlText w:val="%5."/>
      <w:lvlJc w:val="left"/>
      <w:pPr>
        <w:ind w:left="3600" w:hanging="360"/>
      </w:pPr>
    </w:lvl>
    <w:lvl w:ilvl="5" w:tplc="9D80D854">
      <w:start w:val="1"/>
      <w:numFmt w:val="lowerRoman"/>
      <w:lvlText w:val="%6."/>
      <w:lvlJc w:val="right"/>
      <w:pPr>
        <w:ind w:left="4320" w:hanging="180"/>
      </w:pPr>
    </w:lvl>
    <w:lvl w:ilvl="6" w:tplc="CCE8745A">
      <w:start w:val="1"/>
      <w:numFmt w:val="decimal"/>
      <w:lvlText w:val="%7."/>
      <w:lvlJc w:val="left"/>
      <w:pPr>
        <w:ind w:left="5040" w:hanging="360"/>
      </w:pPr>
    </w:lvl>
    <w:lvl w:ilvl="7" w:tplc="079C346C">
      <w:start w:val="1"/>
      <w:numFmt w:val="lowerLetter"/>
      <w:lvlText w:val="%8."/>
      <w:lvlJc w:val="left"/>
      <w:pPr>
        <w:ind w:left="5760" w:hanging="360"/>
      </w:pPr>
    </w:lvl>
    <w:lvl w:ilvl="8" w:tplc="86ACF9C4">
      <w:start w:val="1"/>
      <w:numFmt w:val="lowerRoman"/>
      <w:lvlText w:val="%9."/>
      <w:lvlJc w:val="right"/>
      <w:pPr>
        <w:ind w:left="6480" w:hanging="180"/>
      </w:pPr>
    </w:lvl>
  </w:abstractNum>
  <w:abstractNum w:abstractNumId="55" w15:restartNumberingAfterBreak="0">
    <w:nsid w:val="62E3688A"/>
    <w:multiLevelType w:val="multilevel"/>
    <w:tmpl w:val="1A42D17C"/>
    <w:lvl w:ilvl="0">
      <w:start w:val="1"/>
      <w:numFmt w:val="decimal"/>
      <w:lvlText w:val="%1."/>
      <w:lvlJc w:val="left"/>
      <w:pPr>
        <w:ind w:left="360" w:hanging="360"/>
      </w:pPr>
    </w:lvl>
    <w:lvl w:ilvl="1">
      <w:start w:val="1"/>
      <w:numFmt w:val="decimal"/>
      <w:lvlText w:val="%1.%2."/>
      <w:lvlJc w:val="left"/>
      <w:pPr>
        <w:ind w:left="715"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35B790B"/>
    <w:multiLevelType w:val="hybridMultilevel"/>
    <w:tmpl w:val="F44E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D2760F"/>
    <w:multiLevelType w:val="hybridMultilevel"/>
    <w:tmpl w:val="D19031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66C976E3"/>
    <w:multiLevelType w:val="hybridMultilevel"/>
    <w:tmpl w:val="89A2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E82D85"/>
    <w:multiLevelType w:val="multilevel"/>
    <w:tmpl w:val="097C420A"/>
    <w:lvl w:ilvl="0">
      <w:start w:val="1"/>
      <w:numFmt w:val="decimal"/>
      <w:lvlText w:val="%1."/>
      <w:lvlJc w:val="left"/>
      <w:pPr>
        <w:ind w:left="360" w:hanging="360"/>
      </w:pPr>
      <w:rPr>
        <w:sz w:val="22"/>
        <w:szCs w:val="22"/>
      </w:rPr>
    </w:lvl>
    <w:lvl w:ilvl="1">
      <w:start w:val="1"/>
      <w:numFmt w:val="decimal"/>
      <w:lvlText w:val="%1.%2."/>
      <w:lvlJc w:val="left"/>
      <w:pPr>
        <w:ind w:left="715"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7696353"/>
    <w:multiLevelType w:val="hybridMultilevel"/>
    <w:tmpl w:val="24F05C1E"/>
    <w:lvl w:ilvl="0" w:tplc="3D0C4B38">
      <w:numFmt w:val="bullet"/>
      <w:pStyle w:val="bullet1"/>
      <w:lvlText w:val="•"/>
      <w:lvlJc w:val="left"/>
      <w:pPr>
        <w:ind w:left="1224"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8BC4910"/>
    <w:multiLevelType w:val="hybridMultilevel"/>
    <w:tmpl w:val="A2F41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CC505B"/>
    <w:multiLevelType w:val="hybridMultilevel"/>
    <w:tmpl w:val="11D2FE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3817E77"/>
    <w:multiLevelType w:val="hybridMultilevel"/>
    <w:tmpl w:val="E93A18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4" w15:restartNumberingAfterBreak="0">
    <w:nsid w:val="751B6A13"/>
    <w:multiLevelType w:val="hybridMultilevel"/>
    <w:tmpl w:val="30AC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341955"/>
    <w:multiLevelType w:val="hybridMultilevel"/>
    <w:tmpl w:val="428A30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9DCD008">
      <w:start w:val="1"/>
      <w:numFmt w:val="decimal"/>
      <w:lvlText w:val="%4."/>
      <w:lvlJc w:val="left"/>
      <w:pPr>
        <w:ind w:left="2880" w:hanging="360"/>
      </w:pPr>
      <w:rPr>
        <w:b w:val="0"/>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7EB672BF"/>
    <w:multiLevelType w:val="multilevel"/>
    <w:tmpl w:val="1A42D17C"/>
    <w:lvl w:ilvl="0">
      <w:start w:val="1"/>
      <w:numFmt w:val="decimal"/>
      <w:lvlText w:val="%1."/>
      <w:lvlJc w:val="left"/>
      <w:pPr>
        <w:ind w:left="360" w:hanging="360"/>
      </w:pPr>
    </w:lvl>
    <w:lvl w:ilvl="1">
      <w:start w:val="1"/>
      <w:numFmt w:val="decimal"/>
      <w:lvlText w:val="%1.%2."/>
      <w:lvlJc w:val="left"/>
      <w:pPr>
        <w:ind w:left="716"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EF96347"/>
    <w:multiLevelType w:val="hybridMultilevel"/>
    <w:tmpl w:val="F25E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6E7647"/>
    <w:multiLevelType w:val="hybridMultilevel"/>
    <w:tmpl w:val="9B50C6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5415215">
    <w:abstractNumId w:val="54"/>
  </w:num>
  <w:num w:numId="2" w16cid:durableId="1620069587">
    <w:abstractNumId w:val="32"/>
  </w:num>
  <w:num w:numId="3" w16cid:durableId="1466964647">
    <w:abstractNumId w:val="19"/>
  </w:num>
  <w:num w:numId="4" w16cid:durableId="1686860749">
    <w:abstractNumId w:val="13"/>
  </w:num>
  <w:num w:numId="5" w16cid:durableId="264458336">
    <w:abstractNumId w:val="49"/>
  </w:num>
  <w:num w:numId="6" w16cid:durableId="777453626">
    <w:abstractNumId w:val="9"/>
  </w:num>
  <w:num w:numId="7" w16cid:durableId="1315373477">
    <w:abstractNumId w:val="40"/>
  </w:num>
  <w:num w:numId="8" w16cid:durableId="1243638811">
    <w:abstractNumId w:val="30"/>
  </w:num>
  <w:num w:numId="9" w16cid:durableId="302469821">
    <w:abstractNumId w:val="21"/>
  </w:num>
  <w:num w:numId="10" w16cid:durableId="1983149688">
    <w:abstractNumId w:val="51"/>
  </w:num>
  <w:num w:numId="11" w16cid:durableId="937562874">
    <w:abstractNumId w:val="60"/>
  </w:num>
  <w:num w:numId="12" w16cid:durableId="667706640">
    <w:abstractNumId w:val="29"/>
  </w:num>
  <w:num w:numId="13" w16cid:durableId="1399357103">
    <w:abstractNumId w:val="68"/>
  </w:num>
  <w:num w:numId="14" w16cid:durableId="1322781329">
    <w:abstractNumId w:val="58"/>
  </w:num>
  <w:num w:numId="15" w16cid:durableId="1219786338">
    <w:abstractNumId w:val="60"/>
  </w:num>
  <w:num w:numId="16" w16cid:durableId="570434637">
    <w:abstractNumId w:val="63"/>
  </w:num>
  <w:num w:numId="17" w16cid:durableId="605309599">
    <w:abstractNumId w:val="4"/>
  </w:num>
  <w:num w:numId="18" w16cid:durableId="1955744337">
    <w:abstractNumId w:val="42"/>
  </w:num>
  <w:num w:numId="19" w16cid:durableId="749235669">
    <w:abstractNumId w:val="46"/>
  </w:num>
  <w:num w:numId="20" w16cid:durableId="1490563465">
    <w:abstractNumId w:val="0"/>
  </w:num>
  <w:num w:numId="21" w16cid:durableId="1096286708">
    <w:abstractNumId w:val="5"/>
  </w:num>
  <w:num w:numId="22" w16cid:durableId="398750764">
    <w:abstractNumId w:val="7"/>
  </w:num>
  <w:num w:numId="23" w16cid:durableId="1529369907">
    <w:abstractNumId w:val="59"/>
  </w:num>
  <w:num w:numId="24" w16cid:durableId="45377002">
    <w:abstractNumId w:val="43"/>
  </w:num>
  <w:num w:numId="25" w16cid:durableId="2135246803">
    <w:abstractNumId w:val="6"/>
  </w:num>
  <w:num w:numId="26" w16cid:durableId="754017738">
    <w:abstractNumId w:val="25"/>
  </w:num>
  <w:num w:numId="27" w16cid:durableId="1174538431">
    <w:abstractNumId w:val="56"/>
  </w:num>
  <w:num w:numId="28" w16cid:durableId="827751937">
    <w:abstractNumId w:val="39"/>
  </w:num>
  <w:num w:numId="29" w16cid:durableId="496460852">
    <w:abstractNumId w:val="11"/>
  </w:num>
  <w:num w:numId="30" w16cid:durableId="11300565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630324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22979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522225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68428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89537835">
    <w:abstractNumId w:val="22"/>
  </w:num>
  <w:num w:numId="36" w16cid:durableId="118382625">
    <w:abstractNumId w:val="53"/>
  </w:num>
  <w:num w:numId="37" w16cid:durableId="186600054">
    <w:abstractNumId w:val="18"/>
  </w:num>
  <w:num w:numId="38" w16cid:durableId="1061372180">
    <w:abstractNumId w:val="10"/>
  </w:num>
  <w:num w:numId="39" w16cid:durableId="1577666735">
    <w:abstractNumId w:val="66"/>
  </w:num>
  <w:num w:numId="40" w16cid:durableId="485052404">
    <w:abstractNumId w:val="35"/>
  </w:num>
  <w:num w:numId="41" w16cid:durableId="27411866">
    <w:abstractNumId w:val="41"/>
  </w:num>
  <w:num w:numId="42" w16cid:durableId="1183864835">
    <w:abstractNumId w:val="44"/>
  </w:num>
  <w:num w:numId="43" w16cid:durableId="1918399096">
    <w:abstractNumId w:val="47"/>
  </w:num>
  <w:num w:numId="44" w16cid:durableId="1933666071">
    <w:abstractNumId w:val="17"/>
  </w:num>
  <w:num w:numId="45" w16cid:durableId="1926767368">
    <w:abstractNumId w:val="50"/>
  </w:num>
  <w:num w:numId="46" w16cid:durableId="719400506">
    <w:abstractNumId w:val="8"/>
  </w:num>
  <w:num w:numId="47" w16cid:durableId="828789413">
    <w:abstractNumId w:val="48"/>
  </w:num>
  <w:num w:numId="48" w16cid:durableId="1439259367">
    <w:abstractNumId w:val="16"/>
  </w:num>
  <w:num w:numId="49" w16cid:durableId="705519812">
    <w:abstractNumId w:val="52"/>
  </w:num>
  <w:num w:numId="50" w16cid:durableId="1058675538">
    <w:abstractNumId w:val="3"/>
  </w:num>
  <w:num w:numId="51" w16cid:durableId="1584755930">
    <w:abstractNumId w:val="37"/>
  </w:num>
  <w:num w:numId="52" w16cid:durableId="1438676376">
    <w:abstractNumId w:val="2"/>
  </w:num>
  <w:num w:numId="53" w16cid:durableId="675308436">
    <w:abstractNumId w:val="38"/>
  </w:num>
  <w:num w:numId="54" w16cid:durableId="355860526">
    <w:abstractNumId w:val="24"/>
  </w:num>
  <w:num w:numId="55" w16cid:durableId="137496754">
    <w:abstractNumId w:val="15"/>
  </w:num>
  <w:num w:numId="56" w16cid:durableId="1417287519">
    <w:abstractNumId w:val="23"/>
  </w:num>
  <w:num w:numId="57" w16cid:durableId="915748095">
    <w:abstractNumId w:val="65"/>
  </w:num>
  <w:num w:numId="58" w16cid:durableId="122971288">
    <w:abstractNumId w:val="55"/>
  </w:num>
  <w:num w:numId="59" w16cid:durableId="670185842">
    <w:abstractNumId w:val="67"/>
  </w:num>
  <w:num w:numId="60" w16cid:durableId="381558590">
    <w:abstractNumId w:val="34"/>
  </w:num>
  <w:num w:numId="61" w16cid:durableId="2110930493">
    <w:abstractNumId w:val="36"/>
  </w:num>
  <w:num w:numId="62" w16cid:durableId="1753773412">
    <w:abstractNumId w:val="45"/>
  </w:num>
  <w:num w:numId="63" w16cid:durableId="1285427616">
    <w:abstractNumId w:val="33"/>
  </w:num>
  <w:num w:numId="64" w16cid:durableId="737635230">
    <w:abstractNumId w:val="14"/>
  </w:num>
  <w:num w:numId="65" w16cid:durableId="360975270">
    <w:abstractNumId w:val="62"/>
  </w:num>
  <w:num w:numId="66" w16cid:durableId="1893809679">
    <w:abstractNumId w:val="31"/>
  </w:num>
  <w:num w:numId="67" w16cid:durableId="1956862035">
    <w:abstractNumId w:val="26"/>
  </w:num>
  <w:num w:numId="68" w16cid:durableId="195582941">
    <w:abstractNumId w:val="61"/>
  </w:num>
  <w:num w:numId="69" w16cid:durableId="185949998">
    <w:abstractNumId w:val="64"/>
  </w:num>
  <w:num w:numId="70" w16cid:durableId="240870329">
    <w:abstractNumId w:val="27"/>
  </w:num>
  <w:num w:numId="71" w16cid:durableId="698237843">
    <w:abstractNumId w:val="7"/>
  </w:num>
  <w:num w:numId="72" w16cid:durableId="340858927">
    <w:abstractNumId w:val="46"/>
  </w:num>
  <w:num w:numId="73" w16cid:durableId="28847797">
    <w:abstractNumId w:val="12"/>
  </w:num>
  <w:num w:numId="74" w16cid:durableId="889658066">
    <w:abstractNumId w:val="1"/>
  </w:num>
  <w:num w:numId="75" w16cid:durableId="67658569">
    <w:abstractNumId w:val="57"/>
  </w:num>
  <w:num w:numId="76" w16cid:durableId="305087747">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hideSpellingErrors/>
  <w:hideGrammaticalErrors/>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de-DE" w:vendorID="64" w:dllVersion="0" w:nlCheck="1" w:checkStyle="0"/>
  <w:activeWritingStyle w:appName="MSWord" w:lang="fr-BE" w:vendorID="64" w:dllVersion="4096"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pft2p0prr0w7e2vppvt0ei05adwpfwwzpp&quot;&gt;TherealSynclibrary&lt;record-ids&gt;&lt;item&gt;2392&lt;/item&gt;&lt;item&gt;2401&lt;/item&gt;&lt;item&gt;2402&lt;/item&gt;&lt;item&gt;2403&lt;/item&gt;&lt;item&gt;2404&lt;/item&gt;&lt;item&gt;2405&lt;/item&gt;&lt;item&gt;2406&lt;/item&gt;&lt;item&gt;2407&lt;/item&gt;&lt;item&gt;2408&lt;/item&gt;&lt;item&gt;2409&lt;/item&gt;&lt;item&gt;2410&lt;/item&gt;&lt;item&gt;2411&lt;/item&gt;&lt;item&gt;2443&lt;/item&gt;&lt;item&gt;2444&lt;/item&gt;&lt;item&gt;2572&lt;/item&gt;&lt;item&gt;2578&lt;/item&gt;&lt;item&gt;2582&lt;/item&gt;&lt;item&gt;2587&lt;/item&gt;&lt;item&gt;2588&lt;/item&gt;&lt;item&gt;2589&lt;/item&gt;&lt;item&gt;2590&lt;/item&gt;&lt;item&gt;2591&lt;/item&gt;&lt;item&gt;2592&lt;/item&gt;&lt;item&gt;2593&lt;/item&gt;&lt;item&gt;2594&lt;/item&gt;&lt;item&gt;2596&lt;/item&gt;&lt;item&gt;2597&lt;/item&gt;&lt;item&gt;2598&lt;/item&gt;&lt;/record-ids&gt;&lt;/item&gt;&lt;/Libraries&gt;"/>
  </w:docVars>
  <w:rsids>
    <w:rsidRoot w:val="4251F52E"/>
    <w:rsid w:val="00000274"/>
    <w:rsid w:val="00001032"/>
    <w:rsid w:val="00001C85"/>
    <w:rsid w:val="00002291"/>
    <w:rsid w:val="00002307"/>
    <w:rsid w:val="000028F0"/>
    <w:rsid w:val="00002E2C"/>
    <w:rsid w:val="000032D2"/>
    <w:rsid w:val="0000384E"/>
    <w:rsid w:val="00003BC2"/>
    <w:rsid w:val="00003C32"/>
    <w:rsid w:val="00003E40"/>
    <w:rsid w:val="00004677"/>
    <w:rsid w:val="00004C5E"/>
    <w:rsid w:val="000054BD"/>
    <w:rsid w:val="00007429"/>
    <w:rsid w:val="00007B6F"/>
    <w:rsid w:val="00010549"/>
    <w:rsid w:val="00010755"/>
    <w:rsid w:val="00010D79"/>
    <w:rsid w:val="000110EC"/>
    <w:rsid w:val="00011B7A"/>
    <w:rsid w:val="00011FE5"/>
    <w:rsid w:val="00012EC6"/>
    <w:rsid w:val="00012F7A"/>
    <w:rsid w:val="0001343A"/>
    <w:rsid w:val="00013B1F"/>
    <w:rsid w:val="00015CC4"/>
    <w:rsid w:val="00015E71"/>
    <w:rsid w:val="00016FAC"/>
    <w:rsid w:val="00017B6E"/>
    <w:rsid w:val="00017EE2"/>
    <w:rsid w:val="000209CF"/>
    <w:rsid w:val="00020A7F"/>
    <w:rsid w:val="00020DFB"/>
    <w:rsid w:val="00021109"/>
    <w:rsid w:val="00021D61"/>
    <w:rsid w:val="00022922"/>
    <w:rsid w:val="00023126"/>
    <w:rsid w:val="000236F0"/>
    <w:rsid w:val="00023C07"/>
    <w:rsid w:val="00023C54"/>
    <w:rsid w:val="00023E1A"/>
    <w:rsid w:val="00024764"/>
    <w:rsid w:val="000247AD"/>
    <w:rsid w:val="00024E5D"/>
    <w:rsid w:val="00024E71"/>
    <w:rsid w:val="00025312"/>
    <w:rsid w:val="000257E1"/>
    <w:rsid w:val="00026284"/>
    <w:rsid w:val="000274C9"/>
    <w:rsid w:val="00031039"/>
    <w:rsid w:val="0003125B"/>
    <w:rsid w:val="0003176B"/>
    <w:rsid w:val="00031F3E"/>
    <w:rsid w:val="000325AA"/>
    <w:rsid w:val="0003299E"/>
    <w:rsid w:val="00032D91"/>
    <w:rsid w:val="00032EDE"/>
    <w:rsid w:val="000342A3"/>
    <w:rsid w:val="00034F96"/>
    <w:rsid w:val="00035430"/>
    <w:rsid w:val="00035474"/>
    <w:rsid w:val="000360B3"/>
    <w:rsid w:val="00036F1D"/>
    <w:rsid w:val="00037309"/>
    <w:rsid w:val="00037CDD"/>
    <w:rsid w:val="00037DBF"/>
    <w:rsid w:val="000407B1"/>
    <w:rsid w:val="00040DD5"/>
    <w:rsid w:val="0004123C"/>
    <w:rsid w:val="000426D2"/>
    <w:rsid w:val="0004272D"/>
    <w:rsid w:val="000436BC"/>
    <w:rsid w:val="00043FFF"/>
    <w:rsid w:val="000442D8"/>
    <w:rsid w:val="000467A0"/>
    <w:rsid w:val="00046DAC"/>
    <w:rsid w:val="00046F5E"/>
    <w:rsid w:val="000474CD"/>
    <w:rsid w:val="0005088D"/>
    <w:rsid w:val="000514C6"/>
    <w:rsid w:val="00052535"/>
    <w:rsid w:val="00053654"/>
    <w:rsid w:val="00053884"/>
    <w:rsid w:val="00053885"/>
    <w:rsid w:val="00053DDC"/>
    <w:rsid w:val="00054337"/>
    <w:rsid w:val="000549BC"/>
    <w:rsid w:val="000555A1"/>
    <w:rsid w:val="00055FD7"/>
    <w:rsid w:val="00056558"/>
    <w:rsid w:val="000567F3"/>
    <w:rsid w:val="000575EF"/>
    <w:rsid w:val="00057B21"/>
    <w:rsid w:val="00057B6B"/>
    <w:rsid w:val="00061071"/>
    <w:rsid w:val="0006127B"/>
    <w:rsid w:val="000612B1"/>
    <w:rsid w:val="00061BF0"/>
    <w:rsid w:val="0006219A"/>
    <w:rsid w:val="0006239F"/>
    <w:rsid w:val="000627C8"/>
    <w:rsid w:val="0006383E"/>
    <w:rsid w:val="000641F1"/>
    <w:rsid w:val="00064913"/>
    <w:rsid w:val="000655B1"/>
    <w:rsid w:val="000659FC"/>
    <w:rsid w:val="00065FB6"/>
    <w:rsid w:val="00065FE7"/>
    <w:rsid w:val="000662EB"/>
    <w:rsid w:val="000668A8"/>
    <w:rsid w:val="00066B04"/>
    <w:rsid w:val="00066E15"/>
    <w:rsid w:val="00066E16"/>
    <w:rsid w:val="00067305"/>
    <w:rsid w:val="000678D1"/>
    <w:rsid w:val="000705CD"/>
    <w:rsid w:val="0007062C"/>
    <w:rsid w:val="000708DF"/>
    <w:rsid w:val="00070D39"/>
    <w:rsid w:val="00071529"/>
    <w:rsid w:val="00071811"/>
    <w:rsid w:val="00071C44"/>
    <w:rsid w:val="00072408"/>
    <w:rsid w:val="00072BE7"/>
    <w:rsid w:val="00074939"/>
    <w:rsid w:val="00075761"/>
    <w:rsid w:val="00075949"/>
    <w:rsid w:val="00075B26"/>
    <w:rsid w:val="00076408"/>
    <w:rsid w:val="000775DB"/>
    <w:rsid w:val="00077833"/>
    <w:rsid w:val="00080AE3"/>
    <w:rsid w:val="0008185B"/>
    <w:rsid w:val="00081E22"/>
    <w:rsid w:val="00082248"/>
    <w:rsid w:val="0008485F"/>
    <w:rsid w:val="00085A0F"/>
    <w:rsid w:val="00085B4D"/>
    <w:rsid w:val="000861A2"/>
    <w:rsid w:val="000863C4"/>
    <w:rsid w:val="00086794"/>
    <w:rsid w:val="00086CF3"/>
    <w:rsid w:val="00086D95"/>
    <w:rsid w:val="00091918"/>
    <w:rsid w:val="00091C94"/>
    <w:rsid w:val="000922CB"/>
    <w:rsid w:val="00092405"/>
    <w:rsid w:val="000924F8"/>
    <w:rsid w:val="00092EF7"/>
    <w:rsid w:val="00093265"/>
    <w:rsid w:val="00093356"/>
    <w:rsid w:val="0009511E"/>
    <w:rsid w:val="00095274"/>
    <w:rsid w:val="000959F9"/>
    <w:rsid w:val="00095EFD"/>
    <w:rsid w:val="0009651C"/>
    <w:rsid w:val="00096913"/>
    <w:rsid w:val="00097391"/>
    <w:rsid w:val="000A02AB"/>
    <w:rsid w:val="000A02BF"/>
    <w:rsid w:val="000A16FB"/>
    <w:rsid w:val="000A192C"/>
    <w:rsid w:val="000A1FBC"/>
    <w:rsid w:val="000A2E79"/>
    <w:rsid w:val="000A3C43"/>
    <w:rsid w:val="000A4043"/>
    <w:rsid w:val="000A4BC7"/>
    <w:rsid w:val="000A5A5A"/>
    <w:rsid w:val="000A5C24"/>
    <w:rsid w:val="000A6232"/>
    <w:rsid w:val="000A68CC"/>
    <w:rsid w:val="000A6AF2"/>
    <w:rsid w:val="000A6C23"/>
    <w:rsid w:val="000A73FC"/>
    <w:rsid w:val="000A7F88"/>
    <w:rsid w:val="000B0668"/>
    <w:rsid w:val="000B0EDD"/>
    <w:rsid w:val="000B13A4"/>
    <w:rsid w:val="000B2134"/>
    <w:rsid w:val="000B290D"/>
    <w:rsid w:val="000B2A6B"/>
    <w:rsid w:val="000B358B"/>
    <w:rsid w:val="000B4FDA"/>
    <w:rsid w:val="000B5065"/>
    <w:rsid w:val="000B5F72"/>
    <w:rsid w:val="000B60C9"/>
    <w:rsid w:val="000B6CE2"/>
    <w:rsid w:val="000B7CD2"/>
    <w:rsid w:val="000C0BDC"/>
    <w:rsid w:val="000C1D18"/>
    <w:rsid w:val="000C1FEE"/>
    <w:rsid w:val="000C213E"/>
    <w:rsid w:val="000C2283"/>
    <w:rsid w:val="000C29FD"/>
    <w:rsid w:val="000C341D"/>
    <w:rsid w:val="000C3458"/>
    <w:rsid w:val="000C3492"/>
    <w:rsid w:val="000C3983"/>
    <w:rsid w:val="000C40B3"/>
    <w:rsid w:val="000C4CBC"/>
    <w:rsid w:val="000C4E0F"/>
    <w:rsid w:val="000C621F"/>
    <w:rsid w:val="000C627B"/>
    <w:rsid w:val="000C6432"/>
    <w:rsid w:val="000C662A"/>
    <w:rsid w:val="000C6FFB"/>
    <w:rsid w:val="000C762E"/>
    <w:rsid w:val="000C7EB3"/>
    <w:rsid w:val="000D0429"/>
    <w:rsid w:val="000D0874"/>
    <w:rsid w:val="000D088D"/>
    <w:rsid w:val="000D1368"/>
    <w:rsid w:val="000D1A87"/>
    <w:rsid w:val="000D488C"/>
    <w:rsid w:val="000D65E1"/>
    <w:rsid w:val="000D67EB"/>
    <w:rsid w:val="000D6871"/>
    <w:rsid w:val="000D6DBD"/>
    <w:rsid w:val="000D738B"/>
    <w:rsid w:val="000D787C"/>
    <w:rsid w:val="000D7C30"/>
    <w:rsid w:val="000E013C"/>
    <w:rsid w:val="000E1A79"/>
    <w:rsid w:val="000E2075"/>
    <w:rsid w:val="000E2E4C"/>
    <w:rsid w:val="000E2E87"/>
    <w:rsid w:val="000E33F9"/>
    <w:rsid w:val="000E37F3"/>
    <w:rsid w:val="000E3A0B"/>
    <w:rsid w:val="000E40F5"/>
    <w:rsid w:val="000E4877"/>
    <w:rsid w:val="000E4BBE"/>
    <w:rsid w:val="000E4E20"/>
    <w:rsid w:val="000E4F1E"/>
    <w:rsid w:val="000E6662"/>
    <w:rsid w:val="000E68A1"/>
    <w:rsid w:val="000E6B17"/>
    <w:rsid w:val="000E7161"/>
    <w:rsid w:val="000F1DB6"/>
    <w:rsid w:val="000F20B6"/>
    <w:rsid w:val="000F23BD"/>
    <w:rsid w:val="000F32B0"/>
    <w:rsid w:val="000F39FE"/>
    <w:rsid w:val="000F4FE4"/>
    <w:rsid w:val="000F6126"/>
    <w:rsid w:val="000F61F6"/>
    <w:rsid w:val="000F62F9"/>
    <w:rsid w:val="000F7884"/>
    <w:rsid w:val="0010003B"/>
    <w:rsid w:val="0010247D"/>
    <w:rsid w:val="001037C1"/>
    <w:rsid w:val="001043AC"/>
    <w:rsid w:val="0010490B"/>
    <w:rsid w:val="00104918"/>
    <w:rsid w:val="00104FB8"/>
    <w:rsid w:val="00105B91"/>
    <w:rsid w:val="00106D0F"/>
    <w:rsid w:val="0011091F"/>
    <w:rsid w:val="00110A0A"/>
    <w:rsid w:val="00110F34"/>
    <w:rsid w:val="00111176"/>
    <w:rsid w:val="00111576"/>
    <w:rsid w:val="001119F8"/>
    <w:rsid w:val="00111DBF"/>
    <w:rsid w:val="00111FDB"/>
    <w:rsid w:val="00113836"/>
    <w:rsid w:val="00114389"/>
    <w:rsid w:val="00114CA1"/>
    <w:rsid w:val="00115045"/>
    <w:rsid w:val="001156D7"/>
    <w:rsid w:val="001159A2"/>
    <w:rsid w:val="00115EEB"/>
    <w:rsid w:val="00120E9C"/>
    <w:rsid w:val="001216F6"/>
    <w:rsid w:val="001228E2"/>
    <w:rsid w:val="001232EA"/>
    <w:rsid w:val="00123485"/>
    <w:rsid w:val="0012457F"/>
    <w:rsid w:val="00124A64"/>
    <w:rsid w:val="00124CD7"/>
    <w:rsid w:val="00125D2A"/>
    <w:rsid w:val="00126ECB"/>
    <w:rsid w:val="00126FBC"/>
    <w:rsid w:val="001272A0"/>
    <w:rsid w:val="00127600"/>
    <w:rsid w:val="00127C05"/>
    <w:rsid w:val="00127D7B"/>
    <w:rsid w:val="001310B3"/>
    <w:rsid w:val="00132996"/>
    <w:rsid w:val="00132CE1"/>
    <w:rsid w:val="00132E61"/>
    <w:rsid w:val="0013371D"/>
    <w:rsid w:val="00133989"/>
    <w:rsid w:val="00133D1F"/>
    <w:rsid w:val="0013467B"/>
    <w:rsid w:val="00135925"/>
    <w:rsid w:val="00135DCA"/>
    <w:rsid w:val="001360A1"/>
    <w:rsid w:val="00136323"/>
    <w:rsid w:val="00136661"/>
    <w:rsid w:val="001368B7"/>
    <w:rsid w:val="00136D44"/>
    <w:rsid w:val="00137921"/>
    <w:rsid w:val="00140152"/>
    <w:rsid w:val="001401B9"/>
    <w:rsid w:val="001404EA"/>
    <w:rsid w:val="00140713"/>
    <w:rsid w:val="0014138A"/>
    <w:rsid w:val="001437BA"/>
    <w:rsid w:val="001446C9"/>
    <w:rsid w:val="00144AFE"/>
    <w:rsid w:val="00145533"/>
    <w:rsid w:val="0014605C"/>
    <w:rsid w:val="001466EF"/>
    <w:rsid w:val="0014774A"/>
    <w:rsid w:val="00147772"/>
    <w:rsid w:val="00147AED"/>
    <w:rsid w:val="00147E8B"/>
    <w:rsid w:val="001505B3"/>
    <w:rsid w:val="00150827"/>
    <w:rsid w:val="00150924"/>
    <w:rsid w:val="00151CAA"/>
    <w:rsid w:val="00156598"/>
    <w:rsid w:val="00156656"/>
    <w:rsid w:val="001568BA"/>
    <w:rsid w:val="00156D26"/>
    <w:rsid w:val="0016031B"/>
    <w:rsid w:val="001605E3"/>
    <w:rsid w:val="00161C3E"/>
    <w:rsid w:val="00162027"/>
    <w:rsid w:val="00162174"/>
    <w:rsid w:val="00163663"/>
    <w:rsid w:val="00163ED6"/>
    <w:rsid w:val="001647FA"/>
    <w:rsid w:val="00164820"/>
    <w:rsid w:val="00164B62"/>
    <w:rsid w:val="00164EBF"/>
    <w:rsid w:val="00165FF4"/>
    <w:rsid w:val="0016652D"/>
    <w:rsid w:val="00166922"/>
    <w:rsid w:val="0016749A"/>
    <w:rsid w:val="00167FBD"/>
    <w:rsid w:val="00171F07"/>
    <w:rsid w:val="00171FD8"/>
    <w:rsid w:val="00172533"/>
    <w:rsid w:val="001728D2"/>
    <w:rsid w:val="00173A19"/>
    <w:rsid w:val="00173C43"/>
    <w:rsid w:val="00173E96"/>
    <w:rsid w:val="00174560"/>
    <w:rsid w:val="001752D1"/>
    <w:rsid w:val="00175B86"/>
    <w:rsid w:val="001766B8"/>
    <w:rsid w:val="00176A80"/>
    <w:rsid w:val="0017778A"/>
    <w:rsid w:val="00177BD4"/>
    <w:rsid w:val="00177C6C"/>
    <w:rsid w:val="00180421"/>
    <w:rsid w:val="00180BC6"/>
    <w:rsid w:val="001810FF"/>
    <w:rsid w:val="0018185A"/>
    <w:rsid w:val="001821C6"/>
    <w:rsid w:val="0018276F"/>
    <w:rsid w:val="0018292C"/>
    <w:rsid w:val="001831D1"/>
    <w:rsid w:val="00183967"/>
    <w:rsid w:val="001844CC"/>
    <w:rsid w:val="001851F5"/>
    <w:rsid w:val="00186C89"/>
    <w:rsid w:val="00187432"/>
    <w:rsid w:val="0018773A"/>
    <w:rsid w:val="00191AE5"/>
    <w:rsid w:val="00191F86"/>
    <w:rsid w:val="00192297"/>
    <w:rsid w:val="001935B5"/>
    <w:rsid w:val="001939BE"/>
    <w:rsid w:val="001947C2"/>
    <w:rsid w:val="00194CA7"/>
    <w:rsid w:val="00195C92"/>
    <w:rsid w:val="00195F49"/>
    <w:rsid w:val="001962BA"/>
    <w:rsid w:val="00197B91"/>
    <w:rsid w:val="00197E17"/>
    <w:rsid w:val="001A12DC"/>
    <w:rsid w:val="001A3D17"/>
    <w:rsid w:val="001A5C79"/>
    <w:rsid w:val="001A6B9C"/>
    <w:rsid w:val="001A70FB"/>
    <w:rsid w:val="001A73E3"/>
    <w:rsid w:val="001A76F8"/>
    <w:rsid w:val="001A776D"/>
    <w:rsid w:val="001A7A71"/>
    <w:rsid w:val="001A7BE1"/>
    <w:rsid w:val="001A7F02"/>
    <w:rsid w:val="001B00BA"/>
    <w:rsid w:val="001B0181"/>
    <w:rsid w:val="001B109E"/>
    <w:rsid w:val="001B10C6"/>
    <w:rsid w:val="001B2715"/>
    <w:rsid w:val="001B277D"/>
    <w:rsid w:val="001B36DC"/>
    <w:rsid w:val="001B3E23"/>
    <w:rsid w:val="001B464D"/>
    <w:rsid w:val="001B506F"/>
    <w:rsid w:val="001B5072"/>
    <w:rsid w:val="001B5707"/>
    <w:rsid w:val="001B58D6"/>
    <w:rsid w:val="001B5E0B"/>
    <w:rsid w:val="001B6AB6"/>
    <w:rsid w:val="001B6AE8"/>
    <w:rsid w:val="001B7732"/>
    <w:rsid w:val="001B7DFA"/>
    <w:rsid w:val="001C0476"/>
    <w:rsid w:val="001C0529"/>
    <w:rsid w:val="001C07CF"/>
    <w:rsid w:val="001C0C4B"/>
    <w:rsid w:val="001C1064"/>
    <w:rsid w:val="001C1C13"/>
    <w:rsid w:val="001C2036"/>
    <w:rsid w:val="001C23C6"/>
    <w:rsid w:val="001C252C"/>
    <w:rsid w:val="001C2CAD"/>
    <w:rsid w:val="001C328F"/>
    <w:rsid w:val="001C3B75"/>
    <w:rsid w:val="001C4D05"/>
    <w:rsid w:val="001C5123"/>
    <w:rsid w:val="001C5BCA"/>
    <w:rsid w:val="001C5F6D"/>
    <w:rsid w:val="001C7AEF"/>
    <w:rsid w:val="001D08DE"/>
    <w:rsid w:val="001D10FE"/>
    <w:rsid w:val="001D1B5A"/>
    <w:rsid w:val="001D1CAC"/>
    <w:rsid w:val="001D234D"/>
    <w:rsid w:val="001D29A2"/>
    <w:rsid w:val="001D29D0"/>
    <w:rsid w:val="001D2CB9"/>
    <w:rsid w:val="001D444F"/>
    <w:rsid w:val="001D4BA3"/>
    <w:rsid w:val="001D51E2"/>
    <w:rsid w:val="001D52A6"/>
    <w:rsid w:val="001D53E4"/>
    <w:rsid w:val="001D5C73"/>
    <w:rsid w:val="001D5D65"/>
    <w:rsid w:val="001D6262"/>
    <w:rsid w:val="001D6C04"/>
    <w:rsid w:val="001D7111"/>
    <w:rsid w:val="001D77B6"/>
    <w:rsid w:val="001D7DED"/>
    <w:rsid w:val="001D7E0A"/>
    <w:rsid w:val="001E0803"/>
    <w:rsid w:val="001E114F"/>
    <w:rsid w:val="001E133F"/>
    <w:rsid w:val="001E1642"/>
    <w:rsid w:val="001E232A"/>
    <w:rsid w:val="001E2B4A"/>
    <w:rsid w:val="001E30F5"/>
    <w:rsid w:val="001E3754"/>
    <w:rsid w:val="001E4A5A"/>
    <w:rsid w:val="001E620E"/>
    <w:rsid w:val="001E6249"/>
    <w:rsid w:val="001E6401"/>
    <w:rsid w:val="001E7448"/>
    <w:rsid w:val="001E748D"/>
    <w:rsid w:val="001E79C8"/>
    <w:rsid w:val="001F0236"/>
    <w:rsid w:val="001F138A"/>
    <w:rsid w:val="001F299A"/>
    <w:rsid w:val="001F3AA9"/>
    <w:rsid w:val="001F3EF0"/>
    <w:rsid w:val="001F4091"/>
    <w:rsid w:val="001F5271"/>
    <w:rsid w:val="001F545E"/>
    <w:rsid w:val="001F5602"/>
    <w:rsid w:val="001F586A"/>
    <w:rsid w:val="001F5999"/>
    <w:rsid w:val="001F67E0"/>
    <w:rsid w:val="001F67E4"/>
    <w:rsid w:val="001F6ED5"/>
    <w:rsid w:val="001F6FAA"/>
    <w:rsid w:val="001F7EED"/>
    <w:rsid w:val="001F7F4F"/>
    <w:rsid w:val="00200892"/>
    <w:rsid w:val="002014DE"/>
    <w:rsid w:val="00201634"/>
    <w:rsid w:val="002019B6"/>
    <w:rsid w:val="00201E90"/>
    <w:rsid w:val="0020373D"/>
    <w:rsid w:val="00203A6B"/>
    <w:rsid w:val="002050F8"/>
    <w:rsid w:val="00205321"/>
    <w:rsid w:val="0020554E"/>
    <w:rsid w:val="00205BE6"/>
    <w:rsid w:val="00205C7B"/>
    <w:rsid w:val="00205EAC"/>
    <w:rsid w:val="00206040"/>
    <w:rsid w:val="00206097"/>
    <w:rsid w:val="00207FB3"/>
    <w:rsid w:val="002104B9"/>
    <w:rsid w:val="0021079E"/>
    <w:rsid w:val="00210B15"/>
    <w:rsid w:val="00210B45"/>
    <w:rsid w:val="00211776"/>
    <w:rsid w:val="002118F5"/>
    <w:rsid w:val="00211AAF"/>
    <w:rsid w:val="00211C19"/>
    <w:rsid w:val="00211C58"/>
    <w:rsid w:val="0021396B"/>
    <w:rsid w:val="0021624D"/>
    <w:rsid w:val="00216B23"/>
    <w:rsid w:val="00216E01"/>
    <w:rsid w:val="00217077"/>
    <w:rsid w:val="00220725"/>
    <w:rsid w:val="00220B53"/>
    <w:rsid w:val="00222449"/>
    <w:rsid w:val="002224D1"/>
    <w:rsid w:val="002236DB"/>
    <w:rsid w:val="00223716"/>
    <w:rsid w:val="002237C0"/>
    <w:rsid w:val="002239D3"/>
    <w:rsid w:val="00224074"/>
    <w:rsid w:val="00224151"/>
    <w:rsid w:val="002249CF"/>
    <w:rsid w:val="00224F93"/>
    <w:rsid w:val="002250A1"/>
    <w:rsid w:val="002256D2"/>
    <w:rsid w:val="0022605D"/>
    <w:rsid w:val="00226099"/>
    <w:rsid w:val="002261AF"/>
    <w:rsid w:val="00226C1A"/>
    <w:rsid w:val="0022744C"/>
    <w:rsid w:val="002277A4"/>
    <w:rsid w:val="002303CD"/>
    <w:rsid w:val="0023121C"/>
    <w:rsid w:val="00231553"/>
    <w:rsid w:val="00233374"/>
    <w:rsid w:val="002337BE"/>
    <w:rsid w:val="00233EAF"/>
    <w:rsid w:val="00234336"/>
    <w:rsid w:val="002351D6"/>
    <w:rsid w:val="00235E52"/>
    <w:rsid w:val="00235E99"/>
    <w:rsid w:val="0023632D"/>
    <w:rsid w:val="0023758B"/>
    <w:rsid w:val="00237DCD"/>
    <w:rsid w:val="002412CF"/>
    <w:rsid w:val="002420C8"/>
    <w:rsid w:val="00242208"/>
    <w:rsid w:val="002422C0"/>
    <w:rsid w:val="00242477"/>
    <w:rsid w:val="002425DE"/>
    <w:rsid w:val="0024289F"/>
    <w:rsid w:val="00242FC0"/>
    <w:rsid w:val="00243320"/>
    <w:rsid w:val="00243407"/>
    <w:rsid w:val="00243689"/>
    <w:rsid w:val="00243C4E"/>
    <w:rsid w:val="00243CA2"/>
    <w:rsid w:val="00244EF2"/>
    <w:rsid w:val="00245438"/>
    <w:rsid w:val="0024607F"/>
    <w:rsid w:val="002463B4"/>
    <w:rsid w:val="0024656F"/>
    <w:rsid w:val="00250810"/>
    <w:rsid w:val="00250CBB"/>
    <w:rsid w:val="00250CC0"/>
    <w:rsid w:val="00250E23"/>
    <w:rsid w:val="00251033"/>
    <w:rsid w:val="00251A64"/>
    <w:rsid w:val="0025293D"/>
    <w:rsid w:val="002530E1"/>
    <w:rsid w:val="00253346"/>
    <w:rsid w:val="002538EE"/>
    <w:rsid w:val="00253BF8"/>
    <w:rsid w:val="002541AB"/>
    <w:rsid w:val="00254252"/>
    <w:rsid w:val="00254B61"/>
    <w:rsid w:val="00254C7C"/>
    <w:rsid w:val="00255A69"/>
    <w:rsid w:val="0025656B"/>
    <w:rsid w:val="00256801"/>
    <w:rsid w:val="00257536"/>
    <w:rsid w:val="00257698"/>
    <w:rsid w:val="00257F7A"/>
    <w:rsid w:val="00260242"/>
    <w:rsid w:val="00260B37"/>
    <w:rsid w:val="00260EB7"/>
    <w:rsid w:val="00260FFA"/>
    <w:rsid w:val="0026156F"/>
    <w:rsid w:val="00262423"/>
    <w:rsid w:val="00262781"/>
    <w:rsid w:val="0026312B"/>
    <w:rsid w:val="00263472"/>
    <w:rsid w:val="00263B62"/>
    <w:rsid w:val="00263FAB"/>
    <w:rsid w:val="002640B9"/>
    <w:rsid w:val="002641C4"/>
    <w:rsid w:val="002648A9"/>
    <w:rsid w:val="00264B7E"/>
    <w:rsid w:val="00265359"/>
    <w:rsid w:val="002656A3"/>
    <w:rsid w:val="00265BD8"/>
    <w:rsid w:val="00267C48"/>
    <w:rsid w:val="00271A55"/>
    <w:rsid w:val="0027250F"/>
    <w:rsid w:val="0027261C"/>
    <w:rsid w:val="00272F30"/>
    <w:rsid w:val="002742A1"/>
    <w:rsid w:val="00274524"/>
    <w:rsid w:val="00274670"/>
    <w:rsid w:val="00274B00"/>
    <w:rsid w:val="00274FD0"/>
    <w:rsid w:val="00275BDF"/>
    <w:rsid w:val="00275BFB"/>
    <w:rsid w:val="00275E8F"/>
    <w:rsid w:val="00277E75"/>
    <w:rsid w:val="00280DAE"/>
    <w:rsid w:val="002810D1"/>
    <w:rsid w:val="00281780"/>
    <w:rsid w:val="00281AC3"/>
    <w:rsid w:val="00281C0E"/>
    <w:rsid w:val="00281C49"/>
    <w:rsid w:val="002823ED"/>
    <w:rsid w:val="002827BE"/>
    <w:rsid w:val="002828A3"/>
    <w:rsid w:val="0028376C"/>
    <w:rsid w:val="00283F79"/>
    <w:rsid w:val="00284FB2"/>
    <w:rsid w:val="00285042"/>
    <w:rsid w:val="0028514C"/>
    <w:rsid w:val="00285945"/>
    <w:rsid w:val="002860A0"/>
    <w:rsid w:val="002865E5"/>
    <w:rsid w:val="002871D7"/>
    <w:rsid w:val="00287651"/>
    <w:rsid w:val="00287F89"/>
    <w:rsid w:val="002907D4"/>
    <w:rsid w:val="002916D9"/>
    <w:rsid w:val="00291A6C"/>
    <w:rsid w:val="00292761"/>
    <w:rsid w:val="00292807"/>
    <w:rsid w:val="00292C50"/>
    <w:rsid w:val="00294936"/>
    <w:rsid w:val="00295A68"/>
    <w:rsid w:val="00295B0E"/>
    <w:rsid w:val="00295EA4"/>
    <w:rsid w:val="00296DA5"/>
    <w:rsid w:val="00296FEE"/>
    <w:rsid w:val="002975B4"/>
    <w:rsid w:val="002978A3"/>
    <w:rsid w:val="00297DB9"/>
    <w:rsid w:val="002A02E0"/>
    <w:rsid w:val="002A0BB7"/>
    <w:rsid w:val="002A0CD0"/>
    <w:rsid w:val="002A3189"/>
    <w:rsid w:val="002A4132"/>
    <w:rsid w:val="002A43A8"/>
    <w:rsid w:val="002A46D2"/>
    <w:rsid w:val="002A47FA"/>
    <w:rsid w:val="002A5B6B"/>
    <w:rsid w:val="002A604C"/>
    <w:rsid w:val="002A65BA"/>
    <w:rsid w:val="002A662A"/>
    <w:rsid w:val="002A6B1C"/>
    <w:rsid w:val="002A6D36"/>
    <w:rsid w:val="002A6D8E"/>
    <w:rsid w:val="002A7FC4"/>
    <w:rsid w:val="002B0526"/>
    <w:rsid w:val="002B0581"/>
    <w:rsid w:val="002B0850"/>
    <w:rsid w:val="002B0A80"/>
    <w:rsid w:val="002B1A21"/>
    <w:rsid w:val="002B2232"/>
    <w:rsid w:val="002B251D"/>
    <w:rsid w:val="002B295E"/>
    <w:rsid w:val="002B3160"/>
    <w:rsid w:val="002B3732"/>
    <w:rsid w:val="002B5412"/>
    <w:rsid w:val="002B6078"/>
    <w:rsid w:val="002B766A"/>
    <w:rsid w:val="002C01CE"/>
    <w:rsid w:val="002C02E2"/>
    <w:rsid w:val="002C1A3C"/>
    <w:rsid w:val="002C28A1"/>
    <w:rsid w:val="002C2BA6"/>
    <w:rsid w:val="002C323E"/>
    <w:rsid w:val="002C3327"/>
    <w:rsid w:val="002C348E"/>
    <w:rsid w:val="002C3521"/>
    <w:rsid w:val="002C38A4"/>
    <w:rsid w:val="002C39B1"/>
    <w:rsid w:val="002C4200"/>
    <w:rsid w:val="002C4B07"/>
    <w:rsid w:val="002C4D6E"/>
    <w:rsid w:val="002C4E84"/>
    <w:rsid w:val="002C6229"/>
    <w:rsid w:val="002C6906"/>
    <w:rsid w:val="002C7AE8"/>
    <w:rsid w:val="002D0088"/>
    <w:rsid w:val="002D0176"/>
    <w:rsid w:val="002D0A65"/>
    <w:rsid w:val="002D0A6F"/>
    <w:rsid w:val="002D110C"/>
    <w:rsid w:val="002D1B0D"/>
    <w:rsid w:val="002D1BEB"/>
    <w:rsid w:val="002D2CB0"/>
    <w:rsid w:val="002D334F"/>
    <w:rsid w:val="002D33C6"/>
    <w:rsid w:val="002D3524"/>
    <w:rsid w:val="002D392D"/>
    <w:rsid w:val="002D3A81"/>
    <w:rsid w:val="002D4ACC"/>
    <w:rsid w:val="002D62BE"/>
    <w:rsid w:val="002D6EEF"/>
    <w:rsid w:val="002DE70B"/>
    <w:rsid w:val="002E0230"/>
    <w:rsid w:val="002E0F78"/>
    <w:rsid w:val="002E1116"/>
    <w:rsid w:val="002E1591"/>
    <w:rsid w:val="002E1898"/>
    <w:rsid w:val="002E1B62"/>
    <w:rsid w:val="002E1CB5"/>
    <w:rsid w:val="002E2293"/>
    <w:rsid w:val="002E2401"/>
    <w:rsid w:val="002E29CD"/>
    <w:rsid w:val="002E2AD1"/>
    <w:rsid w:val="002E3372"/>
    <w:rsid w:val="002E3C02"/>
    <w:rsid w:val="002E3D5A"/>
    <w:rsid w:val="002E4190"/>
    <w:rsid w:val="002E50F7"/>
    <w:rsid w:val="002E5657"/>
    <w:rsid w:val="002E647F"/>
    <w:rsid w:val="002E706A"/>
    <w:rsid w:val="002E71FC"/>
    <w:rsid w:val="002E78F2"/>
    <w:rsid w:val="002F0514"/>
    <w:rsid w:val="002F085C"/>
    <w:rsid w:val="002F0EA7"/>
    <w:rsid w:val="002F3EEF"/>
    <w:rsid w:val="002F45A0"/>
    <w:rsid w:val="002F53B7"/>
    <w:rsid w:val="002F5719"/>
    <w:rsid w:val="002F5FCF"/>
    <w:rsid w:val="002F646A"/>
    <w:rsid w:val="002F7561"/>
    <w:rsid w:val="002F7DEC"/>
    <w:rsid w:val="00300662"/>
    <w:rsid w:val="00301275"/>
    <w:rsid w:val="00301285"/>
    <w:rsid w:val="003018FA"/>
    <w:rsid w:val="00301AE9"/>
    <w:rsid w:val="00302DB5"/>
    <w:rsid w:val="00303F08"/>
    <w:rsid w:val="003041F7"/>
    <w:rsid w:val="003047C8"/>
    <w:rsid w:val="00304BBA"/>
    <w:rsid w:val="003058A3"/>
    <w:rsid w:val="00305EB1"/>
    <w:rsid w:val="003067DD"/>
    <w:rsid w:val="00306864"/>
    <w:rsid w:val="00307FB4"/>
    <w:rsid w:val="003107C4"/>
    <w:rsid w:val="003112AF"/>
    <w:rsid w:val="00311604"/>
    <w:rsid w:val="003118DF"/>
    <w:rsid w:val="00312188"/>
    <w:rsid w:val="00312241"/>
    <w:rsid w:val="0031261A"/>
    <w:rsid w:val="00312AC7"/>
    <w:rsid w:val="00312D84"/>
    <w:rsid w:val="00313CBF"/>
    <w:rsid w:val="003140B2"/>
    <w:rsid w:val="00314165"/>
    <w:rsid w:val="003143DC"/>
    <w:rsid w:val="00314642"/>
    <w:rsid w:val="00314889"/>
    <w:rsid w:val="00315295"/>
    <w:rsid w:val="00315356"/>
    <w:rsid w:val="00315B7D"/>
    <w:rsid w:val="00315D86"/>
    <w:rsid w:val="003160DA"/>
    <w:rsid w:val="00316698"/>
    <w:rsid w:val="00316ECD"/>
    <w:rsid w:val="00320126"/>
    <w:rsid w:val="003204AC"/>
    <w:rsid w:val="0032082B"/>
    <w:rsid w:val="0032185B"/>
    <w:rsid w:val="00321B1D"/>
    <w:rsid w:val="00321F8C"/>
    <w:rsid w:val="00322094"/>
    <w:rsid w:val="0032227F"/>
    <w:rsid w:val="00322538"/>
    <w:rsid w:val="00322DFE"/>
    <w:rsid w:val="003231C4"/>
    <w:rsid w:val="0032406C"/>
    <w:rsid w:val="003243BC"/>
    <w:rsid w:val="0032466A"/>
    <w:rsid w:val="003260BB"/>
    <w:rsid w:val="00326719"/>
    <w:rsid w:val="003267C4"/>
    <w:rsid w:val="00326B21"/>
    <w:rsid w:val="00327067"/>
    <w:rsid w:val="00327504"/>
    <w:rsid w:val="0032785F"/>
    <w:rsid w:val="0032789F"/>
    <w:rsid w:val="00330176"/>
    <w:rsid w:val="00330457"/>
    <w:rsid w:val="0033054F"/>
    <w:rsid w:val="00330DB1"/>
    <w:rsid w:val="00331799"/>
    <w:rsid w:val="00332062"/>
    <w:rsid w:val="00332684"/>
    <w:rsid w:val="003328E1"/>
    <w:rsid w:val="00332A44"/>
    <w:rsid w:val="003339F6"/>
    <w:rsid w:val="00334D18"/>
    <w:rsid w:val="00335C22"/>
    <w:rsid w:val="00335CBE"/>
    <w:rsid w:val="003366F5"/>
    <w:rsid w:val="003369EC"/>
    <w:rsid w:val="00337226"/>
    <w:rsid w:val="00337914"/>
    <w:rsid w:val="00337B57"/>
    <w:rsid w:val="003401DD"/>
    <w:rsid w:val="00340588"/>
    <w:rsid w:val="003409BA"/>
    <w:rsid w:val="003417BB"/>
    <w:rsid w:val="003423C5"/>
    <w:rsid w:val="00342886"/>
    <w:rsid w:val="00342935"/>
    <w:rsid w:val="0034297F"/>
    <w:rsid w:val="00342B31"/>
    <w:rsid w:val="0034368E"/>
    <w:rsid w:val="0034401B"/>
    <w:rsid w:val="00344364"/>
    <w:rsid w:val="00344D1C"/>
    <w:rsid w:val="00345F18"/>
    <w:rsid w:val="00346C6E"/>
    <w:rsid w:val="00347C07"/>
    <w:rsid w:val="003508D1"/>
    <w:rsid w:val="0035401F"/>
    <w:rsid w:val="00354F33"/>
    <w:rsid w:val="0035575E"/>
    <w:rsid w:val="00355951"/>
    <w:rsid w:val="00355B1B"/>
    <w:rsid w:val="00355F78"/>
    <w:rsid w:val="003561C2"/>
    <w:rsid w:val="003564C6"/>
    <w:rsid w:val="00356713"/>
    <w:rsid w:val="00356728"/>
    <w:rsid w:val="00356D65"/>
    <w:rsid w:val="00356DAE"/>
    <w:rsid w:val="00357182"/>
    <w:rsid w:val="003574FA"/>
    <w:rsid w:val="00360271"/>
    <w:rsid w:val="00361387"/>
    <w:rsid w:val="00361EE0"/>
    <w:rsid w:val="003622F2"/>
    <w:rsid w:val="0036399C"/>
    <w:rsid w:val="00363B6D"/>
    <w:rsid w:val="003651D9"/>
    <w:rsid w:val="00365A63"/>
    <w:rsid w:val="00365FFC"/>
    <w:rsid w:val="003666C6"/>
    <w:rsid w:val="003675BE"/>
    <w:rsid w:val="003675F1"/>
    <w:rsid w:val="00367783"/>
    <w:rsid w:val="0037002D"/>
    <w:rsid w:val="003701EC"/>
    <w:rsid w:val="00370561"/>
    <w:rsid w:val="00370781"/>
    <w:rsid w:val="00371706"/>
    <w:rsid w:val="003717C0"/>
    <w:rsid w:val="003719EB"/>
    <w:rsid w:val="003719F0"/>
    <w:rsid w:val="0037224D"/>
    <w:rsid w:val="00373201"/>
    <w:rsid w:val="00373278"/>
    <w:rsid w:val="00373E14"/>
    <w:rsid w:val="00374543"/>
    <w:rsid w:val="00374AA7"/>
    <w:rsid w:val="00374EBC"/>
    <w:rsid w:val="0037559D"/>
    <w:rsid w:val="003760FD"/>
    <w:rsid w:val="003761EA"/>
    <w:rsid w:val="00376487"/>
    <w:rsid w:val="00376579"/>
    <w:rsid w:val="0037739C"/>
    <w:rsid w:val="00380182"/>
    <w:rsid w:val="003823A6"/>
    <w:rsid w:val="00382A15"/>
    <w:rsid w:val="00382B70"/>
    <w:rsid w:val="00382BBA"/>
    <w:rsid w:val="003837D7"/>
    <w:rsid w:val="00384B40"/>
    <w:rsid w:val="0038552A"/>
    <w:rsid w:val="003858E2"/>
    <w:rsid w:val="003864C9"/>
    <w:rsid w:val="00386509"/>
    <w:rsid w:val="00386BB3"/>
    <w:rsid w:val="00386C83"/>
    <w:rsid w:val="00386F78"/>
    <w:rsid w:val="0039135B"/>
    <w:rsid w:val="00391C58"/>
    <w:rsid w:val="00392441"/>
    <w:rsid w:val="0039301F"/>
    <w:rsid w:val="00393DA8"/>
    <w:rsid w:val="00393F98"/>
    <w:rsid w:val="00394182"/>
    <w:rsid w:val="0039433C"/>
    <w:rsid w:val="003945CC"/>
    <w:rsid w:val="0039572F"/>
    <w:rsid w:val="003958A4"/>
    <w:rsid w:val="00395983"/>
    <w:rsid w:val="00395CD0"/>
    <w:rsid w:val="003961C0"/>
    <w:rsid w:val="00396CBF"/>
    <w:rsid w:val="0039715D"/>
    <w:rsid w:val="003975B7"/>
    <w:rsid w:val="003979E6"/>
    <w:rsid w:val="003A00FD"/>
    <w:rsid w:val="003A0176"/>
    <w:rsid w:val="003A0962"/>
    <w:rsid w:val="003A0CD7"/>
    <w:rsid w:val="003A1000"/>
    <w:rsid w:val="003A10D6"/>
    <w:rsid w:val="003A16A2"/>
    <w:rsid w:val="003A1C70"/>
    <w:rsid w:val="003A2112"/>
    <w:rsid w:val="003A24AC"/>
    <w:rsid w:val="003A4052"/>
    <w:rsid w:val="003A4669"/>
    <w:rsid w:val="003A4F2B"/>
    <w:rsid w:val="003A4FEE"/>
    <w:rsid w:val="003A6060"/>
    <w:rsid w:val="003A648A"/>
    <w:rsid w:val="003A663C"/>
    <w:rsid w:val="003A6726"/>
    <w:rsid w:val="003A7AF9"/>
    <w:rsid w:val="003B00FE"/>
    <w:rsid w:val="003B0347"/>
    <w:rsid w:val="003B1DAF"/>
    <w:rsid w:val="003B247D"/>
    <w:rsid w:val="003B2D8C"/>
    <w:rsid w:val="003B3166"/>
    <w:rsid w:val="003B342E"/>
    <w:rsid w:val="003B3AEB"/>
    <w:rsid w:val="003B4406"/>
    <w:rsid w:val="003B46B6"/>
    <w:rsid w:val="003B4B5D"/>
    <w:rsid w:val="003B4E63"/>
    <w:rsid w:val="003B5948"/>
    <w:rsid w:val="003B5BA9"/>
    <w:rsid w:val="003B623F"/>
    <w:rsid w:val="003B6541"/>
    <w:rsid w:val="003B6DAE"/>
    <w:rsid w:val="003B74D7"/>
    <w:rsid w:val="003B7777"/>
    <w:rsid w:val="003B798F"/>
    <w:rsid w:val="003C0384"/>
    <w:rsid w:val="003C0983"/>
    <w:rsid w:val="003C214B"/>
    <w:rsid w:val="003C2E06"/>
    <w:rsid w:val="003C2EB0"/>
    <w:rsid w:val="003C4394"/>
    <w:rsid w:val="003C53A8"/>
    <w:rsid w:val="003C5D32"/>
    <w:rsid w:val="003C6116"/>
    <w:rsid w:val="003C67E6"/>
    <w:rsid w:val="003C7779"/>
    <w:rsid w:val="003C7D6B"/>
    <w:rsid w:val="003C7E63"/>
    <w:rsid w:val="003D002B"/>
    <w:rsid w:val="003D089D"/>
    <w:rsid w:val="003D18C7"/>
    <w:rsid w:val="003D19ED"/>
    <w:rsid w:val="003D2274"/>
    <w:rsid w:val="003D233A"/>
    <w:rsid w:val="003D2417"/>
    <w:rsid w:val="003D2A11"/>
    <w:rsid w:val="003D4762"/>
    <w:rsid w:val="003D4DED"/>
    <w:rsid w:val="003D5BF0"/>
    <w:rsid w:val="003D5D39"/>
    <w:rsid w:val="003D5D5F"/>
    <w:rsid w:val="003D66B2"/>
    <w:rsid w:val="003D69F6"/>
    <w:rsid w:val="003D6F4D"/>
    <w:rsid w:val="003D7898"/>
    <w:rsid w:val="003E07E9"/>
    <w:rsid w:val="003E0DDB"/>
    <w:rsid w:val="003E12CB"/>
    <w:rsid w:val="003E2BEA"/>
    <w:rsid w:val="003E3680"/>
    <w:rsid w:val="003E4007"/>
    <w:rsid w:val="003E409E"/>
    <w:rsid w:val="003E4120"/>
    <w:rsid w:val="003E428F"/>
    <w:rsid w:val="003E43DE"/>
    <w:rsid w:val="003E683A"/>
    <w:rsid w:val="003E7233"/>
    <w:rsid w:val="003E7FA1"/>
    <w:rsid w:val="003E7FA7"/>
    <w:rsid w:val="003EC3C9"/>
    <w:rsid w:val="003F101D"/>
    <w:rsid w:val="003F150A"/>
    <w:rsid w:val="003F1D91"/>
    <w:rsid w:val="003F2F25"/>
    <w:rsid w:val="003F33CE"/>
    <w:rsid w:val="003F33F5"/>
    <w:rsid w:val="003F3494"/>
    <w:rsid w:val="003F3D3A"/>
    <w:rsid w:val="003F444C"/>
    <w:rsid w:val="003F47E2"/>
    <w:rsid w:val="003F4AE9"/>
    <w:rsid w:val="003F4F2B"/>
    <w:rsid w:val="003F5167"/>
    <w:rsid w:val="003F545A"/>
    <w:rsid w:val="003F5F4A"/>
    <w:rsid w:val="003F6763"/>
    <w:rsid w:val="003F6B8A"/>
    <w:rsid w:val="003F7774"/>
    <w:rsid w:val="003F788F"/>
    <w:rsid w:val="003F7AE3"/>
    <w:rsid w:val="00400690"/>
    <w:rsid w:val="00401366"/>
    <w:rsid w:val="00402752"/>
    <w:rsid w:val="00402C21"/>
    <w:rsid w:val="00403352"/>
    <w:rsid w:val="004037B3"/>
    <w:rsid w:val="00403873"/>
    <w:rsid w:val="00403A4C"/>
    <w:rsid w:val="00403C3C"/>
    <w:rsid w:val="00403D2D"/>
    <w:rsid w:val="00404137"/>
    <w:rsid w:val="00405105"/>
    <w:rsid w:val="00405C34"/>
    <w:rsid w:val="00405FB1"/>
    <w:rsid w:val="00406312"/>
    <w:rsid w:val="00406BAF"/>
    <w:rsid w:val="00406D46"/>
    <w:rsid w:val="004073D0"/>
    <w:rsid w:val="00407461"/>
    <w:rsid w:val="00407D19"/>
    <w:rsid w:val="004102A1"/>
    <w:rsid w:val="00410E6A"/>
    <w:rsid w:val="00411D19"/>
    <w:rsid w:val="00412A73"/>
    <w:rsid w:val="00413E02"/>
    <w:rsid w:val="0041400A"/>
    <w:rsid w:val="004150E6"/>
    <w:rsid w:val="0041528A"/>
    <w:rsid w:val="0041573C"/>
    <w:rsid w:val="00415AF0"/>
    <w:rsid w:val="00417B96"/>
    <w:rsid w:val="00417CC2"/>
    <w:rsid w:val="004205EE"/>
    <w:rsid w:val="004206DB"/>
    <w:rsid w:val="00420721"/>
    <w:rsid w:val="00420E02"/>
    <w:rsid w:val="00420EC8"/>
    <w:rsid w:val="00421482"/>
    <w:rsid w:val="00421762"/>
    <w:rsid w:val="004219CB"/>
    <w:rsid w:val="00421B83"/>
    <w:rsid w:val="00422404"/>
    <w:rsid w:val="00422758"/>
    <w:rsid w:val="00423159"/>
    <w:rsid w:val="0042467D"/>
    <w:rsid w:val="00424732"/>
    <w:rsid w:val="00424B14"/>
    <w:rsid w:val="00424FDD"/>
    <w:rsid w:val="00425166"/>
    <w:rsid w:val="00425FA9"/>
    <w:rsid w:val="00430088"/>
    <w:rsid w:val="004309C7"/>
    <w:rsid w:val="00431493"/>
    <w:rsid w:val="004316E5"/>
    <w:rsid w:val="004327F1"/>
    <w:rsid w:val="00432B7C"/>
    <w:rsid w:val="00432D9B"/>
    <w:rsid w:val="00433B50"/>
    <w:rsid w:val="00433D90"/>
    <w:rsid w:val="004340EF"/>
    <w:rsid w:val="004343C4"/>
    <w:rsid w:val="004349E8"/>
    <w:rsid w:val="004351AD"/>
    <w:rsid w:val="004363FC"/>
    <w:rsid w:val="004378B7"/>
    <w:rsid w:val="00437ED7"/>
    <w:rsid w:val="0044076D"/>
    <w:rsid w:val="0044138D"/>
    <w:rsid w:val="0044190C"/>
    <w:rsid w:val="00442E3E"/>
    <w:rsid w:val="004434A3"/>
    <w:rsid w:val="0044370E"/>
    <w:rsid w:val="00443E09"/>
    <w:rsid w:val="004440F7"/>
    <w:rsid w:val="0044489C"/>
    <w:rsid w:val="00444D78"/>
    <w:rsid w:val="0044506B"/>
    <w:rsid w:val="004460CD"/>
    <w:rsid w:val="00447850"/>
    <w:rsid w:val="004504D3"/>
    <w:rsid w:val="004505F8"/>
    <w:rsid w:val="00450DA2"/>
    <w:rsid w:val="00450ECA"/>
    <w:rsid w:val="004511BB"/>
    <w:rsid w:val="0045186F"/>
    <w:rsid w:val="00452D8C"/>
    <w:rsid w:val="00453A82"/>
    <w:rsid w:val="00454A3F"/>
    <w:rsid w:val="00454D03"/>
    <w:rsid w:val="004557BA"/>
    <w:rsid w:val="004558CF"/>
    <w:rsid w:val="00455A09"/>
    <w:rsid w:val="00455BE0"/>
    <w:rsid w:val="00456142"/>
    <w:rsid w:val="004572B0"/>
    <w:rsid w:val="004574F9"/>
    <w:rsid w:val="00457841"/>
    <w:rsid w:val="00460D82"/>
    <w:rsid w:val="00460D8D"/>
    <w:rsid w:val="00460FFA"/>
    <w:rsid w:val="00462E76"/>
    <w:rsid w:val="00462E91"/>
    <w:rsid w:val="00464CCE"/>
    <w:rsid w:val="00465C6E"/>
    <w:rsid w:val="00465C73"/>
    <w:rsid w:val="00465CDD"/>
    <w:rsid w:val="004663EF"/>
    <w:rsid w:val="004666FF"/>
    <w:rsid w:val="00466A95"/>
    <w:rsid w:val="0046715E"/>
    <w:rsid w:val="00470DD6"/>
    <w:rsid w:val="00471418"/>
    <w:rsid w:val="004718D4"/>
    <w:rsid w:val="00472D35"/>
    <w:rsid w:val="004737D9"/>
    <w:rsid w:val="004749FC"/>
    <w:rsid w:val="00474C7C"/>
    <w:rsid w:val="0047627D"/>
    <w:rsid w:val="00476BF6"/>
    <w:rsid w:val="00477146"/>
    <w:rsid w:val="00477789"/>
    <w:rsid w:val="00477C9B"/>
    <w:rsid w:val="00480127"/>
    <w:rsid w:val="0048071A"/>
    <w:rsid w:val="00480A46"/>
    <w:rsid w:val="00481848"/>
    <w:rsid w:val="00481DBD"/>
    <w:rsid w:val="0048214A"/>
    <w:rsid w:val="004825B6"/>
    <w:rsid w:val="00482BEF"/>
    <w:rsid w:val="00482E2D"/>
    <w:rsid w:val="0048331C"/>
    <w:rsid w:val="0048411D"/>
    <w:rsid w:val="00484AB9"/>
    <w:rsid w:val="00485BB8"/>
    <w:rsid w:val="004873C2"/>
    <w:rsid w:val="00487500"/>
    <w:rsid w:val="00487965"/>
    <w:rsid w:val="00487DB9"/>
    <w:rsid w:val="004902C7"/>
    <w:rsid w:val="00493BA1"/>
    <w:rsid w:val="00493BFA"/>
    <w:rsid w:val="00495492"/>
    <w:rsid w:val="00495BEB"/>
    <w:rsid w:val="00496391"/>
    <w:rsid w:val="00497709"/>
    <w:rsid w:val="004977C3"/>
    <w:rsid w:val="004A03EF"/>
    <w:rsid w:val="004A0898"/>
    <w:rsid w:val="004A09F6"/>
    <w:rsid w:val="004A1961"/>
    <w:rsid w:val="004A323C"/>
    <w:rsid w:val="004A41A4"/>
    <w:rsid w:val="004A7002"/>
    <w:rsid w:val="004A779D"/>
    <w:rsid w:val="004B0087"/>
    <w:rsid w:val="004B04C5"/>
    <w:rsid w:val="004B1578"/>
    <w:rsid w:val="004B20D8"/>
    <w:rsid w:val="004B2208"/>
    <w:rsid w:val="004B2230"/>
    <w:rsid w:val="004B22C9"/>
    <w:rsid w:val="004B2402"/>
    <w:rsid w:val="004B291F"/>
    <w:rsid w:val="004B2A04"/>
    <w:rsid w:val="004B4A20"/>
    <w:rsid w:val="004B56E9"/>
    <w:rsid w:val="004B69F4"/>
    <w:rsid w:val="004B6CB6"/>
    <w:rsid w:val="004C0A9F"/>
    <w:rsid w:val="004C0BAC"/>
    <w:rsid w:val="004C0D34"/>
    <w:rsid w:val="004C1BAE"/>
    <w:rsid w:val="004C268C"/>
    <w:rsid w:val="004C2ECE"/>
    <w:rsid w:val="004C318D"/>
    <w:rsid w:val="004C387C"/>
    <w:rsid w:val="004C5C2D"/>
    <w:rsid w:val="004C5D54"/>
    <w:rsid w:val="004C617B"/>
    <w:rsid w:val="004C6405"/>
    <w:rsid w:val="004C6690"/>
    <w:rsid w:val="004C70F1"/>
    <w:rsid w:val="004C7183"/>
    <w:rsid w:val="004D0303"/>
    <w:rsid w:val="004D074A"/>
    <w:rsid w:val="004D0ECF"/>
    <w:rsid w:val="004D17C5"/>
    <w:rsid w:val="004D192C"/>
    <w:rsid w:val="004D1ABD"/>
    <w:rsid w:val="004D257D"/>
    <w:rsid w:val="004D2B7A"/>
    <w:rsid w:val="004D321D"/>
    <w:rsid w:val="004D3249"/>
    <w:rsid w:val="004D3AC2"/>
    <w:rsid w:val="004D3D9E"/>
    <w:rsid w:val="004D610D"/>
    <w:rsid w:val="004D612F"/>
    <w:rsid w:val="004D6295"/>
    <w:rsid w:val="004D6477"/>
    <w:rsid w:val="004D6536"/>
    <w:rsid w:val="004D695B"/>
    <w:rsid w:val="004D6987"/>
    <w:rsid w:val="004D6B96"/>
    <w:rsid w:val="004D72D9"/>
    <w:rsid w:val="004D737B"/>
    <w:rsid w:val="004D76A6"/>
    <w:rsid w:val="004E01F7"/>
    <w:rsid w:val="004E09DA"/>
    <w:rsid w:val="004E130C"/>
    <w:rsid w:val="004E175A"/>
    <w:rsid w:val="004E1EE8"/>
    <w:rsid w:val="004E255D"/>
    <w:rsid w:val="004E2A81"/>
    <w:rsid w:val="004E3108"/>
    <w:rsid w:val="004E38B3"/>
    <w:rsid w:val="004E3F91"/>
    <w:rsid w:val="004E4040"/>
    <w:rsid w:val="004E43D8"/>
    <w:rsid w:val="004E44D3"/>
    <w:rsid w:val="004E527E"/>
    <w:rsid w:val="004E55DB"/>
    <w:rsid w:val="004E596C"/>
    <w:rsid w:val="004E5AA4"/>
    <w:rsid w:val="004E5DB6"/>
    <w:rsid w:val="004E6343"/>
    <w:rsid w:val="004E6345"/>
    <w:rsid w:val="004E6494"/>
    <w:rsid w:val="004E7D42"/>
    <w:rsid w:val="004F02B1"/>
    <w:rsid w:val="004F11AA"/>
    <w:rsid w:val="004F1713"/>
    <w:rsid w:val="004F1901"/>
    <w:rsid w:val="004F1AA1"/>
    <w:rsid w:val="004F343B"/>
    <w:rsid w:val="004F5AC8"/>
    <w:rsid w:val="004F5F01"/>
    <w:rsid w:val="004F5F57"/>
    <w:rsid w:val="004F65A5"/>
    <w:rsid w:val="004F69A6"/>
    <w:rsid w:val="004F6B09"/>
    <w:rsid w:val="004F796B"/>
    <w:rsid w:val="004FE29F"/>
    <w:rsid w:val="00500EC1"/>
    <w:rsid w:val="00501361"/>
    <w:rsid w:val="00501723"/>
    <w:rsid w:val="00503646"/>
    <w:rsid w:val="0050446C"/>
    <w:rsid w:val="00504BE0"/>
    <w:rsid w:val="00505456"/>
    <w:rsid w:val="00507D37"/>
    <w:rsid w:val="0051159A"/>
    <w:rsid w:val="0051300B"/>
    <w:rsid w:val="00513099"/>
    <w:rsid w:val="005137B1"/>
    <w:rsid w:val="0051387D"/>
    <w:rsid w:val="00513ABA"/>
    <w:rsid w:val="005140D2"/>
    <w:rsid w:val="005145C3"/>
    <w:rsid w:val="0051517A"/>
    <w:rsid w:val="00515217"/>
    <w:rsid w:val="005153CD"/>
    <w:rsid w:val="005153EC"/>
    <w:rsid w:val="00517724"/>
    <w:rsid w:val="00517983"/>
    <w:rsid w:val="00520727"/>
    <w:rsid w:val="005207D8"/>
    <w:rsid w:val="00520937"/>
    <w:rsid w:val="00521970"/>
    <w:rsid w:val="00521CFD"/>
    <w:rsid w:val="00521DDF"/>
    <w:rsid w:val="0052210D"/>
    <w:rsid w:val="005227FC"/>
    <w:rsid w:val="005230E4"/>
    <w:rsid w:val="00523C7C"/>
    <w:rsid w:val="00523D0F"/>
    <w:rsid w:val="00523E23"/>
    <w:rsid w:val="00523F88"/>
    <w:rsid w:val="00524DE4"/>
    <w:rsid w:val="00524FBA"/>
    <w:rsid w:val="00524FE5"/>
    <w:rsid w:val="00526215"/>
    <w:rsid w:val="005264A0"/>
    <w:rsid w:val="0052BD3D"/>
    <w:rsid w:val="00531157"/>
    <w:rsid w:val="00531882"/>
    <w:rsid w:val="00533199"/>
    <w:rsid w:val="00533273"/>
    <w:rsid w:val="005340D0"/>
    <w:rsid w:val="005349BE"/>
    <w:rsid w:val="00534DA9"/>
    <w:rsid w:val="00536E5A"/>
    <w:rsid w:val="00536FFA"/>
    <w:rsid w:val="0053798F"/>
    <w:rsid w:val="005405D2"/>
    <w:rsid w:val="005421B0"/>
    <w:rsid w:val="0054275A"/>
    <w:rsid w:val="00542AED"/>
    <w:rsid w:val="005465BD"/>
    <w:rsid w:val="0054697D"/>
    <w:rsid w:val="00547339"/>
    <w:rsid w:val="00547470"/>
    <w:rsid w:val="00547A6C"/>
    <w:rsid w:val="005505CD"/>
    <w:rsid w:val="0055129C"/>
    <w:rsid w:val="00552594"/>
    <w:rsid w:val="0055323A"/>
    <w:rsid w:val="00553731"/>
    <w:rsid w:val="00553850"/>
    <w:rsid w:val="00553AC9"/>
    <w:rsid w:val="0055450D"/>
    <w:rsid w:val="00555068"/>
    <w:rsid w:val="005550EF"/>
    <w:rsid w:val="005562F7"/>
    <w:rsid w:val="00557379"/>
    <w:rsid w:val="00557411"/>
    <w:rsid w:val="005579F9"/>
    <w:rsid w:val="00557B2D"/>
    <w:rsid w:val="0056045F"/>
    <w:rsid w:val="0056073A"/>
    <w:rsid w:val="00560FD0"/>
    <w:rsid w:val="005626AD"/>
    <w:rsid w:val="00562F35"/>
    <w:rsid w:val="00563577"/>
    <w:rsid w:val="00563C39"/>
    <w:rsid w:val="00564572"/>
    <w:rsid w:val="00565801"/>
    <w:rsid w:val="00567A06"/>
    <w:rsid w:val="00567C6E"/>
    <w:rsid w:val="00570F90"/>
    <w:rsid w:val="005717C8"/>
    <w:rsid w:val="0057180C"/>
    <w:rsid w:val="00571C1C"/>
    <w:rsid w:val="00571DE7"/>
    <w:rsid w:val="00573061"/>
    <w:rsid w:val="005731B1"/>
    <w:rsid w:val="00573B4F"/>
    <w:rsid w:val="00573F66"/>
    <w:rsid w:val="00575926"/>
    <w:rsid w:val="00576800"/>
    <w:rsid w:val="00577415"/>
    <w:rsid w:val="00577CE7"/>
    <w:rsid w:val="0058070A"/>
    <w:rsid w:val="00581857"/>
    <w:rsid w:val="00581C4A"/>
    <w:rsid w:val="00582302"/>
    <w:rsid w:val="005825DB"/>
    <w:rsid w:val="00582639"/>
    <w:rsid w:val="00582BD7"/>
    <w:rsid w:val="00582CCD"/>
    <w:rsid w:val="00583BC8"/>
    <w:rsid w:val="005849C2"/>
    <w:rsid w:val="00584BF4"/>
    <w:rsid w:val="00584F6D"/>
    <w:rsid w:val="00585185"/>
    <w:rsid w:val="005858C0"/>
    <w:rsid w:val="005858D4"/>
    <w:rsid w:val="00586602"/>
    <w:rsid w:val="00587877"/>
    <w:rsid w:val="005901F0"/>
    <w:rsid w:val="005902CA"/>
    <w:rsid w:val="0059062B"/>
    <w:rsid w:val="005907D4"/>
    <w:rsid w:val="00590E8F"/>
    <w:rsid w:val="005923FE"/>
    <w:rsid w:val="00593A15"/>
    <w:rsid w:val="005945BF"/>
    <w:rsid w:val="005945C8"/>
    <w:rsid w:val="00595387"/>
    <w:rsid w:val="005953B0"/>
    <w:rsid w:val="00595716"/>
    <w:rsid w:val="00595869"/>
    <w:rsid w:val="00596BEE"/>
    <w:rsid w:val="00596F25"/>
    <w:rsid w:val="00597AD8"/>
    <w:rsid w:val="00597BB4"/>
    <w:rsid w:val="005A0EE5"/>
    <w:rsid w:val="005A13FE"/>
    <w:rsid w:val="005A2CA0"/>
    <w:rsid w:val="005A331E"/>
    <w:rsid w:val="005A39E2"/>
    <w:rsid w:val="005A4FAE"/>
    <w:rsid w:val="005A5067"/>
    <w:rsid w:val="005A5533"/>
    <w:rsid w:val="005A5DD8"/>
    <w:rsid w:val="005B0344"/>
    <w:rsid w:val="005B0562"/>
    <w:rsid w:val="005B0D9A"/>
    <w:rsid w:val="005B1188"/>
    <w:rsid w:val="005B11AD"/>
    <w:rsid w:val="005B15E3"/>
    <w:rsid w:val="005B1AB7"/>
    <w:rsid w:val="005B1B76"/>
    <w:rsid w:val="005B1CC1"/>
    <w:rsid w:val="005B2691"/>
    <w:rsid w:val="005B29CF"/>
    <w:rsid w:val="005B3973"/>
    <w:rsid w:val="005B43AA"/>
    <w:rsid w:val="005B488E"/>
    <w:rsid w:val="005B4895"/>
    <w:rsid w:val="005B49C8"/>
    <w:rsid w:val="005B4DDC"/>
    <w:rsid w:val="005B607C"/>
    <w:rsid w:val="005B69B7"/>
    <w:rsid w:val="005B71A1"/>
    <w:rsid w:val="005B757D"/>
    <w:rsid w:val="005B7B8A"/>
    <w:rsid w:val="005C02F8"/>
    <w:rsid w:val="005C048C"/>
    <w:rsid w:val="005C0D11"/>
    <w:rsid w:val="005C10DD"/>
    <w:rsid w:val="005C1161"/>
    <w:rsid w:val="005C14F1"/>
    <w:rsid w:val="005C17B5"/>
    <w:rsid w:val="005C1E57"/>
    <w:rsid w:val="005C2133"/>
    <w:rsid w:val="005C24C0"/>
    <w:rsid w:val="005C2D2A"/>
    <w:rsid w:val="005C3458"/>
    <w:rsid w:val="005C35D2"/>
    <w:rsid w:val="005C497E"/>
    <w:rsid w:val="005C4B7F"/>
    <w:rsid w:val="005C51BE"/>
    <w:rsid w:val="005C5345"/>
    <w:rsid w:val="005C5571"/>
    <w:rsid w:val="005C5699"/>
    <w:rsid w:val="005C5EEF"/>
    <w:rsid w:val="005C61CA"/>
    <w:rsid w:val="005C633A"/>
    <w:rsid w:val="005C7571"/>
    <w:rsid w:val="005C7886"/>
    <w:rsid w:val="005D08BF"/>
    <w:rsid w:val="005D0C86"/>
    <w:rsid w:val="005D1F76"/>
    <w:rsid w:val="005D2337"/>
    <w:rsid w:val="005D26B6"/>
    <w:rsid w:val="005D275C"/>
    <w:rsid w:val="005D288C"/>
    <w:rsid w:val="005D3729"/>
    <w:rsid w:val="005D4743"/>
    <w:rsid w:val="005D4773"/>
    <w:rsid w:val="005D5EA2"/>
    <w:rsid w:val="005D62D4"/>
    <w:rsid w:val="005D63A3"/>
    <w:rsid w:val="005D676A"/>
    <w:rsid w:val="005D6C88"/>
    <w:rsid w:val="005D7630"/>
    <w:rsid w:val="005D7841"/>
    <w:rsid w:val="005D7AE9"/>
    <w:rsid w:val="005E02C0"/>
    <w:rsid w:val="005E0BF1"/>
    <w:rsid w:val="005E19ED"/>
    <w:rsid w:val="005E2F1E"/>
    <w:rsid w:val="005E3EB3"/>
    <w:rsid w:val="005E46A1"/>
    <w:rsid w:val="005E4A0D"/>
    <w:rsid w:val="005E4CC8"/>
    <w:rsid w:val="005E4E21"/>
    <w:rsid w:val="005E60DF"/>
    <w:rsid w:val="005E642D"/>
    <w:rsid w:val="005E6470"/>
    <w:rsid w:val="005E7593"/>
    <w:rsid w:val="005F0302"/>
    <w:rsid w:val="005F0687"/>
    <w:rsid w:val="005F0943"/>
    <w:rsid w:val="005F0BDF"/>
    <w:rsid w:val="005F0FC7"/>
    <w:rsid w:val="005F1D9D"/>
    <w:rsid w:val="005F2413"/>
    <w:rsid w:val="005F2E2F"/>
    <w:rsid w:val="005F3CD0"/>
    <w:rsid w:val="005F3F1F"/>
    <w:rsid w:val="005F4340"/>
    <w:rsid w:val="005F4568"/>
    <w:rsid w:val="005F4A36"/>
    <w:rsid w:val="005F5AE8"/>
    <w:rsid w:val="005F5BD3"/>
    <w:rsid w:val="0060045A"/>
    <w:rsid w:val="00601467"/>
    <w:rsid w:val="0060178B"/>
    <w:rsid w:val="0060189F"/>
    <w:rsid w:val="00603078"/>
    <w:rsid w:val="006030E9"/>
    <w:rsid w:val="0060512C"/>
    <w:rsid w:val="00605357"/>
    <w:rsid w:val="00605571"/>
    <w:rsid w:val="006055AD"/>
    <w:rsid w:val="00605896"/>
    <w:rsid w:val="006060EF"/>
    <w:rsid w:val="00607718"/>
    <w:rsid w:val="0060782F"/>
    <w:rsid w:val="00607DF6"/>
    <w:rsid w:val="00610C87"/>
    <w:rsid w:val="00611550"/>
    <w:rsid w:val="00611B65"/>
    <w:rsid w:val="00612D3C"/>
    <w:rsid w:val="0061305E"/>
    <w:rsid w:val="00613414"/>
    <w:rsid w:val="00613D1A"/>
    <w:rsid w:val="00614FFE"/>
    <w:rsid w:val="006159BC"/>
    <w:rsid w:val="00615EC5"/>
    <w:rsid w:val="00616984"/>
    <w:rsid w:val="006176E2"/>
    <w:rsid w:val="0062001B"/>
    <w:rsid w:val="0062095B"/>
    <w:rsid w:val="006211EF"/>
    <w:rsid w:val="00621A60"/>
    <w:rsid w:val="00622E58"/>
    <w:rsid w:val="00623441"/>
    <w:rsid w:val="0062362D"/>
    <w:rsid w:val="0062367B"/>
    <w:rsid w:val="00624065"/>
    <w:rsid w:val="006245A7"/>
    <w:rsid w:val="006245AD"/>
    <w:rsid w:val="00625116"/>
    <w:rsid w:val="006253AD"/>
    <w:rsid w:val="0062593D"/>
    <w:rsid w:val="00625E50"/>
    <w:rsid w:val="006268B9"/>
    <w:rsid w:val="00631583"/>
    <w:rsid w:val="00631724"/>
    <w:rsid w:val="006324D1"/>
    <w:rsid w:val="006325D3"/>
    <w:rsid w:val="0063283C"/>
    <w:rsid w:val="0063360E"/>
    <w:rsid w:val="0063383B"/>
    <w:rsid w:val="00633C4A"/>
    <w:rsid w:val="00633C91"/>
    <w:rsid w:val="00633E4F"/>
    <w:rsid w:val="00634E51"/>
    <w:rsid w:val="0063508D"/>
    <w:rsid w:val="006355C8"/>
    <w:rsid w:val="00637A2C"/>
    <w:rsid w:val="00637E7B"/>
    <w:rsid w:val="00637EB5"/>
    <w:rsid w:val="0064024C"/>
    <w:rsid w:val="00640D2D"/>
    <w:rsid w:val="00640FA2"/>
    <w:rsid w:val="0064103B"/>
    <w:rsid w:val="00641287"/>
    <w:rsid w:val="00642E7C"/>
    <w:rsid w:val="0064495E"/>
    <w:rsid w:val="00646008"/>
    <w:rsid w:val="0064608D"/>
    <w:rsid w:val="00646091"/>
    <w:rsid w:val="00646513"/>
    <w:rsid w:val="00646B80"/>
    <w:rsid w:val="00646F19"/>
    <w:rsid w:val="0064703D"/>
    <w:rsid w:val="00647BEF"/>
    <w:rsid w:val="0065030B"/>
    <w:rsid w:val="006504AA"/>
    <w:rsid w:val="006509A9"/>
    <w:rsid w:val="00650D93"/>
    <w:rsid w:val="00652456"/>
    <w:rsid w:val="006528FA"/>
    <w:rsid w:val="0065303F"/>
    <w:rsid w:val="00653176"/>
    <w:rsid w:val="00653D12"/>
    <w:rsid w:val="00655370"/>
    <w:rsid w:val="00655993"/>
    <w:rsid w:val="006565DC"/>
    <w:rsid w:val="00657E5D"/>
    <w:rsid w:val="00657FCD"/>
    <w:rsid w:val="0066086A"/>
    <w:rsid w:val="00661653"/>
    <w:rsid w:val="006616CF"/>
    <w:rsid w:val="0066216B"/>
    <w:rsid w:val="006630A4"/>
    <w:rsid w:val="00663B7F"/>
    <w:rsid w:val="00663E26"/>
    <w:rsid w:val="006642B9"/>
    <w:rsid w:val="006662A0"/>
    <w:rsid w:val="006677C1"/>
    <w:rsid w:val="00667E4F"/>
    <w:rsid w:val="006715A2"/>
    <w:rsid w:val="00671997"/>
    <w:rsid w:val="00671E69"/>
    <w:rsid w:val="0067412C"/>
    <w:rsid w:val="0067595C"/>
    <w:rsid w:val="00675AEC"/>
    <w:rsid w:val="00675C16"/>
    <w:rsid w:val="006760B7"/>
    <w:rsid w:val="00676E30"/>
    <w:rsid w:val="0067709B"/>
    <w:rsid w:val="0067727E"/>
    <w:rsid w:val="00677396"/>
    <w:rsid w:val="00677431"/>
    <w:rsid w:val="00677BAB"/>
    <w:rsid w:val="00677CC3"/>
    <w:rsid w:val="00677E13"/>
    <w:rsid w:val="006803BE"/>
    <w:rsid w:val="006803DC"/>
    <w:rsid w:val="00681732"/>
    <w:rsid w:val="00681E1B"/>
    <w:rsid w:val="00681E73"/>
    <w:rsid w:val="00682512"/>
    <w:rsid w:val="00682DC0"/>
    <w:rsid w:val="006854DD"/>
    <w:rsid w:val="00686D35"/>
    <w:rsid w:val="00686EDE"/>
    <w:rsid w:val="00687BD2"/>
    <w:rsid w:val="0069069F"/>
    <w:rsid w:val="00690751"/>
    <w:rsid w:val="00691459"/>
    <w:rsid w:val="00694110"/>
    <w:rsid w:val="006948E0"/>
    <w:rsid w:val="00696D65"/>
    <w:rsid w:val="00696E66"/>
    <w:rsid w:val="00697249"/>
    <w:rsid w:val="00697519"/>
    <w:rsid w:val="006975E3"/>
    <w:rsid w:val="006A0A18"/>
    <w:rsid w:val="006A1857"/>
    <w:rsid w:val="006A19CC"/>
    <w:rsid w:val="006A24A2"/>
    <w:rsid w:val="006A2800"/>
    <w:rsid w:val="006A2B42"/>
    <w:rsid w:val="006A2EB3"/>
    <w:rsid w:val="006A2F5C"/>
    <w:rsid w:val="006A3CCB"/>
    <w:rsid w:val="006A497E"/>
    <w:rsid w:val="006A5F98"/>
    <w:rsid w:val="006A63C5"/>
    <w:rsid w:val="006A6BC1"/>
    <w:rsid w:val="006A6CC7"/>
    <w:rsid w:val="006A7750"/>
    <w:rsid w:val="006A7853"/>
    <w:rsid w:val="006B0795"/>
    <w:rsid w:val="006B0C66"/>
    <w:rsid w:val="006B1786"/>
    <w:rsid w:val="006B17B8"/>
    <w:rsid w:val="006B3373"/>
    <w:rsid w:val="006B44E0"/>
    <w:rsid w:val="006B4AEA"/>
    <w:rsid w:val="006B5DAF"/>
    <w:rsid w:val="006B5F41"/>
    <w:rsid w:val="006B6DB3"/>
    <w:rsid w:val="006B6E39"/>
    <w:rsid w:val="006B743B"/>
    <w:rsid w:val="006B7731"/>
    <w:rsid w:val="006B7C32"/>
    <w:rsid w:val="006B7F5F"/>
    <w:rsid w:val="006C02B6"/>
    <w:rsid w:val="006C057A"/>
    <w:rsid w:val="006C224D"/>
    <w:rsid w:val="006C30D0"/>
    <w:rsid w:val="006C4209"/>
    <w:rsid w:val="006C457B"/>
    <w:rsid w:val="006C4F59"/>
    <w:rsid w:val="006C4FAD"/>
    <w:rsid w:val="006C53C5"/>
    <w:rsid w:val="006C59FA"/>
    <w:rsid w:val="006C5EC1"/>
    <w:rsid w:val="006C5FF7"/>
    <w:rsid w:val="006C65D9"/>
    <w:rsid w:val="006C6CF3"/>
    <w:rsid w:val="006C73A5"/>
    <w:rsid w:val="006C7F2F"/>
    <w:rsid w:val="006D0213"/>
    <w:rsid w:val="006D074C"/>
    <w:rsid w:val="006D0C01"/>
    <w:rsid w:val="006D141D"/>
    <w:rsid w:val="006D2B42"/>
    <w:rsid w:val="006D35AC"/>
    <w:rsid w:val="006D5080"/>
    <w:rsid w:val="006D50E8"/>
    <w:rsid w:val="006D53B0"/>
    <w:rsid w:val="006D564C"/>
    <w:rsid w:val="006D57F2"/>
    <w:rsid w:val="006D5ED5"/>
    <w:rsid w:val="006D5F0C"/>
    <w:rsid w:val="006D5FC9"/>
    <w:rsid w:val="006E00E1"/>
    <w:rsid w:val="006E06B2"/>
    <w:rsid w:val="006E09E4"/>
    <w:rsid w:val="006E1864"/>
    <w:rsid w:val="006E2340"/>
    <w:rsid w:val="006E25DB"/>
    <w:rsid w:val="006E27AC"/>
    <w:rsid w:val="006E2A0C"/>
    <w:rsid w:val="006E2A80"/>
    <w:rsid w:val="006E2BE7"/>
    <w:rsid w:val="006E3710"/>
    <w:rsid w:val="006E3B0E"/>
    <w:rsid w:val="006E4B40"/>
    <w:rsid w:val="006E5141"/>
    <w:rsid w:val="006E6F1E"/>
    <w:rsid w:val="006E7424"/>
    <w:rsid w:val="006F0676"/>
    <w:rsid w:val="006F0FBC"/>
    <w:rsid w:val="006F1841"/>
    <w:rsid w:val="006F1EAA"/>
    <w:rsid w:val="006F3F47"/>
    <w:rsid w:val="006F4141"/>
    <w:rsid w:val="006F41F2"/>
    <w:rsid w:val="006F4231"/>
    <w:rsid w:val="006F56D9"/>
    <w:rsid w:val="006F66C2"/>
    <w:rsid w:val="006F787B"/>
    <w:rsid w:val="00700B3D"/>
    <w:rsid w:val="00701816"/>
    <w:rsid w:val="00703052"/>
    <w:rsid w:val="0070327D"/>
    <w:rsid w:val="007040C5"/>
    <w:rsid w:val="00704681"/>
    <w:rsid w:val="007055F9"/>
    <w:rsid w:val="00705ADD"/>
    <w:rsid w:val="00705C67"/>
    <w:rsid w:val="00705CB2"/>
    <w:rsid w:val="00706A14"/>
    <w:rsid w:val="00706A1E"/>
    <w:rsid w:val="007074D3"/>
    <w:rsid w:val="0070779F"/>
    <w:rsid w:val="0071055A"/>
    <w:rsid w:val="00710B03"/>
    <w:rsid w:val="007123F9"/>
    <w:rsid w:val="007127BC"/>
    <w:rsid w:val="007128E5"/>
    <w:rsid w:val="00712A4E"/>
    <w:rsid w:val="00712CC2"/>
    <w:rsid w:val="0071536B"/>
    <w:rsid w:val="007157C4"/>
    <w:rsid w:val="00715DE3"/>
    <w:rsid w:val="00715E09"/>
    <w:rsid w:val="00716AA4"/>
    <w:rsid w:val="00716C22"/>
    <w:rsid w:val="0071726B"/>
    <w:rsid w:val="00717C33"/>
    <w:rsid w:val="007207D5"/>
    <w:rsid w:val="0072096A"/>
    <w:rsid w:val="00720E03"/>
    <w:rsid w:val="00721288"/>
    <w:rsid w:val="0072156C"/>
    <w:rsid w:val="00722392"/>
    <w:rsid w:val="0072249F"/>
    <w:rsid w:val="007231E5"/>
    <w:rsid w:val="00723BFA"/>
    <w:rsid w:val="00723EF9"/>
    <w:rsid w:val="00724E10"/>
    <w:rsid w:val="007262DE"/>
    <w:rsid w:val="007267E4"/>
    <w:rsid w:val="0072733B"/>
    <w:rsid w:val="00727AFF"/>
    <w:rsid w:val="00727F11"/>
    <w:rsid w:val="007300B2"/>
    <w:rsid w:val="00731950"/>
    <w:rsid w:val="00731D3B"/>
    <w:rsid w:val="007327F6"/>
    <w:rsid w:val="0073313B"/>
    <w:rsid w:val="00733759"/>
    <w:rsid w:val="0073387F"/>
    <w:rsid w:val="007338C0"/>
    <w:rsid w:val="00733E23"/>
    <w:rsid w:val="00733ED3"/>
    <w:rsid w:val="00734592"/>
    <w:rsid w:val="00734B4A"/>
    <w:rsid w:val="0073697B"/>
    <w:rsid w:val="0073777D"/>
    <w:rsid w:val="0073BD33"/>
    <w:rsid w:val="00740DF8"/>
    <w:rsid w:val="00741612"/>
    <w:rsid w:val="00742142"/>
    <w:rsid w:val="007429D8"/>
    <w:rsid w:val="00742EA2"/>
    <w:rsid w:val="00743378"/>
    <w:rsid w:val="007439E2"/>
    <w:rsid w:val="00744AAA"/>
    <w:rsid w:val="00745257"/>
    <w:rsid w:val="00745BCB"/>
    <w:rsid w:val="00745BF8"/>
    <w:rsid w:val="0074669A"/>
    <w:rsid w:val="007471CE"/>
    <w:rsid w:val="0075086F"/>
    <w:rsid w:val="00750927"/>
    <w:rsid w:val="00750F2E"/>
    <w:rsid w:val="00751241"/>
    <w:rsid w:val="00752242"/>
    <w:rsid w:val="0075267C"/>
    <w:rsid w:val="007528C8"/>
    <w:rsid w:val="00752C75"/>
    <w:rsid w:val="00753423"/>
    <w:rsid w:val="0075394A"/>
    <w:rsid w:val="00753F84"/>
    <w:rsid w:val="00754186"/>
    <w:rsid w:val="00754586"/>
    <w:rsid w:val="007546A1"/>
    <w:rsid w:val="00755090"/>
    <w:rsid w:val="0075514F"/>
    <w:rsid w:val="007555ED"/>
    <w:rsid w:val="007556DD"/>
    <w:rsid w:val="00755C3D"/>
    <w:rsid w:val="00755F6F"/>
    <w:rsid w:val="007568AC"/>
    <w:rsid w:val="00757260"/>
    <w:rsid w:val="00757C57"/>
    <w:rsid w:val="007603A7"/>
    <w:rsid w:val="00760C64"/>
    <w:rsid w:val="0076179F"/>
    <w:rsid w:val="00761B2A"/>
    <w:rsid w:val="007623BA"/>
    <w:rsid w:val="007624D0"/>
    <w:rsid w:val="0076276C"/>
    <w:rsid w:val="007627E1"/>
    <w:rsid w:val="00762BBE"/>
    <w:rsid w:val="007630A7"/>
    <w:rsid w:val="00764B52"/>
    <w:rsid w:val="00765117"/>
    <w:rsid w:val="0076581C"/>
    <w:rsid w:val="007658E6"/>
    <w:rsid w:val="00767159"/>
    <w:rsid w:val="0076723F"/>
    <w:rsid w:val="007678BC"/>
    <w:rsid w:val="00767C1D"/>
    <w:rsid w:val="00771410"/>
    <w:rsid w:val="00771556"/>
    <w:rsid w:val="0077158A"/>
    <w:rsid w:val="00771A04"/>
    <w:rsid w:val="00772733"/>
    <w:rsid w:val="00772F99"/>
    <w:rsid w:val="00772FE8"/>
    <w:rsid w:val="00773305"/>
    <w:rsid w:val="00773B22"/>
    <w:rsid w:val="007755E2"/>
    <w:rsid w:val="00775A8C"/>
    <w:rsid w:val="00776155"/>
    <w:rsid w:val="00776294"/>
    <w:rsid w:val="00776472"/>
    <w:rsid w:val="0077655C"/>
    <w:rsid w:val="00776812"/>
    <w:rsid w:val="00776F05"/>
    <w:rsid w:val="00777097"/>
    <w:rsid w:val="0077715B"/>
    <w:rsid w:val="00777E80"/>
    <w:rsid w:val="00780467"/>
    <w:rsid w:val="00781940"/>
    <w:rsid w:val="007825B7"/>
    <w:rsid w:val="00782785"/>
    <w:rsid w:val="007845D4"/>
    <w:rsid w:val="00784919"/>
    <w:rsid w:val="00785E9F"/>
    <w:rsid w:val="00785EC0"/>
    <w:rsid w:val="007913C5"/>
    <w:rsid w:val="00792755"/>
    <w:rsid w:val="0079335D"/>
    <w:rsid w:val="00793ADB"/>
    <w:rsid w:val="00793D5D"/>
    <w:rsid w:val="00794547"/>
    <w:rsid w:val="00794CC2"/>
    <w:rsid w:val="00795D05"/>
    <w:rsid w:val="00796919"/>
    <w:rsid w:val="00797BA1"/>
    <w:rsid w:val="007A1146"/>
    <w:rsid w:val="007A1528"/>
    <w:rsid w:val="007A196C"/>
    <w:rsid w:val="007A1E81"/>
    <w:rsid w:val="007A20F8"/>
    <w:rsid w:val="007A2983"/>
    <w:rsid w:val="007A3060"/>
    <w:rsid w:val="007A3D39"/>
    <w:rsid w:val="007A3E53"/>
    <w:rsid w:val="007A4120"/>
    <w:rsid w:val="007A4144"/>
    <w:rsid w:val="007A42D1"/>
    <w:rsid w:val="007A59D4"/>
    <w:rsid w:val="007A5C18"/>
    <w:rsid w:val="007A5D2F"/>
    <w:rsid w:val="007A5F69"/>
    <w:rsid w:val="007A5F7C"/>
    <w:rsid w:val="007A5FA4"/>
    <w:rsid w:val="007A6925"/>
    <w:rsid w:val="007A6E0D"/>
    <w:rsid w:val="007A6E87"/>
    <w:rsid w:val="007A74C3"/>
    <w:rsid w:val="007A7744"/>
    <w:rsid w:val="007A789E"/>
    <w:rsid w:val="007B064D"/>
    <w:rsid w:val="007B1D31"/>
    <w:rsid w:val="007B206B"/>
    <w:rsid w:val="007B2CA5"/>
    <w:rsid w:val="007B329C"/>
    <w:rsid w:val="007B48BB"/>
    <w:rsid w:val="007B4C63"/>
    <w:rsid w:val="007B5622"/>
    <w:rsid w:val="007B5E22"/>
    <w:rsid w:val="007B6EF8"/>
    <w:rsid w:val="007B7235"/>
    <w:rsid w:val="007C1936"/>
    <w:rsid w:val="007C2008"/>
    <w:rsid w:val="007C3E32"/>
    <w:rsid w:val="007C5413"/>
    <w:rsid w:val="007C67FF"/>
    <w:rsid w:val="007C6AF4"/>
    <w:rsid w:val="007C7379"/>
    <w:rsid w:val="007C7EAC"/>
    <w:rsid w:val="007C7F26"/>
    <w:rsid w:val="007D03A6"/>
    <w:rsid w:val="007D04DC"/>
    <w:rsid w:val="007D17AD"/>
    <w:rsid w:val="007D1AF0"/>
    <w:rsid w:val="007D1EEE"/>
    <w:rsid w:val="007D257D"/>
    <w:rsid w:val="007D25BE"/>
    <w:rsid w:val="007D2DE7"/>
    <w:rsid w:val="007D334D"/>
    <w:rsid w:val="007D3754"/>
    <w:rsid w:val="007D3ACE"/>
    <w:rsid w:val="007D44F1"/>
    <w:rsid w:val="007D4669"/>
    <w:rsid w:val="007D52ED"/>
    <w:rsid w:val="007D55DF"/>
    <w:rsid w:val="007D56DD"/>
    <w:rsid w:val="007D58FD"/>
    <w:rsid w:val="007D5C38"/>
    <w:rsid w:val="007D5CA3"/>
    <w:rsid w:val="007D5E37"/>
    <w:rsid w:val="007D6A27"/>
    <w:rsid w:val="007E0142"/>
    <w:rsid w:val="007E04F7"/>
    <w:rsid w:val="007E0641"/>
    <w:rsid w:val="007E0D10"/>
    <w:rsid w:val="007E2A40"/>
    <w:rsid w:val="007E2BA1"/>
    <w:rsid w:val="007E3803"/>
    <w:rsid w:val="007E3A59"/>
    <w:rsid w:val="007E4B70"/>
    <w:rsid w:val="007E52E0"/>
    <w:rsid w:val="007E588C"/>
    <w:rsid w:val="007E5E39"/>
    <w:rsid w:val="007E686B"/>
    <w:rsid w:val="007E6B10"/>
    <w:rsid w:val="007E7155"/>
    <w:rsid w:val="007E78CA"/>
    <w:rsid w:val="007E79CB"/>
    <w:rsid w:val="007E7A08"/>
    <w:rsid w:val="007E7E55"/>
    <w:rsid w:val="007F08DF"/>
    <w:rsid w:val="007F172D"/>
    <w:rsid w:val="007F1E13"/>
    <w:rsid w:val="007F1E9A"/>
    <w:rsid w:val="007F20B9"/>
    <w:rsid w:val="007F3FBF"/>
    <w:rsid w:val="007F4B13"/>
    <w:rsid w:val="007F5152"/>
    <w:rsid w:val="007F57FF"/>
    <w:rsid w:val="007F5A74"/>
    <w:rsid w:val="007F5EA7"/>
    <w:rsid w:val="007F7350"/>
    <w:rsid w:val="007F778B"/>
    <w:rsid w:val="00800547"/>
    <w:rsid w:val="00800894"/>
    <w:rsid w:val="0080092B"/>
    <w:rsid w:val="008009EB"/>
    <w:rsid w:val="00801987"/>
    <w:rsid w:val="008019B4"/>
    <w:rsid w:val="00801A78"/>
    <w:rsid w:val="00801FC2"/>
    <w:rsid w:val="00802969"/>
    <w:rsid w:val="00803A03"/>
    <w:rsid w:val="0080447C"/>
    <w:rsid w:val="0080453C"/>
    <w:rsid w:val="00804E11"/>
    <w:rsid w:val="008057CC"/>
    <w:rsid w:val="0080586C"/>
    <w:rsid w:val="00805BC6"/>
    <w:rsid w:val="008069C0"/>
    <w:rsid w:val="008076FD"/>
    <w:rsid w:val="0080775D"/>
    <w:rsid w:val="00810274"/>
    <w:rsid w:val="00810D63"/>
    <w:rsid w:val="00810E68"/>
    <w:rsid w:val="00810F04"/>
    <w:rsid w:val="00812177"/>
    <w:rsid w:val="00812326"/>
    <w:rsid w:val="00812698"/>
    <w:rsid w:val="00814DF4"/>
    <w:rsid w:val="00815825"/>
    <w:rsid w:val="00816207"/>
    <w:rsid w:val="008173F4"/>
    <w:rsid w:val="00817A63"/>
    <w:rsid w:val="00817B51"/>
    <w:rsid w:val="00817F09"/>
    <w:rsid w:val="00820113"/>
    <w:rsid w:val="0082035A"/>
    <w:rsid w:val="00820CC7"/>
    <w:rsid w:val="0082130C"/>
    <w:rsid w:val="00822215"/>
    <w:rsid w:val="00822E1B"/>
    <w:rsid w:val="008248DE"/>
    <w:rsid w:val="00824D69"/>
    <w:rsid w:val="00824F60"/>
    <w:rsid w:val="008250BF"/>
    <w:rsid w:val="00825C11"/>
    <w:rsid w:val="008278BE"/>
    <w:rsid w:val="008279A1"/>
    <w:rsid w:val="00827A23"/>
    <w:rsid w:val="00831FFD"/>
    <w:rsid w:val="0083259A"/>
    <w:rsid w:val="008332B9"/>
    <w:rsid w:val="00833505"/>
    <w:rsid w:val="00833DC6"/>
    <w:rsid w:val="00834080"/>
    <w:rsid w:val="008346C8"/>
    <w:rsid w:val="00834738"/>
    <w:rsid w:val="00834B36"/>
    <w:rsid w:val="00834E35"/>
    <w:rsid w:val="00834EA5"/>
    <w:rsid w:val="008359BB"/>
    <w:rsid w:val="00836C42"/>
    <w:rsid w:val="00836D35"/>
    <w:rsid w:val="00837371"/>
    <w:rsid w:val="00837F94"/>
    <w:rsid w:val="0084053F"/>
    <w:rsid w:val="0084083C"/>
    <w:rsid w:val="0084095F"/>
    <w:rsid w:val="0084105B"/>
    <w:rsid w:val="008411D2"/>
    <w:rsid w:val="0084159C"/>
    <w:rsid w:val="00841B3D"/>
    <w:rsid w:val="008420C1"/>
    <w:rsid w:val="00842106"/>
    <w:rsid w:val="00842F20"/>
    <w:rsid w:val="0084303E"/>
    <w:rsid w:val="008436F9"/>
    <w:rsid w:val="008437C8"/>
    <w:rsid w:val="00843A80"/>
    <w:rsid w:val="00844652"/>
    <w:rsid w:val="00845796"/>
    <w:rsid w:val="00846AAA"/>
    <w:rsid w:val="00847255"/>
    <w:rsid w:val="00853147"/>
    <w:rsid w:val="00856837"/>
    <w:rsid w:val="008569AE"/>
    <w:rsid w:val="00857C7C"/>
    <w:rsid w:val="00861214"/>
    <w:rsid w:val="0086229F"/>
    <w:rsid w:val="00862F7E"/>
    <w:rsid w:val="00863279"/>
    <w:rsid w:val="00863364"/>
    <w:rsid w:val="00863BEE"/>
    <w:rsid w:val="00863F87"/>
    <w:rsid w:val="00863FB8"/>
    <w:rsid w:val="008640D7"/>
    <w:rsid w:val="00864486"/>
    <w:rsid w:val="00864C72"/>
    <w:rsid w:val="00864E5E"/>
    <w:rsid w:val="00866206"/>
    <w:rsid w:val="00866DDD"/>
    <w:rsid w:val="00870063"/>
    <w:rsid w:val="0087028A"/>
    <w:rsid w:val="008707F2"/>
    <w:rsid w:val="0087215A"/>
    <w:rsid w:val="008723B1"/>
    <w:rsid w:val="0087279D"/>
    <w:rsid w:val="00873165"/>
    <w:rsid w:val="00874680"/>
    <w:rsid w:val="00874EDC"/>
    <w:rsid w:val="00875808"/>
    <w:rsid w:val="00875846"/>
    <w:rsid w:val="00875F16"/>
    <w:rsid w:val="00877B2D"/>
    <w:rsid w:val="00880DEF"/>
    <w:rsid w:val="00881611"/>
    <w:rsid w:val="00881FB9"/>
    <w:rsid w:val="008820C2"/>
    <w:rsid w:val="008825A7"/>
    <w:rsid w:val="00882613"/>
    <w:rsid w:val="0088342E"/>
    <w:rsid w:val="00883602"/>
    <w:rsid w:val="0088368A"/>
    <w:rsid w:val="0088418A"/>
    <w:rsid w:val="00884518"/>
    <w:rsid w:val="00885E19"/>
    <w:rsid w:val="00887D04"/>
    <w:rsid w:val="00887E1B"/>
    <w:rsid w:val="0089071B"/>
    <w:rsid w:val="0089096B"/>
    <w:rsid w:val="00890B23"/>
    <w:rsid w:val="008914F6"/>
    <w:rsid w:val="00891A42"/>
    <w:rsid w:val="008923BD"/>
    <w:rsid w:val="008929FB"/>
    <w:rsid w:val="00892C2E"/>
    <w:rsid w:val="00892F52"/>
    <w:rsid w:val="00892FE2"/>
    <w:rsid w:val="00894415"/>
    <w:rsid w:val="00894726"/>
    <w:rsid w:val="00894750"/>
    <w:rsid w:val="008951FF"/>
    <w:rsid w:val="00895300"/>
    <w:rsid w:val="00897469"/>
    <w:rsid w:val="00897E96"/>
    <w:rsid w:val="008A06D9"/>
    <w:rsid w:val="008A1796"/>
    <w:rsid w:val="008A1E77"/>
    <w:rsid w:val="008A21D5"/>
    <w:rsid w:val="008A2BFD"/>
    <w:rsid w:val="008A2CBD"/>
    <w:rsid w:val="008A394C"/>
    <w:rsid w:val="008A3DBA"/>
    <w:rsid w:val="008A43A2"/>
    <w:rsid w:val="008A4833"/>
    <w:rsid w:val="008A4980"/>
    <w:rsid w:val="008A50F6"/>
    <w:rsid w:val="008A523F"/>
    <w:rsid w:val="008A53A2"/>
    <w:rsid w:val="008A59B5"/>
    <w:rsid w:val="008A5A67"/>
    <w:rsid w:val="008A6B65"/>
    <w:rsid w:val="008A6B97"/>
    <w:rsid w:val="008A7375"/>
    <w:rsid w:val="008A7792"/>
    <w:rsid w:val="008A77F9"/>
    <w:rsid w:val="008B0463"/>
    <w:rsid w:val="008B1558"/>
    <w:rsid w:val="008B3425"/>
    <w:rsid w:val="008B3DC2"/>
    <w:rsid w:val="008B4059"/>
    <w:rsid w:val="008B4555"/>
    <w:rsid w:val="008B46D8"/>
    <w:rsid w:val="008B6191"/>
    <w:rsid w:val="008B62C3"/>
    <w:rsid w:val="008B6DF8"/>
    <w:rsid w:val="008B78A7"/>
    <w:rsid w:val="008C0153"/>
    <w:rsid w:val="008C02B8"/>
    <w:rsid w:val="008C15A6"/>
    <w:rsid w:val="008C17B4"/>
    <w:rsid w:val="008C21C7"/>
    <w:rsid w:val="008C2A0A"/>
    <w:rsid w:val="008C3300"/>
    <w:rsid w:val="008C3586"/>
    <w:rsid w:val="008C4075"/>
    <w:rsid w:val="008C4619"/>
    <w:rsid w:val="008C497C"/>
    <w:rsid w:val="008C5B2B"/>
    <w:rsid w:val="008C62EA"/>
    <w:rsid w:val="008C645A"/>
    <w:rsid w:val="008C70CC"/>
    <w:rsid w:val="008C7385"/>
    <w:rsid w:val="008C7387"/>
    <w:rsid w:val="008D081A"/>
    <w:rsid w:val="008D1B73"/>
    <w:rsid w:val="008D2580"/>
    <w:rsid w:val="008D2635"/>
    <w:rsid w:val="008D2C5B"/>
    <w:rsid w:val="008D2C78"/>
    <w:rsid w:val="008D41C6"/>
    <w:rsid w:val="008D4303"/>
    <w:rsid w:val="008D4A06"/>
    <w:rsid w:val="008D6127"/>
    <w:rsid w:val="008D67A5"/>
    <w:rsid w:val="008D6A3E"/>
    <w:rsid w:val="008D6AE3"/>
    <w:rsid w:val="008D7893"/>
    <w:rsid w:val="008D7A60"/>
    <w:rsid w:val="008D7BD4"/>
    <w:rsid w:val="008D7CB0"/>
    <w:rsid w:val="008E054D"/>
    <w:rsid w:val="008E1490"/>
    <w:rsid w:val="008E170B"/>
    <w:rsid w:val="008E200D"/>
    <w:rsid w:val="008E2365"/>
    <w:rsid w:val="008E2561"/>
    <w:rsid w:val="008E2A33"/>
    <w:rsid w:val="008E329B"/>
    <w:rsid w:val="008E4071"/>
    <w:rsid w:val="008E48FE"/>
    <w:rsid w:val="008E4C2F"/>
    <w:rsid w:val="008E4D34"/>
    <w:rsid w:val="008E51AE"/>
    <w:rsid w:val="008E5939"/>
    <w:rsid w:val="008E5A22"/>
    <w:rsid w:val="008E5AAA"/>
    <w:rsid w:val="008E6941"/>
    <w:rsid w:val="008E6A06"/>
    <w:rsid w:val="008E7B1C"/>
    <w:rsid w:val="008F037B"/>
    <w:rsid w:val="008F0C9E"/>
    <w:rsid w:val="008F0DDB"/>
    <w:rsid w:val="008F180D"/>
    <w:rsid w:val="008F1F8C"/>
    <w:rsid w:val="008F2A5C"/>
    <w:rsid w:val="008F310E"/>
    <w:rsid w:val="008F38A1"/>
    <w:rsid w:val="008F391A"/>
    <w:rsid w:val="008F395B"/>
    <w:rsid w:val="008F3BA5"/>
    <w:rsid w:val="008F3EC8"/>
    <w:rsid w:val="008F411C"/>
    <w:rsid w:val="008F5A58"/>
    <w:rsid w:val="008F605A"/>
    <w:rsid w:val="008F625B"/>
    <w:rsid w:val="008FA181"/>
    <w:rsid w:val="0090041A"/>
    <w:rsid w:val="00900875"/>
    <w:rsid w:val="00900AAB"/>
    <w:rsid w:val="0090144D"/>
    <w:rsid w:val="009019BC"/>
    <w:rsid w:val="00903324"/>
    <w:rsid w:val="00903F4A"/>
    <w:rsid w:val="0090448B"/>
    <w:rsid w:val="009045FF"/>
    <w:rsid w:val="00904BBE"/>
    <w:rsid w:val="00904D01"/>
    <w:rsid w:val="00905224"/>
    <w:rsid w:val="00905A0C"/>
    <w:rsid w:val="00906360"/>
    <w:rsid w:val="009071D3"/>
    <w:rsid w:val="00907B22"/>
    <w:rsid w:val="00907BE1"/>
    <w:rsid w:val="0091107D"/>
    <w:rsid w:val="00911098"/>
    <w:rsid w:val="00911B27"/>
    <w:rsid w:val="00911C53"/>
    <w:rsid w:val="009126F0"/>
    <w:rsid w:val="00912A3C"/>
    <w:rsid w:val="00913D19"/>
    <w:rsid w:val="00914264"/>
    <w:rsid w:val="00914766"/>
    <w:rsid w:val="00914C03"/>
    <w:rsid w:val="0091663A"/>
    <w:rsid w:val="00916865"/>
    <w:rsid w:val="00917866"/>
    <w:rsid w:val="00917B48"/>
    <w:rsid w:val="00917CC3"/>
    <w:rsid w:val="009202C8"/>
    <w:rsid w:val="009209A1"/>
    <w:rsid w:val="00921117"/>
    <w:rsid w:val="00922024"/>
    <w:rsid w:val="00922980"/>
    <w:rsid w:val="00922D7D"/>
    <w:rsid w:val="009232B7"/>
    <w:rsid w:val="00924500"/>
    <w:rsid w:val="00924E88"/>
    <w:rsid w:val="009250F0"/>
    <w:rsid w:val="00925236"/>
    <w:rsid w:val="0092569D"/>
    <w:rsid w:val="00925AE4"/>
    <w:rsid w:val="00925DED"/>
    <w:rsid w:val="009262DD"/>
    <w:rsid w:val="00926D08"/>
    <w:rsid w:val="009273CA"/>
    <w:rsid w:val="009276C3"/>
    <w:rsid w:val="009278F8"/>
    <w:rsid w:val="009306E9"/>
    <w:rsid w:val="00930A3A"/>
    <w:rsid w:val="00930DE7"/>
    <w:rsid w:val="0093132F"/>
    <w:rsid w:val="0093185F"/>
    <w:rsid w:val="009319E0"/>
    <w:rsid w:val="009322FB"/>
    <w:rsid w:val="009325D4"/>
    <w:rsid w:val="00932BF7"/>
    <w:rsid w:val="00934828"/>
    <w:rsid w:val="0093563E"/>
    <w:rsid w:val="009357D1"/>
    <w:rsid w:val="00935834"/>
    <w:rsid w:val="00935EC5"/>
    <w:rsid w:val="00937144"/>
    <w:rsid w:val="00937C04"/>
    <w:rsid w:val="009402B3"/>
    <w:rsid w:val="009407B8"/>
    <w:rsid w:val="00940B28"/>
    <w:rsid w:val="00940FAA"/>
    <w:rsid w:val="0094105C"/>
    <w:rsid w:val="00941C59"/>
    <w:rsid w:val="00941FA2"/>
    <w:rsid w:val="00942805"/>
    <w:rsid w:val="009428A3"/>
    <w:rsid w:val="009429A9"/>
    <w:rsid w:val="00943523"/>
    <w:rsid w:val="00943B81"/>
    <w:rsid w:val="00943C0F"/>
    <w:rsid w:val="0094488F"/>
    <w:rsid w:val="009448E0"/>
    <w:rsid w:val="00944B5C"/>
    <w:rsid w:val="00945464"/>
    <w:rsid w:val="00945DC7"/>
    <w:rsid w:val="00946BDE"/>
    <w:rsid w:val="00950424"/>
    <w:rsid w:val="00952697"/>
    <w:rsid w:val="00952981"/>
    <w:rsid w:val="00953889"/>
    <w:rsid w:val="00953907"/>
    <w:rsid w:val="00953ACF"/>
    <w:rsid w:val="00953C69"/>
    <w:rsid w:val="0095464C"/>
    <w:rsid w:val="009558CA"/>
    <w:rsid w:val="00955D5E"/>
    <w:rsid w:val="00956165"/>
    <w:rsid w:val="00956483"/>
    <w:rsid w:val="0095659B"/>
    <w:rsid w:val="009566B0"/>
    <w:rsid w:val="0095736A"/>
    <w:rsid w:val="00957F8D"/>
    <w:rsid w:val="0096125E"/>
    <w:rsid w:val="009613A1"/>
    <w:rsid w:val="0096178A"/>
    <w:rsid w:val="009627D1"/>
    <w:rsid w:val="0096332B"/>
    <w:rsid w:val="009657D1"/>
    <w:rsid w:val="0096582D"/>
    <w:rsid w:val="00965FB6"/>
    <w:rsid w:val="0096610E"/>
    <w:rsid w:val="00966588"/>
    <w:rsid w:val="0096738F"/>
    <w:rsid w:val="009677C0"/>
    <w:rsid w:val="00967A0A"/>
    <w:rsid w:val="0097032E"/>
    <w:rsid w:val="009703B4"/>
    <w:rsid w:val="009707BD"/>
    <w:rsid w:val="00970CA5"/>
    <w:rsid w:val="009719CD"/>
    <w:rsid w:val="00972A7A"/>
    <w:rsid w:val="00974283"/>
    <w:rsid w:val="00974AA9"/>
    <w:rsid w:val="00974F01"/>
    <w:rsid w:val="0097539A"/>
    <w:rsid w:val="0097654B"/>
    <w:rsid w:val="00977064"/>
    <w:rsid w:val="00977179"/>
    <w:rsid w:val="009771C7"/>
    <w:rsid w:val="0098023D"/>
    <w:rsid w:val="00980497"/>
    <w:rsid w:val="00980846"/>
    <w:rsid w:val="009810EE"/>
    <w:rsid w:val="00982056"/>
    <w:rsid w:val="00982835"/>
    <w:rsid w:val="00982E19"/>
    <w:rsid w:val="00982EFE"/>
    <w:rsid w:val="009834D3"/>
    <w:rsid w:val="009839EF"/>
    <w:rsid w:val="00983EF6"/>
    <w:rsid w:val="00984C21"/>
    <w:rsid w:val="009852C2"/>
    <w:rsid w:val="00985B21"/>
    <w:rsid w:val="00985D3B"/>
    <w:rsid w:val="009860D2"/>
    <w:rsid w:val="009866D8"/>
    <w:rsid w:val="0098762F"/>
    <w:rsid w:val="009878A2"/>
    <w:rsid w:val="00987A84"/>
    <w:rsid w:val="00990387"/>
    <w:rsid w:val="00990957"/>
    <w:rsid w:val="00990BFC"/>
    <w:rsid w:val="00992B63"/>
    <w:rsid w:val="00993818"/>
    <w:rsid w:val="00993AF2"/>
    <w:rsid w:val="00996334"/>
    <w:rsid w:val="009965CC"/>
    <w:rsid w:val="00996C54"/>
    <w:rsid w:val="00997FF6"/>
    <w:rsid w:val="009A0082"/>
    <w:rsid w:val="009A1B52"/>
    <w:rsid w:val="009A1E3C"/>
    <w:rsid w:val="009A25DD"/>
    <w:rsid w:val="009A2826"/>
    <w:rsid w:val="009A2A53"/>
    <w:rsid w:val="009A3F89"/>
    <w:rsid w:val="009A5924"/>
    <w:rsid w:val="009A5AFA"/>
    <w:rsid w:val="009A5CCE"/>
    <w:rsid w:val="009A676C"/>
    <w:rsid w:val="009A7121"/>
    <w:rsid w:val="009A723C"/>
    <w:rsid w:val="009A7295"/>
    <w:rsid w:val="009A7529"/>
    <w:rsid w:val="009B128D"/>
    <w:rsid w:val="009B1CD1"/>
    <w:rsid w:val="009B2515"/>
    <w:rsid w:val="009B271E"/>
    <w:rsid w:val="009B2730"/>
    <w:rsid w:val="009B2878"/>
    <w:rsid w:val="009B3A7F"/>
    <w:rsid w:val="009B3B11"/>
    <w:rsid w:val="009B4712"/>
    <w:rsid w:val="009B4BE8"/>
    <w:rsid w:val="009B4F9B"/>
    <w:rsid w:val="009B5514"/>
    <w:rsid w:val="009B5B23"/>
    <w:rsid w:val="009B5C99"/>
    <w:rsid w:val="009B5EE1"/>
    <w:rsid w:val="009B624D"/>
    <w:rsid w:val="009B6C4F"/>
    <w:rsid w:val="009B6C64"/>
    <w:rsid w:val="009B7149"/>
    <w:rsid w:val="009B7236"/>
    <w:rsid w:val="009B7449"/>
    <w:rsid w:val="009C112E"/>
    <w:rsid w:val="009C2144"/>
    <w:rsid w:val="009C2EB8"/>
    <w:rsid w:val="009C38A3"/>
    <w:rsid w:val="009C588F"/>
    <w:rsid w:val="009C6199"/>
    <w:rsid w:val="009C6FCB"/>
    <w:rsid w:val="009C72B1"/>
    <w:rsid w:val="009C7793"/>
    <w:rsid w:val="009D006E"/>
    <w:rsid w:val="009D0612"/>
    <w:rsid w:val="009D1D75"/>
    <w:rsid w:val="009D1EB1"/>
    <w:rsid w:val="009D2D1C"/>
    <w:rsid w:val="009D40F5"/>
    <w:rsid w:val="009D4410"/>
    <w:rsid w:val="009D4813"/>
    <w:rsid w:val="009D500A"/>
    <w:rsid w:val="009D5539"/>
    <w:rsid w:val="009D565F"/>
    <w:rsid w:val="009D6102"/>
    <w:rsid w:val="009D6877"/>
    <w:rsid w:val="009D712A"/>
    <w:rsid w:val="009D7700"/>
    <w:rsid w:val="009E06F8"/>
    <w:rsid w:val="009E0FBB"/>
    <w:rsid w:val="009E208C"/>
    <w:rsid w:val="009E268C"/>
    <w:rsid w:val="009E453A"/>
    <w:rsid w:val="009E6334"/>
    <w:rsid w:val="009E6825"/>
    <w:rsid w:val="009E6A2E"/>
    <w:rsid w:val="009F0836"/>
    <w:rsid w:val="009F0DDB"/>
    <w:rsid w:val="009F104A"/>
    <w:rsid w:val="009F175A"/>
    <w:rsid w:val="009F1D16"/>
    <w:rsid w:val="009F2942"/>
    <w:rsid w:val="009F2B1D"/>
    <w:rsid w:val="009F3338"/>
    <w:rsid w:val="009F39B2"/>
    <w:rsid w:val="009F3B41"/>
    <w:rsid w:val="009F4431"/>
    <w:rsid w:val="009F5F84"/>
    <w:rsid w:val="009F64E0"/>
    <w:rsid w:val="009F6905"/>
    <w:rsid w:val="009F698B"/>
    <w:rsid w:val="009F6ECD"/>
    <w:rsid w:val="009F7947"/>
    <w:rsid w:val="00A00025"/>
    <w:rsid w:val="00A007B6"/>
    <w:rsid w:val="00A015D2"/>
    <w:rsid w:val="00A02712"/>
    <w:rsid w:val="00A03260"/>
    <w:rsid w:val="00A0455C"/>
    <w:rsid w:val="00A0466F"/>
    <w:rsid w:val="00A047D5"/>
    <w:rsid w:val="00A049A3"/>
    <w:rsid w:val="00A05B1D"/>
    <w:rsid w:val="00A05F76"/>
    <w:rsid w:val="00A066C8"/>
    <w:rsid w:val="00A0676E"/>
    <w:rsid w:val="00A071E3"/>
    <w:rsid w:val="00A077EF"/>
    <w:rsid w:val="00A07F6C"/>
    <w:rsid w:val="00A1022C"/>
    <w:rsid w:val="00A106C0"/>
    <w:rsid w:val="00A1092B"/>
    <w:rsid w:val="00A10F52"/>
    <w:rsid w:val="00A11B45"/>
    <w:rsid w:val="00A121A5"/>
    <w:rsid w:val="00A146F0"/>
    <w:rsid w:val="00A16312"/>
    <w:rsid w:val="00A168F2"/>
    <w:rsid w:val="00A177F3"/>
    <w:rsid w:val="00A20172"/>
    <w:rsid w:val="00A202C2"/>
    <w:rsid w:val="00A20C73"/>
    <w:rsid w:val="00A20E8D"/>
    <w:rsid w:val="00A211FC"/>
    <w:rsid w:val="00A21969"/>
    <w:rsid w:val="00A21C2F"/>
    <w:rsid w:val="00A22614"/>
    <w:rsid w:val="00A2289B"/>
    <w:rsid w:val="00A22E94"/>
    <w:rsid w:val="00A22EFA"/>
    <w:rsid w:val="00A22FF8"/>
    <w:rsid w:val="00A23EBC"/>
    <w:rsid w:val="00A23FA3"/>
    <w:rsid w:val="00A24127"/>
    <w:rsid w:val="00A245D0"/>
    <w:rsid w:val="00A25255"/>
    <w:rsid w:val="00A2640E"/>
    <w:rsid w:val="00A2658E"/>
    <w:rsid w:val="00A270E1"/>
    <w:rsid w:val="00A2723D"/>
    <w:rsid w:val="00A30DDB"/>
    <w:rsid w:val="00A3151C"/>
    <w:rsid w:val="00A31896"/>
    <w:rsid w:val="00A31A0B"/>
    <w:rsid w:val="00A31BC8"/>
    <w:rsid w:val="00A33761"/>
    <w:rsid w:val="00A349D2"/>
    <w:rsid w:val="00A350FF"/>
    <w:rsid w:val="00A36D8E"/>
    <w:rsid w:val="00A371C2"/>
    <w:rsid w:val="00A3779F"/>
    <w:rsid w:val="00A3790A"/>
    <w:rsid w:val="00A3793B"/>
    <w:rsid w:val="00A37C2D"/>
    <w:rsid w:val="00A40407"/>
    <w:rsid w:val="00A40655"/>
    <w:rsid w:val="00A40996"/>
    <w:rsid w:val="00A409F2"/>
    <w:rsid w:val="00A42382"/>
    <w:rsid w:val="00A428DE"/>
    <w:rsid w:val="00A42998"/>
    <w:rsid w:val="00A42F0A"/>
    <w:rsid w:val="00A43711"/>
    <w:rsid w:val="00A43C64"/>
    <w:rsid w:val="00A43E10"/>
    <w:rsid w:val="00A43FF6"/>
    <w:rsid w:val="00A4411F"/>
    <w:rsid w:val="00A447A2"/>
    <w:rsid w:val="00A4496C"/>
    <w:rsid w:val="00A460CF"/>
    <w:rsid w:val="00A46A2A"/>
    <w:rsid w:val="00A46C45"/>
    <w:rsid w:val="00A46CC8"/>
    <w:rsid w:val="00A47996"/>
    <w:rsid w:val="00A50050"/>
    <w:rsid w:val="00A502F5"/>
    <w:rsid w:val="00A503D8"/>
    <w:rsid w:val="00A50693"/>
    <w:rsid w:val="00A50DC8"/>
    <w:rsid w:val="00A514AB"/>
    <w:rsid w:val="00A5190F"/>
    <w:rsid w:val="00A51BD4"/>
    <w:rsid w:val="00A51EE4"/>
    <w:rsid w:val="00A52A4B"/>
    <w:rsid w:val="00A5399E"/>
    <w:rsid w:val="00A53C79"/>
    <w:rsid w:val="00A5414E"/>
    <w:rsid w:val="00A542D3"/>
    <w:rsid w:val="00A54B5C"/>
    <w:rsid w:val="00A54E27"/>
    <w:rsid w:val="00A55328"/>
    <w:rsid w:val="00A55337"/>
    <w:rsid w:val="00A553E4"/>
    <w:rsid w:val="00A55446"/>
    <w:rsid w:val="00A55948"/>
    <w:rsid w:val="00A568CE"/>
    <w:rsid w:val="00A606A0"/>
    <w:rsid w:val="00A608AD"/>
    <w:rsid w:val="00A609E4"/>
    <w:rsid w:val="00A627A8"/>
    <w:rsid w:val="00A62820"/>
    <w:rsid w:val="00A6398A"/>
    <w:rsid w:val="00A63F1E"/>
    <w:rsid w:val="00A65A82"/>
    <w:rsid w:val="00A65DF8"/>
    <w:rsid w:val="00A67023"/>
    <w:rsid w:val="00A670F8"/>
    <w:rsid w:val="00A67343"/>
    <w:rsid w:val="00A67668"/>
    <w:rsid w:val="00A6785F"/>
    <w:rsid w:val="00A7028F"/>
    <w:rsid w:val="00A713D3"/>
    <w:rsid w:val="00A71C3F"/>
    <w:rsid w:val="00A7263F"/>
    <w:rsid w:val="00A72A5C"/>
    <w:rsid w:val="00A72C8A"/>
    <w:rsid w:val="00A72CB9"/>
    <w:rsid w:val="00A73312"/>
    <w:rsid w:val="00A73CB9"/>
    <w:rsid w:val="00A74093"/>
    <w:rsid w:val="00A74170"/>
    <w:rsid w:val="00A74179"/>
    <w:rsid w:val="00A74AA1"/>
    <w:rsid w:val="00A75112"/>
    <w:rsid w:val="00A75302"/>
    <w:rsid w:val="00A75E8A"/>
    <w:rsid w:val="00A80435"/>
    <w:rsid w:val="00A80762"/>
    <w:rsid w:val="00A8116A"/>
    <w:rsid w:val="00A8189B"/>
    <w:rsid w:val="00A823D4"/>
    <w:rsid w:val="00A829BB"/>
    <w:rsid w:val="00A82DE6"/>
    <w:rsid w:val="00A83B3C"/>
    <w:rsid w:val="00A84892"/>
    <w:rsid w:val="00A852F5"/>
    <w:rsid w:val="00A85EF6"/>
    <w:rsid w:val="00A86377"/>
    <w:rsid w:val="00A86A23"/>
    <w:rsid w:val="00A87D25"/>
    <w:rsid w:val="00A900A4"/>
    <w:rsid w:val="00A91283"/>
    <w:rsid w:val="00A92487"/>
    <w:rsid w:val="00A93B33"/>
    <w:rsid w:val="00A93D73"/>
    <w:rsid w:val="00A943D7"/>
    <w:rsid w:val="00A9450E"/>
    <w:rsid w:val="00A9520A"/>
    <w:rsid w:val="00A95358"/>
    <w:rsid w:val="00A95940"/>
    <w:rsid w:val="00A95B66"/>
    <w:rsid w:val="00A96606"/>
    <w:rsid w:val="00A96E3B"/>
    <w:rsid w:val="00A96F83"/>
    <w:rsid w:val="00A974FC"/>
    <w:rsid w:val="00A97B6D"/>
    <w:rsid w:val="00A97D54"/>
    <w:rsid w:val="00A97F44"/>
    <w:rsid w:val="00A97FF0"/>
    <w:rsid w:val="00AA0442"/>
    <w:rsid w:val="00AA0C88"/>
    <w:rsid w:val="00AA1209"/>
    <w:rsid w:val="00AA1970"/>
    <w:rsid w:val="00AA2B80"/>
    <w:rsid w:val="00AA3918"/>
    <w:rsid w:val="00AA48E2"/>
    <w:rsid w:val="00AA524D"/>
    <w:rsid w:val="00AA60FF"/>
    <w:rsid w:val="00AA6653"/>
    <w:rsid w:val="00AA717B"/>
    <w:rsid w:val="00AA729E"/>
    <w:rsid w:val="00AA7E48"/>
    <w:rsid w:val="00AB17CA"/>
    <w:rsid w:val="00AB19A2"/>
    <w:rsid w:val="00AB1ACF"/>
    <w:rsid w:val="00AB2410"/>
    <w:rsid w:val="00AB249C"/>
    <w:rsid w:val="00AB28F5"/>
    <w:rsid w:val="00AB4003"/>
    <w:rsid w:val="00AB42D2"/>
    <w:rsid w:val="00AB45A6"/>
    <w:rsid w:val="00AB521B"/>
    <w:rsid w:val="00AB5AEC"/>
    <w:rsid w:val="00AB5C7A"/>
    <w:rsid w:val="00AB5F2A"/>
    <w:rsid w:val="00AB5FFA"/>
    <w:rsid w:val="00AB612D"/>
    <w:rsid w:val="00AB775C"/>
    <w:rsid w:val="00AB7ADB"/>
    <w:rsid w:val="00AC07F0"/>
    <w:rsid w:val="00AC0E3F"/>
    <w:rsid w:val="00AC0FD6"/>
    <w:rsid w:val="00AC1007"/>
    <w:rsid w:val="00AC186B"/>
    <w:rsid w:val="00AC2209"/>
    <w:rsid w:val="00AC31D5"/>
    <w:rsid w:val="00AC32AF"/>
    <w:rsid w:val="00AC4433"/>
    <w:rsid w:val="00AC47D6"/>
    <w:rsid w:val="00AC4FE3"/>
    <w:rsid w:val="00AC6137"/>
    <w:rsid w:val="00AC6BB3"/>
    <w:rsid w:val="00AC7968"/>
    <w:rsid w:val="00AD0790"/>
    <w:rsid w:val="00AD07BE"/>
    <w:rsid w:val="00AD0A50"/>
    <w:rsid w:val="00AD161B"/>
    <w:rsid w:val="00AD200E"/>
    <w:rsid w:val="00AD24C8"/>
    <w:rsid w:val="00AD49C8"/>
    <w:rsid w:val="00AD4BB6"/>
    <w:rsid w:val="00AD50F2"/>
    <w:rsid w:val="00AD5EAD"/>
    <w:rsid w:val="00AD6C81"/>
    <w:rsid w:val="00AD7433"/>
    <w:rsid w:val="00AD761B"/>
    <w:rsid w:val="00AD789D"/>
    <w:rsid w:val="00AE0659"/>
    <w:rsid w:val="00AE150F"/>
    <w:rsid w:val="00AE1613"/>
    <w:rsid w:val="00AE1F26"/>
    <w:rsid w:val="00AE2D9D"/>
    <w:rsid w:val="00AE3FD9"/>
    <w:rsid w:val="00AE4A4D"/>
    <w:rsid w:val="00AE5ECA"/>
    <w:rsid w:val="00AE7221"/>
    <w:rsid w:val="00AE7538"/>
    <w:rsid w:val="00AE76F5"/>
    <w:rsid w:val="00AE794D"/>
    <w:rsid w:val="00AE796D"/>
    <w:rsid w:val="00AE7CE4"/>
    <w:rsid w:val="00AE7EE8"/>
    <w:rsid w:val="00AF0348"/>
    <w:rsid w:val="00AF0674"/>
    <w:rsid w:val="00AF131A"/>
    <w:rsid w:val="00AF218C"/>
    <w:rsid w:val="00AF3371"/>
    <w:rsid w:val="00AF3661"/>
    <w:rsid w:val="00AF3DCB"/>
    <w:rsid w:val="00AF3DF4"/>
    <w:rsid w:val="00AF5191"/>
    <w:rsid w:val="00AF56A6"/>
    <w:rsid w:val="00AF5D84"/>
    <w:rsid w:val="00AF6F8A"/>
    <w:rsid w:val="00AF7CD3"/>
    <w:rsid w:val="00B00041"/>
    <w:rsid w:val="00B010CA"/>
    <w:rsid w:val="00B0235A"/>
    <w:rsid w:val="00B03184"/>
    <w:rsid w:val="00B04690"/>
    <w:rsid w:val="00B04E65"/>
    <w:rsid w:val="00B053F9"/>
    <w:rsid w:val="00B05509"/>
    <w:rsid w:val="00B061DB"/>
    <w:rsid w:val="00B06801"/>
    <w:rsid w:val="00B06CA4"/>
    <w:rsid w:val="00B07EC9"/>
    <w:rsid w:val="00B1206F"/>
    <w:rsid w:val="00B12D3F"/>
    <w:rsid w:val="00B12D5B"/>
    <w:rsid w:val="00B14665"/>
    <w:rsid w:val="00B14E77"/>
    <w:rsid w:val="00B16598"/>
    <w:rsid w:val="00B16C1F"/>
    <w:rsid w:val="00B16E06"/>
    <w:rsid w:val="00B1791E"/>
    <w:rsid w:val="00B17945"/>
    <w:rsid w:val="00B1798A"/>
    <w:rsid w:val="00B17E89"/>
    <w:rsid w:val="00B21708"/>
    <w:rsid w:val="00B2176B"/>
    <w:rsid w:val="00B22462"/>
    <w:rsid w:val="00B2246A"/>
    <w:rsid w:val="00B224B7"/>
    <w:rsid w:val="00B23054"/>
    <w:rsid w:val="00B24026"/>
    <w:rsid w:val="00B24397"/>
    <w:rsid w:val="00B24417"/>
    <w:rsid w:val="00B24AE2"/>
    <w:rsid w:val="00B2610A"/>
    <w:rsid w:val="00B26713"/>
    <w:rsid w:val="00B27453"/>
    <w:rsid w:val="00B274E0"/>
    <w:rsid w:val="00B2767D"/>
    <w:rsid w:val="00B30163"/>
    <w:rsid w:val="00B301DF"/>
    <w:rsid w:val="00B318DC"/>
    <w:rsid w:val="00B327F9"/>
    <w:rsid w:val="00B32D01"/>
    <w:rsid w:val="00B3326C"/>
    <w:rsid w:val="00B33323"/>
    <w:rsid w:val="00B33C53"/>
    <w:rsid w:val="00B33CA9"/>
    <w:rsid w:val="00B33FA9"/>
    <w:rsid w:val="00B3460B"/>
    <w:rsid w:val="00B34DB1"/>
    <w:rsid w:val="00B35C10"/>
    <w:rsid w:val="00B36123"/>
    <w:rsid w:val="00B37332"/>
    <w:rsid w:val="00B3765B"/>
    <w:rsid w:val="00B37C76"/>
    <w:rsid w:val="00B40F99"/>
    <w:rsid w:val="00B411F5"/>
    <w:rsid w:val="00B418AF"/>
    <w:rsid w:val="00B4292E"/>
    <w:rsid w:val="00B4295D"/>
    <w:rsid w:val="00B44ACE"/>
    <w:rsid w:val="00B45B4F"/>
    <w:rsid w:val="00B465A5"/>
    <w:rsid w:val="00B475D8"/>
    <w:rsid w:val="00B50949"/>
    <w:rsid w:val="00B50DA8"/>
    <w:rsid w:val="00B50F7C"/>
    <w:rsid w:val="00B51E95"/>
    <w:rsid w:val="00B52408"/>
    <w:rsid w:val="00B53C81"/>
    <w:rsid w:val="00B53E1A"/>
    <w:rsid w:val="00B53EF2"/>
    <w:rsid w:val="00B53F87"/>
    <w:rsid w:val="00B547B2"/>
    <w:rsid w:val="00B54A28"/>
    <w:rsid w:val="00B54B5B"/>
    <w:rsid w:val="00B54B82"/>
    <w:rsid w:val="00B55A9A"/>
    <w:rsid w:val="00B55F57"/>
    <w:rsid w:val="00B56C60"/>
    <w:rsid w:val="00B56F5C"/>
    <w:rsid w:val="00B56F6C"/>
    <w:rsid w:val="00B57754"/>
    <w:rsid w:val="00B57E75"/>
    <w:rsid w:val="00B60BCD"/>
    <w:rsid w:val="00B60E2D"/>
    <w:rsid w:val="00B61566"/>
    <w:rsid w:val="00B6177C"/>
    <w:rsid w:val="00B61D48"/>
    <w:rsid w:val="00B61F4B"/>
    <w:rsid w:val="00B62934"/>
    <w:rsid w:val="00B62D6B"/>
    <w:rsid w:val="00B62E55"/>
    <w:rsid w:val="00B63033"/>
    <w:rsid w:val="00B63469"/>
    <w:rsid w:val="00B63CE0"/>
    <w:rsid w:val="00B65003"/>
    <w:rsid w:val="00B651B0"/>
    <w:rsid w:val="00B65965"/>
    <w:rsid w:val="00B66C81"/>
    <w:rsid w:val="00B66DA0"/>
    <w:rsid w:val="00B675B9"/>
    <w:rsid w:val="00B67D49"/>
    <w:rsid w:val="00B7049A"/>
    <w:rsid w:val="00B70791"/>
    <w:rsid w:val="00B70D98"/>
    <w:rsid w:val="00B7270E"/>
    <w:rsid w:val="00B74C0C"/>
    <w:rsid w:val="00B74E12"/>
    <w:rsid w:val="00B75369"/>
    <w:rsid w:val="00B76F21"/>
    <w:rsid w:val="00B774B8"/>
    <w:rsid w:val="00B77E86"/>
    <w:rsid w:val="00B80313"/>
    <w:rsid w:val="00B803C5"/>
    <w:rsid w:val="00B8070E"/>
    <w:rsid w:val="00B8104A"/>
    <w:rsid w:val="00B81584"/>
    <w:rsid w:val="00B81E85"/>
    <w:rsid w:val="00B82262"/>
    <w:rsid w:val="00B82971"/>
    <w:rsid w:val="00B83ACA"/>
    <w:rsid w:val="00B83CB6"/>
    <w:rsid w:val="00B83DBC"/>
    <w:rsid w:val="00B83DD2"/>
    <w:rsid w:val="00B83EA3"/>
    <w:rsid w:val="00B83F15"/>
    <w:rsid w:val="00B84712"/>
    <w:rsid w:val="00B848A4"/>
    <w:rsid w:val="00B849F5"/>
    <w:rsid w:val="00B855DB"/>
    <w:rsid w:val="00B85D60"/>
    <w:rsid w:val="00B860C2"/>
    <w:rsid w:val="00B86F96"/>
    <w:rsid w:val="00B86FF0"/>
    <w:rsid w:val="00B87103"/>
    <w:rsid w:val="00B87334"/>
    <w:rsid w:val="00B873BD"/>
    <w:rsid w:val="00B87829"/>
    <w:rsid w:val="00B879E2"/>
    <w:rsid w:val="00B90E5F"/>
    <w:rsid w:val="00B9142A"/>
    <w:rsid w:val="00B9201D"/>
    <w:rsid w:val="00B9224C"/>
    <w:rsid w:val="00B92736"/>
    <w:rsid w:val="00B93618"/>
    <w:rsid w:val="00B9494D"/>
    <w:rsid w:val="00B9552C"/>
    <w:rsid w:val="00B955FF"/>
    <w:rsid w:val="00B95869"/>
    <w:rsid w:val="00B96759"/>
    <w:rsid w:val="00B96A30"/>
    <w:rsid w:val="00B96F79"/>
    <w:rsid w:val="00B973C1"/>
    <w:rsid w:val="00B97695"/>
    <w:rsid w:val="00BA0963"/>
    <w:rsid w:val="00BA0D1E"/>
    <w:rsid w:val="00BA1AB6"/>
    <w:rsid w:val="00BA1B95"/>
    <w:rsid w:val="00BA2017"/>
    <w:rsid w:val="00BA2255"/>
    <w:rsid w:val="00BA25DA"/>
    <w:rsid w:val="00BA2F5B"/>
    <w:rsid w:val="00BA4BC4"/>
    <w:rsid w:val="00BA4E2C"/>
    <w:rsid w:val="00BA5CF6"/>
    <w:rsid w:val="00BA5FBA"/>
    <w:rsid w:val="00BA655E"/>
    <w:rsid w:val="00BA7563"/>
    <w:rsid w:val="00BA7B87"/>
    <w:rsid w:val="00BB195B"/>
    <w:rsid w:val="00BB1E11"/>
    <w:rsid w:val="00BB1F3E"/>
    <w:rsid w:val="00BB270C"/>
    <w:rsid w:val="00BB276B"/>
    <w:rsid w:val="00BB2803"/>
    <w:rsid w:val="00BB2F66"/>
    <w:rsid w:val="00BB372D"/>
    <w:rsid w:val="00BB37C1"/>
    <w:rsid w:val="00BB458D"/>
    <w:rsid w:val="00BB4D6D"/>
    <w:rsid w:val="00BB5D6D"/>
    <w:rsid w:val="00BB6101"/>
    <w:rsid w:val="00BB69E6"/>
    <w:rsid w:val="00BB7FC5"/>
    <w:rsid w:val="00BC0A18"/>
    <w:rsid w:val="00BC0E58"/>
    <w:rsid w:val="00BC10E9"/>
    <w:rsid w:val="00BC1B4D"/>
    <w:rsid w:val="00BC242F"/>
    <w:rsid w:val="00BC2900"/>
    <w:rsid w:val="00BC380A"/>
    <w:rsid w:val="00BC3CAB"/>
    <w:rsid w:val="00BC439D"/>
    <w:rsid w:val="00BC44AC"/>
    <w:rsid w:val="00BC46E8"/>
    <w:rsid w:val="00BC484F"/>
    <w:rsid w:val="00BC623D"/>
    <w:rsid w:val="00BC63F1"/>
    <w:rsid w:val="00BC7438"/>
    <w:rsid w:val="00BC7B19"/>
    <w:rsid w:val="00BC7B2B"/>
    <w:rsid w:val="00BC7DF8"/>
    <w:rsid w:val="00BC7E6C"/>
    <w:rsid w:val="00BD032F"/>
    <w:rsid w:val="00BD0955"/>
    <w:rsid w:val="00BD28BF"/>
    <w:rsid w:val="00BD3214"/>
    <w:rsid w:val="00BD3263"/>
    <w:rsid w:val="00BD478E"/>
    <w:rsid w:val="00BD487A"/>
    <w:rsid w:val="00BD57A5"/>
    <w:rsid w:val="00BD5CEB"/>
    <w:rsid w:val="00BD6509"/>
    <w:rsid w:val="00BD67C9"/>
    <w:rsid w:val="00BD67EC"/>
    <w:rsid w:val="00BD78BF"/>
    <w:rsid w:val="00BD7A68"/>
    <w:rsid w:val="00BE011B"/>
    <w:rsid w:val="00BE03E7"/>
    <w:rsid w:val="00BE27FC"/>
    <w:rsid w:val="00BE346E"/>
    <w:rsid w:val="00BE4F9E"/>
    <w:rsid w:val="00BE516D"/>
    <w:rsid w:val="00BE5579"/>
    <w:rsid w:val="00BE620F"/>
    <w:rsid w:val="00BE68B7"/>
    <w:rsid w:val="00BE7696"/>
    <w:rsid w:val="00BE7BFB"/>
    <w:rsid w:val="00BF0BE5"/>
    <w:rsid w:val="00BF10CA"/>
    <w:rsid w:val="00BF142F"/>
    <w:rsid w:val="00BF1810"/>
    <w:rsid w:val="00BF2591"/>
    <w:rsid w:val="00BF2FEE"/>
    <w:rsid w:val="00BF3814"/>
    <w:rsid w:val="00BF3DF7"/>
    <w:rsid w:val="00BF3F19"/>
    <w:rsid w:val="00BF4C47"/>
    <w:rsid w:val="00BF4FCD"/>
    <w:rsid w:val="00BF5700"/>
    <w:rsid w:val="00BF580F"/>
    <w:rsid w:val="00BF594E"/>
    <w:rsid w:val="00BF5FBC"/>
    <w:rsid w:val="00BF602F"/>
    <w:rsid w:val="00BF7D18"/>
    <w:rsid w:val="00C0161E"/>
    <w:rsid w:val="00C018D4"/>
    <w:rsid w:val="00C0218E"/>
    <w:rsid w:val="00C027E9"/>
    <w:rsid w:val="00C02A86"/>
    <w:rsid w:val="00C03413"/>
    <w:rsid w:val="00C0366F"/>
    <w:rsid w:val="00C0370C"/>
    <w:rsid w:val="00C03997"/>
    <w:rsid w:val="00C03F53"/>
    <w:rsid w:val="00C046A9"/>
    <w:rsid w:val="00C04D3F"/>
    <w:rsid w:val="00C0581C"/>
    <w:rsid w:val="00C058E5"/>
    <w:rsid w:val="00C070B5"/>
    <w:rsid w:val="00C07463"/>
    <w:rsid w:val="00C10378"/>
    <w:rsid w:val="00C104E7"/>
    <w:rsid w:val="00C10B6A"/>
    <w:rsid w:val="00C10E6A"/>
    <w:rsid w:val="00C1154F"/>
    <w:rsid w:val="00C122C1"/>
    <w:rsid w:val="00C12A56"/>
    <w:rsid w:val="00C14C35"/>
    <w:rsid w:val="00C1598F"/>
    <w:rsid w:val="00C16AA9"/>
    <w:rsid w:val="00C170B7"/>
    <w:rsid w:val="00C17B58"/>
    <w:rsid w:val="00C17FE0"/>
    <w:rsid w:val="00C200F6"/>
    <w:rsid w:val="00C2086B"/>
    <w:rsid w:val="00C20ACD"/>
    <w:rsid w:val="00C213B6"/>
    <w:rsid w:val="00C21604"/>
    <w:rsid w:val="00C21795"/>
    <w:rsid w:val="00C21E04"/>
    <w:rsid w:val="00C21E58"/>
    <w:rsid w:val="00C237A1"/>
    <w:rsid w:val="00C239E3"/>
    <w:rsid w:val="00C241B1"/>
    <w:rsid w:val="00C244F8"/>
    <w:rsid w:val="00C26C64"/>
    <w:rsid w:val="00C27140"/>
    <w:rsid w:val="00C27362"/>
    <w:rsid w:val="00C30CF1"/>
    <w:rsid w:val="00C30CF5"/>
    <w:rsid w:val="00C31D3A"/>
    <w:rsid w:val="00C328B1"/>
    <w:rsid w:val="00C3317E"/>
    <w:rsid w:val="00C34F53"/>
    <w:rsid w:val="00C35A66"/>
    <w:rsid w:val="00C35C99"/>
    <w:rsid w:val="00C37646"/>
    <w:rsid w:val="00C376FF"/>
    <w:rsid w:val="00C40FE9"/>
    <w:rsid w:val="00C41342"/>
    <w:rsid w:val="00C4177A"/>
    <w:rsid w:val="00C42411"/>
    <w:rsid w:val="00C43832"/>
    <w:rsid w:val="00C4395D"/>
    <w:rsid w:val="00C444C6"/>
    <w:rsid w:val="00C450F5"/>
    <w:rsid w:val="00C45902"/>
    <w:rsid w:val="00C459B9"/>
    <w:rsid w:val="00C45AD3"/>
    <w:rsid w:val="00C46D52"/>
    <w:rsid w:val="00C471BB"/>
    <w:rsid w:val="00C47308"/>
    <w:rsid w:val="00C473BC"/>
    <w:rsid w:val="00C47523"/>
    <w:rsid w:val="00C4791D"/>
    <w:rsid w:val="00C501CA"/>
    <w:rsid w:val="00C50639"/>
    <w:rsid w:val="00C506A1"/>
    <w:rsid w:val="00C50FBD"/>
    <w:rsid w:val="00C51738"/>
    <w:rsid w:val="00C52260"/>
    <w:rsid w:val="00C53C3F"/>
    <w:rsid w:val="00C54109"/>
    <w:rsid w:val="00C544D3"/>
    <w:rsid w:val="00C54C6D"/>
    <w:rsid w:val="00C55346"/>
    <w:rsid w:val="00C56AA0"/>
    <w:rsid w:val="00C56C63"/>
    <w:rsid w:val="00C56FFC"/>
    <w:rsid w:val="00C5724E"/>
    <w:rsid w:val="00C577F3"/>
    <w:rsid w:val="00C605F2"/>
    <w:rsid w:val="00C616C6"/>
    <w:rsid w:val="00C61AAD"/>
    <w:rsid w:val="00C61D5E"/>
    <w:rsid w:val="00C61FE7"/>
    <w:rsid w:val="00C62591"/>
    <w:rsid w:val="00C6278D"/>
    <w:rsid w:val="00C62996"/>
    <w:rsid w:val="00C6398B"/>
    <w:rsid w:val="00C63B86"/>
    <w:rsid w:val="00C641EB"/>
    <w:rsid w:val="00C64AE2"/>
    <w:rsid w:val="00C6511E"/>
    <w:rsid w:val="00C660AF"/>
    <w:rsid w:val="00C661EB"/>
    <w:rsid w:val="00C6704B"/>
    <w:rsid w:val="00C707A6"/>
    <w:rsid w:val="00C70C89"/>
    <w:rsid w:val="00C71594"/>
    <w:rsid w:val="00C71A42"/>
    <w:rsid w:val="00C71FA1"/>
    <w:rsid w:val="00C72297"/>
    <w:rsid w:val="00C73DF6"/>
    <w:rsid w:val="00C747D4"/>
    <w:rsid w:val="00C74DEB"/>
    <w:rsid w:val="00C7546A"/>
    <w:rsid w:val="00C75C26"/>
    <w:rsid w:val="00C764B5"/>
    <w:rsid w:val="00C76D35"/>
    <w:rsid w:val="00C76DFA"/>
    <w:rsid w:val="00C7750E"/>
    <w:rsid w:val="00C7796E"/>
    <w:rsid w:val="00C80236"/>
    <w:rsid w:val="00C81097"/>
    <w:rsid w:val="00C821D3"/>
    <w:rsid w:val="00C827C4"/>
    <w:rsid w:val="00C83540"/>
    <w:rsid w:val="00C83DEC"/>
    <w:rsid w:val="00C83F3A"/>
    <w:rsid w:val="00C840CD"/>
    <w:rsid w:val="00C84661"/>
    <w:rsid w:val="00C85936"/>
    <w:rsid w:val="00C85BF0"/>
    <w:rsid w:val="00C85DC4"/>
    <w:rsid w:val="00C86172"/>
    <w:rsid w:val="00C8629D"/>
    <w:rsid w:val="00C865A3"/>
    <w:rsid w:val="00C872B5"/>
    <w:rsid w:val="00C87C41"/>
    <w:rsid w:val="00C87E13"/>
    <w:rsid w:val="00C90841"/>
    <w:rsid w:val="00C915C6"/>
    <w:rsid w:val="00C92245"/>
    <w:rsid w:val="00C92517"/>
    <w:rsid w:val="00C927EA"/>
    <w:rsid w:val="00C92882"/>
    <w:rsid w:val="00C92BCE"/>
    <w:rsid w:val="00C92E54"/>
    <w:rsid w:val="00C93572"/>
    <w:rsid w:val="00C93C01"/>
    <w:rsid w:val="00C93D42"/>
    <w:rsid w:val="00C941D7"/>
    <w:rsid w:val="00C9609A"/>
    <w:rsid w:val="00C966A5"/>
    <w:rsid w:val="00C97D08"/>
    <w:rsid w:val="00C97F88"/>
    <w:rsid w:val="00CA0102"/>
    <w:rsid w:val="00CA06BA"/>
    <w:rsid w:val="00CA0D80"/>
    <w:rsid w:val="00CA295A"/>
    <w:rsid w:val="00CA2F7E"/>
    <w:rsid w:val="00CA4712"/>
    <w:rsid w:val="00CA4AD9"/>
    <w:rsid w:val="00CA4C00"/>
    <w:rsid w:val="00CA4C0D"/>
    <w:rsid w:val="00CA621D"/>
    <w:rsid w:val="00CA664B"/>
    <w:rsid w:val="00CA6657"/>
    <w:rsid w:val="00CA6DC8"/>
    <w:rsid w:val="00CA7016"/>
    <w:rsid w:val="00CA7BDA"/>
    <w:rsid w:val="00CB006E"/>
    <w:rsid w:val="00CB0B95"/>
    <w:rsid w:val="00CB0DD2"/>
    <w:rsid w:val="00CB0E58"/>
    <w:rsid w:val="00CB12FA"/>
    <w:rsid w:val="00CB13F6"/>
    <w:rsid w:val="00CB158F"/>
    <w:rsid w:val="00CB19A5"/>
    <w:rsid w:val="00CB1FC4"/>
    <w:rsid w:val="00CB217F"/>
    <w:rsid w:val="00CB220B"/>
    <w:rsid w:val="00CB24B7"/>
    <w:rsid w:val="00CB2DE7"/>
    <w:rsid w:val="00CB33C7"/>
    <w:rsid w:val="00CB35D1"/>
    <w:rsid w:val="00CB3933"/>
    <w:rsid w:val="00CB5637"/>
    <w:rsid w:val="00CB5CF1"/>
    <w:rsid w:val="00CB5D07"/>
    <w:rsid w:val="00CB66ED"/>
    <w:rsid w:val="00CB68E8"/>
    <w:rsid w:val="00CB6CF3"/>
    <w:rsid w:val="00CB6EEE"/>
    <w:rsid w:val="00CB6F15"/>
    <w:rsid w:val="00CC0146"/>
    <w:rsid w:val="00CC02CB"/>
    <w:rsid w:val="00CC0770"/>
    <w:rsid w:val="00CC07B4"/>
    <w:rsid w:val="00CC087D"/>
    <w:rsid w:val="00CC08A0"/>
    <w:rsid w:val="00CC10D3"/>
    <w:rsid w:val="00CC1620"/>
    <w:rsid w:val="00CC2C41"/>
    <w:rsid w:val="00CC3205"/>
    <w:rsid w:val="00CC3E8D"/>
    <w:rsid w:val="00CC46C2"/>
    <w:rsid w:val="00CC4A09"/>
    <w:rsid w:val="00CC4FD4"/>
    <w:rsid w:val="00CC53EA"/>
    <w:rsid w:val="00CC599B"/>
    <w:rsid w:val="00CC5D6C"/>
    <w:rsid w:val="00CC6124"/>
    <w:rsid w:val="00CC6C1D"/>
    <w:rsid w:val="00CC7226"/>
    <w:rsid w:val="00CC7254"/>
    <w:rsid w:val="00CC7255"/>
    <w:rsid w:val="00CC75C3"/>
    <w:rsid w:val="00CC7691"/>
    <w:rsid w:val="00CD0189"/>
    <w:rsid w:val="00CD19E4"/>
    <w:rsid w:val="00CD247E"/>
    <w:rsid w:val="00CD273C"/>
    <w:rsid w:val="00CD2783"/>
    <w:rsid w:val="00CD2D50"/>
    <w:rsid w:val="00CD34CD"/>
    <w:rsid w:val="00CD3CE4"/>
    <w:rsid w:val="00CD45A9"/>
    <w:rsid w:val="00CD4686"/>
    <w:rsid w:val="00CD48A6"/>
    <w:rsid w:val="00CD6910"/>
    <w:rsid w:val="00CD7391"/>
    <w:rsid w:val="00CD7922"/>
    <w:rsid w:val="00CD7B30"/>
    <w:rsid w:val="00CD7CC4"/>
    <w:rsid w:val="00CE0249"/>
    <w:rsid w:val="00CE05D5"/>
    <w:rsid w:val="00CE0FB2"/>
    <w:rsid w:val="00CE1074"/>
    <w:rsid w:val="00CE1393"/>
    <w:rsid w:val="00CE1C00"/>
    <w:rsid w:val="00CE2617"/>
    <w:rsid w:val="00CE2F74"/>
    <w:rsid w:val="00CE3117"/>
    <w:rsid w:val="00CE357C"/>
    <w:rsid w:val="00CE42BB"/>
    <w:rsid w:val="00CE4971"/>
    <w:rsid w:val="00CE5E4C"/>
    <w:rsid w:val="00CE60F3"/>
    <w:rsid w:val="00CE634F"/>
    <w:rsid w:val="00CE6FE0"/>
    <w:rsid w:val="00CF13F2"/>
    <w:rsid w:val="00CF2A5B"/>
    <w:rsid w:val="00CF2B71"/>
    <w:rsid w:val="00CF2CCA"/>
    <w:rsid w:val="00CF30CF"/>
    <w:rsid w:val="00CF52FC"/>
    <w:rsid w:val="00CF605F"/>
    <w:rsid w:val="00CF6CD0"/>
    <w:rsid w:val="00D00384"/>
    <w:rsid w:val="00D003AD"/>
    <w:rsid w:val="00D01002"/>
    <w:rsid w:val="00D010AF"/>
    <w:rsid w:val="00D048FB"/>
    <w:rsid w:val="00D04AFB"/>
    <w:rsid w:val="00D04B30"/>
    <w:rsid w:val="00D0610F"/>
    <w:rsid w:val="00D06502"/>
    <w:rsid w:val="00D0673D"/>
    <w:rsid w:val="00D075A7"/>
    <w:rsid w:val="00D0773D"/>
    <w:rsid w:val="00D07AA7"/>
    <w:rsid w:val="00D07C41"/>
    <w:rsid w:val="00D1048F"/>
    <w:rsid w:val="00D108D2"/>
    <w:rsid w:val="00D11F57"/>
    <w:rsid w:val="00D13A95"/>
    <w:rsid w:val="00D1407E"/>
    <w:rsid w:val="00D143DC"/>
    <w:rsid w:val="00D1466A"/>
    <w:rsid w:val="00D14F15"/>
    <w:rsid w:val="00D15970"/>
    <w:rsid w:val="00D166D6"/>
    <w:rsid w:val="00D16A6B"/>
    <w:rsid w:val="00D16DFB"/>
    <w:rsid w:val="00D17487"/>
    <w:rsid w:val="00D21D95"/>
    <w:rsid w:val="00D233A3"/>
    <w:rsid w:val="00D23D22"/>
    <w:rsid w:val="00D2445F"/>
    <w:rsid w:val="00D2473A"/>
    <w:rsid w:val="00D24909"/>
    <w:rsid w:val="00D24E57"/>
    <w:rsid w:val="00D25DD4"/>
    <w:rsid w:val="00D263AA"/>
    <w:rsid w:val="00D2701E"/>
    <w:rsid w:val="00D27F1B"/>
    <w:rsid w:val="00D31CF8"/>
    <w:rsid w:val="00D31EAA"/>
    <w:rsid w:val="00D32D3B"/>
    <w:rsid w:val="00D3384F"/>
    <w:rsid w:val="00D338AC"/>
    <w:rsid w:val="00D348D8"/>
    <w:rsid w:val="00D34C98"/>
    <w:rsid w:val="00D35786"/>
    <w:rsid w:val="00D35C49"/>
    <w:rsid w:val="00D35F67"/>
    <w:rsid w:val="00D35F73"/>
    <w:rsid w:val="00D37B8F"/>
    <w:rsid w:val="00D37BD8"/>
    <w:rsid w:val="00D37FE4"/>
    <w:rsid w:val="00D4011D"/>
    <w:rsid w:val="00D40BB6"/>
    <w:rsid w:val="00D40E86"/>
    <w:rsid w:val="00D4219C"/>
    <w:rsid w:val="00D425F4"/>
    <w:rsid w:val="00D42808"/>
    <w:rsid w:val="00D4283D"/>
    <w:rsid w:val="00D42B04"/>
    <w:rsid w:val="00D42C89"/>
    <w:rsid w:val="00D42FA3"/>
    <w:rsid w:val="00D43762"/>
    <w:rsid w:val="00D43EE9"/>
    <w:rsid w:val="00D45794"/>
    <w:rsid w:val="00D45910"/>
    <w:rsid w:val="00D45F12"/>
    <w:rsid w:val="00D467E1"/>
    <w:rsid w:val="00D46E05"/>
    <w:rsid w:val="00D473E6"/>
    <w:rsid w:val="00D47537"/>
    <w:rsid w:val="00D50F62"/>
    <w:rsid w:val="00D514A0"/>
    <w:rsid w:val="00D51518"/>
    <w:rsid w:val="00D516B3"/>
    <w:rsid w:val="00D519BB"/>
    <w:rsid w:val="00D52952"/>
    <w:rsid w:val="00D52F7B"/>
    <w:rsid w:val="00D52FF0"/>
    <w:rsid w:val="00D53079"/>
    <w:rsid w:val="00D53203"/>
    <w:rsid w:val="00D5387D"/>
    <w:rsid w:val="00D53931"/>
    <w:rsid w:val="00D5401C"/>
    <w:rsid w:val="00D54FF6"/>
    <w:rsid w:val="00D5521A"/>
    <w:rsid w:val="00D55415"/>
    <w:rsid w:val="00D559B7"/>
    <w:rsid w:val="00D559D3"/>
    <w:rsid w:val="00D55D21"/>
    <w:rsid w:val="00D56EF2"/>
    <w:rsid w:val="00D57C3C"/>
    <w:rsid w:val="00D57C91"/>
    <w:rsid w:val="00D60585"/>
    <w:rsid w:val="00D60A5D"/>
    <w:rsid w:val="00D61669"/>
    <w:rsid w:val="00D61B13"/>
    <w:rsid w:val="00D62559"/>
    <w:rsid w:val="00D629C4"/>
    <w:rsid w:val="00D62E1C"/>
    <w:rsid w:val="00D6325F"/>
    <w:rsid w:val="00D635DD"/>
    <w:rsid w:val="00D63B5F"/>
    <w:rsid w:val="00D6467B"/>
    <w:rsid w:val="00D64E4E"/>
    <w:rsid w:val="00D65245"/>
    <w:rsid w:val="00D65EAB"/>
    <w:rsid w:val="00D66363"/>
    <w:rsid w:val="00D670E8"/>
    <w:rsid w:val="00D675F7"/>
    <w:rsid w:val="00D67829"/>
    <w:rsid w:val="00D67977"/>
    <w:rsid w:val="00D67D11"/>
    <w:rsid w:val="00D7077D"/>
    <w:rsid w:val="00D71272"/>
    <w:rsid w:val="00D71331"/>
    <w:rsid w:val="00D71E18"/>
    <w:rsid w:val="00D71F79"/>
    <w:rsid w:val="00D723B0"/>
    <w:rsid w:val="00D7273E"/>
    <w:rsid w:val="00D727BE"/>
    <w:rsid w:val="00D72AEC"/>
    <w:rsid w:val="00D73CFA"/>
    <w:rsid w:val="00D7513B"/>
    <w:rsid w:val="00D755CA"/>
    <w:rsid w:val="00D75FCF"/>
    <w:rsid w:val="00D76214"/>
    <w:rsid w:val="00D76274"/>
    <w:rsid w:val="00D763FF"/>
    <w:rsid w:val="00D76DA7"/>
    <w:rsid w:val="00D77D34"/>
    <w:rsid w:val="00D80960"/>
    <w:rsid w:val="00D81B2B"/>
    <w:rsid w:val="00D81C14"/>
    <w:rsid w:val="00D81C35"/>
    <w:rsid w:val="00D82084"/>
    <w:rsid w:val="00D8370C"/>
    <w:rsid w:val="00D83A0E"/>
    <w:rsid w:val="00D84519"/>
    <w:rsid w:val="00D84A80"/>
    <w:rsid w:val="00D84B2E"/>
    <w:rsid w:val="00D85034"/>
    <w:rsid w:val="00D852E4"/>
    <w:rsid w:val="00D85846"/>
    <w:rsid w:val="00D85B24"/>
    <w:rsid w:val="00D86529"/>
    <w:rsid w:val="00D87489"/>
    <w:rsid w:val="00D90563"/>
    <w:rsid w:val="00D90FE1"/>
    <w:rsid w:val="00D91122"/>
    <w:rsid w:val="00D91A66"/>
    <w:rsid w:val="00D91E23"/>
    <w:rsid w:val="00D91ECE"/>
    <w:rsid w:val="00D92080"/>
    <w:rsid w:val="00D9214F"/>
    <w:rsid w:val="00D9215A"/>
    <w:rsid w:val="00D9286E"/>
    <w:rsid w:val="00D9296B"/>
    <w:rsid w:val="00D92EF5"/>
    <w:rsid w:val="00D93B55"/>
    <w:rsid w:val="00D940C2"/>
    <w:rsid w:val="00D9461A"/>
    <w:rsid w:val="00D9470C"/>
    <w:rsid w:val="00D951FA"/>
    <w:rsid w:val="00D957F0"/>
    <w:rsid w:val="00D96AE6"/>
    <w:rsid w:val="00D97552"/>
    <w:rsid w:val="00D97AA9"/>
    <w:rsid w:val="00DA019B"/>
    <w:rsid w:val="00DA01BF"/>
    <w:rsid w:val="00DA043B"/>
    <w:rsid w:val="00DA073A"/>
    <w:rsid w:val="00DA0B35"/>
    <w:rsid w:val="00DA1280"/>
    <w:rsid w:val="00DA161A"/>
    <w:rsid w:val="00DA2049"/>
    <w:rsid w:val="00DA25C8"/>
    <w:rsid w:val="00DA25EF"/>
    <w:rsid w:val="00DA2B0F"/>
    <w:rsid w:val="00DA2D9D"/>
    <w:rsid w:val="00DA3228"/>
    <w:rsid w:val="00DA3A92"/>
    <w:rsid w:val="00DA3F5E"/>
    <w:rsid w:val="00DA406F"/>
    <w:rsid w:val="00DA4D04"/>
    <w:rsid w:val="00DA4DBC"/>
    <w:rsid w:val="00DA5DC7"/>
    <w:rsid w:val="00DA625C"/>
    <w:rsid w:val="00DA66C7"/>
    <w:rsid w:val="00DA7DA7"/>
    <w:rsid w:val="00DB0856"/>
    <w:rsid w:val="00DB0CEE"/>
    <w:rsid w:val="00DB1016"/>
    <w:rsid w:val="00DB1C13"/>
    <w:rsid w:val="00DB38C4"/>
    <w:rsid w:val="00DB39CE"/>
    <w:rsid w:val="00DB3E87"/>
    <w:rsid w:val="00DB4966"/>
    <w:rsid w:val="00DB4E28"/>
    <w:rsid w:val="00DB503F"/>
    <w:rsid w:val="00DB5196"/>
    <w:rsid w:val="00DB52B6"/>
    <w:rsid w:val="00DB568A"/>
    <w:rsid w:val="00DB6341"/>
    <w:rsid w:val="00DB6B6C"/>
    <w:rsid w:val="00DB6FB0"/>
    <w:rsid w:val="00DB70CA"/>
    <w:rsid w:val="00DB70EB"/>
    <w:rsid w:val="00DB7222"/>
    <w:rsid w:val="00DB7630"/>
    <w:rsid w:val="00DC0E13"/>
    <w:rsid w:val="00DC11B2"/>
    <w:rsid w:val="00DC2350"/>
    <w:rsid w:val="00DC2763"/>
    <w:rsid w:val="00DC3810"/>
    <w:rsid w:val="00DC3B19"/>
    <w:rsid w:val="00DC41C7"/>
    <w:rsid w:val="00DC45DF"/>
    <w:rsid w:val="00DC485E"/>
    <w:rsid w:val="00DC5623"/>
    <w:rsid w:val="00DC5638"/>
    <w:rsid w:val="00DC5C87"/>
    <w:rsid w:val="00DC66C3"/>
    <w:rsid w:val="00DC6C2E"/>
    <w:rsid w:val="00DC7A77"/>
    <w:rsid w:val="00DD0172"/>
    <w:rsid w:val="00DD078D"/>
    <w:rsid w:val="00DD093F"/>
    <w:rsid w:val="00DD1CF1"/>
    <w:rsid w:val="00DD38B0"/>
    <w:rsid w:val="00DD3931"/>
    <w:rsid w:val="00DD3A17"/>
    <w:rsid w:val="00DD4743"/>
    <w:rsid w:val="00DD4791"/>
    <w:rsid w:val="00DD611A"/>
    <w:rsid w:val="00DD6756"/>
    <w:rsid w:val="00DD76A6"/>
    <w:rsid w:val="00DD7828"/>
    <w:rsid w:val="00DE0308"/>
    <w:rsid w:val="00DE085C"/>
    <w:rsid w:val="00DE0905"/>
    <w:rsid w:val="00DE2958"/>
    <w:rsid w:val="00DE2D94"/>
    <w:rsid w:val="00DE30C0"/>
    <w:rsid w:val="00DE40CF"/>
    <w:rsid w:val="00DE5786"/>
    <w:rsid w:val="00DE627F"/>
    <w:rsid w:val="00DE6F81"/>
    <w:rsid w:val="00DE7185"/>
    <w:rsid w:val="00DE7311"/>
    <w:rsid w:val="00DE734F"/>
    <w:rsid w:val="00DE794F"/>
    <w:rsid w:val="00DF0650"/>
    <w:rsid w:val="00DF0C4F"/>
    <w:rsid w:val="00DF0D4A"/>
    <w:rsid w:val="00DF0E74"/>
    <w:rsid w:val="00DF1158"/>
    <w:rsid w:val="00DF2491"/>
    <w:rsid w:val="00DF2564"/>
    <w:rsid w:val="00DF2D4B"/>
    <w:rsid w:val="00DF2DDF"/>
    <w:rsid w:val="00DF2EBB"/>
    <w:rsid w:val="00DF3072"/>
    <w:rsid w:val="00DF3B56"/>
    <w:rsid w:val="00DF4F8C"/>
    <w:rsid w:val="00DF52D0"/>
    <w:rsid w:val="00DF532C"/>
    <w:rsid w:val="00DF56C7"/>
    <w:rsid w:val="00DF63A8"/>
    <w:rsid w:val="00DF67F5"/>
    <w:rsid w:val="00DF79C0"/>
    <w:rsid w:val="00E0164E"/>
    <w:rsid w:val="00E03845"/>
    <w:rsid w:val="00E03AD5"/>
    <w:rsid w:val="00E04D76"/>
    <w:rsid w:val="00E0505F"/>
    <w:rsid w:val="00E06685"/>
    <w:rsid w:val="00E06F5D"/>
    <w:rsid w:val="00E07118"/>
    <w:rsid w:val="00E07232"/>
    <w:rsid w:val="00E100C5"/>
    <w:rsid w:val="00E109D1"/>
    <w:rsid w:val="00E11005"/>
    <w:rsid w:val="00E1116A"/>
    <w:rsid w:val="00E1177D"/>
    <w:rsid w:val="00E134F2"/>
    <w:rsid w:val="00E137BB"/>
    <w:rsid w:val="00E142CD"/>
    <w:rsid w:val="00E14C92"/>
    <w:rsid w:val="00E1518C"/>
    <w:rsid w:val="00E15E17"/>
    <w:rsid w:val="00E1697C"/>
    <w:rsid w:val="00E1698F"/>
    <w:rsid w:val="00E16CE2"/>
    <w:rsid w:val="00E16DF0"/>
    <w:rsid w:val="00E16FD5"/>
    <w:rsid w:val="00E17FFE"/>
    <w:rsid w:val="00E203EC"/>
    <w:rsid w:val="00E20D87"/>
    <w:rsid w:val="00E21981"/>
    <w:rsid w:val="00E2236D"/>
    <w:rsid w:val="00E22AAF"/>
    <w:rsid w:val="00E23514"/>
    <w:rsid w:val="00E23935"/>
    <w:rsid w:val="00E23A4D"/>
    <w:rsid w:val="00E23BAF"/>
    <w:rsid w:val="00E2468D"/>
    <w:rsid w:val="00E2480A"/>
    <w:rsid w:val="00E25446"/>
    <w:rsid w:val="00E26E82"/>
    <w:rsid w:val="00E26FA7"/>
    <w:rsid w:val="00E27478"/>
    <w:rsid w:val="00E305BC"/>
    <w:rsid w:val="00E30F11"/>
    <w:rsid w:val="00E31259"/>
    <w:rsid w:val="00E314BC"/>
    <w:rsid w:val="00E31B86"/>
    <w:rsid w:val="00E31D55"/>
    <w:rsid w:val="00E32FD0"/>
    <w:rsid w:val="00E33C42"/>
    <w:rsid w:val="00E33CC7"/>
    <w:rsid w:val="00E34393"/>
    <w:rsid w:val="00E34625"/>
    <w:rsid w:val="00E34B07"/>
    <w:rsid w:val="00E34BF4"/>
    <w:rsid w:val="00E358F4"/>
    <w:rsid w:val="00E35D5C"/>
    <w:rsid w:val="00E35D73"/>
    <w:rsid w:val="00E36ACF"/>
    <w:rsid w:val="00E37F37"/>
    <w:rsid w:val="00E400FB"/>
    <w:rsid w:val="00E4089F"/>
    <w:rsid w:val="00E4091D"/>
    <w:rsid w:val="00E4157D"/>
    <w:rsid w:val="00E415F3"/>
    <w:rsid w:val="00E4171C"/>
    <w:rsid w:val="00E419DD"/>
    <w:rsid w:val="00E433D4"/>
    <w:rsid w:val="00E44176"/>
    <w:rsid w:val="00E448A7"/>
    <w:rsid w:val="00E44A57"/>
    <w:rsid w:val="00E45620"/>
    <w:rsid w:val="00E45EF4"/>
    <w:rsid w:val="00E463E8"/>
    <w:rsid w:val="00E464BD"/>
    <w:rsid w:val="00E46655"/>
    <w:rsid w:val="00E46BA9"/>
    <w:rsid w:val="00E4736F"/>
    <w:rsid w:val="00E473AF"/>
    <w:rsid w:val="00E47642"/>
    <w:rsid w:val="00E476B6"/>
    <w:rsid w:val="00E47DEC"/>
    <w:rsid w:val="00E4F7FD"/>
    <w:rsid w:val="00E51078"/>
    <w:rsid w:val="00E5247F"/>
    <w:rsid w:val="00E52686"/>
    <w:rsid w:val="00E52E09"/>
    <w:rsid w:val="00E52E62"/>
    <w:rsid w:val="00E54240"/>
    <w:rsid w:val="00E54B94"/>
    <w:rsid w:val="00E54ECA"/>
    <w:rsid w:val="00E55537"/>
    <w:rsid w:val="00E55713"/>
    <w:rsid w:val="00E55C14"/>
    <w:rsid w:val="00E56107"/>
    <w:rsid w:val="00E56243"/>
    <w:rsid w:val="00E56DE6"/>
    <w:rsid w:val="00E6140E"/>
    <w:rsid w:val="00E63250"/>
    <w:rsid w:val="00E635A4"/>
    <w:rsid w:val="00E63851"/>
    <w:rsid w:val="00E63B83"/>
    <w:rsid w:val="00E6427C"/>
    <w:rsid w:val="00E64CDD"/>
    <w:rsid w:val="00E64D4B"/>
    <w:rsid w:val="00E65B67"/>
    <w:rsid w:val="00E6690E"/>
    <w:rsid w:val="00E66E98"/>
    <w:rsid w:val="00E7090C"/>
    <w:rsid w:val="00E7191B"/>
    <w:rsid w:val="00E73AE2"/>
    <w:rsid w:val="00E74AA3"/>
    <w:rsid w:val="00E75031"/>
    <w:rsid w:val="00E75307"/>
    <w:rsid w:val="00E75591"/>
    <w:rsid w:val="00E758E8"/>
    <w:rsid w:val="00E75CE0"/>
    <w:rsid w:val="00E7797C"/>
    <w:rsid w:val="00E77CE4"/>
    <w:rsid w:val="00E812D0"/>
    <w:rsid w:val="00E848D8"/>
    <w:rsid w:val="00E84C69"/>
    <w:rsid w:val="00E84E93"/>
    <w:rsid w:val="00E8611F"/>
    <w:rsid w:val="00E86191"/>
    <w:rsid w:val="00E866EB"/>
    <w:rsid w:val="00E86BCB"/>
    <w:rsid w:val="00E86D22"/>
    <w:rsid w:val="00E86FCA"/>
    <w:rsid w:val="00E873F1"/>
    <w:rsid w:val="00E87883"/>
    <w:rsid w:val="00E907B1"/>
    <w:rsid w:val="00E90FE1"/>
    <w:rsid w:val="00E91083"/>
    <w:rsid w:val="00E9111E"/>
    <w:rsid w:val="00E91CD9"/>
    <w:rsid w:val="00E92086"/>
    <w:rsid w:val="00E9236F"/>
    <w:rsid w:val="00E92598"/>
    <w:rsid w:val="00E92601"/>
    <w:rsid w:val="00E92E83"/>
    <w:rsid w:val="00E93EBD"/>
    <w:rsid w:val="00E94884"/>
    <w:rsid w:val="00E95D5D"/>
    <w:rsid w:val="00E95E2F"/>
    <w:rsid w:val="00E96D0C"/>
    <w:rsid w:val="00E96F73"/>
    <w:rsid w:val="00E9713D"/>
    <w:rsid w:val="00E97773"/>
    <w:rsid w:val="00EA0098"/>
    <w:rsid w:val="00EA0FAD"/>
    <w:rsid w:val="00EA1F4B"/>
    <w:rsid w:val="00EA2042"/>
    <w:rsid w:val="00EA2767"/>
    <w:rsid w:val="00EA2802"/>
    <w:rsid w:val="00EA2950"/>
    <w:rsid w:val="00EA2B55"/>
    <w:rsid w:val="00EA2C5B"/>
    <w:rsid w:val="00EA2D1A"/>
    <w:rsid w:val="00EA519B"/>
    <w:rsid w:val="00EA5C3A"/>
    <w:rsid w:val="00EA639D"/>
    <w:rsid w:val="00EA68FC"/>
    <w:rsid w:val="00EA70E8"/>
    <w:rsid w:val="00EA7BAD"/>
    <w:rsid w:val="00EB00D1"/>
    <w:rsid w:val="00EB143D"/>
    <w:rsid w:val="00EB170F"/>
    <w:rsid w:val="00EB2FAB"/>
    <w:rsid w:val="00EB3900"/>
    <w:rsid w:val="00EB3CFA"/>
    <w:rsid w:val="00EB41DA"/>
    <w:rsid w:val="00EB4327"/>
    <w:rsid w:val="00EB4455"/>
    <w:rsid w:val="00EB52EC"/>
    <w:rsid w:val="00EB54B6"/>
    <w:rsid w:val="00EB559C"/>
    <w:rsid w:val="00EB606D"/>
    <w:rsid w:val="00EB6582"/>
    <w:rsid w:val="00EB6681"/>
    <w:rsid w:val="00EB66A2"/>
    <w:rsid w:val="00EB6FF6"/>
    <w:rsid w:val="00EB7BC3"/>
    <w:rsid w:val="00EC02ED"/>
    <w:rsid w:val="00EC124E"/>
    <w:rsid w:val="00EC1910"/>
    <w:rsid w:val="00EC20C7"/>
    <w:rsid w:val="00EC2292"/>
    <w:rsid w:val="00EC2663"/>
    <w:rsid w:val="00EC2A3E"/>
    <w:rsid w:val="00EC2C4D"/>
    <w:rsid w:val="00EC2FD6"/>
    <w:rsid w:val="00EC458A"/>
    <w:rsid w:val="00EC4A5C"/>
    <w:rsid w:val="00EC518F"/>
    <w:rsid w:val="00EC6225"/>
    <w:rsid w:val="00EC6409"/>
    <w:rsid w:val="00EC670C"/>
    <w:rsid w:val="00EC695E"/>
    <w:rsid w:val="00ED0FD9"/>
    <w:rsid w:val="00ED1217"/>
    <w:rsid w:val="00ED1A6C"/>
    <w:rsid w:val="00ED1AA7"/>
    <w:rsid w:val="00ED3913"/>
    <w:rsid w:val="00ED4000"/>
    <w:rsid w:val="00ED4D9A"/>
    <w:rsid w:val="00ED5D50"/>
    <w:rsid w:val="00ED5F72"/>
    <w:rsid w:val="00ED60ED"/>
    <w:rsid w:val="00ED6DBC"/>
    <w:rsid w:val="00ED7C70"/>
    <w:rsid w:val="00EE0368"/>
    <w:rsid w:val="00EE098B"/>
    <w:rsid w:val="00EE0A9A"/>
    <w:rsid w:val="00EE0F60"/>
    <w:rsid w:val="00EE114E"/>
    <w:rsid w:val="00EE18A6"/>
    <w:rsid w:val="00EE1F5E"/>
    <w:rsid w:val="00EE2052"/>
    <w:rsid w:val="00EE250B"/>
    <w:rsid w:val="00EE2D6C"/>
    <w:rsid w:val="00EE2E8E"/>
    <w:rsid w:val="00EE31C2"/>
    <w:rsid w:val="00EE334D"/>
    <w:rsid w:val="00EE4C0B"/>
    <w:rsid w:val="00EE4D2B"/>
    <w:rsid w:val="00EE5D0C"/>
    <w:rsid w:val="00EE5D98"/>
    <w:rsid w:val="00EE626D"/>
    <w:rsid w:val="00EE646D"/>
    <w:rsid w:val="00EE651A"/>
    <w:rsid w:val="00EE6697"/>
    <w:rsid w:val="00EE775C"/>
    <w:rsid w:val="00EF03C1"/>
    <w:rsid w:val="00EF10AA"/>
    <w:rsid w:val="00EF27AA"/>
    <w:rsid w:val="00EF2832"/>
    <w:rsid w:val="00EF2EBB"/>
    <w:rsid w:val="00EF3E85"/>
    <w:rsid w:val="00EF4103"/>
    <w:rsid w:val="00EF54D2"/>
    <w:rsid w:val="00EF5A94"/>
    <w:rsid w:val="00EF5CA2"/>
    <w:rsid w:val="00EF5E4D"/>
    <w:rsid w:val="00EF68D3"/>
    <w:rsid w:val="00EF7A81"/>
    <w:rsid w:val="00F000D4"/>
    <w:rsid w:val="00F01F18"/>
    <w:rsid w:val="00F037F3"/>
    <w:rsid w:val="00F03A40"/>
    <w:rsid w:val="00F0496B"/>
    <w:rsid w:val="00F04A91"/>
    <w:rsid w:val="00F04EC6"/>
    <w:rsid w:val="00F062A3"/>
    <w:rsid w:val="00F06390"/>
    <w:rsid w:val="00F06466"/>
    <w:rsid w:val="00F06BA2"/>
    <w:rsid w:val="00F06F2F"/>
    <w:rsid w:val="00F073E9"/>
    <w:rsid w:val="00F10AAA"/>
    <w:rsid w:val="00F10D92"/>
    <w:rsid w:val="00F11455"/>
    <w:rsid w:val="00F11AD0"/>
    <w:rsid w:val="00F126F8"/>
    <w:rsid w:val="00F12ABA"/>
    <w:rsid w:val="00F12F1E"/>
    <w:rsid w:val="00F13268"/>
    <w:rsid w:val="00F132B0"/>
    <w:rsid w:val="00F134D7"/>
    <w:rsid w:val="00F1363D"/>
    <w:rsid w:val="00F136D6"/>
    <w:rsid w:val="00F13E8E"/>
    <w:rsid w:val="00F1423E"/>
    <w:rsid w:val="00F14F21"/>
    <w:rsid w:val="00F15C00"/>
    <w:rsid w:val="00F20239"/>
    <w:rsid w:val="00F2047B"/>
    <w:rsid w:val="00F2079E"/>
    <w:rsid w:val="00F20DBE"/>
    <w:rsid w:val="00F21D0F"/>
    <w:rsid w:val="00F221A8"/>
    <w:rsid w:val="00F22655"/>
    <w:rsid w:val="00F22E46"/>
    <w:rsid w:val="00F237D5"/>
    <w:rsid w:val="00F2393C"/>
    <w:rsid w:val="00F23C6B"/>
    <w:rsid w:val="00F24025"/>
    <w:rsid w:val="00F240A3"/>
    <w:rsid w:val="00F24207"/>
    <w:rsid w:val="00F249A1"/>
    <w:rsid w:val="00F24D8F"/>
    <w:rsid w:val="00F27057"/>
    <w:rsid w:val="00F27331"/>
    <w:rsid w:val="00F303C8"/>
    <w:rsid w:val="00F31E71"/>
    <w:rsid w:val="00F33017"/>
    <w:rsid w:val="00F33AAB"/>
    <w:rsid w:val="00F3430D"/>
    <w:rsid w:val="00F345EE"/>
    <w:rsid w:val="00F34C78"/>
    <w:rsid w:val="00F35AD2"/>
    <w:rsid w:val="00F35C4D"/>
    <w:rsid w:val="00F362F3"/>
    <w:rsid w:val="00F36381"/>
    <w:rsid w:val="00F36846"/>
    <w:rsid w:val="00F36969"/>
    <w:rsid w:val="00F36ABF"/>
    <w:rsid w:val="00F36CB2"/>
    <w:rsid w:val="00F37471"/>
    <w:rsid w:val="00F375A8"/>
    <w:rsid w:val="00F37D7B"/>
    <w:rsid w:val="00F37E90"/>
    <w:rsid w:val="00F37EC2"/>
    <w:rsid w:val="00F40C14"/>
    <w:rsid w:val="00F40EA8"/>
    <w:rsid w:val="00F42604"/>
    <w:rsid w:val="00F42AB1"/>
    <w:rsid w:val="00F42EFB"/>
    <w:rsid w:val="00F43251"/>
    <w:rsid w:val="00F43795"/>
    <w:rsid w:val="00F44FB9"/>
    <w:rsid w:val="00F4588F"/>
    <w:rsid w:val="00F46332"/>
    <w:rsid w:val="00F4637C"/>
    <w:rsid w:val="00F46814"/>
    <w:rsid w:val="00F47EC7"/>
    <w:rsid w:val="00F50617"/>
    <w:rsid w:val="00F50A1C"/>
    <w:rsid w:val="00F50CB8"/>
    <w:rsid w:val="00F50E39"/>
    <w:rsid w:val="00F51004"/>
    <w:rsid w:val="00F527F0"/>
    <w:rsid w:val="00F52B90"/>
    <w:rsid w:val="00F52F62"/>
    <w:rsid w:val="00F53977"/>
    <w:rsid w:val="00F54084"/>
    <w:rsid w:val="00F5601B"/>
    <w:rsid w:val="00F56D45"/>
    <w:rsid w:val="00F57203"/>
    <w:rsid w:val="00F57B82"/>
    <w:rsid w:val="00F6022D"/>
    <w:rsid w:val="00F61094"/>
    <w:rsid w:val="00F613AB"/>
    <w:rsid w:val="00F62D36"/>
    <w:rsid w:val="00F64A30"/>
    <w:rsid w:val="00F64B15"/>
    <w:rsid w:val="00F653FA"/>
    <w:rsid w:val="00F65555"/>
    <w:rsid w:val="00F66095"/>
    <w:rsid w:val="00F67007"/>
    <w:rsid w:val="00F6735F"/>
    <w:rsid w:val="00F67CC1"/>
    <w:rsid w:val="00F70359"/>
    <w:rsid w:val="00F716A2"/>
    <w:rsid w:val="00F71F15"/>
    <w:rsid w:val="00F726A9"/>
    <w:rsid w:val="00F72820"/>
    <w:rsid w:val="00F7283A"/>
    <w:rsid w:val="00F72A3E"/>
    <w:rsid w:val="00F739F7"/>
    <w:rsid w:val="00F73C0C"/>
    <w:rsid w:val="00F744BC"/>
    <w:rsid w:val="00F750F9"/>
    <w:rsid w:val="00F75683"/>
    <w:rsid w:val="00F75C39"/>
    <w:rsid w:val="00F761D1"/>
    <w:rsid w:val="00F7634D"/>
    <w:rsid w:val="00F766AE"/>
    <w:rsid w:val="00F7755E"/>
    <w:rsid w:val="00F777D1"/>
    <w:rsid w:val="00F8175B"/>
    <w:rsid w:val="00F8221B"/>
    <w:rsid w:val="00F84775"/>
    <w:rsid w:val="00F852D1"/>
    <w:rsid w:val="00F85BB6"/>
    <w:rsid w:val="00F85C89"/>
    <w:rsid w:val="00F86FBF"/>
    <w:rsid w:val="00F8724E"/>
    <w:rsid w:val="00F874A9"/>
    <w:rsid w:val="00F877F9"/>
    <w:rsid w:val="00F878A7"/>
    <w:rsid w:val="00F911C8"/>
    <w:rsid w:val="00F91231"/>
    <w:rsid w:val="00F925BA"/>
    <w:rsid w:val="00F9264A"/>
    <w:rsid w:val="00F9299D"/>
    <w:rsid w:val="00F92E29"/>
    <w:rsid w:val="00F939B3"/>
    <w:rsid w:val="00F93A36"/>
    <w:rsid w:val="00F94BD4"/>
    <w:rsid w:val="00F94EF3"/>
    <w:rsid w:val="00F95953"/>
    <w:rsid w:val="00F965AF"/>
    <w:rsid w:val="00F968B5"/>
    <w:rsid w:val="00F97256"/>
    <w:rsid w:val="00F97909"/>
    <w:rsid w:val="00F9EDB4"/>
    <w:rsid w:val="00FA0217"/>
    <w:rsid w:val="00FA0AD1"/>
    <w:rsid w:val="00FA0F26"/>
    <w:rsid w:val="00FA1479"/>
    <w:rsid w:val="00FA18A5"/>
    <w:rsid w:val="00FA1DAA"/>
    <w:rsid w:val="00FA1E66"/>
    <w:rsid w:val="00FA1F66"/>
    <w:rsid w:val="00FA3289"/>
    <w:rsid w:val="00FA3452"/>
    <w:rsid w:val="00FA3D83"/>
    <w:rsid w:val="00FA436F"/>
    <w:rsid w:val="00FA4561"/>
    <w:rsid w:val="00FA5646"/>
    <w:rsid w:val="00FA5E24"/>
    <w:rsid w:val="00FA772A"/>
    <w:rsid w:val="00FA7983"/>
    <w:rsid w:val="00FB00BF"/>
    <w:rsid w:val="00FB148F"/>
    <w:rsid w:val="00FB1F8D"/>
    <w:rsid w:val="00FB2301"/>
    <w:rsid w:val="00FB23D2"/>
    <w:rsid w:val="00FB2C2F"/>
    <w:rsid w:val="00FB352B"/>
    <w:rsid w:val="00FB39AA"/>
    <w:rsid w:val="00FB449A"/>
    <w:rsid w:val="00FB6FB5"/>
    <w:rsid w:val="00FB71A6"/>
    <w:rsid w:val="00FB72F8"/>
    <w:rsid w:val="00FB787E"/>
    <w:rsid w:val="00FC03A5"/>
    <w:rsid w:val="00FC0EF6"/>
    <w:rsid w:val="00FC180A"/>
    <w:rsid w:val="00FC30F4"/>
    <w:rsid w:val="00FC3FC8"/>
    <w:rsid w:val="00FC58FA"/>
    <w:rsid w:val="00FC64EB"/>
    <w:rsid w:val="00FD2814"/>
    <w:rsid w:val="00FD29FD"/>
    <w:rsid w:val="00FD38AC"/>
    <w:rsid w:val="00FD410B"/>
    <w:rsid w:val="00FD434D"/>
    <w:rsid w:val="00FD4BA8"/>
    <w:rsid w:val="00FD4E5E"/>
    <w:rsid w:val="00FD5215"/>
    <w:rsid w:val="00FD5FCF"/>
    <w:rsid w:val="00FD759E"/>
    <w:rsid w:val="00FD7704"/>
    <w:rsid w:val="00FD78B5"/>
    <w:rsid w:val="00FE14C2"/>
    <w:rsid w:val="00FE1A56"/>
    <w:rsid w:val="00FE22B6"/>
    <w:rsid w:val="00FE25E6"/>
    <w:rsid w:val="00FE2940"/>
    <w:rsid w:val="00FE4FB3"/>
    <w:rsid w:val="00FE5E79"/>
    <w:rsid w:val="00FE65B4"/>
    <w:rsid w:val="00FE69AD"/>
    <w:rsid w:val="00FE69B0"/>
    <w:rsid w:val="00FE763A"/>
    <w:rsid w:val="00FE7AE8"/>
    <w:rsid w:val="00FF0D51"/>
    <w:rsid w:val="00FF0E29"/>
    <w:rsid w:val="00FF0F29"/>
    <w:rsid w:val="00FF2CE5"/>
    <w:rsid w:val="00FF2E49"/>
    <w:rsid w:val="00FF313E"/>
    <w:rsid w:val="00FF36C7"/>
    <w:rsid w:val="00FF4137"/>
    <w:rsid w:val="00FF4866"/>
    <w:rsid w:val="00FF4FA1"/>
    <w:rsid w:val="00FF573B"/>
    <w:rsid w:val="00FF58A5"/>
    <w:rsid w:val="00FF5BF6"/>
    <w:rsid w:val="00FF6B3F"/>
    <w:rsid w:val="00FF6BD0"/>
    <w:rsid w:val="00FF6EE5"/>
    <w:rsid w:val="00FF7245"/>
    <w:rsid w:val="0103991F"/>
    <w:rsid w:val="011075DC"/>
    <w:rsid w:val="0130FBEB"/>
    <w:rsid w:val="01315E88"/>
    <w:rsid w:val="013AF972"/>
    <w:rsid w:val="0146BD0A"/>
    <w:rsid w:val="014A6AEE"/>
    <w:rsid w:val="0153D229"/>
    <w:rsid w:val="015916FF"/>
    <w:rsid w:val="01679FD8"/>
    <w:rsid w:val="0193283E"/>
    <w:rsid w:val="01B5006D"/>
    <w:rsid w:val="01BD4DF3"/>
    <w:rsid w:val="01BE90AD"/>
    <w:rsid w:val="01BEF0F7"/>
    <w:rsid w:val="01D10BAA"/>
    <w:rsid w:val="01F5D003"/>
    <w:rsid w:val="021D442B"/>
    <w:rsid w:val="0222DBE3"/>
    <w:rsid w:val="022D7784"/>
    <w:rsid w:val="02350472"/>
    <w:rsid w:val="0252C05F"/>
    <w:rsid w:val="02560D9E"/>
    <w:rsid w:val="02657C2B"/>
    <w:rsid w:val="027FCC3F"/>
    <w:rsid w:val="028A8C64"/>
    <w:rsid w:val="02AFB62E"/>
    <w:rsid w:val="02D230C0"/>
    <w:rsid w:val="02F5709C"/>
    <w:rsid w:val="03227CD8"/>
    <w:rsid w:val="03399037"/>
    <w:rsid w:val="033D5CE3"/>
    <w:rsid w:val="03410885"/>
    <w:rsid w:val="037283FB"/>
    <w:rsid w:val="0376648B"/>
    <w:rsid w:val="03776F7B"/>
    <w:rsid w:val="0382D4F0"/>
    <w:rsid w:val="0384EB86"/>
    <w:rsid w:val="038F06B2"/>
    <w:rsid w:val="0391189C"/>
    <w:rsid w:val="039169E2"/>
    <w:rsid w:val="039DD77E"/>
    <w:rsid w:val="03B290D9"/>
    <w:rsid w:val="03CC03DE"/>
    <w:rsid w:val="03D7C035"/>
    <w:rsid w:val="03DD87BF"/>
    <w:rsid w:val="03EF2058"/>
    <w:rsid w:val="04038339"/>
    <w:rsid w:val="04109F05"/>
    <w:rsid w:val="04159AA1"/>
    <w:rsid w:val="0418DA19"/>
    <w:rsid w:val="0433E6ED"/>
    <w:rsid w:val="045220E7"/>
    <w:rsid w:val="0464C174"/>
    <w:rsid w:val="04A02CAE"/>
    <w:rsid w:val="04DDDC3A"/>
    <w:rsid w:val="0501187D"/>
    <w:rsid w:val="05235885"/>
    <w:rsid w:val="05276BD2"/>
    <w:rsid w:val="052D20F7"/>
    <w:rsid w:val="053A6EDE"/>
    <w:rsid w:val="0547980C"/>
    <w:rsid w:val="055A8D9A"/>
    <w:rsid w:val="055FE318"/>
    <w:rsid w:val="0561848C"/>
    <w:rsid w:val="0574C184"/>
    <w:rsid w:val="0576D3BA"/>
    <w:rsid w:val="059A9446"/>
    <w:rsid w:val="05CFB74E"/>
    <w:rsid w:val="05D5CCA1"/>
    <w:rsid w:val="05FC6514"/>
    <w:rsid w:val="06243365"/>
    <w:rsid w:val="06295314"/>
    <w:rsid w:val="063E5AFA"/>
    <w:rsid w:val="063EA509"/>
    <w:rsid w:val="064EE44F"/>
    <w:rsid w:val="0657C247"/>
    <w:rsid w:val="0667A046"/>
    <w:rsid w:val="06696ACB"/>
    <w:rsid w:val="067A176F"/>
    <w:rsid w:val="0689D64A"/>
    <w:rsid w:val="06C490A2"/>
    <w:rsid w:val="06C58239"/>
    <w:rsid w:val="06C81D86"/>
    <w:rsid w:val="06EA870A"/>
    <w:rsid w:val="0708451D"/>
    <w:rsid w:val="07299C9A"/>
    <w:rsid w:val="0737087A"/>
    <w:rsid w:val="0738699E"/>
    <w:rsid w:val="073BF83B"/>
    <w:rsid w:val="073E8403"/>
    <w:rsid w:val="07423461"/>
    <w:rsid w:val="0756DA4A"/>
    <w:rsid w:val="07576839"/>
    <w:rsid w:val="077B8FA2"/>
    <w:rsid w:val="07817889"/>
    <w:rsid w:val="07861906"/>
    <w:rsid w:val="078BE615"/>
    <w:rsid w:val="079F24BD"/>
    <w:rsid w:val="07ACF7BF"/>
    <w:rsid w:val="07C4492B"/>
    <w:rsid w:val="07E4CA94"/>
    <w:rsid w:val="07FF87F8"/>
    <w:rsid w:val="08142766"/>
    <w:rsid w:val="0814DA89"/>
    <w:rsid w:val="0817D3BB"/>
    <w:rsid w:val="081B4AA3"/>
    <w:rsid w:val="083B1E4A"/>
    <w:rsid w:val="0846D3E9"/>
    <w:rsid w:val="084B6F53"/>
    <w:rsid w:val="08521A89"/>
    <w:rsid w:val="08571CE5"/>
    <w:rsid w:val="085CA25D"/>
    <w:rsid w:val="08675E36"/>
    <w:rsid w:val="087001E4"/>
    <w:rsid w:val="08712362"/>
    <w:rsid w:val="0874D203"/>
    <w:rsid w:val="087AB48A"/>
    <w:rsid w:val="08863F65"/>
    <w:rsid w:val="0886A505"/>
    <w:rsid w:val="0887F118"/>
    <w:rsid w:val="088D0E54"/>
    <w:rsid w:val="088F87D1"/>
    <w:rsid w:val="0890B243"/>
    <w:rsid w:val="0896DEA7"/>
    <w:rsid w:val="089756AE"/>
    <w:rsid w:val="089EFF12"/>
    <w:rsid w:val="089F7501"/>
    <w:rsid w:val="089FA013"/>
    <w:rsid w:val="08B01E98"/>
    <w:rsid w:val="08B1F501"/>
    <w:rsid w:val="08E5C0DF"/>
    <w:rsid w:val="08E807D4"/>
    <w:rsid w:val="08F51635"/>
    <w:rsid w:val="0904C5A0"/>
    <w:rsid w:val="091AA984"/>
    <w:rsid w:val="09296809"/>
    <w:rsid w:val="092F33C2"/>
    <w:rsid w:val="0936326A"/>
    <w:rsid w:val="0940BAE9"/>
    <w:rsid w:val="09412259"/>
    <w:rsid w:val="0947E459"/>
    <w:rsid w:val="0951CEEF"/>
    <w:rsid w:val="09632452"/>
    <w:rsid w:val="0974EC2C"/>
    <w:rsid w:val="097A3BA7"/>
    <w:rsid w:val="097C1C8A"/>
    <w:rsid w:val="09A6567D"/>
    <w:rsid w:val="09BF11E6"/>
    <w:rsid w:val="09C14F44"/>
    <w:rsid w:val="09CD3AE9"/>
    <w:rsid w:val="09CDCBA6"/>
    <w:rsid w:val="09E7316C"/>
    <w:rsid w:val="09F53259"/>
    <w:rsid w:val="09F57787"/>
    <w:rsid w:val="09F8C28C"/>
    <w:rsid w:val="0A02B39F"/>
    <w:rsid w:val="0A06DC21"/>
    <w:rsid w:val="0A35F6C2"/>
    <w:rsid w:val="0A43B809"/>
    <w:rsid w:val="0A54E89F"/>
    <w:rsid w:val="0A56E4E9"/>
    <w:rsid w:val="0A760098"/>
    <w:rsid w:val="0A78281B"/>
    <w:rsid w:val="0A7F0022"/>
    <w:rsid w:val="0A80A4CC"/>
    <w:rsid w:val="0ABDB138"/>
    <w:rsid w:val="0ACC8C27"/>
    <w:rsid w:val="0AD10A92"/>
    <w:rsid w:val="0AD7AAF8"/>
    <w:rsid w:val="0AE7AC58"/>
    <w:rsid w:val="0AF87911"/>
    <w:rsid w:val="0AFDC056"/>
    <w:rsid w:val="0B0C877B"/>
    <w:rsid w:val="0B256F61"/>
    <w:rsid w:val="0B3C8328"/>
    <w:rsid w:val="0B4C2C6F"/>
    <w:rsid w:val="0B59FB9E"/>
    <w:rsid w:val="0B6DB4BC"/>
    <w:rsid w:val="0B7215AF"/>
    <w:rsid w:val="0B7EC2BA"/>
    <w:rsid w:val="0B88B74E"/>
    <w:rsid w:val="0BAA3F61"/>
    <w:rsid w:val="0BBDFA02"/>
    <w:rsid w:val="0BCE7F69"/>
    <w:rsid w:val="0BD50C3D"/>
    <w:rsid w:val="0BE1DA34"/>
    <w:rsid w:val="0C02A445"/>
    <w:rsid w:val="0C18680B"/>
    <w:rsid w:val="0C1AD083"/>
    <w:rsid w:val="0C1C3E88"/>
    <w:rsid w:val="0C2ABD28"/>
    <w:rsid w:val="0C39C178"/>
    <w:rsid w:val="0C43BC27"/>
    <w:rsid w:val="0C43CC3A"/>
    <w:rsid w:val="0C4DA95C"/>
    <w:rsid w:val="0C5A69A2"/>
    <w:rsid w:val="0C6027B1"/>
    <w:rsid w:val="0C6DDB1B"/>
    <w:rsid w:val="0C7273B8"/>
    <w:rsid w:val="0C72FF00"/>
    <w:rsid w:val="0C7A8D4A"/>
    <w:rsid w:val="0C82DB13"/>
    <w:rsid w:val="0C8CAA29"/>
    <w:rsid w:val="0CA26DC0"/>
    <w:rsid w:val="0CAC6B6E"/>
    <w:rsid w:val="0CAEEFDF"/>
    <w:rsid w:val="0CB67A85"/>
    <w:rsid w:val="0CDCCDDD"/>
    <w:rsid w:val="0CEA8C83"/>
    <w:rsid w:val="0D07D622"/>
    <w:rsid w:val="0D170B53"/>
    <w:rsid w:val="0D1B4BD9"/>
    <w:rsid w:val="0D1C983B"/>
    <w:rsid w:val="0D1CFE8D"/>
    <w:rsid w:val="0D1F0A7F"/>
    <w:rsid w:val="0D312BC2"/>
    <w:rsid w:val="0D3BD93F"/>
    <w:rsid w:val="0D556C78"/>
    <w:rsid w:val="0D5D6F2E"/>
    <w:rsid w:val="0D9A5000"/>
    <w:rsid w:val="0DC917EA"/>
    <w:rsid w:val="0DC9A888"/>
    <w:rsid w:val="0DDBB1DB"/>
    <w:rsid w:val="0DEFD7E0"/>
    <w:rsid w:val="0DF7DF39"/>
    <w:rsid w:val="0DFD4330"/>
    <w:rsid w:val="0E0F6CF8"/>
    <w:rsid w:val="0E111A0E"/>
    <w:rsid w:val="0E2B9D29"/>
    <w:rsid w:val="0E338AAF"/>
    <w:rsid w:val="0E3984BC"/>
    <w:rsid w:val="0E561DF9"/>
    <w:rsid w:val="0E5B5453"/>
    <w:rsid w:val="0E614CB2"/>
    <w:rsid w:val="0E765A23"/>
    <w:rsid w:val="0E839838"/>
    <w:rsid w:val="0E86742B"/>
    <w:rsid w:val="0E947457"/>
    <w:rsid w:val="0E9974B1"/>
    <w:rsid w:val="0EA98531"/>
    <w:rsid w:val="0EABF86D"/>
    <w:rsid w:val="0EB2D846"/>
    <w:rsid w:val="0EBA8CAA"/>
    <w:rsid w:val="0EC4C0A4"/>
    <w:rsid w:val="0EC9627B"/>
    <w:rsid w:val="0ECEE0AA"/>
    <w:rsid w:val="0ED3A45F"/>
    <w:rsid w:val="0ED69848"/>
    <w:rsid w:val="0EE66B19"/>
    <w:rsid w:val="0EEAAB4B"/>
    <w:rsid w:val="0F0EC867"/>
    <w:rsid w:val="0F0F928F"/>
    <w:rsid w:val="0F11E6F9"/>
    <w:rsid w:val="0F186215"/>
    <w:rsid w:val="0F18DEEF"/>
    <w:rsid w:val="0F1CE3DE"/>
    <w:rsid w:val="0F297E1A"/>
    <w:rsid w:val="0F4560F2"/>
    <w:rsid w:val="0F5B9673"/>
    <w:rsid w:val="0F5D5328"/>
    <w:rsid w:val="0F6D4D37"/>
    <w:rsid w:val="0F6E6ADE"/>
    <w:rsid w:val="0F6FB10B"/>
    <w:rsid w:val="0F72E9D2"/>
    <w:rsid w:val="0F7E490C"/>
    <w:rsid w:val="0F876F23"/>
    <w:rsid w:val="0F933646"/>
    <w:rsid w:val="0F9BFF50"/>
    <w:rsid w:val="0F9C5C59"/>
    <w:rsid w:val="0FA0C8F2"/>
    <w:rsid w:val="0FC503A9"/>
    <w:rsid w:val="1000EC89"/>
    <w:rsid w:val="100610EE"/>
    <w:rsid w:val="1025A21C"/>
    <w:rsid w:val="103BB3DF"/>
    <w:rsid w:val="1052C16D"/>
    <w:rsid w:val="106F9D8D"/>
    <w:rsid w:val="107A09EE"/>
    <w:rsid w:val="1088AAE4"/>
    <w:rsid w:val="1092DD80"/>
    <w:rsid w:val="109AD5BB"/>
    <w:rsid w:val="10A5FF00"/>
    <w:rsid w:val="10A8A255"/>
    <w:rsid w:val="10AF2439"/>
    <w:rsid w:val="10B5C539"/>
    <w:rsid w:val="10C92C22"/>
    <w:rsid w:val="10DABAFD"/>
    <w:rsid w:val="10F58827"/>
    <w:rsid w:val="10F92389"/>
    <w:rsid w:val="10FB22D2"/>
    <w:rsid w:val="11181AA1"/>
    <w:rsid w:val="11279842"/>
    <w:rsid w:val="1138EF79"/>
    <w:rsid w:val="115631F4"/>
    <w:rsid w:val="116710FD"/>
    <w:rsid w:val="116F70CD"/>
    <w:rsid w:val="118EBA3A"/>
    <w:rsid w:val="11943FB9"/>
    <w:rsid w:val="119DD2DB"/>
    <w:rsid w:val="11AF81F9"/>
    <w:rsid w:val="11B01B2D"/>
    <w:rsid w:val="11BF5640"/>
    <w:rsid w:val="11D109E0"/>
    <w:rsid w:val="11E32B29"/>
    <w:rsid w:val="11E5CE38"/>
    <w:rsid w:val="11EDC8AA"/>
    <w:rsid w:val="1202C6ED"/>
    <w:rsid w:val="1210AD3D"/>
    <w:rsid w:val="12151EA1"/>
    <w:rsid w:val="121E025E"/>
    <w:rsid w:val="12251C2A"/>
    <w:rsid w:val="12307F5A"/>
    <w:rsid w:val="12312061"/>
    <w:rsid w:val="1234630D"/>
    <w:rsid w:val="1234D1C8"/>
    <w:rsid w:val="123520B8"/>
    <w:rsid w:val="12360B50"/>
    <w:rsid w:val="1243D15D"/>
    <w:rsid w:val="1246AA92"/>
    <w:rsid w:val="12522E85"/>
    <w:rsid w:val="12538FBF"/>
    <w:rsid w:val="1259E5F8"/>
    <w:rsid w:val="1269E313"/>
    <w:rsid w:val="12773A1B"/>
    <w:rsid w:val="1277F761"/>
    <w:rsid w:val="129598E8"/>
    <w:rsid w:val="129CED98"/>
    <w:rsid w:val="129D2889"/>
    <w:rsid w:val="12A99E54"/>
    <w:rsid w:val="12C8AEA2"/>
    <w:rsid w:val="12D7F446"/>
    <w:rsid w:val="12E47D2B"/>
    <w:rsid w:val="12ED1740"/>
    <w:rsid w:val="12F1CA55"/>
    <w:rsid w:val="13005282"/>
    <w:rsid w:val="1307D61C"/>
    <w:rsid w:val="1320A735"/>
    <w:rsid w:val="1326441A"/>
    <w:rsid w:val="1336CFE8"/>
    <w:rsid w:val="13459210"/>
    <w:rsid w:val="1347E8AB"/>
    <w:rsid w:val="136068B4"/>
    <w:rsid w:val="13748EE8"/>
    <w:rsid w:val="1386DEF0"/>
    <w:rsid w:val="1386F075"/>
    <w:rsid w:val="13898462"/>
    <w:rsid w:val="1391B867"/>
    <w:rsid w:val="1398D36D"/>
    <w:rsid w:val="13AEE202"/>
    <w:rsid w:val="13D2767D"/>
    <w:rsid w:val="13EB3C5F"/>
    <w:rsid w:val="1404B48A"/>
    <w:rsid w:val="14170210"/>
    <w:rsid w:val="1417DE13"/>
    <w:rsid w:val="143CA8C8"/>
    <w:rsid w:val="143F92E4"/>
    <w:rsid w:val="144A0AB7"/>
    <w:rsid w:val="14558630"/>
    <w:rsid w:val="1467033B"/>
    <w:rsid w:val="1469B7A6"/>
    <w:rsid w:val="147193E4"/>
    <w:rsid w:val="14756641"/>
    <w:rsid w:val="14817A38"/>
    <w:rsid w:val="14A6B891"/>
    <w:rsid w:val="14BB0AFD"/>
    <w:rsid w:val="14E3175B"/>
    <w:rsid w:val="14F5EBFB"/>
    <w:rsid w:val="15086EB5"/>
    <w:rsid w:val="1513719A"/>
    <w:rsid w:val="152771B7"/>
    <w:rsid w:val="15511836"/>
    <w:rsid w:val="1553691B"/>
    <w:rsid w:val="155CC75A"/>
    <w:rsid w:val="15694753"/>
    <w:rsid w:val="1587A399"/>
    <w:rsid w:val="158A3398"/>
    <w:rsid w:val="158D6531"/>
    <w:rsid w:val="15991BD7"/>
    <w:rsid w:val="15A5876E"/>
    <w:rsid w:val="15C42CC1"/>
    <w:rsid w:val="15CC151A"/>
    <w:rsid w:val="15CEA867"/>
    <w:rsid w:val="15D7E2C0"/>
    <w:rsid w:val="15E33925"/>
    <w:rsid w:val="1618F2F1"/>
    <w:rsid w:val="162F8A68"/>
    <w:rsid w:val="1636CDC7"/>
    <w:rsid w:val="1637A4F5"/>
    <w:rsid w:val="166A322B"/>
    <w:rsid w:val="16B61088"/>
    <w:rsid w:val="16DC735B"/>
    <w:rsid w:val="16E14C1C"/>
    <w:rsid w:val="16ED1E04"/>
    <w:rsid w:val="16F218AB"/>
    <w:rsid w:val="16F9FC71"/>
    <w:rsid w:val="17048817"/>
    <w:rsid w:val="170B5289"/>
    <w:rsid w:val="170EA281"/>
    <w:rsid w:val="17127E43"/>
    <w:rsid w:val="1729D451"/>
    <w:rsid w:val="17437889"/>
    <w:rsid w:val="1749D408"/>
    <w:rsid w:val="175169CF"/>
    <w:rsid w:val="17522DBC"/>
    <w:rsid w:val="17593B28"/>
    <w:rsid w:val="176AE5D9"/>
    <w:rsid w:val="17904228"/>
    <w:rsid w:val="179B2ACD"/>
    <w:rsid w:val="17BD1C1C"/>
    <w:rsid w:val="17DC4629"/>
    <w:rsid w:val="17E7EC2A"/>
    <w:rsid w:val="17E88350"/>
    <w:rsid w:val="17FF6FF5"/>
    <w:rsid w:val="180E8317"/>
    <w:rsid w:val="18106F86"/>
    <w:rsid w:val="18467AE8"/>
    <w:rsid w:val="18552666"/>
    <w:rsid w:val="185A5013"/>
    <w:rsid w:val="18667021"/>
    <w:rsid w:val="18692AC8"/>
    <w:rsid w:val="187B05F0"/>
    <w:rsid w:val="188C0E62"/>
    <w:rsid w:val="188E1CB5"/>
    <w:rsid w:val="188FFFC3"/>
    <w:rsid w:val="18960ABD"/>
    <w:rsid w:val="189F136B"/>
    <w:rsid w:val="18B5078B"/>
    <w:rsid w:val="18D1B12B"/>
    <w:rsid w:val="18DD2F14"/>
    <w:rsid w:val="18F70BA8"/>
    <w:rsid w:val="1900D38A"/>
    <w:rsid w:val="190800B9"/>
    <w:rsid w:val="1912EC28"/>
    <w:rsid w:val="1915247E"/>
    <w:rsid w:val="191AB58B"/>
    <w:rsid w:val="191B6F5F"/>
    <w:rsid w:val="1920F02F"/>
    <w:rsid w:val="19444D0F"/>
    <w:rsid w:val="1954C1AC"/>
    <w:rsid w:val="198A33E8"/>
    <w:rsid w:val="198DBDAA"/>
    <w:rsid w:val="19A22B42"/>
    <w:rsid w:val="19A986D0"/>
    <w:rsid w:val="19ABF715"/>
    <w:rsid w:val="19CAC88F"/>
    <w:rsid w:val="19F62074"/>
    <w:rsid w:val="19F81670"/>
    <w:rsid w:val="1A0939B3"/>
    <w:rsid w:val="1A1649C7"/>
    <w:rsid w:val="1A309EB6"/>
    <w:rsid w:val="1A44DBDB"/>
    <w:rsid w:val="1A526CB3"/>
    <w:rsid w:val="1A55855F"/>
    <w:rsid w:val="1A5B14BC"/>
    <w:rsid w:val="1A6212C3"/>
    <w:rsid w:val="1A67754E"/>
    <w:rsid w:val="1A795812"/>
    <w:rsid w:val="1A7B5050"/>
    <w:rsid w:val="1A8DDB1D"/>
    <w:rsid w:val="1A8F17EF"/>
    <w:rsid w:val="1A942DAB"/>
    <w:rsid w:val="1A96EBCB"/>
    <w:rsid w:val="1ABFEAB0"/>
    <w:rsid w:val="1ACE6890"/>
    <w:rsid w:val="1AD9E80A"/>
    <w:rsid w:val="1AEBCB02"/>
    <w:rsid w:val="1B0052DF"/>
    <w:rsid w:val="1B072097"/>
    <w:rsid w:val="1B0AFAA2"/>
    <w:rsid w:val="1B0F8635"/>
    <w:rsid w:val="1B3A1C6D"/>
    <w:rsid w:val="1B58273A"/>
    <w:rsid w:val="1B636892"/>
    <w:rsid w:val="1B70D747"/>
    <w:rsid w:val="1B79061F"/>
    <w:rsid w:val="1B836478"/>
    <w:rsid w:val="1B8A1B4F"/>
    <w:rsid w:val="1BA7A0BC"/>
    <w:rsid w:val="1BBADE3B"/>
    <w:rsid w:val="1BC66E76"/>
    <w:rsid w:val="1BCE570D"/>
    <w:rsid w:val="1BE0924B"/>
    <w:rsid w:val="1BE49389"/>
    <w:rsid w:val="1BE6872D"/>
    <w:rsid w:val="1BE80BDE"/>
    <w:rsid w:val="1BECA84D"/>
    <w:rsid w:val="1BF55225"/>
    <w:rsid w:val="1C14083F"/>
    <w:rsid w:val="1C16D74E"/>
    <w:rsid w:val="1C3371F0"/>
    <w:rsid w:val="1C42D745"/>
    <w:rsid w:val="1C43A3B7"/>
    <w:rsid w:val="1C679CB5"/>
    <w:rsid w:val="1C7F13F6"/>
    <w:rsid w:val="1CA780E1"/>
    <w:rsid w:val="1CA7B95D"/>
    <w:rsid w:val="1CAAFC4D"/>
    <w:rsid w:val="1CAB5696"/>
    <w:rsid w:val="1CF39EAB"/>
    <w:rsid w:val="1CFFE7C3"/>
    <w:rsid w:val="1D01C5C5"/>
    <w:rsid w:val="1D176CE5"/>
    <w:rsid w:val="1D228906"/>
    <w:rsid w:val="1D23F8DC"/>
    <w:rsid w:val="1D2436D3"/>
    <w:rsid w:val="1D27C9AC"/>
    <w:rsid w:val="1D289789"/>
    <w:rsid w:val="1D4DEA89"/>
    <w:rsid w:val="1D6F5051"/>
    <w:rsid w:val="1D719ABA"/>
    <w:rsid w:val="1D85E953"/>
    <w:rsid w:val="1D8878AE"/>
    <w:rsid w:val="1D8CC1D0"/>
    <w:rsid w:val="1D9A56F0"/>
    <w:rsid w:val="1DAB7CF5"/>
    <w:rsid w:val="1DC7B89D"/>
    <w:rsid w:val="1DDDF5AD"/>
    <w:rsid w:val="1DDEB34D"/>
    <w:rsid w:val="1DDF7418"/>
    <w:rsid w:val="1DFBB319"/>
    <w:rsid w:val="1DFC1F15"/>
    <w:rsid w:val="1DFDE3BE"/>
    <w:rsid w:val="1E0C63F7"/>
    <w:rsid w:val="1E0D8483"/>
    <w:rsid w:val="1E0E0531"/>
    <w:rsid w:val="1E27CB71"/>
    <w:rsid w:val="1E305EDE"/>
    <w:rsid w:val="1E38B193"/>
    <w:rsid w:val="1E402793"/>
    <w:rsid w:val="1E66AB0F"/>
    <w:rsid w:val="1E706133"/>
    <w:rsid w:val="1E9362E0"/>
    <w:rsid w:val="1EB5C78D"/>
    <w:rsid w:val="1EC183C0"/>
    <w:rsid w:val="1ED5016B"/>
    <w:rsid w:val="1EE99A2A"/>
    <w:rsid w:val="1EFF2C01"/>
    <w:rsid w:val="1F0085B0"/>
    <w:rsid w:val="1F0C5108"/>
    <w:rsid w:val="1F35A74C"/>
    <w:rsid w:val="1F40FF4A"/>
    <w:rsid w:val="1F4C081B"/>
    <w:rsid w:val="1F56C91C"/>
    <w:rsid w:val="1F6B1978"/>
    <w:rsid w:val="1F73CCA9"/>
    <w:rsid w:val="1FA97598"/>
    <w:rsid w:val="1FA9B991"/>
    <w:rsid w:val="1FD8D160"/>
    <w:rsid w:val="1FD92F35"/>
    <w:rsid w:val="1FDE2294"/>
    <w:rsid w:val="1FFC1E64"/>
    <w:rsid w:val="200C7E63"/>
    <w:rsid w:val="2016D6D9"/>
    <w:rsid w:val="201DCFBA"/>
    <w:rsid w:val="201E57F6"/>
    <w:rsid w:val="202AF72E"/>
    <w:rsid w:val="204527E3"/>
    <w:rsid w:val="2049150E"/>
    <w:rsid w:val="2051D02E"/>
    <w:rsid w:val="2057E255"/>
    <w:rsid w:val="205C6541"/>
    <w:rsid w:val="20787AE1"/>
    <w:rsid w:val="208E34BC"/>
    <w:rsid w:val="209F1FD9"/>
    <w:rsid w:val="20AA1573"/>
    <w:rsid w:val="20AA3E00"/>
    <w:rsid w:val="20ABFE03"/>
    <w:rsid w:val="20D4EBAF"/>
    <w:rsid w:val="20FB49F5"/>
    <w:rsid w:val="20FEEEAA"/>
    <w:rsid w:val="21097115"/>
    <w:rsid w:val="210AAA88"/>
    <w:rsid w:val="212277C0"/>
    <w:rsid w:val="2133BFD7"/>
    <w:rsid w:val="214362F9"/>
    <w:rsid w:val="2146C791"/>
    <w:rsid w:val="214A157A"/>
    <w:rsid w:val="2155B01B"/>
    <w:rsid w:val="218ED49B"/>
    <w:rsid w:val="2190A50B"/>
    <w:rsid w:val="219414CA"/>
    <w:rsid w:val="219C970E"/>
    <w:rsid w:val="21A5C4AF"/>
    <w:rsid w:val="21A801F5"/>
    <w:rsid w:val="21AFA031"/>
    <w:rsid w:val="21C0A932"/>
    <w:rsid w:val="21D48571"/>
    <w:rsid w:val="21DEC29D"/>
    <w:rsid w:val="21DFFC25"/>
    <w:rsid w:val="21E75D49"/>
    <w:rsid w:val="21E7FBCB"/>
    <w:rsid w:val="21E8C66B"/>
    <w:rsid w:val="21EE6A6D"/>
    <w:rsid w:val="21F465B4"/>
    <w:rsid w:val="21FA106E"/>
    <w:rsid w:val="21FDCDDA"/>
    <w:rsid w:val="220C44AF"/>
    <w:rsid w:val="2218A9DF"/>
    <w:rsid w:val="2221E5C1"/>
    <w:rsid w:val="2231CD35"/>
    <w:rsid w:val="223A5694"/>
    <w:rsid w:val="2241DA04"/>
    <w:rsid w:val="2248303D"/>
    <w:rsid w:val="2253AB7D"/>
    <w:rsid w:val="226D27DD"/>
    <w:rsid w:val="22811DA0"/>
    <w:rsid w:val="229BC138"/>
    <w:rsid w:val="22A24F98"/>
    <w:rsid w:val="22A4E063"/>
    <w:rsid w:val="22CD2E68"/>
    <w:rsid w:val="22FE16FF"/>
    <w:rsid w:val="2308B09B"/>
    <w:rsid w:val="230D5998"/>
    <w:rsid w:val="23111FCE"/>
    <w:rsid w:val="2311CE37"/>
    <w:rsid w:val="233DCEE2"/>
    <w:rsid w:val="23416227"/>
    <w:rsid w:val="236F55B9"/>
    <w:rsid w:val="23936D82"/>
    <w:rsid w:val="23AFA58A"/>
    <w:rsid w:val="23C0B998"/>
    <w:rsid w:val="23C6D468"/>
    <w:rsid w:val="23CBE461"/>
    <w:rsid w:val="240F339E"/>
    <w:rsid w:val="2412BBC3"/>
    <w:rsid w:val="24181C5D"/>
    <w:rsid w:val="241E7D1F"/>
    <w:rsid w:val="2431B761"/>
    <w:rsid w:val="24447BD7"/>
    <w:rsid w:val="24478BC4"/>
    <w:rsid w:val="244BBB90"/>
    <w:rsid w:val="24541DB7"/>
    <w:rsid w:val="24A3F680"/>
    <w:rsid w:val="24AAFB5C"/>
    <w:rsid w:val="24B5921E"/>
    <w:rsid w:val="24B9B06C"/>
    <w:rsid w:val="24C7DA6A"/>
    <w:rsid w:val="24C8811F"/>
    <w:rsid w:val="24CE4122"/>
    <w:rsid w:val="24D93838"/>
    <w:rsid w:val="24E31FBB"/>
    <w:rsid w:val="24E6ED55"/>
    <w:rsid w:val="24F51A14"/>
    <w:rsid w:val="24FC0ABA"/>
    <w:rsid w:val="2512E4C9"/>
    <w:rsid w:val="252D1FB7"/>
    <w:rsid w:val="253D4546"/>
    <w:rsid w:val="2555EBFA"/>
    <w:rsid w:val="256FE64B"/>
    <w:rsid w:val="25936355"/>
    <w:rsid w:val="25A56DDE"/>
    <w:rsid w:val="25D85E9E"/>
    <w:rsid w:val="262E4DFC"/>
    <w:rsid w:val="263DCE13"/>
    <w:rsid w:val="265568A0"/>
    <w:rsid w:val="26559AA8"/>
    <w:rsid w:val="26AC267D"/>
    <w:rsid w:val="26B36D48"/>
    <w:rsid w:val="26B3CEE1"/>
    <w:rsid w:val="26B5D4AA"/>
    <w:rsid w:val="26C47649"/>
    <w:rsid w:val="26D7EC52"/>
    <w:rsid w:val="26D9EE59"/>
    <w:rsid w:val="26E28E63"/>
    <w:rsid w:val="26E54A02"/>
    <w:rsid w:val="2709CAA1"/>
    <w:rsid w:val="270EEDAA"/>
    <w:rsid w:val="2711E2BF"/>
    <w:rsid w:val="271241DB"/>
    <w:rsid w:val="27160B59"/>
    <w:rsid w:val="27211057"/>
    <w:rsid w:val="272DC306"/>
    <w:rsid w:val="27404C75"/>
    <w:rsid w:val="274A5C85"/>
    <w:rsid w:val="27580619"/>
    <w:rsid w:val="2766791C"/>
    <w:rsid w:val="276726E2"/>
    <w:rsid w:val="276AC3CA"/>
    <w:rsid w:val="276B4DDF"/>
    <w:rsid w:val="276B7613"/>
    <w:rsid w:val="276CAC2E"/>
    <w:rsid w:val="27A74CE1"/>
    <w:rsid w:val="27B8DCBA"/>
    <w:rsid w:val="27D0D2B9"/>
    <w:rsid w:val="27D82C73"/>
    <w:rsid w:val="27E39452"/>
    <w:rsid w:val="27E6E291"/>
    <w:rsid w:val="27E8F8B6"/>
    <w:rsid w:val="27F090BF"/>
    <w:rsid w:val="27F9FD6A"/>
    <w:rsid w:val="27FC7536"/>
    <w:rsid w:val="281C7497"/>
    <w:rsid w:val="282D0172"/>
    <w:rsid w:val="2830502C"/>
    <w:rsid w:val="2842616E"/>
    <w:rsid w:val="285C62CD"/>
    <w:rsid w:val="286120A1"/>
    <w:rsid w:val="2862E773"/>
    <w:rsid w:val="2864E26B"/>
    <w:rsid w:val="2870B8D5"/>
    <w:rsid w:val="28811A63"/>
    <w:rsid w:val="288BA7EB"/>
    <w:rsid w:val="289BAF86"/>
    <w:rsid w:val="289BCFDE"/>
    <w:rsid w:val="28A79643"/>
    <w:rsid w:val="28ABD786"/>
    <w:rsid w:val="28C2F465"/>
    <w:rsid w:val="28DBCBCC"/>
    <w:rsid w:val="28E1A8A2"/>
    <w:rsid w:val="293C9162"/>
    <w:rsid w:val="29459D91"/>
    <w:rsid w:val="2973168F"/>
    <w:rsid w:val="29752461"/>
    <w:rsid w:val="297CFCB2"/>
    <w:rsid w:val="299AC5F9"/>
    <w:rsid w:val="29AA2B74"/>
    <w:rsid w:val="29B38585"/>
    <w:rsid w:val="29BAA8E3"/>
    <w:rsid w:val="29BC97D4"/>
    <w:rsid w:val="29BE44EE"/>
    <w:rsid w:val="29DA91E9"/>
    <w:rsid w:val="2A13C498"/>
    <w:rsid w:val="2A144079"/>
    <w:rsid w:val="2A17BA75"/>
    <w:rsid w:val="2A2ED609"/>
    <w:rsid w:val="2A351702"/>
    <w:rsid w:val="2A3CE3A0"/>
    <w:rsid w:val="2A4D1A24"/>
    <w:rsid w:val="2A587BE4"/>
    <w:rsid w:val="2A668A13"/>
    <w:rsid w:val="2A6C9AC2"/>
    <w:rsid w:val="2A902435"/>
    <w:rsid w:val="2A91B39F"/>
    <w:rsid w:val="2A9251AC"/>
    <w:rsid w:val="2AA5C8B9"/>
    <w:rsid w:val="2AB46988"/>
    <w:rsid w:val="2AB64887"/>
    <w:rsid w:val="2AE08DD9"/>
    <w:rsid w:val="2AE4BAB2"/>
    <w:rsid w:val="2AE5F43A"/>
    <w:rsid w:val="2AF2BA94"/>
    <w:rsid w:val="2AF832D6"/>
    <w:rsid w:val="2B027BC0"/>
    <w:rsid w:val="2B02F307"/>
    <w:rsid w:val="2B2AE528"/>
    <w:rsid w:val="2B2EA583"/>
    <w:rsid w:val="2B36965A"/>
    <w:rsid w:val="2B43BEF7"/>
    <w:rsid w:val="2B4B5C37"/>
    <w:rsid w:val="2B4B87E7"/>
    <w:rsid w:val="2B4E631B"/>
    <w:rsid w:val="2B5A96DE"/>
    <w:rsid w:val="2B6B9017"/>
    <w:rsid w:val="2B6D9DB5"/>
    <w:rsid w:val="2B7101DD"/>
    <w:rsid w:val="2B83A859"/>
    <w:rsid w:val="2B8B92B1"/>
    <w:rsid w:val="2B8CC3EE"/>
    <w:rsid w:val="2B981DBB"/>
    <w:rsid w:val="2B9A8835"/>
    <w:rsid w:val="2B9EC47B"/>
    <w:rsid w:val="2BB276B4"/>
    <w:rsid w:val="2BBEDCDA"/>
    <w:rsid w:val="2BE7F99E"/>
    <w:rsid w:val="2BFFDB4E"/>
    <w:rsid w:val="2C2165D9"/>
    <w:rsid w:val="2C2A87D2"/>
    <w:rsid w:val="2C36D95F"/>
    <w:rsid w:val="2C6096BD"/>
    <w:rsid w:val="2C636DC7"/>
    <w:rsid w:val="2C6D0B2D"/>
    <w:rsid w:val="2C8826F4"/>
    <w:rsid w:val="2C9189EA"/>
    <w:rsid w:val="2C9ADA26"/>
    <w:rsid w:val="2CAAD6B7"/>
    <w:rsid w:val="2CB13BA8"/>
    <w:rsid w:val="2CC15DBA"/>
    <w:rsid w:val="2CD14209"/>
    <w:rsid w:val="2CF7D769"/>
    <w:rsid w:val="2CF80AE3"/>
    <w:rsid w:val="2D07C780"/>
    <w:rsid w:val="2D46BF87"/>
    <w:rsid w:val="2D5CC017"/>
    <w:rsid w:val="2D96FFB9"/>
    <w:rsid w:val="2DB07FC3"/>
    <w:rsid w:val="2DE1953C"/>
    <w:rsid w:val="2DE385CC"/>
    <w:rsid w:val="2DE48CB8"/>
    <w:rsid w:val="2DF2BAF3"/>
    <w:rsid w:val="2E02C29D"/>
    <w:rsid w:val="2E040A9F"/>
    <w:rsid w:val="2E147578"/>
    <w:rsid w:val="2E33835B"/>
    <w:rsid w:val="2E3F2EED"/>
    <w:rsid w:val="2E42A5F3"/>
    <w:rsid w:val="2E604C34"/>
    <w:rsid w:val="2E653847"/>
    <w:rsid w:val="2E6E9C0C"/>
    <w:rsid w:val="2E81B4D9"/>
    <w:rsid w:val="2E8BA9AE"/>
    <w:rsid w:val="2E8E1A06"/>
    <w:rsid w:val="2E902760"/>
    <w:rsid w:val="2E9E75A7"/>
    <w:rsid w:val="2EAF2FE7"/>
    <w:rsid w:val="2EBA1E77"/>
    <w:rsid w:val="2ECE5630"/>
    <w:rsid w:val="2ED3BA9B"/>
    <w:rsid w:val="2ED4496E"/>
    <w:rsid w:val="2EE1AB5D"/>
    <w:rsid w:val="2EFB1742"/>
    <w:rsid w:val="2EFEE295"/>
    <w:rsid w:val="2F0828DE"/>
    <w:rsid w:val="2F10C501"/>
    <w:rsid w:val="2F283253"/>
    <w:rsid w:val="2F2A168D"/>
    <w:rsid w:val="2F3487B3"/>
    <w:rsid w:val="2F509EAF"/>
    <w:rsid w:val="2F576708"/>
    <w:rsid w:val="2F645E7E"/>
    <w:rsid w:val="2F75EC95"/>
    <w:rsid w:val="2FA03D00"/>
    <w:rsid w:val="2FA194AD"/>
    <w:rsid w:val="2FA47B9E"/>
    <w:rsid w:val="2FA64E9A"/>
    <w:rsid w:val="2FB87663"/>
    <w:rsid w:val="2FB9CB5A"/>
    <w:rsid w:val="2FE6A57C"/>
    <w:rsid w:val="2FFBB7D4"/>
    <w:rsid w:val="2FFEB910"/>
    <w:rsid w:val="30013D38"/>
    <w:rsid w:val="30183DC4"/>
    <w:rsid w:val="3039E066"/>
    <w:rsid w:val="3068F692"/>
    <w:rsid w:val="307BB0CD"/>
    <w:rsid w:val="3080A4EA"/>
    <w:rsid w:val="3088C2F3"/>
    <w:rsid w:val="309419CE"/>
    <w:rsid w:val="30A0202F"/>
    <w:rsid w:val="30AF56DD"/>
    <w:rsid w:val="30BA1F04"/>
    <w:rsid w:val="31022B26"/>
    <w:rsid w:val="31050F50"/>
    <w:rsid w:val="310CF515"/>
    <w:rsid w:val="310D0D09"/>
    <w:rsid w:val="310DB550"/>
    <w:rsid w:val="31476080"/>
    <w:rsid w:val="314C4DD4"/>
    <w:rsid w:val="317106B1"/>
    <w:rsid w:val="3173803C"/>
    <w:rsid w:val="31773697"/>
    <w:rsid w:val="317AA6E9"/>
    <w:rsid w:val="3197459D"/>
    <w:rsid w:val="319AFDC7"/>
    <w:rsid w:val="319F2B91"/>
    <w:rsid w:val="31A2F32F"/>
    <w:rsid w:val="31BBB590"/>
    <w:rsid w:val="31D957F6"/>
    <w:rsid w:val="31DFBA19"/>
    <w:rsid w:val="31E9ACCA"/>
    <w:rsid w:val="31EBCAEC"/>
    <w:rsid w:val="31EC8372"/>
    <w:rsid w:val="31F865AB"/>
    <w:rsid w:val="32061B4C"/>
    <w:rsid w:val="321EC3D6"/>
    <w:rsid w:val="322F89D2"/>
    <w:rsid w:val="323F2F93"/>
    <w:rsid w:val="324C625F"/>
    <w:rsid w:val="3258BE00"/>
    <w:rsid w:val="3266FD76"/>
    <w:rsid w:val="3268FAB0"/>
    <w:rsid w:val="3276AC5D"/>
    <w:rsid w:val="3279B890"/>
    <w:rsid w:val="328C04AF"/>
    <w:rsid w:val="3291867B"/>
    <w:rsid w:val="329B8E36"/>
    <w:rsid w:val="32A20052"/>
    <w:rsid w:val="32B42B7E"/>
    <w:rsid w:val="32CD85B1"/>
    <w:rsid w:val="32DE55C0"/>
    <w:rsid w:val="32ECC20F"/>
    <w:rsid w:val="32F10F61"/>
    <w:rsid w:val="32F57AA2"/>
    <w:rsid w:val="33014F8B"/>
    <w:rsid w:val="330A7CA2"/>
    <w:rsid w:val="3317FB96"/>
    <w:rsid w:val="331D9A87"/>
    <w:rsid w:val="3324682F"/>
    <w:rsid w:val="33298D98"/>
    <w:rsid w:val="332A5C7B"/>
    <w:rsid w:val="333988E3"/>
    <w:rsid w:val="335C9E37"/>
    <w:rsid w:val="336ECA34"/>
    <w:rsid w:val="33717B80"/>
    <w:rsid w:val="3377AEB1"/>
    <w:rsid w:val="3380B31B"/>
    <w:rsid w:val="339BF423"/>
    <w:rsid w:val="33B408B7"/>
    <w:rsid w:val="33B5AEC9"/>
    <w:rsid w:val="33C54C58"/>
    <w:rsid w:val="33F66D42"/>
    <w:rsid w:val="33FB7AB5"/>
    <w:rsid w:val="33FD59DA"/>
    <w:rsid w:val="340698EA"/>
    <w:rsid w:val="3416AB66"/>
    <w:rsid w:val="3416E441"/>
    <w:rsid w:val="341E7409"/>
    <w:rsid w:val="343382A2"/>
    <w:rsid w:val="344493DA"/>
    <w:rsid w:val="344A3253"/>
    <w:rsid w:val="34571A47"/>
    <w:rsid w:val="345EDA81"/>
    <w:rsid w:val="34695612"/>
    <w:rsid w:val="3473B877"/>
    <w:rsid w:val="34740336"/>
    <w:rsid w:val="34843323"/>
    <w:rsid w:val="34AB3810"/>
    <w:rsid w:val="34B08EEB"/>
    <w:rsid w:val="34B75C8D"/>
    <w:rsid w:val="34BC2DDC"/>
    <w:rsid w:val="34BC7516"/>
    <w:rsid w:val="34D5A570"/>
    <w:rsid w:val="34D61803"/>
    <w:rsid w:val="34DC7C81"/>
    <w:rsid w:val="34F614BB"/>
    <w:rsid w:val="34FA319D"/>
    <w:rsid w:val="35055243"/>
    <w:rsid w:val="350F3C3F"/>
    <w:rsid w:val="3516F9E4"/>
    <w:rsid w:val="3523FE29"/>
    <w:rsid w:val="352C08F5"/>
    <w:rsid w:val="353C0BA6"/>
    <w:rsid w:val="35514161"/>
    <w:rsid w:val="3564F4D7"/>
    <w:rsid w:val="356A6573"/>
    <w:rsid w:val="3577BE16"/>
    <w:rsid w:val="35788756"/>
    <w:rsid w:val="358F0B66"/>
    <w:rsid w:val="359582BD"/>
    <w:rsid w:val="35B22362"/>
    <w:rsid w:val="35B93887"/>
    <w:rsid w:val="35BB91A8"/>
    <w:rsid w:val="35BF5319"/>
    <w:rsid w:val="35C10D84"/>
    <w:rsid w:val="35CD3D26"/>
    <w:rsid w:val="35D33C4E"/>
    <w:rsid w:val="35E407C8"/>
    <w:rsid w:val="3603F3A9"/>
    <w:rsid w:val="361D5173"/>
    <w:rsid w:val="361FB2D9"/>
    <w:rsid w:val="36250C6B"/>
    <w:rsid w:val="366C8B86"/>
    <w:rsid w:val="3673A065"/>
    <w:rsid w:val="3674585D"/>
    <w:rsid w:val="3675065A"/>
    <w:rsid w:val="369E4B9A"/>
    <w:rsid w:val="36BFCE8B"/>
    <w:rsid w:val="36CB5FEC"/>
    <w:rsid w:val="36D75CD8"/>
    <w:rsid w:val="36DB826B"/>
    <w:rsid w:val="36DFFD63"/>
    <w:rsid w:val="36EA32F5"/>
    <w:rsid w:val="36EB2C02"/>
    <w:rsid w:val="371C20A2"/>
    <w:rsid w:val="371C2C6B"/>
    <w:rsid w:val="37725896"/>
    <w:rsid w:val="378B147B"/>
    <w:rsid w:val="378C417E"/>
    <w:rsid w:val="37943CAD"/>
    <w:rsid w:val="37A70AD5"/>
    <w:rsid w:val="37DB514F"/>
    <w:rsid w:val="37E0741D"/>
    <w:rsid w:val="37E14E55"/>
    <w:rsid w:val="37F45E5E"/>
    <w:rsid w:val="37FB370B"/>
    <w:rsid w:val="37FFFD16"/>
    <w:rsid w:val="380CB3C4"/>
    <w:rsid w:val="380E9A7D"/>
    <w:rsid w:val="381371E8"/>
    <w:rsid w:val="3813C8F4"/>
    <w:rsid w:val="38216BBC"/>
    <w:rsid w:val="3832E00E"/>
    <w:rsid w:val="3837DFBD"/>
    <w:rsid w:val="38436FDC"/>
    <w:rsid w:val="384D65E0"/>
    <w:rsid w:val="3858E161"/>
    <w:rsid w:val="387DD2FA"/>
    <w:rsid w:val="387E904B"/>
    <w:rsid w:val="389325B2"/>
    <w:rsid w:val="38A02A9D"/>
    <w:rsid w:val="38BCF4FA"/>
    <w:rsid w:val="38C8D977"/>
    <w:rsid w:val="38D17633"/>
    <w:rsid w:val="38DB9E87"/>
    <w:rsid w:val="38EBB7E9"/>
    <w:rsid w:val="390EE982"/>
    <w:rsid w:val="39150CAE"/>
    <w:rsid w:val="391E0FE6"/>
    <w:rsid w:val="393DA0C3"/>
    <w:rsid w:val="39502591"/>
    <w:rsid w:val="3961EC4D"/>
    <w:rsid w:val="396CE24F"/>
    <w:rsid w:val="3976A7AF"/>
    <w:rsid w:val="3979F81F"/>
    <w:rsid w:val="39A7B09A"/>
    <w:rsid w:val="39AC910F"/>
    <w:rsid w:val="39AE2BB5"/>
    <w:rsid w:val="39BDE08A"/>
    <w:rsid w:val="39CED22A"/>
    <w:rsid w:val="39DEBF17"/>
    <w:rsid w:val="3A03E428"/>
    <w:rsid w:val="3A040C18"/>
    <w:rsid w:val="3A13A0E4"/>
    <w:rsid w:val="3A194421"/>
    <w:rsid w:val="3A2087CA"/>
    <w:rsid w:val="3A29F313"/>
    <w:rsid w:val="3A3F7166"/>
    <w:rsid w:val="3A4210ED"/>
    <w:rsid w:val="3A43FDB4"/>
    <w:rsid w:val="3A628961"/>
    <w:rsid w:val="3A647475"/>
    <w:rsid w:val="3A6743F2"/>
    <w:rsid w:val="3A6CADC2"/>
    <w:rsid w:val="3A80D987"/>
    <w:rsid w:val="3A86E36F"/>
    <w:rsid w:val="3A985479"/>
    <w:rsid w:val="3A9AC6F2"/>
    <w:rsid w:val="3AB06FBE"/>
    <w:rsid w:val="3AB9B3C5"/>
    <w:rsid w:val="3AD36FA5"/>
    <w:rsid w:val="3AEB9BE3"/>
    <w:rsid w:val="3AF1712C"/>
    <w:rsid w:val="3AF68EC3"/>
    <w:rsid w:val="3AFF0F00"/>
    <w:rsid w:val="3B06A812"/>
    <w:rsid w:val="3B13CAD9"/>
    <w:rsid w:val="3B17A6C2"/>
    <w:rsid w:val="3B41B619"/>
    <w:rsid w:val="3B4915D5"/>
    <w:rsid w:val="3B52F0F3"/>
    <w:rsid w:val="3B551990"/>
    <w:rsid w:val="3B560FFA"/>
    <w:rsid w:val="3B5905A6"/>
    <w:rsid w:val="3B5C09FC"/>
    <w:rsid w:val="3B6C4C60"/>
    <w:rsid w:val="3B6D6051"/>
    <w:rsid w:val="3B7E3CDC"/>
    <w:rsid w:val="3B87C841"/>
    <w:rsid w:val="3B8EA68B"/>
    <w:rsid w:val="3BA16C20"/>
    <w:rsid w:val="3BB0D438"/>
    <w:rsid w:val="3BC23E1A"/>
    <w:rsid w:val="3BCD79DE"/>
    <w:rsid w:val="3BD21B97"/>
    <w:rsid w:val="3BD6C109"/>
    <w:rsid w:val="3BEEDACF"/>
    <w:rsid w:val="3BEFDB73"/>
    <w:rsid w:val="3BFA1AA7"/>
    <w:rsid w:val="3C0E2575"/>
    <w:rsid w:val="3C25E6AD"/>
    <w:rsid w:val="3C47A054"/>
    <w:rsid w:val="3C4A49BB"/>
    <w:rsid w:val="3C5D51D2"/>
    <w:rsid w:val="3C62C6AC"/>
    <w:rsid w:val="3C6567A0"/>
    <w:rsid w:val="3C657FB0"/>
    <w:rsid w:val="3C73352D"/>
    <w:rsid w:val="3C73FBDD"/>
    <w:rsid w:val="3C7C634A"/>
    <w:rsid w:val="3CA3095D"/>
    <w:rsid w:val="3CBE60BD"/>
    <w:rsid w:val="3CCF9E89"/>
    <w:rsid w:val="3CD3539F"/>
    <w:rsid w:val="3CFFF9B9"/>
    <w:rsid w:val="3D094250"/>
    <w:rsid w:val="3D0B96A0"/>
    <w:rsid w:val="3D0F8D2B"/>
    <w:rsid w:val="3D2398A2"/>
    <w:rsid w:val="3D2BAABE"/>
    <w:rsid w:val="3D40C01C"/>
    <w:rsid w:val="3D4E6E5A"/>
    <w:rsid w:val="3D6D3C70"/>
    <w:rsid w:val="3D90661D"/>
    <w:rsid w:val="3D9763C8"/>
    <w:rsid w:val="3DC245A2"/>
    <w:rsid w:val="3DD353A0"/>
    <w:rsid w:val="3DD71246"/>
    <w:rsid w:val="3DE44E84"/>
    <w:rsid w:val="3DECF861"/>
    <w:rsid w:val="3DF1AADF"/>
    <w:rsid w:val="3DF537EF"/>
    <w:rsid w:val="3DF8169E"/>
    <w:rsid w:val="3DF8666C"/>
    <w:rsid w:val="3DFE3DBC"/>
    <w:rsid w:val="3E2A79D4"/>
    <w:rsid w:val="3E366B1A"/>
    <w:rsid w:val="3E571D00"/>
    <w:rsid w:val="3E85EE4C"/>
    <w:rsid w:val="3E8C9CD5"/>
    <w:rsid w:val="3E947260"/>
    <w:rsid w:val="3E97485E"/>
    <w:rsid w:val="3E9E9953"/>
    <w:rsid w:val="3EB29E11"/>
    <w:rsid w:val="3EBF6903"/>
    <w:rsid w:val="3ED4E8EE"/>
    <w:rsid w:val="3F130E21"/>
    <w:rsid w:val="3F14CB5A"/>
    <w:rsid w:val="3F1AC74E"/>
    <w:rsid w:val="3F260631"/>
    <w:rsid w:val="3F3EE2EE"/>
    <w:rsid w:val="3F44033F"/>
    <w:rsid w:val="3F5090A3"/>
    <w:rsid w:val="3F630FF0"/>
    <w:rsid w:val="3F7A8651"/>
    <w:rsid w:val="3F85DD11"/>
    <w:rsid w:val="3F9561DA"/>
    <w:rsid w:val="3F9D5248"/>
    <w:rsid w:val="3FA6F99A"/>
    <w:rsid w:val="3FC4AF7F"/>
    <w:rsid w:val="3FD00D5D"/>
    <w:rsid w:val="3FD24061"/>
    <w:rsid w:val="3FE16ACA"/>
    <w:rsid w:val="3FE5F578"/>
    <w:rsid w:val="400B4E70"/>
    <w:rsid w:val="402502B2"/>
    <w:rsid w:val="402F2219"/>
    <w:rsid w:val="4050D9B0"/>
    <w:rsid w:val="40652A46"/>
    <w:rsid w:val="406DCA50"/>
    <w:rsid w:val="40892966"/>
    <w:rsid w:val="40982509"/>
    <w:rsid w:val="409F1184"/>
    <w:rsid w:val="40A4F8BE"/>
    <w:rsid w:val="40A9E654"/>
    <w:rsid w:val="40AA3D98"/>
    <w:rsid w:val="40AC1BFB"/>
    <w:rsid w:val="40BC89CB"/>
    <w:rsid w:val="40CFC7E0"/>
    <w:rsid w:val="40DD4975"/>
    <w:rsid w:val="40DF28D0"/>
    <w:rsid w:val="410C3662"/>
    <w:rsid w:val="4113B9AA"/>
    <w:rsid w:val="4116A926"/>
    <w:rsid w:val="411F827C"/>
    <w:rsid w:val="413A2856"/>
    <w:rsid w:val="4165E2C2"/>
    <w:rsid w:val="416F07FB"/>
    <w:rsid w:val="418FC55F"/>
    <w:rsid w:val="41AB4D02"/>
    <w:rsid w:val="41ABBCF0"/>
    <w:rsid w:val="41B234D2"/>
    <w:rsid w:val="41B5C0C3"/>
    <w:rsid w:val="41CC1322"/>
    <w:rsid w:val="41FA1B0B"/>
    <w:rsid w:val="42099AB1"/>
    <w:rsid w:val="4229C733"/>
    <w:rsid w:val="42376D1B"/>
    <w:rsid w:val="423A8CD1"/>
    <w:rsid w:val="423DEE9D"/>
    <w:rsid w:val="423F0DBA"/>
    <w:rsid w:val="423F8D95"/>
    <w:rsid w:val="42452AEE"/>
    <w:rsid w:val="4251F52E"/>
    <w:rsid w:val="4280FA22"/>
    <w:rsid w:val="42B2355B"/>
    <w:rsid w:val="42B737C2"/>
    <w:rsid w:val="42D78FAD"/>
    <w:rsid w:val="42E33C0F"/>
    <w:rsid w:val="42EA64F3"/>
    <w:rsid w:val="43025E8C"/>
    <w:rsid w:val="430A0A7F"/>
    <w:rsid w:val="430E16EB"/>
    <w:rsid w:val="431052A3"/>
    <w:rsid w:val="432332DC"/>
    <w:rsid w:val="4351DF46"/>
    <w:rsid w:val="435BC1CF"/>
    <w:rsid w:val="43619733"/>
    <w:rsid w:val="4374416F"/>
    <w:rsid w:val="43A67C66"/>
    <w:rsid w:val="43A81893"/>
    <w:rsid w:val="43ADA40E"/>
    <w:rsid w:val="43C7061B"/>
    <w:rsid w:val="43E21992"/>
    <w:rsid w:val="43EEA938"/>
    <w:rsid w:val="43F8B2E9"/>
    <w:rsid w:val="43F97754"/>
    <w:rsid w:val="4402B3D5"/>
    <w:rsid w:val="442B4362"/>
    <w:rsid w:val="44332515"/>
    <w:rsid w:val="443655B8"/>
    <w:rsid w:val="44398142"/>
    <w:rsid w:val="443C2BA3"/>
    <w:rsid w:val="4445E557"/>
    <w:rsid w:val="444A70B5"/>
    <w:rsid w:val="444A711F"/>
    <w:rsid w:val="446084B3"/>
    <w:rsid w:val="447A0FA4"/>
    <w:rsid w:val="447F0F14"/>
    <w:rsid w:val="447FEE78"/>
    <w:rsid w:val="44851EA6"/>
    <w:rsid w:val="4488C048"/>
    <w:rsid w:val="448C089E"/>
    <w:rsid w:val="44967A38"/>
    <w:rsid w:val="44A97248"/>
    <w:rsid w:val="44A9FC07"/>
    <w:rsid w:val="44B12C8B"/>
    <w:rsid w:val="44B24F2A"/>
    <w:rsid w:val="44CC8847"/>
    <w:rsid w:val="44E26193"/>
    <w:rsid w:val="44E2CF5C"/>
    <w:rsid w:val="4502CB3C"/>
    <w:rsid w:val="450410A8"/>
    <w:rsid w:val="4505EDF1"/>
    <w:rsid w:val="450CC5B1"/>
    <w:rsid w:val="4523AD16"/>
    <w:rsid w:val="452B2567"/>
    <w:rsid w:val="4535FA39"/>
    <w:rsid w:val="453D02F5"/>
    <w:rsid w:val="45490470"/>
    <w:rsid w:val="45497004"/>
    <w:rsid w:val="45549006"/>
    <w:rsid w:val="4566B4DD"/>
    <w:rsid w:val="4566DCA6"/>
    <w:rsid w:val="45715547"/>
    <w:rsid w:val="4595CF66"/>
    <w:rsid w:val="45A23D3C"/>
    <w:rsid w:val="45A2A77B"/>
    <w:rsid w:val="45A8AF93"/>
    <w:rsid w:val="45A8CB4F"/>
    <w:rsid w:val="45CF748C"/>
    <w:rsid w:val="45D8A8EF"/>
    <w:rsid w:val="45DAA1E2"/>
    <w:rsid w:val="45DC7D7A"/>
    <w:rsid w:val="45E13EBA"/>
    <w:rsid w:val="45E26EB9"/>
    <w:rsid w:val="45E6633E"/>
    <w:rsid w:val="45FD067C"/>
    <w:rsid w:val="4600E7D8"/>
    <w:rsid w:val="46022C64"/>
    <w:rsid w:val="4606077D"/>
    <w:rsid w:val="460C61F6"/>
    <w:rsid w:val="461D8164"/>
    <w:rsid w:val="461ED9EA"/>
    <w:rsid w:val="462FE920"/>
    <w:rsid w:val="463031F1"/>
    <w:rsid w:val="466816F2"/>
    <w:rsid w:val="467142C9"/>
    <w:rsid w:val="468FF705"/>
    <w:rsid w:val="46A78CE9"/>
    <w:rsid w:val="46A80122"/>
    <w:rsid w:val="46C6E789"/>
    <w:rsid w:val="46CB4795"/>
    <w:rsid w:val="46D27B28"/>
    <w:rsid w:val="46DD8A8B"/>
    <w:rsid w:val="46E47605"/>
    <w:rsid w:val="4705E71B"/>
    <w:rsid w:val="4709611D"/>
    <w:rsid w:val="471A959A"/>
    <w:rsid w:val="47323318"/>
    <w:rsid w:val="475840E2"/>
    <w:rsid w:val="475F18D1"/>
    <w:rsid w:val="4764D5C2"/>
    <w:rsid w:val="476EF1CF"/>
    <w:rsid w:val="476F7485"/>
    <w:rsid w:val="47710876"/>
    <w:rsid w:val="477E74F9"/>
    <w:rsid w:val="478FB64B"/>
    <w:rsid w:val="479278D2"/>
    <w:rsid w:val="47AAE94B"/>
    <w:rsid w:val="47B1509D"/>
    <w:rsid w:val="47B91D74"/>
    <w:rsid w:val="47BD11F9"/>
    <w:rsid w:val="47C9F4F3"/>
    <w:rsid w:val="47CD6F9F"/>
    <w:rsid w:val="47CDF568"/>
    <w:rsid w:val="47D1B7E2"/>
    <w:rsid w:val="47D9FF77"/>
    <w:rsid w:val="47E04E9F"/>
    <w:rsid w:val="47E1130A"/>
    <w:rsid w:val="47E2C0E3"/>
    <w:rsid w:val="47E717BD"/>
    <w:rsid w:val="47F6D0A6"/>
    <w:rsid w:val="48053AAE"/>
    <w:rsid w:val="4807FB50"/>
    <w:rsid w:val="4824C27A"/>
    <w:rsid w:val="48378280"/>
    <w:rsid w:val="4859CBE7"/>
    <w:rsid w:val="485A2854"/>
    <w:rsid w:val="486090AC"/>
    <w:rsid w:val="486BEB3C"/>
    <w:rsid w:val="48A45A23"/>
    <w:rsid w:val="48AC8C0D"/>
    <w:rsid w:val="48B631E4"/>
    <w:rsid w:val="48D11DCC"/>
    <w:rsid w:val="48D4F2AD"/>
    <w:rsid w:val="48DE4A8C"/>
    <w:rsid w:val="48DFB1B5"/>
    <w:rsid w:val="48EE51E2"/>
    <w:rsid w:val="48FAE932"/>
    <w:rsid w:val="490C7D2B"/>
    <w:rsid w:val="4915C2E6"/>
    <w:rsid w:val="492ADA5B"/>
    <w:rsid w:val="493E1B81"/>
    <w:rsid w:val="4947AF57"/>
    <w:rsid w:val="4970845F"/>
    <w:rsid w:val="497F438D"/>
    <w:rsid w:val="498E3CDF"/>
    <w:rsid w:val="4992A107"/>
    <w:rsid w:val="49A6033D"/>
    <w:rsid w:val="49BB0D63"/>
    <w:rsid w:val="49C45845"/>
    <w:rsid w:val="49C69241"/>
    <w:rsid w:val="49C83FEA"/>
    <w:rsid w:val="4A054B71"/>
    <w:rsid w:val="4A192281"/>
    <w:rsid w:val="4A194AD2"/>
    <w:rsid w:val="4A19C491"/>
    <w:rsid w:val="4A398470"/>
    <w:rsid w:val="4A5C73E6"/>
    <w:rsid w:val="4A61212D"/>
    <w:rsid w:val="4A64E64E"/>
    <w:rsid w:val="4A67AB8B"/>
    <w:rsid w:val="4A702A91"/>
    <w:rsid w:val="4A74EE1B"/>
    <w:rsid w:val="4A7673BE"/>
    <w:rsid w:val="4A7B02C2"/>
    <w:rsid w:val="4AAF2DFD"/>
    <w:rsid w:val="4AB9C087"/>
    <w:rsid w:val="4AC0DDAD"/>
    <w:rsid w:val="4AC9C752"/>
    <w:rsid w:val="4AD3641A"/>
    <w:rsid w:val="4AED8F7E"/>
    <w:rsid w:val="4B07107D"/>
    <w:rsid w:val="4B149F1E"/>
    <w:rsid w:val="4B197F7E"/>
    <w:rsid w:val="4B1C280D"/>
    <w:rsid w:val="4B1F4B75"/>
    <w:rsid w:val="4B269795"/>
    <w:rsid w:val="4B2855B7"/>
    <w:rsid w:val="4B2AD8F7"/>
    <w:rsid w:val="4B2F8E1F"/>
    <w:rsid w:val="4B48A442"/>
    <w:rsid w:val="4B6F15A9"/>
    <w:rsid w:val="4B72798A"/>
    <w:rsid w:val="4B7AD0C1"/>
    <w:rsid w:val="4B83BBF1"/>
    <w:rsid w:val="4BB15D21"/>
    <w:rsid w:val="4BB55733"/>
    <w:rsid w:val="4BC357DD"/>
    <w:rsid w:val="4BD63E34"/>
    <w:rsid w:val="4BD7EFF7"/>
    <w:rsid w:val="4BE22F8C"/>
    <w:rsid w:val="4BF3BBCC"/>
    <w:rsid w:val="4BF9154E"/>
    <w:rsid w:val="4BFCCD61"/>
    <w:rsid w:val="4C00F1D1"/>
    <w:rsid w:val="4C0B5947"/>
    <w:rsid w:val="4C215CFB"/>
    <w:rsid w:val="4C27AFB9"/>
    <w:rsid w:val="4C2DA9D4"/>
    <w:rsid w:val="4C37DB7B"/>
    <w:rsid w:val="4C4464D8"/>
    <w:rsid w:val="4C53CB76"/>
    <w:rsid w:val="4C569594"/>
    <w:rsid w:val="4C628476"/>
    <w:rsid w:val="4C62C228"/>
    <w:rsid w:val="4C6E8E59"/>
    <w:rsid w:val="4C959BFF"/>
    <w:rsid w:val="4CA2B6C1"/>
    <w:rsid w:val="4CAB311E"/>
    <w:rsid w:val="4CB681D4"/>
    <w:rsid w:val="4CC0E141"/>
    <w:rsid w:val="4CE0EE6A"/>
    <w:rsid w:val="4CE6B698"/>
    <w:rsid w:val="4CE8B8B3"/>
    <w:rsid w:val="4CF68D69"/>
    <w:rsid w:val="4CFEDC81"/>
    <w:rsid w:val="4D0DEE78"/>
    <w:rsid w:val="4D0E679D"/>
    <w:rsid w:val="4D119BC7"/>
    <w:rsid w:val="4D23970D"/>
    <w:rsid w:val="4D262483"/>
    <w:rsid w:val="4D2E5562"/>
    <w:rsid w:val="4D359C2D"/>
    <w:rsid w:val="4D589B10"/>
    <w:rsid w:val="4D5A9259"/>
    <w:rsid w:val="4D80A40F"/>
    <w:rsid w:val="4D987D49"/>
    <w:rsid w:val="4D9CAA9E"/>
    <w:rsid w:val="4D9DE052"/>
    <w:rsid w:val="4DA23384"/>
    <w:rsid w:val="4DA86E5E"/>
    <w:rsid w:val="4DC36D24"/>
    <w:rsid w:val="4DD51A8B"/>
    <w:rsid w:val="4DDD37FE"/>
    <w:rsid w:val="4DE891F9"/>
    <w:rsid w:val="4DF8A6DF"/>
    <w:rsid w:val="4DF9844C"/>
    <w:rsid w:val="4E107FAC"/>
    <w:rsid w:val="4E167A31"/>
    <w:rsid w:val="4E1773DB"/>
    <w:rsid w:val="4E5E336B"/>
    <w:rsid w:val="4E6BA878"/>
    <w:rsid w:val="4E80BDD8"/>
    <w:rsid w:val="4E87EF57"/>
    <w:rsid w:val="4E8C2F07"/>
    <w:rsid w:val="4E90BB36"/>
    <w:rsid w:val="4EA48CEF"/>
    <w:rsid w:val="4EB16319"/>
    <w:rsid w:val="4EB8300D"/>
    <w:rsid w:val="4EB8F7B4"/>
    <w:rsid w:val="4EBBEF26"/>
    <w:rsid w:val="4EC39FDE"/>
    <w:rsid w:val="4EC750EB"/>
    <w:rsid w:val="4EDD5528"/>
    <w:rsid w:val="4F07908F"/>
    <w:rsid w:val="4F0BA513"/>
    <w:rsid w:val="4F30668A"/>
    <w:rsid w:val="4F8C2F74"/>
    <w:rsid w:val="4F9194B5"/>
    <w:rsid w:val="4F9AC62E"/>
    <w:rsid w:val="4F9EF44A"/>
    <w:rsid w:val="4FADDBD4"/>
    <w:rsid w:val="4FAE71BC"/>
    <w:rsid w:val="4FB44326"/>
    <w:rsid w:val="4FBE4E69"/>
    <w:rsid w:val="4FC42F59"/>
    <w:rsid w:val="4FC727BF"/>
    <w:rsid w:val="4FC8B224"/>
    <w:rsid w:val="4FD049B5"/>
    <w:rsid w:val="4FD33892"/>
    <w:rsid w:val="4FE0C137"/>
    <w:rsid w:val="4FE92353"/>
    <w:rsid w:val="500382C4"/>
    <w:rsid w:val="50082D37"/>
    <w:rsid w:val="500E16EC"/>
    <w:rsid w:val="5024181B"/>
    <w:rsid w:val="502B4EC1"/>
    <w:rsid w:val="503446A0"/>
    <w:rsid w:val="50546B50"/>
    <w:rsid w:val="506CCB52"/>
    <w:rsid w:val="509302CF"/>
    <w:rsid w:val="5093DF8E"/>
    <w:rsid w:val="50B4F219"/>
    <w:rsid w:val="50BCDC80"/>
    <w:rsid w:val="50E08F18"/>
    <w:rsid w:val="50ED8A6B"/>
    <w:rsid w:val="50F20147"/>
    <w:rsid w:val="50FDC4DA"/>
    <w:rsid w:val="5100D974"/>
    <w:rsid w:val="51136067"/>
    <w:rsid w:val="5115352D"/>
    <w:rsid w:val="511BC25B"/>
    <w:rsid w:val="512D3389"/>
    <w:rsid w:val="51475EF3"/>
    <w:rsid w:val="51593D4A"/>
    <w:rsid w:val="516F52B3"/>
    <w:rsid w:val="517507D8"/>
    <w:rsid w:val="5178ABB3"/>
    <w:rsid w:val="518253DF"/>
    <w:rsid w:val="518747B5"/>
    <w:rsid w:val="51AFFAFA"/>
    <w:rsid w:val="51B41232"/>
    <w:rsid w:val="51BA827C"/>
    <w:rsid w:val="51CD301D"/>
    <w:rsid w:val="51D04622"/>
    <w:rsid w:val="51D0C5AC"/>
    <w:rsid w:val="51D6D447"/>
    <w:rsid w:val="51E21C21"/>
    <w:rsid w:val="51E50CEA"/>
    <w:rsid w:val="5209439F"/>
    <w:rsid w:val="521EF2B9"/>
    <w:rsid w:val="522A2079"/>
    <w:rsid w:val="523B7341"/>
    <w:rsid w:val="523EAB7B"/>
    <w:rsid w:val="525B075E"/>
    <w:rsid w:val="526FA552"/>
    <w:rsid w:val="52A2BF14"/>
    <w:rsid w:val="52B8A6F1"/>
    <w:rsid w:val="52C5D232"/>
    <w:rsid w:val="52CF51A1"/>
    <w:rsid w:val="52DC6E4B"/>
    <w:rsid w:val="52F3E69E"/>
    <w:rsid w:val="530170C5"/>
    <w:rsid w:val="5310D839"/>
    <w:rsid w:val="5312724B"/>
    <w:rsid w:val="53183B1F"/>
    <w:rsid w:val="531D0966"/>
    <w:rsid w:val="531DEB07"/>
    <w:rsid w:val="53332B38"/>
    <w:rsid w:val="5339EB99"/>
    <w:rsid w:val="533AFF52"/>
    <w:rsid w:val="5349B1FE"/>
    <w:rsid w:val="534D7263"/>
    <w:rsid w:val="535FABB5"/>
    <w:rsid w:val="5363F648"/>
    <w:rsid w:val="53678DB0"/>
    <w:rsid w:val="537F0B45"/>
    <w:rsid w:val="53848E9F"/>
    <w:rsid w:val="539EF6A3"/>
    <w:rsid w:val="53A7A038"/>
    <w:rsid w:val="53C6DFAC"/>
    <w:rsid w:val="53CD70E9"/>
    <w:rsid w:val="53D88470"/>
    <w:rsid w:val="53DA7BDC"/>
    <w:rsid w:val="53F48838"/>
    <w:rsid w:val="540F50B9"/>
    <w:rsid w:val="5419CD56"/>
    <w:rsid w:val="5453EACE"/>
    <w:rsid w:val="545B3814"/>
    <w:rsid w:val="545DFF61"/>
    <w:rsid w:val="5464F3AE"/>
    <w:rsid w:val="546D8D02"/>
    <w:rsid w:val="546DA609"/>
    <w:rsid w:val="547B6BAE"/>
    <w:rsid w:val="54801313"/>
    <w:rsid w:val="54865E1B"/>
    <w:rsid w:val="5491BF8C"/>
    <w:rsid w:val="54A7D668"/>
    <w:rsid w:val="54A9E1F6"/>
    <w:rsid w:val="54DCD5CD"/>
    <w:rsid w:val="55055BB8"/>
    <w:rsid w:val="5505B5C7"/>
    <w:rsid w:val="551DF28E"/>
    <w:rsid w:val="55268996"/>
    <w:rsid w:val="553EB5D4"/>
    <w:rsid w:val="554461CA"/>
    <w:rsid w:val="5552A7E5"/>
    <w:rsid w:val="5553638A"/>
    <w:rsid w:val="5561C13B"/>
    <w:rsid w:val="556C465B"/>
    <w:rsid w:val="55834E57"/>
    <w:rsid w:val="558D8E8E"/>
    <w:rsid w:val="55954295"/>
    <w:rsid w:val="5598CCE3"/>
    <w:rsid w:val="55A303F9"/>
    <w:rsid w:val="55A5126B"/>
    <w:rsid w:val="55C2100A"/>
    <w:rsid w:val="55EB9CF5"/>
    <w:rsid w:val="56028BFE"/>
    <w:rsid w:val="5603F1A0"/>
    <w:rsid w:val="560452D0"/>
    <w:rsid w:val="56117CBF"/>
    <w:rsid w:val="561B0B3F"/>
    <w:rsid w:val="561EE2DE"/>
    <w:rsid w:val="56517349"/>
    <w:rsid w:val="56555069"/>
    <w:rsid w:val="56558BC9"/>
    <w:rsid w:val="568130F1"/>
    <w:rsid w:val="5684458B"/>
    <w:rsid w:val="56A9EBF2"/>
    <w:rsid w:val="56B6CF1C"/>
    <w:rsid w:val="56D45F17"/>
    <w:rsid w:val="56D8E6C2"/>
    <w:rsid w:val="56DA1C76"/>
    <w:rsid w:val="56DA947D"/>
    <w:rsid w:val="56E9706D"/>
    <w:rsid w:val="57063BD1"/>
    <w:rsid w:val="57108B68"/>
    <w:rsid w:val="57205748"/>
    <w:rsid w:val="5743326B"/>
    <w:rsid w:val="5751270D"/>
    <w:rsid w:val="5758D8EF"/>
    <w:rsid w:val="57594669"/>
    <w:rsid w:val="5764C8DE"/>
    <w:rsid w:val="5766F14D"/>
    <w:rsid w:val="576C6FF2"/>
    <w:rsid w:val="576D6F28"/>
    <w:rsid w:val="577BFD46"/>
    <w:rsid w:val="57832083"/>
    <w:rsid w:val="57843B8A"/>
    <w:rsid w:val="57894355"/>
    <w:rsid w:val="5791DCB7"/>
    <w:rsid w:val="579BF309"/>
    <w:rsid w:val="57A4D263"/>
    <w:rsid w:val="57BAA26C"/>
    <w:rsid w:val="57C3D8EE"/>
    <w:rsid w:val="57CF07DE"/>
    <w:rsid w:val="57CF8B7F"/>
    <w:rsid w:val="57D22A9F"/>
    <w:rsid w:val="57D4DD27"/>
    <w:rsid w:val="57E4AAF5"/>
    <w:rsid w:val="580A3D7C"/>
    <w:rsid w:val="5824D34D"/>
    <w:rsid w:val="583015EC"/>
    <w:rsid w:val="583D0734"/>
    <w:rsid w:val="584A2644"/>
    <w:rsid w:val="585E2A58"/>
    <w:rsid w:val="5861ED77"/>
    <w:rsid w:val="5863F5B7"/>
    <w:rsid w:val="58676CBD"/>
    <w:rsid w:val="5870A373"/>
    <w:rsid w:val="5874530E"/>
    <w:rsid w:val="588D82AC"/>
    <w:rsid w:val="588FE18A"/>
    <w:rsid w:val="58ADDD98"/>
    <w:rsid w:val="58C8F76F"/>
    <w:rsid w:val="58D7273B"/>
    <w:rsid w:val="58DCED6A"/>
    <w:rsid w:val="58DF02CC"/>
    <w:rsid w:val="58E4DDD3"/>
    <w:rsid w:val="5911F4AD"/>
    <w:rsid w:val="59192C35"/>
    <w:rsid w:val="592AEA27"/>
    <w:rsid w:val="592FB6E1"/>
    <w:rsid w:val="593612DD"/>
    <w:rsid w:val="593834EC"/>
    <w:rsid w:val="594FDA7B"/>
    <w:rsid w:val="5960F27B"/>
    <w:rsid w:val="596E2C66"/>
    <w:rsid w:val="59927CE0"/>
    <w:rsid w:val="59A6AAAC"/>
    <w:rsid w:val="59CA4F06"/>
    <w:rsid w:val="59CC7DA5"/>
    <w:rsid w:val="5A04918E"/>
    <w:rsid w:val="5A07049D"/>
    <w:rsid w:val="5A13AD98"/>
    <w:rsid w:val="5A150B21"/>
    <w:rsid w:val="5A1B26D7"/>
    <w:rsid w:val="5A2EF409"/>
    <w:rsid w:val="5A417A76"/>
    <w:rsid w:val="5A4D0551"/>
    <w:rsid w:val="5A4E8E50"/>
    <w:rsid w:val="5A5C66F4"/>
    <w:rsid w:val="5A5E29EC"/>
    <w:rsid w:val="5A6AF30B"/>
    <w:rsid w:val="5A6DA1CB"/>
    <w:rsid w:val="5A6FB21F"/>
    <w:rsid w:val="5A843C00"/>
    <w:rsid w:val="5A96B4B7"/>
    <w:rsid w:val="5AB397B7"/>
    <w:rsid w:val="5AFA97CD"/>
    <w:rsid w:val="5B047D91"/>
    <w:rsid w:val="5B0780D5"/>
    <w:rsid w:val="5B0F3DB6"/>
    <w:rsid w:val="5B12A1E3"/>
    <w:rsid w:val="5B19CD57"/>
    <w:rsid w:val="5B1BCF53"/>
    <w:rsid w:val="5B2A5D87"/>
    <w:rsid w:val="5B2AA8B6"/>
    <w:rsid w:val="5B4F52F0"/>
    <w:rsid w:val="5B682A36"/>
    <w:rsid w:val="5B6DD993"/>
    <w:rsid w:val="5B6E3E99"/>
    <w:rsid w:val="5B76747D"/>
    <w:rsid w:val="5B84F129"/>
    <w:rsid w:val="5B8DC864"/>
    <w:rsid w:val="5B8F806E"/>
    <w:rsid w:val="5BCA42A8"/>
    <w:rsid w:val="5BDCCB94"/>
    <w:rsid w:val="5BDD08C3"/>
    <w:rsid w:val="5BE45F39"/>
    <w:rsid w:val="5BF3C0CA"/>
    <w:rsid w:val="5BFAA4F3"/>
    <w:rsid w:val="5C059A8D"/>
    <w:rsid w:val="5C0BE3D3"/>
    <w:rsid w:val="5C1666EB"/>
    <w:rsid w:val="5C17B1A2"/>
    <w:rsid w:val="5C1CBFDF"/>
    <w:rsid w:val="5C1DF9D8"/>
    <w:rsid w:val="5C1FED74"/>
    <w:rsid w:val="5C2F41C3"/>
    <w:rsid w:val="5C4D6169"/>
    <w:rsid w:val="5C939077"/>
    <w:rsid w:val="5C96682E"/>
    <w:rsid w:val="5CC40A67"/>
    <w:rsid w:val="5CCB6075"/>
    <w:rsid w:val="5CCDC45B"/>
    <w:rsid w:val="5CD9B243"/>
    <w:rsid w:val="5CE911CF"/>
    <w:rsid w:val="5CE972C6"/>
    <w:rsid w:val="5D0F21B0"/>
    <w:rsid w:val="5D139C4E"/>
    <w:rsid w:val="5D42A47C"/>
    <w:rsid w:val="5D4E19CE"/>
    <w:rsid w:val="5D5237F5"/>
    <w:rsid w:val="5D578DC6"/>
    <w:rsid w:val="5D59A9AE"/>
    <w:rsid w:val="5D5CA430"/>
    <w:rsid w:val="5D5F67D1"/>
    <w:rsid w:val="5D6BDF9E"/>
    <w:rsid w:val="5D763B02"/>
    <w:rsid w:val="5D7C38F0"/>
    <w:rsid w:val="5D97F5F2"/>
    <w:rsid w:val="5DA1AB25"/>
    <w:rsid w:val="5DAC0223"/>
    <w:rsid w:val="5DAC3D7A"/>
    <w:rsid w:val="5DADF489"/>
    <w:rsid w:val="5DB3F992"/>
    <w:rsid w:val="5DEF4AB9"/>
    <w:rsid w:val="5E01619C"/>
    <w:rsid w:val="5E09493D"/>
    <w:rsid w:val="5E0C7C59"/>
    <w:rsid w:val="5E0F26F6"/>
    <w:rsid w:val="5E2A106D"/>
    <w:rsid w:val="5E2ADA4D"/>
    <w:rsid w:val="5E3F82EA"/>
    <w:rsid w:val="5E680D90"/>
    <w:rsid w:val="5E6A9419"/>
    <w:rsid w:val="5E7C9CF5"/>
    <w:rsid w:val="5E86CE7E"/>
    <w:rsid w:val="5E8A8ACC"/>
    <w:rsid w:val="5E9127A4"/>
    <w:rsid w:val="5E9257A3"/>
    <w:rsid w:val="5EB3E195"/>
    <w:rsid w:val="5EC48B05"/>
    <w:rsid w:val="5EC5D40B"/>
    <w:rsid w:val="5ECDF65E"/>
    <w:rsid w:val="5ECE1F18"/>
    <w:rsid w:val="5F047AE4"/>
    <w:rsid w:val="5F07885E"/>
    <w:rsid w:val="5F21FF73"/>
    <w:rsid w:val="5F29B2FB"/>
    <w:rsid w:val="5F2D3B65"/>
    <w:rsid w:val="5F337BB3"/>
    <w:rsid w:val="5F49E404"/>
    <w:rsid w:val="5F81A5AE"/>
    <w:rsid w:val="5F906E74"/>
    <w:rsid w:val="5FAD930F"/>
    <w:rsid w:val="5FBF85D2"/>
    <w:rsid w:val="5FC86AF8"/>
    <w:rsid w:val="5FEAE40A"/>
    <w:rsid w:val="5FED767A"/>
    <w:rsid w:val="5FFE5583"/>
    <w:rsid w:val="6019FFC0"/>
    <w:rsid w:val="601FC1E6"/>
    <w:rsid w:val="6029FD2D"/>
    <w:rsid w:val="602AF94C"/>
    <w:rsid w:val="6038B58D"/>
    <w:rsid w:val="603B42F5"/>
    <w:rsid w:val="603C82B8"/>
    <w:rsid w:val="60475824"/>
    <w:rsid w:val="604CA861"/>
    <w:rsid w:val="604E0014"/>
    <w:rsid w:val="60591697"/>
    <w:rsid w:val="6067D748"/>
    <w:rsid w:val="606DF1F9"/>
    <w:rsid w:val="6080029D"/>
    <w:rsid w:val="6082EF1C"/>
    <w:rsid w:val="60871C0E"/>
    <w:rsid w:val="608D90D5"/>
    <w:rsid w:val="609D716E"/>
    <w:rsid w:val="60A35362"/>
    <w:rsid w:val="60B2801B"/>
    <w:rsid w:val="60CB15E3"/>
    <w:rsid w:val="60D8CCD7"/>
    <w:rsid w:val="60F6BD66"/>
    <w:rsid w:val="61042A2F"/>
    <w:rsid w:val="6119F315"/>
    <w:rsid w:val="611CF5D7"/>
    <w:rsid w:val="612B7E72"/>
    <w:rsid w:val="613275F9"/>
    <w:rsid w:val="613A6609"/>
    <w:rsid w:val="61548260"/>
    <w:rsid w:val="61667C44"/>
    <w:rsid w:val="6180CB52"/>
    <w:rsid w:val="61839DB6"/>
    <w:rsid w:val="6185755E"/>
    <w:rsid w:val="6188BBBF"/>
    <w:rsid w:val="618D8579"/>
    <w:rsid w:val="61A02BF6"/>
    <w:rsid w:val="61A4FBD8"/>
    <w:rsid w:val="61A6430E"/>
    <w:rsid w:val="61AB79F1"/>
    <w:rsid w:val="61BBE7CA"/>
    <w:rsid w:val="61CCF0CB"/>
    <w:rsid w:val="61D23691"/>
    <w:rsid w:val="61E71023"/>
    <w:rsid w:val="61F2F9D8"/>
    <w:rsid w:val="623E74F9"/>
    <w:rsid w:val="6248F143"/>
    <w:rsid w:val="624E507C"/>
    <w:rsid w:val="625E9863"/>
    <w:rsid w:val="62766689"/>
    <w:rsid w:val="6282A4FB"/>
    <w:rsid w:val="629A2FFD"/>
    <w:rsid w:val="62A5E19F"/>
    <w:rsid w:val="62B62645"/>
    <w:rsid w:val="62BAAE43"/>
    <w:rsid w:val="62C967EF"/>
    <w:rsid w:val="62C9AD11"/>
    <w:rsid w:val="62DA2CDF"/>
    <w:rsid w:val="62DEC4F0"/>
    <w:rsid w:val="62F8E96C"/>
    <w:rsid w:val="6300FC2C"/>
    <w:rsid w:val="630DB8DB"/>
    <w:rsid w:val="632E8789"/>
    <w:rsid w:val="634464DC"/>
    <w:rsid w:val="6345F530"/>
    <w:rsid w:val="63489238"/>
    <w:rsid w:val="634A3027"/>
    <w:rsid w:val="634B365A"/>
    <w:rsid w:val="63684235"/>
    <w:rsid w:val="6374E8DB"/>
    <w:rsid w:val="637637F4"/>
    <w:rsid w:val="637683A5"/>
    <w:rsid w:val="637C6AF6"/>
    <w:rsid w:val="637FAF21"/>
    <w:rsid w:val="63866478"/>
    <w:rsid w:val="6397CFCC"/>
    <w:rsid w:val="639B9CD0"/>
    <w:rsid w:val="639E08CD"/>
    <w:rsid w:val="63AFB059"/>
    <w:rsid w:val="63DBFD6D"/>
    <w:rsid w:val="63DE25FB"/>
    <w:rsid w:val="63F08300"/>
    <w:rsid w:val="63FA68C4"/>
    <w:rsid w:val="640B52C1"/>
    <w:rsid w:val="643B6CFE"/>
    <w:rsid w:val="643E1B6C"/>
    <w:rsid w:val="644A8D47"/>
    <w:rsid w:val="645571E0"/>
    <w:rsid w:val="645DA1E1"/>
    <w:rsid w:val="6464F43F"/>
    <w:rsid w:val="646F0E4D"/>
    <w:rsid w:val="64837F93"/>
    <w:rsid w:val="648F01C7"/>
    <w:rsid w:val="6493BDAE"/>
    <w:rsid w:val="64A05BCC"/>
    <w:rsid w:val="64A14434"/>
    <w:rsid w:val="64A36AE9"/>
    <w:rsid w:val="64AAC8A8"/>
    <w:rsid w:val="64AD9270"/>
    <w:rsid w:val="64B4EA64"/>
    <w:rsid w:val="64C0ACC0"/>
    <w:rsid w:val="64E0A3F3"/>
    <w:rsid w:val="64EC0DE7"/>
    <w:rsid w:val="64ECA55F"/>
    <w:rsid w:val="64ED64E2"/>
    <w:rsid w:val="6501772E"/>
    <w:rsid w:val="6504AF9C"/>
    <w:rsid w:val="650FA1F5"/>
    <w:rsid w:val="6518CB6D"/>
    <w:rsid w:val="65193776"/>
    <w:rsid w:val="65248ACC"/>
    <w:rsid w:val="652AE3F0"/>
    <w:rsid w:val="653B3EF6"/>
    <w:rsid w:val="65453F81"/>
    <w:rsid w:val="654CC781"/>
    <w:rsid w:val="654F267B"/>
    <w:rsid w:val="655DC4B7"/>
    <w:rsid w:val="655FC1E6"/>
    <w:rsid w:val="6572692C"/>
    <w:rsid w:val="657D11CC"/>
    <w:rsid w:val="659D3939"/>
    <w:rsid w:val="65C63224"/>
    <w:rsid w:val="65DADEE4"/>
    <w:rsid w:val="65F4A422"/>
    <w:rsid w:val="66146A0D"/>
    <w:rsid w:val="662D284F"/>
    <w:rsid w:val="66386507"/>
    <w:rsid w:val="663F9D66"/>
    <w:rsid w:val="664195FA"/>
    <w:rsid w:val="665A444F"/>
    <w:rsid w:val="666DD7F0"/>
    <w:rsid w:val="66762D18"/>
    <w:rsid w:val="66787AFF"/>
    <w:rsid w:val="667C17E7"/>
    <w:rsid w:val="668032FA"/>
    <w:rsid w:val="668839C7"/>
    <w:rsid w:val="6695800B"/>
    <w:rsid w:val="669CDB99"/>
    <w:rsid w:val="66AD2A1D"/>
    <w:rsid w:val="66B2CE6A"/>
    <w:rsid w:val="66B5523C"/>
    <w:rsid w:val="66E42733"/>
    <w:rsid w:val="66E44693"/>
    <w:rsid w:val="66E7556D"/>
    <w:rsid w:val="66EAD7DC"/>
    <w:rsid w:val="673795D8"/>
    <w:rsid w:val="673804AA"/>
    <w:rsid w:val="67475115"/>
    <w:rsid w:val="677D21C6"/>
    <w:rsid w:val="6782B039"/>
    <w:rsid w:val="67890337"/>
    <w:rsid w:val="67892010"/>
    <w:rsid w:val="678D39F5"/>
    <w:rsid w:val="6794FF42"/>
    <w:rsid w:val="6797FFCC"/>
    <w:rsid w:val="67A4F082"/>
    <w:rsid w:val="67C33B00"/>
    <w:rsid w:val="67C90AA2"/>
    <w:rsid w:val="67E84ED9"/>
    <w:rsid w:val="67F74409"/>
    <w:rsid w:val="681841EA"/>
    <w:rsid w:val="682DEBD5"/>
    <w:rsid w:val="682E0136"/>
    <w:rsid w:val="682F430F"/>
    <w:rsid w:val="68344B44"/>
    <w:rsid w:val="683CB866"/>
    <w:rsid w:val="68400F04"/>
    <w:rsid w:val="68455445"/>
    <w:rsid w:val="68632D26"/>
    <w:rsid w:val="686883ED"/>
    <w:rsid w:val="687656AF"/>
    <w:rsid w:val="687EA302"/>
    <w:rsid w:val="68932A12"/>
    <w:rsid w:val="689C42BB"/>
    <w:rsid w:val="68A74F34"/>
    <w:rsid w:val="68C11C6C"/>
    <w:rsid w:val="68C1FBD6"/>
    <w:rsid w:val="68CD8CB7"/>
    <w:rsid w:val="68D12CF9"/>
    <w:rsid w:val="68D22A6A"/>
    <w:rsid w:val="68D23EF3"/>
    <w:rsid w:val="68D40105"/>
    <w:rsid w:val="68E5B882"/>
    <w:rsid w:val="68E6DBA0"/>
    <w:rsid w:val="691F50AA"/>
    <w:rsid w:val="692F159B"/>
    <w:rsid w:val="6944E590"/>
    <w:rsid w:val="6952ECB6"/>
    <w:rsid w:val="69662E7D"/>
    <w:rsid w:val="6973370D"/>
    <w:rsid w:val="697821BB"/>
    <w:rsid w:val="697DE8A3"/>
    <w:rsid w:val="698846CA"/>
    <w:rsid w:val="698A205D"/>
    <w:rsid w:val="6998975E"/>
    <w:rsid w:val="69B30A99"/>
    <w:rsid w:val="69DBB827"/>
    <w:rsid w:val="69DCC3F0"/>
    <w:rsid w:val="6A04CC83"/>
    <w:rsid w:val="6A1CC6CE"/>
    <w:rsid w:val="6A24F0C2"/>
    <w:rsid w:val="6A29915D"/>
    <w:rsid w:val="6A34938F"/>
    <w:rsid w:val="6A614FE7"/>
    <w:rsid w:val="6A64100A"/>
    <w:rsid w:val="6A801699"/>
    <w:rsid w:val="6A90DF84"/>
    <w:rsid w:val="6A9620EF"/>
    <w:rsid w:val="6AA5B792"/>
    <w:rsid w:val="6AB0758B"/>
    <w:rsid w:val="6AB1E9A5"/>
    <w:rsid w:val="6ABA0302"/>
    <w:rsid w:val="6AC81545"/>
    <w:rsid w:val="6ACBA1F7"/>
    <w:rsid w:val="6ACBFDF4"/>
    <w:rsid w:val="6B06C0A3"/>
    <w:rsid w:val="6B0A5CEA"/>
    <w:rsid w:val="6B2B8192"/>
    <w:rsid w:val="6B5B7DED"/>
    <w:rsid w:val="6B5C9FA1"/>
    <w:rsid w:val="6B67DF2A"/>
    <w:rsid w:val="6B6B99C4"/>
    <w:rsid w:val="6B7673DA"/>
    <w:rsid w:val="6B91F0E2"/>
    <w:rsid w:val="6BA02FEC"/>
    <w:rsid w:val="6BC38D42"/>
    <w:rsid w:val="6BC65585"/>
    <w:rsid w:val="6BCFAA4C"/>
    <w:rsid w:val="6BD1CA24"/>
    <w:rsid w:val="6BFC8DB3"/>
    <w:rsid w:val="6C095E8B"/>
    <w:rsid w:val="6C0ED6C5"/>
    <w:rsid w:val="6C175FEE"/>
    <w:rsid w:val="6C262D9F"/>
    <w:rsid w:val="6C33AA95"/>
    <w:rsid w:val="6C3D2124"/>
    <w:rsid w:val="6C7CAD90"/>
    <w:rsid w:val="6C8A3508"/>
    <w:rsid w:val="6C8A64C6"/>
    <w:rsid w:val="6C9147CF"/>
    <w:rsid w:val="6CA3BA0A"/>
    <w:rsid w:val="6CA53BAE"/>
    <w:rsid w:val="6CA6EEEF"/>
    <w:rsid w:val="6CB3B5B0"/>
    <w:rsid w:val="6CB9BFD2"/>
    <w:rsid w:val="6CC0840A"/>
    <w:rsid w:val="6CC5598C"/>
    <w:rsid w:val="6CDABF41"/>
    <w:rsid w:val="6CF2D64A"/>
    <w:rsid w:val="6D08D7F5"/>
    <w:rsid w:val="6D0F8981"/>
    <w:rsid w:val="6D16A487"/>
    <w:rsid w:val="6D1C3D03"/>
    <w:rsid w:val="6D231A5E"/>
    <w:rsid w:val="6D2F23C8"/>
    <w:rsid w:val="6D3E8311"/>
    <w:rsid w:val="6D676F4A"/>
    <w:rsid w:val="6D75CDC1"/>
    <w:rsid w:val="6D809613"/>
    <w:rsid w:val="6D985AB8"/>
    <w:rsid w:val="6D985E14"/>
    <w:rsid w:val="6DA69418"/>
    <w:rsid w:val="6DAA2B80"/>
    <w:rsid w:val="6DC085CA"/>
    <w:rsid w:val="6DC8D494"/>
    <w:rsid w:val="6DCCC86C"/>
    <w:rsid w:val="6DCF28D7"/>
    <w:rsid w:val="6DD2BF27"/>
    <w:rsid w:val="6DDA894C"/>
    <w:rsid w:val="6DE79827"/>
    <w:rsid w:val="6DEA02B6"/>
    <w:rsid w:val="6E034C74"/>
    <w:rsid w:val="6E07D563"/>
    <w:rsid w:val="6E146191"/>
    <w:rsid w:val="6E373E28"/>
    <w:rsid w:val="6E433D67"/>
    <w:rsid w:val="6E4F34ED"/>
    <w:rsid w:val="6E595527"/>
    <w:rsid w:val="6E7EAEFE"/>
    <w:rsid w:val="6E931FA9"/>
    <w:rsid w:val="6E96F968"/>
    <w:rsid w:val="6E9B6D6C"/>
    <w:rsid w:val="6ECB4E38"/>
    <w:rsid w:val="6ED70F94"/>
    <w:rsid w:val="6EE5F136"/>
    <w:rsid w:val="6F29865B"/>
    <w:rsid w:val="6F2AB6D8"/>
    <w:rsid w:val="6F2CD384"/>
    <w:rsid w:val="6F5F771A"/>
    <w:rsid w:val="6F8A0560"/>
    <w:rsid w:val="6F962AF9"/>
    <w:rsid w:val="6F98856F"/>
    <w:rsid w:val="6FA85CD9"/>
    <w:rsid w:val="6FAAA9E8"/>
    <w:rsid w:val="6FC34225"/>
    <w:rsid w:val="6FE57253"/>
    <w:rsid w:val="6FF90BED"/>
    <w:rsid w:val="7003E701"/>
    <w:rsid w:val="7041CCF5"/>
    <w:rsid w:val="7045A4B4"/>
    <w:rsid w:val="704CA784"/>
    <w:rsid w:val="706A1DCC"/>
    <w:rsid w:val="706DE7C7"/>
    <w:rsid w:val="708B7FDD"/>
    <w:rsid w:val="708DAEBB"/>
    <w:rsid w:val="709CB4B5"/>
    <w:rsid w:val="70C069EB"/>
    <w:rsid w:val="70CB3232"/>
    <w:rsid w:val="70D196B9"/>
    <w:rsid w:val="70F4243E"/>
    <w:rsid w:val="71290207"/>
    <w:rsid w:val="71409036"/>
    <w:rsid w:val="714352E2"/>
    <w:rsid w:val="7143BF2B"/>
    <w:rsid w:val="7151A68D"/>
    <w:rsid w:val="715A29AD"/>
    <w:rsid w:val="716201FE"/>
    <w:rsid w:val="7164B8F2"/>
    <w:rsid w:val="71685329"/>
    <w:rsid w:val="716BFFBD"/>
    <w:rsid w:val="716DB70F"/>
    <w:rsid w:val="717849F0"/>
    <w:rsid w:val="71873F46"/>
    <w:rsid w:val="71920888"/>
    <w:rsid w:val="71953242"/>
    <w:rsid w:val="71AE3064"/>
    <w:rsid w:val="71B13B5D"/>
    <w:rsid w:val="71B50C96"/>
    <w:rsid w:val="71B6893E"/>
    <w:rsid w:val="71C4E5C1"/>
    <w:rsid w:val="71CBE125"/>
    <w:rsid w:val="71D30752"/>
    <w:rsid w:val="71ED04F1"/>
    <w:rsid w:val="71F6F11E"/>
    <w:rsid w:val="720994BE"/>
    <w:rsid w:val="72136B4D"/>
    <w:rsid w:val="721B995E"/>
    <w:rsid w:val="7233263F"/>
    <w:rsid w:val="72359709"/>
    <w:rsid w:val="72370B19"/>
    <w:rsid w:val="72501364"/>
    <w:rsid w:val="7267B9FE"/>
    <w:rsid w:val="726BA0B2"/>
    <w:rsid w:val="726C5F28"/>
    <w:rsid w:val="727F5C98"/>
    <w:rsid w:val="72817E3E"/>
    <w:rsid w:val="72A9F445"/>
    <w:rsid w:val="72B36814"/>
    <w:rsid w:val="72B7798C"/>
    <w:rsid w:val="72BE8922"/>
    <w:rsid w:val="72D29F79"/>
    <w:rsid w:val="72E3601B"/>
    <w:rsid w:val="72ED49A2"/>
    <w:rsid w:val="72FD1006"/>
    <w:rsid w:val="72FD48F3"/>
    <w:rsid w:val="72FE773A"/>
    <w:rsid w:val="7303175D"/>
    <w:rsid w:val="7303D84C"/>
    <w:rsid w:val="7311B5E2"/>
    <w:rsid w:val="731ADBF5"/>
    <w:rsid w:val="731B9BA6"/>
    <w:rsid w:val="735E33DA"/>
    <w:rsid w:val="7364B99D"/>
    <w:rsid w:val="73726B73"/>
    <w:rsid w:val="73860EAE"/>
    <w:rsid w:val="73975EFE"/>
    <w:rsid w:val="739CC452"/>
    <w:rsid w:val="73A5C5F2"/>
    <w:rsid w:val="73A7F031"/>
    <w:rsid w:val="73C0D65A"/>
    <w:rsid w:val="73C28ACD"/>
    <w:rsid w:val="73EB4F65"/>
    <w:rsid w:val="74147423"/>
    <w:rsid w:val="741F3DD4"/>
    <w:rsid w:val="745FDB12"/>
    <w:rsid w:val="746EECC1"/>
    <w:rsid w:val="749ADDC4"/>
    <w:rsid w:val="749C7D42"/>
    <w:rsid w:val="74B71FFF"/>
    <w:rsid w:val="74B896AB"/>
    <w:rsid w:val="74B8D457"/>
    <w:rsid w:val="74BE7553"/>
    <w:rsid w:val="74C22C2C"/>
    <w:rsid w:val="74C9257F"/>
    <w:rsid w:val="74D5398B"/>
    <w:rsid w:val="74E2B7E3"/>
    <w:rsid w:val="7500213D"/>
    <w:rsid w:val="75059A4C"/>
    <w:rsid w:val="750A769F"/>
    <w:rsid w:val="75284B5D"/>
    <w:rsid w:val="753A7316"/>
    <w:rsid w:val="753B2B70"/>
    <w:rsid w:val="753F2DDB"/>
    <w:rsid w:val="75459F78"/>
    <w:rsid w:val="754FC5DD"/>
    <w:rsid w:val="756D37CB"/>
    <w:rsid w:val="7570EEA7"/>
    <w:rsid w:val="7594B0D6"/>
    <w:rsid w:val="75A54D21"/>
    <w:rsid w:val="75D5F98A"/>
    <w:rsid w:val="75DC5148"/>
    <w:rsid w:val="75EFE745"/>
    <w:rsid w:val="75FD6F49"/>
    <w:rsid w:val="761BA250"/>
    <w:rsid w:val="761C4AC4"/>
    <w:rsid w:val="761E6B3B"/>
    <w:rsid w:val="762927B0"/>
    <w:rsid w:val="76423367"/>
    <w:rsid w:val="766D6CF3"/>
    <w:rsid w:val="7670AB8A"/>
    <w:rsid w:val="76805E5D"/>
    <w:rsid w:val="768FD7FB"/>
    <w:rsid w:val="769B3A8F"/>
    <w:rsid w:val="769D8442"/>
    <w:rsid w:val="76A62F88"/>
    <w:rsid w:val="76B72E43"/>
    <w:rsid w:val="76B93E6B"/>
    <w:rsid w:val="76BC21A2"/>
    <w:rsid w:val="76F1324C"/>
    <w:rsid w:val="76F62FAC"/>
    <w:rsid w:val="77396939"/>
    <w:rsid w:val="777AE72B"/>
    <w:rsid w:val="77816CED"/>
    <w:rsid w:val="778818EE"/>
    <w:rsid w:val="7794D5C5"/>
    <w:rsid w:val="77A57F00"/>
    <w:rsid w:val="77A6C256"/>
    <w:rsid w:val="77A74A03"/>
    <w:rsid w:val="77D0475B"/>
    <w:rsid w:val="77D8A6F3"/>
    <w:rsid w:val="77D9574B"/>
    <w:rsid w:val="77E2EF00"/>
    <w:rsid w:val="77E46D0B"/>
    <w:rsid w:val="78057904"/>
    <w:rsid w:val="780FE5C7"/>
    <w:rsid w:val="7824C1F9"/>
    <w:rsid w:val="7835FBF6"/>
    <w:rsid w:val="783E513F"/>
    <w:rsid w:val="785013C1"/>
    <w:rsid w:val="78502DDA"/>
    <w:rsid w:val="78527428"/>
    <w:rsid w:val="7866387D"/>
    <w:rsid w:val="786875D5"/>
    <w:rsid w:val="7869B713"/>
    <w:rsid w:val="788493BA"/>
    <w:rsid w:val="788728A6"/>
    <w:rsid w:val="78F7B3AB"/>
    <w:rsid w:val="7905A747"/>
    <w:rsid w:val="7920D544"/>
    <w:rsid w:val="7925760A"/>
    <w:rsid w:val="792A2E28"/>
    <w:rsid w:val="79471FC3"/>
    <w:rsid w:val="795A92E8"/>
    <w:rsid w:val="79614A47"/>
    <w:rsid w:val="797226B1"/>
    <w:rsid w:val="79803D6C"/>
    <w:rsid w:val="7982C11C"/>
    <w:rsid w:val="798C35A8"/>
    <w:rsid w:val="79931DBD"/>
    <w:rsid w:val="7999ED2B"/>
    <w:rsid w:val="79A2459A"/>
    <w:rsid w:val="79AE0227"/>
    <w:rsid w:val="79C9DD42"/>
    <w:rsid w:val="79D5953F"/>
    <w:rsid w:val="79E935D6"/>
    <w:rsid w:val="7A26E704"/>
    <w:rsid w:val="7A44F26F"/>
    <w:rsid w:val="7A4D31AA"/>
    <w:rsid w:val="7A5337AD"/>
    <w:rsid w:val="7A53ADF3"/>
    <w:rsid w:val="7A58119D"/>
    <w:rsid w:val="7A67FC88"/>
    <w:rsid w:val="7A6BC6CC"/>
    <w:rsid w:val="7A72F3F1"/>
    <w:rsid w:val="7A8474E9"/>
    <w:rsid w:val="7A87EA1D"/>
    <w:rsid w:val="7ADAE2C3"/>
    <w:rsid w:val="7AE95A32"/>
    <w:rsid w:val="7AEC48B9"/>
    <w:rsid w:val="7AF120B9"/>
    <w:rsid w:val="7B27D82F"/>
    <w:rsid w:val="7B3DEE94"/>
    <w:rsid w:val="7B406F59"/>
    <w:rsid w:val="7B5DCD3F"/>
    <w:rsid w:val="7B63491E"/>
    <w:rsid w:val="7B71BA6A"/>
    <w:rsid w:val="7B7483F5"/>
    <w:rsid w:val="7B83FB1E"/>
    <w:rsid w:val="7B85BECC"/>
    <w:rsid w:val="7B8A15C9"/>
    <w:rsid w:val="7BA9478B"/>
    <w:rsid w:val="7BA9B49A"/>
    <w:rsid w:val="7BC350F2"/>
    <w:rsid w:val="7BCFB98B"/>
    <w:rsid w:val="7BD4BC85"/>
    <w:rsid w:val="7BE2AF28"/>
    <w:rsid w:val="7BEE402A"/>
    <w:rsid w:val="7C10A760"/>
    <w:rsid w:val="7C1221A1"/>
    <w:rsid w:val="7C14D58B"/>
    <w:rsid w:val="7C4FE3A5"/>
    <w:rsid w:val="7C6846E8"/>
    <w:rsid w:val="7C882A7C"/>
    <w:rsid w:val="7C93ABA4"/>
    <w:rsid w:val="7C93ED9E"/>
    <w:rsid w:val="7C9FAE4C"/>
    <w:rsid w:val="7CAB65C4"/>
    <w:rsid w:val="7CC39C71"/>
    <w:rsid w:val="7CC97F01"/>
    <w:rsid w:val="7CD63BFB"/>
    <w:rsid w:val="7CEDC212"/>
    <w:rsid w:val="7CF09C00"/>
    <w:rsid w:val="7D106400"/>
    <w:rsid w:val="7D1841DC"/>
    <w:rsid w:val="7D237B6A"/>
    <w:rsid w:val="7D297CB3"/>
    <w:rsid w:val="7D44E260"/>
    <w:rsid w:val="7D496034"/>
    <w:rsid w:val="7D4A66D0"/>
    <w:rsid w:val="7D5027D8"/>
    <w:rsid w:val="7D70745A"/>
    <w:rsid w:val="7D7D3905"/>
    <w:rsid w:val="7DA99894"/>
    <w:rsid w:val="7DB93BB7"/>
    <w:rsid w:val="7DC56987"/>
    <w:rsid w:val="7DC616E7"/>
    <w:rsid w:val="7DCDC857"/>
    <w:rsid w:val="7DF49218"/>
    <w:rsid w:val="7E043E87"/>
    <w:rsid w:val="7E1EF5B9"/>
    <w:rsid w:val="7E41674A"/>
    <w:rsid w:val="7E444677"/>
    <w:rsid w:val="7E6D80B3"/>
    <w:rsid w:val="7E9AE9E0"/>
    <w:rsid w:val="7EE51402"/>
    <w:rsid w:val="7EFAF1B4"/>
    <w:rsid w:val="7EFEA890"/>
    <w:rsid w:val="7EFF3EF9"/>
    <w:rsid w:val="7F0AD8C1"/>
    <w:rsid w:val="7F0B81DD"/>
    <w:rsid w:val="7F175489"/>
    <w:rsid w:val="7F17C0F2"/>
    <w:rsid w:val="7F187492"/>
    <w:rsid w:val="7F2C5D3E"/>
    <w:rsid w:val="7F2C84B4"/>
    <w:rsid w:val="7F30516D"/>
    <w:rsid w:val="7F342A15"/>
    <w:rsid w:val="7F381E9A"/>
    <w:rsid w:val="7F38E4DA"/>
    <w:rsid w:val="7F39418E"/>
    <w:rsid w:val="7F419122"/>
    <w:rsid w:val="7F447B1E"/>
    <w:rsid w:val="7F5F2447"/>
    <w:rsid w:val="7F73958C"/>
    <w:rsid w:val="7F8EC8D4"/>
    <w:rsid w:val="7F906279"/>
    <w:rsid w:val="7F96399A"/>
    <w:rsid w:val="7F9FE7AA"/>
    <w:rsid w:val="7FA31556"/>
    <w:rsid w:val="7FAEB544"/>
    <w:rsid w:val="7FB6B068"/>
    <w:rsid w:val="7FCEEA49"/>
    <w:rsid w:val="7FD28F17"/>
    <w:rsid w:val="7FE1091A"/>
    <w:rsid w:val="7FE2F50A"/>
    <w:rsid w:val="7FE9AD97"/>
    <w:rsid w:val="7FFC8A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1F52E"/>
  <w15:docId w15:val="{A5BA851C-1E75-4885-A822-7E4D57015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76C"/>
  </w:style>
  <w:style w:type="paragraph" w:styleId="Heading1">
    <w:name w:val="heading 1"/>
    <w:basedOn w:val="Normal"/>
    <w:next w:val="Normal"/>
    <w:link w:val="Heading1Char"/>
    <w:uiPriority w:val="9"/>
    <w:qFormat/>
    <w:pPr>
      <w:keepNext/>
      <w:keepLines/>
      <w:numPr>
        <w:numId w:val="2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15E3"/>
    <w:pPr>
      <w:keepNext/>
      <w:keepLines/>
      <w:numPr>
        <w:ilvl w:val="1"/>
        <w:numId w:val="24"/>
      </w:numPr>
      <w:spacing w:before="40" w:after="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unhideWhenUsed/>
    <w:qFormat/>
    <w:rsid w:val="005C2D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B15E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5C2D2A"/>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3EF2058"/>
  </w:style>
  <w:style w:type="character" w:customStyle="1" w:styleId="eop">
    <w:name w:val="eop"/>
    <w:basedOn w:val="DefaultParagraphFont"/>
    <w:rsid w:val="03EF2058"/>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rsid w:val="00A0455C"/>
  </w:style>
  <w:style w:type="paragraph" w:customStyle="1" w:styleId="paragraph">
    <w:name w:val="paragraph"/>
    <w:basedOn w:val="Normal"/>
    <w:link w:val="paragraphChar"/>
    <w:rsid w:val="005858D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aragraphChar">
    <w:name w:val="paragraph Char"/>
    <w:basedOn w:val="DefaultParagraphFont"/>
    <w:link w:val="paragraph"/>
    <w:rsid w:val="00EA1F4B"/>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D42C8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2C89"/>
    <w:rPr>
      <w:rFonts w:ascii="Times New Roman" w:hAnsi="Times New Roman" w:cs="Times New Roman"/>
      <w:sz w:val="18"/>
      <w:szCs w:val="18"/>
    </w:rPr>
  </w:style>
  <w:style w:type="character" w:styleId="CommentReference">
    <w:name w:val="annotation reference"/>
    <w:basedOn w:val="DefaultParagraphFont"/>
    <w:uiPriority w:val="99"/>
    <w:unhideWhenUsed/>
    <w:rsid w:val="00771556"/>
    <w:rPr>
      <w:sz w:val="16"/>
      <w:szCs w:val="16"/>
    </w:rPr>
  </w:style>
  <w:style w:type="paragraph" w:styleId="CommentText">
    <w:name w:val="annotation text"/>
    <w:basedOn w:val="Normal"/>
    <w:link w:val="CommentTextChar"/>
    <w:uiPriority w:val="99"/>
    <w:unhideWhenUsed/>
    <w:rsid w:val="00771556"/>
    <w:pPr>
      <w:spacing w:line="240" w:lineRule="auto"/>
    </w:pPr>
    <w:rPr>
      <w:sz w:val="20"/>
      <w:szCs w:val="20"/>
    </w:rPr>
  </w:style>
  <w:style w:type="character" w:customStyle="1" w:styleId="CommentTextChar">
    <w:name w:val="Comment Text Char"/>
    <w:basedOn w:val="DefaultParagraphFont"/>
    <w:link w:val="CommentText"/>
    <w:uiPriority w:val="99"/>
    <w:rsid w:val="00771556"/>
    <w:rPr>
      <w:sz w:val="20"/>
      <w:szCs w:val="20"/>
    </w:rPr>
  </w:style>
  <w:style w:type="paragraph" w:styleId="CommentSubject">
    <w:name w:val="annotation subject"/>
    <w:basedOn w:val="CommentText"/>
    <w:next w:val="CommentText"/>
    <w:link w:val="CommentSubjectChar"/>
    <w:uiPriority w:val="99"/>
    <w:semiHidden/>
    <w:unhideWhenUsed/>
    <w:rsid w:val="00771556"/>
    <w:rPr>
      <w:b/>
      <w:bCs/>
    </w:rPr>
  </w:style>
  <w:style w:type="character" w:customStyle="1" w:styleId="CommentSubjectChar">
    <w:name w:val="Comment Subject Char"/>
    <w:basedOn w:val="CommentTextChar"/>
    <w:link w:val="CommentSubject"/>
    <w:uiPriority w:val="99"/>
    <w:semiHidden/>
    <w:rsid w:val="00771556"/>
    <w:rPr>
      <w:b/>
      <w:bCs/>
      <w:sz w:val="20"/>
      <w:szCs w:val="20"/>
    </w:rPr>
  </w:style>
  <w:style w:type="paragraph" w:customStyle="1" w:styleId="EndNoteBibliographyTitle">
    <w:name w:val="EndNote Bibliography Title"/>
    <w:basedOn w:val="Normal"/>
    <w:link w:val="EndNoteBibliographyTitleChar"/>
    <w:rsid w:val="00EA1F4B"/>
    <w:pPr>
      <w:spacing w:after="0"/>
      <w:jc w:val="center"/>
    </w:pPr>
    <w:rPr>
      <w:rFonts w:ascii="Calibri" w:hAnsi="Calibri" w:cs="Calibri"/>
    </w:rPr>
  </w:style>
  <w:style w:type="character" w:customStyle="1" w:styleId="EndNoteBibliographyTitleChar">
    <w:name w:val="EndNote Bibliography Title Char"/>
    <w:basedOn w:val="paragraphChar"/>
    <w:link w:val="EndNoteBibliographyTitle"/>
    <w:rsid w:val="00EA1F4B"/>
    <w:rPr>
      <w:rFonts w:ascii="Calibri" w:eastAsia="Times New Roman" w:hAnsi="Calibri" w:cs="Calibri"/>
      <w:sz w:val="24"/>
      <w:szCs w:val="24"/>
      <w:lang w:val="en-GB" w:eastAsia="en-GB"/>
    </w:rPr>
  </w:style>
  <w:style w:type="paragraph" w:customStyle="1" w:styleId="EndNoteBibliography">
    <w:name w:val="EndNote Bibliography"/>
    <w:basedOn w:val="Normal"/>
    <w:link w:val="EndNoteBibliographyChar"/>
    <w:rsid w:val="00EA1F4B"/>
    <w:pPr>
      <w:spacing w:line="240" w:lineRule="auto"/>
    </w:pPr>
    <w:rPr>
      <w:rFonts w:ascii="Calibri" w:hAnsi="Calibri" w:cs="Calibri"/>
    </w:rPr>
  </w:style>
  <w:style w:type="character" w:customStyle="1" w:styleId="EndNoteBibliographyChar">
    <w:name w:val="EndNote Bibliography Char"/>
    <w:basedOn w:val="paragraphChar"/>
    <w:link w:val="EndNoteBibliography"/>
    <w:rsid w:val="00EA1F4B"/>
    <w:rPr>
      <w:rFonts w:ascii="Calibri" w:eastAsia="Times New Roman" w:hAnsi="Calibri" w:cs="Calibri"/>
      <w:sz w:val="24"/>
      <w:szCs w:val="24"/>
      <w:lang w:val="en-GB" w:eastAsia="en-GB"/>
    </w:rPr>
  </w:style>
  <w:style w:type="paragraph" w:styleId="Revision">
    <w:name w:val="Revision"/>
    <w:hidden/>
    <w:uiPriority w:val="99"/>
    <w:semiHidden/>
    <w:rsid w:val="001C5123"/>
    <w:pPr>
      <w:spacing w:after="0" w:line="240" w:lineRule="auto"/>
    </w:pPr>
  </w:style>
  <w:style w:type="character" w:customStyle="1" w:styleId="UnresolvedMention1">
    <w:name w:val="Unresolved Mention1"/>
    <w:basedOn w:val="DefaultParagraphFont"/>
    <w:uiPriority w:val="99"/>
    <w:unhideWhenUsed/>
    <w:rsid w:val="00B96759"/>
    <w:rPr>
      <w:color w:val="605E5C"/>
      <w:shd w:val="clear" w:color="auto" w:fill="E1DFDD"/>
    </w:rPr>
  </w:style>
  <w:style w:type="character" w:customStyle="1" w:styleId="Mention1">
    <w:name w:val="Mention1"/>
    <w:basedOn w:val="DefaultParagraphFont"/>
    <w:uiPriority w:val="99"/>
    <w:unhideWhenUsed/>
    <w:rsid w:val="00B96759"/>
    <w:rPr>
      <w:color w:val="2B579A"/>
      <w:shd w:val="clear" w:color="auto" w:fill="E1DFDD"/>
    </w:rPr>
  </w:style>
  <w:style w:type="character" w:styleId="FollowedHyperlink">
    <w:name w:val="FollowedHyperlink"/>
    <w:basedOn w:val="DefaultParagraphFont"/>
    <w:uiPriority w:val="99"/>
    <w:semiHidden/>
    <w:unhideWhenUsed/>
    <w:rsid w:val="00F06BA2"/>
    <w:rPr>
      <w:color w:val="954F72" w:themeColor="followedHyperlink"/>
      <w:u w:val="single"/>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2907D4"/>
    <w:pPr>
      <w:spacing w:after="0" w:line="240" w:lineRule="auto"/>
    </w:pPr>
    <w:rPr>
      <w:rFonts w:eastAsiaTheme="minorEastAsia"/>
      <w:sz w:val="20"/>
      <w:szCs w:val="20"/>
      <w:lang w:val="en-GB" w:eastAsia="en-GB"/>
    </w:rPr>
  </w:style>
  <w:style w:type="character" w:customStyle="1" w:styleId="FootnoteTextChar">
    <w:name w:val="Footnote Text Char"/>
    <w:basedOn w:val="DefaultParagraphFont"/>
    <w:link w:val="FootnoteText"/>
    <w:uiPriority w:val="99"/>
    <w:rsid w:val="002907D4"/>
    <w:rPr>
      <w:rFonts w:eastAsiaTheme="minorEastAsia"/>
      <w:sz w:val="20"/>
      <w:szCs w:val="20"/>
      <w:lang w:val="en-GB" w:eastAsia="en-GB"/>
    </w:rPr>
  </w:style>
  <w:style w:type="character" w:styleId="FootnoteReference">
    <w:name w:val="footnote reference"/>
    <w:basedOn w:val="DefaultParagraphFont"/>
    <w:uiPriority w:val="99"/>
    <w:unhideWhenUsed/>
    <w:rsid w:val="002907D4"/>
    <w:rPr>
      <w:vertAlign w:val="superscript"/>
    </w:rPr>
  </w:style>
  <w:style w:type="paragraph" w:styleId="Header">
    <w:name w:val="header"/>
    <w:basedOn w:val="Normal"/>
    <w:link w:val="HeaderChar"/>
    <w:uiPriority w:val="99"/>
    <w:unhideWhenUsed/>
    <w:rsid w:val="000673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305"/>
  </w:style>
  <w:style w:type="paragraph" w:styleId="Footer">
    <w:name w:val="footer"/>
    <w:basedOn w:val="Normal"/>
    <w:link w:val="FooterChar"/>
    <w:uiPriority w:val="99"/>
    <w:unhideWhenUsed/>
    <w:rsid w:val="00067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305"/>
  </w:style>
  <w:style w:type="paragraph" w:customStyle="1" w:styleId="bullet1">
    <w:name w:val="bullet1"/>
    <w:basedOn w:val="ListParagraph"/>
    <w:link w:val="bullet1Char"/>
    <w:autoRedefine/>
    <w:qFormat/>
    <w:rsid w:val="00057B21"/>
    <w:pPr>
      <w:numPr>
        <w:numId w:val="15"/>
      </w:numPr>
      <w:spacing w:after="120" w:line="256" w:lineRule="auto"/>
    </w:pPr>
  </w:style>
  <w:style w:type="character" w:customStyle="1" w:styleId="bullet1Char">
    <w:name w:val="bullet1 Char"/>
    <w:basedOn w:val="ListParagraphChar"/>
    <w:link w:val="bullet1"/>
    <w:rsid w:val="00057B21"/>
  </w:style>
  <w:style w:type="paragraph" w:customStyle="1" w:styleId="bullet10">
    <w:name w:val="bullet 1"/>
    <w:basedOn w:val="Normal"/>
    <w:link w:val="bullet1Char0"/>
    <w:autoRedefine/>
    <w:qFormat/>
    <w:rsid w:val="00255A69"/>
    <w:pPr>
      <w:spacing w:after="120" w:line="276" w:lineRule="auto"/>
      <w:jc w:val="both"/>
    </w:pPr>
    <w:rPr>
      <w:rFonts w:ascii="Calibri" w:eastAsiaTheme="minorEastAsia" w:hAnsi="Calibri" w:cs="Times New Roman"/>
      <w:bCs/>
      <w:lang w:val="en-GB"/>
    </w:rPr>
  </w:style>
  <w:style w:type="character" w:customStyle="1" w:styleId="bullet1Char0">
    <w:name w:val="bullet 1 Char"/>
    <w:link w:val="bullet10"/>
    <w:rsid w:val="00255A69"/>
    <w:rPr>
      <w:rFonts w:ascii="Calibri" w:eastAsiaTheme="minorEastAsia" w:hAnsi="Calibri" w:cs="Times New Roman"/>
      <w:bCs/>
      <w:lang w:val="en-GB"/>
    </w:rPr>
  </w:style>
  <w:style w:type="paragraph" w:customStyle="1" w:styleId="bulet2">
    <w:name w:val="bulet 2"/>
    <w:basedOn w:val="bullet10"/>
    <w:autoRedefine/>
    <w:qFormat/>
    <w:rsid w:val="009B6C4F"/>
    <w:pPr>
      <w:tabs>
        <w:tab w:val="num" w:pos="1440"/>
      </w:tabs>
      <w:spacing w:before="20" w:after="20"/>
      <w:ind w:left="1440" w:hanging="360"/>
    </w:pPr>
  </w:style>
  <w:style w:type="character" w:styleId="Emphasis">
    <w:name w:val="Emphasis"/>
    <w:basedOn w:val="DefaultParagraphFont"/>
    <w:uiPriority w:val="20"/>
    <w:qFormat/>
    <w:rsid w:val="00801987"/>
    <w:rPr>
      <w:i/>
      <w:iCs/>
    </w:rPr>
  </w:style>
  <w:style w:type="paragraph" w:customStyle="1" w:styleId="Table">
    <w:name w:val="Table"/>
    <w:basedOn w:val="Normal"/>
    <w:link w:val="TableChar"/>
    <w:autoRedefine/>
    <w:qFormat/>
    <w:rsid w:val="00DA406F"/>
    <w:pPr>
      <w:spacing w:after="0"/>
      <w:jc w:val="center"/>
    </w:pPr>
    <w:rPr>
      <w:bCs/>
    </w:rPr>
  </w:style>
  <w:style w:type="character" w:customStyle="1" w:styleId="TableChar">
    <w:name w:val="Table Char"/>
    <w:basedOn w:val="DefaultParagraphFont"/>
    <w:link w:val="Table"/>
    <w:rsid w:val="00024E71"/>
    <w:rPr>
      <w:bCs/>
    </w:rPr>
  </w:style>
  <w:style w:type="paragraph" w:customStyle="1" w:styleId="tabtext">
    <w:name w:val="tab text"/>
    <w:basedOn w:val="Normal"/>
    <w:link w:val="tabtextChar"/>
    <w:autoRedefine/>
    <w:qFormat/>
    <w:rsid w:val="00257698"/>
    <w:pPr>
      <w:spacing w:after="0" w:line="240" w:lineRule="auto"/>
    </w:pPr>
    <w:rPr>
      <w:lang w:val="en-GB"/>
    </w:rPr>
  </w:style>
  <w:style w:type="character" w:customStyle="1" w:styleId="tabtextChar">
    <w:name w:val="tab text Char"/>
    <w:basedOn w:val="DefaultParagraphFont"/>
    <w:link w:val="tabtext"/>
    <w:rsid w:val="00257698"/>
    <w:rPr>
      <w:lang w:val="en-GB"/>
    </w:rPr>
  </w:style>
  <w:style w:type="paragraph" w:styleId="Caption">
    <w:name w:val="caption"/>
    <w:basedOn w:val="Normal"/>
    <w:next w:val="Normal"/>
    <w:uiPriority w:val="35"/>
    <w:unhideWhenUsed/>
    <w:qFormat/>
    <w:rsid w:val="00E66E98"/>
    <w:pPr>
      <w:spacing w:after="200" w:line="240" w:lineRule="auto"/>
    </w:pPr>
    <w:rPr>
      <w:i/>
      <w:iCs/>
      <w:color w:val="44546A" w:themeColor="text2"/>
      <w:sz w:val="18"/>
      <w:szCs w:val="18"/>
    </w:rPr>
  </w:style>
  <w:style w:type="character" w:styleId="Strong">
    <w:name w:val="Strong"/>
    <w:basedOn w:val="DefaultParagraphFont"/>
    <w:uiPriority w:val="22"/>
    <w:qFormat/>
    <w:rsid w:val="0025656B"/>
    <w:rPr>
      <w:b/>
      <w:bCs/>
    </w:rPr>
  </w:style>
  <w:style w:type="character" w:styleId="EndnoteReference">
    <w:name w:val="endnote reference"/>
    <w:basedOn w:val="DefaultParagraphFont"/>
    <w:uiPriority w:val="99"/>
    <w:semiHidden/>
    <w:unhideWhenUsed/>
    <w:rsid w:val="00642E7C"/>
    <w:rPr>
      <w:vertAlign w:val="superscript"/>
    </w:rPr>
  </w:style>
  <w:style w:type="paragraph" w:styleId="TOCHeading">
    <w:name w:val="TOC Heading"/>
    <w:basedOn w:val="Heading1"/>
    <w:next w:val="Normal"/>
    <w:uiPriority w:val="39"/>
    <w:unhideWhenUsed/>
    <w:qFormat/>
    <w:rsid w:val="00D7513B"/>
    <w:pPr>
      <w:spacing w:before="480" w:line="276" w:lineRule="auto"/>
      <w:outlineLvl w:val="9"/>
    </w:pPr>
    <w:rPr>
      <w:b/>
      <w:bCs/>
      <w:sz w:val="28"/>
      <w:szCs w:val="28"/>
    </w:rPr>
  </w:style>
  <w:style w:type="paragraph" w:styleId="TOC1">
    <w:name w:val="toc 1"/>
    <w:basedOn w:val="Normal"/>
    <w:next w:val="Normal"/>
    <w:autoRedefine/>
    <w:uiPriority w:val="39"/>
    <w:unhideWhenUsed/>
    <w:rsid w:val="0064495E"/>
    <w:pPr>
      <w:tabs>
        <w:tab w:val="left" w:pos="940"/>
        <w:tab w:val="right" w:leader="dot" w:pos="9736"/>
      </w:tabs>
      <w:spacing w:before="120" w:after="0"/>
    </w:pPr>
    <w:rPr>
      <w:rFonts w:cstheme="minorHAnsi"/>
      <w:b/>
      <w:bCs/>
      <w:i/>
      <w:iCs/>
      <w:sz w:val="24"/>
      <w:szCs w:val="24"/>
    </w:rPr>
  </w:style>
  <w:style w:type="paragraph" w:styleId="TOC2">
    <w:name w:val="toc 2"/>
    <w:basedOn w:val="Normal"/>
    <w:next w:val="Normal"/>
    <w:autoRedefine/>
    <w:uiPriority w:val="39"/>
    <w:unhideWhenUsed/>
    <w:rsid w:val="001F586A"/>
    <w:pPr>
      <w:tabs>
        <w:tab w:val="left" w:pos="1760"/>
        <w:tab w:val="right" w:leader="dot" w:pos="9736"/>
      </w:tabs>
      <w:spacing w:before="120" w:after="0"/>
      <w:ind w:left="940"/>
    </w:pPr>
    <w:rPr>
      <w:rFonts w:cstheme="minorHAnsi"/>
      <w:b/>
      <w:bCs/>
    </w:rPr>
  </w:style>
  <w:style w:type="paragraph" w:styleId="TOC3">
    <w:name w:val="toc 3"/>
    <w:basedOn w:val="Normal"/>
    <w:next w:val="Normal"/>
    <w:autoRedefine/>
    <w:uiPriority w:val="39"/>
    <w:unhideWhenUsed/>
    <w:rsid w:val="002B5412"/>
    <w:pPr>
      <w:spacing w:after="0"/>
      <w:ind w:left="440"/>
    </w:pPr>
    <w:rPr>
      <w:rFonts w:cstheme="minorHAnsi"/>
      <w:sz w:val="20"/>
      <w:szCs w:val="20"/>
    </w:rPr>
  </w:style>
  <w:style w:type="paragraph" w:styleId="TOC4">
    <w:name w:val="toc 4"/>
    <w:basedOn w:val="Normal"/>
    <w:next w:val="Normal"/>
    <w:autoRedefine/>
    <w:uiPriority w:val="39"/>
    <w:unhideWhenUsed/>
    <w:rsid w:val="00D7513B"/>
    <w:pPr>
      <w:spacing w:after="0"/>
      <w:ind w:left="660"/>
    </w:pPr>
    <w:rPr>
      <w:rFonts w:cstheme="minorHAnsi"/>
      <w:sz w:val="20"/>
      <w:szCs w:val="20"/>
    </w:rPr>
  </w:style>
  <w:style w:type="paragraph" w:styleId="TOC5">
    <w:name w:val="toc 5"/>
    <w:basedOn w:val="Normal"/>
    <w:next w:val="Normal"/>
    <w:autoRedefine/>
    <w:uiPriority w:val="39"/>
    <w:unhideWhenUsed/>
    <w:rsid w:val="00D7513B"/>
    <w:pPr>
      <w:spacing w:after="0"/>
      <w:ind w:left="880"/>
    </w:pPr>
    <w:rPr>
      <w:rFonts w:cstheme="minorHAnsi"/>
      <w:sz w:val="20"/>
      <w:szCs w:val="20"/>
    </w:rPr>
  </w:style>
  <w:style w:type="paragraph" w:styleId="TOC6">
    <w:name w:val="toc 6"/>
    <w:basedOn w:val="Normal"/>
    <w:next w:val="Normal"/>
    <w:autoRedefine/>
    <w:uiPriority w:val="39"/>
    <w:unhideWhenUsed/>
    <w:rsid w:val="00D7513B"/>
    <w:pPr>
      <w:spacing w:after="0"/>
      <w:ind w:left="1100"/>
    </w:pPr>
    <w:rPr>
      <w:rFonts w:cstheme="minorHAnsi"/>
      <w:sz w:val="20"/>
      <w:szCs w:val="20"/>
    </w:rPr>
  </w:style>
  <w:style w:type="paragraph" w:styleId="TOC7">
    <w:name w:val="toc 7"/>
    <w:basedOn w:val="Normal"/>
    <w:next w:val="Normal"/>
    <w:autoRedefine/>
    <w:uiPriority w:val="39"/>
    <w:unhideWhenUsed/>
    <w:rsid w:val="00D7513B"/>
    <w:pPr>
      <w:spacing w:after="0"/>
      <w:ind w:left="1320"/>
    </w:pPr>
    <w:rPr>
      <w:rFonts w:cstheme="minorHAnsi"/>
      <w:sz w:val="20"/>
      <w:szCs w:val="20"/>
    </w:rPr>
  </w:style>
  <w:style w:type="paragraph" w:styleId="TOC8">
    <w:name w:val="toc 8"/>
    <w:basedOn w:val="Normal"/>
    <w:next w:val="Normal"/>
    <w:autoRedefine/>
    <w:uiPriority w:val="39"/>
    <w:unhideWhenUsed/>
    <w:rsid w:val="00D7513B"/>
    <w:pPr>
      <w:spacing w:after="0"/>
      <w:ind w:left="1540"/>
    </w:pPr>
    <w:rPr>
      <w:rFonts w:cstheme="minorHAnsi"/>
      <w:sz w:val="20"/>
      <w:szCs w:val="20"/>
    </w:rPr>
  </w:style>
  <w:style w:type="paragraph" w:styleId="TOC9">
    <w:name w:val="toc 9"/>
    <w:basedOn w:val="Normal"/>
    <w:next w:val="Normal"/>
    <w:autoRedefine/>
    <w:uiPriority w:val="39"/>
    <w:unhideWhenUsed/>
    <w:rsid w:val="00D7513B"/>
    <w:pPr>
      <w:spacing w:after="0"/>
      <w:ind w:left="1760"/>
    </w:pPr>
    <w:rPr>
      <w:rFonts w:cstheme="minorHAnsi"/>
      <w:sz w:val="20"/>
      <w:szCs w:val="20"/>
    </w:rPr>
  </w:style>
  <w:style w:type="paragraph" w:customStyle="1" w:styleId="footnote">
    <w:name w:val="footnote"/>
    <w:basedOn w:val="paragraph"/>
    <w:link w:val="footnoteChar"/>
    <w:autoRedefine/>
    <w:qFormat/>
    <w:rsid w:val="004A09F6"/>
    <w:pPr>
      <w:spacing w:before="120" w:beforeAutospacing="0" w:after="120" w:afterAutospacing="0"/>
      <w:jc w:val="both"/>
      <w:textAlignment w:val="baseline"/>
    </w:pPr>
    <w:rPr>
      <w:rFonts w:cstheme="minorHAnsi"/>
      <w:sz w:val="20"/>
    </w:rPr>
  </w:style>
  <w:style w:type="character" w:customStyle="1" w:styleId="footnoteChar">
    <w:name w:val="footnote Char"/>
    <w:basedOn w:val="paragraphChar"/>
    <w:link w:val="footnote"/>
    <w:rsid w:val="004A09F6"/>
    <w:rPr>
      <w:rFonts w:ascii="Times New Roman" w:eastAsia="Times New Roman" w:hAnsi="Times New Roman" w:cstheme="minorHAnsi"/>
      <w:sz w:val="20"/>
      <w:szCs w:val="24"/>
      <w:lang w:val="en-GB" w:eastAsia="en-GB"/>
    </w:rPr>
  </w:style>
  <w:style w:type="paragraph" w:styleId="BodyText">
    <w:name w:val="Body Text"/>
    <w:basedOn w:val="Normal"/>
    <w:link w:val="BodyTextChar"/>
    <w:rsid w:val="0084159C"/>
    <w:pPr>
      <w:spacing w:after="0" w:line="240" w:lineRule="auto"/>
      <w:jc w:val="thaiDistribute"/>
    </w:pPr>
    <w:rPr>
      <w:rFonts w:ascii="Cordia New" w:eastAsia="Batang" w:hAnsi="Cordia New" w:cs="Cordia New"/>
      <w:sz w:val="28"/>
      <w:szCs w:val="28"/>
      <w:lang w:bidi="th-TH"/>
    </w:rPr>
  </w:style>
  <w:style w:type="character" w:customStyle="1" w:styleId="BodyTextChar">
    <w:name w:val="Body Text Char"/>
    <w:basedOn w:val="DefaultParagraphFont"/>
    <w:link w:val="BodyText"/>
    <w:rsid w:val="0084159C"/>
    <w:rPr>
      <w:rFonts w:ascii="Cordia New" w:eastAsia="Batang" w:hAnsi="Cordia New" w:cs="Cordia New"/>
      <w:sz w:val="28"/>
      <w:szCs w:val="28"/>
      <w:lang w:bidi="th-TH"/>
    </w:rPr>
  </w:style>
  <w:style w:type="paragraph" w:customStyle="1" w:styleId="Normal-Times-centre">
    <w:name w:val="Normal-Times-centre"/>
    <w:basedOn w:val="Normal"/>
    <w:link w:val="Normal-Times-centreChar"/>
    <w:autoRedefine/>
    <w:qFormat/>
    <w:rsid w:val="00785EC0"/>
    <w:pPr>
      <w:spacing w:before="120" w:after="120" w:line="264" w:lineRule="auto"/>
      <w:jc w:val="both"/>
    </w:pPr>
    <w:rPr>
      <w:rFonts w:eastAsia="Times New Roman" w:cstheme="minorHAnsi"/>
      <w:color w:val="000000" w:themeColor="text1"/>
      <w:lang w:val="en-GB" w:bidi="th-TH"/>
    </w:rPr>
  </w:style>
  <w:style w:type="character" w:customStyle="1" w:styleId="Normal-Times-centreChar">
    <w:name w:val="Normal-Times-centre Char"/>
    <w:link w:val="Normal-Times-centre"/>
    <w:rsid w:val="00785EC0"/>
    <w:rPr>
      <w:rFonts w:eastAsia="Times New Roman" w:cstheme="minorHAnsi"/>
      <w:color w:val="000000" w:themeColor="text1"/>
      <w:lang w:val="en-GB" w:bidi="th-TH"/>
    </w:rPr>
  </w:style>
  <w:style w:type="paragraph" w:customStyle="1" w:styleId="Default">
    <w:name w:val="Default"/>
    <w:rsid w:val="00AB775C"/>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customStyle="1" w:styleId="UnresolvedMention2">
    <w:name w:val="Unresolved Mention2"/>
    <w:basedOn w:val="DefaultParagraphFont"/>
    <w:uiPriority w:val="99"/>
    <w:unhideWhenUsed/>
    <w:rsid w:val="00727AFF"/>
    <w:rPr>
      <w:color w:val="605E5C"/>
      <w:shd w:val="clear" w:color="auto" w:fill="E1DFDD"/>
    </w:rPr>
  </w:style>
  <w:style w:type="character" w:customStyle="1" w:styleId="Mention2">
    <w:name w:val="Mention2"/>
    <w:basedOn w:val="DefaultParagraphFont"/>
    <w:uiPriority w:val="99"/>
    <w:unhideWhenUsed/>
    <w:rsid w:val="00727AFF"/>
    <w:rPr>
      <w:color w:val="2B579A"/>
      <w:shd w:val="clear" w:color="auto" w:fill="E1DFDD"/>
    </w:rPr>
  </w:style>
  <w:style w:type="character" w:customStyle="1" w:styleId="UnresolvedMention3">
    <w:name w:val="Unresolved Mention3"/>
    <w:basedOn w:val="DefaultParagraphFont"/>
    <w:uiPriority w:val="99"/>
    <w:semiHidden/>
    <w:unhideWhenUsed/>
    <w:rsid w:val="0067727E"/>
    <w:rPr>
      <w:color w:val="605E5C"/>
      <w:shd w:val="clear" w:color="auto" w:fill="E1DFDD"/>
    </w:rPr>
  </w:style>
  <w:style w:type="paragraph" w:styleId="NormalWeb">
    <w:name w:val="Normal (Web)"/>
    <w:basedOn w:val="Normal"/>
    <w:uiPriority w:val="99"/>
    <w:semiHidden/>
    <w:unhideWhenUsed/>
    <w:rsid w:val="006772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itle-content-style">
    <w:name w:val="title-content-style"/>
    <w:basedOn w:val="DefaultParagraphFont"/>
    <w:rsid w:val="00A05B1D"/>
  </w:style>
  <w:style w:type="character" w:customStyle="1" w:styleId="tab-display-name">
    <w:name w:val="tab-display-name"/>
    <w:basedOn w:val="DefaultParagraphFont"/>
    <w:rsid w:val="00A05B1D"/>
  </w:style>
  <w:style w:type="paragraph" w:styleId="NoSpacing">
    <w:name w:val="No Spacing"/>
    <w:uiPriority w:val="1"/>
    <w:qFormat/>
    <w:rsid w:val="00AA6653"/>
    <w:pPr>
      <w:spacing w:after="0" w:line="240" w:lineRule="auto"/>
    </w:pPr>
  </w:style>
  <w:style w:type="paragraph" w:styleId="BodyTextIndent3">
    <w:name w:val="Body Text Indent 3"/>
    <w:basedOn w:val="Normal"/>
    <w:link w:val="BodyTextIndent3Char"/>
    <w:uiPriority w:val="99"/>
    <w:semiHidden/>
    <w:unhideWhenUsed/>
    <w:rsid w:val="002823E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823ED"/>
    <w:rPr>
      <w:sz w:val="16"/>
      <w:szCs w:val="16"/>
    </w:rPr>
  </w:style>
  <w:style w:type="paragraph" w:customStyle="1" w:styleId="xmsonormal">
    <w:name w:val="x_msonormal"/>
    <w:basedOn w:val="Normal"/>
    <w:rsid w:val="00B62E55"/>
    <w:pPr>
      <w:spacing w:after="0" w:line="240" w:lineRule="auto"/>
    </w:pPr>
    <w:rPr>
      <w:rFonts w:ascii="Calibri" w:eastAsia="Calibri" w:hAnsi="Calibri" w:cs="Calibri"/>
      <w:sz w:val="24"/>
      <w:szCs w:val="24"/>
      <w:lang w:bidi="th-TH"/>
    </w:rPr>
  </w:style>
  <w:style w:type="character" w:customStyle="1" w:styleId="UnresolvedMention4">
    <w:name w:val="Unresolved Mention4"/>
    <w:basedOn w:val="DefaultParagraphFont"/>
    <w:uiPriority w:val="99"/>
    <w:semiHidden/>
    <w:unhideWhenUsed/>
    <w:rsid w:val="0028376C"/>
    <w:rPr>
      <w:color w:val="605E5C"/>
      <w:shd w:val="clear" w:color="auto" w:fill="E1DFDD"/>
    </w:rPr>
  </w:style>
  <w:style w:type="character" w:customStyle="1" w:styleId="UnresolvedMention5">
    <w:name w:val="Unresolved Mention5"/>
    <w:basedOn w:val="DefaultParagraphFont"/>
    <w:uiPriority w:val="99"/>
    <w:semiHidden/>
    <w:unhideWhenUsed/>
    <w:rsid w:val="00DA406F"/>
    <w:rPr>
      <w:color w:val="605E5C"/>
      <w:shd w:val="clear" w:color="auto" w:fill="E1DFDD"/>
    </w:rPr>
  </w:style>
  <w:style w:type="character" w:customStyle="1" w:styleId="UnresolvedMention6">
    <w:name w:val="Unresolved Mention6"/>
    <w:basedOn w:val="DefaultParagraphFont"/>
    <w:uiPriority w:val="99"/>
    <w:semiHidden/>
    <w:unhideWhenUsed/>
    <w:rsid w:val="0083259A"/>
    <w:rPr>
      <w:color w:val="605E5C"/>
      <w:shd w:val="clear" w:color="auto" w:fill="E1DFDD"/>
    </w:rPr>
  </w:style>
  <w:style w:type="paragraph" w:customStyle="1" w:styleId="a">
    <w:name w:val="添文_薬効分類名"/>
    <w:basedOn w:val="Normal"/>
    <w:rsid w:val="007E7A08"/>
    <w:pPr>
      <w:widowControl w:val="0"/>
      <w:snapToGrid w:val="0"/>
      <w:spacing w:after="0" w:line="240" w:lineRule="auto"/>
      <w:jc w:val="center"/>
    </w:pPr>
    <w:rPr>
      <w:rFonts w:ascii="MS Gothic" w:eastAsia="MS Gothic" w:hAnsi="Arial" w:cs="Times New Roman"/>
      <w:b/>
      <w:kern w:val="2"/>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897">
      <w:bodyDiv w:val="1"/>
      <w:marLeft w:val="0"/>
      <w:marRight w:val="0"/>
      <w:marTop w:val="0"/>
      <w:marBottom w:val="0"/>
      <w:divBdr>
        <w:top w:val="none" w:sz="0" w:space="0" w:color="auto"/>
        <w:left w:val="none" w:sz="0" w:space="0" w:color="auto"/>
        <w:bottom w:val="none" w:sz="0" w:space="0" w:color="auto"/>
        <w:right w:val="none" w:sz="0" w:space="0" w:color="auto"/>
      </w:divBdr>
      <w:divsChild>
        <w:div w:id="45567235">
          <w:marLeft w:val="0"/>
          <w:marRight w:val="0"/>
          <w:marTop w:val="0"/>
          <w:marBottom w:val="0"/>
          <w:divBdr>
            <w:top w:val="none" w:sz="0" w:space="0" w:color="auto"/>
            <w:left w:val="none" w:sz="0" w:space="0" w:color="auto"/>
            <w:bottom w:val="none" w:sz="0" w:space="0" w:color="auto"/>
            <w:right w:val="none" w:sz="0" w:space="0" w:color="auto"/>
          </w:divBdr>
        </w:div>
        <w:div w:id="124006566">
          <w:marLeft w:val="0"/>
          <w:marRight w:val="0"/>
          <w:marTop w:val="0"/>
          <w:marBottom w:val="0"/>
          <w:divBdr>
            <w:top w:val="none" w:sz="0" w:space="0" w:color="auto"/>
            <w:left w:val="none" w:sz="0" w:space="0" w:color="auto"/>
            <w:bottom w:val="none" w:sz="0" w:space="0" w:color="auto"/>
            <w:right w:val="none" w:sz="0" w:space="0" w:color="auto"/>
          </w:divBdr>
          <w:divsChild>
            <w:div w:id="512232757">
              <w:marLeft w:val="0"/>
              <w:marRight w:val="0"/>
              <w:marTop w:val="0"/>
              <w:marBottom w:val="0"/>
              <w:divBdr>
                <w:top w:val="none" w:sz="0" w:space="0" w:color="auto"/>
                <w:left w:val="none" w:sz="0" w:space="0" w:color="auto"/>
                <w:bottom w:val="none" w:sz="0" w:space="0" w:color="auto"/>
                <w:right w:val="none" w:sz="0" w:space="0" w:color="auto"/>
              </w:divBdr>
            </w:div>
            <w:div w:id="864252176">
              <w:marLeft w:val="0"/>
              <w:marRight w:val="0"/>
              <w:marTop w:val="0"/>
              <w:marBottom w:val="0"/>
              <w:divBdr>
                <w:top w:val="none" w:sz="0" w:space="0" w:color="auto"/>
                <w:left w:val="none" w:sz="0" w:space="0" w:color="auto"/>
                <w:bottom w:val="none" w:sz="0" w:space="0" w:color="auto"/>
                <w:right w:val="none" w:sz="0" w:space="0" w:color="auto"/>
              </w:divBdr>
            </w:div>
            <w:div w:id="1699622942">
              <w:marLeft w:val="0"/>
              <w:marRight w:val="0"/>
              <w:marTop w:val="0"/>
              <w:marBottom w:val="0"/>
              <w:divBdr>
                <w:top w:val="none" w:sz="0" w:space="0" w:color="auto"/>
                <w:left w:val="none" w:sz="0" w:space="0" w:color="auto"/>
                <w:bottom w:val="none" w:sz="0" w:space="0" w:color="auto"/>
                <w:right w:val="none" w:sz="0" w:space="0" w:color="auto"/>
              </w:divBdr>
            </w:div>
          </w:divsChild>
        </w:div>
        <w:div w:id="196428541">
          <w:marLeft w:val="0"/>
          <w:marRight w:val="0"/>
          <w:marTop w:val="0"/>
          <w:marBottom w:val="0"/>
          <w:divBdr>
            <w:top w:val="none" w:sz="0" w:space="0" w:color="auto"/>
            <w:left w:val="none" w:sz="0" w:space="0" w:color="auto"/>
            <w:bottom w:val="none" w:sz="0" w:space="0" w:color="auto"/>
            <w:right w:val="none" w:sz="0" w:space="0" w:color="auto"/>
          </w:divBdr>
          <w:divsChild>
            <w:div w:id="1283607430">
              <w:marLeft w:val="0"/>
              <w:marRight w:val="0"/>
              <w:marTop w:val="0"/>
              <w:marBottom w:val="0"/>
              <w:divBdr>
                <w:top w:val="none" w:sz="0" w:space="0" w:color="auto"/>
                <w:left w:val="none" w:sz="0" w:space="0" w:color="auto"/>
                <w:bottom w:val="none" w:sz="0" w:space="0" w:color="auto"/>
                <w:right w:val="none" w:sz="0" w:space="0" w:color="auto"/>
              </w:divBdr>
            </w:div>
            <w:div w:id="1477338963">
              <w:marLeft w:val="0"/>
              <w:marRight w:val="0"/>
              <w:marTop w:val="0"/>
              <w:marBottom w:val="0"/>
              <w:divBdr>
                <w:top w:val="none" w:sz="0" w:space="0" w:color="auto"/>
                <w:left w:val="none" w:sz="0" w:space="0" w:color="auto"/>
                <w:bottom w:val="none" w:sz="0" w:space="0" w:color="auto"/>
                <w:right w:val="none" w:sz="0" w:space="0" w:color="auto"/>
              </w:divBdr>
            </w:div>
            <w:div w:id="1929733984">
              <w:marLeft w:val="0"/>
              <w:marRight w:val="0"/>
              <w:marTop w:val="0"/>
              <w:marBottom w:val="0"/>
              <w:divBdr>
                <w:top w:val="none" w:sz="0" w:space="0" w:color="auto"/>
                <w:left w:val="none" w:sz="0" w:space="0" w:color="auto"/>
                <w:bottom w:val="none" w:sz="0" w:space="0" w:color="auto"/>
                <w:right w:val="none" w:sz="0" w:space="0" w:color="auto"/>
              </w:divBdr>
            </w:div>
          </w:divsChild>
        </w:div>
        <w:div w:id="202062707">
          <w:marLeft w:val="0"/>
          <w:marRight w:val="0"/>
          <w:marTop w:val="0"/>
          <w:marBottom w:val="0"/>
          <w:divBdr>
            <w:top w:val="none" w:sz="0" w:space="0" w:color="auto"/>
            <w:left w:val="none" w:sz="0" w:space="0" w:color="auto"/>
            <w:bottom w:val="none" w:sz="0" w:space="0" w:color="auto"/>
            <w:right w:val="none" w:sz="0" w:space="0" w:color="auto"/>
          </w:divBdr>
          <w:divsChild>
            <w:div w:id="876359876">
              <w:marLeft w:val="0"/>
              <w:marRight w:val="0"/>
              <w:marTop w:val="0"/>
              <w:marBottom w:val="0"/>
              <w:divBdr>
                <w:top w:val="none" w:sz="0" w:space="0" w:color="auto"/>
                <w:left w:val="none" w:sz="0" w:space="0" w:color="auto"/>
                <w:bottom w:val="none" w:sz="0" w:space="0" w:color="auto"/>
                <w:right w:val="none" w:sz="0" w:space="0" w:color="auto"/>
              </w:divBdr>
            </w:div>
            <w:div w:id="1110589517">
              <w:marLeft w:val="0"/>
              <w:marRight w:val="0"/>
              <w:marTop w:val="0"/>
              <w:marBottom w:val="0"/>
              <w:divBdr>
                <w:top w:val="none" w:sz="0" w:space="0" w:color="auto"/>
                <w:left w:val="none" w:sz="0" w:space="0" w:color="auto"/>
                <w:bottom w:val="none" w:sz="0" w:space="0" w:color="auto"/>
                <w:right w:val="none" w:sz="0" w:space="0" w:color="auto"/>
              </w:divBdr>
            </w:div>
            <w:div w:id="1468083349">
              <w:marLeft w:val="0"/>
              <w:marRight w:val="0"/>
              <w:marTop w:val="0"/>
              <w:marBottom w:val="0"/>
              <w:divBdr>
                <w:top w:val="none" w:sz="0" w:space="0" w:color="auto"/>
                <w:left w:val="none" w:sz="0" w:space="0" w:color="auto"/>
                <w:bottom w:val="none" w:sz="0" w:space="0" w:color="auto"/>
                <w:right w:val="none" w:sz="0" w:space="0" w:color="auto"/>
              </w:divBdr>
            </w:div>
            <w:div w:id="1557203480">
              <w:marLeft w:val="0"/>
              <w:marRight w:val="0"/>
              <w:marTop w:val="0"/>
              <w:marBottom w:val="0"/>
              <w:divBdr>
                <w:top w:val="none" w:sz="0" w:space="0" w:color="auto"/>
                <w:left w:val="none" w:sz="0" w:space="0" w:color="auto"/>
                <w:bottom w:val="none" w:sz="0" w:space="0" w:color="auto"/>
                <w:right w:val="none" w:sz="0" w:space="0" w:color="auto"/>
              </w:divBdr>
            </w:div>
            <w:div w:id="1958827431">
              <w:marLeft w:val="0"/>
              <w:marRight w:val="0"/>
              <w:marTop w:val="0"/>
              <w:marBottom w:val="0"/>
              <w:divBdr>
                <w:top w:val="none" w:sz="0" w:space="0" w:color="auto"/>
                <w:left w:val="none" w:sz="0" w:space="0" w:color="auto"/>
                <w:bottom w:val="none" w:sz="0" w:space="0" w:color="auto"/>
                <w:right w:val="none" w:sz="0" w:space="0" w:color="auto"/>
              </w:divBdr>
            </w:div>
          </w:divsChild>
        </w:div>
        <w:div w:id="340858842">
          <w:marLeft w:val="0"/>
          <w:marRight w:val="0"/>
          <w:marTop w:val="0"/>
          <w:marBottom w:val="0"/>
          <w:divBdr>
            <w:top w:val="none" w:sz="0" w:space="0" w:color="auto"/>
            <w:left w:val="none" w:sz="0" w:space="0" w:color="auto"/>
            <w:bottom w:val="none" w:sz="0" w:space="0" w:color="auto"/>
            <w:right w:val="none" w:sz="0" w:space="0" w:color="auto"/>
          </w:divBdr>
          <w:divsChild>
            <w:div w:id="147092606">
              <w:marLeft w:val="0"/>
              <w:marRight w:val="0"/>
              <w:marTop w:val="0"/>
              <w:marBottom w:val="0"/>
              <w:divBdr>
                <w:top w:val="none" w:sz="0" w:space="0" w:color="auto"/>
                <w:left w:val="none" w:sz="0" w:space="0" w:color="auto"/>
                <w:bottom w:val="none" w:sz="0" w:space="0" w:color="auto"/>
                <w:right w:val="none" w:sz="0" w:space="0" w:color="auto"/>
              </w:divBdr>
            </w:div>
            <w:div w:id="958797820">
              <w:marLeft w:val="0"/>
              <w:marRight w:val="0"/>
              <w:marTop w:val="0"/>
              <w:marBottom w:val="0"/>
              <w:divBdr>
                <w:top w:val="none" w:sz="0" w:space="0" w:color="auto"/>
                <w:left w:val="none" w:sz="0" w:space="0" w:color="auto"/>
                <w:bottom w:val="none" w:sz="0" w:space="0" w:color="auto"/>
                <w:right w:val="none" w:sz="0" w:space="0" w:color="auto"/>
              </w:divBdr>
            </w:div>
            <w:div w:id="1009717783">
              <w:marLeft w:val="0"/>
              <w:marRight w:val="0"/>
              <w:marTop w:val="0"/>
              <w:marBottom w:val="0"/>
              <w:divBdr>
                <w:top w:val="none" w:sz="0" w:space="0" w:color="auto"/>
                <w:left w:val="none" w:sz="0" w:space="0" w:color="auto"/>
                <w:bottom w:val="none" w:sz="0" w:space="0" w:color="auto"/>
                <w:right w:val="none" w:sz="0" w:space="0" w:color="auto"/>
              </w:divBdr>
            </w:div>
            <w:div w:id="1048261473">
              <w:marLeft w:val="0"/>
              <w:marRight w:val="0"/>
              <w:marTop w:val="0"/>
              <w:marBottom w:val="0"/>
              <w:divBdr>
                <w:top w:val="none" w:sz="0" w:space="0" w:color="auto"/>
                <w:left w:val="none" w:sz="0" w:space="0" w:color="auto"/>
                <w:bottom w:val="none" w:sz="0" w:space="0" w:color="auto"/>
                <w:right w:val="none" w:sz="0" w:space="0" w:color="auto"/>
              </w:divBdr>
            </w:div>
            <w:div w:id="1689452682">
              <w:marLeft w:val="0"/>
              <w:marRight w:val="0"/>
              <w:marTop w:val="0"/>
              <w:marBottom w:val="0"/>
              <w:divBdr>
                <w:top w:val="none" w:sz="0" w:space="0" w:color="auto"/>
                <w:left w:val="none" w:sz="0" w:space="0" w:color="auto"/>
                <w:bottom w:val="none" w:sz="0" w:space="0" w:color="auto"/>
                <w:right w:val="none" w:sz="0" w:space="0" w:color="auto"/>
              </w:divBdr>
            </w:div>
          </w:divsChild>
        </w:div>
        <w:div w:id="509293181">
          <w:marLeft w:val="0"/>
          <w:marRight w:val="0"/>
          <w:marTop w:val="0"/>
          <w:marBottom w:val="0"/>
          <w:divBdr>
            <w:top w:val="none" w:sz="0" w:space="0" w:color="auto"/>
            <w:left w:val="none" w:sz="0" w:space="0" w:color="auto"/>
            <w:bottom w:val="none" w:sz="0" w:space="0" w:color="auto"/>
            <w:right w:val="none" w:sz="0" w:space="0" w:color="auto"/>
          </w:divBdr>
          <w:divsChild>
            <w:div w:id="216282011">
              <w:marLeft w:val="0"/>
              <w:marRight w:val="0"/>
              <w:marTop w:val="0"/>
              <w:marBottom w:val="0"/>
              <w:divBdr>
                <w:top w:val="none" w:sz="0" w:space="0" w:color="auto"/>
                <w:left w:val="none" w:sz="0" w:space="0" w:color="auto"/>
                <w:bottom w:val="none" w:sz="0" w:space="0" w:color="auto"/>
                <w:right w:val="none" w:sz="0" w:space="0" w:color="auto"/>
              </w:divBdr>
            </w:div>
            <w:div w:id="450905227">
              <w:marLeft w:val="0"/>
              <w:marRight w:val="0"/>
              <w:marTop w:val="0"/>
              <w:marBottom w:val="0"/>
              <w:divBdr>
                <w:top w:val="none" w:sz="0" w:space="0" w:color="auto"/>
                <w:left w:val="none" w:sz="0" w:space="0" w:color="auto"/>
                <w:bottom w:val="none" w:sz="0" w:space="0" w:color="auto"/>
                <w:right w:val="none" w:sz="0" w:space="0" w:color="auto"/>
              </w:divBdr>
            </w:div>
            <w:div w:id="603001944">
              <w:marLeft w:val="0"/>
              <w:marRight w:val="0"/>
              <w:marTop w:val="0"/>
              <w:marBottom w:val="0"/>
              <w:divBdr>
                <w:top w:val="none" w:sz="0" w:space="0" w:color="auto"/>
                <w:left w:val="none" w:sz="0" w:space="0" w:color="auto"/>
                <w:bottom w:val="none" w:sz="0" w:space="0" w:color="auto"/>
                <w:right w:val="none" w:sz="0" w:space="0" w:color="auto"/>
              </w:divBdr>
            </w:div>
            <w:div w:id="1517307386">
              <w:marLeft w:val="0"/>
              <w:marRight w:val="0"/>
              <w:marTop w:val="0"/>
              <w:marBottom w:val="0"/>
              <w:divBdr>
                <w:top w:val="none" w:sz="0" w:space="0" w:color="auto"/>
                <w:left w:val="none" w:sz="0" w:space="0" w:color="auto"/>
                <w:bottom w:val="none" w:sz="0" w:space="0" w:color="auto"/>
                <w:right w:val="none" w:sz="0" w:space="0" w:color="auto"/>
              </w:divBdr>
            </w:div>
            <w:div w:id="1981693216">
              <w:marLeft w:val="0"/>
              <w:marRight w:val="0"/>
              <w:marTop w:val="0"/>
              <w:marBottom w:val="0"/>
              <w:divBdr>
                <w:top w:val="none" w:sz="0" w:space="0" w:color="auto"/>
                <w:left w:val="none" w:sz="0" w:space="0" w:color="auto"/>
                <w:bottom w:val="none" w:sz="0" w:space="0" w:color="auto"/>
                <w:right w:val="none" w:sz="0" w:space="0" w:color="auto"/>
              </w:divBdr>
            </w:div>
          </w:divsChild>
        </w:div>
        <w:div w:id="509834482">
          <w:marLeft w:val="0"/>
          <w:marRight w:val="0"/>
          <w:marTop w:val="0"/>
          <w:marBottom w:val="0"/>
          <w:divBdr>
            <w:top w:val="none" w:sz="0" w:space="0" w:color="auto"/>
            <w:left w:val="none" w:sz="0" w:space="0" w:color="auto"/>
            <w:bottom w:val="none" w:sz="0" w:space="0" w:color="auto"/>
            <w:right w:val="none" w:sz="0" w:space="0" w:color="auto"/>
          </w:divBdr>
          <w:divsChild>
            <w:div w:id="191308893">
              <w:marLeft w:val="0"/>
              <w:marRight w:val="0"/>
              <w:marTop w:val="0"/>
              <w:marBottom w:val="0"/>
              <w:divBdr>
                <w:top w:val="none" w:sz="0" w:space="0" w:color="auto"/>
                <w:left w:val="none" w:sz="0" w:space="0" w:color="auto"/>
                <w:bottom w:val="none" w:sz="0" w:space="0" w:color="auto"/>
                <w:right w:val="none" w:sz="0" w:space="0" w:color="auto"/>
              </w:divBdr>
            </w:div>
          </w:divsChild>
        </w:div>
        <w:div w:id="549270762">
          <w:marLeft w:val="0"/>
          <w:marRight w:val="0"/>
          <w:marTop w:val="0"/>
          <w:marBottom w:val="0"/>
          <w:divBdr>
            <w:top w:val="none" w:sz="0" w:space="0" w:color="auto"/>
            <w:left w:val="none" w:sz="0" w:space="0" w:color="auto"/>
            <w:bottom w:val="none" w:sz="0" w:space="0" w:color="auto"/>
            <w:right w:val="none" w:sz="0" w:space="0" w:color="auto"/>
          </w:divBdr>
          <w:divsChild>
            <w:div w:id="498926048">
              <w:marLeft w:val="0"/>
              <w:marRight w:val="0"/>
              <w:marTop w:val="0"/>
              <w:marBottom w:val="0"/>
              <w:divBdr>
                <w:top w:val="none" w:sz="0" w:space="0" w:color="auto"/>
                <w:left w:val="none" w:sz="0" w:space="0" w:color="auto"/>
                <w:bottom w:val="none" w:sz="0" w:space="0" w:color="auto"/>
                <w:right w:val="none" w:sz="0" w:space="0" w:color="auto"/>
              </w:divBdr>
            </w:div>
            <w:div w:id="562329400">
              <w:marLeft w:val="0"/>
              <w:marRight w:val="0"/>
              <w:marTop w:val="0"/>
              <w:marBottom w:val="0"/>
              <w:divBdr>
                <w:top w:val="none" w:sz="0" w:space="0" w:color="auto"/>
                <w:left w:val="none" w:sz="0" w:space="0" w:color="auto"/>
                <w:bottom w:val="none" w:sz="0" w:space="0" w:color="auto"/>
                <w:right w:val="none" w:sz="0" w:space="0" w:color="auto"/>
              </w:divBdr>
            </w:div>
            <w:div w:id="716198979">
              <w:marLeft w:val="0"/>
              <w:marRight w:val="0"/>
              <w:marTop w:val="0"/>
              <w:marBottom w:val="0"/>
              <w:divBdr>
                <w:top w:val="none" w:sz="0" w:space="0" w:color="auto"/>
                <w:left w:val="none" w:sz="0" w:space="0" w:color="auto"/>
                <w:bottom w:val="none" w:sz="0" w:space="0" w:color="auto"/>
                <w:right w:val="none" w:sz="0" w:space="0" w:color="auto"/>
              </w:divBdr>
            </w:div>
            <w:div w:id="2062752901">
              <w:marLeft w:val="0"/>
              <w:marRight w:val="0"/>
              <w:marTop w:val="0"/>
              <w:marBottom w:val="0"/>
              <w:divBdr>
                <w:top w:val="none" w:sz="0" w:space="0" w:color="auto"/>
                <w:left w:val="none" w:sz="0" w:space="0" w:color="auto"/>
                <w:bottom w:val="none" w:sz="0" w:space="0" w:color="auto"/>
                <w:right w:val="none" w:sz="0" w:space="0" w:color="auto"/>
              </w:divBdr>
            </w:div>
            <w:div w:id="2084335394">
              <w:marLeft w:val="0"/>
              <w:marRight w:val="0"/>
              <w:marTop w:val="0"/>
              <w:marBottom w:val="0"/>
              <w:divBdr>
                <w:top w:val="none" w:sz="0" w:space="0" w:color="auto"/>
                <w:left w:val="none" w:sz="0" w:space="0" w:color="auto"/>
                <w:bottom w:val="none" w:sz="0" w:space="0" w:color="auto"/>
                <w:right w:val="none" w:sz="0" w:space="0" w:color="auto"/>
              </w:divBdr>
            </w:div>
          </w:divsChild>
        </w:div>
        <w:div w:id="651833995">
          <w:marLeft w:val="0"/>
          <w:marRight w:val="0"/>
          <w:marTop w:val="0"/>
          <w:marBottom w:val="0"/>
          <w:divBdr>
            <w:top w:val="none" w:sz="0" w:space="0" w:color="auto"/>
            <w:left w:val="none" w:sz="0" w:space="0" w:color="auto"/>
            <w:bottom w:val="none" w:sz="0" w:space="0" w:color="auto"/>
            <w:right w:val="none" w:sz="0" w:space="0" w:color="auto"/>
          </w:divBdr>
          <w:divsChild>
            <w:div w:id="184755842">
              <w:marLeft w:val="0"/>
              <w:marRight w:val="0"/>
              <w:marTop w:val="0"/>
              <w:marBottom w:val="0"/>
              <w:divBdr>
                <w:top w:val="none" w:sz="0" w:space="0" w:color="auto"/>
                <w:left w:val="none" w:sz="0" w:space="0" w:color="auto"/>
                <w:bottom w:val="none" w:sz="0" w:space="0" w:color="auto"/>
                <w:right w:val="none" w:sz="0" w:space="0" w:color="auto"/>
              </w:divBdr>
            </w:div>
            <w:div w:id="274755075">
              <w:marLeft w:val="0"/>
              <w:marRight w:val="0"/>
              <w:marTop w:val="0"/>
              <w:marBottom w:val="0"/>
              <w:divBdr>
                <w:top w:val="none" w:sz="0" w:space="0" w:color="auto"/>
                <w:left w:val="none" w:sz="0" w:space="0" w:color="auto"/>
                <w:bottom w:val="none" w:sz="0" w:space="0" w:color="auto"/>
                <w:right w:val="none" w:sz="0" w:space="0" w:color="auto"/>
              </w:divBdr>
            </w:div>
            <w:div w:id="1103384128">
              <w:marLeft w:val="0"/>
              <w:marRight w:val="0"/>
              <w:marTop w:val="0"/>
              <w:marBottom w:val="0"/>
              <w:divBdr>
                <w:top w:val="none" w:sz="0" w:space="0" w:color="auto"/>
                <w:left w:val="none" w:sz="0" w:space="0" w:color="auto"/>
                <w:bottom w:val="none" w:sz="0" w:space="0" w:color="auto"/>
                <w:right w:val="none" w:sz="0" w:space="0" w:color="auto"/>
              </w:divBdr>
            </w:div>
            <w:div w:id="1279147572">
              <w:marLeft w:val="0"/>
              <w:marRight w:val="0"/>
              <w:marTop w:val="0"/>
              <w:marBottom w:val="0"/>
              <w:divBdr>
                <w:top w:val="none" w:sz="0" w:space="0" w:color="auto"/>
                <w:left w:val="none" w:sz="0" w:space="0" w:color="auto"/>
                <w:bottom w:val="none" w:sz="0" w:space="0" w:color="auto"/>
                <w:right w:val="none" w:sz="0" w:space="0" w:color="auto"/>
              </w:divBdr>
            </w:div>
            <w:div w:id="1799255172">
              <w:marLeft w:val="0"/>
              <w:marRight w:val="0"/>
              <w:marTop w:val="0"/>
              <w:marBottom w:val="0"/>
              <w:divBdr>
                <w:top w:val="none" w:sz="0" w:space="0" w:color="auto"/>
                <w:left w:val="none" w:sz="0" w:space="0" w:color="auto"/>
                <w:bottom w:val="none" w:sz="0" w:space="0" w:color="auto"/>
                <w:right w:val="none" w:sz="0" w:space="0" w:color="auto"/>
              </w:divBdr>
            </w:div>
          </w:divsChild>
        </w:div>
        <w:div w:id="663045332">
          <w:marLeft w:val="0"/>
          <w:marRight w:val="0"/>
          <w:marTop w:val="0"/>
          <w:marBottom w:val="0"/>
          <w:divBdr>
            <w:top w:val="none" w:sz="0" w:space="0" w:color="auto"/>
            <w:left w:val="none" w:sz="0" w:space="0" w:color="auto"/>
            <w:bottom w:val="none" w:sz="0" w:space="0" w:color="auto"/>
            <w:right w:val="none" w:sz="0" w:space="0" w:color="auto"/>
          </w:divBdr>
        </w:div>
        <w:div w:id="675498795">
          <w:marLeft w:val="0"/>
          <w:marRight w:val="0"/>
          <w:marTop w:val="0"/>
          <w:marBottom w:val="0"/>
          <w:divBdr>
            <w:top w:val="none" w:sz="0" w:space="0" w:color="auto"/>
            <w:left w:val="none" w:sz="0" w:space="0" w:color="auto"/>
            <w:bottom w:val="none" w:sz="0" w:space="0" w:color="auto"/>
            <w:right w:val="none" w:sz="0" w:space="0" w:color="auto"/>
          </w:divBdr>
          <w:divsChild>
            <w:div w:id="245463246">
              <w:marLeft w:val="0"/>
              <w:marRight w:val="0"/>
              <w:marTop w:val="0"/>
              <w:marBottom w:val="0"/>
              <w:divBdr>
                <w:top w:val="none" w:sz="0" w:space="0" w:color="auto"/>
                <w:left w:val="none" w:sz="0" w:space="0" w:color="auto"/>
                <w:bottom w:val="none" w:sz="0" w:space="0" w:color="auto"/>
                <w:right w:val="none" w:sz="0" w:space="0" w:color="auto"/>
              </w:divBdr>
            </w:div>
            <w:div w:id="576213802">
              <w:marLeft w:val="0"/>
              <w:marRight w:val="0"/>
              <w:marTop w:val="0"/>
              <w:marBottom w:val="0"/>
              <w:divBdr>
                <w:top w:val="none" w:sz="0" w:space="0" w:color="auto"/>
                <w:left w:val="none" w:sz="0" w:space="0" w:color="auto"/>
                <w:bottom w:val="none" w:sz="0" w:space="0" w:color="auto"/>
                <w:right w:val="none" w:sz="0" w:space="0" w:color="auto"/>
              </w:divBdr>
            </w:div>
            <w:div w:id="704983348">
              <w:marLeft w:val="0"/>
              <w:marRight w:val="0"/>
              <w:marTop w:val="0"/>
              <w:marBottom w:val="0"/>
              <w:divBdr>
                <w:top w:val="none" w:sz="0" w:space="0" w:color="auto"/>
                <w:left w:val="none" w:sz="0" w:space="0" w:color="auto"/>
                <w:bottom w:val="none" w:sz="0" w:space="0" w:color="auto"/>
                <w:right w:val="none" w:sz="0" w:space="0" w:color="auto"/>
              </w:divBdr>
            </w:div>
            <w:div w:id="1432697927">
              <w:marLeft w:val="0"/>
              <w:marRight w:val="0"/>
              <w:marTop w:val="0"/>
              <w:marBottom w:val="0"/>
              <w:divBdr>
                <w:top w:val="none" w:sz="0" w:space="0" w:color="auto"/>
                <w:left w:val="none" w:sz="0" w:space="0" w:color="auto"/>
                <w:bottom w:val="none" w:sz="0" w:space="0" w:color="auto"/>
                <w:right w:val="none" w:sz="0" w:space="0" w:color="auto"/>
              </w:divBdr>
            </w:div>
          </w:divsChild>
        </w:div>
        <w:div w:id="804349296">
          <w:marLeft w:val="0"/>
          <w:marRight w:val="0"/>
          <w:marTop w:val="0"/>
          <w:marBottom w:val="0"/>
          <w:divBdr>
            <w:top w:val="none" w:sz="0" w:space="0" w:color="auto"/>
            <w:left w:val="none" w:sz="0" w:space="0" w:color="auto"/>
            <w:bottom w:val="none" w:sz="0" w:space="0" w:color="auto"/>
            <w:right w:val="none" w:sz="0" w:space="0" w:color="auto"/>
          </w:divBdr>
          <w:divsChild>
            <w:div w:id="807472250">
              <w:marLeft w:val="0"/>
              <w:marRight w:val="0"/>
              <w:marTop w:val="0"/>
              <w:marBottom w:val="0"/>
              <w:divBdr>
                <w:top w:val="none" w:sz="0" w:space="0" w:color="auto"/>
                <w:left w:val="none" w:sz="0" w:space="0" w:color="auto"/>
                <w:bottom w:val="none" w:sz="0" w:space="0" w:color="auto"/>
                <w:right w:val="none" w:sz="0" w:space="0" w:color="auto"/>
              </w:divBdr>
            </w:div>
            <w:div w:id="858012452">
              <w:marLeft w:val="0"/>
              <w:marRight w:val="0"/>
              <w:marTop w:val="0"/>
              <w:marBottom w:val="0"/>
              <w:divBdr>
                <w:top w:val="none" w:sz="0" w:space="0" w:color="auto"/>
                <w:left w:val="none" w:sz="0" w:space="0" w:color="auto"/>
                <w:bottom w:val="none" w:sz="0" w:space="0" w:color="auto"/>
                <w:right w:val="none" w:sz="0" w:space="0" w:color="auto"/>
              </w:divBdr>
            </w:div>
            <w:div w:id="1434282229">
              <w:marLeft w:val="0"/>
              <w:marRight w:val="0"/>
              <w:marTop w:val="0"/>
              <w:marBottom w:val="0"/>
              <w:divBdr>
                <w:top w:val="none" w:sz="0" w:space="0" w:color="auto"/>
                <w:left w:val="none" w:sz="0" w:space="0" w:color="auto"/>
                <w:bottom w:val="none" w:sz="0" w:space="0" w:color="auto"/>
                <w:right w:val="none" w:sz="0" w:space="0" w:color="auto"/>
              </w:divBdr>
            </w:div>
            <w:div w:id="1505126582">
              <w:marLeft w:val="0"/>
              <w:marRight w:val="0"/>
              <w:marTop w:val="0"/>
              <w:marBottom w:val="0"/>
              <w:divBdr>
                <w:top w:val="none" w:sz="0" w:space="0" w:color="auto"/>
                <w:left w:val="none" w:sz="0" w:space="0" w:color="auto"/>
                <w:bottom w:val="none" w:sz="0" w:space="0" w:color="auto"/>
                <w:right w:val="none" w:sz="0" w:space="0" w:color="auto"/>
              </w:divBdr>
            </w:div>
            <w:div w:id="1755778097">
              <w:marLeft w:val="0"/>
              <w:marRight w:val="0"/>
              <w:marTop w:val="0"/>
              <w:marBottom w:val="0"/>
              <w:divBdr>
                <w:top w:val="none" w:sz="0" w:space="0" w:color="auto"/>
                <w:left w:val="none" w:sz="0" w:space="0" w:color="auto"/>
                <w:bottom w:val="none" w:sz="0" w:space="0" w:color="auto"/>
                <w:right w:val="none" w:sz="0" w:space="0" w:color="auto"/>
              </w:divBdr>
            </w:div>
          </w:divsChild>
        </w:div>
        <w:div w:id="824780666">
          <w:marLeft w:val="0"/>
          <w:marRight w:val="0"/>
          <w:marTop w:val="0"/>
          <w:marBottom w:val="0"/>
          <w:divBdr>
            <w:top w:val="none" w:sz="0" w:space="0" w:color="auto"/>
            <w:left w:val="none" w:sz="0" w:space="0" w:color="auto"/>
            <w:bottom w:val="none" w:sz="0" w:space="0" w:color="auto"/>
            <w:right w:val="none" w:sz="0" w:space="0" w:color="auto"/>
          </w:divBdr>
          <w:divsChild>
            <w:div w:id="49614084">
              <w:marLeft w:val="0"/>
              <w:marRight w:val="0"/>
              <w:marTop w:val="0"/>
              <w:marBottom w:val="0"/>
              <w:divBdr>
                <w:top w:val="none" w:sz="0" w:space="0" w:color="auto"/>
                <w:left w:val="none" w:sz="0" w:space="0" w:color="auto"/>
                <w:bottom w:val="none" w:sz="0" w:space="0" w:color="auto"/>
                <w:right w:val="none" w:sz="0" w:space="0" w:color="auto"/>
              </w:divBdr>
            </w:div>
            <w:div w:id="1661345328">
              <w:marLeft w:val="0"/>
              <w:marRight w:val="0"/>
              <w:marTop w:val="0"/>
              <w:marBottom w:val="0"/>
              <w:divBdr>
                <w:top w:val="none" w:sz="0" w:space="0" w:color="auto"/>
                <w:left w:val="none" w:sz="0" w:space="0" w:color="auto"/>
                <w:bottom w:val="none" w:sz="0" w:space="0" w:color="auto"/>
                <w:right w:val="none" w:sz="0" w:space="0" w:color="auto"/>
              </w:divBdr>
            </w:div>
          </w:divsChild>
        </w:div>
        <w:div w:id="988365529">
          <w:marLeft w:val="0"/>
          <w:marRight w:val="0"/>
          <w:marTop w:val="0"/>
          <w:marBottom w:val="0"/>
          <w:divBdr>
            <w:top w:val="none" w:sz="0" w:space="0" w:color="auto"/>
            <w:left w:val="none" w:sz="0" w:space="0" w:color="auto"/>
            <w:bottom w:val="none" w:sz="0" w:space="0" w:color="auto"/>
            <w:right w:val="none" w:sz="0" w:space="0" w:color="auto"/>
          </w:divBdr>
          <w:divsChild>
            <w:div w:id="585695364">
              <w:marLeft w:val="0"/>
              <w:marRight w:val="0"/>
              <w:marTop w:val="0"/>
              <w:marBottom w:val="0"/>
              <w:divBdr>
                <w:top w:val="none" w:sz="0" w:space="0" w:color="auto"/>
                <w:left w:val="none" w:sz="0" w:space="0" w:color="auto"/>
                <w:bottom w:val="none" w:sz="0" w:space="0" w:color="auto"/>
                <w:right w:val="none" w:sz="0" w:space="0" w:color="auto"/>
              </w:divBdr>
            </w:div>
            <w:div w:id="1639022569">
              <w:marLeft w:val="0"/>
              <w:marRight w:val="0"/>
              <w:marTop w:val="0"/>
              <w:marBottom w:val="0"/>
              <w:divBdr>
                <w:top w:val="none" w:sz="0" w:space="0" w:color="auto"/>
                <w:left w:val="none" w:sz="0" w:space="0" w:color="auto"/>
                <w:bottom w:val="none" w:sz="0" w:space="0" w:color="auto"/>
                <w:right w:val="none" w:sz="0" w:space="0" w:color="auto"/>
              </w:divBdr>
            </w:div>
          </w:divsChild>
        </w:div>
        <w:div w:id="1064792598">
          <w:marLeft w:val="0"/>
          <w:marRight w:val="0"/>
          <w:marTop w:val="0"/>
          <w:marBottom w:val="0"/>
          <w:divBdr>
            <w:top w:val="none" w:sz="0" w:space="0" w:color="auto"/>
            <w:left w:val="none" w:sz="0" w:space="0" w:color="auto"/>
            <w:bottom w:val="none" w:sz="0" w:space="0" w:color="auto"/>
            <w:right w:val="none" w:sz="0" w:space="0" w:color="auto"/>
          </w:divBdr>
          <w:divsChild>
            <w:div w:id="309019054">
              <w:marLeft w:val="0"/>
              <w:marRight w:val="0"/>
              <w:marTop w:val="0"/>
              <w:marBottom w:val="0"/>
              <w:divBdr>
                <w:top w:val="none" w:sz="0" w:space="0" w:color="auto"/>
                <w:left w:val="none" w:sz="0" w:space="0" w:color="auto"/>
                <w:bottom w:val="none" w:sz="0" w:space="0" w:color="auto"/>
                <w:right w:val="none" w:sz="0" w:space="0" w:color="auto"/>
              </w:divBdr>
            </w:div>
            <w:div w:id="1524319008">
              <w:marLeft w:val="0"/>
              <w:marRight w:val="0"/>
              <w:marTop w:val="0"/>
              <w:marBottom w:val="0"/>
              <w:divBdr>
                <w:top w:val="none" w:sz="0" w:space="0" w:color="auto"/>
                <w:left w:val="none" w:sz="0" w:space="0" w:color="auto"/>
                <w:bottom w:val="none" w:sz="0" w:space="0" w:color="auto"/>
                <w:right w:val="none" w:sz="0" w:space="0" w:color="auto"/>
              </w:divBdr>
            </w:div>
          </w:divsChild>
        </w:div>
        <w:div w:id="1095663465">
          <w:marLeft w:val="0"/>
          <w:marRight w:val="0"/>
          <w:marTop w:val="0"/>
          <w:marBottom w:val="0"/>
          <w:divBdr>
            <w:top w:val="none" w:sz="0" w:space="0" w:color="auto"/>
            <w:left w:val="none" w:sz="0" w:space="0" w:color="auto"/>
            <w:bottom w:val="none" w:sz="0" w:space="0" w:color="auto"/>
            <w:right w:val="none" w:sz="0" w:space="0" w:color="auto"/>
          </w:divBdr>
          <w:divsChild>
            <w:div w:id="952632288">
              <w:marLeft w:val="0"/>
              <w:marRight w:val="0"/>
              <w:marTop w:val="0"/>
              <w:marBottom w:val="0"/>
              <w:divBdr>
                <w:top w:val="none" w:sz="0" w:space="0" w:color="auto"/>
                <w:left w:val="none" w:sz="0" w:space="0" w:color="auto"/>
                <w:bottom w:val="none" w:sz="0" w:space="0" w:color="auto"/>
                <w:right w:val="none" w:sz="0" w:space="0" w:color="auto"/>
              </w:divBdr>
            </w:div>
            <w:div w:id="1762867603">
              <w:marLeft w:val="0"/>
              <w:marRight w:val="0"/>
              <w:marTop w:val="0"/>
              <w:marBottom w:val="0"/>
              <w:divBdr>
                <w:top w:val="none" w:sz="0" w:space="0" w:color="auto"/>
                <w:left w:val="none" w:sz="0" w:space="0" w:color="auto"/>
                <w:bottom w:val="none" w:sz="0" w:space="0" w:color="auto"/>
                <w:right w:val="none" w:sz="0" w:space="0" w:color="auto"/>
              </w:divBdr>
            </w:div>
          </w:divsChild>
        </w:div>
        <w:div w:id="1252465454">
          <w:marLeft w:val="0"/>
          <w:marRight w:val="0"/>
          <w:marTop w:val="0"/>
          <w:marBottom w:val="0"/>
          <w:divBdr>
            <w:top w:val="none" w:sz="0" w:space="0" w:color="auto"/>
            <w:left w:val="none" w:sz="0" w:space="0" w:color="auto"/>
            <w:bottom w:val="none" w:sz="0" w:space="0" w:color="auto"/>
            <w:right w:val="none" w:sz="0" w:space="0" w:color="auto"/>
          </w:divBdr>
          <w:divsChild>
            <w:div w:id="125397028">
              <w:marLeft w:val="0"/>
              <w:marRight w:val="0"/>
              <w:marTop w:val="0"/>
              <w:marBottom w:val="0"/>
              <w:divBdr>
                <w:top w:val="none" w:sz="0" w:space="0" w:color="auto"/>
                <w:left w:val="none" w:sz="0" w:space="0" w:color="auto"/>
                <w:bottom w:val="none" w:sz="0" w:space="0" w:color="auto"/>
                <w:right w:val="none" w:sz="0" w:space="0" w:color="auto"/>
              </w:divBdr>
            </w:div>
            <w:div w:id="807362692">
              <w:marLeft w:val="0"/>
              <w:marRight w:val="0"/>
              <w:marTop w:val="0"/>
              <w:marBottom w:val="0"/>
              <w:divBdr>
                <w:top w:val="none" w:sz="0" w:space="0" w:color="auto"/>
                <w:left w:val="none" w:sz="0" w:space="0" w:color="auto"/>
                <w:bottom w:val="none" w:sz="0" w:space="0" w:color="auto"/>
                <w:right w:val="none" w:sz="0" w:space="0" w:color="auto"/>
              </w:divBdr>
            </w:div>
            <w:div w:id="1547520443">
              <w:marLeft w:val="0"/>
              <w:marRight w:val="0"/>
              <w:marTop w:val="0"/>
              <w:marBottom w:val="0"/>
              <w:divBdr>
                <w:top w:val="none" w:sz="0" w:space="0" w:color="auto"/>
                <w:left w:val="none" w:sz="0" w:space="0" w:color="auto"/>
                <w:bottom w:val="none" w:sz="0" w:space="0" w:color="auto"/>
                <w:right w:val="none" w:sz="0" w:space="0" w:color="auto"/>
              </w:divBdr>
            </w:div>
            <w:div w:id="1869678619">
              <w:marLeft w:val="0"/>
              <w:marRight w:val="0"/>
              <w:marTop w:val="0"/>
              <w:marBottom w:val="0"/>
              <w:divBdr>
                <w:top w:val="none" w:sz="0" w:space="0" w:color="auto"/>
                <w:left w:val="none" w:sz="0" w:space="0" w:color="auto"/>
                <w:bottom w:val="none" w:sz="0" w:space="0" w:color="auto"/>
                <w:right w:val="none" w:sz="0" w:space="0" w:color="auto"/>
              </w:divBdr>
            </w:div>
            <w:div w:id="2097243348">
              <w:marLeft w:val="0"/>
              <w:marRight w:val="0"/>
              <w:marTop w:val="0"/>
              <w:marBottom w:val="0"/>
              <w:divBdr>
                <w:top w:val="none" w:sz="0" w:space="0" w:color="auto"/>
                <w:left w:val="none" w:sz="0" w:space="0" w:color="auto"/>
                <w:bottom w:val="none" w:sz="0" w:space="0" w:color="auto"/>
                <w:right w:val="none" w:sz="0" w:space="0" w:color="auto"/>
              </w:divBdr>
            </w:div>
          </w:divsChild>
        </w:div>
        <w:div w:id="1355107854">
          <w:marLeft w:val="0"/>
          <w:marRight w:val="0"/>
          <w:marTop w:val="0"/>
          <w:marBottom w:val="0"/>
          <w:divBdr>
            <w:top w:val="none" w:sz="0" w:space="0" w:color="auto"/>
            <w:left w:val="none" w:sz="0" w:space="0" w:color="auto"/>
            <w:bottom w:val="none" w:sz="0" w:space="0" w:color="auto"/>
            <w:right w:val="none" w:sz="0" w:space="0" w:color="auto"/>
          </w:divBdr>
          <w:divsChild>
            <w:div w:id="69736115">
              <w:marLeft w:val="0"/>
              <w:marRight w:val="0"/>
              <w:marTop w:val="0"/>
              <w:marBottom w:val="0"/>
              <w:divBdr>
                <w:top w:val="none" w:sz="0" w:space="0" w:color="auto"/>
                <w:left w:val="none" w:sz="0" w:space="0" w:color="auto"/>
                <w:bottom w:val="none" w:sz="0" w:space="0" w:color="auto"/>
                <w:right w:val="none" w:sz="0" w:space="0" w:color="auto"/>
              </w:divBdr>
            </w:div>
            <w:div w:id="200440652">
              <w:marLeft w:val="0"/>
              <w:marRight w:val="0"/>
              <w:marTop w:val="0"/>
              <w:marBottom w:val="0"/>
              <w:divBdr>
                <w:top w:val="none" w:sz="0" w:space="0" w:color="auto"/>
                <w:left w:val="none" w:sz="0" w:space="0" w:color="auto"/>
                <w:bottom w:val="none" w:sz="0" w:space="0" w:color="auto"/>
                <w:right w:val="none" w:sz="0" w:space="0" w:color="auto"/>
              </w:divBdr>
            </w:div>
            <w:div w:id="331952051">
              <w:marLeft w:val="0"/>
              <w:marRight w:val="0"/>
              <w:marTop w:val="0"/>
              <w:marBottom w:val="0"/>
              <w:divBdr>
                <w:top w:val="none" w:sz="0" w:space="0" w:color="auto"/>
                <w:left w:val="none" w:sz="0" w:space="0" w:color="auto"/>
                <w:bottom w:val="none" w:sz="0" w:space="0" w:color="auto"/>
                <w:right w:val="none" w:sz="0" w:space="0" w:color="auto"/>
              </w:divBdr>
            </w:div>
            <w:div w:id="353575839">
              <w:marLeft w:val="0"/>
              <w:marRight w:val="0"/>
              <w:marTop w:val="0"/>
              <w:marBottom w:val="0"/>
              <w:divBdr>
                <w:top w:val="none" w:sz="0" w:space="0" w:color="auto"/>
                <w:left w:val="none" w:sz="0" w:space="0" w:color="auto"/>
                <w:bottom w:val="none" w:sz="0" w:space="0" w:color="auto"/>
                <w:right w:val="none" w:sz="0" w:space="0" w:color="auto"/>
              </w:divBdr>
            </w:div>
            <w:div w:id="616107985">
              <w:marLeft w:val="0"/>
              <w:marRight w:val="0"/>
              <w:marTop w:val="0"/>
              <w:marBottom w:val="0"/>
              <w:divBdr>
                <w:top w:val="none" w:sz="0" w:space="0" w:color="auto"/>
                <w:left w:val="none" w:sz="0" w:space="0" w:color="auto"/>
                <w:bottom w:val="none" w:sz="0" w:space="0" w:color="auto"/>
                <w:right w:val="none" w:sz="0" w:space="0" w:color="auto"/>
              </w:divBdr>
            </w:div>
          </w:divsChild>
        </w:div>
        <w:div w:id="1616792505">
          <w:marLeft w:val="0"/>
          <w:marRight w:val="0"/>
          <w:marTop w:val="0"/>
          <w:marBottom w:val="0"/>
          <w:divBdr>
            <w:top w:val="none" w:sz="0" w:space="0" w:color="auto"/>
            <w:left w:val="none" w:sz="0" w:space="0" w:color="auto"/>
            <w:bottom w:val="none" w:sz="0" w:space="0" w:color="auto"/>
            <w:right w:val="none" w:sz="0" w:space="0" w:color="auto"/>
          </w:divBdr>
          <w:divsChild>
            <w:div w:id="604001979">
              <w:marLeft w:val="0"/>
              <w:marRight w:val="0"/>
              <w:marTop w:val="0"/>
              <w:marBottom w:val="0"/>
              <w:divBdr>
                <w:top w:val="none" w:sz="0" w:space="0" w:color="auto"/>
                <w:left w:val="none" w:sz="0" w:space="0" w:color="auto"/>
                <w:bottom w:val="none" w:sz="0" w:space="0" w:color="auto"/>
                <w:right w:val="none" w:sz="0" w:space="0" w:color="auto"/>
              </w:divBdr>
            </w:div>
            <w:div w:id="717702975">
              <w:marLeft w:val="0"/>
              <w:marRight w:val="0"/>
              <w:marTop w:val="0"/>
              <w:marBottom w:val="0"/>
              <w:divBdr>
                <w:top w:val="none" w:sz="0" w:space="0" w:color="auto"/>
                <w:left w:val="none" w:sz="0" w:space="0" w:color="auto"/>
                <w:bottom w:val="none" w:sz="0" w:space="0" w:color="auto"/>
                <w:right w:val="none" w:sz="0" w:space="0" w:color="auto"/>
              </w:divBdr>
            </w:div>
            <w:div w:id="1143153507">
              <w:marLeft w:val="0"/>
              <w:marRight w:val="0"/>
              <w:marTop w:val="0"/>
              <w:marBottom w:val="0"/>
              <w:divBdr>
                <w:top w:val="none" w:sz="0" w:space="0" w:color="auto"/>
                <w:left w:val="none" w:sz="0" w:space="0" w:color="auto"/>
                <w:bottom w:val="none" w:sz="0" w:space="0" w:color="auto"/>
                <w:right w:val="none" w:sz="0" w:space="0" w:color="auto"/>
              </w:divBdr>
            </w:div>
            <w:div w:id="1529684452">
              <w:marLeft w:val="0"/>
              <w:marRight w:val="0"/>
              <w:marTop w:val="0"/>
              <w:marBottom w:val="0"/>
              <w:divBdr>
                <w:top w:val="none" w:sz="0" w:space="0" w:color="auto"/>
                <w:left w:val="none" w:sz="0" w:space="0" w:color="auto"/>
                <w:bottom w:val="none" w:sz="0" w:space="0" w:color="auto"/>
                <w:right w:val="none" w:sz="0" w:space="0" w:color="auto"/>
              </w:divBdr>
            </w:div>
            <w:div w:id="1573462608">
              <w:marLeft w:val="0"/>
              <w:marRight w:val="0"/>
              <w:marTop w:val="0"/>
              <w:marBottom w:val="0"/>
              <w:divBdr>
                <w:top w:val="none" w:sz="0" w:space="0" w:color="auto"/>
                <w:left w:val="none" w:sz="0" w:space="0" w:color="auto"/>
                <w:bottom w:val="none" w:sz="0" w:space="0" w:color="auto"/>
                <w:right w:val="none" w:sz="0" w:space="0" w:color="auto"/>
              </w:divBdr>
            </w:div>
          </w:divsChild>
        </w:div>
        <w:div w:id="1851334484">
          <w:marLeft w:val="0"/>
          <w:marRight w:val="0"/>
          <w:marTop w:val="0"/>
          <w:marBottom w:val="0"/>
          <w:divBdr>
            <w:top w:val="none" w:sz="0" w:space="0" w:color="auto"/>
            <w:left w:val="none" w:sz="0" w:space="0" w:color="auto"/>
            <w:bottom w:val="none" w:sz="0" w:space="0" w:color="auto"/>
            <w:right w:val="none" w:sz="0" w:space="0" w:color="auto"/>
          </w:divBdr>
          <w:divsChild>
            <w:div w:id="251672005">
              <w:marLeft w:val="0"/>
              <w:marRight w:val="0"/>
              <w:marTop w:val="0"/>
              <w:marBottom w:val="0"/>
              <w:divBdr>
                <w:top w:val="none" w:sz="0" w:space="0" w:color="auto"/>
                <w:left w:val="none" w:sz="0" w:space="0" w:color="auto"/>
                <w:bottom w:val="none" w:sz="0" w:space="0" w:color="auto"/>
                <w:right w:val="none" w:sz="0" w:space="0" w:color="auto"/>
              </w:divBdr>
            </w:div>
            <w:div w:id="802963260">
              <w:marLeft w:val="0"/>
              <w:marRight w:val="0"/>
              <w:marTop w:val="0"/>
              <w:marBottom w:val="0"/>
              <w:divBdr>
                <w:top w:val="none" w:sz="0" w:space="0" w:color="auto"/>
                <w:left w:val="none" w:sz="0" w:space="0" w:color="auto"/>
                <w:bottom w:val="none" w:sz="0" w:space="0" w:color="auto"/>
                <w:right w:val="none" w:sz="0" w:space="0" w:color="auto"/>
              </w:divBdr>
            </w:div>
            <w:div w:id="1152597302">
              <w:marLeft w:val="0"/>
              <w:marRight w:val="0"/>
              <w:marTop w:val="0"/>
              <w:marBottom w:val="0"/>
              <w:divBdr>
                <w:top w:val="none" w:sz="0" w:space="0" w:color="auto"/>
                <w:left w:val="none" w:sz="0" w:space="0" w:color="auto"/>
                <w:bottom w:val="none" w:sz="0" w:space="0" w:color="auto"/>
                <w:right w:val="none" w:sz="0" w:space="0" w:color="auto"/>
              </w:divBdr>
            </w:div>
          </w:divsChild>
        </w:div>
        <w:div w:id="1871215171">
          <w:marLeft w:val="0"/>
          <w:marRight w:val="0"/>
          <w:marTop w:val="0"/>
          <w:marBottom w:val="0"/>
          <w:divBdr>
            <w:top w:val="none" w:sz="0" w:space="0" w:color="auto"/>
            <w:left w:val="none" w:sz="0" w:space="0" w:color="auto"/>
            <w:bottom w:val="none" w:sz="0" w:space="0" w:color="auto"/>
            <w:right w:val="none" w:sz="0" w:space="0" w:color="auto"/>
          </w:divBdr>
          <w:divsChild>
            <w:div w:id="275866572">
              <w:marLeft w:val="0"/>
              <w:marRight w:val="0"/>
              <w:marTop w:val="0"/>
              <w:marBottom w:val="0"/>
              <w:divBdr>
                <w:top w:val="none" w:sz="0" w:space="0" w:color="auto"/>
                <w:left w:val="none" w:sz="0" w:space="0" w:color="auto"/>
                <w:bottom w:val="none" w:sz="0" w:space="0" w:color="auto"/>
                <w:right w:val="none" w:sz="0" w:space="0" w:color="auto"/>
              </w:divBdr>
            </w:div>
            <w:div w:id="794710985">
              <w:marLeft w:val="0"/>
              <w:marRight w:val="0"/>
              <w:marTop w:val="0"/>
              <w:marBottom w:val="0"/>
              <w:divBdr>
                <w:top w:val="none" w:sz="0" w:space="0" w:color="auto"/>
                <w:left w:val="none" w:sz="0" w:space="0" w:color="auto"/>
                <w:bottom w:val="none" w:sz="0" w:space="0" w:color="auto"/>
                <w:right w:val="none" w:sz="0" w:space="0" w:color="auto"/>
              </w:divBdr>
            </w:div>
            <w:div w:id="1130439583">
              <w:marLeft w:val="0"/>
              <w:marRight w:val="0"/>
              <w:marTop w:val="0"/>
              <w:marBottom w:val="0"/>
              <w:divBdr>
                <w:top w:val="none" w:sz="0" w:space="0" w:color="auto"/>
                <w:left w:val="none" w:sz="0" w:space="0" w:color="auto"/>
                <w:bottom w:val="none" w:sz="0" w:space="0" w:color="auto"/>
                <w:right w:val="none" w:sz="0" w:space="0" w:color="auto"/>
              </w:divBdr>
            </w:div>
            <w:div w:id="1624462661">
              <w:marLeft w:val="0"/>
              <w:marRight w:val="0"/>
              <w:marTop w:val="0"/>
              <w:marBottom w:val="0"/>
              <w:divBdr>
                <w:top w:val="none" w:sz="0" w:space="0" w:color="auto"/>
                <w:left w:val="none" w:sz="0" w:space="0" w:color="auto"/>
                <w:bottom w:val="none" w:sz="0" w:space="0" w:color="auto"/>
                <w:right w:val="none" w:sz="0" w:space="0" w:color="auto"/>
              </w:divBdr>
            </w:div>
            <w:div w:id="2011785081">
              <w:marLeft w:val="0"/>
              <w:marRight w:val="0"/>
              <w:marTop w:val="0"/>
              <w:marBottom w:val="0"/>
              <w:divBdr>
                <w:top w:val="none" w:sz="0" w:space="0" w:color="auto"/>
                <w:left w:val="none" w:sz="0" w:space="0" w:color="auto"/>
                <w:bottom w:val="none" w:sz="0" w:space="0" w:color="auto"/>
                <w:right w:val="none" w:sz="0" w:space="0" w:color="auto"/>
              </w:divBdr>
            </w:div>
          </w:divsChild>
        </w:div>
        <w:div w:id="1985112591">
          <w:marLeft w:val="0"/>
          <w:marRight w:val="0"/>
          <w:marTop w:val="0"/>
          <w:marBottom w:val="0"/>
          <w:divBdr>
            <w:top w:val="none" w:sz="0" w:space="0" w:color="auto"/>
            <w:left w:val="none" w:sz="0" w:space="0" w:color="auto"/>
            <w:bottom w:val="none" w:sz="0" w:space="0" w:color="auto"/>
            <w:right w:val="none" w:sz="0" w:space="0" w:color="auto"/>
          </w:divBdr>
          <w:divsChild>
            <w:div w:id="809708166">
              <w:marLeft w:val="0"/>
              <w:marRight w:val="0"/>
              <w:marTop w:val="0"/>
              <w:marBottom w:val="0"/>
              <w:divBdr>
                <w:top w:val="none" w:sz="0" w:space="0" w:color="auto"/>
                <w:left w:val="none" w:sz="0" w:space="0" w:color="auto"/>
                <w:bottom w:val="none" w:sz="0" w:space="0" w:color="auto"/>
                <w:right w:val="none" w:sz="0" w:space="0" w:color="auto"/>
              </w:divBdr>
            </w:div>
            <w:div w:id="930285573">
              <w:marLeft w:val="0"/>
              <w:marRight w:val="0"/>
              <w:marTop w:val="0"/>
              <w:marBottom w:val="0"/>
              <w:divBdr>
                <w:top w:val="none" w:sz="0" w:space="0" w:color="auto"/>
                <w:left w:val="none" w:sz="0" w:space="0" w:color="auto"/>
                <w:bottom w:val="none" w:sz="0" w:space="0" w:color="auto"/>
                <w:right w:val="none" w:sz="0" w:space="0" w:color="auto"/>
              </w:divBdr>
            </w:div>
            <w:div w:id="1380595422">
              <w:marLeft w:val="0"/>
              <w:marRight w:val="0"/>
              <w:marTop w:val="0"/>
              <w:marBottom w:val="0"/>
              <w:divBdr>
                <w:top w:val="none" w:sz="0" w:space="0" w:color="auto"/>
                <w:left w:val="none" w:sz="0" w:space="0" w:color="auto"/>
                <w:bottom w:val="none" w:sz="0" w:space="0" w:color="auto"/>
                <w:right w:val="none" w:sz="0" w:space="0" w:color="auto"/>
              </w:divBdr>
            </w:div>
            <w:div w:id="1485002344">
              <w:marLeft w:val="0"/>
              <w:marRight w:val="0"/>
              <w:marTop w:val="0"/>
              <w:marBottom w:val="0"/>
              <w:divBdr>
                <w:top w:val="none" w:sz="0" w:space="0" w:color="auto"/>
                <w:left w:val="none" w:sz="0" w:space="0" w:color="auto"/>
                <w:bottom w:val="none" w:sz="0" w:space="0" w:color="auto"/>
                <w:right w:val="none" w:sz="0" w:space="0" w:color="auto"/>
              </w:divBdr>
            </w:div>
            <w:div w:id="15311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7318">
      <w:bodyDiv w:val="1"/>
      <w:marLeft w:val="0"/>
      <w:marRight w:val="0"/>
      <w:marTop w:val="0"/>
      <w:marBottom w:val="0"/>
      <w:divBdr>
        <w:top w:val="none" w:sz="0" w:space="0" w:color="auto"/>
        <w:left w:val="none" w:sz="0" w:space="0" w:color="auto"/>
        <w:bottom w:val="none" w:sz="0" w:space="0" w:color="auto"/>
        <w:right w:val="none" w:sz="0" w:space="0" w:color="auto"/>
      </w:divBdr>
    </w:div>
    <w:div w:id="168835502">
      <w:bodyDiv w:val="1"/>
      <w:marLeft w:val="0"/>
      <w:marRight w:val="0"/>
      <w:marTop w:val="0"/>
      <w:marBottom w:val="0"/>
      <w:divBdr>
        <w:top w:val="none" w:sz="0" w:space="0" w:color="auto"/>
        <w:left w:val="none" w:sz="0" w:space="0" w:color="auto"/>
        <w:bottom w:val="none" w:sz="0" w:space="0" w:color="auto"/>
        <w:right w:val="none" w:sz="0" w:space="0" w:color="auto"/>
      </w:divBdr>
    </w:div>
    <w:div w:id="361975885">
      <w:bodyDiv w:val="1"/>
      <w:marLeft w:val="0"/>
      <w:marRight w:val="0"/>
      <w:marTop w:val="0"/>
      <w:marBottom w:val="0"/>
      <w:divBdr>
        <w:top w:val="none" w:sz="0" w:space="0" w:color="auto"/>
        <w:left w:val="none" w:sz="0" w:space="0" w:color="auto"/>
        <w:bottom w:val="none" w:sz="0" w:space="0" w:color="auto"/>
        <w:right w:val="none" w:sz="0" w:space="0" w:color="auto"/>
      </w:divBdr>
      <w:divsChild>
        <w:div w:id="226262954">
          <w:marLeft w:val="0"/>
          <w:marRight w:val="0"/>
          <w:marTop w:val="0"/>
          <w:marBottom w:val="0"/>
          <w:divBdr>
            <w:top w:val="none" w:sz="0" w:space="0" w:color="auto"/>
            <w:left w:val="none" w:sz="0" w:space="0" w:color="auto"/>
            <w:bottom w:val="none" w:sz="0" w:space="0" w:color="auto"/>
            <w:right w:val="none" w:sz="0" w:space="0" w:color="auto"/>
          </w:divBdr>
        </w:div>
        <w:div w:id="954561533">
          <w:marLeft w:val="0"/>
          <w:marRight w:val="0"/>
          <w:marTop w:val="0"/>
          <w:marBottom w:val="0"/>
          <w:divBdr>
            <w:top w:val="none" w:sz="0" w:space="0" w:color="auto"/>
            <w:left w:val="none" w:sz="0" w:space="0" w:color="auto"/>
            <w:bottom w:val="none" w:sz="0" w:space="0" w:color="auto"/>
            <w:right w:val="none" w:sz="0" w:space="0" w:color="auto"/>
          </w:divBdr>
        </w:div>
        <w:div w:id="1158614348">
          <w:marLeft w:val="0"/>
          <w:marRight w:val="0"/>
          <w:marTop w:val="0"/>
          <w:marBottom w:val="0"/>
          <w:divBdr>
            <w:top w:val="none" w:sz="0" w:space="0" w:color="auto"/>
            <w:left w:val="none" w:sz="0" w:space="0" w:color="auto"/>
            <w:bottom w:val="none" w:sz="0" w:space="0" w:color="auto"/>
            <w:right w:val="none" w:sz="0" w:space="0" w:color="auto"/>
          </w:divBdr>
        </w:div>
        <w:div w:id="1177815365">
          <w:marLeft w:val="0"/>
          <w:marRight w:val="0"/>
          <w:marTop w:val="0"/>
          <w:marBottom w:val="0"/>
          <w:divBdr>
            <w:top w:val="none" w:sz="0" w:space="0" w:color="auto"/>
            <w:left w:val="none" w:sz="0" w:space="0" w:color="auto"/>
            <w:bottom w:val="none" w:sz="0" w:space="0" w:color="auto"/>
            <w:right w:val="none" w:sz="0" w:space="0" w:color="auto"/>
          </w:divBdr>
        </w:div>
        <w:div w:id="1391227032">
          <w:marLeft w:val="0"/>
          <w:marRight w:val="0"/>
          <w:marTop w:val="0"/>
          <w:marBottom w:val="0"/>
          <w:divBdr>
            <w:top w:val="none" w:sz="0" w:space="0" w:color="auto"/>
            <w:left w:val="none" w:sz="0" w:space="0" w:color="auto"/>
            <w:bottom w:val="none" w:sz="0" w:space="0" w:color="auto"/>
            <w:right w:val="none" w:sz="0" w:space="0" w:color="auto"/>
          </w:divBdr>
        </w:div>
        <w:div w:id="1764643604">
          <w:marLeft w:val="0"/>
          <w:marRight w:val="0"/>
          <w:marTop w:val="0"/>
          <w:marBottom w:val="0"/>
          <w:divBdr>
            <w:top w:val="none" w:sz="0" w:space="0" w:color="auto"/>
            <w:left w:val="none" w:sz="0" w:space="0" w:color="auto"/>
            <w:bottom w:val="none" w:sz="0" w:space="0" w:color="auto"/>
            <w:right w:val="none" w:sz="0" w:space="0" w:color="auto"/>
          </w:divBdr>
        </w:div>
        <w:div w:id="1977447261">
          <w:marLeft w:val="0"/>
          <w:marRight w:val="0"/>
          <w:marTop w:val="0"/>
          <w:marBottom w:val="0"/>
          <w:divBdr>
            <w:top w:val="none" w:sz="0" w:space="0" w:color="auto"/>
            <w:left w:val="none" w:sz="0" w:space="0" w:color="auto"/>
            <w:bottom w:val="none" w:sz="0" w:space="0" w:color="auto"/>
            <w:right w:val="none" w:sz="0" w:space="0" w:color="auto"/>
          </w:divBdr>
        </w:div>
      </w:divsChild>
    </w:div>
    <w:div w:id="396588594">
      <w:bodyDiv w:val="1"/>
      <w:marLeft w:val="0"/>
      <w:marRight w:val="0"/>
      <w:marTop w:val="0"/>
      <w:marBottom w:val="0"/>
      <w:divBdr>
        <w:top w:val="none" w:sz="0" w:space="0" w:color="auto"/>
        <w:left w:val="none" w:sz="0" w:space="0" w:color="auto"/>
        <w:bottom w:val="none" w:sz="0" w:space="0" w:color="auto"/>
        <w:right w:val="none" w:sz="0" w:space="0" w:color="auto"/>
      </w:divBdr>
      <w:divsChild>
        <w:div w:id="967272903">
          <w:marLeft w:val="0"/>
          <w:marRight w:val="0"/>
          <w:marTop w:val="0"/>
          <w:marBottom w:val="0"/>
          <w:divBdr>
            <w:top w:val="none" w:sz="0" w:space="0" w:color="auto"/>
            <w:left w:val="none" w:sz="0" w:space="0" w:color="auto"/>
            <w:bottom w:val="none" w:sz="0" w:space="0" w:color="auto"/>
            <w:right w:val="none" w:sz="0" w:space="0" w:color="auto"/>
          </w:divBdr>
        </w:div>
      </w:divsChild>
    </w:div>
    <w:div w:id="478811345">
      <w:bodyDiv w:val="1"/>
      <w:marLeft w:val="0"/>
      <w:marRight w:val="0"/>
      <w:marTop w:val="0"/>
      <w:marBottom w:val="0"/>
      <w:divBdr>
        <w:top w:val="none" w:sz="0" w:space="0" w:color="auto"/>
        <w:left w:val="none" w:sz="0" w:space="0" w:color="auto"/>
        <w:bottom w:val="none" w:sz="0" w:space="0" w:color="auto"/>
        <w:right w:val="none" w:sz="0" w:space="0" w:color="auto"/>
      </w:divBdr>
    </w:div>
    <w:div w:id="535046935">
      <w:bodyDiv w:val="1"/>
      <w:marLeft w:val="0"/>
      <w:marRight w:val="0"/>
      <w:marTop w:val="0"/>
      <w:marBottom w:val="0"/>
      <w:divBdr>
        <w:top w:val="none" w:sz="0" w:space="0" w:color="auto"/>
        <w:left w:val="none" w:sz="0" w:space="0" w:color="auto"/>
        <w:bottom w:val="none" w:sz="0" w:space="0" w:color="auto"/>
        <w:right w:val="none" w:sz="0" w:space="0" w:color="auto"/>
      </w:divBdr>
      <w:divsChild>
        <w:div w:id="87048764">
          <w:marLeft w:val="0"/>
          <w:marRight w:val="0"/>
          <w:marTop w:val="0"/>
          <w:marBottom w:val="0"/>
          <w:divBdr>
            <w:top w:val="none" w:sz="0" w:space="0" w:color="auto"/>
            <w:left w:val="none" w:sz="0" w:space="0" w:color="auto"/>
            <w:bottom w:val="none" w:sz="0" w:space="0" w:color="auto"/>
            <w:right w:val="none" w:sz="0" w:space="0" w:color="auto"/>
          </w:divBdr>
        </w:div>
        <w:div w:id="331102453">
          <w:marLeft w:val="0"/>
          <w:marRight w:val="0"/>
          <w:marTop w:val="30"/>
          <w:marBottom w:val="30"/>
          <w:divBdr>
            <w:top w:val="none" w:sz="0" w:space="0" w:color="auto"/>
            <w:left w:val="none" w:sz="0" w:space="0" w:color="auto"/>
            <w:bottom w:val="none" w:sz="0" w:space="0" w:color="auto"/>
            <w:right w:val="none" w:sz="0" w:space="0" w:color="auto"/>
          </w:divBdr>
          <w:divsChild>
            <w:div w:id="50004912">
              <w:marLeft w:val="0"/>
              <w:marRight w:val="0"/>
              <w:marTop w:val="0"/>
              <w:marBottom w:val="0"/>
              <w:divBdr>
                <w:top w:val="none" w:sz="0" w:space="0" w:color="auto"/>
                <w:left w:val="none" w:sz="0" w:space="0" w:color="auto"/>
                <w:bottom w:val="none" w:sz="0" w:space="0" w:color="auto"/>
                <w:right w:val="none" w:sz="0" w:space="0" w:color="auto"/>
              </w:divBdr>
              <w:divsChild>
                <w:div w:id="299767069">
                  <w:marLeft w:val="0"/>
                  <w:marRight w:val="0"/>
                  <w:marTop w:val="0"/>
                  <w:marBottom w:val="0"/>
                  <w:divBdr>
                    <w:top w:val="none" w:sz="0" w:space="0" w:color="auto"/>
                    <w:left w:val="none" w:sz="0" w:space="0" w:color="auto"/>
                    <w:bottom w:val="none" w:sz="0" w:space="0" w:color="auto"/>
                    <w:right w:val="none" w:sz="0" w:space="0" w:color="auto"/>
                  </w:divBdr>
                </w:div>
                <w:div w:id="547106392">
                  <w:marLeft w:val="0"/>
                  <w:marRight w:val="0"/>
                  <w:marTop w:val="0"/>
                  <w:marBottom w:val="0"/>
                  <w:divBdr>
                    <w:top w:val="none" w:sz="0" w:space="0" w:color="auto"/>
                    <w:left w:val="none" w:sz="0" w:space="0" w:color="auto"/>
                    <w:bottom w:val="none" w:sz="0" w:space="0" w:color="auto"/>
                    <w:right w:val="none" w:sz="0" w:space="0" w:color="auto"/>
                  </w:divBdr>
                </w:div>
                <w:div w:id="1653094641">
                  <w:marLeft w:val="0"/>
                  <w:marRight w:val="0"/>
                  <w:marTop w:val="0"/>
                  <w:marBottom w:val="0"/>
                  <w:divBdr>
                    <w:top w:val="none" w:sz="0" w:space="0" w:color="auto"/>
                    <w:left w:val="none" w:sz="0" w:space="0" w:color="auto"/>
                    <w:bottom w:val="none" w:sz="0" w:space="0" w:color="auto"/>
                    <w:right w:val="none" w:sz="0" w:space="0" w:color="auto"/>
                  </w:divBdr>
                </w:div>
                <w:div w:id="1799295231">
                  <w:marLeft w:val="0"/>
                  <w:marRight w:val="0"/>
                  <w:marTop w:val="0"/>
                  <w:marBottom w:val="0"/>
                  <w:divBdr>
                    <w:top w:val="none" w:sz="0" w:space="0" w:color="auto"/>
                    <w:left w:val="none" w:sz="0" w:space="0" w:color="auto"/>
                    <w:bottom w:val="none" w:sz="0" w:space="0" w:color="auto"/>
                    <w:right w:val="none" w:sz="0" w:space="0" w:color="auto"/>
                  </w:divBdr>
                </w:div>
                <w:div w:id="2098208434">
                  <w:marLeft w:val="0"/>
                  <w:marRight w:val="0"/>
                  <w:marTop w:val="0"/>
                  <w:marBottom w:val="0"/>
                  <w:divBdr>
                    <w:top w:val="none" w:sz="0" w:space="0" w:color="auto"/>
                    <w:left w:val="none" w:sz="0" w:space="0" w:color="auto"/>
                    <w:bottom w:val="none" w:sz="0" w:space="0" w:color="auto"/>
                    <w:right w:val="none" w:sz="0" w:space="0" w:color="auto"/>
                  </w:divBdr>
                </w:div>
              </w:divsChild>
            </w:div>
            <w:div w:id="54818122">
              <w:marLeft w:val="0"/>
              <w:marRight w:val="0"/>
              <w:marTop w:val="0"/>
              <w:marBottom w:val="0"/>
              <w:divBdr>
                <w:top w:val="none" w:sz="0" w:space="0" w:color="auto"/>
                <w:left w:val="none" w:sz="0" w:space="0" w:color="auto"/>
                <w:bottom w:val="none" w:sz="0" w:space="0" w:color="auto"/>
                <w:right w:val="none" w:sz="0" w:space="0" w:color="auto"/>
              </w:divBdr>
              <w:divsChild>
                <w:div w:id="1311327487">
                  <w:marLeft w:val="0"/>
                  <w:marRight w:val="0"/>
                  <w:marTop w:val="0"/>
                  <w:marBottom w:val="0"/>
                  <w:divBdr>
                    <w:top w:val="none" w:sz="0" w:space="0" w:color="auto"/>
                    <w:left w:val="none" w:sz="0" w:space="0" w:color="auto"/>
                    <w:bottom w:val="none" w:sz="0" w:space="0" w:color="auto"/>
                    <w:right w:val="none" w:sz="0" w:space="0" w:color="auto"/>
                  </w:divBdr>
                </w:div>
              </w:divsChild>
            </w:div>
            <w:div w:id="58677076">
              <w:marLeft w:val="0"/>
              <w:marRight w:val="0"/>
              <w:marTop w:val="0"/>
              <w:marBottom w:val="0"/>
              <w:divBdr>
                <w:top w:val="none" w:sz="0" w:space="0" w:color="auto"/>
                <w:left w:val="none" w:sz="0" w:space="0" w:color="auto"/>
                <w:bottom w:val="none" w:sz="0" w:space="0" w:color="auto"/>
                <w:right w:val="none" w:sz="0" w:space="0" w:color="auto"/>
              </w:divBdr>
              <w:divsChild>
                <w:div w:id="1687706573">
                  <w:marLeft w:val="0"/>
                  <w:marRight w:val="0"/>
                  <w:marTop w:val="0"/>
                  <w:marBottom w:val="0"/>
                  <w:divBdr>
                    <w:top w:val="none" w:sz="0" w:space="0" w:color="auto"/>
                    <w:left w:val="none" w:sz="0" w:space="0" w:color="auto"/>
                    <w:bottom w:val="none" w:sz="0" w:space="0" w:color="auto"/>
                    <w:right w:val="none" w:sz="0" w:space="0" w:color="auto"/>
                  </w:divBdr>
                </w:div>
                <w:div w:id="1993561231">
                  <w:marLeft w:val="0"/>
                  <w:marRight w:val="0"/>
                  <w:marTop w:val="0"/>
                  <w:marBottom w:val="0"/>
                  <w:divBdr>
                    <w:top w:val="none" w:sz="0" w:space="0" w:color="auto"/>
                    <w:left w:val="none" w:sz="0" w:space="0" w:color="auto"/>
                    <w:bottom w:val="none" w:sz="0" w:space="0" w:color="auto"/>
                    <w:right w:val="none" w:sz="0" w:space="0" w:color="auto"/>
                  </w:divBdr>
                </w:div>
              </w:divsChild>
            </w:div>
            <w:div w:id="132985048">
              <w:marLeft w:val="0"/>
              <w:marRight w:val="0"/>
              <w:marTop w:val="0"/>
              <w:marBottom w:val="0"/>
              <w:divBdr>
                <w:top w:val="none" w:sz="0" w:space="0" w:color="auto"/>
                <w:left w:val="none" w:sz="0" w:space="0" w:color="auto"/>
                <w:bottom w:val="none" w:sz="0" w:space="0" w:color="auto"/>
                <w:right w:val="none" w:sz="0" w:space="0" w:color="auto"/>
              </w:divBdr>
              <w:divsChild>
                <w:div w:id="1040936721">
                  <w:marLeft w:val="0"/>
                  <w:marRight w:val="0"/>
                  <w:marTop w:val="0"/>
                  <w:marBottom w:val="0"/>
                  <w:divBdr>
                    <w:top w:val="none" w:sz="0" w:space="0" w:color="auto"/>
                    <w:left w:val="none" w:sz="0" w:space="0" w:color="auto"/>
                    <w:bottom w:val="none" w:sz="0" w:space="0" w:color="auto"/>
                    <w:right w:val="none" w:sz="0" w:space="0" w:color="auto"/>
                  </w:divBdr>
                </w:div>
              </w:divsChild>
            </w:div>
            <w:div w:id="450784627">
              <w:marLeft w:val="0"/>
              <w:marRight w:val="0"/>
              <w:marTop w:val="0"/>
              <w:marBottom w:val="0"/>
              <w:divBdr>
                <w:top w:val="none" w:sz="0" w:space="0" w:color="auto"/>
                <w:left w:val="none" w:sz="0" w:space="0" w:color="auto"/>
                <w:bottom w:val="none" w:sz="0" w:space="0" w:color="auto"/>
                <w:right w:val="none" w:sz="0" w:space="0" w:color="auto"/>
              </w:divBdr>
              <w:divsChild>
                <w:div w:id="228461329">
                  <w:marLeft w:val="0"/>
                  <w:marRight w:val="0"/>
                  <w:marTop w:val="0"/>
                  <w:marBottom w:val="0"/>
                  <w:divBdr>
                    <w:top w:val="none" w:sz="0" w:space="0" w:color="auto"/>
                    <w:left w:val="none" w:sz="0" w:space="0" w:color="auto"/>
                    <w:bottom w:val="none" w:sz="0" w:space="0" w:color="auto"/>
                    <w:right w:val="none" w:sz="0" w:space="0" w:color="auto"/>
                  </w:divBdr>
                </w:div>
              </w:divsChild>
            </w:div>
            <w:div w:id="835919629">
              <w:marLeft w:val="0"/>
              <w:marRight w:val="0"/>
              <w:marTop w:val="0"/>
              <w:marBottom w:val="0"/>
              <w:divBdr>
                <w:top w:val="none" w:sz="0" w:space="0" w:color="auto"/>
                <w:left w:val="none" w:sz="0" w:space="0" w:color="auto"/>
                <w:bottom w:val="none" w:sz="0" w:space="0" w:color="auto"/>
                <w:right w:val="none" w:sz="0" w:space="0" w:color="auto"/>
              </w:divBdr>
              <w:divsChild>
                <w:div w:id="285357034">
                  <w:marLeft w:val="0"/>
                  <w:marRight w:val="0"/>
                  <w:marTop w:val="0"/>
                  <w:marBottom w:val="0"/>
                  <w:divBdr>
                    <w:top w:val="none" w:sz="0" w:space="0" w:color="auto"/>
                    <w:left w:val="none" w:sz="0" w:space="0" w:color="auto"/>
                    <w:bottom w:val="none" w:sz="0" w:space="0" w:color="auto"/>
                    <w:right w:val="none" w:sz="0" w:space="0" w:color="auto"/>
                  </w:divBdr>
                </w:div>
              </w:divsChild>
            </w:div>
            <w:div w:id="876772162">
              <w:marLeft w:val="0"/>
              <w:marRight w:val="0"/>
              <w:marTop w:val="0"/>
              <w:marBottom w:val="0"/>
              <w:divBdr>
                <w:top w:val="none" w:sz="0" w:space="0" w:color="auto"/>
                <w:left w:val="none" w:sz="0" w:space="0" w:color="auto"/>
                <w:bottom w:val="none" w:sz="0" w:space="0" w:color="auto"/>
                <w:right w:val="none" w:sz="0" w:space="0" w:color="auto"/>
              </w:divBdr>
              <w:divsChild>
                <w:div w:id="897203566">
                  <w:marLeft w:val="0"/>
                  <w:marRight w:val="0"/>
                  <w:marTop w:val="0"/>
                  <w:marBottom w:val="0"/>
                  <w:divBdr>
                    <w:top w:val="none" w:sz="0" w:space="0" w:color="auto"/>
                    <w:left w:val="none" w:sz="0" w:space="0" w:color="auto"/>
                    <w:bottom w:val="none" w:sz="0" w:space="0" w:color="auto"/>
                    <w:right w:val="none" w:sz="0" w:space="0" w:color="auto"/>
                  </w:divBdr>
                </w:div>
              </w:divsChild>
            </w:div>
            <w:div w:id="1049457049">
              <w:marLeft w:val="0"/>
              <w:marRight w:val="0"/>
              <w:marTop w:val="0"/>
              <w:marBottom w:val="0"/>
              <w:divBdr>
                <w:top w:val="none" w:sz="0" w:space="0" w:color="auto"/>
                <w:left w:val="none" w:sz="0" w:space="0" w:color="auto"/>
                <w:bottom w:val="none" w:sz="0" w:space="0" w:color="auto"/>
                <w:right w:val="none" w:sz="0" w:space="0" w:color="auto"/>
              </w:divBdr>
              <w:divsChild>
                <w:div w:id="1749617783">
                  <w:marLeft w:val="0"/>
                  <w:marRight w:val="0"/>
                  <w:marTop w:val="0"/>
                  <w:marBottom w:val="0"/>
                  <w:divBdr>
                    <w:top w:val="none" w:sz="0" w:space="0" w:color="auto"/>
                    <w:left w:val="none" w:sz="0" w:space="0" w:color="auto"/>
                    <w:bottom w:val="none" w:sz="0" w:space="0" w:color="auto"/>
                    <w:right w:val="none" w:sz="0" w:space="0" w:color="auto"/>
                  </w:divBdr>
                </w:div>
              </w:divsChild>
            </w:div>
            <w:div w:id="1186867470">
              <w:marLeft w:val="0"/>
              <w:marRight w:val="0"/>
              <w:marTop w:val="0"/>
              <w:marBottom w:val="0"/>
              <w:divBdr>
                <w:top w:val="none" w:sz="0" w:space="0" w:color="auto"/>
                <w:left w:val="none" w:sz="0" w:space="0" w:color="auto"/>
                <w:bottom w:val="none" w:sz="0" w:space="0" w:color="auto"/>
                <w:right w:val="none" w:sz="0" w:space="0" w:color="auto"/>
              </w:divBdr>
              <w:divsChild>
                <w:div w:id="1665550196">
                  <w:marLeft w:val="0"/>
                  <w:marRight w:val="0"/>
                  <w:marTop w:val="0"/>
                  <w:marBottom w:val="0"/>
                  <w:divBdr>
                    <w:top w:val="none" w:sz="0" w:space="0" w:color="auto"/>
                    <w:left w:val="none" w:sz="0" w:space="0" w:color="auto"/>
                    <w:bottom w:val="none" w:sz="0" w:space="0" w:color="auto"/>
                    <w:right w:val="none" w:sz="0" w:space="0" w:color="auto"/>
                  </w:divBdr>
                </w:div>
              </w:divsChild>
            </w:div>
            <w:div w:id="1300378550">
              <w:marLeft w:val="0"/>
              <w:marRight w:val="0"/>
              <w:marTop w:val="0"/>
              <w:marBottom w:val="0"/>
              <w:divBdr>
                <w:top w:val="none" w:sz="0" w:space="0" w:color="auto"/>
                <w:left w:val="none" w:sz="0" w:space="0" w:color="auto"/>
                <w:bottom w:val="none" w:sz="0" w:space="0" w:color="auto"/>
                <w:right w:val="none" w:sz="0" w:space="0" w:color="auto"/>
              </w:divBdr>
              <w:divsChild>
                <w:div w:id="1914730957">
                  <w:marLeft w:val="0"/>
                  <w:marRight w:val="0"/>
                  <w:marTop w:val="0"/>
                  <w:marBottom w:val="0"/>
                  <w:divBdr>
                    <w:top w:val="none" w:sz="0" w:space="0" w:color="auto"/>
                    <w:left w:val="none" w:sz="0" w:space="0" w:color="auto"/>
                    <w:bottom w:val="none" w:sz="0" w:space="0" w:color="auto"/>
                    <w:right w:val="none" w:sz="0" w:space="0" w:color="auto"/>
                  </w:divBdr>
                </w:div>
              </w:divsChild>
            </w:div>
            <w:div w:id="1327827742">
              <w:marLeft w:val="0"/>
              <w:marRight w:val="0"/>
              <w:marTop w:val="0"/>
              <w:marBottom w:val="0"/>
              <w:divBdr>
                <w:top w:val="none" w:sz="0" w:space="0" w:color="auto"/>
                <w:left w:val="none" w:sz="0" w:space="0" w:color="auto"/>
                <w:bottom w:val="none" w:sz="0" w:space="0" w:color="auto"/>
                <w:right w:val="none" w:sz="0" w:space="0" w:color="auto"/>
              </w:divBdr>
              <w:divsChild>
                <w:div w:id="847793226">
                  <w:marLeft w:val="0"/>
                  <w:marRight w:val="0"/>
                  <w:marTop w:val="0"/>
                  <w:marBottom w:val="0"/>
                  <w:divBdr>
                    <w:top w:val="none" w:sz="0" w:space="0" w:color="auto"/>
                    <w:left w:val="none" w:sz="0" w:space="0" w:color="auto"/>
                    <w:bottom w:val="none" w:sz="0" w:space="0" w:color="auto"/>
                    <w:right w:val="none" w:sz="0" w:space="0" w:color="auto"/>
                  </w:divBdr>
                </w:div>
              </w:divsChild>
            </w:div>
            <w:div w:id="1422488220">
              <w:marLeft w:val="0"/>
              <w:marRight w:val="0"/>
              <w:marTop w:val="0"/>
              <w:marBottom w:val="0"/>
              <w:divBdr>
                <w:top w:val="none" w:sz="0" w:space="0" w:color="auto"/>
                <w:left w:val="none" w:sz="0" w:space="0" w:color="auto"/>
                <w:bottom w:val="none" w:sz="0" w:space="0" w:color="auto"/>
                <w:right w:val="none" w:sz="0" w:space="0" w:color="auto"/>
              </w:divBdr>
              <w:divsChild>
                <w:div w:id="1818690979">
                  <w:marLeft w:val="0"/>
                  <w:marRight w:val="0"/>
                  <w:marTop w:val="0"/>
                  <w:marBottom w:val="0"/>
                  <w:divBdr>
                    <w:top w:val="none" w:sz="0" w:space="0" w:color="auto"/>
                    <w:left w:val="none" w:sz="0" w:space="0" w:color="auto"/>
                    <w:bottom w:val="none" w:sz="0" w:space="0" w:color="auto"/>
                    <w:right w:val="none" w:sz="0" w:space="0" w:color="auto"/>
                  </w:divBdr>
                </w:div>
              </w:divsChild>
            </w:div>
            <w:div w:id="1441758556">
              <w:marLeft w:val="0"/>
              <w:marRight w:val="0"/>
              <w:marTop w:val="0"/>
              <w:marBottom w:val="0"/>
              <w:divBdr>
                <w:top w:val="none" w:sz="0" w:space="0" w:color="auto"/>
                <w:left w:val="none" w:sz="0" w:space="0" w:color="auto"/>
                <w:bottom w:val="none" w:sz="0" w:space="0" w:color="auto"/>
                <w:right w:val="none" w:sz="0" w:space="0" w:color="auto"/>
              </w:divBdr>
              <w:divsChild>
                <w:div w:id="2006277105">
                  <w:marLeft w:val="0"/>
                  <w:marRight w:val="0"/>
                  <w:marTop w:val="0"/>
                  <w:marBottom w:val="0"/>
                  <w:divBdr>
                    <w:top w:val="none" w:sz="0" w:space="0" w:color="auto"/>
                    <w:left w:val="none" w:sz="0" w:space="0" w:color="auto"/>
                    <w:bottom w:val="none" w:sz="0" w:space="0" w:color="auto"/>
                    <w:right w:val="none" w:sz="0" w:space="0" w:color="auto"/>
                  </w:divBdr>
                </w:div>
              </w:divsChild>
            </w:div>
            <w:div w:id="1467360535">
              <w:marLeft w:val="0"/>
              <w:marRight w:val="0"/>
              <w:marTop w:val="0"/>
              <w:marBottom w:val="0"/>
              <w:divBdr>
                <w:top w:val="none" w:sz="0" w:space="0" w:color="auto"/>
                <w:left w:val="none" w:sz="0" w:space="0" w:color="auto"/>
                <w:bottom w:val="none" w:sz="0" w:space="0" w:color="auto"/>
                <w:right w:val="none" w:sz="0" w:space="0" w:color="auto"/>
              </w:divBdr>
              <w:divsChild>
                <w:div w:id="1914319367">
                  <w:marLeft w:val="0"/>
                  <w:marRight w:val="0"/>
                  <w:marTop w:val="0"/>
                  <w:marBottom w:val="0"/>
                  <w:divBdr>
                    <w:top w:val="none" w:sz="0" w:space="0" w:color="auto"/>
                    <w:left w:val="none" w:sz="0" w:space="0" w:color="auto"/>
                    <w:bottom w:val="none" w:sz="0" w:space="0" w:color="auto"/>
                    <w:right w:val="none" w:sz="0" w:space="0" w:color="auto"/>
                  </w:divBdr>
                </w:div>
              </w:divsChild>
            </w:div>
            <w:div w:id="1515455429">
              <w:marLeft w:val="0"/>
              <w:marRight w:val="0"/>
              <w:marTop w:val="0"/>
              <w:marBottom w:val="0"/>
              <w:divBdr>
                <w:top w:val="none" w:sz="0" w:space="0" w:color="auto"/>
                <w:left w:val="none" w:sz="0" w:space="0" w:color="auto"/>
                <w:bottom w:val="none" w:sz="0" w:space="0" w:color="auto"/>
                <w:right w:val="none" w:sz="0" w:space="0" w:color="auto"/>
              </w:divBdr>
              <w:divsChild>
                <w:div w:id="753671016">
                  <w:marLeft w:val="0"/>
                  <w:marRight w:val="0"/>
                  <w:marTop w:val="0"/>
                  <w:marBottom w:val="0"/>
                  <w:divBdr>
                    <w:top w:val="none" w:sz="0" w:space="0" w:color="auto"/>
                    <w:left w:val="none" w:sz="0" w:space="0" w:color="auto"/>
                    <w:bottom w:val="none" w:sz="0" w:space="0" w:color="auto"/>
                    <w:right w:val="none" w:sz="0" w:space="0" w:color="auto"/>
                  </w:divBdr>
                </w:div>
                <w:div w:id="1817407598">
                  <w:marLeft w:val="0"/>
                  <w:marRight w:val="0"/>
                  <w:marTop w:val="0"/>
                  <w:marBottom w:val="0"/>
                  <w:divBdr>
                    <w:top w:val="none" w:sz="0" w:space="0" w:color="auto"/>
                    <w:left w:val="none" w:sz="0" w:space="0" w:color="auto"/>
                    <w:bottom w:val="none" w:sz="0" w:space="0" w:color="auto"/>
                    <w:right w:val="none" w:sz="0" w:space="0" w:color="auto"/>
                  </w:divBdr>
                </w:div>
              </w:divsChild>
            </w:div>
            <w:div w:id="1536768554">
              <w:marLeft w:val="0"/>
              <w:marRight w:val="0"/>
              <w:marTop w:val="0"/>
              <w:marBottom w:val="0"/>
              <w:divBdr>
                <w:top w:val="none" w:sz="0" w:space="0" w:color="auto"/>
                <w:left w:val="none" w:sz="0" w:space="0" w:color="auto"/>
                <w:bottom w:val="none" w:sz="0" w:space="0" w:color="auto"/>
                <w:right w:val="none" w:sz="0" w:space="0" w:color="auto"/>
              </w:divBdr>
              <w:divsChild>
                <w:div w:id="1994334333">
                  <w:marLeft w:val="0"/>
                  <w:marRight w:val="0"/>
                  <w:marTop w:val="0"/>
                  <w:marBottom w:val="0"/>
                  <w:divBdr>
                    <w:top w:val="none" w:sz="0" w:space="0" w:color="auto"/>
                    <w:left w:val="none" w:sz="0" w:space="0" w:color="auto"/>
                    <w:bottom w:val="none" w:sz="0" w:space="0" w:color="auto"/>
                    <w:right w:val="none" w:sz="0" w:space="0" w:color="auto"/>
                  </w:divBdr>
                </w:div>
              </w:divsChild>
            </w:div>
            <w:div w:id="1644508744">
              <w:marLeft w:val="0"/>
              <w:marRight w:val="0"/>
              <w:marTop w:val="0"/>
              <w:marBottom w:val="0"/>
              <w:divBdr>
                <w:top w:val="none" w:sz="0" w:space="0" w:color="auto"/>
                <w:left w:val="none" w:sz="0" w:space="0" w:color="auto"/>
                <w:bottom w:val="none" w:sz="0" w:space="0" w:color="auto"/>
                <w:right w:val="none" w:sz="0" w:space="0" w:color="auto"/>
              </w:divBdr>
              <w:divsChild>
                <w:div w:id="1492720301">
                  <w:marLeft w:val="0"/>
                  <w:marRight w:val="0"/>
                  <w:marTop w:val="0"/>
                  <w:marBottom w:val="0"/>
                  <w:divBdr>
                    <w:top w:val="none" w:sz="0" w:space="0" w:color="auto"/>
                    <w:left w:val="none" w:sz="0" w:space="0" w:color="auto"/>
                    <w:bottom w:val="none" w:sz="0" w:space="0" w:color="auto"/>
                    <w:right w:val="none" w:sz="0" w:space="0" w:color="auto"/>
                  </w:divBdr>
                </w:div>
              </w:divsChild>
            </w:div>
            <w:div w:id="1705207314">
              <w:marLeft w:val="0"/>
              <w:marRight w:val="0"/>
              <w:marTop w:val="0"/>
              <w:marBottom w:val="0"/>
              <w:divBdr>
                <w:top w:val="none" w:sz="0" w:space="0" w:color="auto"/>
                <w:left w:val="none" w:sz="0" w:space="0" w:color="auto"/>
                <w:bottom w:val="none" w:sz="0" w:space="0" w:color="auto"/>
                <w:right w:val="none" w:sz="0" w:space="0" w:color="auto"/>
              </w:divBdr>
              <w:divsChild>
                <w:div w:id="1302735631">
                  <w:marLeft w:val="0"/>
                  <w:marRight w:val="0"/>
                  <w:marTop w:val="0"/>
                  <w:marBottom w:val="0"/>
                  <w:divBdr>
                    <w:top w:val="none" w:sz="0" w:space="0" w:color="auto"/>
                    <w:left w:val="none" w:sz="0" w:space="0" w:color="auto"/>
                    <w:bottom w:val="none" w:sz="0" w:space="0" w:color="auto"/>
                    <w:right w:val="none" w:sz="0" w:space="0" w:color="auto"/>
                  </w:divBdr>
                </w:div>
              </w:divsChild>
            </w:div>
            <w:div w:id="1708917496">
              <w:marLeft w:val="0"/>
              <w:marRight w:val="0"/>
              <w:marTop w:val="0"/>
              <w:marBottom w:val="0"/>
              <w:divBdr>
                <w:top w:val="none" w:sz="0" w:space="0" w:color="auto"/>
                <w:left w:val="none" w:sz="0" w:space="0" w:color="auto"/>
                <w:bottom w:val="none" w:sz="0" w:space="0" w:color="auto"/>
                <w:right w:val="none" w:sz="0" w:space="0" w:color="auto"/>
              </w:divBdr>
              <w:divsChild>
                <w:div w:id="522285593">
                  <w:marLeft w:val="0"/>
                  <w:marRight w:val="0"/>
                  <w:marTop w:val="0"/>
                  <w:marBottom w:val="0"/>
                  <w:divBdr>
                    <w:top w:val="none" w:sz="0" w:space="0" w:color="auto"/>
                    <w:left w:val="none" w:sz="0" w:space="0" w:color="auto"/>
                    <w:bottom w:val="none" w:sz="0" w:space="0" w:color="auto"/>
                    <w:right w:val="none" w:sz="0" w:space="0" w:color="auto"/>
                  </w:divBdr>
                </w:div>
              </w:divsChild>
            </w:div>
            <w:div w:id="1712420036">
              <w:marLeft w:val="0"/>
              <w:marRight w:val="0"/>
              <w:marTop w:val="0"/>
              <w:marBottom w:val="0"/>
              <w:divBdr>
                <w:top w:val="none" w:sz="0" w:space="0" w:color="auto"/>
                <w:left w:val="none" w:sz="0" w:space="0" w:color="auto"/>
                <w:bottom w:val="none" w:sz="0" w:space="0" w:color="auto"/>
                <w:right w:val="none" w:sz="0" w:space="0" w:color="auto"/>
              </w:divBdr>
              <w:divsChild>
                <w:div w:id="1020014401">
                  <w:marLeft w:val="0"/>
                  <w:marRight w:val="0"/>
                  <w:marTop w:val="0"/>
                  <w:marBottom w:val="0"/>
                  <w:divBdr>
                    <w:top w:val="none" w:sz="0" w:space="0" w:color="auto"/>
                    <w:left w:val="none" w:sz="0" w:space="0" w:color="auto"/>
                    <w:bottom w:val="none" w:sz="0" w:space="0" w:color="auto"/>
                    <w:right w:val="none" w:sz="0" w:space="0" w:color="auto"/>
                  </w:divBdr>
                </w:div>
              </w:divsChild>
            </w:div>
            <w:div w:id="1947032423">
              <w:marLeft w:val="0"/>
              <w:marRight w:val="0"/>
              <w:marTop w:val="0"/>
              <w:marBottom w:val="0"/>
              <w:divBdr>
                <w:top w:val="none" w:sz="0" w:space="0" w:color="auto"/>
                <w:left w:val="none" w:sz="0" w:space="0" w:color="auto"/>
                <w:bottom w:val="none" w:sz="0" w:space="0" w:color="auto"/>
                <w:right w:val="none" w:sz="0" w:space="0" w:color="auto"/>
              </w:divBdr>
              <w:divsChild>
                <w:div w:id="142820103">
                  <w:marLeft w:val="0"/>
                  <w:marRight w:val="0"/>
                  <w:marTop w:val="0"/>
                  <w:marBottom w:val="0"/>
                  <w:divBdr>
                    <w:top w:val="none" w:sz="0" w:space="0" w:color="auto"/>
                    <w:left w:val="none" w:sz="0" w:space="0" w:color="auto"/>
                    <w:bottom w:val="none" w:sz="0" w:space="0" w:color="auto"/>
                    <w:right w:val="none" w:sz="0" w:space="0" w:color="auto"/>
                  </w:divBdr>
                </w:div>
              </w:divsChild>
            </w:div>
            <w:div w:id="1971590158">
              <w:marLeft w:val="0"/>
              <w:marRight w:val="0"/>
              <w:marTop w:val="0"/>
              <w:marBottom w:val="0"/>
              <w:divBdr>
                <w:top w:val="none" w:sz="0" w:space="0" w:color="auto"/>
                <w:left w:val="none" w:sz="0" w:space="0" w:color="auto"/>
                <w:bottom w:val="none" w:sz="0" w:space="0" w:color="auto"/>
                <w:right w:val="none" w:sz="0" w:space="0" w:color="auto"/>
              </w:divBdr>
              <w:divsChild>
                <w:div w:id="1380015714">
                  <w:marLeft w:val="0"/>
                  <w:marRight w:val="0"/>
                  <w:marTop w:val="0"/>
                  <w:marBottom w:val="0"/>
                  <w:divBdr>
                    <w:top w:val="none" w:sz="0" w:space="0" w:color="auto"/>
                    <w:left w:val="none" w:sz="0" w:space="0" w:color="auto"/>
                    <w:bottom w:val="none" w:sz="0" w:space="0" w:color="auto"/>
                    <w:right w:val="none" w:sz="0" w:space="0" w:color="auto"/>
                  </w:divBdr>
                </w:div>
              </w:divsChild>
            </w:div>
            <w:div w:id="2118408289">
              <w:marLeft w:val="0"/>
              <w:marRight w:val="0"/>
              <w:marTop w:val="0"/>
              <w:marBottom w:val="0"/>
              <w:divBdr>
                <w:top w:val="none" w:sz="0" w:space="0" w:color="auto"/>
                <w:left w:val="none" w:sz="0" w:space="0" w:color="auto"/>
                <w:bottom w:val="none" w:sz="0" w:space="0" w:color="auto"/>
                <w:right w:val="none" w:sz="0" w:space="0" w:color="auto"/>
              </w:divBdr>
              <w:divsChild>
                <w:div w:id="1844078552">
                  <w:marLeft w:val="0"/>
                  <w:marRight w:val="0"/>
                  <w:marTop w:val="0"/>
                  <w:marBottom w:val="0"/>
                  <w:divBdr>
                    <w:top w:val="none" w:sz="0" w:space="0" w:color="auto"/>
                    <w:left w:val="none" w:sz="0" w:space="0" w:color="auto"/>
                    <w:bottom w:val="none" w:sz="0" w:space="0" w:color="auto"/>
                    <w:right w:val="none" w:sz="0" w:space="0" w:color="auto"/>
                  </w:divBdr>
                </w:div>
              </w:divsChild>
            </w:div>
            <w:div w:id="2125271036">
              <w:marLeft w:val="0"/>
              <w:marRight w:val="0"/>
              <w:marTop w:val="0"/>
              <w:marBottom w:val="0"/>
              <w:divBdr>
                <w:top w:val="none" w:sz="0" w:space="0" w:color="auto"/>
                <w:left w:val="none" w:sz="0" w:space="0" w:color="auto"/>
                <w:bottom w:val="none" w:sz="0" w:space="0" w:color="auto"/>
                <w:right w:val="none" w:sz="0" w:space="0" w:color="auto"/>
              </w:divBdr>
              <w:divsChild>
                <w:div w:id="11093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67563">
      <w:bodyDiv w:val="1"/>
      <w:marLeft w:val="0"/>
      <w:marRight w:val="0"/>
      <w:marTop w:val="0"/>
      <w:marBottom w:val="0"/>
      <w:divBdr>
        <w:top w:val="none" w:sz="0" w:space="0" w:color="auto"/>
        <w:left w:val="none" w:sz="0" w:space="0" w:color="auto"/>
        <w:bottom w:val="none" w:sz="0" w:space="0" w:color="auto"/>
        <w:right w:val="none" w:sz="0" w:space="0" w:color="auto"/>
      </w:divBdr>
    </w:div>
    <w:div w:id="705107720">
      <w:bodyDiv w:val="1"/>
      <w:marLeft w:val="0"/>
      <w:marRight w:val="0"/>
      <w:marTop w:val="0"/>
      <w:marBottom w:val="0"/>
      <w:divBdr>
        <w:top w:val="none" w:sz="0" w:space="0" w:color="auto"/>
        <w:left w:val="none" w:sz="0" w:space="0" w:color="auto"/>
        <w:bottom w:val="none" w:sz="0" w:space="0" w:color="auto"/>
        <w:right w:val="none" w:sz="0" w:space="0" w:color="auto"/>
      </w:divBdr>
    </w:div>
    <w:div w:id="720909479">
      <w:bodyDiv w:val="1"/>
      <w:marLeft w:val="0"/>
      <w:marRight w:val="0"/>
      <w:marTop w:val="0"/>
      <w:marBottom w:val="0"/>
      <w:divBdr>
        <w:top w:val="none" w:sz="0" w:space="0" w:color="auto"/>
        <w:left w:val="none" w:sz="0" w:space="0" w:color="auto"/>
        <w:bottom w:val="none" w:sz="0" w:space="0" w:color="auto"/>
        <w:right w:val="none" w:sz="0" w:space="0" w:color="auto"/>
      </w:divBdr>
    </w:div>
    <w:div w:id="921255885">
      <w:bodyDiv w:val="1"/>
      <w:marLeft w:val="0"/>
      <w:marRight w:val="0"/>
      <w:marTop w:val="0"/>
      <w:marBottom w:val="0"/>
      <w:divBdr>
        <w:top w:val="none" w:sz="0" w:space="0" w:color="auto"/>
        <w:left w:val="none" w:sz="0" w:space="0" w:color="auto"/>
        <w:bottom w:val="none" w:sz="0" w:space="0" w:color="auto"/>
        <w:right w:val="none" w:sz="0" w:space="0" w:color="auto"/>
      </w:divBdr>
    </w:div>
    <w:div w:id="1127972466">
      <w:bodyDiv w:val="1"/>
      <w:marLeft w:val="0"/>
      <w:marRight w:val="0"/>
      <w:marTop w:val="0"/>
      <w:marBottom w:val="0"/>
      <w:divBdr>
        <w:top w:val="none" w:sz="0" w:space="0" w:color="auto"/>
        <w:left w:val="none" w:sz="0" w:space="0" w:color="auto"/>
        <w:bottom w:val="none" w:sz="0" w:space="0" w:color="auto"/>
        <w:right w:val="none" w:sz="0" w:space="0" w:color="auto"/>
      </w:divBdr>
    </w:div>
    <w:div w:id="1147673601">
      <w:bodyDiv w:val="1"/>
      <w:marLeft w:val="0"/>
      <w:marRight w:val="0"/>
      <w:marTop w:val="0"/>
      <w:marBottom w:val="0"/>
      <w:divBdr>
        <w:top w:val="none" w:sz="0" w:space="0" w:color="auto"/>
        <w:left w:val="none" w:sz="0" w:space="0" w:color="auto"/>
        <w:bottom w:val="none" w:sz="0" w:space="0" w:color="auto"/>
        <w:right w:val="none" w:sz="0" w:space="0" w:color="auto"/>
      </w:divBdr>
    </w:div>
    <w:div w:id="1249195057">
      <w:bodyDiv w:val="1"/>
      <w:marLeft w:val="0"/>
      <w:marRight w:val="0"/>
      <w:marTop w:val="0"/>
      <w:marBottom w:val="0"/>
      <w:divBdr>
        <w:top w:val="none" w:sz="0" w:space="0" w:color="auto"/>
        <w:left w:val="none" w:sz="0" w:space="0" w:color="auto"/>
        <w:bottom w:val="none" w:sz="0" w:space="0" w:color="auto"/>
        <w:right w:val="none" w:sz="0" w:space="0" w:color="auto"/>
      </w:divBdr>
    </w:div>
    <w:div w:id="1368604966">
      <w:bodyDiv w:val="1"/>
      <w:marLeft w:val="0"/>
      <w:marRight w:val="0"/>
      <w:marTop w:val="0"/>
      <w:marBottom w:val="0"/>
      <w:divBdr>
        <w:top w:val="none" w:sz="0" w:space="0" w:color="auto"/>
        <w:left w:val="none" w:sz="0" w:space="0" w:color="auto"/>
        <w:bottom w:val="none" w:sz="0" w:space="0" w:color="auto"/>
        <w:right w:val="none" w:sz="0" w:space="0" w:color="auto"/>
      </w:divBdr>
    </w:div>
    <w:div w:id="1419250623">
      <w:bodyDiv w:val="1"/>
      <w:marLeft w:val="0"/>
      <w:marRight w:val="0"/>
      <w:marTop w:val="0"/>
      <w:marBottom w:val="0"/>
      <w:divBdr>
        <w:top w:val="none" w:sz="0" w:space="0" w:color="auto"/>
        <w:left w:val="none" w:sz="0" w:space="0" w:color="auto"/>
        <w:bottom w:val="none" w:sz="0" w:space="0" w:color="auto"/>
        <w:right w:val="none" w:sz="0" w:space="0" w:color="auto"/>
      </w:divBdr>
    </w:div>
    <w:div w:id="1491751073">
      <w:bodyDiv w:val="1"/>
      <w:marLeft w:val="0"/>
      <w:marRight w:val="0"/>
      <w:marTop w:val="0"/>
      <w:marBottom w:val="0"/>
      <w:divBdr>
        <w:top w:val="none" w:sz="0" w:space="0" w:color="auto"/>
        <w:left w:val="none" w:sz="0" w:space="0" w:color="auto"/>
        <w:bottom w:val="none" w:sz="0" w:space="0" w:color="auto"/>
        <w:right w:val="none" w:sz="0" w:space="0" w:color="auto"/>
      </w:divBdr>
    </w:div>
    <w:div w:id="1504275504">
      <w:bodyDiv w:val="1"/>
      <w:marLeft w:val="0"/>
      <w:marRight w:val="0"/>
      <w:marTop w:val="0"/>
      <w:marBottom w:val="0"/>
      <w:divBdr>
        <w:top w:val="none" w:sz="0" w:space="0" w:color="auto"/>
        <w:left w:val="none" w:sz="0" w:space="0" w:color="auto"/>
        <w:bottom w:val="none" w:sz="0" w:space="0" w:color="auto"/>
        <w:right w:val="none" w:sz="0" w:space="0" w:color="auto"/>
      </w:divBdr>
    </w:div>
    <w:div w:id="1707674380">
      <w:bodyDiv w:val="1"/>
      <w:marLeft w:val="0"/>
      <w:marRight w:val="0"/>
      <w:marTop w:val="0"/>
      <w:marBottom w:val="0"/>
      <w:divBdr>
        <w:top w:val="none" w:sz="0" w:space="0" w:color="auto"/>
        <w:left w:val="none" w:sz="0" w:space="0" w:color="auto"/>
        <w:bottom w:val="none" w:sz="0" w:space="0" w:color="auto"/>
        <w:right w:val="none" w:sz="0" w:space="0" w:color="auto"/>
      </w:divBdr>
    </w:div>
    <w:div w:id="1770850314">
      <w:bodyDiv w:val="1"/>
      <w:marLeft w:val="0"/>
      <w:marRight w:val="0"/>
      <w:marTop w:val="0"/>
      <w:marBottom w:val="0"/>
      <w:divBdr>
        <w:top w:val="none" w:sz="0" w:space="0" w:color="auto"/>
        <w:left w:val="none" w:sz="0" w:space="0" w:color="auto"/>
        <w:bottom w:val="none" w:sz="0" w:space="0" w:color="auto"/>
        <w:right w:val="none" w:sz="0" w:space="0" w:color="auto"/>
      </w:divBdr>
    </w:div>
    <w:div w:id="1782145553">
      <w:bodyDiv w:val="1"/>
      <w:marLeft w:val="0"/>
      <w:marRight w:val="0"/>
      <w:marTop w:val="0"/>
      <w:marBottom w:val="0"/>
      <w:divBdr>
        <w:top w:val="none" w:sz="0" w:space="0" w:color="auto"/>
        <w:left w:val="none" w:sz="0" w:space="0" w:color="auto"/>
        <w:bottom w:val="none" w:sz="0" w:space="0" w:color="auto"/>
        <w:right w:val="none" w:sz="0" w:space="0" w:color="auto"/>
      </w:divBdr>
      <w:divsChild>
        <w:div w:id="278412712">
          <w:marLeft w:val="0"/>
          <w:marRight w:val="0"/>
          <w:marTop w:val="0"/>
          <w:marBottom w:val="0"/>
          <w:divBdr>
            <w:top w:val="none" w:sz="0" w:space="0" w:color="auto"/>
            <w:left w:val="none" w:sz="0" w:space="0" w:color="auto"/>
            <w:bottom w:val="none" w:sz="0" w:space="0" w:color="auto"/>
            <w:right w:val="none" w:sz="0" w:space="0" w:color="auto"/>
          </w:divBdr>
        </w:div>
      </w:divsChild>
    </w:div>
    <w:div w:id="1819612202">
      <w:bodyDiv w:val="1"/>
      <w:marLeft w:val="0"/>
      <w:marRight w:val="0"/>
      <w:marTop w:val="0"/>
      <w:marBottom w:val="0"/>
      <w:divBdr>
        <w:top w:val="none" w:sz="0" w:space="0" w:color="auto"/>
        <w:left w:val="none" w:sz="0" w:space="0" w:color="auto"/>
        <w:bottom w:val="none" w:sz="0" w:space="0" w:color="auto"/>
        <w:right w:val="none" w:sz="0" w:space="0" w:color="auto"/>
      </w:divBdr>
      <w:divsChild>
        <w:div w:id="472913824">
          <w:marLeft w:val="0"/>
          <w:marRight w:val="0"/>
          <w:marTop w:val="0"/>
          <w:marBottom w:val="0"/>
          <w:divBdr>
            <w:top w:val="none" w:sz="0" w:space="0" w:color="auto"/>
            <w:left w:val="none" w:sz="0" w:space="0" w:color="auto"/>
            <w:bottom w:val="none" w:sz="0" w:space="0" w:color="auto"/>
            <w:right w:val="none" w:sz="0" w:space="0" w:color="auto"/>
          </w:divBdr>
        </w:div>
      </w:divsChild>
    </w:div>
    <w:div w:id="1882862996">
      <w:bodyDiv w:val="1"/>
      <w:marLeft w:val="0"/>
      <w:marRight w:val="0"/>
      <w:marTop w:val="0"/>
      <w:marBottom w:val="0"/>
      <w:divBdr>
        <w:top w:val="none" w:sz="0" w:space="0" w:color="auto"/>
        <w:left w:val="none" w:sz="0" w:space="0" w:color="auto"/>
        <w:bottom w:val="none" w:sz="0" w:space="0" w:color="auto"/>
        <w:right w:val="none" w:sz="0" w:space="0" w:color="auto"/>
      </w:divBdr>
    </w:div>
    <w:div w:id="2024286194">
      <w:bodyDiv w:val="1"/>
      <w:marLeft w:val="0"/>
      <w:marRight w:val="0"/>
      <w:marTop w:val="0"/>
      <w:marBottom w:val="0"/>
      <w:divBdr>
        <w:top w:val="none" w:sz="0" w:space="0" w:color="auto"/>
        <w:left w:val="none" w:sz="0" w:space="0" w:color="auto"/>
        <w:bottom w:val="none" w:sz="0" w:space="0" w:color="auto"/>
        <w:right w:val="none" w:sz="0" w:space="0" w:color="auto"/>
      </w:divBdr>
      <w:divsChild>
        <w:div w:id="1651403830">
          <w:marLeft w:val="0"/>
          <w:marRight w:val="0"/>
          <w:marTop w:val="0"/>
          <w:marBottom w:val="0"/>
          <w:divBdr>
            <w:top w:val="none" w:sz="0" w:space="0" w:color="auto"/>
            <w:left w:val="none" w:sz="0" w:space="0" w:color="auto"/>
            <w:bottom w:val="none" w:sz="0" w:space="0" w:color="auto"/>
            <w:right w:val="none" w:sz="0" w:space="0" w:color="auto"/>
          </w:divBdr>
          <w:divsChild>
            <w:div w:id="268121645">
              <w:marLeft w:val="0"/>
              <w:marRight w:val="0"/>
              <w:marTop w:val="0"/>
              <w:marBottom w:val="0"/>
              <w:divBdr>
                <w:top w:val="none" w:sz="0" w:space="0" w:color="auto"/>
                <w:left w:val="none" w:sz="0" w:space="0" w:color="auto"/>
                <w:bottom w:val="none" w:sz="0" w:space="0" w:color="auto"/>
                <w:right w:val="none" w:sz="0" w:space="0" w:color="auto"/>
              </w:divBdr>
              <w:divsChild>
                <w:div w:id="1324118334">
                  <w:marLeft w:val="0"/>
                  <w:marRight w:val="0"/>
                  <w:marTop w:val="0"/>
                  <w:marBottom w:val="0"/>
                  <w:divBdr>
                    <w:top w:val="none" w:sz="0" w:space="0" w:color="auto"/>
                    <w:left w:val="none" w:sz="0" w:space="0" w:color="auto"/>
                    <w:bottom w:val="none" w:sz="0" w:space="0" w:color="auto"/>
                    <w:right w:val="none" w:sz="0" w:space="0" w:color="auto"/>
                  </w:divBdr>
                </w:div>
                <w:div w:id="15851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459">
          <w:marLeft w:val="0"/>
          <w:marRight w:val="0"/>
          <w:marTop w:val="0"/>
          <w:marBottom w:val="0"/>
          <w:divBdr>
            <w:top w:val="none" w:sz="0" w:space="0" w:color="auto"/>
            <w:left w:val="none" w:sz="0" w:space="0" w:color="auto"/>
            <w:bottom w:val="none" w:sz="0" w:space="0" w:color="auto"/>
            <w:right w:val="none" w:sz="0" w:space="0" w:color="auto"/>
          </w:divBdr>
          <w:divsChild>
            <w:div w:id="24909488">
              <w:marLeft w:val="0"/>
              <w:marRight w:val="0"/>
              <w:marTop w:val="0"/>
              <w:marBottom w:val="0"/>
              <w:divBdr>
                <w:top w:val="none" w:sz="0" w:space="0" w:color="auto"/>
                <w:left w:val="none" w:sz="0" w:space="0" w:color="auto"/>
                <w:bottom w:val="none" w:sz="0" w:space="0" w:color="auto"/>
                <w:right w:val="none" w:sz="0" w:space="0" w:color="auto"/>
              </w:divBdr>
              <w:divsChild>
                <w:div w:id="1098789835">
                  <w:marLeft w:val="0"/>
                  <w:marRight w:val="0"/>
                  <w:marTop w:val="0"/>
                  <w:marBottom w:val="0"/>
                  <w:divBdr>
                    <w:top w:val="none" w:sz="0" w:space="0" w:color="auto"/>
                    <w:left w:val="none" w:sz="0" w:space="0" w:color="auto"/>
                    <w:bottom w:val="none" w:sz="0" w:space="0" w:color="auto"/>
                    <w:right w:val="none" w:sz="0" w:space="0" w:color="auto"/>
                  </w:divBdr>
                  <w:divsChild>
                    <w:div w:id="625503308">
                      <w:marLeft w:val="0"/>
                      <w:marRight w:val="0"/>
                      <w:marTop w:val="0"/>
                      <w:marBottom w:val="0"/>
                      <w:divBdr>
                        <w:top w:val="none" w:sz="0" w:space="0" w:color="auto"/>
                        <w:left w:val="none" w:sz="0" w:space="0" w:color="auto"/>
                        <w:bottom w:val="none" w:sz="0" w:space="0" w:color="auto"/>
                        <w:right w:val="none" w:sz="0" w:space="0" w:color="auto"/>
                      </w:divBdr>
                      <w:divsChild>
                        <w:div w:id="11649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981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drxiv.org/content/10.1101/2021.01.06.21249368v1.full.pdf" TargetMode="External"/><Relationship Id="rId21" Type="http://schemas.openxmlformats.org/officeDocument/2006/relationships/hyperlink" Target="https://github.com/jwatowatson/PLATCOV-SAP" TargetMode="External"/><Relationship Id="rId42" Type="http://schemas.openxmlformats.org/officeDocument/2006/relationships/hyperlink" Target="https://mri.cts-mrp.eu/Human/Downloads/NL_H_3952_001_FinalSPC.pdf" TargetMode="External"/><Relationship Id="rId47" Type="http://schemas.openxmlformats.org/officeDocument/2006/relationships/hyperlink" Target="https://www.sciencedirect.com/topics/medicine-and-dentistry/norovirus" TargetMode="External"/><Relationship Id="rId63" Type="http://schemas.openxmlformats.org/officeDocument/2006/relationships/hyperlink" Target="https://www.bnf.org/products/bnf-online/"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hyperlink" Target="mailto:nickw@tropme%20dres.ac" TargetMode="External"/><Relationship Id="rId24" Type="http://schemas.openxmlformats.org/officeDocument/2006/relationships/hyperlink" Target="http://www.icmje.org/" TargetMode="External"/><Relationship Id="rId32" Type="http://schemas.openxmlformats.org/officeDocument/2006/relationships/hyperlink" Target="https://compendium.ch/fr/Patient" TargetMode="External"/><Relationship Id="rId37" Type="http://schemas.openxmlformats.org/officeDocument/2006/relationships/hyperlink" Target="https://www.covid19-druginteractions.org/checker" TargetMode="External"/><Relationship Id="rId40" Type="http://schemas.openxmlformats.org/officeDocument/2006/relationships/hyperlink" Target="https://www.bnf.org/products/bnf-online/" TargetMode="External"/><Relationship Id="rId45" Type="http://schemas.openxmlformats.org/officeDocument/2006/relationships/hyperlink" Target="https://www.sciencedirect.com/topics/medicine-and-dentistry/parainfluenza-virus-infection" TargetMode="External"/><Relationship Id="rId53" Type="http://schemas.openxmlformats.org/officeDocument/2006/relationships/hyperlink" Target="https://www.fda.gov/media/143892/download" TargetMode="External"/><Relationship Id="rId58" Type="http://schemas.openxmlformats.org/officeDocument/2006/relationships/image" Target="media/image16.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crediblemeds.org/" TargetMode="Externa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hyperlink" Target="https://wellcome.ac.uk/what-we-do/our-work/statement-data-sharing-public-health-emergencies" TargetMode="External"/><Relationship Id="rId27" Type="http://schemas.openxmlformats.org/officeDocument/2006/relationships/image" Target="media/image9.emf"/><Relationship Id="rId30" Type="http://schemas.openxmlformats.org/officeDocument/2006/relationships/hyperlink" Target="https://www.bnf.org/products/bnf-online/"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https://www.sciencedirect.com/topics/medicine-and-dentistry/dengue-fever" TargetMode="External"/><Relationship Id="rId56" Type="http://schemas.openxmlformats.org/officeDocument/2006/relationships/hyperlink" Target="https://compendium.ch/fr/Patient" TargetMode="External"/><Relationship Id="rId64" Type="http://schemas.openxmlformats.org/officeDocument/2006/relationships/hyperlink" Target="https://www.uptodate.com/drug-interactions/?source=responsive_home" TargetMode="External"/><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hyperlink" Target="https://doi.org/10.1101/2021.01.21.21250268" TargetMode="External"/><Relationship Id="rId33" Type="http://schemas.openxmlformats.org/officeDocument/2006/relationships/hyperlink" Target="https://crediblemeds.org/" TargetMode="External"/><Relationship Id="rId38" Type="http://schemas.openxmlformats.org/officeDocument/2006/relationships/hyperlink" Target="https://crediblemeds.org/" TargetMode="External"/><Relationship Id="rId46" Type="http://schemas.openxmlformats.org/officeDocument/2006/relationships/hyperlink" Target="https://www.sciencedirect.com/topics/medicine-and-dentistry/rotavirus" TargetMode="External"/><Relationship Id="rId59" Type="http://schemas.openxmlformats.org/officeDocument/2006/relationships/image" Target="media/image17.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3.jpg"/><Relationship Id="rId54" Type="http://schemas.openxmlformats.org/officeDocument/2006/relationships/hyperlink" Target="https://www.covid19-druginteractions.org/checker" TargetMode="External"/><Relationship Id="rId62" Type="http://schemas.openxmlformats.org/officeDocument/2006/relationships/hyperlink" Target="https://compendium.ch/fr/Pati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yperlink" Target="https://wellcome.ac.uk/press-release/statement-data-sharing-public-health-emergencies" TargetMode="External"/><Relationship Id="rId28" Type="http://schemas.openxmlformats.org/officeDocument/2006/relationships/hyperlink" Target="https://www.medicines.org.uk/emc/product/1764/smpc" TargetMode="External"/><Relationship Id="rId36" Type="http://schemas.openxmlformats.org/officeDocument/2006/relationships/image" Target="media/image12.png"/><Relationship Id="rId49" Type="http://schemas.openxmlformats.org/officeDocument/2006/relationships/hyperlink" Target="https://www.sciencedirect.com/topics/medicine-and-dentistry/japanese-encephalitis-virus" TargetMode="External"/><Relationship Id="rId57" Type="http://schemas.openxmlformats.org/officeDocument/2006/relationships/hyperlink" Target="https://www.bnf.org/products/bnf-online/" TargetMode="External"/><Relationship Id="rId10" Type="http://schemas.openxmlformats.org/officeDocument/2006/relationships/endnotes" Target="endnotes.xml"/><Relationship Id="rId31" Type="http://schemas.openxmlformats.org/officeDocument/2006/relationships/hyperlink" Target="https://www.uptodate.com/drug-interactions/?source=responsive_home" TargetMode="External"/><Relationship Id="rId44" Type="http://schemas.openxmlformats.org/officeDocument/2006/relationships/hyperlink" Target="https://www.sciencedirect.com/topics/medicine-and-dentistry/human-respiratory-syncytial-virus" TargetMode="External"/><Relationship Id="rId52" Type="http://schemas.openxmlformats.org/officeDocument/2006/relationships/hyperlink" Target="https://www.fda.gov/media/143892/download" TargetMode="External"/><Relationship Id="rId60" Type="http://schemas.openxmlformats.org/officeDocument/2006/relationships/hyperlink" Target="https://www.covid19-druginteractions.org/checker" TargetMode="External"/><Relationship Id="rId65" Type="http://schemas.openxmlformats.org/officeDocument/2006/relationships/hyperlink" Target="https://qxmd.com/calculate/calculator_251/egfr-using-ckd-epi"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PLATCOVsafetyteam@tropmedres.ac" TargetMode="External"/><Relationship Id="rId39" Type="http://schemas.openxmlformats.org/officeDocument/2006/relationships/hyperlink" Target="https://compendium.ch/fr/Patient" TargetMode="External"/><Relationship Id="rId34" Type="http://schemas.openxmlformats.org/officeDocument/2006/relationships/hyperlink" Target="https://www.medicines.org.uk/emc/product/11597/smpc/print" TargetMode="External"/><Relationship Id="rId50" Type="http://schemas.openxmlformats.org/officeDocument/2006/relationships/hyperlink" Target="https://www.accessdata.fda.gov/drugsatfda_docs/label/2016/021497s001,021498s004lbl.pdf" TargetMode="External"/><Relationship Id="rId55" Type="http://schemas.openxmlformats.org/officeDocument/2006/relationships/hyperlink" Target="https://crediblemed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da.gov/media/78495/download" TargetMode="External"/></Relationships>
</file>

<file path=word/documenttasks/documenttasks1.xml><?xml version="1.0" encoding="utf-8"?>
<t:Tasks xmlns:t="http://schemas.microsoft.com/office/tasks/2019/documenttasks" xmlns:oel="http://schemas.microsoft.com/office/2019/extlst">
  <t:Task id="{B0069378-A2F0-4A47-9618-AB8D3FFD8F9B}">
    <t:Anchor>
      <t:Comment id="611015023"/>
    </t:Anchor>
    <t:History>
      <t:Event id="{FA3ACAE9-CFB7-4B9E-9263-B0C8CCD2C176}" time="2021-06-10T09:19:43Z">
        <t:Attribution userId="S::james.c@tropmedres.ac::bccb43bb-ab80-49e9-a825-40ffc3572481" userProvider="AD" userName="James Callery"/>
        <t:Anchor>
          <t:Comment id="1903795803"/>
        </t:Anchor>
        <t:Create/>
      </t:Event>
      <t:Event id="{00CB5818-6DA8-45C3-AE57-656DB45802A7}" time="2021-06-10T09:19:43Z">
        <t:Attribution userId="S::james.c@tropmedres.ac::bccb43bb-ab80-49e9-a825-40ffc3572481" userProvider="AD" userName="James Callery"/>
        <t:Anchor>
          <t:Comment id="1903795803"/>
        </t:Anchor>
        <t:Assign userId="S::William@tropmedres.ac::90f89f30-97b6-4af0-ae16-ee73dedb874c" userProvider="AD" userName="William Schilling"/>
      </t:Event>
      <t:Event id="{C31459F2-0564-465A-B94E-57E539B288EB}" time="2021-06-10T09:19:43Z">
        <t:Attribution userId="S::james.c@tropmedres.ac::bccb43bb-ab80-49e9-a825-40ffc3572481" userProvider="AD" userName="James Callery"/>
        <t:Anchor>
          <t:Comment id="1903795803"/>
        </t:Anchor>
        <t:SetTitle title="@William Schilling would you agree with not defining admissions to hospital with COVID-19 as SAEs unless they met the criteria for severe? @Tanya Cope agree? We should also add a criteria for severe COVID-19 in the appendix (which I know is a bit up i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6CC9DDEACF91C49AEA0D93F1A3A3A46" ma:contentTypeVersion="12" ma:contentTypeDescription="Create a new document." ma:contentTypeScope="" ma:versionID="2386e06dfbe80fccd7f4fc1587eb64fc">
  <xsd:schema xmlns:xsd="http://www.w3.org/2001/XMLSchema" xmlns:xs="http://www.w3.org/2001/XMLSchema" xmlns:p="http://schemas.microsoft.com/office/2006/metadata/properties" xmlns:ns3="abfdca07-f022-4d50-8c7d-f5826e52c72d" xmlns:ns4="6dbb5a96-a0ad-4604-b348-c66915d74714" targetNamespace="http://schemas.microsoft.com/office/2006/metadata/properties" ma:root="true" ma:fieldsID="fe4245cb116d9b2513a1865d163ba721" ns3:_="" ns4:_="">
    <xsd:import namespace="abfdca07-f022-4d50-8c7d-f5826e52c72d"/>
    <xsd:import namespace="6dbb5a96-a0ad-4604-b348-c66915d74714"/>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dca07-f022-4d50-8c7d-f5826e52c72d"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b5a96-a0ad-4604-b348-c66915d7471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857503-D1AE-4882-8ADD-0728989B61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BBE597-F868-4227-843D-C777EDDEDD96}">
  <ds:schemaRefs>
    <ds:schemaRef ds:uri="http://schemas.openxmlformats.org/officeDocument/2006/bibliography"/>
  </ds:schemaRefs>
</ds:datastoreItem>
</file>

<file path=customXml/itemProps3.xml><?xml version="1.0" encoding="utf-8"?>
<ds:datastoreItem xmlns:ds="http://schemas.openxmlformats.org/officeDocument/2006/customXml" ds:itemID="{38916971-D1E9-426E-9426-62C4FF526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dca07-f022-4d50-8c7d-f5826e52c72d"/>
    <ds:schemaRef ds:uri="6dbb5a96-a0ad-4604-b348-c66915d74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842156-28BF-420D-95ED-DFDC4CC9C0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38629</Words>
  <Characters>220188</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258301</CharactersWithSpaces>
  <SharedDoc>false</SharedDoc>
  <HLinks>
    <vt:vector size="594" baseType="variant">
      <vt:variant>
        <vt:i4>2687044</vt:i4>
      </vt:variant>
      <vt:variant>
        <vt:i4>423</vt:i4>
      </vt:variant>
      <vt:variant>
        <vt:i4>0</vt:i4>
      </vt:variant>
      <vt:variant>
        <vt:i4>5</vt:i4>
      </vt:variant>
      <vt:variant>
        <vt:lpwstr>https://qxmd.com/calculate/calculator_251/egfr-using-ckd-epi</vt:lpwstr>
      </vt:variant>
      <vt:variant>
        <vt:lpwstr/>
      </vt:variant>
      <vt:variant>
        <vt:i4>8192017</vt:i4>
      </vt:variant>
      <vt:variant>
        <vt:i4>420</vt:i4>
      </vt:variant>
      <vt:variant>
        <vt:i4>0</vt:i4>
      </vt:variant>
      <vt:variant>
        <vt:i4>5</vt:i4>
      </vt:variant>
      <vt:variant>
        <vt:lpwstr>https://www.uptodate.com/drug-interactions/?source=responsive_home</vt:lpwstr>
      </vt:variant>
      <vt:variant>
        <vt:lpwstr>di-druglist</vt:lpwstr>
      </vt:variant>
      <vt:variant>
        <vt:i4>1376348</vt:i4>
      </vt:variant>
      <vt:variant>
        <vt:i4>417</vt:i4>
      </vt:variant>
      <vt:variant>
        <vt:i4>0</vt:i4>
      </vt:variant>
      <vt:variant>
        <vt:i4>5</vt:i4>
      </vt:variant>
      <vt:variant>
        <vt:lpwstr>https://www.bnf.org/products/bnf-online/</vt:lpwstr>
      </vt:variant>
      <vt:variant>
        <vt:lpwstr/>
      </vt:variant>
      <vt:variant>
        <vt:i4>5177427</vt:i4>
      </vt:variant>
      <vt:variant>
        <vt:i4>414</vt:i4>
      </vt:variant>
      <vt:variant>
        <vt:i4>0</vt:i4>
      </vt:variant>
      <vt:variant>
        <vt:i4>5</vt:i4>
      </vt:variant>
      <vt:variant>
        <vt:lpwstr>https://compendium.ch/fr/Patient</vt:lpwstr>
      </vt:variant>
      <vt:variant>
        <vt:lpwstr/>
      </vt:variant>
      <vt:variant>
        <vt:i4>1966102</vt:i4>
      </vt:variant>
      <vt:variant>
        <vt:i4>411</vt:i4>
      </vt:variant>
      <vt:variant>
        <vt:i4>0</vt:i4>
      </vt:variant>
      <vt:variant>
        <vt:i4>5</vt:i4>
      </vt:variant>
      <vt:variant>
        <vt:lpwstr>https://crediblemeds.org/</vt:lpwstr>
      </vt:variant>
      <vt:variant>
        <vt:lpwstr/>
      </vt:variant>
      <vt:variant>
        <vt:i4>5373967</vt:i4>
      </vt:variant>
      <vt:variant>
        <vt:i4>408</vt:i4>
      </vt:variant>
      <vt:variant>
        <vt:i4>0</vt:i4>
      </vt:variant>
      <vt:variant>
        <vt:i4>5</vt:i4>
      </vt:variant>
      <vt:variant>
        <vt:lpwstr>https://www.covid19-druginteractions.org/checker</vt:lpwstr>
      </vt:variant>
      <vt:variant>
        <vt:lpwstr/>
      </vt:variant>
      <vt:variant>
        <vt:i4>4259908</vt:i4>
      </vt:variant>
      <vt:variant>
        <vt:i4>405</vt:i4>
      </vt:variant>
      <vt:variant>
        <vt:i4>0</vt:i4>
      </vt:variant>
      <vt:variant>
        <vt:i4>5</vt:i4>
      </vt:variant>
      <vt:variant>
        <vt:lpwstr>https://www.fda.gov/media/143892/download</vt:lpwstr>
      </vt:variant>
      <vt:variant>
        <vt:lpwstr/>
      </vt:variant>
      <vt:variant>
        <vt:i4>4259908</vt:i4>
      </vt:variant>
      <vt:variant>
        <vt:i4>402</vt:i4>
      </vt:variant>
      <vt:variant>
        <vt:i4>0</vt:i4>
      </vt:variant>
      <vt:variant>
        <vt:i4>5</vt:i4>
      </vt:variant>
      <vt:variant>
        <vt:lpwstr>https://www.fda.gov/media/143892/download</vt:lpwstr>
      </vt:variant>
      <vt:variant>
        <vt:lpwstr/>
      </vt:variant>
      <vt:variant>
        <vt:i4>589878</vt:i4>
      </vt:variant>
      <vt:variant>
        <vt:i4>399</vt:i4>
      </vt:variant>
      <vt:variant>
        <vt:i4>0</vt:i4>
      </vt:variant>
      <vt:variant>
        <vt:i4>5</vt:i4>
      </vt:variant>
      <vt:variant>
        <vt:lpwstr>https://www.accessdata.fda.gov/drugsatfda_docs/label/2016/021497s001,021498s004lbl.pdf</vt:lpwstr>
      </vt:variant>
      <vt:variant>
        <vt:lpwstr/>
      </vt:variant>
      <vt:variant>
        <vt:i4>3145762</vt:i4>
      </vt:variant>
      <vt:variant>
        <vt:i4>396</vt:i4>
      </vt:variant>
      <vt:variant>
        <vt:i4>0</vt:i4>
      </vt:variant>
      <vt:variant>
        <vt:i4>5</vt:i4>
      </vt:variant>
      <vt:variant>
        <vt:lpwstr>https://www.sciencedirect.com/topics/medicine-and-dentistry/japanese-encephalitis-virus</vt:lpwstr>
      </vt:variant>
      <vt:variant>
        <vt:lpwstr/>
      </vt:variant>
      <vt:variant>
        <vt:i4>1245270</vt:i4>
      </vt:variant>
      <vt:variant>
        <vt:i4>393</vt:i4>
      </vt:variant>
      <vt:variant>
        <vt:i4>0</vt:i4>
      </vt:variant>
      <vt:variant>
        <vt:i4>5</vt:i4>
      </vt:variant>
      <vt:variant>
        <vt:lpwstr>https://www.sciencedirect.com/topics/medicine-and-dentistry/dengue-fever</vt:lpwstr>
      </vt:variant>
      <vt:variant>
        <vt:lpwstr/>
      </vt:variant>
      <vt:variant>
        <vt:i4>655388</vt:i4>
      </vt:variant>
      <vt:variant>
        <vt:i4>390</vt:i4>
      </vt:variant>
      <vt:variant>
        <vt:i4>0</vt:i4>
      </vt:variant>
      <vt:variant>
        <vt:i4>5</vt:i4>
      </vt:variant>
      <vt:variant>
        <vt:lpwstr>https://www.sciencedirect.com/topics/medicine-and-dentistry/norovirus</vt:lpwstr>
      </vt:variant>
      <vt:variant>
        <vt:lpwstr/>
      </vt:variant>
      <vt:variant>
        <vt:i4>262150</vt:i4>
      </vt:variant>
      <vt:variant>
        <vt:i4>387</vt:i4>
      </vt:variant>
      <vt:variant>
        <vt:i4>0</vt:i4>
      </vt:variant>
      <vt:variant>
        <vt:i4>5</vt:i4>
      </vt:variant>
      <vt:variant>
        <vt:lpwstr>https://www.sciencedirect.com/topics/medicine-and-dentistry/rotavirus</vt:lpwstr>
      </vt:variant>
      <vt:variant>
        <vt:lpwstr/>
      </vt:variant>
      <vt:variant>
        <vt:i4>458753</vt:i4>
      </vt:variant>
      <vt:variant>
        <vt:i4>384</vt:i4>
      </vt:variant>
      <vt:variant>
        <vt:i4>0</vt:i4>
      </vt:variant>
      <vt:variant>
        <vt:i4>5</vt:i4>
      </vt:variant>
      <vt:variant>
        <vt:lpwstr>https://www.sciencedirect.com/topics/medicine-and-dentistry/parainfluenza-virus-infection</vt:lpwstr>
      </vt:variant>
      <vt:variant>
        <vt:lpwstr/>
      </vt:variant>
      <vt:variant>
        <vt:i4>6094869</vt:i4>
      </vt:variant>
      <vt:variant>
        <vt:i4>381</vt:i4>
      </vt:variant>
      <vt:variant>
        <vt:i4>0</vt:i4>
      </vt:variant>
      <vt:variant>
        <vt:i4>5</vt:i4>
      </vt:variant>
      <vt:variant>
        <vt:lpwstr>https://www.sciencedirect.com/topics/medicine-and-dentistry/human-respiratory-syncytial-virus</vt:lpwstr>
      </vt:variant>
      <vt:variant>
        <vt:lpwstr/>
      </vt:variant>
      <vt:variant>
        <vt:i4>65607</vt:i4>
      </vt:variant>
      <vt:variant>
        <vt:i4>378</vt:i4>
      </vt:variant>
      <vt:variant>
        <vt:i4>0</vt:i4>
      </vt:variant>
      <vt:variant>
        <vt:i4>5</vt:i4>
      </vt:variant>
      <vt:variant>
        <vt:lpwstr>https://mri.cts-mrp.eu/Human/Downloads/NL_H_3952_001_FinalSPC.pdf</vt:lpwstr>
      </vt:variant>
      <vt:variant>
        <vt:lpwstr/>
      </vt:variant>
      <vt:variant>
        <vt:i4>1376348</vt:i4>
      </vt:variant>
      <vt:variant>
        <vt:i4>375</vt:i4>
      </vt:variant>
      <vt:variant>
        <vt:i4>0</vt:i4>
      </vt:variant>
      <vt:variant>
        <vt:i4>5</vt:i4>
      </vt:variant>
      <vt:variant>
        <vt:lpwstr>https://www.bnf.org/products/bnf-online/</vt:lpwstr>
      </vt:variant>
      <vt:variant>
        <vt:lpwstr/>
      </vt:variant>
      <vt:variant>
        <vt:i4>5177427</vt:i4>
      </vt:variant>
      <vt:variant>
        <vt:i4>372</vt:i4>
      </vt:variant>
      <vt:variant>
        <vt:i4>0</vt:i4>
      </vt:variant>
      <vt:variant>
        <vt:i4>5</vt:i4>
      </vt:variant>
      <vt:variant>
        <vt:lpwstr>https://compendium.ch/fr/Patient</vt:lpwstr>
      </vt:variant>
      <vt:variant>
        <vt:lpwstr/>
      </vt:variant>
      <vt:variant>
        <vt:i4>1966102</vt:i4>
      </vt:variant>
      <vt:variant>
        <vt:i4>369</vt:i4>
      </vt:variant>
      <vt:variant>
        <vt:i4>0</vt:i4>
      </vt:variant>
      <vt:variant>
        <vt:i4>5</vt:i4>
      </vt:variant>
      <vt:variant>
        <vt:lpwstr>https://crediblemeds.org/</vt:lpwstr>
      </vt:variant>
      <vt:variant>
        <vt:lpwstr/>
      </vt:variant>
      <vt:variant>
        <vt:i4>5373967</vt:i4>
      </vt:variant>
      <vt:variant>
        <vt:i4>366</vt:i4>
      </vt:variant>
      <vt:variant>
        <vt:i4>0</vt:i4>
      </vt:variant>
      <vt:variant>
        <vt:i4>5</vt:i4>
      </vt:variant>
      <vt:variant>
        <vt:lpwstr>https://www.covid19-druginteractions.org/checker</vt:lpwstr>
      </vt:variant>
      <vt:variant>
        <vt:lpwstr/>
      </vt:variant>
      <vt:variant>
        <vt:i4>4849741</vt:i4>
      </vt:variant>
      <vt:variant>
        <vt:i4>363</vt:i4>
      </vt:variant>
      <vt:variant>
        <vt:i4>0</vt:i4>
      </vt:variant>
      <vt:variant>
        <vt:i4>5</vt:i4>
      </vt:variant>
      <vt:variant>
        <vt:lpwstr>https://www.medicines.org.uk/emc/product/11597/smpc/print</vt:lpwstr>
      </vt:variant>
      <vt:variant>
        <vt:lpwstr/>
      </vt:variant>
      <vt:variant>
        <vt:i4>1966102</vt:i4>
      </vt:variant>
      <vt:variant>
        <vt:i4>360</vt:i4>
      </vt:variant>
      <vt:variant>
        <vt:i4>0</vt:i4>
      </vt:variant>
      <vt:variant>
        <vt:i4>5</vt:i4>
      </vt:variant>
      <vt:variant>
        <vt:lpwstr>https://crediblemeds.org/</vt:lpwstr>
      </vt:variant>
      <vt:variant>
        <vt:lpwstr/>
      </vt:variant>
      <vt:variant>
        <vt:i4>5177427</vt:i4>
      </vt:variant>
      <vt:variant>
        <vt:i4>357</vt:i4>
      </vt:variant>
      <vt:variant>
        <vt:i4>0</vt:i4>
      </vt:variant>
      <vt:variant>
        <vt:i4>5</vt:i4>
      </vt:variant>
      <vt:variant>
        <vt:lpwstr>https://compendium.ch/fr/Patient</vt:lpwstr>
      </vt:variant>
      <vt:variant>
        <vt:lpwstr/>
      </vt:variant>
      <vt:variant>
        <vt:i4>8192017</vt:i4>
      </vt:variant>
      <vt:variant>
        <vt:i4>354</vt:i4>
      </vt:variant>
      <vt:variant>
        <vt:i4>0</vt:i4>
      </vt:variant>
      <vt:variant>
        <vt:i4>5</vt:i4>
      </vt:variant>
      <vt:variant>
        <vt:lpwstr>https://www.uptodate.com/drug-interactions/?source=responsive_home</vt:lpwstr>
      </vt:variant>
      <vt:variant>
        <vt:lpwstr>di-druglist</vt:lpwstr>
      </vt:variant>
      <vt:variant>
        <vt:i4>1376348</vt:i4>
      </vt:variant>
      <vt:variant>
        <vt:i4>351</vt:i4>
      </vt:variant>
      <vt:variant>
        <vt:i4>0</vt:i4>
      </vt:variant>
      <vt:variant>
        <vt:i4>5</vt:i4>
      </vt:variant>
      <vt:variant>
        <vt:lpwstr>https://www.bnf.org/products/bnf-online/</vt:lpwstr>
      </vt:variant>
      <vt:variant>
        <vt:lpwstr/>
      </vt:variant>
      <vt:variant>
        <vt:i4>7274621</vt:i4>
      </vt:variant>
      <vt:variant>
        <vt:i4>348</vt:i4>
      </vt:variant>
      <vt:variant>
        <vt:i4>0</vt:i4>
      </vt:variant>
      <vt:variant>
        <vt:i4>5</vt:i4>
      </vt:variant>
      <vt:variant>
        <vt:lpwstr>https://www.medicines.org.uk/emc/product/1764/smpc</vt:lpwstr>
      </vt:variant>
      <vt:variant>
        <vt:lpwstr/>
      </vt:variant>
      <vt:variant>
        <vt:i4>7340082</vt:i4>
      </vt:variant>
      <vt:variant>
        <vt:i4>345</vt:i4>
      </vt:variant>
      <vt:variant>
        <vt:i4>0</vt:i4>
      </vt:variant>
      <vt:variant>
        <vt:i4>5</vt:i4>
      </vt:variant>
      <vt:variant>
        <vt:lpwstr>https://www.medrxiv.org/content/10.1101/2021.01.06.21249368v1.full.pdf</vt:lpwstr>
      </vt:variant>
      <vt:variant>
        <vt:lpwstr/>
      </vt:variant>
      <vt:variant>
        <vt:i4>3866735</vt:i4>
      </vt:variant>
      <vt:variant>
        <vt:i4>342</vt:i4>
      </vt:variant>
      <vt:variant>
        <vt:i4>0</vt:i4>
      </vt:variant>
      <vt:variant>
        <vt:i4>5</vt:i4>
      </vt:variant>
      <vt:variant>
        <vt:lpwstr>https://doi.org/10.1101/2021.01.21.21250268</vt:lpwstr>
      </vt:variant>
      <vt:variant>
        <vt:lpwstr/>
      </vt:variant>
      <vt:variant>
        <vt:i4>1966167</vt:i4>
      </vt:variant>
      <vt:variant>
        <vt:i4>339</vt:i4>
      </vt:variant>
      <vt:variant>
        <vt:i4>0</vt:i4>
      </vt:variant>
      <vt:variant>
        <vt:i4>5</vt:i4>
      </vt:variant>
      <vt:variant>
        <vt:lpwstr>https://wellcome.ac.uk/press-release/statement-data-sharing-public-health-emergencies</vt:lpwstr>
      </vt:variant>
      <vt:variant>
        <vt:lpwstr/>
      </vt:variant>
      <vt:variant>
        <vt:i4>2818105</vt:i4>
      </vt:variant>
      <vt:variant>
        <vt:i4>336</vt:i4>
      </vt:variant>
      <vt:variant>
        <vt:i4>0</vt:i4>
      </vt:variant>
      <vt:variant>
        <vt:i4>5</vt:i4>
      </vt:variant>
      <vt:variant>
        <vt:lpwstr>https://wellcome.ac.uk/what-we-do/our-work/statement-data-sharing-public-health-emergencies</vt:lpwstr>
      </vt:variant>
      <vt:variant>
        <vt:lpwstr/>
      </vt:variant>
      <vt:variant>
        <vt:i4>2686990</vt:i4>
      </vt:variant>
      <vt:variant>
        <vt:i4>333</vt:i4>
      </vt:variant>
      <vt:variant>
        <vt:i4>0</vt:i4>
      </vt:variant>
      <vt:variant>
        <vt:i4>5</vt:i4>
      </vt:variant>
      <vt:variant>
        <vt:lpwstr>mailto:PLATCOVsafetyteam@tropmedres.ac</vt:lpwstr>
      </vt:variant>
      <vt:variant>
        <vt:lpwstr/>
      </vt:variant>
      <vt:variant>
        <vt:i4>1638460</vt:i4>
      </vt:variant>
      <vt:variant>
        <vt:i4>326</vt:i4>
      </vt:variant>
      <vt:variant>
        <vt:i4>0</vt:i4>
      </vt:variant>
      <vt:variant>
        <vt:i4>5</vt:i4>
      </vt:variant>
      <vt:variant>
        <vt:lpwstr/>
      </vt:variant>
      <vt:variant>
        <vt:lpwstr>_Toc63857058</vt:lpwstr>
      </vt:variant>
      <vt:variant>
        <vt:i4>1441852</vt:i4>
      </vt:variant>
      <vt:variant>
        <vt:i4>320</vt:i4>
      </vt:variant>
      <vt:variant>
        <vt:i4>0</vt:i4>
      </vt:variant>
      <vt:variant>
        <vt:i4>5</vt:i4>
      </vt:variant>
      <vt:variant>
        <vt:lpwstr/>
      </vt:variant>
      <vt:variant>
        <vt:lpwstr>_Toc63857057</vt:lpwstr>
      </vt:variant>
      <vt:variant>
        <vt:i4>1507388</vt:i4>
      </vt:variant>
      <vt:variant>
        <vt:i4>314</vt:i4>
      </vt:variant>
      <vt:variant>
        <vt:i4>0</vt:i4>
      </vt:variant>
      <vt:variant>
        <vt:i4>5</vt:i4>
      </vt:variant>
      <vt:variant>
        <vt:lpwstr/>
      </vt:variant>
      <vt:variant>
        <vt:lpwstr>_Toc63857056</vt:lpwstr>
      </vt:variant>
      <vt:variant>
        <vt:i4>1310780</vt:i4>
      </vt:variant>
      <vt:variant>
        <vt:i4>308</vt:i4>
      </vt:variant>
      <vt:variant>
        <vt:i4>0</vt:i4>
      </vt:variant>
      <vt:variant>
        <vt:i4>5</vt:i4>
      </vt:variant>
      <vt:variant>
        <vt:lpwstr/>
      </vt:variant>
      <vt:variant>
        <vt:lpwstr>_Toc63857055</vt:lpwstr>
      </vt:variant>
      <vt:variant>
        <vt:i4>1376316</vt:i4>
      </vt:variant>
      <vt:variant>
        <vt:i4>302</vt:i4>
      </vt:variant>
      <vt:variant>
        <vt:i4>0</vt:i4>
      </vt:variant>
      <vt:variant>
        <vt:i4>5</vt:i4>
      </vt:variant>
      <vt:variant>
        <vt:lpwstr/>
      </vt:variant>
      <vt:variant>
        <vt:lpwstr>_Toc63857054</vt:lpwstr>
      </vt:variant>
      <vt:variant>
        <vt:i4>1179708</vt:i4>
      </vt:variant>
      <vt:variant>
        <vt:i4>296</vt:i4>
      </vt:variant>
      <vt:variant>
        <vt:i4>0</vt:i4>
      </vt:variant>
      <vt:variant>
        <vt:i4>5</vt:i4>
      </vt:variant>
      <vt:variant>
        <vt:lpwstr/>
      </vt:variant>
      <vt:variant>
        <vt:lpwstr>_Toc63857053</vt:lpwstr>
      </vt:variant>
      <vt:variant>
        <vt:i4>1245244</vt:i4>
      </vt:variant>
      <vt:variant>
        <vt:i4>290</vt:i4>
      </vt:variant>
      <vt:variant>
        <vt:i4>0</vt:i4>
      </vt:variant>
      <vt:variant>
        <vt:i4>5</vt:i4>
      </vt:variant>
      <vt:variant>
        <vt:lpwstr/>
      </vt:variant>
      <vt:variant>
        <vt:lpwstr>_Toc63857052</vt:lpwstr>
      </vt:variant>
      <vt:variant>
        <vt:i4>1048636</vt:i4>
      </vt:variant>
      <vt:variant>
        <vt:i4>284</vt:i4>
      </vt:variant>
      <vt:variant>
        <vt:i4>0</vt:i4>
      </vt:variant>
      <vt:variant>
        <vt:i4>5</vt:i4>
      </vt:variant>
      <vt:variant>
        <vt:lpwstr/>
      </vt:variant>
      <vt:variant>
        <vt:lpwstr>_Toc63857051</vt:lpwstr>
      </vt:variant>
      <vt:variant>
        <vt:i4>1114172</vt:i4>
      </vt:variant>
      <vt:variant>
        <vt:i4>278</vt:i4>
      </vt:variant>
      <vt:variant>
        <vt:i4>0</vt:i4>
      </vt:variant>
      <vt:variant>
        <vt:i4>5</vt:i4>
      </vt:variant>
      <vt:variant>
        <vt:lpwstr/>
      </vt:variant>
      <vt:variant>
        <vt:lpwstr>_Toc63857050</vt:lpwstr>
      </vt:variant>
      <vt:variant>
        <vt:i4>1572925</vt:i4>
      </vt:variant>
      <vt:variant>
        <vt:i4>272</vt:i4>
      </vt:variant>
      <vt:variant>
        <vt:i4>0</vt:i4>
      </vt:variant>
      <vt:variant>
        <vt:i4>5</vt:i4>
      </vt:variant>
      <vt:variant>
        <vt:lpwstr/>
      </vt:variant>
      <vt:variant>
        <vt:lpwstr>_Toc63857049</vt:lpwstr>
      </vt:variant>
      <vt:variant>
        <vt:i4>1638461</vt:i4>
      </vt:variant>
      <vt:variant>
        <vt:i4>266</vt:i4>
      </vt:variant>
      <vt:variant>
        <vt:i4>0</vt:i4>
      </vt:variant>
      <vt:variant>
        <vt:i4>5</vt:i4>
      </vt:variant>
      <vt:variant>
        <vt:lpwstr/>
      </vt:variant>
      <vt:variant>
        <vt:lpwstr>_Toc63857048</vt:lpwstr>
      </vt:variant>
      <vt:variant>
        <vt:i4>1441853</vt:i4>
      </vt:variant>
      <vt:variant>
        <vt:i4>260</vt:i4>
      </vt:variant>
      <vt:variant>
        <vt:i4>0</vt:i4>
      </vt:variant>
      <vt:variant>
        <vt:i4>5</vt:i4>
      </vt:variant>
      <vt:variant>
        <vt:lpwstr/>
      </vt:variant>
      <vt:variant>
        <vt:lpwstr>_Toc63857047</vt:lpwstr>
      </vt:variant>
      <vt:variant>
        <vt:i4>1507389</vt:i4>
      </vt:variant>
      <vt:variant>
        <vt:i4>254</vt:i4>
      </vt:variant>
      <vt:variant>
        <vt:i4>0</vt:i4>
      </vt:variant>
      <vt:variant>
        <vt:i4>5</vt:i4>
      </vt:variant>
      <vt:variant>
        <vt:lpwstr/>
      </vt:variant>
      <vt:variant>
        <vt:lpwstr>_Toc63857046</vt:lpwstr>
      </vt:variant>
      <vt:variant>
        <vt:i4>1310781</vt:i4>
      </vt:variant>
      <vt:variant>
        <vt:i4>248</vt:i4>
      </vt:variant>
      <vt:variant>
        <vt:i4>0</vt:i4>
      </vt:variant>
      <vt:variant>
        <vt:i4>5</vt:i4>
      </vt:variant>
      <vt:variant>
        <vt:lpwstr/>
      </vt:variant>
      <vt:variant>
        <vt:lpwstr>_Toc63857045</vt:lpwstr>
      </vt:variant>
      <vt:variant>
        <vt:i4>1376317</vt:i4>
      </vt:variant>
      <vt:variant>
        <vt:i4>242</vt:i4>
      </vt:variant>
      <vt:variant>
        <vt:i4>0</vt:i4>
      </vt:variant>
      <vt:variant>
        <vt:i4>5</vt:i4>
      </vt:variant>
      <vt:variant>
        <vt:lpwstr/>
      </vt:variant>
      <vt:variant>
        <vt:lpwstr>_Toc63857044</vt:lpwstr>
      </vt:variant>
      <vt:variant>
        <vt:i4>1179709</vt:i4>
      </vt:variant>
      <vt:variant>
        <vt:i4>236</vt:i4>
      </vt:variant>
      <vt:variant>
        <vt:i4>0</vt:i4>
      </vt:variant>
      <vt:variant>
        <vt:i4>5</vt:i4>
      </vt:variant>
      <vt:variant>
        <vt:lpwstr/>
      </vt:variant>
      <vt:variant>
        <vt:lpwstr>_Toc63857043</vt:lpwstr>
      </vt:variant>
      <vt:variant>
        <vt:i4>1245245</vt:i4>
      </vt:variant>
      <vt:variant>
        <vt:i4>230</vt:i4>
      </vt:variant>
      <vt:variant>
        <vt:i4>0</vt:i4>
      </vt:variant>
      <vt:variant>
        <vt:i4>5</vt:i4>
      </vt:variant>
      <vt:variant>
        <vt:lpwstr/>
      </vt:variant>
      <vt:variant>
        <vt:lpwstr>_Toc63857042</vt:lpwstr>
      </vt:variant>
      <vt:variant>
        <vt:i4>1048637</vt:i4>
      </vt:variant>
      <vt:variant>
        <vt:i4>224</vt:i4>
      </vt:variant>
      <vt:variant>
        <vt:i4>0</vt:i4>
      </vt:variant>
      <vt:variant>
        <vt:i4>5</vt:i4>
      </vt:variant>
      <vt:variant>
        <vt:lpwstr/>
      </vt:variant>
      <vt:variant>
        <vt:lpwstr>_Toc63857041</vt:lpwstr>
      </vt:variant>
      <vt:variant>
        <vt:i4>1114173</vt:i4>
      </vt:variant>
      <vt:variant>
        <vt:i4>218</vt:i4>
      </vt:variant>
      <vt:variant>
        <vt:i4>0</vt:i4>
      </vt:variant>
      <vt:variant>
        <vt:i4>5</vt:i4>
      </vt:variant>
      <vt:variant>
        <vt:lpwstr/>
      </vt:variant>
      <vt:variant>
        <vt:lpwstr>_Toc63857040</vt:lpwstr>
      </vt:variant>
      <vt:variant>
        <vt:i4>1572922</vt:i4>
      </vt:variant>
      <vt:variant>
        <vt:i4>212</vt:i4>
      </vt:variant>
      <vt:variant>
        <vt:i4>0</vt:i4>
      </vt:variant>
      <vt:variant>
        <vt:i4>5</vt:i4>
      </vt:variant>
      <vt:variant>
        <vt:lpwstr/>
      </vt:variant>
      <vt:variant>
        <vt:lpwstr>_Toc63857039</vt:lpwstr>
      </vt:variant>
      <vt:variant>
        <vt:i4>1638458</vt:i4>
      </vt:variant>
      <vt:variant>
        <vt:i4>206</vt:i4>
      </vt:variant>
      <vt:variant>
        <vt:i4>0</vt:i4>
      </vt:variant>
      <vt:variant>
        <vt:i4>5</vt:i4>
      </vt:variant>
      <vt:variant>
        <vt:lpwstr/>
      </vt:variant>
      <vt:variant>
        <vt:lpwstr>_Toc63857038</vt:lpwstr>
      </vt:variant>
      <vt:variant>
        <vt:i4>1441850</vt:i4>
      </vt:variant>
      <vt:variant>
        <vt:i4>200</vt:i4>
      </vt:variant>
      <vt:variant>
        <vt:i4>0</vt:i4>
      </vt:variant>
      <vt:variant>
        <vt:i4>5</vt:i4>
      </vt:variant>
      <vt:variant>
        <vt:lpwstr/>
      </vt:variant>
      <vt:variant>
        <vt:lpwstr>_Toc63857037</vt:lpwstr>
      </vt:variant>
      <vt:variant>
        <vt:i4>1507386</vt:i4>
      </vt:variant>
      <vt:variant>
        <vt:i4>194</vt:i4>
      </vt:variant>
      <vt:variant>
        <vt:i4>0</vt:i4>
      </vt:variant>
      <vt:variant>
        <vt:i4>5</vt:i4>
      </vt:variant>
      <vt:variant>
        <vt:lpwstr/>
      </vt:variant>
      <vt:variant>
        <vt:lpwstr>_Toc63857036</vt:lpwstr>
      </vt:variant>
      <vt:variant>
        <vt:i4>1310778</vt:i4>
      </vt:variant>
      <vt:variant>
        <vt:i4>188</vt:i4>
      </vt:variant>
      <vt:variant>
        <vt:i4>0</vt:i4>
      </vt:variant>
      <vt:variant>
        <vt:i4>5</vt:i4>
      </vt:variant>
      <vt:variant>
        <vt:lpwstr/>
      </vt:variant>
      <vt:variant>
        <vt:lpwstr>_Toc63857035</vt:lpwstr>
      </vt:variant>
      <vt:variant>
        <vt:i4>1376314</vt:i4>
      </vt:variant>
      <vt:variant>
        <vt:i4>182</vt:i4>
      </vt:variant>
      <vt:variant>
        <vt:i4>0</vt:i4>
      </vt:variant>
      <vt:variant>
        <vt:i4>5</vt:i4>
      </vt:variant>
      <vt:variant>
        <vt:lpwstr/>
      </vt:variant>
      <vt:variant>
        <vt:lpwstr>_Toc63857034</vt:lpwstr>
      </vt:variant>
      <vt:variant>
        <vt:i4>1179706</vt:i4>
      </vt:variant>
      <vt:variant>
        <vt:i4>176</vt:i4>
      </vt:variant>
      <vt:variant>
        <vt:i4>0</vt:i4>
      </vt:variant>
      <vt:variant>
        <vt:i4>5</vt:i4>
      </vt:variant>
      <vt:variant>
        <vt:lpwstr/>
      </vt:variant>
      <vt:variant>
        <vt:lpwstr>_Toc63857033</vt:lpwstr>
      </vt:variant>
      <vt:variant>
        <vt:i4>1245242</vt:i4>
      </vt:variant>
      <vt:variant>
        <vt:i4>170</vt:i4>
      </vt:variant>
      <vt:variant>
        <vt:i4>0</vt:i4>
      </vt:variant>
      <vt:variant>
        <vt:i4>5</vt:i4>
      </vt:variant>
      <vt:variant>
        <vt:lpwstr/>
      </vt:variant>
      <vt:variant>
        <vt:lpwstr>_Toc63857032</vt:lpwstr>
      </vt:variant>
      <vt:variant>
        <vt:i4>1048634</vt:i4>
      </vt:variant>
      <vt:variant>
        <vt:i4>164</vt:i4>
      </vt:variant>
      <vt:variant>
        <vt:i4>0</vt:i4>
      </vt:variant>
      <vt:variant>
        <vt:i4>5</vt:i4>
      </vt:variant>
      <vt:variant>
        <vt:lpwstr/>
      </vt:variant>
      <vt:variant>
        <vt:lpwstr>_Toc63857031</vt:lpwstr>
      </vt:variant>
      <vt:variant>
        <vt:i4>1114170</vt:i4>
      </vt:variant>
      <vt:variant>
        <vt:i4>158</vt:i4>
      </vt:variant>
      <vt:variant>
        <vt:i4>0</vt:i4>
      </vt:variant>
      <vt:variant>
        <vt:i4>5</vt:i4>
      </vt:variant>
      <vt:variant>
        <vt:lpwstr/>
      </vt:variant>
      <vt:variant>
        <vt:lpwstr>_Toc63857030</vt:lpwstr>
      </vt:variant>
      <vt:variant>
        <vt:i4>1572923</vt:i4>
      </vt:variant>
      <vt:variant>
        <vt:i4>152</vt:i4>
      </vt:variant>
      <vt:variant>
        <vt:i4>0</vt:i4>
      </vt:variant>
      <vt:variant>
        <vt:i4>5</vt:i4>
      </vt:variant>
      <vt:variant>
        <vt:lpwstr/>
      </vt:variant>
      <vt:variant>
        <vt:lpwstr>_Toc63857029</vt:lpwstr>
      </vt:variant>
      <vt:variant>
        <vt:i4>1638459</vt:i4>
      </vt:variant>
      <vt:variant>
        <vt:i4>146</vt:i4>
      </vt:variant>
      <vt:variant>
        <vt:i4>0</vt:i4>
      </vt:variant>
      <vt:variant>
        <vt:i4>5</vt:i4>
      </vt:variant>
      <vt:variant>
        <vt:lpwstr/>
      </vt:variant>
      <vt:variant>
        <vt:lpwstr>_Toc63857028</vt:lpwstr>
      </vt:variant>
      <vt:variant>
        <vt:i4>1441851</vt:i4>
      </vt:variant>
      <vt:variant>
        <vt:i4>140</vt:i4>
      </vt:variant>
      <vt:variant>
        <vt:i4>0</vt:i4>
      </vt:variant>
      <vt:variant>
        <vt:i4>5</vt:i4>
      </vt:variant>
      <vt:variant>
        <vt:lpwstr/>
      </vt:variant>
      <vt:variant>
        <vt:lpwstr>_Toc63857027</vt:lpwstr>
      </vt:variant>
      <vt:variant>
        <vt:i4>1507387</vt:i4>
      </vt:variant>
      <vt:variant>
        <vt:i4>134</vt:i4>
      </vt:variant>
      <vt:variant>
        <vt:i4>0</vt:i4>
      </vt:variant>
      <vt:variant>
        <vt:i4>5</vt:i4>
      </vt:variant>
      <vt:variant>
        <vt:lpwstr/>
      </vt:variant>
      <vt:variant>
        <vt:lpwstr>_Toc63857026</vt:lpwstr>
      </vt:variant>
      <vt:variant>
        <vt:i4>1310779</vt:i4>
      </vt:variant>
      <vt:variant>
        <vt:i4>128</vt:i4>
      </vt:variant>
      <vt:variant>
        <vt:i4>0</vt:i4>
      </vt:variant>
      <vt:variant>
        <vt:i4>5</vt:i4>
      </vt:variant>
      <vt:variant>
        <vt:lpwstr/>
      </vt:variant>
      <vt:variant>
        <vt:lpwstr>_Toc63857025</vt:lpwstr>
      </vt:variant>
      <vt:variant>
        <vt:i4>1376315</vt:i4>
      </vt:variant>
      <vt:variant>
        <vt:i4>122</vt:i4>
      </vt:variant>
      <vt:variant>
        <vt:i4>0</vt:i4>
      </vt:variant>
      <vt:variant>
        <vt:i4>5</vt:i4>
      </vt:variant>
      <vt:variant>
        <vt:lpwstr/>
      </vt:variant>
      <vt:variant>
        <vt:lpwstr>_Toc63857024</vt:lpwstr>
      </vt:variant>
      <vt:variant>
        <vt:i4>1179707</vt:i4>
      </vt:variant>
      <vt:variant>
        <vt:i4>116</vt:i4>
      </vt:variant>
      <vt:variant>
        <vt:i4>0</vt:i4>
      </vt:variant>
      <vt:variant>
        <vt:i4>5</vt:i4>
      </vt:variant>
      <vt:variant>
        <vt:lpwstr/>
      </vt:variant>
      <vt:variant>
        <vt:lpwstr>_Toc63857023</vt:lpwstr>
      </vt:variant>
      <vt:variant>
        <vt:i4>1245243</vt:i4>
      </vt:variant>
      <vt:variant>
        <vt:i4>110</vt:i4>
      </vt:variant>
      <vt:variant>
        <vt:i4>0</vt:i4>
      </vt:variant>
      <vt:variant>
        <vt:i4>5</vt:i4>
      </vt:variant>
      <vt:variant>
        <vt:lpwstr/>
      </vt:variant>
      <vt:variant>
        <vt:lpwstr>_Toc63857022</vt:lpwstr>
      </vt:variant>
      <vt:variant>
        <vt:i4>1048635</vt:i4>
      </vt:variant>
      <vt:variant>
        <vt:i4>104</vt:i4>
      </vt:variant>
      <vt:variant>
        <vt:i4>0</vt:i4>
      </vt:variant>
      <vt:variant>
        <vt:i4>5</vt:i4>
      </vt:variant>
      <vt:variant>
        <vt:lpwstr/>
      </vt:variant>
      <vt:variant>
        <vt:lpwstr>_Toc63857021</vt:lpwstr>
      </vt:variant>
      <vt:variant>
        <vt:i4>1114171</vt:i4>
      </vt:variant>
      <vt:variant>
        <vt:i4>98</vt:i4>
      </vt:variant>
      <vt:variant>
        <vt:i4>0</vt:i4>
      </vt:variant>
      <vt:variant>
        <vt:i4>5</vt:i4>
      </vt:variant>
      <vt:variant>
        <vt:lpwstr/>
      </vt:variant>
      <vt:variant>
        <vt:lpwstr>_Toc63857020</vt:lpwstr>
      </vt:variant>
      <vt:variant>
        <vt:i4>1572920</vt:i4>
      </vt:variant>
      <vt:variant>
        <vt:i4>92</vt:i4>
      </vt:variant>
      <vt:variant>
        <vt:i4>0</vt:i4>
      </vt:variant>
      <vt:variant>
        <vt:i4>5</vt:i4>
      </vt:variant>
      <vt:variant>
        <vt:lpwstr/>
      </vt:variant>
      <vt:variant>
        <vt:lpwstr>_Toc63857019</vt:lpwstr>
      </vt:variant>
      <vt:variant>
        <vt:i4>1638456</vt:i4>
      </vt:variant>
      <vt:variant>
        <vt:i4>86</vt:i4>
      </vt:variant>
      <vt:variant>
        <vt:i4>0</vt:i4>
      </vt:variant>
      <vt:variant>
        <vt:i4>5</vt:i4>
      </vt:variant>
      <vt:variant>
        <vt:lpwstr/>
      </vt:variant>
      <vt:variant>
        <vt:lpwstr>_Toc63857018</vt:lpwstr>
      </vt:variant>
      <vt:variant>
        <vt:i4>1441848</vt:i4>
      </vt:variant>
      <vt:variant>
        <vt:i4>80</vt:i4>
      </vt:variant>
      <vt:variant>
        <vt:i4>0</vt:i4>
      </vt:variant>
      <vt:variant>
        <vt:i4>5</vt:i4>
      </vt:variant>
      <vt:variant>
        <vt:lpwstr/>
      </vt:variant>
      <vt:variant>
        <vt:lpwstr>_Toc63857017</vt:lpwstr>
      </vt:variant>
      <vt:variant>
        <vt:i4>1507384</vt:i4>
      </vt:variant>
      <vt:variant>
        <vt:i4>74</vt:i4>
      </vt:variant>
      <vt:variant>
        <vt:i4>0</vt:i4>
      </vt:variant>
      <vt:variant>
        <vt:i4>5</vt:i4>
      </vt:variant>
      <vt:variant>
        <vt:lpwstr/>
      </vt:variant>
      <vt:variant>
        <vt:lpwstr>_Toc63857016</vt:lpwstr>
      </vt:variant>
      <vt:variant>
        <vt:i4>1310776</vt:i4>
      </vt:variant>
      <vt:variant>
        <vt:i4>68</vt:i4>
      </vt:variant>
      <vt:variant>
        <vt:i4>0</vt:i4>
      </vt:variant>
      <vt:variant>
        <vt:i4>5</vt:i4>
      </vt:variant>
      <vt:variant>
        <vt:lpwstr/>
      </vt:variant>
      <vt:variant>
        <vt:lpwstr>_Toc63857015</vt:lpwstr>
      </vt:variant>
      <vt:variant>
        <vt:i4>1376312</vt:i4>
      </vt:variant>
      <vt:variant>
        <vt:i4>62</vt:i4>
      </vt:variant>
      <vt:variant>
        <vt:i4>0</vt:i4>
      </vt:variant>
      <vt:variant>
        <vt:i4>5</vt:i4>
      </vt:variant>
      <vt:variant>
        <vt:lpwstr/>
      </vt:variant>
      <vt:variant>
        <vt:lpwstr>_Toc63857014</vt:lpwstr>
      </vt:variant>
      <vt:variant>
        <vt:i4>1179704</vt:i4>
      </vt:variant>
      <vt:variant>
        <vt:i4>56</vt:i4>
      </vt:variant>
      <vt:variant>
        <vt:i4>0</vt:i4>
      </vt:variant>
      <vt:variant>
        <vt:i4>5</vt:i4>
      </vt:variant>
      <vt:variant>
        <vt:lpwstr/>
      </vt:variant>
      <vt:variant>
        <vt:lpwstr>_Toc63857013</vt:lpwstr>
      </vt:variant>
      <vt:variant>
        <vt:i4>1245240</vt:i4>
      </vt:variant>
      <vt:variant>
        <vt:i4>50</vt:i4>
      </vt:variant>
      <vt:variant>
        <vt:i4>0</vt:i4>
      </vt:variant>
      <vt:variant>
        <vt:i4>5</vt:i4>
      </vt:variant>
      <vt:variant>
        <vt:lpwstr/>
      </vt:variant>
      <vt:variant>
        <vt:lpwstr>_Toc63857012</vt:lpwstr>
      </vt:variant>
      <vt:variant>
        <vt:i4>1048632</vt:i4>
      </vt:variant>
      <vt:variant>
        <vt:i4>44</vt:i4>
      </vt:variant>
      <vt:variant>
        <vt:i4>0</vt:i4>
      </vt:variant>
      <vt:variant>
        <vt:i4>5</vt:i4>
      </vt:variant>
      <vt:variant>
        <vt:lpwstr/>
      </vt:variant>
      <vt:variant>
        <vt:lpwstr>_Toc63857011</vt:lpwstr>
      </vt:variant>
      <vt:variant>
        <vt:i4>1114168</vt:i4>
      </vt:variant>
      <vt:variant>
        <vt:i4>38</vt:i4>
      </vt:variant>
      <vt:variant>
        <vt:i4>0</vt:i4>
      </vt:variant>
      <vt:variant>
        <vt:i4>5</vt:i4>
      </vt:variant>
      <vt:variant>
        <vt:lpwstr/>
      </vt:variant>
      <vt:variant>
        <vt:lpwstr>_Toc63857010</vt:lpwstr>
      </vt:variant>
      <vt:variant>
        <vt:i4>1572921</vt:i4>
      </vt:variant>
      <vt:variant>
        <vt:i4>32</vt:i4>
      </vt:variant>
      <vt:variant>
        <vt:i4>0</vt:i4>
      </vt:variant>
      <vt:variant>
        <vt:i4>5</vt:i4>
      </vt:variant>
      <vt:variant>
        <vt:lpwstr/>
      </vt:variant>
      <vt:variant>
        <vt:lpwstr>_Toc63857009</vt:lpwstr>
      </vt:variant>
      <vt:variant>
        <vt:i4>1638457</vt:i4>
      </vt:variant>
      <vt:variant>
        <vt:i4>26</vt:i4>
      </vt:variant>
      <vt:variant>
        <vt:i4>0</vt:i4>
      </vt:variant>
      <vt:variant>
        <vt:i4>5</vt:i4>
      </vt:variant>
      <vt:variant>
        <vt:lpwstr/>
      </vt:variant>
      <vt:variant>
        <vt:lpwstr>_Toc63857008</vt:lpwstr>
      </vt:variant>
      <vt:variant>
        <vt:i4>1441849</vt:i4>
      </vt:variant>
      <vt:variant>
        <vt:i4>20</vt:i4>
      </vt:variant>
      <vt:variant>
        <vt:i4>0</vt:i4>
      </vt:variant>
      <vt:variant>
        <vt:i4>5</vt:i4>
      </vt:variant>
      <vt:variant>
        <vt:lpwstr/>
      </vt:variant>
      <vt:variant>
        <vt:lpwstr>_Toc63857007</vt:lpwstr>
      </vt:variant>
      <vt:variant>
        <vt:i4>1507385</vt:i4>
      </vt:variant>
      <vt:variant>
        <vt:i4>14</vt:i4>
      </vt:variant>
      <vt:variant>
        <vt:i4>0</vt:i4>
      </vt:variant>
      <vt:variant>
        <vt:i4>5</vt:i4>
      </vt:variant>
      <vt:variant>
        <vt:lpwstr/>
      </vt:variant>
      <vt:variant>
        <vt:lpwstr>_Toc63857006</vt:lpwstr>
      </vt:variant>
      <vt:variant>
        <vt:i4>1310777</vt:i4>
      </vt:variant>
      <vt:variant>
        <vt:i4>8</vt:i4>
      </vt:variant>
      <vt:variant>
        <vt:i4>0</vt:i4>
      </vt:variant>
      <vt:variant>
        <vt:i4>5</vt:i4>
      </vt:variant>
      <vt:variant>
        <vt:lpwstr/>
      </vt:variant>
      <vt:variant>
        <vt:lpwstr>_Toc63857005</vt:lpwstr>
      </vt:variant>
      <vt:variant>
        <vt:i4>2228239</vt:i4>
      </vt:variant>
      <vt:variant>
        <vt:i4>3</vt:i4>
      </vt:variant>
      <vt:variant>
        <vt:i4>0</vt:i4>
      </vt:variant>
      <vt:variant>
        <vt:i4>5</vt:i4>
      </vt:variant>
      <vt:variant>
        <vt:lpwstr>mailto:nickw@tropmedres.ac</vt:lpwstr>
      </vt:variant>
      <vt:variant>
        <vt:lpwstr/>
      </vt:variant>
      <vt:variant>
        <vt:i4>4653161</vt:i4>
      </vt:variant>
      <vt:variant>
        <vt:i4>0</vt:i4>
      </vt:variant>
      <vt:variant>
        <vt:i4>0</vt:i4>
      </vt:variant>
      <vt:variant>
        <vt:i4>5</vt:i4>
      </vt:variant>
      <vt:variant>
        <vt:lpwstr>mailto:william@tropmedres.ac</vt:lpwstr>
      </vt:variant>
      <vt:variant>
        <vt:lpwstr/>
      </vt:variant>
      <vt:variant>
        <vt:i4>1376327</vt:i4>
      </vt:variant>
      <vt:variant>
        <vt:i4>0</vt:i4>
      </vt:variant>
      <vt:variant>
        <vt:i4>0</vt:i4>
      </vt:variant>
      <vt:variant>
        <vt:i4>5</vt:i4>
      </vt:variant>
      <vt:variant>
        <vt:lpwstr>https://www.who.int/initiatives/act-accelerator/covax</vt:lpwstr>
      </vt:variant>
      <vt:variant>
        <vt:lpwstr/>
      </vt:variant>
      <vt:variant>
        <vt:i4>5177383</vt:i4>
      </vt:variant>
      <vt:variant>
        <vt:i4>30</vt:i4>
      </vt:variant>
      <vt:variant>
        <vt:i4>0</vt:i4>
      </vt:variant>
      <vt:variant>
        <vt:i4>5</vt:i4>
      </vt:variant>
      <vt:variant>
        <vt:lpwstr>mailto:James.C@tropmedres.ac</vt:lpwstr>
      </vt:variant>
      <vt:variant>
        <vt:lpwstr/>
      </vt:variant>
      <vt:variant>
        <vt:i4>2883593</vt:i4>
      </vt:variant>
      <vt:variant>
        <vt:i4>27</vt:i4>
      </vt:variant>
      <vt:variant>
        <vt:i4>0</vt:i4>
      </vt:variant>
      <vt:variant>
        <vt:i4>5</vt:i4>
      </vt:variant>
      <vt:variant>
        <vt:lpwstr>mailto:James@tropmedres.ac</vt:lpwstr>
      </vt:variant>
      <vt:variant>
        <vt:lpwstr/>
      </vt:variant>
      <vt:variant>
        <vt:i4>2883593</vt:i4>
      </vt:variant>
      <vt:variant>
        <vt:i4>24</vt:i4>
      </vt:variant>
      <vt:variant>
        <vt:i4>0</vt:i4>
      </vt:variant>
      <vt:variant>
        <vt:i4>5</vt:i4>
      </vt:variant>
      <vt:variant>
        <vt:lpwstr>mailto:James@tropmedres.ac</vt:lpwstr>
      </vt:variant>
      <vt:variant>
        <vt:lpwstr/>
      </vt:variant>
      <vt:variant>
        <vt:i4>2883593</vt:i4>
      </vt:variant>
      <vt:variant>
        <vt:i4>21</vt:i4>
      </vt:variant>
      <vt:variant>
        <vt:i4>0</vt:i4>
      </vt:variant>
      <vt:variant>
        <vt:i4>5</vt:i4>
      </vt:variant>
      <vt:variant>
        <vt:lpwstr>mailto:James@tropmedres.ac</vt:lpwstr>
      </vt:variant>
      <vt:variant>
        <vt:lpwstr/>
      </vt:variant>
      <vt:variant>
        <vt:i4>4653161</vt:i4>
      </vt:variant>
      <vt:variant>
        <vt:i4>18</vt:i4>
      </vt:variant>
      <vt:variant>
        <vt:i4>0</vt:i4>
      </vt:variant>
      <vt:variant>
        <vt:i4>5</vt:i4>
      </vt:variant>
      <vt:variant>
        <vt:lpwstr>mailto:William@tropmedres.ac</vt:lpwstr>
      </vt:variant>
      <vt:variant>
        <vt:lpwstr/>
      </vt:variant>
      <vt:variant>
        <vt:i4>2293781</vt:i4>
      </vt:variant>
      <vt:variant>
        <vt:i4>15</vt:i4>
      </vt:variant>
      <vt:variant>
        <vt:i4>0</vt:i4>
      </vt:variant>
      <vt:variant>
        <vt:i4>5</vt:i4>
      </vt:variant>
      <vt:variant>
        <vt:lpwstr>mailto:Tanya@tropmedres.ac</vt:lpwstr>
      </vt:variant>
      <vt:variant>
        <vt:lpwstr/>
      </vt:variant>
      <vt:variant>
        <vt:i4>5177383</vt:i4>
      </vt:variant>
      <vt:variant>
        <vt:i4>12</vt:i4>
      </vt:variant>
      <vt:variant>
        <vt:i4>0</vt:i4>
      </vt:variant>
      <vt:variant>
        <vt:i4>5</vt:i4>
      </vt:variant>
      <vt:variant>
        <vt:lpwstr>mailto:James.C@tropmedres.ac</vt:lpwstr>
      </vt:variant>
      <vt:variant>
        <vt:lpwstr/>
      </vt:variant>
      <vt:variant>
        <vt:i4>2293781</vt:i4>
      </vt:variant>
      <vt:variant>
        <vt:i4>9</vt:i4>
      </vt:variant>
      <vt:variant>
        <vt:i4>0</vt:i4>
      </vt:variant>
      <vt:variant>
        <vt:i4>5</vt:i4>
      </vt:variant>
      <vt:variant>
        <vt:lpwstr>mailto:Tanya@tropmedres.ac</vt:lpwstr>
      </vt:variant>
      <vt:variant>
        <vt:lpwstr/>
      </vt:variant>
      <vt:variant>
        <vt:i4>4653161</vt:i4>
      </vt:variant>
      <vt:variant>
        <vt:i4>6</vt:i4>
      </vt:variant>
      <vt:variant>
        <vt:i4>0</vt:i4>
      </vt:variant>
      <vt:variant>
        <vt:i4>5</vt:i4>
      </vt:variant>
      <vt:variant>
        <vt:lpwstr>mailto:William@tropmedres.ac</vt:lpwstr>
      </vt:variant>
      <vt:variant>
        <vt:lpwstr/>
      </vt:variant>
      <vt:variant>
        <vt:i4>5177383</vt:i4>
      </vt:variant>
      <vt:variant>
        <vt:i4>3</vt:i4>
      </vt:variant>
      <vt:variant>
        <vt:i4>0</vt:i4>
      </vt:variant>
      <vt:variant>
        <vt:i4>5</vt:i4>
      </vt:variant>
      <vt:variant>
        <vt:lpwstr>mailto:James.C@tropmedres.ac</vt:lpwstr>
      </vt:variant>
      <vt:variant>
        <vt:lpwstr/>
      </vt:variant>
      <vt:variant>
        <vt:i4>5177383</vt:i4>
      </vt:variant>
      <vt:variant>
        <vt:i4>0</vt:i4>
      </vt:variant>
      <vt:variant>
        <vt:i4>0</vt:i4>
      </vt:variant>
      <vt:variant>
        <vt:i4>5</vt:i4>
      </vt:variant>
      <vt:variant>
        <vt:lpwstr>mailto:James.C@tropmedres.ac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Cintia Cruz</dc:creator>
  <cp:keywords/>
  <dc:description/>
  <cp:lastModifiedBy>William Schilling Schilling</cp:lastModifiedBy>
  <cp:revision>3</cp:revision>
  <cp:lastPrinted>2022-09-02T02:39:00Z</cp:lastPrinted>
  <dcterms:created xsi:type="dcterms:W3CDTF">2022-10-13T05:26:00Z</dcterms:created>
  <dcterms:modified xsi:type="dcterms:W3CDTF">2022-10-13T05:26:00Z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0x01010086CC9DDEACF91C49AEA0D93F1A3A3A46</vt:lpwstr>
  </property>
</Properties>
</file>