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0B70" w14:textId="77777777" w:rsidR="003A3C9C" w:rsidRDefault="003A3C9C" w:rsidP="003A3C9C">
      <w:pPr>
        <w:rPr>
          <w:rFonts w:ascii="Arial" w:hAnsi="Arial" w:cs="Arial"/>
          <w:b/>
        </w:rPr>
      </w:pPr>
      <w:r>
        <w:rPr>
          <w:rFonts w:ascii="Arial" w:hAnsi="Arial" w:cs="Arial"/>
          <w:b/>
        </w:rPr>
        <w:t>Supplemental Text</w:t>
      </w:r>
    </w:p>
    <w:p w14:paraId="6EC7BC33" w14:textId="77777777" w:rsidR="003A3C9C" w:rsidRDefault="003A3C9C" w:rsidP="003A3C9C">
      <w:pPr>
        <w:rPr>
          <w:rFonts w:ascii="Arial" w:hAnsi="Arial" w:cs="Arial"/>
          <w:b/>
        </w:rPr>
      </w:pPr>
      <w:r>
        <w:rPr>
          <w:rFonts w:ascii="Arial" w:hAnsi="Arial" w:cs="Arial"/>
          <w:b/>
        </w:rPr>
        <w:t>Methods Section</w:t>
      </w:r>
    </w:p>
    <w:p w14:paraId="7F8BDBBF" w14:textId="32DA7B03" w:rsidR="003A3C9C" w:rsidRDefault="003A3C9C" w:rsidP="003A3C9C">
      <w:pPr>
        <w:spacing w:line="480" w:lineRule="auto"/>
        <w:jc w:val="both"/>
        <w:rPr>
          <w:rFonts w:ascii="Arial" w:hAnsi="Arial" w:cs="Arial"/>
          <w:bCs/>
        </w:rPr>
      </w:pPr>
      <w:r w:rsidRPr="004C79D9">
        <w:rPr>
          <w:rFonts w:ascii="Arial" w:hAnsi="Arial" w:cs="Arial"/>
          <w:bCs/>
          <w:i/>
          <w:iCs/>
        </w:rPr>
        <w:t>Patients</w:t>
      </w:r>
      <w:r>
        <w:rPr>
          <w:rFonts w:ascii="Arial" w:hAnsi="Arial" w:cs="Arial"/>
          <w:bCs/>
        </w:rPr>
        <w:t xml:space="preserve">. </w:t>
      </w:r>
      <w:r w:rsidRPr="007670D0">
        <w:rPr>
          <w:rFonts w:ascii="Arial" w:hAnsi="Arial" w:cs="Arial"/>
          <w:bCs/>
        </w:rPr>
        <w:t xml:space="preserve">Disease duration was calculated from the date of the first SSc-associated symptom (Raynaud’s or non-Raynaud’s) to the date of the serum sample. Patients were identified as having limited or diffuse SSc based on the extent of skin involvement (21). The presence of a myopathy was denoted on the basis </w:t>
      </w:r>
      <w:proofErr w:type="gramStart"/>
      <w:r w:rsidRPr="007670D0">
        <w:rPr>
          <w:rFonts w:ascii="Arial" w:hAnsi="Arial" w:cs="Arial"/>
          <w:bCs/>
        </w:rPr>
        <w:t>of:</w:t>
      </w:r>
      <w:proofErr w:type="gramEnd"/>
      <w:r w:rsidRPr="007670D0">
        <w:rPr>
          <w:rFonts w:ascii="Arial" w:hAnsi="Arial" w:cs="Arial"/>
          <w:bCs/>
        </w:rPr>
        <w:t xml:space="preserve"> an elevated creatinine phosphokinase with evidence of electromyography (EMG) supportive of myopathy, magnetic resonance imaging (MRI) with evidence of muscle edema, or muscle biopsy consistent with myopathy (18). The muscle severity score was also used to classify the degree of associated proximal muscle weakness and was based on the following scale collected in our database: 0=full strength, 1 = ability to lift upper or lower extremities against gravity with some resistance, 2 = ability to lift upper or lower extremities against gravity only, 3= ability to move upper or lower extremities but not against gravity, and 4= requiring ambulatory aids to walk (22). Cardiac involvement was determined by the Medsger severity scale and was considered present with a score of 1 or greater [0 = normal, 1 = evidence of conduction defect on electrocardiogram or left ventricular ejection fraction (LVEF) of 45-49% on echocardiogram, 2= evidence of arrhythmia on electrocardiogram or LVEF of 40-44%, 3= clinical signs of left or right heart failure or arrhythmia requiring treatment with medication or intervention] (18,22). To capture phenotype, the minimum measurements from the forced vital capacity (FVC) and single breath diffusing capacity of carbon monoxide (DLCO) pulmonary lung function testing and maximum measurements from the estimated right ventricular systolic pressure (RVSP) (measured by transthoracic echocardiogram) were utilized for the analysis (23). Sicca symptoms were defined as the presence of at least one of the following: dry eyes for more than three months, the use of artificial tears three times daily, dry mouth for more than three months, swollen salivary glands, the necessity of liquids for swallowing and/or the sensation of sand in one’s eyes (24).  </w:t>
      </w:r>
    </w:p>
    <w:p w14:paraId="337A2BE5" w14:textId="77777777" w:rsidR="003A3C9C" w:rsidRDefault="003A3C9C" w:rsidP="003A3C9C">
      <w:pPr>
        <w:tabs>
          <w:tab w:val="num" w:pos="1440"/>
        </w:tabs>
        <w:spacing w:line="480" w:lineRule="auto"/>
        <w:jc w:val="both"/>
        <w:rPr>
          <w:rFonts w:ascii="Arial" w:hAnsi="Arial" w:cs="Arial"/>
        </w:rPr>
      </w:pPr>
      <w:r w:rsidRPr="00402756">
        <w:rPr>
          <w:rFonts w:ascii="Arial" w:hAnsi="Arial" w:cs="Arial"/>
          <w:bCs/>
          <w:i/>
          <w:iCs/>
        </w:rPr>
        <w:lastRenderedPageBreak/>
        <w:t>Isolation and culture of the longitudinal muscle containing myenteric plexus (LM-MP) from adult murine small intestine</w:t>
      </w:r>
      <w:r>
        <w:rPr>
          <w:rFonts w:ascii="Arial" w:hAnsi="Arial" w:cs="Arial"/>
        </w:rPr>
        <w:t>.</w:t>
      </w:r>
      <w:r w:rsidRPr="00B90890">
        <w:rPr>
          <w:rFonts w:ascii="Arial" w:hAnsi="Arial" w:cs="Arial"/>
        </w:rPr>
        <w:t xml:space="preserve"> LM-MP tissue</w:t>
      </w:r>
      <w:r>
        <w:rPr>
          <w:rFonts w:ascii="Arial" w:hAnsi="Arial" w:cs="Arial"/>
        </w:rPr>
        <w:t xml:space="preserve"> </w:t>
      </w:r>
      <w:r w:rsidRPr="00B90890">
        <w:rPr>
          <w:rFonts w:ascii="Arial" w:hAnsi="Arial" w:cs="Arial"/>
        </w:rPr>
        <w:t>from adult murine ileum was</w:t>
      </w:r>
      <w:r>
        <w:rPr>
          <w:rFonts w:ascii="Arial" w:hAnsi="Arial" w:cs="Arial"/>
        </w:rPr>
        <w:t xml:space="preserve"> </w:t>
      </w:r>
      <w:r w:rsidRPr="00B90890">
        <w:rPr>
          <w:rFonts w:ascii="Arial" w:hAnsi="Arial" w:cs="Arial"/>
        </w:rPr>
        <w:t>isolated as described, then cultured overnight</w:t>
      </w:r>
      <w:r>
        <w:rPr>
          <w:rFonts w:ascii="Arial" w:hAnsi="Arial" w:cs="Arial"/>
        </w:rPr>
        <w:t xml:space="preserve"> </w:t>
      </w:r>
      <w:r w:rsidRPr="00B90890">
        <w:rPr>
          <w:rFonts w:ascii="Arial" w:hAnsi="Arial" w:cs="Arial"/>
        </w:rPr>
        <w:t xml:space="preserve">in defined Neurobasal medium containing B27 growth </w:t>
      </w:r>
      <w:r w:rsidRPr="004C79D9">
        <w:rPr>
          <w:rFonts w:ascii="Arial" w:hAnsi="Arial" w:cs="Arial"/>
        </w:rPr>
        <w:t xml:space="preserve">supplement </w:t>
      </w:r>
      <w:r w:rsidRPr="004C79D9">
        <w:rPr>
          <w:rFonts w:ascii="Arial" w:hAnsi="Arial" w:cs="Arial"/>
        </w:rPr>
        <w:fldChar w:fldCharType="begin">
          <w:fldData xml:space="preserve">PEVuZE5vdGU+PENpdGU+PEF1dGhvcj5CZWNrZXI8L0F1dGhvcj48WWVhcj4yMDEzPC9ZZWFyPjxS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</w:fldData>
        </w:fldChar>
      </w:r>
      <w:r>
        <w:rPr>
          <w:rFonts w:ascii="Arial" w:hAnsi="Arial" w:cs="Arial"/>
        </w:rPr>
        <w:instrText xml:space="preserve"> ADDIN EN.CITE </w:instrText>
      </w:r>
      <w:r>
        <w:rPr>
          <w:rFonts w:ascii="Arial" w:hAnsi="Arial" w:cs="Arial"/>
        </w:rPr>
        <w:fldChar w:fldCharType="begin">
          <w:fldData xml:space="preserve">PEVuZE5vdGU+PENpdGU+PEF1dGhvcj5CZWNrZXI8L0F1dGhvcj48WWVhcj4yMDEzPC9ZZWFyPjxS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4C79D9">
        <w:rPr>
          <w:rFonts w:ascii="Arial" w:hAnsi="Arial" w:cs="Arial"/>
        </w:rPr>
      </w:r>
      <w:r w:rsidRPr="004C79D9">
        <w:rPr>
          <w:rFonts w:ascii="Arial" w:hAnsi="Arial" w:cs="Arial"/>
        </w:rPr>
        <w:fldChar w:fldCharType="separate"/>
      </w:r>
      <w:r>
        <w:rPr>
          <w:rFonts w:ascii="Arial" w:hAnsi="Arial" w:cs="Arial"/>
          <w:noProof/>
        </w:rPr>
        <w:t>(14)</w:t>
      </w:r>
      <w:r w:rsidRPr="004C79D9">
        <w:rPr>
          <w:rFonts w:ascii="Arial" w:hAnsi="Arial" w:cs="Arial"/>
        </w:rPr>
        <w:fldChar w:fldCharType="end"/>
      </w:r>
      <w:r w:rsidRPr="004C79D9">
        <w:rPr>
          <w:rFonts w:ascii="Arial" w:hAnsi="Arial" w:cs="Arial"/>
        </w:rPr>
        <w:t>.</w:t>
      </w:r>
      <w:r w:rsidRPr="00B90890">
        <w:rPr>
          <w:rFonts w:ascii="Arial" w:hAnsi="Arial" w:cs="Arial"/>
        </w:rPr>
        <w:t xml:space="preserve"> Typically, </w:t>
      </w:r>
      <w:r>
        <w:rPr>
          <w:rFonts w:ascii="Arial" w:hAnsi="Arial" w:cs="Arial"/>
        </w:rPr>
        <w:t>each</w:t>
      </w:r>
      <w:r w:rsidRPr="00B90890">
        <w:rPr>
          <w:rFonts w:ascii="Arial" w:hAnsi="Arial" w:cs="Arial"/>
        </w:rPr>
        <w:t xml:space="preserve"> adult murine small intestine yielded 3</w:t>
      </w:r>
      <w:r>
        <w:rPr>
          <w:rFonts w:ascii="Arial" w:hAnsi="Arial" w:cs="Arial"/>
        </w:rPr>
        <w:t>-to-</w:t>
      </w:r>
      <w:r w:rsidRPr="00B90890">
        <w:rPr>
          <w:rFonts w:ascii="Arial" w:hAnsi="Arial" w:cs="Arial"/>
        </w:rPr>
        <w:t>4 1</w:t>
      </w:r>
      <w:r>
        <w:rPr>
          <w:rFonts w:ascii="Arial" w:hAnsi="Arial" w:cs="Arial"/>
        </w:rPr>
        <w:t>-</w:t>
      </w:r>
      <w:r w:rsidRPr="00B90890">
        <w:rPr>
          <w:rFonts w:ascii="Arial" w:hAnsi="Arial" w:cs="Arial"/>
        </w:rPr>
        <w:t>cm pieces of</w:t>
      </w:r>
      <w:r>
        <w:rPr>
          <w:rFonts w:ascii="Arial" w:hAnsi="Arial" w:cs="Arial"/>
        </w:rPr>
        <w:t xml:space="preserve"> </w:t>
      </w:r>
      <w:r w:rsidRPr="00B90890">
        <w:rPr>
          <w:rFonts w:ascii="Arial" w:hAnsi="Arial" w:cs="Arial"/>
        </w:rPr>
        <w:t xml:space="preserve">ileal tissue. Detergent extracts for use in </w:t>
      </w:r>
      <w:r>
        <w:rPr>
          <w:rFonts w:ascii="Arial" w:hAnsi="Arial" w:cs="Arial"/>
        </w:rPr>
        <w:t>immunoprecipitations</w:t>
      </w:r>
      <w:r w:rsidRPr="00B90890">
        <w:rPr>
          <w:rFonts w:ascii="Arial" w:hAnsi="Arial" w:cs="Arial"/>
        </w:rPr>
        <w:t xml:space="preserve"> </w:t>
      </w:r>
      <w:r>
        <w:rPr>
          <w:rFonts w:ascii="Arial" w:hAnsi="Arial" w:cs="Arial"/>
        </w:rPr>
        <w:t xml:space="preserve">(IPs) </w:t>
      </w:r>
      <w:r w:rsidRPr="00B90890">
        <w:rPr>
          <w:rFonts w:ascii="Arial" w:hAnsi="Arial" w:cs="Arial"/>
        </w:rPr>
        <w:t xml:space="preserve">for mass spectrometry were made by washing 9 LM-MP peels in </w:t>
      </w:r>
      <w:r>
        <w:rPr>
          <w:rFonts w:ascii="Arial" w:hAnsi="Arial" w:cs="Arial"/>
        </w:rPr>
        <w:t>phosphate buffered saline (PBS)</w:t>
      </w:r>
      <w:r w:rsidRPr="00B90890">
        <w:rPr>
          <w:rFonts w:ascii="Arial" w:hAnsi="Arial" w:cs="Arial"/>
        </w:rPr>
        <w:t xml:space="preserve">, followed by homogenization in 1 ml of buffer containing 50 mM Tris pH7.4, 150 mM NaCl, 5 mM EDTA, 0.5% </w:t>
      </w:r>
      <w:proofErr w:type="spellStart"/>
      <w:r w:rsidRPr="00B90890">
        <w:rPr>
          <w:rFonts w:ascii="Arial" w:hAnsi="Arial" w:cs="Arial"/>
        </w:rPr>
        <w:t>Nonidet</w:t>
      </w:r>
      <w:proofErr w:type="spellEnd"/>
      <w:r w:rsidRPr="00B90890">
        <w:rPr>
          <w:rFonts w:ascii="Arial" w:hAnsi="Arial" w:cs="Arial"/>
        </w:rPr>
        <w:t xml:space="preserve"> P40, 0.5% sodium deoxycholate, 0.1% SDS and a protease inhibitor cocktail, followed by centrifugation </w:t>
      </w:r>
      <w:r>
        <w:rPr>
          <w:rFonts w:ascii="Arial" w:hAnsi="Arial" w:cs="Arial"/>
        </w:rPr>
        <w:t xml:space="preserve">at </w:t>
      </w:r>
      <w:r w:rsidRPr="00B90890">
        <w:rPr>
          <w:rFonts w:ascii="Arial" w:hAnsi="Arial" w:cs="Arial"/>
        </w:rPr>
        <w:t>16,000 rpm</w:t>
      </w:r>
      <w:r>
        <w:rPr>
          <w:rFonts w:ascii="Arial" w:hAnsi="Arial" w:cs="Arial"/>
        </w:rPr>
        <w:t xml:space="preserve"> for </w:t>
      </w:r>
      <w:r w:rsidRPr="00B90890">
        <w:rPr>
          <w:rFonts w:ascii="Arial" w:hAnsi="Arial" w:cs="Arial"/>
        </w:rPr>
        <w:t>30 min</w:t>
      </w:r>
      <w:r>
        <w:rPr>
          <w:rFonts w:ascii="Arial" w:hAnsi="Arial" w:cs="Arial"/>
        </w:rPr>
        <w:t xml:space="preserve"> at</w:t>
      </w:r>
      <w:r w:rsidRPr="00B90890">
        <w:rPr>
          <w:rFonts w:ascii="Arial" w:hAnsi="Arial" w:cs="Arial"/>
        </w:rPr>
        <w:t xml:space="preserve"> 4</w:t>
      </w:r>
      <w:r w:rsidRPr="00564566">
        <w:rPr>
          <w:rFonts w:ascii="Arial" w:hAnsi="Arial" w:cs="Arial"/>
          <w:vertAlign w:val="superscript"/>
        </w:rPr>
        <w:t>o</w:t>
      </w:r>
      <w:r w:rsidRPr="00B90890">
        <w:rPr>
          <w:rFonts w:ascii="Arial" w:hAnsi="Arial" w:cs="Arial"/>
        </w:rPr>
        <w:t xml:space="preserve">C.  </w:t>
      </w:r>
    </w:p>
    <w:p w14:paraId="70F2AD41" w14:textId="77777777" w:rsidR="003A3C9C" w:rsidRDefault="003A3C9C" w:rsidP="003A3C9C">
      <w:pPr>
        <w:autoSpaceDE w:val="0"/>
        <w:autoSpaceDN w:val="0"/>
        <w:adjustRightInd w:val="0"/>
        <w:spacing w:after="0" w:line="480" w:lineRule="auto"/>
        <w:jc w:val="both"/>
        <w:rPr>
          <w:rFonts w:ascii="Arial" w:hAnsi="Arial" w:cs="Arial"/>
        </w:rPr>
      </w:pPr>
      <w:r w:rsidRPr="00402756">
        <w:rPr>
          <w:rFonts w:ascii="Arial" w:eastAsia="Times New Roman" w:hAnsi="Arial" w:cs="Arial"/>
          <w:i/>
          <w:iCs/>
        </w:rPr>
        <w:t xml:space="preserve">Identification of </w:t>
      </w:r>
      <w:r>
        <w:rPr>
          <w:rFonts w:ascii="Arial" w:eastAsia="Times New Roman" w:hAnsi="Arial" w:cs="Arial"/>
          <w:i/>
          <w:iCs/>
        </w:rPr>
        <w:t>ant</w:t>
      </w:r>
      <w:r w:rsidRPr="00402756">
        <w:rPr>
          <w:rFonts w:ascii="Arial" w:eastAsia="Times New Roman" w:hAnsi="Arial" w:cs="Arial"/>
          <w:i/>
          <w:iCs/>
        </w:rPr>
        <w:t>i</w:t>
      </w:r>
      <w:r>
        <w:rPr>
          <w:rFonts w:ascii="Arial" w:eastAsia="Times New Roman" w:hAnsi="Arial" w:cs="Arial"/>
          <w:i/>
          <w:iCs/>
        </w:rPr>
        <w:t>bodi</w:t>
      </w:r>
      <w:r w:rsidRPr="00402756">
        <w:rPr>
          <w:rFonts w:ascii="Arial" w:eastAsia="Times New Roman" w:hAnsi="Arial" w:cs="Arial"/>
          <w:i/>
          <w:iCs/>
        </w:rPr>
        <w:t>es</w:t>
      </w:r>
      <w:r>
        <w:rPr>
          <w:rFonts w:ascii="Arial" w:eastAsia="Times New Roman" w:hAnsi="Arial" w:cs="Arial"/>
          <w:i/>
          <w:iCs/>
        </w:rPr>
        <w:t xml:space="preserve"> in serum FW-2340. </w:t>
      </w:r>
      <w:r>
        <w:rPr>
          <w:rFonts w:ascii="Arial" w:eastAsia="Times New Roman" w:hAnsi="Arial" w:cs="Arial"/>
        </w:rPr>
        <w:t xml:space="preserve">Detergent extract of LM-MP tissue </w:t>
      </w:r>
      <w:r w:rsidRPr="00402756">
        <w:rPr>
          <w:rFonts w:ascii="Arial" w:hAnsi="Arial" w:cs="Arial"/>
        </w:rPr>
        <w:t>(0.4</w:t>
      </w:r>
      <w:r>
        <w:rPr>
          <w:rFonts w:ascii="Arial" w:hAnsi="Arial" w:cs="Arial"/>
        </w:rPr>
        <w:t xml:space="preserve"> </w:t>
      </w:r>
      <w:r w:rsidRPr="00402756">
        <w:rPr>
          <w:rFonts w:ascii="Arial" w:hAnsi="Arial" w:cs="Arial"/>
        </w:rPr>
        <w:t>ml, ~560</w:t>
      </w:r>
      <w:r>
        <w:rPr>
          <w:rFonts w:ascii="Arial" w:hAnsi="Arial" w:cs="Arial"/>
        </w:rPr>
        <w:t xml:space="preserve"> </w:t>
      </w:r>
      <w:r w:rsidRPr="009D1545">
        <w:rPr>
          <w:rFonts w:ascii="Symbol" w:hAnsi="Symbol" w:cs="Arial"/>
        </w:rPr>
        <w:t></w:t>
      </w:r>
      <w:r>
        <w:rPr>
          <w:rFonts w:ascii="Arial" w:hAnsi="Arial" w:cs="Arial"/>
        </w:rPr>
        <w:t>g</w:t>
      </w:r>
      <w:r w:rsidRPr="00402756">
        <w:rPr>
          <w:rFonts w:ascii="Arial" w:hAnsi="Arial" w:cs="Arial"/>
        </w:rPr>
        <w:t xml:space="preserve"> protein) was diluted with 2.6ml Buffer A (</w:t>
      </w:r>
      <w:r>
        <w:rPr>
          <w:rFonts w:ascii="Arial" w:hAnsi="Arial" w:cs="Arial"/>
        </w:rPr>
        <w:t>1</w:t>
      </w:r>
      <w:r w:rsidRPr="00402756">
        <w:rPr>
          <w:rFonts w:ascii="Arial" w:eastAsia="Times New Roman" w:hAnsi="Arial" w:cs="Arial"/>
          <w:color w:val="000000"/>
          <w:shd w:val="clear" w:color="auto" w:fill="FFFFFF"/>
        </w:rPr>
        <w:t xml:space="preserve">% </w:t>
      </w:r>
      <w:proofErr w:type="spellStart"/>
      <w:r w:rsidRPr="00402756">
        <w:rPr>
          <w:rFonts w:ascii="Arial" w:eastAsia="Times New Roman" w:hAnsi="Arial" w:cs="Arial"/>
          <w:color w:val="000000"/>
          <w:shd w:val="clear" w:color="auto" w:fill="FFFFFF"/>
        </w:rPr>
        <w:t>Nonidet</w:t>
      </w:r>
      <w:proofErr w:type="spellEnd"/>
      <w:r w:rsidRPr="00402756">
        <w:rPr>
          <w:rFonts w:ascii="Arial" w:eastAsia="Times New Roman" w:hAnsi="Arial" w:cs="Arial"/>
          <w:color w:val="000000"/>
          <w:shd w:val="clear" w:color="auto" w:fill="FFFFFF"/>
        </w:rPr>
        <w:t xml:space="preserve"> P40, 20 m</w:t>
      </w:r>
      <w:r w:rsidRPr="00402756">
        <w:rPr>
          <w:rFonts w:ascii="Arial" w:eastAsia="Times New Roman" w:hAnsi="Arial" w:cs="Arial"/>
          <w:color w:val="000000"/>
        </w:rPr>
        <w:t>M</w:t>
      </w:r>
      <w:r w:rsidRPr="00402756">
        <w:rPr>
          <w:rFonts w:ascii="Arial" w:eastAsia="Times New Roman" w:hAnsi="Arial" w:cs="Arial"/>
          <w:color w:val="000000"/>
          <w:shd w:val="clear" w:color="auto" w:fill="FFFFFF"/>
        </w:rPr>
        <w:t> Tris pH 7.4, 150 m</w:t>
      </w:r>
      <w:r w:rsidRPr="00402756">
        <w:rPr>
          <w:rFonts w:ascii="Arial" w:eastAsia="Times New Roman" w:hAnsi="Arial" w:cs="Arial"/>
          <w:color w:val="000000"/>
        </w:rPr>
        <w:t>M</w:t>
      </w:r>
      <w:r w:rsidRPr="00402756">
        <w:rPr>
          <w:rFonts w:ascii="Arial" w:eastAsia="Times New Roman" w:hAnsi="Arial" w:cs="Arial"/>
          <w:color w:val="000000"/>
          <w:shd w:val="clear" w:color="auto" w:fill="FFFFFF"/>
        </w:rPr>
        <w:t> NaCl, 1 m</w:t>
      </w:r>
      <w:r w:rsidRPr="00402756">
        <w:rPr>
          <w:rFonts w:ascii="Arial" w:eastAsia="Times New Roman" w:hAnsi="Arial" w:cs="Arial"/>
          <w:color w:val="000000"/>
        </w:rPr>
        <w:t>M</w:t>
      </w:r>
      <w:r w:rsidRPr="00402756">
        <w:rPr>
          <w:rFonts w:ascii="Arial" w:eastAsia="Times New Roman" w:hAnsi="Arial" w:cs="Arial"/>
          <w:color w:val="000000"/>
          <w:shd w:val="clear" w:color="auto" w:fill="FFFFFF"/>
        </w:rPr>
        <w:t> EDTA, and a protease inhibitor cocktail) and</w:t>
      </w:r>
      <w:r w:rsidRPr="00402756">
        <w:rPr>
          <w:rFonts w:ascii="Arial" w:hAnsi="Arial" w:cs="Arial"/>
        </w:rPr>
        <w:t xml:space="preserve"> precleared with 75 </w:t>
      </w:r>
      <w:r>
        <w:rPr>
          <w:rFonts w:ascii="Arial" w:hAnsi="Arial" w:cs="Arial"/>
        </w:rPr>
        <w:t>µl</w:t>
      </w:r>
      <w:r w:rsidRPr="00402756">
        <w:rPr>
          <w:rFonts w:ascii="Arial" w:hAnsi="Arial" w:cs="Arial"/>
        </w:rPr>
        <w:t xml:space="preserve"> of immobilized protein A–agarose (</w:t>
      </w:r>
      <w:proofErr w:type="spellStart"/>
      <w:r w:rsidRPr="00402756">
        <w:rPr>
          <w:rFonts w:ascii="Arial" w:hAnsi="Arial" w:cs="Arial"/>
        </w:rPr>
        <w:t>Thermo</w:t>
      </w:r>
      <w:proofErr w:type="spellEnd"/>
      <w:r w:rsidRPr="00402756">
        <w:rPr>
          <w:rFonts w:ascii="Arial" w:hAnsi="Arial" w:cs="Arial"/>
        </w:rPr>
        <w:t xml:space="preserve"> Scientific). The IP was performed by adding 6 </w:t>
      </w:r>
      <w:r>
        <w:rPr>
          <w:rFonts w:ascii="Arial" w:hAnsi="Arial" w:cs="Arial"/>
        </w:rPr>
        <w:t>µl</w:t>
      </w:r>
      <w:r w:rsidRPr="00402756">
        <w:rPr>
          <w:rFonts w:ascii="Arial" w:hAnsi="Arial" w:cs="Arial"/>
        </w:rPr>
        <w:t xml:space="preserve"> of patient serum FW-2340 (</w:t>
      </w:r>
      <w:r w:rsidRPr="00402756">
        <w:rPr>
          <w:rFonts w:ascii="Arial" w:eastAsia="Times New Roman" w:hAnsi="Arial" w:cs="Arial"/>
        </w:rPr>
        <w:t xml:space="preserve">see results section for </w:t>
      </w:r>
      <w:r>
        <w:rPr>
          <w:rFonts w:ascii="Arial" w:eastAsia="Times New Roman" w:hAnsi="Arial" w:cs="Arial"/>
        </w:rPr>
        <w:t xml:space="preserve">patient </w:t>
      </w:r>
      <w:r w:rsidRPr="00402756">
        <w:rPr>
          <w:rFonts w:ascii="Arial" w:eastAsia="Times New Roman" w:hAnsi="Arial" w:cs="Arial"/>
        </w:rPr>
        <w:t>details)</w:t>
      </w:r>
      <w:r w:rsidRPr="00402756">
        <w:rPr>
          <w:rFonts w:ascii="Arial" w:hAnsi="Arial" w:cs="Arial"/>
        </w:rPr>
        <w:t xml:space="preserve"> to the lysate (3 hours</w:t>
      </w:r>
      <w:r>
        <w:rPr>
          <w:rFonts w:ascii="Arial" w:hAnsi="Arial" w:cs="Arial"/>
        </w:rPr>
        <w:t>,</w:t>
      </w:r>
      <w:r w:rsidRPr="00402756">
        <w:rPr>
          <w:rFonts w:ascii="Arial" w:hAnsi="Arial" w:cs="Arial"/>
        </w:rPr>
        <w:t xml:space="preserve"> 4</w:t>
      </w:r>
      <w:r w:rsidRPr="00402756">
        <w:rPr>
          <w:rFonts w:ascii="Arial" w:hAnsi="Arial" w:cs="Arial"/>
          <w:vertAlign w:val="superscript"/>
        </w:rPr>
        <w:t>o</w:t>
      </w:r>
      <w:r w:rsidRPr="00402756">
        <w:rPr>
          <w:rFonts w:ascii="Arial" w:hAnsi="Arial" w:cs="Arial"/>
        </w:rPr>
        <w:t>C), followed by protein A–agarose. After extensive washing, the IP was f</w:t>
      </w:r>
      <w:r w:rsidRPr="00402756">
        <w:rPr>
          <w:rFonts w:ascii="Arial" w:eastAsia="Times New Roman" w:hAnsi="Arial" w:cs="Arial"/>
        </w:rPr>
        <w:t>urther processed at the JHU Proteomics Core facility. Briefly, an on-bead digest was performed</w:t>
      </w:r>
      <w:r w:rsidRPr="00402756">
        <w:rPr>
          <w:rFonts w:ascii="Arial" w:hAnsi="Arial" w:cs="Arial"/>
        </w:rPr>
        <w:t xml:space="preserve"> with </w:t>
      </w:r>
      <w:r>
        <w:rPr>
          <w:rFonts w:ascii="Arial" w:hAnsi="Arial" w:cs="Arial"/>
        </w:rPr>
        <w:t>T</w:t>
      </w:r>
      <w:r w:rsidRPr="00402756">
        <w:rPr>
          <w:rFonts w:ascii="Arial" w:hAnsi="Arial" w:cs="Arial"/>
        </w:rPr>
        <w:t>rypsin/</w:t>
      </w:r>
      <w:proofErr w:type="spellStart"/>
      <w:proofErr w:type="gramStart"/>
      <w:r w:rsidRPr="00402756">
        <w:rPr>
          <w:rFonts w:ascii="Arial" w:hAnsi="Arial" w:cs="Arial"/>
        </w:rPr>
        <w:t>LysC</w:t>
      </w:r>
      <w:proofErr w:type="spellEnd"/>
      <w:proofErr w:type="gramEnd"/>
      <w:r w:rsidRPr="00402756">
        <w:rPr>
          <w:rFonts w:ascii="Arial" w:hAnsi="Arial" w:cs="Arial"/>
        </w:rPr>
        <w:t xml:space="preserve"> and the resulting peptides were analyzed by reverse phase LC-MS. Eluting peptides were sprayed into a Q-</w:t>
      </w:r>
      <w:proofErr w:type="spellStart"/>
      <w:r w:rsidRPr="00402756">
        <w:rPr>
          <w:rFonts w:ascii="Arial" w:hAnsi="Arial" w:cs="Arial"/>
        </w:rPr>
        <w:t>Exactive</w:t>
      </w:r>
      <w:proofErr w:type="spellEnd"/>
      <w:r w:rsidRPr="00402756">
        <w:rPr>
          <w:rFonts w:ascii="Arial" w:hAnsi="Arial" w:cs="Arial"/>
        </w:rPr>
        <w:t xml:space="preserve"> Plus (QE Plus, </w:t>
      </w:r>
      <w:proofErr w:type="spellStart"/>
      <w:r w:rsidRPr="00402756">
        <w:rPr>
          <w:rFonts w:ascii="Arial" w:hAnsi="Arial" w:cs="Arial"/>
        </w:rPr>
        <w:t>Thermo</w:t>
      </w:r>
      <w:proofErr w:type="spellEnd"/>
      <w:r w:rsidRPr="00402756">
        <w:rPr>
          <w:rFonts w:ascii="Arial" w:hAnsi="Arial" w:cs="Arial"/>
        </w:rPr>
        <w:t xml:space="preserve"> Scientific) mass spectrometer. Isotopically resolved masses were extracted using Proteome Discoverer software and searched using Mascot 2.5.1 through Proteome Discoverer against a mouse protein database. Peptide identifications from Mascot searches were processed within Scaffold (Proteome Software) with display criteria set to 95% confidence for both protein and peptide identifications.</w:t>
      </w:r>
    </w:p>
    <w:p w14:paraId="28ED983E" w14:textId="77777777" w:rsidR="003A3C9C" w:rsidRDefault="003A3C9C" w:rsidP="003A3C9C">
      <w:pPr>
        <w:autoSpaceDE w:val="0"/>
        <w:autoSpaceDN w:val="0"/>
        <w:adjustRightInd w:val="0"/>
        <w:spacing w:after="0" w:line="480" w:lineRule="auto"/>
        <w:jc w:val="both"/>
        <w:rPr>
          <w:rFonts w:ascii="Arial" w:hAnsi="Arial" w:cs="Arial"/>
        </w:rPr>
      </w:pPr>
      <w:r w:rsidRPr="007E7E97">
        <w:rPr>
          <w:rFonts w:ascii="Arial" w:hAnsi="Arial" w:cs="Arial"/>
          <w:i/>
          <w:iCs/>
        </w:rPr>
        <w:t>Assays to validate anti-RUVBL1/2 antibodies.</w:t>
      </w:r>
      <w:r>
        <w:rPr>
          <w:rFonts w:ascii="Arial" w:hAnsi="Arial" w:cs="Arial"/>
        </w:rPr>
        <w:t xml:space="preserve"> These</w:t>
      </w:r>
      <w:r w:rsidRPr="00402756">
        <w:rPr>
          <w:rFonts w:ascii="Arial" w:hAnsi="Arial" w:cs="Arial"/>
        </w:rPr>
        <w:t xml:space="preserve"> were confirmed by IP</w:t>
      </w:r>
      <w:r>
        <w:rPr>
          <w:rFonts w:ascii="Arial" w:hAnsi="Arial" w:cs="Arial"/>
        </w:rPr>
        <w:t xml:space="preserve"> using</w:t>
      </w:r>
      <w:r w:rsidRPr="00402756">
        <w:rPr>
          <w:rFonts w:ascii="Arial" w:hAnsi="Arial" w:cs="Arial"/>
        </w:rPr>
        <w:t xml:space="preserve"> radiolabeled full-length </w:t>
      </w:r>
      <w:r w:rsidRPr="00402756">
        <w:rPr>
          <w:rFonts w:ascii="Arial" w:hAnsi="Arial" w:cs="Arial"/>
          <w:vertAlign w:val="superscript"/>
        </w:rPr>
        <w:t>35</w:t>
      </w:r>
      <w:r w:rsidRPr="00402756">
        <w:rPr>
          <w:rFonts w:ascii="Arial" w:hAnsi="Arial" w:cs="Arial"/>
        </w:rPr>
        <w:t>S-methionine–labeled human RUVBL1/2</w:t>
      </w:r>
      <w:r>
        <w:rPr>
          <w:rFonts w:ascii="Arial" w:hAnsi="Arial" w:cs="Arial"/>
        </w:rPr>
        <w:t xml:space="preserve"> as input</w:t>
      </w:r>
      <w:r w:rsidRPr="00402756">
        <w:rPr>
          <w:rFonts w:ascii="Arial" w:hAnsi="Arial" w:cs="Arial"/>
        </w:rPr>
        <w:t>. This was generated from the relevant cDNA (</w:t>
      </w:r>
      <w:proofErr w:type="spellStart"/>
      <w:r w:rsidRPr="00402756">
        <w:rPr>
          <w:rFonts w:ascii="Arial" w:hAnsi="Arial" w:cs="Arial"/>
        </w:rPr>
        <w:t>OriGene</w:t>
      </w:r>
      <w:proofErr w:type="spellEnd"/>
      <w:r w:rsidRPr="00402756">
        <w:rPr>
          <w:rFonts w:ascii="Arial" w:hAnsi="Arial" w:cs="Arial"/>
        </w:rPr>
        <w:t xml:space="preserve">) by </w:t>
      </w:r>
      <w:r w:rsidRPr="00B75C9E">
        <w:rPr>
          <w:rFonts w:ascii="Arial" w:hAnsi="Arial" w:cs="Arial"/>
          <w:i/>
        </w:rPr>
        <w:t xml:space="preserve">in vitro </w:t>
      </w:r>
      <w:r w:rsidRPr="00402756">
        <w:rPr>
          <w:rFonts w:ascii="Arial" w:hAnsi="Arial" w:cs="Arial"/>
        </w:rPr>
        <w:t xml:space="preserve">transcription and translation (IVTT), according to the manufacturer’s </w:t>
      </w:r>
      <w:r w:rsidRPr="00402756">
        <w:rPr>
          <w:rFonts w:ascii="Arial" w:hAnsi="Arial" w:cs="Arial"/>
        </w:rPr>
        <w:lastRenderedPageBreak/>
        <w:t xml:space="preserve">protocol (Promega). IPs using these products were performed, electrophoresed on 10% sodium dodecyl sulfate (SDS)–polyacrylamide gels and visualized by fluorography as described </w:t>
      </w:r>
      <w:r>
        <w:rPr>
          <w:rFonts w:ascii="Arial" w:hAnsi="Arial" w:cs="Arial"/>
        </w:rPr>
        <w:fldChar w:fldCharType="begin">
          <w:fldData xml:space="preserve">PEVuZE5vdGU+PENpdGU+PEF1dGhvcj5GaW9yZW50aW5vPC9BdXRob3I+PFllYXI+MjAxMTwvWWVh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</w:fldData>
        </w:fldChar>
      </w:r>
      <w:r>
        <w:rPr>
          <w:rFonts w:ascii="Arial" w:hAnsi="Arial" w:cs="Arial"/>
        </w:rPr>
        <w:instrText xml:space="preserve"> ADDIN EN.CITE </w:instrText>
      </w:r>
      <w:r>
        <w:rPr>
          <w:rFonts w:ascii="Arial" w:hAnsi="Arial" w:cs="Arial"/>
        </w:rPr>
        <w:fldChar w:fldCharType="begin">
          <w:fldData xml:space="preserve">PEVuZE5vdGU+PENpdGU+PEF1dGhvcj5GaW9yZW50aW5vPC9BdXRob3I+PFllYXI+MjAxMTwvWWVh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(15)</w:t>
      </w:r>
      <w:r>
        <w:rPr>
          <w:rFonts w:ascii="Arial" w:hAnsi="Arial" w:cs="Arial"/>
        </w:rPr>
        <w:fldChar w:fldCharType="end"/>
      </w:r>
      <w:r w:rsidRPr="00402756">
        <w:rPr>
          <w:rFonts w:ascii="Arial" w:hAnsi="Arial" w:cs="Arial"/>
        </w:rPr>
        <w:t>.</w:t>
      </w:r>
    </w:p>
    <w:p w14:paraId="3DF63F4A" w14:textId="77777777" w:rsidR="003A3C9C" w:rsidRDefault="003A3C9C" w:rsidP="003A3C9C">
      <w:pPr>
        <w:tabs>
          <w:tab w:val="num" w:pos="1440"/>
        </w:tabs>
        <w:spacing w:line="480" w:lineRule="auto"/>
        <w:jc w:val="both"/>
        <w:rPr>
          <w:rFonts w:ascii="Arial" w:hAnsi="Arial" w:cs="Arial"/>
        </w:rPr>
      </w:pPr>
      <w:r w:rsidRPr="00402756">
        <w:rPr>
          <w:rFonts w:ascii="Arial" w:hAnsi="Arial" w:cs="Arial"/>
          <w:i/>
          <w:lang w:val="en"/>
        </w:rPr>
        <w:t>Immunohistochemical staining of human GI tract paraffin sections</w:t>
      </w:r>
      <w:r>
        <w:rPr>
          <w:rFonts w:ascii="Arial" w:hAnsi="Arial" w:cs="Arial"/>
          <w:i/>
          <w:lang w:val="en"/>
        </w:rPr>
        <w:t>.</w:t>
      </w:r>
      <w:r w:rsidRPr="00402756">
        <w:rPr>
          <w:rFonts w:ascii="Arial" w:hAnsi="Arial" w:cs="Arial"/>
          <w:i/>
          <w:lang w:val="en"/>
        </w:rPr>
        <w:t xml:space="preserve"> </w:t>
      </w:r>
      <w:r>
        <w:rPr>
          <w:rFonts w:ascii="Arial" w:hAnsi="Arial" w:cs="Arial"/>
          <w:i/>
          <w:lang w:val="en"/>
        </w:rPr>
        <w:t xml:space="preserve"> </w:t>
      </w:r>
      <w:r>
        <w:rPr>
          <w:rFonts w:ascii="Arial" w:hAnsi="Arial" w:cs="Arial"/>
          <w:lang w:val="en"/>
        </w:rPr>
        <w:t>H</w:t>
      </w:r>
      <w:r w:rsidRPr="00402756">
        <w:rPr>
          <w:rFonts w:ascii="Arial" w:hAnsi="Arial" w:cs="Arial"/>
          <w:lang w:val="en"/>
        </w:rPr>
        <w:t xml:space="preserve">uman autopsy sections were </w:t>
      </w:r>
      <w:proofErr w:type="spellStart"/>
      <w:r w:rsidRPr="00402756">
        <w:rPr>
          <w:rFonts w:ascii="Arial" w:hAnsi="Arial" w:cs="Arial"/>
        </w:rPr>
        <w:t>immunostained</w:t>
      </w:r>
      <w:proofErr w:type="spellEnd"/>
      <w:r w:rsidRPr="00402756">
        <w:rPr>
          <w:rFonts w:ascii="Arial" w:hAnsi="Arial" w:cs="Arial"/>
        </w:rPr>
        <w:t xml:space="preserve"> </w:t>
      </w:r>
      <w:r>
        <w:rPr>
          <w:rFonts w:ascii="Arial" w:hAnsi="Arial" w:cs="Arial"/>
        </w:rPr>
        <w:t>(</w:t>
      </w:r>
      <w:r w:rsidRPr="00402756">
        <w:rPr>
          <w:rFonts w:ascii="Arial" w:hAnsi="Arial" w:cs="Arial"/>
        </w:rPr>
        <w:t>overnight</w:t>
      </w:r>
      <w:r>
        <w:rPr>
          <w:rFonts w:ascii="Arial" w:hAnsi="Arial" w:cs="Arial"/>
        </w:rPr>
        <w:t>,</w:t>
      </w:r>
      <w:r w:rsidRPr="00402756">
        <w:rPr>
          <w:rFonts w:ascii="Arial" w:hAnsi="Arial" w:cs="Arial"/>
        </w:rPr>
        <w:t xml:space="preserve"> 4</w:t>
      </w:r>
      <w:r w:rsidRPr="00402756">
        <w:rPr>
          <w:rFonts w:ascii="Arial" w:hAnsi="Arial" w:cs="Arial"/>
          <w:vertAlign w:val="superscript"/>
        </w:rPr>
        <w:t>o</w:t>
      </w:r>
      <w:r w:rsidRPr="00402756">
        <w:rPr>
          <w:rFonts w:ascii="Arial" w:hAnsi="Arial" w:cs="Arial"/>
        </w:rPr>
        <w:t>C</w:t>
      </w:r>
      <w:r>
        <w:rPr>
          <w:rFonts w:ascii="Arial" w:hAnsi="Arial" w:cs="Arial"/>
        </w:rPr>
        <w:t>)</w:t>
      </w:r>
      <w:r w:rsidRPr="00402756">
        <w:rPr>
          <w:rFonts w:ascii="Arial" w:hAnsi="Arial" w:cs="Arial"/>
        </w:rPr>
        <w:t xml:space="preserve"> with an anti-</w:t>
      </w:r>
      <w:r>
        <w:rPr>
          <w:rFonts w:ascii="Arial" w:hAnsi="Arial" w:cs="Arial"/>
        </w:rPr>
        <w:t>gephyrin</w:t>
      </w:r>
      <w:r w:rsidRPr="00402756">
        <w:rPr>
          <w:rFonts w:ascii="Arial" w:hAnsi="Arial" w:cs="Arial"/>
        </w:rPr>
        <w:t xml:space="preserve"> rabbit polyclonal antibody (2.7 </w:t>
      </w:r>
      <w:r>
        <w:rPr>
          <w:rFonts w:ascii="Arial" w:hAnsi="Arial" w:cs="Arial"/>
        </w:rPr>
        <w:t>µg</w:t>
      </w:r>
      <w:r w:rsidRPr="00402756">
        <w:rPr>
          <w:rFonts w:ascii="Arial" w:hAnsi="Arial" w:cs="Arial"/>
        </w:rPr>
        <w:t xml:space="preserve">/ml, </w:t>
      </w:r>
      <w:proofErr w:type="spellStart"/>
      <w:r w:rsidRPr="00402756">
        <w:rPr>
          <w:rFonts w:ascii="Arial" w:hAnsi="Arial" w:cs="Arial"/>
        </w:rPr>
        <w:t>Proteintech</w:t>
      </w:r>
      <w:proofErr w:type="spellEnd"/>
      <w:r w:rsidRPr="00402756">
        <w:rPr>
          <w:rFonts w:ascii="Arial" w:hAnsi="Arial" w:cs="Arial"/>
        </w:rPr>
        <w:t xml:space="preserve">) or an anti-PGP9 rabbit monoclonal antibody (1:250, Abcam) followed by </w:t>
      </w:r>
      <w:r>
        <w:rPr>
          <w:rFonts w:ascii="Arial" w:hAnsi="Arial" w:cs="Arial"/>
        </w:rPr>
        <w:t>HRP-</w:t>
      </w:r>
      <w:r w:rsidRPr="00402756">
        <w:rPr>
          <w:rFonts w:ascii="Arial" w:hAnsi="Arial" w:cs="Arial"/>
        </w:rPr>
        <w:t xml:space="preserve">conjugated anti-rabbit secondary antibody (1:500, </w:t>
      </w:r>
      <w:proofErr w:type="spellStart"/>
      <w:r w:rsidRPr="00402756">
        <w:rPr>
          <w:rFonts w:ascii="Arial" w:hAnsi="Arial" w:cs="Arial"/>
        </w:rPr>
        <w:t>Dako</w:t>
      </w:r>
      <w:proofErr w:type="spellEnd"/>
      <w:r w:rsidRPr="00402756">
        <w:rPr>
          <w:rFonts w:ascii="Arial" w:hAnsi="Arial" w:cs="Arial"/>
        </w:rPr>
        <w:t xml:space="preserve">). Staining was visualized using the diaminobenzidine substrate </w:t>
      </w:r>
      <w:proofErr w:type="spellStart"/>
      <w:r w:rsidRPr="00402756">
        <w:rPr>
          <w:rFonts w:ascii="Arial" w:hAnsi="Arial" w:cs="Arial"/>
        </w:rPr>
        <w:t>chromagen</w:t>
      </w:r>
      <w:proofErr w:type="spellEnd"/>
      <w:r w:rsidRPr="00402756">
        <w:rPr>
          <w:rFonts w:ascii="Arial" w:hAnsi="Arial" w:cs="Arial"/>
        </w:rPr>
        <w:t xml:space="preserve"> system (</w:t>
      </w:r>
      <w:proofErr w:type="spellStart"/>
      <w:r w:rsidRPr="00402756">
        <w:rPr>
          <w:rFonts w:ascii="Arial" w:hAnsi="Arial" w:cs="Arial"/>
        </w:rPr>
        <w:t>Dako</w:t>
      </w:r>
      <w:proofErr w:type="spellEnd"/>
      <w:r w:rsidRPr="00402756">
        <w:rPr>
          <w:rFonts w:ascii="Arial" w:hAnsi="Arial" w:cs="Arial"/>
        </w:rPr>
        <w:t>). Nuclei were stained using Mayer’s hematoxylin solution (</w:t>
      </w:r>
      <w:proofErr w:type="spellStart"/>
      <w:r w:rsidRPr="00402756">
        <w:rPr>
          <w:rFonts w:ascii="Arial" w:hAnsi="Arial" w:cs="Arial"/>
        </w:rPr>
        <w:t>Dako</w:t>
      </w:r>
      <w:proofErr w:type="spellEnd"/>
      <w:r w:rsidRPr="00402756">
        <w:rPr>
          <w:rFonts w:ascii="Arial" w:hAnsi="Arial" w:cs="Arial"/>
        </w:rPr>
        <w:t xml:space="preserve">). Light microscopy images were obtained using a Zeiss </w:t>
      </w:r>
      <w:proofErr w:type="spellStart"/>
      <w:r w:rsidRPr="00402756">
        <w:rPr>
          <w:rFonts w:ascii="Arial" w:hAnsi="Arial" w:cs="Arial"/>
        </w:rPr>
        <w:t>Axioskop</w:t>
      </w:r>
      <w:proofErr w:type="spellEnd"/>
      <w:r w:rsidRPr="00402756">
        <w:rPr>
          <w:rFonts w:ascii="Arial" w:hAnsi="Arial" w:cs="Arial"/>
        </w:rPr>
        <w:t xml:space="preserve"> 50 with a Zeiss </w:t>
      </w:r>
      <w:proofErr w:type="spellStart"/>
      <w:r w:rsidRPr="00402756">
        <w:rPr>
          <w:rFonts w:ascii="Arial" w:hAnsi="Arial" w:cs="Arial"/>
        </w:rPr>
        <w:t>AxioCam</w:t>
      </w:r>
      <w:proofErr w:type="spellEnd"/>
      <w:r w:rsidRPr="00402756">
        <w:rPr>
          <w:rFonts w:ascii="Arial" w:hAnsi="Arial" w:cs="Arial"/>
        </w:rPr>
        <w:t xml:space="preserve"> HRC camera and </w:t>
      </w:r>
      <w:proofErr w:type="spellStart"/>
      <w:r w:rsidRPr="00402756">
        <w:rPr>
          <w:rFonts w:ascii="Arial" w:hAnsi="Arial" w:cs="Arial"/>
        </w:rPr>
        <w:t>AxioVision</w:t>
      </w:r>
      <w:proofErr w:type="spellEnd"/>
      <w:r w:rsidRPr="00402756">
        <w:rPr>
          <w:rFonts w:ascii="Arial" w:hAnsi="Arial" w:cs="Arial"/>
        </w:rPr>
        <w:t xml:space="preserve"> 4.9.1 software.</w:t>
      </w:r>
    </w:p>
    <w:p w14:paraId="2AE6DFA3" w14:textId="77777777" w:rsidR="003A3C9C" w:rsidRPr="004C79D9" w:rsidRDefault="003A3C9C" w:rsidP="003A3C9C">
      <w:pPr>
        <w:tabs>
          <w:tab w:val="num" w:pos="1440"/>
        </w:tabs>
        <w:spacing w:line="480" w:lineRule="auto"/>
        <w:jc w:val="both"/>
        <w:rPr>
          <w:rFonts w:ascii="Arial" w:hAnsi="Arial" w:cs="Arial"/>
          <w:lang w:val="en"/>
        </w:rPr>
      </w:pPr>
    </w:p>
    <w:p w14:paraId="761E3D50" w14:textId="77777777" w:rsidR="003A3C9C" w:rsidRPr="00112542" w:rsidRDefault="003A3C9C" w:rsidP="003A3C9C">
      <w:pPr>
        <w:tabs>
          <w:tab w:val="num" w:pos="1440"/>
        </w:tabs>
        <w:spacing w:line="480" w:lineRule="auto"/>
        <w:jc w:val="both"/>
        <w:rPr>
          <w:rFonts w:ascii="Arial" w:hAnsi="Arial" w:cs="Arial"/>
        </w:rPr>
      </w:pPr>
    </w:p>
    <w:p w14:paraId="012322BF" w14:textId="77777777" w:rsidR="003A3C9C" w:rsidRDefault="003A3C9C" w:rsidP="003A3C9C">
      <w:pPr>
        <w:rPr>
          <w:rFonts w:ascii="Arial" w:hAnsi="Arial" w:cs="Arial"/>
          <w:b/>
        </w:rPr>
      </w:pPr>
    </w:p>
    <w:p w14:paraId="3BF8B674" w14:textId="77777777" w:rsidR="003A3C9C" w:rsidRDefault="003A3C9C" w:rsidP="003A3C9C">
      <w:pPr>
        <w:rPr>
          <w:rFonts w:ascii="Arial" w:hAnsi="Arial" w:cs="Arial"/>
          <w:b/>
        </w:rPr>
      </w:pPr>
      <w:r>
        <w:rPr>
          <w:rFonts w:ascii="Arial" w:hAnsi="Arial" w:cs="Arial"/>
          <w:b/>
        </w:rPr>
        <w:br w:type="page"/>
      </w:r>
    </w:p>
    <w:tbl>
      <w:tblPr>
        <w:tblStyle w:val="TableGrid"/>
        <w:tblW w:w="9895" w:type="dxa"/>
        <w:tblLook w:val="04A0" w:firstRow="1" w:lastRow="0" w:firstColumn="1" w:lastColumn="0" w:noHBand="0" w:noVBand="1"/>
      </w:tblPr>
      <w:tblGrid>
        <w:gridCol w:w="3621"/>
        <w:gridCol w:w="979"/>
        <w:gridCol w:w="2235"/>
        <w:gridCol w:w="1980"/>
        <w:gridCol w:w="1080"/>
      </w:tblGrid>
      <w:tr w:rsidR="003A3C9C" w:rsidRPr="00402756" w14:paraId="70CB6CDC" w14:textId="77777777" w:rsidTr="009F5F18">
        <w:tc>
          <w:tcPr>
            <w:tcW w:w="9895" w:type="dxa"/>
            <w:gridSpan w:val="5"/>
            <w:tcBorders>
              <w:bottom w:val="single" w:sz="4" w:space="0" w:color="auto"/>
            </w:tcBorders>
          </w:tcPr>
          <w:p w14:paraId="4F7C5B67" w14:textId="77777777" w:rsidR="003A3C9C" w:rsidRPr="00402756" w:rsidRDefault="003A3C9C" w:rsidP="009F5F18">
            <w:pPr>
              <w:spacing w:after="160" w:line="360" w:lineRule="auto"/>
              <w:jc w:val="both"/>
              <w:rPr>
                <w:rFonts w:ascii="Arial" w:hAnsi="Arial" w:cs="Arial"/>
                <w:b/>
              </w:rPr>
            </w:pPr>
            <w:r w:rsidRPr="00F54849">
              <w:rPr>
                <w:rFonts w:ascii="Arial" w:hAnsi="Arial" w:cs="Arial"/>
                <w:b/>
              </w:rPr>
              <w:lastRenderedPageBreak/>
              <w:br w:type="page"/>
              <w:t xml:space="preserve">Supplemental </w:t>
            </w:r>
            <w:r w:rsidRPr="00402756">
              <w:rPr>
                <w:rFonts w:ascii="Arial" w:hAnsi="Arial" w:cs="Arial"/>
                <w:b/>
              </w:rPr>
              <w:t xml:space="preserve">Table 1. Characteristics of the SSc patients with and without </w:t>
            </w:r>
            <w:r>
              <w:rPr>
                <w:rFonts w:ascii="Arial" w:hAnsi="Arial" w:cs="Arial"/>
                <w:b/>
              </w:rPr>
              <w:t>Anti-Gephyrin</w:t>
            </w:r>
            <w:r w:rsidRPr="00402756">
              <w:rPr>
                <w:rFonts w:ascii="Arial" w:hAnsi="Arial" w:cs="Arial"/>
                <w:b/>
              </w:rPr>
              <w:t xml:space="preserve"> antibodies in the Johns Hopkins SSc Center all-comers cohort</w:t>
            </w:r>
          </w:p>
        </w:tc>
      </w:tr>
      <w:tr w:rsidR="003A3C9C" w:rsidRPr="00402756" w14:paraId="20C36446" w14:textId="77777777" w:rsidTr="009F5F18">
        <w:tc>
          <w:tcPr>
            <w:tcW w:w="3621" w:type="dxa"/>
            <w:tcBorders>
              <w:bottom w:val="nil"/>
              <w:right w:val="nil"/>
            </w:tcBorders>
          </w:tcPr>
          <w:p w14:paraId="471C2A15" w14:textId="77777777" w:rsidR="003A3C9C" w:rsidRPr="00402756" w:rsidRDefault="003A3C9C" w:rsidP="009F5F18">
            <w:pPr>
              <w:spacing w:after="160" w:line="360" w:lineRule="auto"/>
              <w:jc w:val="both"/>
              <w:rPr>
                <w:rFonts w:ascii="Arial" w:hAnsi="Arial" w:cs="Arial"/>
              </w:rPr>
            </w:pPr>
            <w:r w:rsidRPr="00402756">
              <w:rPr>
                <w:rFonts w:ascii="Arial" w:hAnsi="Arial" w:cs="Arial"/>
              </w:rPr>
              <w:t>Clinical and demographic features</w:t>
            </w:r>
          </w:p>
        </w:tc>
        <w:tc>
          <w:tcPr>
            <w:tcW w:w="979" w:type="dxa"/>
            <w:tcBorders>
              <w:bottom w:val="nil"/>
              <w:right w:val="nil"/>
            </w:tcBorders>
          </w:tcPr>
          <w:p w14:paraId="1E8752B4" w14:textId="77777777" w:rsidR="003A3C9C" w:rsidRPr="00402756" w:rsidRDefault="003A3C9C" w:rsidP="009F5F18">
            <w:pPr>
              <w:spacing w:line="360" w:lineRule="auto"/>
              <w:jc w:val="both"/>
              <w:rPr>
                <w:rFonts w:ascii="Arial" w:hAnsi="Arial" w:cs="Arial"/>
              </w:rPr>
            </w:pPr>
          </w:p>
        </w:tc>
        <w:tc>
          <w:tcPr>
            <w:tcW w:w="2235" w:type="dxa"/>
            <w:tcBorders>
              <w:left w:val="nil"/>
              <w:bottom w:val="nil"/>
              <w:right w:val="nil"/>
            </w:tcBorders>
          </w:tcPr>
          <w:p w14:paraId="487C8C85" w14:textId="77777777" w:rsidR="003A3C9C" w:rsidRPr="00402756" w:rsidRDefault="003A3C9C" w:rsidP="009F5F18">
            <w:pPr>
              <w:spacing w:after="160" w:line="360" w:lineRule="auto"/>
              <w:jc w:val="both"/>
              <w:rPr>
                <w:rFonts w:ascii="Arial" w:hAnsi="Arial" w:cs="Arial"/>
              </w:rPr>
            </w:pPr>
            <w:r>
              <w:rPr>
                <w:rFonts w:ascii="Arial" w:hAnsi="Arial" w:cs="Arial"/>
              </w:rPr>
              <w:t>Anti-Gephyrin</w:t>
            </w:r>
            <w:r w:rsidRPr="00402756">
              <w:rPr>
                <w:rFonts w:ascii="Arial" w:hAnsi="Arial" w:cs="Arial"/>
              </w:rPr>
              <w:t xml:space="preserve"> antibody positive</w:t>
            </w:r>
          </w:p>
          <w:p w14:paraId="6D27AEF1" w14:textId="77777777" w:rsidR="003A3C9C" w:rsidRPr="00402756" w:rsidRDefault="003A3C9C" w:rsidP="009F5F18">
            <w:pPr>
              <w:spacing w:after="160" w:line="360" w:lineRule="auto"/>
              <w:jc w:val="both"/>
              <w:rPr>
                <w:rFonts w:ascii="Arial" w:hAnsi="Arial" w:cs="Arial"/>
              </w:rPr>
            </w:pPr>
            <w:r w:rsidRPr="00402756">
              <w:rPr>
                <w:rFonts w:ascii="Arial" w:hAnsi="Arial" w:cs="Arial"/>
              </w:rPr>
              <w:t>(n=16)</w:t>
            </w:r>
          </w:p>
        </w:tc>
        <w:tc>
          <w:tcPr>
            <w:tcW w:w="1980" w:type="dxa"/>
            <w:tcBorders>
              <w:left w:val="nil"/>
              <w:bottom w:val="nil"/>
              <w:right w:val="nil"/>
            </w:tcBorders>
          </w:tcPr>
          <w:p w14:paraId="266F5195" w14:textId="77777777" w:rsidR="003A3C9C" w:rsidRPr="00402756" w:rsidRDefault="003A3C9C" w:rsidP="009F5F18">
            <w:pPr>
              <w:spacing w:after="160" w:line="360" w:lineRule="auto"/>
              <w:jc w:val="both"/>
              <w:rPr>
                <w:rFonts w:ascii="Arial" w:hAnsi="Arial" w:cs="Arial"/>
              </w:rPr>
            </w:pPr>
            <w:r>
              <w:rPr>
                <w:rFonts w:ascii="Arial" w:hAnsi="Arial" w:cs="Arial"/>
              </w:rPr>
              <w:t>Anti-Gephyrin</w:t>
            </w:r>
            <w:r w:rsidRPr="00402756">
              <w:rPr>
                <w:rFonts w:ascii="Arial" w:hAnsi="Arial" w:cs="Arial"/>
              </w:rPr>
              <w:t xml:space="preserve"> antibody negative       </w:t>
            </w:r>
          </w:p>
          <w:p w14:paraId="179988B0" w14:textId="77777777" w:rsidR="003A3C9C" w:rsidRPr="00402756" w:rsidRDefault="003A3C9C" w:rsidP="009F5F18">
            <w:pPr>
              <w:spacing w:after="160" w:line="360" w:lineRule="auto"/>
              <w:jc w:val="both"/>
              <w:rPr>
                <w:rFonts w:ascii="Arial" w:hAnsi="Arial" w:cs="Arial"/>
              </w:rPr>
            </w:pPr>
            <w:r w:rsidRPr="00402756">
              <w:rPr>
                <w:rFonts w:ascii="Arial" w:hAnsi="Arial" w:cs="Arial"/>
              </w:rPr>
              <w:t>(n=172)</w:t>
            </w:r>
          </w:p>
        </w:tc>
        <w:tc>
          <w:tcPr>
            <w:tcW w:w="1080" w:type="dxa"/>
            <w:tcBorders>
              <w:left w:val="nil"/>
              <w:bottom w:val="nil"/>
            </w:tcBorders>
          </w:tcPr>
          <w:p w14:paraId="781D8D51" w14:textId="77777777" w:rsidR="003A3C9C" w:rsidRPr="00402756" w:rsidRDefault="003A3C9C" w:rsidP="009F5F18">
            <w:pPr>
              <w:spacing w:after="160" w:line="360" w:lineRule="auto"/>
              <w:jc w:val="both"/>
              <w:rPr>
                <w:rFonts w:ascii="Arial" w:hAnsi="Arial" w:cs="Arial"/>
              </w:rPr>
            </w:pPr>
            <w:r w:rsidRPr="00402756">
              <w:rPr>
                <w:rFonts w:ascii="Arial" w:hAnsi="Arial" w:cs="Arial"/>
              </w:rPr>
              <w:t>p-value</w:t>
            </w:r>
          </w:p>
        </w:tc>
      </w:tr>
      <w:tr w:rsidR="003A3C9C" w:rsidRPr="00402756" w14:paraId="16EAB311" w14:textId="77777777" w:rsidTr="009F5F18">
        <w:tc>
          <w:tcPr>
            <w:tcW w:w="3621" w:type="dxa"/>
            <w:tcBorders>
              <w:top w:val="nil"/>
              <w:bottom w:val="nil"/>
              <w:right w:val="nil"/>
            </w:tcBorders>
          </w:tcPr>
          <w:p w14:paraId="02EA910C" w14:textId="77777777" w:rsidR="003A3C9C" w:rsidRPr="00402756" w:rsidRDefault="003A3C9C" w:rsidP="009F5F18">
            <w:pPr>
              <w:spacing w:after="160" w:line="360" w:lineRule="auto"/>
              <w:jc w:val="both"/>
              <w:rPr>
                <w:rFonts w:ascii="Arial" w:hAnsi="Arial" w:cs="Arial"/>
              </w:rPr>
            </w:pPr>
            <w:r w:rsidRPr="00402756">
              <w:rPr>
                <w:rFonts w:ascii="Arial" w:hAnsi="Arial" w:cs="Arial"/>
              </w:rPr>
              <w:t>Age at first symptoms, mean (SD)</w:t>
            </w:r>
          </w:p>
        </w:tc>
        <w:tc>
          <w:tcPr>
            <w:tcW w:w="979" w:type="dxa"/>
            <w:tcBorders>
              <w:top w:val="nil"/>
              <w:bottom w:val="nil"/>
              <w:right w:val="nil"/>
            </w:tcBorders>
          </w:tcPr>
          <w:p w14:paraId="7BCB3500"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3DBD3152"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53 (14)</w:t>
            </w:r>
          </w:p>
        </w:tc>
        <w:tc>
          <w:tcPr>
            <w:tcW w:w="1980" w:type="dxa"/>
            <w:tcBorders>
              <w:top w:val="nil"/>
              <w:left w:val="nil"/>
              <w:bottom w:val="nil"/>
              <w:right w:val="nil"/>
            </w:tcBorders>
          </w:tcPr>
          <w:p w14:paraId="1E19EBFC" w14:textId="77777777" w:rsidR="003A3C9C" w:rsidRPr="00402756" w:rsidRDefault="003A3C9C" w:rsidP="009F5F18">
            <w:pPr>
              <w:spacing w:after="160" w:line="360" w:lineRule="auto"/>
              <w:jc w:val="both"/>
              <w:rPr>
                <w:rFonts w:ascii="Arial" w:hAnsi="Arial" w:cs="Arial"/>
              </w:rPr>
            </w:pPr>
            <w:r w:rsidRPr="00402756">
              <w:rPr>
                <w:rFonts w:ascii="Arial" w:hAnsi="Arial" w:cs="Arial"/>
              </w:rPr>
              <w:t>58 (13)</w:t>
            </w:r>
          </w:p>
        </w:tc>
        <w:tc>
          <w:tcPr>
            <w:tcW w:w="1080" w:type="dxa"/>
            <w:tcBorders>
              <w:top w:val="nil"/>
              <w:left w:val="nil"/>
              <w:bottom w:val="nil"/>
            </w:tcBorders>
          </w:tcPr>
          <w:p w14:paraId="637EEA2D" w14:textId="77777777" w:rsidR="003A3C9C" w:rsidRPr="00402756" w:rsidRDefault="003A3C9C" w:rsidP="009F5F18">
            <w:pPr>
              <w:spacing w:after="160" w:line="360" w:lineRule="auto"/>
              <w:jc w:val="both"/>
              <w:rPr>
                <w:rFonts w:ascii="Arial" w:hAnsi="Arial" w:cs="Arial"/>
              </w:rPr>
            </w:pPr>
            <w:r w:rsidRPr="00402756">
              <w:rPr>
                <w:rFonts w:ascii="Arial" w:hAnsi="Arial" w:cs="Arial"/>
              </w:rPr>
              <w:t>0.20</w:t>
            </w:r>
          </w:p>
        </w:tc>
      </w:tr>
      <w:tr w:rsidR="003A3C9C" w:rsidRPr="00402756" w14:paraId="7FDC4A36" w14:textId="77777777" w:rsidTr="009F5F18">
        <w:tc>
          <w:tcPr>
            <w:tcW w:w="3621" w:type="dxa"/>
            <w:tcBorders>
              <w:top w:val="nil"/>
              <w:bottom w:val="nil"/>
              <w:right w:val="nil"/>
            </w:tcBorders>
          </w:tcPr>
          <w:p w14:paraId="44E44A2C" w14:textId="77777777" w:rsidR="003A3C9C" w:rsidRPr="00402756" w:rsidRDefault="003A3C9C" w:rsidP="009F5F18">
            <w:pPr>
              <w:spacing w:after="160" w:line="360" w:lineRule="auto"/>
              <w:jc w:val="both"/>
              <w:rPr>
                <w:rFonts w:ascii="Arial" w:hAnsi="Arial" w:cs="Arial"/>
              </w:rPr>
            </w:pPr>
            <w:r w:rsidRPr="00402756">
              <w:rPr>
                <w:rFonts w:ascii="Arial" w:hAnsi="Arial" w:cs="Arial"/>
              </w:rPr>
              <w:t>Disease duration from first SSc-associated symptom (Raynaud’s or non-Raynaud’s) to date of serum sample, median (IQR)</w:t>
            </w:r>
          </w:p>
        </w:tc>
        <w:tc>
          <w:tcPr>
            <w:tcW w:w="979" w:type="dxa"/>
            <w:tcBorders>
              <w:top w:val="nil"/>
              <w:bottom w:val="nil"/>
              <w:right w:val="nil"/>
            </w:tcBorders>
          </w:tcPr>
          <w:p w14:paraId="04FE6044"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2DBFC1DC"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9 (6, 19)</w:t>
            </w:r>
          </w:p>
        </w:tc>
        <w:tc>
          <w:tcPr>
            <w:tcW w:w="1980" w:type="dxa"/>
            <w:tcBorders>
              <w:top w:val="nil"/>
              <w:left w:val="nil"/>
              <w:bottom w:val="nil"/>
              <w:right w:val="nil"/>
            </w:tcBorders>
          </w:tcPr>
          <w:p w14:paraId="307CCE65" w14:textId="77777777" w:rsidR="003A3C9C" w:rsidRPr="00402756" w:rsidRDefault="003A3C9C" w:rsidP="009F5F18">
            <w:pPr>
              <w:spacing w:after="160" w:line="360" w:lineRule="auto"/>
              <w:jc w:val="both"/>
              <w:rPr>
                <w:rFonts w:ascii="Arial" w:hAnsi="Arial" w:cs="Arial"/>
              </w:rPr>
            </w:pPr>
            <w:r w:rsidRPr="00402756">
              <w:rPr>
                <w:rFonts w:ascii="Arial" w:hAnsi="Arial" w:cs="Arial"/>
              </w:rPr>
              <w:t>15 (8, 23)</w:t>
            </w:r>
          </w:p>
        </w:tc>
        <w:tc>
          <w:tcPr>
            <w:tcW w:w="1080" w:type="dxa"/>
            <w:tcBorders>
              <w:top w:val="nil"/>
              <w:left w:val="nil"/>
              <w:bottom w:val="nil"/>
            </w:tcBorders>
          </w:tcPr>
          <w:p w14:paraId="3F06B861" w14:textId="77777777" w:rsidR="003A3C9C" w:rsidRPr="00402756" w:rsidRDefault="003A3C9C" w:rsidP="009F5F18">
            <w:pPr>
              <w:spacing w:after="160" w:line="360" w:lineRule="auto"/>
              <w:jc w:val="both"/>
              <w:rPr>
                <w:rFonts w:ascii="Arial" w:hAnsi="Arial" w:cs="Arial"/>
                <w:bCs/>
              </w:rPr>
            </w:pPr>
            <w:r w:rsidRPr="00402756">
              <w:rPr>
                <w:rFonts w:ascii="Arial" w:hAnsi="Arial" w:cs="Arial"/>
                <w:bCs/>
              </w:rPr>
              <w:t>0.18</w:t>
            </w:r>
          </w:p>
        </w:tc>
      </w:tr>
      <w:tr w:rsidR="003A3C9C" w:rsidRPr="00402756" w14:paraId="5818AC66" w14:textId="77777777" w:rsidTr="009F5F18">
        <w:tc>
          <w:tcPr>
            <w:tcW w:w="3621" w:type="dxa"/>
            <w:tcBorders>
              <w:top w:val="nil"/>
              <w:bottom w:val="nil"/>
              <w:right w:val="nil"/>
            </w:tcBorders>
          </w:tcPr>
          <w:p w14:paraId="4117E5D0" w14:textId="77777777" w:rsidR="003A3C9C" w:rsidRPr="00402756" w:rsidRDefault="003A3C9C" w:rsidP="009F5F18">
            <w:pPr>
              <w:spacing w:after="160" w:line="360" w:lineRule="auto"/>
              <w:jc w:val="both"/>
              <w:rPr>
                <w:rFonts w:ascii="Arial" w:hAnsi="Arial" w:cs="Arial"/>
              </w:rPr>
            </w:pPr>
            <w:r w:rsidRPr="00402756">
              <w:rPr>
                <w:rFonts w:ascii="Arial" w:hAnsi="Arial" w:cs="Arial"/>
              </w:rPr>
              <w:t>Female sex, % (n)</w:t>
            </w:r>
          </w:p>
        </w:tc>
        <w:tc>
          <w:tcPr>
            <w:tcW w:w="979" w:type="dxa"/>
            <w:tcBorders>
              <w:top w:val="nil"/>
              <w:bottom w:val="nil"/>
              <w:right w:val="nil"/>
            </w:tcBorders>
          </w:tcPr>
          <w:p w14:paraId="4CD8417E"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1F554BF4" w14:textId="77777777" w:rsidR="003A3C9C" w:rsidRPr="00402756" w:rsidRDefault="003A3C9C" w:rsidP="009F5F18">
            <w:pPr>
              <w:spacing w:after="160" w:line="360" w:lineRule="auto"/>
              <w:jc w:val="both"/>
              <w:rPr>
                <w:rFonts w:ascii="Arial" w:hAnsi="Arial" w:cs="Arial"/>
              </w:rPr>
            </w:pPr>
            <w:r w:rsidRPr="00402756">
              <w:rPr>
                <w:rFonts w:ascii="Arial" w:hAnsi="Arial" w:cs="Arial"/>
              </w:rPr>
              <w:t>94 (15)</w:t>
            </w:r>
          </w:p>
        </w:tc>
        <w:tc>
          <w:tcPr>
            <w:tcW w:w="1980" w:type="dxa"/>
            <w:tcBorders>
              <w:top w:val="nil"/>
              <w:left w:val="nil"/>
              <w:bottom w:val="nil"/>
              <w:right w:val="nil"/>
            </w:tcBorders>
          </w:tcPr>
          <w:p w14:paraId="264F8691"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86 (148)</w:t>
            </w:r>
          </w:p>
        </w:tc>
        <w:tc>
          <w:tcPr>
            <w:tcW w:w="1080" w:type="dxa"/>
            <w:tcBorders>
              <w:top w:val="nil"/>
              <w:left w:val="nil"/>
              <w:bottom w:val="nil"/>
            </w:tcBorders>
          </w:tcPr>
          <w:p w14:paraId="53EA219F" w14:textId="77777777" w:rsidR="003A3C9C" w:rsidRPr="00402756" w:rsidRDefault="003A3C9C" w:rsidP="009F5F18">
            <w:pPr>
              <w:spacing w:after="160" w:line="360" w:lineRule="auto"/>
              <w:jc w:val="both"/>
              <w:rPr>
                <w:rFonts w:ascii="Arial" w:hAnsi="Arial" w:cs="Arial"/>
              </w:rPr>
            </w:pPr>
            <w:r w:rsidRPr="00402756">
              <w:rPr>
                <w:rFonts w:ascii="Arial" w:hAnsi="Arial" w:cs="Arial"/>
              </w:rPr>
              <w:t>0.70</w:t>
            </w:r>
          </w:p>
        </w:tc>
      </w:tr>
      <w:tr w:rsidR="003A3C9C" w:rsidRPr="00402756" w14:paraId="34CFB4DD" w14:textId="77777777" w:rsidTr="009F5F18">
        <w:tc>
          <w:tcPr>
            <w:tcW w:w="3621" w:type="dxa"/>
            <w:tcBorders>
              <w:top w:val="nil"/>
              <w:bottom w:val="nil"/>
              <w:right w:val="nil"/>
            </w:tcBorders>
          </w:tcPr>
          <w:p w14:paraId="459AA483" w14:textId="77777777" w:rsidR="003A3C9C" w:rsidRPr="00402756" w:rsidRDefault="003A3C9C" w:rsidP="009F5F18">
            <w:pPr>
              <w:spacing w:after="160" w:line="360" w:lineRule="auto"/>
              <w:jc w:val="both"/>
              <w:rPr>
                <w:rFonts w:ascii="Arial" w:hAnsi="Arial" w:cs="Arial"/>
              </w:rPr>
            </w:pPr>
            <w:r w:rsidRPr="00402756">
              <w:rPr>
                <w:rFonts w:ascii="Arial" w:hAnsi="Arial" w:cs="Arial"/>
                <w:i/>
              </w:rPr>
              <w:t>Race/Ethnicity</w:t>
            </w:r>
          </w:p>
        </w:tc>
        <w:tc>
          <w:tcPr>
            <w:tcW w:w="979" w:type="dxa"/>
            <w:tcBorders>
              <w:top w:val="nil"/>
              <w:bottom w:val="nil"/>
              <w:right w:val="nil"/>
            </w:tcBorders>
          </w:tcPr>
          <w:p w14:paraId="58A61F2A"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78066579" w14:textId="77777777" w:rsidR="003A3C9C" w:rsidRPr="00402756" w:rsidRDefault="003A3C9C" w:rsidP="009F5F18">
            <w:pPr>
              <w:spacing w:after="160" w:line="360" w:lineRule="auto"/>
              <w:jc w:val="both"/>
              <w:rPr>
                <w:rFonts w:ascii="Arial" w:hAnsi="Arial" w:cs="Arial"/>
              </w:rPr>
            </w:pPr>
          </w:p>
        </w:tc>
        <w:tc>
          <w:tcPr>
            <w:tcW w:w="1980" w:type="dxa"/>
            <w:tcBorders>
              <w:top w:val="nil"/>
              <w:left w:val="nil"/>
              <w:bottom w:val="nil"/>
              <w:right w:val="nil"/>
            </w:tcBorders>
          </w:tcPr>
          <w:p w14:paraId="286FBD48" w14:textId="77777777" w:rsidR="003A3C9C" w:rsidRPr="00402756" w:rsidRDefault="003A3C9C" w:rsidP="009F5F18">
            <w:pPr>
              <w:spacing w:after="160" w:line="360" w:lineRule="auto"/>
              <w:jc w:val="both"/>
              <w:rPr>
                <w:rFonts w:ascii="Arial" w:hAnsi="Arial" w:cs="Arial"/>
              </w:rPr>
            </w:pPr>
          </w:p>
        </w:tc>
        <w:tc>
          <w:tcPr>
            <w:tcW w:w="1080" w:type="dxa"/>
            <w:tcBorders>
              <w:top w:val="nil"/>
              <w:left w:val="nil"/>
              <w:bottom w:val="nil"/>
            </w:tcBorders>
          </w:tcPr>
          <w:p w14:paraId="61BD4367" w14:textId="77777777" w:rsidR="003A3C9C" w:rsidRPr="00402756" w:rsidRDefault="003A3C9C" w:rsidP="009F5F18">
            <w:pPr>
              <w:spacing w:after="160" w:line="360" w:lineRule="auto"/>
              <w:jc w:val="both"/>
              <w:rPr>
                <w:rFonts w:ascii="Arial" w:hAnsi="Arial" w:cs="Arial"/>
              </w:rPr>
            </w:pPr>
          </w:p>
        </w:tc>
      </w:tr>
      <w:tr w:rsidR="003A3C9C" w:rsidRPr="00402756" w14:paraId="17E3B92B" w14:textId="77777777" w:rsidTr="009F5F18">
        <w:tc>
          <w:tcPr>
            <w:tcW w:w="3621" w:type="dxa"/>
            <w:tcBorders>
              <w:top w:val="nil"/>
              <w:bottom w:val="nil"/>
              <w:right w:val="nil"/>
            </w:tcBorders>
          </w:tcPr>
          <w:p w14:paraId="1F5A5216"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White, % (n)</w:t>
            </w:r>
          </w:p>
        </w:tc>
        <w:tc>
          <w:tcPr>
            <w:tcW w:w="979" w:type="dxa"/>
            <w:tcBorders>
              <w:top w:val="nil"/>
              <w:bottom w:val="nil"/>
              <w:right w:val="nil"/>
            </w:tcBorders>
          </w:tcPr>
          <w:p w14:paraId="670BDAA0"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4CCF14A6" w14:textId="77777777" w:rsidR="003A3C9C" w:rsidRPr="00402756" w:rsidRDefault="003A3C9C" w:rsidP="009F5F18">
            <w:pPr>
              <w:spacing w:after="160" w:line="360" w:lineRule="auto"/>
              <w:jc w:val="both"/>
              <w:rPr>
                <w:rFonts w:ascii="Arial" w:hAnsi="Arial" w:cs="Arial"/>
              </w:rPr>
            </w:pPr>
            <w:r w:rsidRPr="00402756">
              <w:rPr>
                <w:rFonts w:ascii="Arial" w:hAnsi="Arial" w:cs="Arial"/>
              </w:rPr>
              <w:t>87 (</w:t>
            </w:r>
            <w:proofErr w:type="gramStart"/>
            <w:r w:rsidRPr="00402756">
              <w:rPr>
                <w:rFonts w:ascii="Arial" w:hAnsi="Arial" w:cs="Arial"/>
              </w:rPr>
              <w:t>14 )</w:t>
            </w:r>
            <w:proofErr w:type="gramEnd"/>
          </w:p>
        </w:tc>
        <w:tc>
          <w:tcPr>
            <w:tcW w:w="1980" w:type="dxa"/>
            <w:tcBorders>
              <w:top w:val="nil"/>
              <w:left w:val="nil"/>
              <w:bottom w:val="nil"/>
              <w:right w:val="nil"/>
            </w:tcBorders>
          </w:tcPr>
          <w:p w14:paraId="3F580D0E" w14:textId="77777777" w:rsidR="003A3C9C" w:rsidRPr="00402756" w:rsidRDefault="003A3C9C" w:rsidP="009F5F18">
            <w:pPr>
              <w:spacing w:after="160" w:line="360" w:lineRule="auto"/>
              <w:jc w:val="both"/>
              <w:rPr>
                <w:rFonts w:ascii="Arial" w:hAnsi="Arial" w:cs="Arial"/>
              </w:rPr>
            </w:pPr>
            <w:r w:rsidRPr="00402756">
              <w:rPr>
                <w:rFonts w:ascii="Arial" w:hAnsi="Arial" w:cs="Arial"/>
              </w:rPr>
              <w:t>77 (131)</w:t>
            </w:r>
          </w:p>
        </w:tc>
        <w:tc>
          <w:tcPr>
            <w:tcW w:w="1080" w:type="dxa"/>
            <w:tcBorders>
              <w:top w:val="nil"/>
              <w:left w:val="nil"/>
              <w:bottom w:val="nil"/>
            </w:tcBorders>
          </w:tcPr>
          <w:p w14:paraId="2FF9A961" w14:textId="77777777" w:rsidR="003A3C9C" w:rsidRPr="00402756" w:rsidRDefault="003A3C9C" w:rsidP="009F5F18">
            <w:pPr>
              <w:spacing w:after="160" w:line="360" w:lineRule="auto"/>
              <w:jc w:val="both"/>
              <w:rPr>
                <w:rFonts w:ascii="Arial" w:hAnsi="Arial" w:cs="Arial"/>
              </w:rPr>
            </w:pPr>
            <w:r w:rsidRPr="00402756">
              <w:rPr>
                <w:rFonts w:ascii="Arial" w:hAnsi="Arial" w:cs="Arial"/>
              </w:rPr>
              <w:t>0.53</w:t>
            </w:r>
          </w:p>
        </w:tc>
      </w:tr>
      <w:tr w:rsidR="003A3C9C" w:rsidRPr="00402756" w14:paraId="48E47376" w14:textId="77777777" w:rsidTr="009F5F18">
        <w:tc>
          <w:tcPr>
            <w:tcW w:w="3621" w:type="dxa"/>
            <w:tcBorders>
              <w:top w:val="nil"/>
              <w:bottom w:val="nil"/>
              <w:right w:val="nil"/>
            </w:tcBorders>
          </w:tcPr>
          <w:p w14:paraId="164372AD" w14:textId="77777777" w:rsidR="003A3C9C" w:rsidRPr="00402756" w:rsidRDefault="003A3C9C" w:rsidP="009F5F18">
            <w:pPr>
              <w:spacing w:after="160" w:line="360" w:lineRule="auto"/>
              <w:jc w:val="both"/>
              <w:rPr>
                <w:rFonts w:ascii="Arial" w:hAnsi="Arial" w:cs="Arial"/>
              </w:rPr>
            </w:pPr>
            <w:r w:rsidRPr="00402756">
              <w:rPr>
                <w:rFonts w:ascii="Arial" w:hAnsi="Arial" w:cs="Arial"/>
              </w:rPr>
              <w:t>Ever smoker, % (n)</w:t>
            </w:r>
          </w:p>
        </w:tc>
        <w:tc>
          <w:tcPr>
            <w:tcW w:w="979" w:type="dxa"/>
            <w:tcBorders>
              <w:top w:val="nil"/>
              <w:bottom w:val="nil"/>
              <w:right w:val="nil"/>
            </w:tcBorders>
          </w:tcPr>
          <w:p w14:paraId="34931856"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0A196BA5" w14:textId="77777777" w:rsidR="003A3C9C" w:rsidRPr="00402756" w:rsidRDefault="003A3C9C" w:rsidP="009F5F18">
            <w:pPr>
              <w:spacing w:after="160" w:line="360" w:lineRule="auto"/>
              <w:jc w:val="both"/>
              <w:rPr>
                <w:rFonts w:ascii="Arial" w:hAnsi="Arial" w:cs="Arial"/>
              </w:rPr>
            </w:pPr>
            <w:r w:rsidRPr="00402756">
              <w:rPr>
                <w:rFonts w:ascii="Arial" w:hAnsi="Arial" w:cs="Arial"/>
              </w:rPr>
              <w:t>25 (4)</w:t>
            </w:r>
          </w:p>
        </w:tc>
        <w:tc>
          <w:tcPr>
            <w:tcW w:w="1980" w:type="dxa"/>
            <w:tcBorders>
              <w:top w:val="nil"/>
              <w:left w:val="nil"/>
              <w:bottom w:val="nil"/>
              <w:right w:val="nil"/>
            </w:tcBorders>
          </w:tcPr>
          <w:p w14:paraId="0C434899" w14:textId="77777777" w:rsidR="003A3C9C" w:rsidRPr="00402756" w:rsidRDefault="003A3C9C" w:rsidP="009F5F18">
            <w:pPr>
              <w:spacing w:after="160" w:line="360" w:lineRule="auto"/>
              <w:jc w:val="both"/>
              <w:rPr>
                <w:rFonts w:ascii="Arial" w:hAnsi="Arial" w:cs="Arial"/>
              </w:rPr>
            </w:pPr>
            <w:r w:rsidRPr="00402756">
              <w:rPr>
                <w:rFonts w:ascii="Arial" w:hAnsi="Arial" w:cs="Arial"/>
              </w:rPr>
              <w:t>38 (65)</w:t>
            </w:r>
          </w:p>
        </w:tc>
        <w:tc>
          <w:tcPr>
            <w:tcW w:w="1080" w:type="dxa"/>
            <w:tcBorders>
              <w:top w:val="nil"/>
              <w:left w:val="nil"/>
              <w:bottom w:val="nil"/>
            </w:tcBorders>
          </w:tcPr>
          <w:p w14:paraId="0C44DD24" w14:textId="77777777" w:rsidR="003A3C9C" w:rsidRPr="00402756" w:rsidRDefault="003A3C9C" w:rsidP="009F5F18">
            <w:pPr>
              <w:spacing w:after="160" w:line="360" w:lineRule="auto"/>
              <w:jc w:val="both"/>
              <w:rPr>
                <w:rFonts w:ascii="Arial" w:hAnsi="Arial" w:cs="Arial"/>
              </w:rPr>
            </w:pPr>
            <w:r w:rsidRPr="00402756">
              <w:rPr>
                <w:rFonts w:ascii="Arial" w:hAnsi="Arial" w:cs="Arial"/>
              </w:rPr>
              <w:t>0.42</w:t>
            </w:r>
          </w:p>
        </w:tc>
      </w:tr>
      <w:tr w:rsidR="003A3C9C" w:rsidRPr="00402756" w14:paraId="1889541B" w14:textId="77777777" w:rsidTr="009F5F18">
        <w:tc>
          <w:tcPr>
            <w:tcW w:w="3621" w:type="dxa"/>
            <w:tcBorders>
              <w:top w:val="nil"/>
              <w:bottom w:val="nil"/>
              <w:right w:val="nil"/>
            </w:tcBorders>
          </w:tcPr>
          <w:p w14:paraId="7F2E5758" w14:textId="77777777" w:rsidR="003A3C9C" w:rsidRPr="00402756" w:rsidRDefault="003A3C9C" w:rsidP="009F5F18">
            <w:pPr>
              <w:spacing w:after="160" w:line="360" w:lineRule="auto"/>
              <w:jc w:val="both"/>
              <w:rPr>
                <w:rFonts w:ascii="Arial" w:hAnsi="Arial" w:cs="Arial"/>
              </w:rPr>
            </w:pPr>
            <w:r w:rsidRPr="00402756">
              <w:rPr>
                <w:rFonts w:ascii="Arial" w:hAnsi="Arial" w:cs="Arial"/>
                <w:i/>
              </w:rPr>
              <w:t>SSc Type</w:t>
            </w:r>
          </w:p>
        </w:tc>
        <w:tc>
          <w:tcPr>
            <w:tcW w:w="979" w:type="dxa"/>
            <w:tcBorders>
              <w:top w:val="nil"/>
              <w:bottom w:val="nil"/>
              <w:right w:val="nil"/>
            </w:tcBorders>
          </w:tcPr>
          <w:p w14:paraId="2FD9D73C"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5322F3D5" w14:textId="77777777" w:rsidR="003A3C9C" w:rsidRPr="00402756" w:rsidRDefault="003A3C9C" w:rsidP="009F5F18">
            <w:pPr>
              <w:spacing w:after="160" w:line="360" w:lineRule="auto"/>
              <w:jc w:val="both"/>
              <w:rPr>
                <w:rFonts w:ascii="Arial" w:hAnsi="Arial" w:cs="Arial"/>
              </w:rPr>
            </w:pPr>
          </w:p>
        </w:tc>
        <w:tc>
          <w:tcPr>
            <w:tcW w:w="1980" w:type="dxa"/>
            <w:tcBorders>
              <w:top w:val="nil"/>
              <w:left w:val="nil"/>
              <w:bottom w:val="nil"/>
              <w:right w:val="nil"/>
            </w:tcBorders>
          </w:tcPr>
          <w:p w14:paraId="7EF126D0" w14:textId="77777777" w:rsidR="003A3C9C" w:rsidRPr="00402756" w:rsidRDefault="003A3C9C" w:rsidP="009F5F18">
            <w:pPr>
              <w:spacing w:after="160" w:line="360" w:lineRule="auto"/>
              <w:jc w:val="both"/>
              <w:rPr>
                <w:rFonts w:ascii="Arial" w:hAnsi="Arial" w:cs="Arial"/>
              </w:rPr>
            </w:pPr>
          </w:p>
        </w:tc>
        <w:tc>
          <w:tcPr>
            <w:tcW w:w="1080" w:type="dxa"/>
            <w:tcBorders>
              <w:top w:val="nil"/>
              <w:left w:val="nil"/>
              <w:bottom w:val="nil"/>
            </w:tcBorders>
          </w:tcPr>
          <w:p w14:paraId="046B041C" w14:textId="77777777" w:rsidR="003A3C9C" w:rsidRPr="00402756" w:rsidRDefault="003A3C9C" w:rsidP="009F5F18">
            <w:pPr>
              <w:spacing w:after="160" w:line="360" w:lineRule="auto"/>
              <w:jc w:val="both"/>
              <w:rPr>
                <w:rFonts w:ascii="Arial" w:hAnsi="Arial" w:cs="Arial"/>
              </w:rPr>
            </w:pPr>
          </w:p>
        </w:tc>
      </w:tr>
      <w:tr w:rsidR="003A3C9C" w:rsidRPr="00402756" w14:paraId="71521E06" w14:textId="77777777" w:rsidTr="009F5F18">
        <w:tc>
          <w:tcPr>
            <w:tcW w:w="3621" w:type="dxa"/>
            <w:tcBorders>
              <w:top w:val="nil"/>
              <w:bottom w:val="nil"/>
              <w:right w:val="nil"/>
            </w:tcBorders>
          </w:tcPr>
          <w:p w14:paraId="676C508B"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Diffuse cutaneous disease, % (n)</w:t>
            </w:r>
          </w:p>
        </w:tc>
        <w:tc>
          <w:tcPr>
            <w:tcW w:w="979" w:type="dxa"/>
            <w:tcBorders>
              <w:top w:val="nil"/>
              <w:bottom w:val="nil"/>
              <w:right w:val="nil"/>
            </w:tcBorders>
          </w:tcPr>
          <w:p w14:paraId="415AE24D"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56A87CD6" w14:textId="77777777" w:rsidR="003A3C9C" w:rsidRPr="00402756" w:rsidRDefault="003A3C9C" w:rsidP="009F5F18">
            <w:pPr>
              <w:spacing w:after="160" w:line="360" w:lineRule="auto"/>
              <w:jc w:val="both"/>
              <w:rPr>
                <w:rFonts w:ascii="Arial" w:hAnsi="Arial" w:cs="Arial"/>
              </w:rPr>
            </w:pPr>
            <w:r w:rsidRPr="00402756">
              <w:rPr>
                <w:rFonts w:ascii="Arial" w:hAnsi="Arial" w:cs="Arial"/>
              </w:rPr>
              <w:t>63 (10)</w:t>
            </w:r>
          </w:p>
        </w:tc>
        <w:tc>
          <w:tcPr>
            <w:tcW w:w="1980" w:type="dxa"/>
            <w:tcBorders>
              <w:top w:val="nil"/>
              <w:left w:val="nil"/>
              <w:bottom w:val="nil"/>
              <w:right w:val="nil"/>
            </w:tcBorders>
          </w:tcPr>
          <w:p w14:paraId="18CA07EB" w14:textId="77777777" w:rsidR="003A3C9C" w:rsidRPr="00402756" w:rsidRDefault="003A3C9C" w:rsidP="009F5F18">
            <w:pPr>
              <w:spacing w:after="160" w:line="360" w:lineRule="auto"/>
              <w:jc w:val="both"/>
              <w:rPr>
                <w:rFonts w:ascii="Arial" w:hAnsi="Arial" w:cs="Arial"/>
              </w:rPr>
            </w:pPr>
            <w:r w:rsidRPr="00402756">
              <w:rPr>
                <w:rFonts w:ascii="Arial" w:hAnsi="Arial" w:cs="Arial"/>
              </w:rPr>
              <w:t>34 (57)</w:t>
            </w:r>
          </w:p>
        </w:tc>
        <w:tc>
          <w:tcPr>
            <w:tcW w:w="1080" w:type="dxa"/>
            <w:tcBorders>
              <w:top w:val="nil"/>
              <w:left w:val="nil"/>
              <w:bottom w:val="nil"/>
            </w:tcBorders>
          </w:tcPr>
          <w:p w14:paraId="199E849C" w14:textId="77777777" w:rsidR="003A3C9C" w:rsidRPr="00402756" w:rsidRDefault="003A3C9C" w:rsidP="009F5F18">
            <w:pPr>
              <w:spacing w:after="160" w:line="360" w:lineRule="auto"/>
              <w:jc w:val="both"/>
              <w:rPr>
                <w:rFonts w:ascii="Arial" w:hAnsi="Arial" w:cs="Arial"/>
                <w:b/>
              </w:rPr>
            </w:pPr>
            <w:r w:rsidRPr="00402756">
              <w:rPr>
                <w:rFonts w:ascii="Arial" w:hAnsi="Arial" w:cs="Arial"/>
                <w:b/>
              </w:rPr>
              <w:t>0.02</w:t>
            </w:r>
          </w:p>
        </w:tc>
      </w:tr>
      <w:tr w:rsidR="003A3C9C" w:rsidRPr="00402756" w14:paraId="49B249E4" w14:textId="77777777" w:rsidTr="009F5F18">
        <w:tc>
          <w:tcPr>
            <w:tcW w:w="3621" w:type="dxa"/>
            <w:tcBorders>
              <w:top w:val="nil"/>
              <w:bottom w:val="nil"/>
              <w:right w:val="nil"/>
            </w:tcBorders>
          </w:tcPr>
          <w:p w14:paraId="7656C5B6" w14:textId="77777777" w:rsidR="003A3C9C" w:rsidRPr="00402756" w:rsidRDefault="003A3C9C" w:rsidP="009F5F18">
            <w:pPr>
              <w:spacing w:after="160" w:line="360" w:lineRule="auto"/>
              <w:jc w:val="both"/>
              <w:rPr>
                <w:rFonts w:ascii="Arial" w:hAnsi="Arial" w:cs="Arial"/>
              </w:rPr>
            </w:pPr>
            <w:r w:rsidRPr="00402756">
              <w:rPr>
                <w:rFonts w:ascii="Arial" w:hAnsi="Arial" w:cs="Arial"/>
              </w:rPr>
              <w:t>Cardiac involvement (≥1), % (n)</w:t>
            </w:r>
          </w:p>
        </w:tc>
        <w:tc>
          <w:tcPr>
            <w:tcW w:w="979" w:type="dxa"/>
            <w:tcBorders>
              <w:top w:val="nil"/>
              <w:bottom w:val="nil"/>
              <w:right w:val="nil"/>
            </w:tcBorders>
          </w:tcPr>
          <w:p w14:paraId="79EBC8EE"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65884F5D" w14:textId="77777777" w:rsidR="003A3C9C" w:rsidRPr="00402756" w:rsidRDefault="003A3C9C" w:rsidP="009F5F18">
            <w:pPr>
              <w:spacing w:after="160" w:line="360" w:lineRule="auto"/>
              <w:jc w:val="both"/>
              <w:rPr>
                <w:rFonts w:ascii="Arial" w:hAnsi="Arial" w:cs="Arial"/>
              </w:rPr>
            </w:pPr>
            <w:r w:rsidRPr="00402756">
              <w:rPr>
                <w:rFonts w:ascii="Arial" w:hAnsi="Arial" w:cs="Arial"/>
              </w:rPr>
              <w:t>25 (2)</w:t>
            </w:r>
          </w:p>
        </w:tc>
        <w:tc>
          <w:tcPr>
            <w:tcW w:w="1980" w:type="dxa"/>
            <w:tcBorders>
              <w:top w:val="nil"/>
              <w:left w:val="nil"/>
              <w:bottom w:val="nil"/>
              <w:right w:val="nil"/>
            </w:tcBorders>
          </w:tcPr>
          <w:p w14:paraId="39599B32" w14:textId="77777777" w:rsidR="003A3C9C" w:rsidRPr="00402756" w:rsidRDefault="003A3C9C" w:rsidP="009F5F18">
            <w:pPr>
              <w:spacing w:after="160" w:line="360" w:lineRule="auto"/>
              <w:jc w:val="both"/>
              <w:rPr>
                <w:rFonts w:ascii="Arial" w:hAnsi="Arial" w:cs="Arial"/>
              </w:rPr>
            </w:pPr>
            <w:r w:rsidRPr="00402756">
              <w:rPr>
                <w:rFonts w:ascii="Arial" w:hAnsi="Arial" w:cs="Arial"/>
              </w:rPr>
              <w:t>34 (24)</w:t>
            </w:r>
          </w:p>
        </w:tc>
        <w:tc>
          <w:tcPr>
            <w:tcW w:w="1080" w:type="dxa"/>
            <w:tcBorders>
              <w:top w:val="nil"/>
              <w:left w:val="nil"/>
              <w:bottom w:val="nil"/>
            </w:tcBorders>
          </w:tcPr>
          <w:p w14:paraId="3DA3A308" w14:textId="77777777" w:rsidR="003A3C9C" w:rsidRPr="00402756" w:rsidRDefault="003A3C9C" w:rsidP="009F5F18">
            <w:pPr>
              <w:spacing w:after="160" w:line="360" w:lineRule="auto"/>
              <w:jc w:val="both"/>
              <w:rPr>
                <w:rFonts w:ascii="Arial" w:hAnsi="Arial" w:cs="Arial"/>
              </w:rPr>
            </w:pPr>
            <w:r w:rsidRPr="00402756">
              <w:rPr>
                <w:rFonts w:ascii="Arial" w:hAnsi="Arial" w:cs="Arial"/>
              </w:rPr>
              <w:t>1.00</w:t>
            </w:r>
          </w:p>
        </w:tc>
      </w:tr>
      <w:tr w:rsidR="003A3C9C" w:rsidRPr="00402756" w14:paraId="08276291" w14:textId="77777777" w:rsidTr="009F5F18">
        <w:tc>
          <w:tcPr>
            <w:tcW w:w="3621" w:type="dxa"/>
            <w:tcBorders>
              <w:top w:val="nil"/>
              <w:bottom w:val="nil"/>
              <w:right w:val="nil"/>
            </w:tcBorders>
          </w:tcPr>
          <w:p w14:paraId="57C97D74" w14:textId="77777777" w:rsidR="003A3C9C" w:rsidRPr="00402756" w:rsidRDefault="003A3C9C" w:rsidP="009F5F18">
            <w:pPr>
              <w:spacing w:after="160" w:line="360" w:lineRule="auto"/>
              <w:jc w:val="both"/>
              <w:rPr>
                <w:rFonts w:ascii="Arial" w:hAnsi="Arial" w:cs="Arial"/>
              </w:rPr>
            </w:pPr>
            <w:r w:rsidRPr="00402756">
              <w:rPr>
                <w:rFonts w:ascii="Arial" w:hAnsi="Arial" w:cs="Arial"/>
              </w:rPr>
              <w:t>Myopathy, % (n)</w:t>
            </w:r>
          </w:p>
        </w:tc>
        <w:tc>
          <w:tcPr>
            <w:tcW w:w="979" w:type="dxa"/>
            <w:tcBorders>
              <w:top w:val="nil"/>
              <w:bottom w:val="nil"/>
              <w:right w:val="nil"/>
            </w:tcBorders>
          </w:tcPr>
          <w:p w14:paraId="67DEABDF"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647476F5" w14:textId="77777777" w:rsidR="003A3C9C" w:rsidRPr="00402756" w:rsidRDefault="003A3C9C" w:rsidP="009F5F18">
            <w:pPr>
              <w:spacing w:after="160" w:line="360" w:lineRule="auto"/>
              <w:jc w:val="both"/>
              <w:rPr>
                <w:rFonts w:ascii="Arial" w:hAnsi="Arial" w:cs="Arial"/>
              </w:rPr>
            </w:pPr>
            <w:r w:rsidRPr="00402756">
              <w:rPr>
                <w:rFonts w:ascii="Arial" w:hAnsi="Arial" w:cs="Arial"/>
              </w:rPr>
              <w:t>29 (4)</w:t>
            </w:r>
          </w:p>
        </w:tc>
        <w:tc>
          <w:tcPr>
            <w:tcW w:w="1980" w:type="dxa"/>
            <w:tcBorders>
              <w:top w:val="nil"/>
              <w:left w:val="nil"/>
              <w:bottom w:val="nil"/>
              <w:right w:val="nil"/>
            </w:tcBorders>
          </w:tcPr>
          <w:p w14:paraId="630472E3" w14:textId="77777777" w:rsidR="003A3C9C" w:rsidRPr="00402756" w:rsidRDefault="003A3C9C" w:rsidP="009F5F18">
            <w:pPr>
              <w:spacing w:after="160" w:line="360" w:lineRule="auto"/>
              <w:jc w:val="both"/>
              <w:rPr>
                <w:rFonts w:ascii="Arial" w:hAnsi="Arial" w:cs="Arial"/>
              </w:rPr>
            </w:pPr>
            <w:r w:rsidRPr="00402756">
              <w:rPr>
                <w:rFonts w:ascii="Arial" w:hAnsi="Arial" w:cs="Arial"/>
              </w:rPr>
              <w:t>22 (34)</w:t>
            </w:r>
          </w:p>
        </w:tc>
        <w:tc>
          <w:tcPr>
            <w:tcW w:w="1080" w:type="dxa"/>
            <w:tcBorders>
              <w:top w:val="nil"/>
              <w:left w:val="nil"/>
              <w:bottom w:val="nil"/>
            </w:tcBorders>
          </w:tcPr>
          <w:p w14:paraId="3CB85F28" w14:textId="77777777" w:rsidR="003A3C9C" w:rsidRPr="00402756" w:rsidRDefault="003A3C9C" w:rsidP="009F5F18">
            <w:pPr>
              <w:spacing w:after="160" w:line="360" w:lineRule="auto"/>
              <w:jc w:val="both"/>
              <w:rPr>
                <w:rFonts w:ascii="Arial" w:hAnsi="Arial" w:cs="Arial"/>
              </w:rPr>
            </w:pPr>
            <w:r w:rsidRPr="00402756">
              <w:rPr>
                <w:rFonts w:ascii="Arial" w:hAnsi="Arial" w:cs="Arial"/>
              </w:rPr>
              <w:t>0.52</w:t>
            </w:r>
          </w:p>
        </w:tc>
      </w:tr>
      <w:tr w:rsidR="003A3C9C" w:rsidRPr="00402756" w14:paraId="460B335A" w14:textId="77777777" w:rsidTr="009F5F18">
        <w:tc>
          <w:tcPr>
            <w:tcW w:w="3621" w:type="dxa"/>
            <w:tcBorders>
              <w:top w:val="nil"/>
              <w:bottom w:val="nil"/>
              <w:right w:val="nil"/>
            </w:tcBorders>
          </w:tcPr>
          <w:p w14:paraId="69FD10C4" w14:textId="77777777" w:rsidR="003A3C9C" w:rsidRPr="00402756" w:rsidRDefault="003A3C9C" w:rsidP="009F5F18">
            <w:pPr>
              <w:spacing w:after="160" w:line="360" w:lineRule="auto"/>
              <w:jc w:val="both"/>
              <w:rPr>
                <w:rFonts w:ascii="Arial" w:hAnsi="Arial" w:cs="Arial"/>
              </w:rPr>
            </w:pPr>
            <w:r w:rsidRPr="00402756">
              <w:rPr>
                <w:rFonts w:ascii="Arial" w:hAnsi="Arial" w:cs="Arial"/>
              </w:rPr>
              <w:t>Sicca symptoms, % (n)</w:t>
            </w:r>
          </w:p>
        </w:tc>
        <w:tc>
          <w:tcPr>
            <w:tcW w:w="979" w:type="dxa"/>
            <w:tcBorders>
              <w:top w:val="nil"/>
              <w:bottom w:val="nil"/>
              <w:right w:val="nil"/>
            </w:tcBorders>
          </w:tcPr>
          <w:p w14:paraId="2C7922F8"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3E3F4FEC" w14:textId="77777777" w:rsidR="003A3C9C" w:rsidRPr="00402756" w:rsidRDefault="003A3C9C" w:rsidP="009F5F18">
            <w:pPr>
              <w:spacing w:after="160" w:line="360" w:lineRule="auto"/>
              <w:jc w:val="both"/>
              <w:rPr>
                <w:rFonts w:ascii="Arial" w:hAnsi="Arial" w:cs="Arial"/>
              </w:rPr>
            </w:pPr>
            <w:r w:rsidRPr="00402756">
              <w:rPr>
                <w:rFonts w:ascii="Arial" w:hAnsi="Arial" w:cs="Arial"/>
              </w:rPr>
              <w:t>69 (11)</w:t>
            </w:r>
          </w:p>
        </w:tc>
        <w:tc>
          <w:tcPr>
            <w:tcW w:w="1980" w:type="dxa"/>
            <w:tcBorders>
              <w:top w:val="nil"/>
              <w:left w:val="nil"/>
              <w:bottom w:val="nil"/>
              <w:right w:val="nil"/>
            </w:tcBorders>
          </w:tcPr>
          <w:p w14:paraId="1DE9E3AF" w14:textId="77777777" w:rsidR="003A3C9C" w:rsidRPr="00402756" w:rsidRDefault="003A3C9C" w:rsidP="009F5F18">
            <w:pPr>
              <w:spacing w:after="160" w:line="360" w:lineRule="auto"/>
              <w:jc w:val="both"/>
              <w:rPr>
                <w:rFonts w:ascii="Arial" w:hAnsi="Arial" w:cs="Arial"/>
              </w:rPr>
            </w:pPr>
            <w:r w:rsidRPr="00402756">
              <w:rPr>
                <w:rFonts w:ascii="Arial" w:hAnsi="Arial" w:cs="Arial"/>
              </w:rPr>
              <w:t>75 (128)</w:t>
            </w:r>
          </w:p>
        </w:tc>
        <w:tc>
          <w:tcPr>
            <w:tcW w:w="1080" w:type="dxa"/>
            <w:tcBorders>
              <w:top w:val="nil"/>
              <w:left w:val="nil"/>
              <w:bottom w:val="nil"/>
            </w:tcBorders>
          </w:tcPr>
          <w:p w14:paraId="30D066F9" w14:textId="77777777" w:rsidR="003A3C9C" w:rsidRPr="00402756" w:rsidRDefault="003A3C9C" w:rsidP="009F5F18">
            <w:pPr>
              <w:spacing w:after="160" w:line="360" w:lineRule="auto"/>
              <w:jc w:val="both"/>
              <w:rPr>
                <w:rFonts w:ascii="Arial" w:hAnsi="Arial" w:cs="Arial"/>
              </w:rPr>
            </w:pPr>
            <w:r w:rsidRPr="00402756">
              <w:rPr>
                <w:rFonts w:ascii="Arial" w:hAnsi="Arial" w:cs="Arial"/>
              </w:rPr>
              <w:t>0.59</w:t>
            </w:r>
          </w:p>
        </w:tc>
      </w:tr>
      <w:tr w:rsidR="003A3C9C" w:rsidRPr="00402756" w14:paraId="34CBBD79" w14:textId="77777777" w:rsidTr="009F5F18">
        <w:tc>
          <w:tcPr>
            <w:tcW w:w="3621" w:type="dxa"/>
            <w:tcBorders>
              <w:top w:val="nil"/>
              <w:bottom w:val="nil"/>
              <w:right w:val="nil"/>
            </w:tcBorders>
          </w:tcPr>
          <w:p w14:paraId="36BDD5D1" w14:textId="77777777" w:rsidR="003A3C9C" w:rsidRPr="00402756" w:rsidRDefault="003A3C9C" w:rsidP="009F5F18">
            <w:pPr>
              <w:spacing w:after="160" w:line="360" w:lineRule="auto"/>
              <w:jc w:val="both"/>
              <w:rPr>
                <w:rFonts w:ascii="Arial" w:hAnsi="Arial" w:cs="Arial"/>
              </w:rPr>
            </w:pPr>
            <w:r w:rsidRPr="00402756">
              <w:rPr>
                <w:rFonts w:ascii="Arial" w:hAnsi="Arial" w:cs="Arial"/>
              </w:rPr>
              <w:t>Raynaud’s severity (≥3), % (n)</w:t>
            </w:r>
          </w:p>
        </w:tc>
        <w:tc>
          <w:tcPr>
            <w:tcW w:w="979" w:type="dxa"/>
            <w:tcBorders>
              <w:top w:val="nil"/>
              <w:bottom w:val="nil"/>
              <w:right w:val="nil"/>
            </w:tcBorders>
          </w:tcPr>
          <w:p w14:paraId="2BC08FC3"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155807B4" w14:textId="77777777" w:rsidR="003A3C9C" w:rsidRPr="00402756" w:rsidRDefault="003A3C9C" w:rsidP="009F5F18">
            <w:pPr>
              <w:spacing w:after="160" w:line="360" w:lineRule="auto"/>
              <w:jc w:val="both"/>
              <w:rPr>
                <w:rFonts w:ascii="Arial" w:hAnsi="Arial" w:cs="Arial"/>
              </w:rPr>
            </w:pPr>
            <w:r w:rsidRPr="00402756">
              <w:rPr>
                <w:rFonts w:ascii="Arial" w:hAnsi="Arial" w:cs="Arial"/>
              </w:rPr>
              <w:t>50 (8)</w:t>
            </w:r>
          </w:p>
        </w:tc>
        <w:tc>
          <w:tcPr>
            <w:tcW w:w="1980" w:type="dxa"/>
            <w:tcBorders>
              <w:top w:val="nil"/>
              <w:left w:val="nil"/>
              <w:bottom w:val="nil"/>
              <w:right w:val="nil"/>
            </w:tcBorders>
          </w:tcPr>
          <w:p w14:paraId="6D2C5263" w14:textId="77777777" w:rsidR="003A3C9C" w:rsidRPr="00402756" w:rsidRDefault="003A3C9C" w:rsidP="009F5F18">
            <w:pPr>
              <w:spacing w:after="160" w:line="360" w:lineRule="auto"/>
              <w:jc w:val="both"/>
              <w:rPr>
                <w:rFonts w:ascii="Arial" w:hAnsi="Arial" w:cs="Arial"/>
              </w:rPr>
            </w:pPr>
            <w:r w:rsidRPr="00402756">
              <w:rPr>
                <w:rFonts w:ascii="Arial" w:hAnsi="Arial" w:cs="Arial"/>
              </w:rPr>
              <w:t>60 (103)</w:t>
            </w:r>
          </w:p>
        </w:tc>
        <w:tc>
          <w:tcPr>
            <w:tcW w:w="1080" w:type="dxa"/>
            <w:tcBorders>
              <w:top w:val="nil"/>
              <w:left w:val="nil"/>
              <w:bottom w:val="nil"/>
            </w:tcBorders>
          </w:tcPr>
          <w:p w14:paraId="5861A38A" w14:textId="77777777" w:rsidR="003A3C9C" w:rsidRPr="00402756" w:rsidRDefault="003A3C9C" w:rsidP="009F5F18">
            <w:pPr>
              <w:spacing w:after="160" w:line="360" w:lineRule="auto"/>
              <w:jc w:val="both"/>
              <w:rPr>
                <w:rFonts w:ascii="Arial" w:hAnsi="Arial" w:cs="Arial"/>
              </w:rPr>
            </w:pPr>
            <w:r w:rsidRPr="00402756">
              <w:rPr>
                <w:rFonts w:ascii="Arial" w:hAnsi="Arial" w:cs="Arial"/>
              </w:rPr>
              <w:t>0.44</w:t>
            </w:r>
          </w:p>
        </w:tc>
      </w:tr>
      <w:tr w:rsidR="003A3C9C" w:rsidRPr="00402756" w14:paraId="3D5005D8" w14:textId="77777777" w:rsidTr="009F5F18">
        <w:tc>
          <w:tcPr>
            <w:tcW w:w="3621" w:type="dxa"/>
            <w:tcBorders>
              <w:top w:val="nil"/>
              <w:bottom w:val="nil"/>
              <w:right w:val="nil"/>
            </w:tcBorders>
          </w:tcPr>
          <w:p w14:paraId="0730AAB8" w14:textId="77777777" w:rsidR="003A3C9C" w:rsidRPr="00402756" w:rsidRDefault="003A3C9C" w:rsidP="009F5F18">
            <w:pPr>
              <w:spacing w:after="160" w:line="360" w:lineRule="auto"/>
              <w:jc w:val="both"/>
              <w:rPr>
                <w:rFonts w:ascii="Arial" w:hAnsi="Arial" w:cs="Arial"/>
              </w:rPr>
            </w:pPr>
            <w:r w:rsidRPr="00402756">
              <w:rPr>
                <w:rFonts w:ascii="Arial" w:hAnsi="Arial" w:cs="Arial"/>
              </w:rPr>
              <w:t>Lung involvement (≥1), % (n)</w:t>
            </w:r>
          </w:p>
          <w:p w14:paraId="71120D90" w14:textId="77777777" w:rsidR="003A3C9C" w:rsidRPr="00402756" w:rsidRDefault="003A3C9C" w:rsidP="009F5F18">
            <w:pPr>
              <w:spacing w:after="160" w:line="360" w:lineRule="auto"/>
              <w:jc w:val="both"/>
              <w:rPr>
                <w:rFonts w:ascii="Arial" w:hAnsi="Arial" w:cs="Arial"/>
              </w:rPr>
            </w:pPr>
            <w:r w:rsidRPr="00402756">
              <w:rPr>
                <w:rFonts w:ascii="Arial" w:hAnsi="Arial" w:cs="Arial"/>
              </w:rPr>
              <w:t>Renal crisis, % (n)</w:t>
            </w:r>
          </w:p>
        </w:tc>
        <w:tc>
          <w:tcPr>
            <w:tcW w:w="979" w:type="dxa"/>
            <w:tcBorders>
              <w:top w:val="nil"/>
              <w:bottom w:val="nil"/>
              <w:right w:val="nil"/>
            </w:tcBorders>
          </w:tcPr>
          <w:p w14:paraId="5C9F3A68"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6390939A" w14:textId="77777777" w:rsidR="003A3C9C" w:rsidRPr="00402756" w:rsidRDefault="003A3C9C" w:rsidP="009F5F18">
            <w:pPr>
              <w:spacing w:after="160" w:line="360" w:lineRule="auto"/>
              <w:jc w:val="both"/>
              <w:rPr>
                <w:rFonts w:ascii="Arial" w:hAnsi="Arial" w:cs="Arial"/>
              </w:rPr>
            </w:pPr>
            <w:r w:rsidRPr="00402756">
              <w:rPr>
                <w:rFonts w:ascii="Arial" w:hAnsi="Arial" w:cs="Arial"/>
              </w:rPr>
              <w:t>20 (2)</w:t>
            </w:r>
          </w:p>
          <w:p w14:paraId="3C7B6365"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0 (0)</w:t>
            </w:r>
          </w:p>
        </w:tc>
        <w:tc>
          <w:tcPr>
            <w:tcW w:w="1980" w:type="dxa"/>
            <w:tcBorders>
              <w:top w:val="nil"/>
              <w:left w:val="nil"/>
              <w:bottom w:val="nil"/>
              <w:right w:val="nil"/>
            </w:tcBorders>
          </w:tcPr>
          <w:p w14:paraId="64A0FB79"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45 (55)</w:t>
            </w:r>
          </w:p>
          <w:p w14:paraId="0EDC2C5F"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3 (5)</w:t>
            </w:r>
          </w:p>
        </w:tc>
        <w:tc>
          <w:tcPr>
            <w:tcW w:w="1080" w:type="dxa"/>
            <w:tcBorders>
              <w:top w:val="nil"/>
              <w:left w:val="nil"/>
              <w:bottom w:val="nil"/>
            </w:tcBorders>
          </w:tcPr>
          <w:p w14:paraId="2F9F0311" w14:textId="77777777" w:rsidR="003A3C9C" w:rsidRPr="00402756" w:rsidRDefault="003A3C9C" w:rsidP="009F5F18">
            <w:pPr>
              <w:spacing w:after="160" w:line="360" w:lineRule="auto"/>
              <w:jc w:val="both"/>
              <w:rPr>
                <w:rFonts w:ascii="Arial" w:hAnsi="Arial" w:cs="Arial"/>
                <w:bCs/>
              </w:rPr>
            </w:pPr>
            <w:r w:rsidRPr="00402756">
              <w:rPr>
                <w:rFonts w:ascii="Arial" w:hAnsi="Arial" w:cs="Arial"/>
                <w:bCs/>
              </w:rPr>
              <w:t>0.19</w:t>
            </w:r>
          </w:p>
          <w:p w14:paraId="024572C1" w14:textId="77777777" w:rsidR="003A3C9C" w:rsidRPr="00402756" w:rsidRDefault="003A3C9C" w:rsidP="009F5F18">
            <w:pPr>
              <w:spacing w:after="160" w:line="360" w:lineRule="auto"/>
              <w:jc w:val="both"/>
              <w:rPr>
                <w:rFonts w:ascii="Arial" w:hAnsi="Arial" w:cs="Arial"/>
                <w:bCs/>
              </w:rPr>
            </w:pPr>
            <w:r w:rsidRPr="00402756">
              <w:rPr>
                <w:rFonts w:ascii="Arial" w:hAnsi="Arial" w:cs="Arial"/>
                <w:bCs/>
              </w:rPr>
              <w:t>1.00</w:t>
            </w:r>
          </w:p>
        </w:tc>
      </w:tr>
      <w:tr w:rsidR="003A3C9C" w:rsidRPr="00402756" w14:paraId="68B666A0" w14:textId="77777777" w:rsidTr="009F5F18">
        <w:tc>
          <w:tcPr>
            <w:tcW w:w="3621" w:type="dxa"/>
            <w:tcBorders>
              <w:top w:val="nil"/>
              <w:bottom w:val="nil"/>
              <w:right w:val="nil"/>
            </w:tcBorders>
          </w:tcPr>
          <w:p w14:paraId="41FCFDFF" w14:textId="77777777" w:rsidR="003A3C9C" w:rsidRPr="00402756" w:rsidRDefault="003A3C9C" w:rsidP="009F5F18">
            <w:pPr>
              <w:spacing w:after="160" w:line="360" w:lineRule="auto"/>
              <w:jc w:val="both"/>
              <w:rPr>
                <w:rFonts w:ascii="Arial" w:hAnsi="Arial" w:cs="Arial"/>
              </w:rPr>
            </w:pPr>
            <w:r w:rsidRPr="00402756">
              <w:rPr>
                <w:rFonts w:ascii="Arial" w:hAnsi="Arial" w:cs="Arial"/>
              </w:rPr>
              <w:t>Cancer, % (n)</w:t>
            </w:r>
          </w:p>
        </w:tc>
        <w:tc>
          <w:tcPr>
            <w:tcW w:w="979" w:type="dxa"/>
            <w:tcBorders>
              <w:top w:val="nil"/>
              <w:bottom w:val="nil"/>
              <w:right w:val="nil"/>
            </w:tcBorders>
          </w:tcPr>
          <w:p w14:paraId="21A8F7E8"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6A3B31B5" w14:textId="77777777" w:rsidR="003A3C9C" w:rsidRPr="00402756" w:rsidRDefault="003A3C9C" w:rsidP="009F5F18">
            <w:pPr>
              <w:spacing w:after="160" w:line="360" w:lineRule="auto"/>
              <w:jc w:val="both"/>
              <w:rPr>
                <w:rFonts w:ascii="Arial" w:hAnsi="Arial" w:cs="Arial"/>
              </w:rPr>
            </w:pPr>
            <w:r w:rsidRPr="00402756">
              <w:rPr>
                <w:rFonts w:ascii="Arial" w:hAnsi="Arial" w:cs="Arial"/>
              </w:rPr>
              <w:t>19 (3)</w:t>
            </w:r>
          </w:p>
        </w:tc>
        <w:tc>
          <w:tcPr>
            <w:tcW w:w="1980" w:type="dxa"/>
            <w:tcBorders>
              <w:top w:val="nil"/>
              <w:left w:val="nil"/>
              <w:bottom w:val="nil"/>
              <w:right w:val="nil"/>
            </w:tcBorders>
          </w:tcPr>
          <w:p w14:paraId="7BEECFF5" w14:textId="77777777" w:rsidR="003A3C9C" w:rsidRPr="00402756" w:rsidRDefault="003A3C9C" w:rsidP="009F5F18">
            <w:pPr>
              <w:spacing w:after="160" w:line="360" w:lineRule="auto"/>
              <w:jc w:val="both"/>
              <w:rPr>
                <w:rFonts w:ascii="Arial" w:hAnsi="Arial" w:cs="Arial"/>
              </w:rPr>
            </w:pPr>
            <w:r w:rsidRPr="00402756">
              <w:rPr>
                <w:rFonts w:ascii="Arial" w:hAnsi="Arial" w:cs="Arial"/>
              </w:rPr>
              <w:t>19 (33)</w:t>
            </w:r>
          </w:p>
        </w:tc>
        <w:tc>
          <w:tcPr>
            <w:tcW w:w="1080" w:type="dxa"/>
            <w:tcBorders>
              <w:top w:val="nil"/>
              <w:left w:val="nil"/>
              <w:bottom w:val="nil"/>
            </w:tcBorders>
          </w:tcPr>
          <w:p w14:paraId="13ACD6BA" w14:textId="77777777" w:rsidR="003A3C9C" w:rsidRPr="00402756" w:rsidRDefault="003A3C9C" w:rsidP="009F5F18">
            <w:pPr>
              <w:spacing w:after="160" w:line="360" w:lineRule="auto"/>
              <w:jc w:val="both"/>
              <w:rPr>
                <w:rFonts w:ascii="Arial" w:hAnsi="Arial" w:cs="Arial"/>
              </w:rPr>
            </w:pPr>
            <w:r w:rsidRPr="00402756">
              <w:rPr>
                <w:rFonts w:ascii="Arial" w:hAnsi="Arial" w:cs="Arial"/>
              </w:rPr>
              <w:t>1.00</w:t>
            </w:r>
          </w:p>
        </w:tc>
      </w:tr>
      <w:tr w:rsidR="003A3C9C" w:rsidRPr="00402756" w14:paraId="2A0EDEE7" w14:textId="77777777" w:rsidTr="009F5F18">
        <w:tc>
          <w:tcPr>
            <w:tcW w:w="3621" w:type="dxa"/>
            <w:tcBorders>
              <w:top w:val="nil"/>
              <w:bottom w:val="nil"/>
              <w:right w:val="nil"/>
            </w:tcBorders>
          </w:tcPr>
          <w:p w14:paraId="388BE5C9" w14:textId="77777777" w:rsidR="003A3C9C" w:rsidRPr="00402756" w:rsidRDefault="003A3C9C" w:rsidP="009F5F18">
            <w:pPr>
              <w:spacing w:after="160" w:line="360" w:lineRule="auto"/>
              <w:jc w:val="both"/>
              <w:rPr>
                <w:rFonts w:ascii="Arial" w:hAnsi="Arial" w:cs="Arial"/>
              </w:rPr>
            </w:pPr>
            <w:r w:rsidRPr="00402756">
              <w:rPr>
                <w:rFonts w:ascii="Arial" w:hAnsi="Arial" w:cs="Arial"/>
              </w:rPr>
              <w:t>Telangiectasias, % (n)</w:t>
            </w:r>
          </w:p>
        </w:tc>
        <w:tc>
          <w:tcPr>
            <w:tcW w:w="979" w:type="dxa"/>
            <w:tcBorders>
              <w:top w:val="nil"/>
              <w:bottom w:val="nil"/>
              <w:right w:val="nil"/>
            </w:tcBorders>
          </w:tcPr>
          <w:p w14:paraId="69FB2BCE"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63CC6B3B" w14:textId="77777777" w:rsidR="003A3C9C" w:rsidRPr="00402756" w:rsidRDefault="003A3C9C" w:rsidP="009F5F18">
            <w:pPr>
              <w:spacing w:after="160" w:line="360" w:lineRule="auto"/>
              <w:jc w:val="both"/>
              <w:rPr>
                <w:rFonts w:ascii="Arial" w:hAnsi="Arial" w:cs="Arial"/>
              </w:rPr>
            </w:pPr>
            <w:r w:rsidRPr="00402756">
              <w:rPr>
                <w:rFonts w:ascii="Arial" w:hAnsi="Arial" w:cs="Arial"/>
              </w:rPr>
              <w:t>88 (14)</w:t>
            </w:r>
          </w:p>
        </w:tc>
        <w:tc>
          <w:tcPr>
            <w:tcW w:w="1980" w:type="dxa"/>
            <w:tcBorders>
              <w:top w:val="nil"/>
              <w:left w:val="nil"/>
              <w:bottom w:val="nil"/>
              <w:right w:val="nil"/>
            </w:tcBorders>
          </w:tcPr>
          <w:p w14:paraId="343A97C4" w14:textId="77777777" w:rsidR="003A3C9C" w:rsidRPr="00402756" w:rsidRDefault="003A3C9C" w:rsidP="009F5F18">
            <w:pPr>
              <w:spacing w:after="160" w:line="360" w:lineRule="auto"/>
              <w:jc w:val="both"/>
              <w:rPr>
                <w:rFonts w:ascii="Arial" w:hAnsi="Arial" w:cs="Arial"/>
              </w:rPr>
            </w:pPr>
            <w:r w:rsidRPr="00402756">
              <w:rPr>
                <w:rFonts w:ascii="Arial" w:hAnsi="Arial" w:cs="Arial"/>
              </w:rPr>
              <w:t>97 (152)</w:t>
            </w:r>
          </w:p>
        </w:tc>
        <w:tc>
          <w:tcPr>
            <w:tcW w:w="1080" w:type="dxa"/>
            <w:tcBorders>
              <w:top w:val="nil"/>
              <w:left w:val="nil"/>
              <w:bottom w:val="nil"/>
            </w:tcBorders>
          </w:tcPr>
          <w:p w14:paraId="46DD122B" w14:textId="77777777" w:rsidR="003A3C9C" w:rsidRPr="00402756" w:rsidRDefault="003A3C9C" w:rsidP="009F5F18">
            <w:pPr>
              <w:spacing w:after="160" w:line="360" w:lineRule="auto"/>
              <w:jc w:val="both"/>
              <w:rPr>
                <w:rFonts w:ascii="Arial" w:hAnsi="Arial" w:cs="Arial"/>
                <w:bCs/>
              </w:rPr>
            </w:pPr>
            <w:r w:rsidRPr="00402756">
              <w:rPr>
                <w:rFonts w:ascii="Arial" w:hAnsi="Arial" w:cs="Arial"/>
                <w:bCs/>
              </w:rPr>
              <w:t>0.10</w:t>
            </w:r>
          </w:p>
        </w:tc>
      </w:tr>
      <w:tr w:rsidR="003A3C9C" w:rsidRPr="00402756" w14:paraId="573A543B" w14:textId="77777777" w:rsidTr="009F5F18">
        <w:tc>
          <w:tcPr>
            <w:tcW w:w="3621" w:type="dxa"/>
            <w:tcBorders>
              <w:top w:val="nil"/>
              <w:bottom w:val="nil"/>
              <w:right w:val="nil"/>
            </w:tcBorders>
          </w:tcPr>
          <w:p w14:paraId="178A113F" w14:textId="77777777" w:rsidR="003A3C9C" w:rsidRPr="00402756" w:rsidRDefault="003A3C9C" w:rsidP="009F5F18">
            <w:pPr>
              <w:spacing w:after="160" w:line="360" w:lineRule="auto"/>
              <w:jc w:val="both"/>
              <w:rPr>
                <w:rFonts w:ascii="Arial" w:hAnsi="Arial" w:cs="Arial"/>
              </w:rPr>
            </w:pPr>
            <w:r w:rsidRPr="00402756">
              <w:rPr>
                <w:rFonts w:ascii="Arial" w:hAnsi="Arial" w:cs="Arial"/>
              </w:rPr>
              <w:t>Tendon friction rub, % (n)</w:t>
            </w:r>
          </w:p>
        </w:tc>
        <w:tc>
          <w:tcPr>
            <w:tcW w:w="979" w:type="dxa"/>
            <w:tcBorders>
              <w:top w:val="nil"/>
              <w:bottom w:val="nil"/>
              <w:right w:val="nil"/>
            </w:tcBorders>
          </w:tcPr>
          <w:p w14:paraId="26C462BF"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570D1074" w14:textId="77777777" w:rsidR="003A3C9C" w:rsidRPr="00402756" w:rsidRDefault="003A3C9C" w:rsidP="009F5F18">
            <w:pPr>
              <w:spacing w:after="160" w:line="360" w:lineRule="auto"/>
              <w:jc w:val="both"/>
              <w:rPr>
                <w:rFonts w:ascii="Arial" w:hAnsi="Arial" w:cs="Arial"/>
              </w:rPr>
            </w:pPr>
            <w:r w:rsidRPr="00402756">
              <w:rPr>
                <w:rFonts w:ascii="Arial" w:hAnsi="Arial" w:cs="Arial"/>
              </w:rPr>
              <w:t>38 (6)</w:t>
            </w:r>
          </w:p>
        </w:tc>
        <w:tc>
          <w:tcPr>
            <w:tcW w:w="1980" w:type="dxa"/>
            <w:tcBorders>
              <w:top w:val="nil"/>
              <w:left w:val="nil"/>
              <w:bottom w:val="nil"/>
              <w:right w:val="nil"/>
            </w:tcBorders>
          </w:tcPr>
          <w:p w14:paraId="2B3D0E87" w14:textId="77777777" w:rsidR="003A3C9C" w:rsidRPr="00402756" w:rsidRDefault="003A3C9C" w:rsidP="009F5F18">
            <w:pPr>
              <w:spacing w:after="160" w:line="360" w:lineRule="auto"/>
              <w:jc w:val="both"/>
              <w:rPr>
                <w:rFonts w:ascii="Arial" w:hAnsi="Arial" w:cs="Arial"/>
              </w:rPr>
            </w:pPr>
            <w:r w:rsidRPr="00402756">
              <w:rPr>
                <w:rFonts w:ascii="Arial" w:hAnsi="Arial" w:cs="Arial"/>
              </w:rPr>
              <w:t>19 (32)</w:t>
            </w:r>
          </w:p>
        </w:tc>
        <w:tc>
          <w:tcPr>
            <w:tcW w:w="1080" w:type="dxa"/>
            <w:tcBorders>
              <w:top w:val="nil"/>
              <w:left w:val="nil"/>
              <w:bottom w:val="nil"/>
            </w:tcBorders>
          </w:tcPr>
          <w:p w14:paraId="60632975" w14:textId="77777777" w:rsidR="003A3C9C" w:rsidRPr="00402756" w:rsidRDefault="003A3C9C" w:rsidP="009F5F18">
            <w:pPr>
              <w:spacing w:after="160" w:line="360" w:lineRule="auto"/>
              <w:jc w:val="both"/>
              <w:rPr>
                <w:rFonts w:ascii="Arial" w:hAnsi="Arial" w:cs="Arial"/>
              </w:rPr>
            </w:pPr>
            <w:r w:rsidRPr="00402756">
              <w:rPr>
                <w:rFonts w:ascii="Arial" w:hAnsi="Arial" w:cs="Arial"/>
              </w:rPr>
              <w:t>0.07</w:t>
            </w:r>
          </w:p>
        </w:tc>
      </w:tr>
      <w:tr w:rsidR="003A3C9C" w:rsidRPr="00402756" w14:paraId="7070EA9B" w14:textId="77777777" w:rsidTr="009F5F18">
        <w:tc>
          <w:tcPr>
            <w:tcW w:w="3621" w:type="dxa"/>
            <w:tcBorders>
              <w:top w:val="nil"/>
              <w:bottom w:val="nil"/>
              <w:right w:val="nil"/>
            </w:tcBorders>
          </w:tcPr>
          <w:p w14:paraId="73BE3665" w14:textId="77777777" w:rsidR="003A3C9C" w:rsidRPr="00402756" w:rsidRDefault="003A3C9C" w:rsidP="009F5F18">
            <w:pPr>
              <w:spacing w:after="160" w:line="360" w:lineRule="auto"/>
              <w:jc w:val="both"/>
              <w:rPr>
                <w:rFonts w:ascii="Arial" w:hAnsi="Arial" w:cs="Arial"/>
              </w:rPr>
            </w:pPr>
            <w:r w:rsidRPr="00402756">
              <w:rPr>
                <w:rFonts w:ascii="Arial" w:hAnsi="Arial" w:cs="Arial"/>
              </w:rPr>
              <w:lastRenderedPageBreak/>
              <w:t>Calcinosis, % (n)</w:t>
            </w:r>
          </w:p>
        </w:tc>
        <w:tc>
          <w:tcPr>
            <w:tcW w:w="979" w:type="dxa"/>
            <w:tcBorders>
              <w:top w:val="nil"/>
              <w:bottom w:val="nil"/>
              <w:right w:val="nil"/>
            </w:tcBorders>
          </w:tcPr>
          <w:p w14:paraId="6339AE29"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36DB4345" w14:textId="77777777" w:rsidR="003A3C9C" w:rsidRPr="00402756" w:rsidRDefault="003A3C9C" w:rsidP="009F5F18">
            <w:pPr>
              <w:spacing w:after="160" w:line="360" w:lineRule="auto"/>
              <w:jc w:val="both"/>
              <w:rPr>
                <w:rFonts w:ascii="Arial" w:hAnsi="Arial" w:cs="Arial"/>
              </w:rPr>
            </w:pPr>
            <w:r w:rsidRPr="00402756">
              <w:rPr>
                <w:rFonts w:ascii="Arial" w:hAnsi="Arial" w:cs="Arial"/>
              </w:rPr>
              <w:t>38 (6)</w:t>
            </w:r>
          </w:p>
        </w:tc>
        <w:tc>
          <w:tcPr>
            <w:tcW w:w="1980" w:type="dxa"/>
            <w:tcBorders>
              <w:top w:val="nil"/>
              <w:left w:val="nil"/>
              <w:bottom w:val="nil"/>
              <w:right w:val="nil"/>
            </w:tcBorders>
          </w:tcPr>
          <w:p w14:paraId="14B088E2" w14:textId="77777777" w:rsidR="003A3C9C" w:rsidRPr="00402756" w:rsidRDefault="003A3C9C" w:rsidP="009F5F18">
            <w:pPr>
              <w:spacing w:after="160" w:line="360" w:lineRule="auto"/>
              <w:jc w:val="both"/>
              <w:rPr>
                <w:rFonts w:ascii="Arial" w:hAnsi="Arial" w:cs="Arial"/>
              </w:rPr>
            </w:pPr>
            <w:r w:rsidRPr="00402756">
              <w:rPr>
                <w:rFonts w:ascii="Arial" w:hAnsi="Arial" w:cs="Arial"/>
              </w:rPr>
              <w:t>45 (78)</w:t>
            </w:r>
          </w:p>
        </w:tc>
        <w:tc>
          <w:tcPr>
            <w:tcW w:w="1080" w:type="dxa"/>
            <w:tcBorders>
              <w:top w:val="nil"/>
              <w:left w:val="nil"/>
              <w:bottom w:val="nil"/>
            </w:tcBorders>
          </w:tcPr>
          <w:p w14:paraId="537FFF45" w14:textId="77777777" w:rsidR="003A3C9C" w:rsidRPr="00402756" w:rsidRDefault="003A3C9C" w:rsidP="009F5F18">
            <w:pPr>
              <w:spacing w:after="160" w:line="360" w:lineRule="auto"/>
              <w:jc w:val="both"/>
              <w:rPr>
                <w:rFonts w:ascii="Arial" w:hAnsi="Arial" w:cs="Arial"/>
              </w:rPr>
            </w:pPr>
            <w:r w:rsidRPr="00402756">
              <w:rPr>
                <w:rFonts w:ascii="Arial" w:hAnsi="Arial" w:cs="Arial"/>
              </w:rPr>
              <w:t>0.61</w:t>
            </w:r>
          </w:p>
        </w:tc>
      </w:tr>
      <w:tr w:rsidR="003A3C9C" w:rsidRPr="00402756" w14:paraId="7EBC8011" w14:textId="77777777" w:rsidTr="009F5F18">
        <w:tc>
          <w:tcPr>
            <w:tcW w:w="3621" w:type="dxa"/>
            <w:tcBorders>
              <w:top w:val="nil"/>
              <w:bottom w:val="nil"/>
              <w:right w:val="nil"/>
            </w:tcBorders>
          </w:tcPr>
          <w:p w14:paraId="36E535C5" w14:textId="77777777" w:rsidR="003A3C9C" w:rsidRPr="00402756" w:rsidRDefault="003A3C9C" w:rsidP="009F5F18">
            <w:pPr>
              <w:spacing w:line="360" w:lineRule="auto"/>
              <w:jc w:val="both"/>
              <w:rPr>
                <w:rFonts w:ascii="Arial" w:hAnsi="Arial" w:cs="Arial"/>
              </w:rPr>
            </w:pPr>
            <w:r w:rsidRPr="00402756">
              <w:rPr>
                <w:rFonts w:ascii="Arial" w:hAnsi="Arial" w:cs="Arial"/>
              </w:rPr>
              <w:t>Dead, % (n)</w:t>
            </w:r>
          </w:p>
        </w:tc>
        <w:tc>
          <w:tcPr>
            <w:tcW w:w="979" w:type="dxa"/>
            <w:tcBorders>
              <w:top w:val="nil"/>
              <w:bottom w:val="nil"/>
              <w:right w:val="nil"/>
            </w:tcBorders>
          </w:tcPr>
          <w:p w14:paraId="124C8AFB"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1D7C6C71" w14:textId="77777777" w:rsidR="003A3C9C" w:rsidRPr="00402756" w:rsidRDefault="003A3C9C" w:rsidP="009F5F18">
            <w:pPr>
              <w:spacing w:line="360" w:lineRule="auto"/>
              <w:jc w:val="both"/>
              <w:rPr>
                <w:rFonts w:ascii="Arial" w:hAnsi="Arial" w:cs="Arial"/>
              </w:rPr>
            </w:pPr>
            <w:r w:rsidRPr="00402756">
              <w:rPr>
                <w:rFonts w:ascii="Arial" w:hAnsi="Arial" w:cs="Arial"/>
              </w:rPr>
              <w:t xml:space="preserve">  0 (0)</w:t>
            </w:r>
          </w:p>
        </w:tc>
        <w:tc>
          <w:tcPr>
            <w:tcW w:w="1980" w:type="dxa"/>
            <w:tcBorders>
              <w:top w:val="nil"/>
              <w:left w:val="nil"/>
              <w:bottom w:val="nil"/>
              <w:right w:val="nil"/>
            </w:tcBorders>
          </w:tcPr>
          <w:p w14:paraId="4958F9CD" w14:textId="77777777" w:rsidR="003A3C9C" w:rsidRPr="00402756" w:rsidRDefault="003A3C9C" w:rsidP="009F5F18">
            <w:pPr>
              <w:spacing w:line="360" w:lineRule="auto"/>
              <w:jc w:val="both"/>
              <w:rPr>
                <w:rFonts w:ascii="Arial" w:hAnsi="Arial" w:cs="Arial"/>
              </w:rPr>
            </w:pPr>
            <w:r w:rsidRPr="00402756">
              <w:rPr>
                <w:rFonts w:ascii="Arial" w:hAnsi="Arial" w:cs="Arial"/>
              </w:rPr>
              <w:t xml:space="preserve">  4 (6)</w:t>
            </w:r>
          </w:p>
        </w:tc>
        <w:tc>
          <w:tcPr>
            <w:tcW w:w="1080" w:type="dxa"/>
            <w:tcBorders>
              <w:top w:val="nil"/>
              <w:left w:val="nil"/>
              <w:bottom w:val="nil"/>
            </w:tcBorders>
          </w:tcPr>
          <w:p w14:paraId="757403A3" w14:textId="77777777" w:rsidR="003A3C9C" w:rsidRPr="00402756" w:rsidRDefault="003A3C9C" w:rsidP="009F5F18">
            <w:pPr>
              <w:spacing w:line="360" w:lineRule="auto"/>
              <w:jc w:val="both"/>
              <w:rPr>
                <w:rFonts w:ascii="Arial" w:hAnsi="Arial" w:cs="Arial"/>
              </w:rPr>
            </w:pPr>
            <w:r w:rsidRPr="00402756">
              <w:rPr>
                <w:rFonts w:ascii="Arial" w:hAnsi="Arial" w:cs="Arial"/>
              </w:rPr>
              <w:t>1.00</w:t>
            </w:r>
          </w:p>
        </w:tc>
      </w:tr>
      <w:tr w:rsidR="003A3C9C" w:rsidRPr="00402756" w14:paraId="33C057E2" w14:textId="77777777" w:rsidTr="009F5F18">
        <w:tc>
          <w:tcPr>
            <w:tcW w:w="3621" w:type="dxa"/>
            <w:tcBorders>
              <w:top w:val="nil"/>
              <w:bottom w:val="nil"/>
              <w:right w:val="nil"/>
            </w:tcBorders>
          </w:tcPr>
          <w:p w14:paraId="208A161F" w14:textId="77777777" w:rsidR="003A3C9C" w:rsidRPr="00402756" w:rsidRDefault="003A3C9C" w:rsidP="009F5F18">
            <w:pPr>
              <w:spacing w:after="160" w:line="360" w:lineRule="auto"/>
              <w:jc w:val="both"/>
              <w:rPr>
                <w:rFonts w:ascii="Arial" w:hAnsi="Arial" w:cs="Arial"/>
              </w:rPr>
            </w:pPr>
            <w:r w:rsidRPr="00402756">
              <w:rPr>
                <w:rFonts w:ascii="Arial" w:hAnsi="Arial" w:cs="Arial"/>
                <w:i/>
              </w:rPr>
              <w:t>Pulmonary function parameters</w:t>
            </w:r>
          </w:p>
        </w:tc>
        <w:tc>
          <w:tcPr>
            <w:tcW w:w="979" w:type="dxa"/>
            <w:tcBorders>
              <w:top w:val="nil"/>
              <w:bottom w:val="nil"/>
              <w:right w:val="nil"/>
            </w:tcBorders>
          </w:tcPr>
          <w:p w14:paraId="6C7F662C"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6E7F87B0" w14:textId="77777777" w:rsidR="003A3C9C" w:rsidRPr="00402756" w:rsidRDefault="003A3C9C" w:rsidP="009F5F18">
            <w:pPr>
              <w:spacing w:after="160" w:line="360" w:lineRule="auto"/>
              <w:jc w:val="both"/>
              <w:rPr>
                <w:rFonts w:ascii="Arial" w:hAnsi="Arial" w:cs="Arial"/>
              </w:rPr>
            </w:pPr>
          </w:p>
        </w:tc>
        <w:tc>
          <w:tcPr>
            <w:tcW w:w="1980" w:type="dxa"/>
            <w:tcBorders>
              <w:top w:val="nil"/>
              <w:left w:val="nil"/>
              <w:bottom w:val="nil"/>
              <w:right w:val="nil"/>
            </w:tcBorders>
          </w:tcPr>
          <w:p w14:paraId="2D8565BF" w14:textId="77777777" w:rsidR="003A3C9C" w:rsidRPr="00402756" w:rsidRDefault="003A3C9C" w:rsidP="009F5F18">
            <w:pPr>
              <w:spacing w:after="160" w:line="360" w:lineRule="auto"/>
              <w:jc w:val="both"/>
              <w:rPr>
                <w:rFonts w:ascii="Arial" w:hAnsi="Arial" w:cs="Arial"/>
              </w:rPr>
            </w:pPr>
          </w:p>
        </w:tc>
        <w:tc>
          <w:tcPr>
            <w:tcW w:w="1080" w:type="dxa"/>
            <w:tcBorders>
              <w:top w:val="nil"/>
              <w:left w:val="nil"/>
              <w:bottom w:val="nil"/>
            </w:tcBorders>
          </w:tcPr>
          <w:p w14:paraId="719D1F22" w14:textId="77777777" w:rsidR="003A3C9C" w:rsidRPr="00402756" w:rsidRDefault="003A3C9C" w:rsidP="009F5F18">
            <w:pPr>
              <w:spacing w:after="160" w:line="360" w:lineRule="auto"/>
              <w:jc w:val="both"/>
              <w:rPr>
                <w:rFonts w:ascii="Arial" w:hAnsi="Arial" w:cs="Arial"/>
              </w:rPr>
            </w:pPr>
          </w:p>
        </w:tc>
      </w:tr>
      <w:tr w:rsidR="003A3C9C" w:rsidRPr="00402756" w14:paraId="337B0186" w14:textId="77777777" w:rsidTr="009F5F18">
        <w:tc>
          <w:tcPr>
            <w:tcW w:w="3621" w:type="dxa"/>
            <w:tcBorders>
              <w:top w:val="nil"/>
              <w:bottom w:val="nil"/>
              <w:right w:val="nil"/>
            </w:tcBorders>
          </w:tcPr>
          <w:p w14:paraId="74F84EBE"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FVC, % (n)</w:t>
            </w:r>
          </w:p>
        </w:tc>
        <w:tc>
          <w:tcPr>
            <w:tcW w:w="979" w:type="dxa"/>
            <w:tcBorders>
              <w:top w:val="nil"/>
              <w:bottom w:val="nil"/>
              <w:right w:val="nil"/>
            </w:tcBorders>
          </w:tcPr>
          <w:p w14:paraId="74F1C076"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79716F5E" w14:textId="77777777" w:rsidR="003A3C9C" w:rsidRPr="00402756" w:rsidRDefault="003A3C9C" w:rsidP="009F5F18">
            <w:pPr>
              <w:spacing w:after="160" w:line="360" w:lineRule="auto"/>
              <w:jc w:val="both"/>
              <w:rPr>
                <w:rFonts w:ascii="Arial" w:hAnsi="Arial" w:cs="Arial"/>
              </w:rPr>
            </w:pPr>
            <w:r w:rsidRPr="00402756">
              <w:rPr>
                <w:rFonts w:ascii="Arial" w:hAnsi="Arial" w:cs="Arial"/>
              </w:rPr>
              <w:t>86 (19)</w:t>
            </w:r>
          </w:p>
        </w:tc>
        <w:tc>
          <w:tcPr>
            <w:tcW w:w="1980" w:type="dxa"/>
            <w:tcBorders>
              <w:top w:val="nil"/>
              <w:left w:val="nil"/>
              <w:bottom w:val="nil"/>
              <w:right w:val="nil"/>
            </w:tcBorders>
          </w:tcPr>
          <w:p w14:paraId="0FCA56C6" w14:textId="77777777" w:rsidR="003A3C9C" w:rsidRPr="00402756" w:rsidRDefault="003A3C9C" w:rsidP="009F5F18">
            <w:pPr>
              <w:spacing w:after="160" w:line="360" w:lineRule="auto"/>
              <w:jc w:val="both"/>
              <w:rPr>
                <w:rFonts w:ascii="Arial" w:hAnsi="Arial" w:cs="Arial"/>
              </w:rPr>
            </w:pPr>
            <w:r w:rsidRPr="00402756">
              <w:rPr>
                <w:rFonts w:ascii="Arial" w:hAnsi="Arial" w:cs="Arial"/>
              </w:rPr>
              <w:t>73 (19)</w:t>
            </w:r>
          </w:p>
        </w:tc>
        <w:tc>
          <w:tcPr>
            <w:tcW w:w="1080" w:type="dxa"/>
            <w:tcBorders>
              <w:top w:val="nil"/>
              <w:left w:val="nil"/>
              <w:bottom w:val="nil"/>
            </w:tcBorders>
          </w:tcPr>
          <w:p w14:paraId="606F9383" w14:textId="77777777" w:rsidR="003A3C9C" w:rsidRPr="00402756" w:rsidRDefault="003A3C9C" w:rsidP="009F5F18">
            <w:pPr>
              <w:spacing w:after="160" w:line="360" w:lineRule="auto"/>
              <w:jc w:val="both"/>
              <w:rPr>
                <w:rFonts w:ascii="Arial" w:hAnsi="Arial" w:cs="Arial"/>
                <w:b/>
                <w:bCs/>
              </w:rPr>
            </w:pPr>
            <w:r w:rsidRPr="00402756">
              <w:rPr>
                <w:rFonts w:ascii="Arial" w:hAnsi="Arial" w:cs="Arial"/>
                <w:b/>
                <w:bCs/>
              </w:rPr>
              <w:t>0.01</w:t>
            </w:r>
          </w:p>
        </w:tc>
      </w:tr>
      <w:tr w:rsidR="003A3C9C" w:rsidRPr="00402756" w14:paraId="5C9BC4D4" w14:textId="77777777" w:rsidTr="009F5F18">
        <w:tc>
          <w:tcPr>
            <w:tcW w:w="3621" w:type="dxa"/>
            <w:tcBorders>
              <w:top w:val="nil"/>
              <w:bottom w:val="nil"/>
              <w:right w:val="nil"/>
            </w:tcBorders>
          </w:tcPr>
          <w:p w14:paraId="10F651F7"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DLCO, % (n)</w:t>
            </w:r>
          </w:p>
        </w:tc>
        <w:tc>
          <w:tcPr>
            <w:tcW w:w="979" w:type="dxa"/>
            <w:tcBorders>
              <w:top w:val="nil"/>
              <w:bottom w:val="nil"/>
              <w:right w:val="nil"/>
            </w:tcBorders>
          </w:tcPr>
          <w:p w14:paraId="54B333DE"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79D99BE5" w14:textId="77777777" w:rsidR="003A3C9C" w:rsidRPr="00402756" w:rsidRDefault="003A3C9C" w:rsidP="009F5F18">
            <w:pPr>
              <w:spacing w:after="160" w:line="360" w:lineRule="auto"/>
              <w:jc w:val="both"/>
              <w:rPr>
                <w:rFonts w:ascii="Arial" w:hAnsi="Arial" w:cs="Arial"/>
              </w:rPr>
            </w:pPr>
            <w:r w:rsidRPr="00402756">
              <w:rPr>
                <w:rFonts w:ascii="Arial" w:hAnsi="Arial" w:cs="Arial"/>
              </w:rPr>
              <w:t>80 (15)</w:t>
            </w:r>
          </w:p>
        </w:tc>
        <w:tc>
          <w:tcPr>
            <w:tcW w:w="1980" w:type="dxa"/>
            <w:tcBorders>
              <w:top w:val="nil"/>
              <w:left w:val="nil"/>
              <w:bottom w:val="nil"/>
              <w:right w:val="nil"/>
            </w:tcBorders>
          </w:tcPr>
          <w:p w14:paraId="2C3E8EA3" w14:textId="77777777" w:rsidR="003A3C9C" w:rsidRPr="00402756" w:rsidRDefault="003A3C9C" w:rsidP="009F5F18">
            <w:pPr>
              <w:spacing w:after="160" w:line="360" w:lineRule="auto"/>
              <w:jc w:val="both"/>
              <w:rPr>
                <w:rFonts w:ascii="Arial" w:hAnsi="Arial" w:cs="Arial"/>
              </w:rPr>
            </w:pPr>
            <w:r w:rsidRPr="00402756">
              <w:rPr>
                <w:rFonts w:ascii="Arial" w:hAnsi="Arial" w:cs="Arial"/>
              </w:rPr>
              <w:t>64 (20)</w:t>
            </w:r>
          </w:p>
        </w:tc>
        <w:tc>
          <w:tcPr>
            <w:tcW w:w="1080" w:type="dxa"/>
            <w:tcBorders>
              <w:top w:val="nil"/>
              <w:left w:val="nil"/>
              <w:bottom w:val="nil"/>
            </w:tcBorders>
          </w:tcPr>
          <w:p w14:paraId="76F2D329" w14:textId="77777777" w:rsidR="003A3C9C" w:rsidRPr="00402756" w:rsidRDefault="003A3C9C" w:rsidP="009F5F18">
            <w:pPr>
              <w:spacing w:after="160" w:line="360" w:lineRule="auto"/>
              <w:jc w:val="both"/>
              <w:rPr>
                <w:rFonts w:ascii="Arial" w:hAnsi="Arial" w:cs="Arial"/>
                <w:b/>
              </w:rPr>
            </w:pPr>
            <w:r w:rsidRPr="00402756">
              <w:rPr>
                <w:rFonts w:ascii="Arial" w:hAnsi="Arial" w:cs="Arial"/>
                <w:b/>
              </w:rPr>
              <w:t>&lt;0.01</w:t>
            </w:r>
          </w:p>
        </w:tc>
      </w:tr>
      <w:tr w:rsidR="003A3C9C" w:rsidRPr="00402756" w14:paraId="2FCAFD85" w14:textId="77777777" w:rsidTr="009F5F18">
        <w:tc>
          <w:tcPr>
            <w:tcW w:w="3621" w:type="dxa"/>
            <w:tcBorders>
              <w:top w:val="nil"/>
              <w:bottom w:val="nil"/>
              <w:right w:val="nil"/>
            </w:tcBorders>
          </w:tcPr>
          <w:p w14:paraId="5EDAD972" w14:textId="77777777" w:rsidR="003A3C9C" w:rsidRPr="00402756" w:rsidRDefault="003A3C9C" w:rsidP="009F5F18">
            <w:pPr>
              <w:spacing w:after="160" w:line="360" w:lineRule="auto"/>
              <w:jc w:val="both"/>
              <w:rPr>
                <w:rFonts w:ascii="Arial" w:hAnsi="Arial" w:cs="Arial"/>
              </w:rPr>
            </w:pPr>
            <w:r w:rsidRPr="00402756">
              <w:rPr>
                <w:rFonts w:ascii="Arial" w:hAnsi="Arial" w:cs="Arial"/>
              </w:rPr>
              <w:t>RVSP by echo (mmHg), mean (SD)</w:t>
            </w:r>
          </w:p>
        </w:tc>
        <w:tc>
          <w:tcPr>
            <w:tcW w:w="979" w:type="dxa"/>
            <w:tcBorders>
              <w:top w:val="nil"/>
              <w:bottom w:val="nil"/>
              <w:right w:val="nil"/>
            </w:tcBorders>
          </w:tcPr>
          <w:p w14:paraId="0CD4E1DA"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5DE93033"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34 (4)</w:t>
            </w:r>
          </w:p>
        </w:tc>
        <w:tc>
          <w:tcPr>
            <w:tcW w:w="1980" w:type="dxa"/>
            <w:tcBorders>
              <w:top w:val="nil"/>
              <w:left w:val="nil"/>
              <w:bottom w:val="nil"/>
              <w:right w:val="nil"/>
            </w:tcBorders>
          </w:tcPr>
          <w:p w14:paraId="55EB03B8"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 37 (12)</w:t>
            </w:r>
          </w:p>
        </w:tc>
        <w:tc>
          <w:tcPr>
            <w:tcW w:w="1080" w:type="dxa"/>
            <w:tcBorders>
              <w:top w:val="nil"/>
              <w:left w:val="nil"/>
              <w:bottom w:val="nil"/>
            </w:tcBorders>
          </w:tcPr>
          <w:p w14:paraId="33FA98F7" w14:textId="77777777" w:rsidR="003A3C9C" w:rsidRPr="00402756" w:rsidRDefault="003A3C9C" w:rsidP="009F5F18">
            <w:pPr>
              <w:spacing w:after="160" w:line="360" w:lineRule="auto"/>
              <w:jc w:val="both"/>
              <w:rPr>
                <w:rFonts w:ascii="Arial" w:hAnsi="Arial" w:cs="Arial"/>
              </w:rPr>
            </w:pPr>
            <w:r w:rsidRPr="00402756">
              <w:rPr>
                <w:rFonts w:ascii="Arial" w:hAnsi="Arial" w:cs="Arial"/>
              </w:rPr>
              <w:t>0.68</w:t>
            </w:r>
          </w:p>
        </w:tc>
      </w:tr>
      <w:tr w:rsidR="003A3C9C" w:rsidRPr="00402756" w14:paraId="7E4A3BCF" w14:textId="77777777" w:rsidTr="009F5F18">
        <w:tc>
          <w:tcPr>
            <w:tcW w:w="3621" w:type="dxa"/>
            <w:tcBorders>
              <w:top w:val="nil"/>
              <w:bottom w:val="nil"/>
              <w:right w:val="nil"/>
            </w:tcBorders>
          </w:tcPr>
          <w:p w14:paraId="196C9D3A" w14:textId="77777777" w:rsidR="003A3C9C" w:rsidRPr="00402756" w:rsidRDefault="003A3C9C" w:rsidP="009F5F18">
            <w:pPr>
              <w:spacing w:after="160" w:line="360" w:lineRule="auto"/>
              <w:jc w:val="both"/>
              <w:rPr>
                <w:rFonts w:ascii="Arial" w:hAnsi="Arial" w:cs="Arial"/>
              </w:rPr>
            </w:pPr>
            <w:r w:rsidRPr="00402756">
              <w:rPr>
                <w:rFonts w:ascii="Arial" w:hAnsi="Arial" w:cs="Arial"/>
                <w:i/>
                <w:iCs/>
              </w:rPr>
              <w:t>Antibodies, % (n)</w:t>
            </w:r>
          </w:p>
        </w:tc>
        <w:tc>
          <w:tcPr>
            <w:tcW w:w="979" w:type="dxa"/>
            <w:tcBorders>
              <w:top w:val="nil"/>
              <w:bottom w:val="nil"/>
              <w:right w:val="nil"/>
            </w:tcBorders>
          </w:tcPr>
          <w:p w14:paraId="76D87F9A"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6AA4265D" w14:textId="77777777" w:rsidR="003A3C9C" w:rsidRPr="00402756" w:rsidRDefault="003A3C9C" w:rsidP="009F5F18">
            <w:pPr>
              <w:spacing w:after="160" w:line="360" w:lineRule="auto"/>
              <w:jc w:val="both"/>
              <w:rPr>
                <w:rFonts w:ascii="Arial" w:hAnsi="Arial" w:cs="Arial"/>
              </w:rPr>
            </w:pPr>
          </w:p>
        </w:tc>
        <w:tc>
          <w:tcPr>
            <w:tcW w:w="1980" w:type="dxa"/>
            <w:tcBorders>
              <w:top w:val="nil"/>
              <w:left w:val="nil"/>
              <w:bottom w:val="nil"/>
              <w:right w:val="nil"/>
            </w:tcBorders>
          </w:tcPr>
          <w:p w14:paraId="36609B85" w14:textId="77777777" w:rsidR="003A3C9C" w:rsidRPr="00402756" w:rsidRDefault="003A3C9C" w:rsidP="009F5F18">
            <w:pPr>
              <w:spacing w:after="160" w:line="360" w:lineRule="auto"/>
              <w:jc w:val="both"/>
              <w:rPr>
                <w:rFonts w:ascii="Arial" w:hAnsi="Arial" w:cs="Arial"/>
              </w:rPr>
            </w:pPr>
          </w:p>
        </w:tc>
        <w:tc>
          <w:tcPr>
            <w:tcW w:w="1080" w:type="dxa"/>
            <w:tcBorders>
              <w:top w:val="nil"/>
              <w:left w:val="nil"/>
              <w:bottom w:val="nil"/>
            </w:tcBorders>
          </w:tcPr>
          <w:p w14:paraId="333B2013" w14:textId="77777777" w:rsidR="003A3C9C" w:rsidRPr="00402756" w:rsidRDefault="003A3C9C" w:rsidP="009F5F18">
            <w:pPr>
              <w:spacing w:after="160" w:line="360" w:lineRule="auto"/>
              <w:jc w:val="both"/>
              <w:rPr>
                <w:rFonts w:ascii="Arial" w:hAnsi="Arial" w:cs="Arial"/>
              </w:rPr>
            </w:pPr>
          </w:p>
        </w:tc>
      </w:tr>
      <w:tr w:rsidR="003A3C9C" w:rsidRPr="00402756" w14:paraId="009380B4" w14:textId="77777777" w:rsidTr="009F5F18">
        <w:tc>
          <w:tcPr>
            <w:tcW w:w="3621" w:type="dxa"/>
            <w:tcBorders>
              <w:top w:val="nil"/>
              <w:bottom w:val="nil"/>
              <w:right w:val="nil"/>
            </w:tcBorders>
          </w:tcPr>
          <w:p w14:paraId="00E57C46" w14:textId="77777777" w:rsidR="003A3C9C" w:rsidRPr="00402756" w:rsidRDefault="003A3C9C" w:rsidP="009F5F18">
            <w:pPr>
              <w:spacing w:after="160" w:line="360" w:lineRule="auto"/>
              <w:jc w:val="both"/>
              <w:rPr>
                <w:rFonts w:ascii="Arial" w:hAnsi="Arial" w:cs="Arial"/>
                <w:i/>
                <w:iCs/>
              </w:rPr>
            </w:pPr>
            <w:r w:rsidRPr="00402756">
              <w:rPr>
                <w:rFonts w:ascii="Arial" w:hAnsi="Arial" w:cs="Arial"/>
              </w:rPr>
              <w:t>Scl-70 (</w:t>
            </w:r>
            <w:proofErr w:type="gramStart"/>
            <w:r w:rsidRPr="00402756">
              <w:rPr>
                <w:rFonts w:ascii="Arial" w:hAnsi="Arial" w:cs="Arial"/>
              </w:rPr>
              <w:t>i.e.</w:t>
            </w:r>
            <w:proofErr w:type="gramEnd"/>
            <w:r w:rsidRPr="00402756">
              <w:rPr>
                <w:rFonts w:ascii="Arial" w:hAnsi="Arial" w:cs="Arial"/>
              </w:rPr>
              <w:t xml:space="preserve"> Topoisomerase-1)</w:t>
            </w:r>
          </w:p>
        </w:tc>
        <w:tc>
          <w:tcPr>
            <w:tcW w:w="979" w:type="dxa"/>
            <w:tcBorders>
              <w:top w:val="nil"/>
              <w:bottom w:val="nil"/>
              <w:right w:val="nil"/>
            </w:tcBorders>
          </w:tcPr>
          <w:p w14:paraId="7EDD3782"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07A76B45" w14:textId="77777777" w:rsidR="003A3C9C" w:rsidRPr="00402756" w:rsidRDefault="003A3C9C" w:rsidP="009F5F18">
            <w:pPr>
              <w:spacing w:after="160" w:line="360" w:lineRule="auto"/>
              <w:jc w:val="both"/>
              <w:rPr>
                <w:rFonts w:ascii="Arial" w:hAnsi="Arial" w:cs="Arial"/>
              </w:rPr>
            </w:pPr>
            <w:r w:rsidRPr="00402756">
              <w:rPr>
                <w:rFonts w:ascii="Arial" w:hAnsi="Arial" w:cs="Arial"/>
              </w:rPr>
              <w:t>19 (3)</w:t>
            </w:r>
          </w:p>
        </w:tc>
        <w:tc>
          <w:tcPr>
            <w:tcW w:w="1980" w:type="dxa"/>
            <w:tcBorders>
              <w:top w:val="nil"/>
              <w:left w:val="nil"/>
              <w:bottom w:val="nil"/>
              <w:right w:val="nil"/>
            </w:tcBorders>
          </w:tcPr>
          <w:p w14:paraId="3CCAEA71" w14:textId="77777777" w:rsidR="003A3C9C" w:rsidRPr="00402756" w:rsidRDefault="003A3C9C" w:rsidP="009F5F18">
            <w:pPr>
              <w:spacing w:after="160" w:line="360" w:lineRule="auto"/>
              <w:jc w:val="both"/>
              <w:rPr>
                <w:rFonts w:ascii="Arial" w:hAnsi="Arial" w:cs="Arial"/>
              </w:rPr>
            </w:pPr>
            <w:r w:rsidRPr="00402756">
              <w:rPr>
                <w:rFonts w:ascii="Arial" w:hAnsi="Arial" w:cs="Arial"/>
              </w:rPr>
              <w:t>19 (32)</w:t>
            </w:r>
          </w:p>
        </w:tc>
        <w:tc>
          <w:tcPr>
            <w:tcW w:w="1080" w:type="dxa"/>
            <w:tcBorders>
              <w:top w:val="nil"/>
              <w:left w:val="nil"/>
              <w:bottom w:val="nil"/>
            </w:tcBorders>
          </w:tcPr>
          <w:p w14:paraId="4F90C99E" w14:textId="77777777" w:rsidR="003A3C9C" w:rsidRPr="00402756" w:rsidRDefault="003A3C9C" w:rsidP="009F5F18">
            <w:pPr>
              <w:spacing w:after="160" w:line="360" w:lineRule="auto"/>
              <w:jc w:val="both"/>
              <w:rPr>
                <w:rFonts w:ascii="Arial" w:hAnsi="Arial" w:cs="Arial"/>
              </w:rPr>
            </w:pPr>
            <w:r w:rsidRPr="00402756">
              <w:rPr>
                <w:rFonts w:ascii="Arial" w:hAnsi="Arial" w:cs="Arial"/>
              </w:rPr>
              <w:t>1.00</w:t>
            </w:r>
          </w:p>
        </w:tc>
      </w:tr>
      <w:tr w:rsidR="003A3C9C" w:rsidRPr="00402756" w14:paraId="01FEA172" w14:textId="77777777" w:rsidTr="009F5F18">
        <w:tc>
          <w:tcPr>
            <w:tcW w:w="3621" w:type="dxa"/>
            <w:tcBorders>
              <w:top w:val="nil"/>
              <w:bottom w:val="nil"/>
              <w:right w:val="nil"/>
            </w:tcBorders>
          </w:tcPr>
          <w:p w14:paraId="35BD25C0" w14:textId="77777777" w:rsidR="003A3C9C" w:rsidRPr="00402756" w:rsidRDefault="003A3C9C" w:rsidP="009F5F18">
            <w:pPr>
              <w:spacing w:after="160" w:line="360" w:lineRule="auto"/>
              <w:jc w:val="both"/>
              <w:rPr>
                <w:rFonts w:ascii="Arial" w:hAnsi="Arial" w:cs="Arial"/>
              </w:rPr>
            </w:pPr>
            <w:r w:rsidRPr="00402756">
              <w:rPr>
                <w:rFonts w:ascii="Arial" w:hAnsi="Arial" w:cs="Arial"/>
              </w:rPr>
              <w:t>Centromere (CENP)</w:t>
            </w:r>
          </w:p>
        </w:tc>
        <w:tc>
          <w:tcPr>
            <w:tcW w:w="979" w:type="dxa"/>
            <w:tcBorders>
              <w:top w:val="nil"/>
              <w:bottom w:val="nil"/>
              <w:right w:val="nil"/>
            </w:tcBorders>
          </w:tcPr>
          <w:p w14:paraId="345DFE9C"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14FD6D08" w14:textId="77777777" w:rsidR="003A3C9C" w:rsidRPr="00402756" w:rsidRDefault="003A3C9C" w:rsidP="009F5F18">
            <w:pPr>
              <w:spacing w:after="160" w:line="360" w:lineRule="auto"/>
              <w:jc w:val="both"/>
              <w:rPr>
                <w:rFonts w:ascii="Arial" w:hAnsi="Arial" w:cs="Arial"/>
              </w:rPr>
            </w:pPr>
            <w:r w:rsidRPr="00402756">
              <w:rPr>
                <w:rFonts w:ascii="Arial" w:hAnsi="Arial" w:cs="Arial"/>
              </w:rPr>
              <w:t>31 (5)</w:t>
            </w:r>
          </w:p>
        </w:tc>
        <w:tc>
          <w:tcPr>
            <w:tcW w:w="1980" w:type="dxa"/>
            <w:tcBorders>
              <w:top w:val="nil"/>
              <w:left w:val="nil"/>
              <w:bottom w:val="nil"/>
              <w:right w:val="nil"/>
            </w:tcBorders>
          </w:tcPr>
          <w:p w14:paraId="594C94E3" w14:textId="77777777" w:rsidR="003A3C9C" w:rsidRPr="00402756" w:rsidRDefault="003A3C9C" w:rsidP="009F5F18">
            <w:pPr>
              <w:spacing w:after="160" w:line="360" w:lineRule="auto"/>
              <w:jc w:val="both"/>
              <w:rPr>
                <w:rFonts w:ascii="Arial" w:hAnsi="Arial" w:cs="Arial"/>
              </w:rPr>
            </w:pPr>
            <w:r w:rsidRPr="00402756">
              <w:rPr>
                <w:rFonts w:ascii="Arial" w:hAnsi="Arial" w:cs="Arial"/>
              </w:rPr>
              <w:t>30 (51)</w:t>
            </w:r>
          </w:p>
        </w:tc>
        <w:tc>
          <w:tcPr>
            <w:tcW w:w="1080" w:type="dxa"/>
            <w:tcBorders>
              <w:top w:val="nil"/>
              <w:left w:val="nil"/>
              <w:bottom w:val="nil"/>
            </w:tcBorders>
          </w:tcPr>
          <w:p w14:paraId="69F89F28" w14:textId="77777777" w:rsidR="003A3C9C" w:rsidRPr="00402756" w:rsidRDefault="003A3C9C" w:rsidP="009F5F18">
            <w:pPr>
              <w:spacing w:after="160" w:line="360" w:lineRule="auto"/>
              <w:jc w:val="both"/>
              <w:rPr>
                <w:rFonts w:ascii="Arial" w:hAnsi="Arial" w:cs="Arial"/>
              </w:rPr>
            </w:pPr>
            <w:r w:rsidRPr="00402756">
              <w:rPr>
                <w:rFonts w:ascii="Arial" w:hAnsi="Arial" w:cs="Arial"/>
              </w:rPr>
              <w:t>1.00</w:t>
            </w:r>
          </w:p>
        </w:tc>
      </w:tr>
      <w:tr w:rsidR="003A3C9C" w:rsidRPr="00402756" w14:paraId="0E5D5F49" w14:textId="77777777" w:rsidTr="009F5F18">
        <w:tc>
          <w:tcPr>
            <w:tcW w:w="3621" w:type="dxa"/>
            <w:tcBorders>
              <w:top w:val="nil"/>
              <w:bottom w:val="nil"/>
              <w:right w:val="nil"/>
            </w:tcBorders>
          </w:tcPr>
          <w:p w14:paraId="208432B6" w14:textId="77777777" w:rsidR="003A3C9C" w:rsidRPr="00402756" w:rsidRDefault="003A3C9C" w:rsidP="009F5F18">
            <w:pPr>
              <w:spacing w:after="160" w:line="360" w:lineRule="auto"/>
              <w:jc w:val="both"/>
              <w:rPr>
                <w:rFonts w:ascii="Arial" w:hAnsi="Arial" w:cs="Arial"/>
              </w:rPr>
            </w:pPr>
            <w:r w:rsidRPr="00402756">
              <w:rPr>
                <w:rFonts w:ascii="Arial" w:hAnsi="Arial" w:cs="Arial"/>
              </w:rPr>
              <w:t xml:space="preserve">RNA </w:t>
            </w:r>
            <w:proofErr w:type="gramStart"/>
            <w:r w:rsidRPr="00402756">
              <w:rPr>
                <w:rFonts w:ascii="Arial" w:hAnsi="Arial" w:cs="Arial"/>
              </w:rPr>
              <w:t>polymerase-3</w:t>
            </w:r>
            <w:proofErr w:type="gramEnd"/>
          </w:p>
        </w:tc>
        <w:tc>
          <w:tcPr>
            <w:tcW w:w="979" w:type="dxa"/>
            <w:tcBorders>
              <w:top w:val="nil"/>
              <w:bottom w:val="nil"/>
              <w:right w:val="nil"/>
            </w:tcBorders>
          </w:tcPr>
          <w:p w14:paraId="0A9A2E9D"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57FAF3E2" w14:textId="77777777" w:rsidR="003A3C9C" w:rsidRPr="00402756" w:rsidRDefault="003A3C9C" w:rsidP="009F5F18">
            <w:pPr>
              <w:spacing w:after="160" w:line="360" w:lineRule="auto"/>
              <w:jc w:val="both"/>
              <w:rPr>
                <w:rFonts w:ascii="Arial" w:hAnsi="Arial" w:cs="Arial"/>
              </w:rPr>
            </w:pPr>
            <w:r w:rsidRPr="00402756">
              <w:rPr>
                <w:rFonts w:ascii="Arial" w:hAnsi="Arial" w:cs="Arial"/>
              </w:rPr>
              <w:t>25 (4)</w:t>
            </w:r>
          </w:p>
        </w:tc>
        <w:tc>
          <w:tcPr>
            <w:tcW w:w="1980" w:type="dxa"/>
            <w:tcBorders>
              <w:top w:val="nil"/>
              <w:left w:val="nil"/>
              <w:bottom w:val="nil"/>
              <w:right w:val="nil"/>
            </w:tcBorders>
          </w:tcPr>
          <w:p w14:paraId="516AFD71" w14:textId="77777777" w:rsidR="003A3C9C" w:rsidRPr="00402756" w:rsidRDefault="003A3C9C" w:rsidP="009F5F18">
            <w:pPr>
              <w:spacing w:after="160" w:line="360" w:lineRule="auto"/>
              <w:jc w:val="both"/>
              <w:rPr>
                <w:rFonts w:ascii="Arial" w:hAnsi="Arial" w:cs="Arial"/>
              </w:rPr>
            </w:pPr>
            <w:r w:rsidRPr="00402756">
              <w:rPr>
                <w:rFonts w:ascii="Arial" w:hAnsi="Arial" w:cs="Arial"/>
              </w:rPr>
              <w:t>14 (23)</w:t>
            </w:r>
          </w:p>
        </w:tc>
        <w:tc>
          <w:tcPr>
            <w:tcW w:w="1080" w:type="dxa"/>
            <w:tcBorders>
              <w:top w:val="nil"/>
              <w:left w:val="nil"/>
              <w:bottom w:val="nil"/>
            </w:tcBorders>
          </w:tcPr>
          <w:p w14:paraId="1089B7D0" w14:textId="77777777" w:rsidR="003A3C9C" w:rsidRPr="00402756" w:rsidRDefault="003A3C9C" w:rsidP="009F5F18">
            <w:pPr>
              <w:spacing w:after="160" w:line="360" w:lineRule="auto"/>
              <w:jc w:val="both"/>
              <w:rPr>
                <w:rFonts w:ascii="Arial" w:hAnsi="Arial" w:cs="Arial"/>
              </w:rPr>
            </w:pPr>
            <w:r w:rsidRPr="00402756">
              <w:rPr>
                <w:rFonts w:ascii="Arial" w:hAnsi="Arial" w:cs="Arial"/>
              </w:rPr>
              <w:t>0.21</w:t>
            </w:r>
          </w:p>
        </w:tc>
      </w:tr>
      <w:tr w:rsidR="003A3C9C" w:rsidRPr="00402756" w14:paraId="52F77E09" w14:textId="77777777" w:rsidTr="009F5F18">
        <w:tc>
          <w:tcPr>
            <w:tcW w:w="3621" w:type="dxa"/>
            <w:tcBorders>
              <w:top w:val="nil"/>
              <w:bottom w:val="nil"/>
              <w:right w:val="nil"/>
            </w:tcBorders>
          </w:tcPr>
          <w:p w14:paraId="2F1D3A41" w14:textId="77777777" w:rsidR="003A3C9C" w:rsidRPr="00402756" w:rsidRDefault="003A3C9C" w:rsidP="009F5F18">
            <w:pPr>
              <w:spacing w:after="160" w:line="360" w:lineRule="auto"/>
              <w:jc w:val="both"/>
              <w:rPr>
                <w:rFonts w:ascii="Arial" w:hAnsi="Arial" w:cs="Arial"/>
              </w:rPr>
            </w:pPr>
            <w:r w:rsidRPr="00402756">
              <w:rPr>
                <w:rFonts w:ascii="Arial" w:hAnsi="Arial" w:cs="Arial"/>
              </w:rPr>
              <w:t>U3RNP</w:t>
            </w:r>
          </w:p>
        </w:tc>
        <w:tc>
          <w:tcPr>
            <w:tcW w:w="979" w:type="dxa"/>
            <w:tcBorders>
              <w:top w:val="nil"/>
              <w:bottom w:val="nil"/>
              <w:right w:val="nil"/>
            </w:tcBorders>
          </w:tcPr>
          <w:p w14:paraId="0F509513"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2173BBFE" w14:textId="77777777" w:rsidR="003A3C9C" w:rsidRPr="00402756" w:rsidRDefault="003A3C9C" w:rsidP="009F5F18">
            <w:pPr>
              <w:spacing w:after="160" w:line="360" w:lineRule="auto"/>
              <w:jc w:val="both"/>
              <w:rPr>
                <w:rFonts w:ascii="Arial" w:hAnsi="Arial" w:cs="Arial"/>
              </w:rPr>
            </w:pPr>
            <w:r w:rsidRPr="00402756">
              <w:rPr>
                <w:rFonts w:ascii="Arial" w:hAnsi="Arial" w:cs="Arial"/>
              </w:rPr>
              <w:t>0 (0)</w:t>
            </w:r>
          </w:p>
        </w:tc>
        <w:tc>
          <w:tcPr>
            <w:tcW w:w="1980" w:type="dxa"/>
            <w:tcBorders>
              <w:top w:val="nil"/>
              <w:left w:val="nil"/>
              <w:bottom w:val="nil"/>
              <w:right w:val="nil"/>
            </w:tcBorders>
          </w:tcPr>
          <w:p w14:paraId="6FFFBAB0" w14:textId="77777777" w:rsidR="003A3C9C" w:rsidRPr="00402756" w:rsidRDefault="003A3C9C" w:rsidP="009F5F18">
            <w:pPr>
              <w:spacing w:after="160" w:line="360" w:lineRule="auto"/>
              <w:jc w:val="both"/>
              <w:rPr>
                <w:rFonts w:ascii="Arial" w:hAnsi="Arial" w:cs="Arial"/>
              </w:rPr>
            </w:pPr>
            <w:r w:rsidRPr="00402756">
              <w:rPr>
                <w:rFonts w:ascii="Arial" w:hAnsi="Arial" w:cs="Arial"/>
              </w:rPr>
              <w:t>4 (7)</w:t>
            </w:r>
          </w:p>
        </w:tc>
        <w:tc>
          <w:tcPr>
            <w:tcW w:w="1080" w:type="dxa"/>
            <w:tcBorders>
              <w:top w:val="nil"/>
              <w:left w:val="nil"/>
              <w:bottom w:val="nil"/>
            </w:tcBorders>
          </w:tcPr>
          <w:p w14:paraId="40A9F3B7" w14:textId="77777777" w:rsidR="003A3C9C" w:rsidRPr="00402756" w:rsidRDefault="003A3C9C" w:rsidP="009F5F18">
            <w:pPr>
              <w:spacing w:after="160" w:line="360" w:lineRule="auto"/>
              <w:jc w:val="both"/>
              <w:rPr>
                <w:rFonts w:ascii="Arial" w:hAnsi="Arial" w:cs="Arial"/>
              </w:rPr>
            </w:pPr>
            <w:r w:rsidRPr="00402756">
              <w:rPr>
                <w:rFonts w:ascii="Arial" w:hAnsi="Arial" w:cs="Arial"/>
              </w:rPr>
              <w:t>1.00</w:t>
            </w:r>
          </w:p>
        </w:tc>
      </w:tr>
      <w:tr w:rsidR="003A3C9C" w:rsidRPr="00402756" w14:paraId="1B2FA5F3" w14:textId="77777777" w:rsidTr="009F5F18">
        <w:trPr>
          <w:trHeight w:val="60"/>
        </w:trPr>
        <w:tc>
          <w:tcPr>
            <w:tcW w:w="3621" w:type="dxa"/>
            <w:tcBorders>
              <w:top w:val="nil"/>
              <w:bottom w:val="nil"/>
              <w:right w:val="nil"/>
            </w:tcBorders>
          </w:tcPr>
          <w:p w14:paraId="7BAAEED7" w14:textId="77777777" w:rsidR="003A3C9C" w:rsidRPr="00402756" w:rsidRDefault="003A3C9C" w:rsidP="009F5F18">
            <w:pPr>
              <w:spacing w:after="160" w:line="360" w:lineRule="auto"/>
              <w:jc w:val="both"/>
              <w:rPr>
                <w:rFonts w:ascii="Arial" w:hAnsi="Arial" w:cs="Arial"/>
              </w:rPr>
            </w:pPr>
            <w:proofErr w:type="spellStart"/>
            <w:r w:rsidRPr="00402756">
              <w:rPr>
                <w:rFonts w:ascii="Arial" w:hAnsi="Arial" w:cs="Arial"/>
              </w:rPr>
              <w:t>PMScl</w:t>
            </w:r>
            <w:proofErr w:type="spellEnd"/>
          </w:p>
        </w:tc>
        <w:tc>
          <w:tcPr>
            <w:tcW w:w="979" w:type="dxa"/>
            <w:tcBorders>
              <w:top w:val="nil"/>
              <w:bottom w:val="nil"/>
              <w:right w:val="nil"/>
            </w:tcBorders>
          </w:tcPr>
          <w:p w14:paraId="6799AA8F"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0D3124EA" w14:textId="77777777" w:rsidR="003A3C9C" w:rsidRPr="00402756" w:rsidRDefault="003A3C9C" w:rsidP="009F5F18">
            <w:pPr>
              <w:spacing w:after="160" w:line="360" w:lineRule="auto"/>
              <w:jc w:val="both"/>
              <w:rPr>
                <w:rFonts w:ascii="Arial" w:hAnsi="Arial" w:cs="Arial"/>
              </w:rPr>
            </w:pPr>
            <w:r w:rsidRPr="00402756">
              <w:rPr>
                <w:rFonts w:ascii="Arial" w:hAnsi="Arial" w:cs="Arial"/>
              </w:rPr>
              <w:t>13 (2)</w:t>
            </w:r>
          </w:p>
        </w:tc>
        <w:tc>
          <w:tcPr>
            <w:tcW w:w="1980" w:type="dxa"/>
            <w:tcBorders>
              <w:top w:val="nil"/>
              <w:left w:val="nil"/>
              <w:bottom w:val="nil"/>
              <w:right w:val="nil"/>
            </w:tcBorders>
          </w:tcPr>
          <w:p w14:paraId="3161ED3D" w14:textId="77777777" w:rsidR="003A3C9C" w:rsidRPr="00402756" w:rsidRDefault="003A3C9C" w:rsidP="009F5F18">
            <w:pPr>
              <w:spacing w:after="160" w:line="360" w:lineRule="auto"/>
              <w:jc w:val="both"/>
              <w:rPr>
                <w:rFonts w:ascii="Arial" w:hAnsi="Arial" w:cs="Arial"/>
              </w:rPr>
            </w:pPr>
            <w:r w:rsidRPr="00402756">
              <w:rPr>
                <w:rFonts w:ascii="Arial" w:hAnsi="Arial" w:cs="Arial"/>
              </w:rPr>
              <w:t>7 (12)</w:t>
            </w:r>
          </w:p>
        </w:tc>
        <w:tc>
          <w:tcPr>
            <w:tcW w:w="1080" w:type="dxa"/>
            <w:tcBorders>
              <w:top w:val="nil"/>
              <w:left w:val="nil"/>
              <w:bottom w:val="nil"/>
            </w:tcBorders>
          </w:tcPr>
          <w:p w14:paraId="14D71AE6" w14:textId="77777777" w:rsidR="003A3C9C" w:rsidRPr="00402756" w:rsidRDefault="003A3C9C" w:rsidP="009F5F18">
            <w:pPr>
              <w:spacing w:after="160" w:line="360" w:lineRule="auto"/>
              <w:jc w:val="both"/>
              <w:rPr>
                <w:rFonts w:ascii="Arial" w:hAnsi="Arial" w:cs="Arial"/>
              </w:rPr>
            </w:pPr>
            <w:r w:rsidRPr="00402756">
              <w:rPr>
                <w:rFonts w:ascii="Arial" w:hAnsi="Arial" w:cs="Arial"/>
              </w:rPr>
              <w:t>0.34</w:t>
            </w:r>
          </w:p>
        </w:tc>
      </w:tr>
      <w:tr w:rsidR="003A3C9C" w:rsidRPr="00402756" w14:paraId="2EDD307C" w14:textId="77777777" w:rsidTr="009F5F18">
        <w:trPr>
          <w:trHeight w:val="60"/>
        </w:trPr>
        <w:tc>
          <w:tcPr>
            <w:tcW w:w="3621" w:type="dxa"/>
            <w:tcBorders>
              <w:top w:val="nil"/>
              <w:bottom w:val="nil"/>
              <w:right w:val="nil"/>
            </w:tcBorders>
          </w:tcPr>
          <w:p w14:paraId="0DFE1E31" w14:textId="77777777" w:rsidR="003A3C9C" w:rsidRPr="00402756" w:rsidRDefault="003A3C9C" w:rsidP="009F5F18">
            <w:pPr>
              <w:spacing w:line="360" w:lineRule="auto"/>
              <w:jc w:val="both"/>
              <w:rPr>
                <w:rFonts w:ascii="Arial" w:hAnsi="Arial" w:cs="Arial"/>
              </w:rPr>
            </w:pPr>
            <w:proofErr w:type="spellStart"/>
            <w:r w:rsidRPr="00402756">
              <w:rPr>
                <w:rFonts w:ascii="Arial" w:hAnsi="Arial" w:cs="Arial"/>
              </w:rPr>
              <w:t>ThTo</w:t>
            </w:r>
            <w:proofErr w:type="spellEnd"/>
          </w:p>
        </w:tc>
        <w:tc>
          <w:tcPr>
            <w:tcW w:w="979" w:type="dxa"/>
            <w:tcBorders>
              <w:top w:val="nil"/>
              <w:bottom w:val="nil"/>
              <w:right w:val="nil"/>
            </w:tcBorders>
          </w:tcPr>
          <w:p w14:paraId="68D8F924"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nil"/>
              <w:right w:val="nil"/>
            </w:tcBorders>
          </w:tcPr>
          <w:p w14:paraId="66DAD4E2" w14:textId="77777777" w:rsidR="003A3C9C" w:rsidRPr="00402756" w:rsidRDefault="003A3C9C" w:rsidP="009F5F18">
            <w:pPr>
              <w:spacing w:line="360" w:lineRule="auto"/>
              <w:jc w:val="both"/>
              <w:rPr>
                <w:rFonts w:ascii="Arial" w:hAnsi="Arial" w:cs="Arial"/>
              </w:rPr>
            </w:pPr>
            <w:r w:rsidRPr="00402756">
              <w:rPr>
                <w:rFonts w:ascii="Arial" w:hAnsi="Arial" w:cs="Arial"/>
              </w:rPr>
              <w:t>0 (0)</w:t>
            </w:r>
          </w:p>
        </w:tc>
        <w:tc>
          <w:tcPr>
            <w:tcW w:w="1980" w:type="dxa"/>
            <w:tcBorders>
              <w:top w:val="nil"/>
              <w:left w:val="nil"/>
              <w:bottom w:val="nil"/>
              <w:right w:val="nil"/>
            </w:tcBorders>
          </w:tcPr>
          <w:p w14:paraId="7425D723" w14:textId="77777777" w:rsidR="003A3C9C" w:rsidRPr="00402756" w:rsidRDefault="003A3C9C" w:rsidP="009F5F18">
            <w:pPr>
              <w:spacing w:line="360" w:lineRule="auto"/>
              <w:jc w:val="both"/>
              <w:rPr>
                <w:rFonts w:ascii="Arial" w:hAnsi="Arial" w:cs="Arial"/>
              </w:rPr>
            </w:pPr>
            <w:r w:rsidRPr="00402756">
              <w:rPr>
                <w:rFonts w:ascii="Arial" w:hAnsi="Arial" w:cs="Arial"/>
              </w:rPr>
              <w:t>2 (4)</w:t>
            </w:r>
          </w:p>
        </w:tc>
        <w:tc>
          <w:tcPr>
            <w:tcW w:w="1080" w:type="dxa"/>
            <w:tcBorders>
              <w:top w:val="nil"/>
              <w:left w:val="nil"/>
              <w:bottom w:val="nil"/>
            </w:tcBorders>
          </w:tcPr>
          <w:p w14:paraId="6ABB4F46" w14:textId="77777777" w:rsidR="003A3C9C" w:rsidRPr="00402756" w:rsidRDefault="003A3C9C" w:rsidP="009F5F18">
            <w:pPr>
              <w:spacing w:line="360" w:lineRule="auto"/>
              <w:jc w:val="both"/>
              <w:rPr>
                <w:rFonts w:ascii="Arial" w:hAnsi="Arial" w:cs="Arial"/>
              </w:rPr>
            </w:pPr>
            <w:r w:rsidRPr="00402756">
              <w:rPr>
                <w:rFonts w:ascii="Arial" w:hAnsi="Arial" w:cs="Arial"/>
              </w:rPr>
              <w:t>1.00</w:t>
            </w:r>
          </w:p>
        </w:tc>
      </w:tr>
      <w:tr w:rsidR="003A3C9C" w:rsidRPr="00402756" w14:paraId="603D37F5" w14:textId="77777777" w:rsidTr="009F5F18">
        <w:trPr>
          <w:trHeight w:val="60"/>
        </w:trPr>
        <w:tc>
          <w:tcPr>
            <w:tcW w:w="3621" w:type="dxa"/>
            <w:tcBorders>
              <w:top w:val="nil"/>
              <w:bottom w:val="single" w:sz="4" w:space="0" w:color="auto"/>
              <w:right w:val="nil"/>
            </w:tcBorders>
          </w:tcPr>
          <w:p w14:paraId="7699C8C7" w14:textId="77777777" w:rsidR="003A3C9C" w:rsidRPr="00402756" w:rsidRDefault="003A3C9C" w:rsidP="009F5F18">
            <w:pPr>
              <w:spacing w:line="360" w:lineRule="auto"/>
              <w:jc w:val="both"/>
              <w:rPr>
                <w:rFonts w:ascii="Arial" w:hAnsi="Arial" w:cs="Arial"/>
              </w:rPr>
            </w:pPr>
            <w:r w:rsidRPr="00402756">
              <w:rPr>
                <w:rFonts w:ascii="Arial" w:hAnsi="Arial" w:cs="Arial"/>
              </w:rPr>
              <w:t>Ku</w:t>
            </w:r>
          </w:p>
        </w:tc>
        <w:tc>
          <w:tcPr>
            <w:tcW w:w="979" w:type="dxa"/>
            <w:tcBorders>
              <w:top w:val="nil"/>
              <w:bottom w:val="single" w:sz="4" w:space="0" w:color="auto"/>
              <w:right w:val="nil"/>
            </w:tcBorders>
          </w:tcPr>
          <w:p w14:paraId="04B8824B" w14:textId="77777777" w:rsidR="003A3C9C" w:rsidRPr="00402756" w:rsidRDefault="003A3C9C" w:rsidP="009F5F18">
            <w:pPr>
              <w:spacing w:line="360" w:lineRule="auto"/>
              <w:jc w:val="both"/>
              <w:rPr>
                <w:rFonts w:ascii="Arial" w:hAnsi="Arial" w:cs="Arial"/>
              </w:rPr>
            </w:pPr>
          </w:p>
        </w:tc>
        <w:tc>
          <w:tcPr>
            <w:tcW w:w="2235" w:type="dxa"/>
            <w:tcBorders>
              <w:top w:val="nil"/>
              <w:left w:val="nil"/>
              <w:bottom w:val="single" w:sz="4" w:space="0" w:color="auto"/>
              <w:right w:val="nil"/>
            </w:tcBorders>
          </w:tcPr>
          <w:p w14:paraId="356B1E6F" w14:textId="77777777" w:rsidR="003A3C9C" w:rsidRPr="00402756" w:rsidRDefault="003A3C9C" w:rsidP="009F5F18">
            <w:pPr>
              <w:spacing w:line="360" w:lineRule="auto"/>
              <w:jc w:val="both"/>
              <w:rPr>
                <w:rFonts w:ascii="Arial" w:hAnsi="Arial" w:cs="Arial"/>
              </w:rPr>
            </w:pPr>
            <w:r w:rsidRPr="00402756">
              <w:rPr>
                <w:rFonts w:ascii="Arial" w:hAnsi="Arial" w:cs="Arial"/>
              </w:rPr>
              <w:t>6 (1)</w:t>
            </w:r>
          </w:p>
        </w:tc>
        <w:tc>
          <w:tcPr>
            <w:tcW w:w="1980" w:type="dxa"/>
            <w:tcBorders>
              <w:top w:val="nil"/>
              <w:left w:val="nil"/>
              <w:bottom w:val="single" w:sz="4" w:space="0" w:color="auto"/>
              <w:right w:val="nil"/>
            </w:tcBorders>
          </w:tcPr>
          <w:p w14:paraId="697B6216" w14:textId="77777777" w:rsidR="003A3C9C" w:rsidRPr="00402756" w:rsidRDefault="003A3C9C" w:rsidP="009F5F18">
            <w:pPr>
              <w:spacing w:line="360" w:lineRule="auto"/>
              <w:jc w:val="both"/>
              <w:rPr>
                <w:rFonts w:ascii="Arial" w:hAnsi="Arial" w:cs="Arial"/>
              </w:rPr>
            </w:pPr>
            <w:r w:rsidRPr="00402756">
              <w:rPr>
                <w:rFonts w:ascii="Arial" w:hAnsi="Arial" w:cs="Arial"/>
              </w:rPr>
              <w:t>3 (5)</w:t>
            </w:r>
          </w:p>
        </w:tc>
        <w:tc>
          <w:tcPr>
            <w:tcW w:w="1080" w:type="dxa"/>
            <w:tcBorders>
              <w:top w:val="nil"/>
              <w:left w:val="nil"/>
              <w:bottom w:val="single" w:sz="4" w:space="0" w:color="auto"/>
            </w:tcBorders>
          </w:tcPr>
          <w:p w14:paraId="3D6ED70F" w14:textId="77777777" w:rsidR="003A3C9C" w:rsidRPr="00402756" w:rsidRDefault="003A3C9C" w:rsidP="009F5F18">
            <w:pPr>
              <w:spacing w:line="360" w:lineRule="auto"/>
              <w:jc w:val="both"/>
              <w:rPr>
                <w:rFonts w:ascii="Arial" w:hAnsi="Arial" w:cs="Arial"/>
              </w:rPr>
            </w:pPr>
            <w:r w:rsidRPr="00402756">
              <w:rPr>
                <w:rFonts w:ascii="Arial" w:hAnsi="Arial" w:cs="Arial"/>
              </w:rPr>
              <w:t>0.42</w:t>
            </w:r>
          </w:p>
        </w:tc>
      </w:tr>
      <w:tr w:rsidR="003A3C9C" w:rsidRPr="00402756" w14:paraId="262D819F" w14:textId="77777777" w:rsidTr="009F5F18">
        <w:trPr>
          <w:trHeight w:val="60"/>
        </w:trPr>
        <w:tc>
          <w:tcPr>
            <w:tcW w:w="9895" w:type="dxa"/>
            <w:gridSpan w:val="5"/>
            <w:tcBorders>
              <w:top w:val="single" w:sz="4" w:space="0" w:color="auto"/>
            </w:tcBorders>
          </w:tcPr>
          <w:p w14:paraId="2798A638" w14:textId="77777777" w:rsidR="003A3C9C" w:rsidRPr="00402756" w:rsidRDefault="003A3C9C" w:rsidP="009F5F18">
            <w:pPr>
              <w:spacing w:line="360" w:lineRule="auto"/>
              <w:jc w:val="both"/>
              <w:rPr>
                <w:rFonts w:ascii="Arial" w:hAnsi="Arial" w:cs="Arial"/>
              </w:rPr>
            </w:pPr>
            <w:r>
              <w:rPr>
                <w:rFonts w:ascii="Arial" w:hAnsi="Arial" w:cs="Arial"/>
                <w:i/>
                <w:sz w:val="18"/>
                <w:szCs w:val="18"/>
              </w:rPr>
              <w:t xml:space="preserve">SD = standard deviation; IQR = interquartile range; </w:t>
            </w:r>
            <w:r w:rsidRPr="000C3238">
              <w:rPr>
                <w:rFonts w:ascii="Arial" w:hAnsi="Arial" w:cs="Arial"/>
                <w:i/>
                <w:sz w:val="18"/>
                <w:szCs w:val="18"/>
              </w:rPr>
              <w:t>FVC = Forced Vital Capacity</w:t>
            </w:r>
            <w:r>
              <w:rPr>
                <w:rFonts w:ascii="Arial" w:hAnsi="Arial" w:cs="Arial"/>
                <w:i/>
                <w:sz w:val="18"/>
                <w:szCs w:val="18"/>
              </w:rPr>
              <w:t xml:space="preserve"> &amp;</w:t>
            </w:r>
            <w:r w:rsidRPr="000C3238">
              <w:rPr>
                <w:rFonts w:ascii="Arial" w:hAnsi="Arial" w:cs="Arial"/>
                <w:i/>
                <w:sz w:val="18"/>
                <w:szCs w:val="18"/>
              </w:rPr>
              <w:t xml:space="preserve"> DLCO = Diffusion Capacity on PFT</w:t>
            </w:r>
          </w:p>
        </w:tc>
      </w:tr>
    </w:tbl>
    <w:p w14:paraId="3AD26AFB" w14:textId="77777777" w:rsidR="003A3C9C" w:rsidRDefault="003A3C9C" w:rsidP="003A3C9C">
      <w:pPr>
        <w:rPr>
          <w:rFonts w:ascii="Arial" w:hAnsi="Arial" w:cs="Arial"/>
          <w:b/>
        </w:rPr>
      </w:pPr>
    </w:p>
    <w:tbl>
      <w:tblPr>
        <w:tblStyle w:val="TableGrid"/>
        <w:tblW w:w="0" w:type="auto"/>
        <w:tblLook w:val="04A0" w:firstRow="1" w:lastRow="0" w:firstColumn="1" w:lastColumn="0" w:noHBand="0" w:noVBand="1"/>
      </w:tblPr>
      <w:tblGrid>
        <w:gridCol w:w="2695"/>
        <w:gridCol w:w="1530"/>
        <w:gridCol w:w="1890"/>
        <w:gridCol w:w="1440"/>
        <w:gridCol w:w="1795"/>
      </w:tblGrid>
      <w:tr w:rsidR="00364832" w:rsidRPr="00402756" w14:paraId="261CA88A" w14:textId="77777777" w:rsidTr="009F5F18">
        <w:tc>
          <w:tcPr>
            <w:tcW w:w="9350" w:type="dxa"/>
            <w:gridSpan w:val="5"/>
            <w:tcBorders>
              <w:bottom w:val="single" w:sz="4" w:space="0" w:color="auto"/>
            </w:tcBorders>
          </w:tcPr>
          <w:p w14:paraId="1BD3C441" w14:textId="77777777" w:rsidR="00364832" w:rsidRPr="00402756" w:rsidRDefault="00364832" w:rsidP="009F5F18">
            <w:pPr>
              <w:jc w:val="both"/>
              <w:rPr>
                <w:rFonts w:ascii="Arial" w:hAnsi="Arial" w:cs="Arial"/>
                <w:b/>
              </w:rPr>
            </w:pPr>
            <w:r w:rsidRPr="000C3238">
              <w:rPr>
                <w:rFonts w:ascii="Arial" w:hAnsi="Arial" w:cs="Arial"/>
                <w:b/>
                <w:bCs/>
              </w:rPr>
              <w:br w:type="page"/>
              <w:t>Supplemental</w:t>
            </w:r>
            <w:r>
              <w:rPr>
                <w:rFonts w:ascii="Arial" w:hAnsi="Arial" w:cs="Arial"/>
                <w:b/>
                <w:bCs/>
              </w:rPr>
              <w:t xml:space="preserve"> </w:t>
            </w:r>
            <w:r w:rsidRPr="00402756">
              <w:rPr>
                <w:rFonts w:ascii="Arial" w:hAnsi="Arial" w:cs="Arial"/>
                <w:b/>
              </w:rPr>
              <w:t xml:space="preserve">Table </w:t>
            </w:r>
            <w:r>
              <w:rPr>
                <w:rFonts w:ascii="Arial" w:hAnsi="Arial" w:cs="Arial"/>
                <w:b/>
              </w:rPr>
              <w:t>2</w:t>
            </w:r>
            <w:r w:rsidRPr="00402756">
              <w:rPr>
                <w:rFonts w:ascii="Arial" w:hAnsi="Arial" w:cs="Arial"/>
                <w:b/>
              </w:rPr>
              <w:t xml:space="preserve">. Statistical models evaluating the association between </w:t>
            </w:r>
            <w:r>
              <w:rPr>
                <w:rFonts w:ascii="Arial" w:hAnsi="Arial" w:cs="Arial"/>
                <w:b/>
              </w:rPr>
              <w:t>anti-Gephyrin</w:t>
            </w:r>
            <w:r w:rsidRPr="00402756">
              <w:rPr>
                <w:rFonts w:ascii="Arial" w:hAnsi="Arial" w:cs="Arial"/>
                <w:b/>
              </w:rPr>
              <w:t xml:space="preserve"> antibody positive systemic sclerosis patients and clinical features</w:t>
            </w:r>
          </w:p>
        </w:tc>
      </w:tr>
      <w:tr w:rsidR="00364832" w:rsidRPr="00402756" w14:paraId="3E1FB4FF" w14:textId="77777777" w:rsidTr="009F5F18">
        <w:tc>
          <w:tcPr>
            <w:tcW w:w="2695" w:type="dxa"/>
            <w:tcBorders>
              <w:bottom w:val="nil"/>
              <w:right w:val="nil"/>
            </w:tcBorders>
          </w:tcPr>
          <w:p w14:paraId="347A6F14" w14:textId="77777777" w:rsidR="00364832" w:rsidRPr="00402756" w:rsidRDefault="00364832" w:rsidP="009F5F18">
            <w:pPr>
              <w:jc w:val="both"/>
              <w:rPr>
                <w:rFonts w:ascii="Arial" w:hAnsi="Arial" w:cs="Arial"/>
              </w:rPr>
            </w:pPr>
          </w:p>
        </w:tc>
        <w:tc>
          <w:tcPr>
            <w:tcW w:w="3420" w:type="dxa"/>
            <w:gridSpan w:val="2"/>
            <w:tcBorders>
              <w:left w:val="nil"/>
              <w:bottom w:val="nil"/>
              <w:right w:val="nil"/>
            </w:tcBorders>
          </w:tcPr>
          <w:p w14:paraId="58042DE7" w14:textId="77777777" w:rsidR="00364832" w:rsidRPr="00402756" w:rsidRDefault="00364832" w:rsidP="009F5F18">
            <w:pPr>
              <w:jc w:val="both"/>
              <w:rPr>
                <w:rFonts w:ascii="Arial" w:hAnsi="Arial" w:cs="Arial"/>
              </w:rPr>
            </w:pPr>
            <w:r w:rsidRPr="00402756">
              <w:rPr>
                <w:rFonts w:ascii="Arial" w:hAnsi="Arial" w:cs="Arial"/>
              </w:rPr>
              <w:t>Unadjusted Logistic Regression</w:t>
            </w:r>
          </w:p>
        </w:tc>
        <w:tc>
          <w:tcPr>
            <w:tcW w:w="3235" w:type="dxa"/>
            <w:gridSpan w:val="2"/>
            <w:tcBorders>
              <w:left w:val="nil"/>
              <w:bottom w:val="nil"/>
            </w:tcBorders>
          </w:tcPr>
          <w:p w14:paraId="3361D661" w14:textId="77777777" w:rsidR="00364832" w:rsidRPr="00402756" w:rsidRDefault="00364832" w:rsidP="009F5F18">
            <w:pPr>
              <w:jc w:val="both"/>
              <w:rPr>
                <w:rFonts w:ascii="Arial" w:hAnsi="Arial" w:cs="Arial"/>
              </w:rPr>
            </w:pPr>
            <w:r w:rsidRPr="00402756">
              <w:rPr>
                <w:rFonts w:ascii="Arial" w:hAnsi="Arial" w:cs="Arial"/>
              </w:rPr>
              <w:t>Adjusted Logistic Regression*</w:t>
            </w:r>
          </w:p>
          <w:p w14:paraId="4B6A0A73" w14:textId="77777777" w:rsidR="00364832" w:rsidRPr="00402756" w:rsidRDefault="00364832" w:rsidP="009F5F18">
            <w:pPr>
              <w:jc w:val="both"/>
              <w:rPr>
                <w:rFonts w:ascii="Arial" w:hAnsi="Arial" w:cs="Arial"/>
              </w:rPr>
            </w:pPr>
          </w:p>
        </w:tc>
      </w:tr>
      <w:tr w:rsidR="00364832" w:rsidRPr="00402756" w14:paraId="160F5B10" w14:textId="77777777" w:rsidTr="009F5F18">
        <w:tc>
          <w:tcPr>
            <w:tcW w:w="2695" w:type="dxa"/>
            <w:tcBorders>
              <w:top w:val="nil"/>
              <w:bottom w:val="nil"/>
              <w:right w:val="nil"/>
            </w:tcBorders>
          </w:tcPr>
          <w:p w14:paraId="616F5E98" w14:textId="77777777" w:rsidR="00364832" w:rsidRPr="00402756" w:rsidRDefault="00364832" w:rsidP="009F5F18">
            <w:pPr>
              <w:jc w:val="both"/>
              <w:rPr>
                <w:rFonts w:ascii="Arial" w:hAnsi="Arial" w:cs="Arial"/>
                <w:i/>
              </w:rPr>
            </w:pPr>
            <w:r w:rsidRPr="00402756">
              <w:rPr>
                <w:rFonts w:ascii="Arial" w:hAnsi="Arial" w:cs="Arial"/>
                <w:i/>
              </w:rPr>
              <w:t>Characteristic</w:t>
            </w:r>
          </w:p>
        </w:tc>
        <w:tc>
          <w:tcPr>
            <w:tcW w:w="1530" w:type="dxa"/>
            <w:tcBorders>
              <w:top w:val="nil"/>
              <w:left w:val="nil"/>
              <w:bottom w:val="nil"/>
              <w:right w:val="nil"/>
            </w:tcBorders>
          </w:tcPr>
          <w:p w14:paraId="088CE3C2" w14:textId="77777777" w:rsidR="00364832" w:rsidRPr="00402756" w:rsidRDefault="00364832" w:rsidP="009F5F18">
            <w:pPr>
              <w:jc w:val="both"/>
              <w:rPr>
                <w:rFonts w:ascii="Arial" w:hAnsi="Arial" w:cs="Arial"/>
                <w:i/>
              </w:rPr>
            </w:pPr>
            <w:r w:rsidRPr="00402756">
              <w:rPr>
                <w:rFonts w:ascii="Arial" w:hAnsi="Arial" w:cs="Arial"/>
                <w:i/>
              </w:rPr>
              <w:t>OR</w:t>
            </w:r>
          </w:p>
        </w:tc>
        <w:tc>
          <w:tcPr>
            <w:tcW w:w="1890" w:type="dxa"/>
            <w:tcBorders>
              <w:top w:val="nil"/>
              <w:left w:val="nil"/>
              <w:bottom w:val="nil"/>
              <w:right w:val="nil"/>
            </w:tcBorders>
          </w:tcPr>
          <w:p w14:paraId="200A4A97" w14:textId="77777777" w:rsidR="00364832" w:rsidRPr="00402756" w:rsidRDefault="00364832" w:rsidP="009F5F18">
            <w:pPr>
              <w:jc w:val="both"/>
              <w:rPr>
                <w:rFonts w:ascii="Arial" w:hAnsi="Arial" w:cs="Arial"/>
                <w:i/>
              </w:rPr>
            </w:pPr>
            <w:r w:rsidRPr="00402756">
              <w:rPr>
                <w:rFonts w:ascii="Arial" w:hAnsi="Arial" w:cs="Arial"/>
                <w:i/>
              </w:rPr>
              <w:t>95% Confidence Interval</w:t>
            </w:r>
          </w:p>
          <w:p w14:paraId="45DC56C6" w14:textId="77777777" w:rsidR="00364832" w:rsidRPr="00402756" w:rsidRDefault="00364832" w:rsidP="009F5F18">
            <w:pPr>
              <w:jc w:val="both"/>
              <w:rPr>
                <w:rFonts w:ascii="Arial" w:hAnsi="Arial" w:cs="Arial"/>
                <w:i/>
              </w:rPr>
            </w:pPr>
          </w:p>
        </w:tc>
        <w:tc>
          <w:tcPr>
            <w:tcW w:w="1440" w:type="dxa"/>
            <w:tcBorders>
              <w:top w:val="nil"/>
              <w:left w:val="nil"/>
              <w:bottom w:val="nil"/>
              <w:right w:val="nil"/>
            </w:tcBorders>
          </w:tcPr>
          <w:p w14:paraId="30F9D48E" w14:textId="77777777" w:rsidR="00364832" w:rsidRPr="00402756" w:rsidRDefault="00364832" w:rsidP="009F5F18">
            <w:pPr>
              <w:jc w:val="both"/>
              <w:rPr>
                <w:rFonts w:ascii="Arial" w:hAnsi="Arial" w:cs="Arial"/>
                <w:i/>
              </w:rPr>
            </w:pPr>
            <w:r w:rsidRPr="00402756">
              <w:rPr>
                <w:rFonts w:ascii="Arial" w:hAnsi="Arial" w:cs="Arial"/>
                <w:i/>
              </w:rPr>
              <w:t>OR</w:t>
            </w:r>
          </w:p>
        </w:tc>
        <w:tc>
          <w:tcPr>
            <w:tcW w:w="1795" w:type="dxa"/>
            <w:tcBorders>
              <w:top w:val="nil"/>
              <w:left w:val="nil"/>
              <w:bottom w:val="nil"/>
            </w:tcBorders>
          </w:tcPr>
          <w:p w14:paraId="7B5C1144" w14:textId="77777777" w:rsidR="00364832" w:rsidRPr="00402756" w:rsidRDefault="00364832" w:rsidP="009F5F18">
            <w:pPr>
              <w:jc w:val="both"/>
              <w:rPr>
                <w:rFonts w:ascii="Arial" w:hAnsi="Arial" w:cs="Arial"/>
                <w:i/>
              </w:rPr>
            </w:pPr>
            <w:r w:rsidRPr="00402756">
              <w:rPr>
                <w:rFonts w:ascii="Arial" w:hAnsi="Arial" w:cs="Arial"/>
                <w:i/>
              </w:rPr>
              <w:t>95% Confidence Interval</w:t>
            </w:r>
          </w:p>
        </w:tc>
      </w:tr>
      <w:tr w:rsidR="00364832" w:rsidRPr="00402756" w14:paraId="367B624C" w14:textId="77777777" w:rsidTr="009F5F18">
        <w:tc>
          <w:tcPr>
            <w:tcW w:w="2695" w:type="dxa"/>
            <w:tcBorders>
              <w:top w:val="nil"/>
              <w:bottom w:val="nil"/>
              <w:right w:val="nil"/>
            </w:tcBorders>
          </w:tcPr>
          <w:p w14:paraId="662523F1" w14:textId="77777777" w:rsidR="00364832" w:rsidRPr="00402756" w:rsidRDefault="00364832" w:rsidP="009F5F18">
            <w:pPr>
              <w:rPr>
                <w:rFonts w:ascii="Arial" w:hAnsi="Arial" w:cs="Arial"/>
              </w:rPr>
            </w:pPr>
            <w:r w:rsidRPr="00402756">
              <w:rPr>
                <w:rFonts w:ascii="Arial" w:hAnsi="Arial" w:cs="Arial"/>
              </w:rPr>
              <w:t>Diffuse cutaneous disease</w:t>
            </w:r>
          </w:p>
          <w:p w14:paraId="39E0B80E" w14:textId="77777777" w:rsidR="00364832" w:rsidRPr="00402756" w:rsidRDefault="00364832" w:rsidP="009F5F18">
            <w:pPr>
              <w:jc w:val="both"/>
              <w:rPr>
                <w:rFonts w:ascii="Arial" w:hAnsi="Arial" w:cs="Arial"/>
              </w:rPr>
            </w:pPr>
          </w:p>
        </w:tc>
        <w:tc>
          <w:tcPr>
            <w:tcW w:w="1530" w:type="dxa"/>
            <w:tcBorders>
              <w:top w:val="nil"/>
              <w:left w:val="nil"/>
              <w:bottom w:val="nil"/>
              <w:right w:val="nil"/>
            </w:tcBorders>
          </w:tcPr>
          <w:p w14:paraId="7D01D350" w14:textId="77777777" w:rsidR="00364832" w:rsidRPr="00402756" w:rsidRDefault="00364832" w:rsidP="009F5F18">
            <w:pPr>
              <w:jc w:val="both"/>
              <w:rPr>
                <w:rFonts w:ascii="Arial" w:hAnsi="Arial" w:cs="Arial"/>
              </w:rPr>
            </w:pPr>
            <w:r w:rsidRPr="00402756">
              <w:rPr>
                <w:rFonts w:ascii="Arial" w:hAnsi="Arial" w:cs="Arial"/>
              </w:rPr>
              <w:t>3.27</w:t>
            </w:r>
          </w:p>
        </w:tc>
        <w:tc>
          <w:tcPr>
            <w:tcW w:w="1890" w:type="dxa"/>
            <w:tcBorders>
              <w:top w:val="nil"/>
              <w:left w:val="nil"/>
              <w:bottom w:val="nil"/>
              <w:right w:val="nil"/>
            </w:tcBorders>
          </w:tcPr>
          <w:p w14:paraId="4A14A949" w14:textId="77777777" w:rsidR="00364832" w:rsidRPr="00402756" w:rsidRDefault="00364832" w:rsidP="009F5F18">
            <w:pPr>
              <w:jc w:val="both"/>
              <w:rPr>
                <w:rFonts w:ascii="Arial" w:hAnsi="Arial" w:cs="Arial"/>
              </w:rPr>
            </w:pPr>
            <w:r w:rsidRPr="00402756">
              <w:rPr>
                <w:rFonts w:ascii="Arial" w:hAnsi="Arial" w:cs="Arial"/>
              </w:rPr>
              <w:t>1.13-9.46</w:t>
            </w:r>
          </w:p>
        </w:tc>
        <w:tc>
          <w:tcPr>
            <w:tcW w:w="1440" w:type="dxa"/>
            <w:tcBorders>
              <w:top w:val="nil"/>
              <w:left w:val="nil"/>
              <w:bottom w:val="nil"/>
              <w:right w:val="nil"/>
            </w:tcBorders>
          </w:tcPr>
          <w:p w14:paraId="15AF2DDD" w14:textId="77777777" w:rsidR="00364832" w:rsidRPr="00402756" w:rsidRDefault="00364832" w:rsidP="009F5F18">
            <w:pPr>
              <w:jc w:val="both"/>
              <w:rPr>
                <w:rFonts w:ascii="Arial" w:hAnsi="Arial" w:cs="Arial"/>
              </w:rPr>
            </w:pPr>
            <w:r w:rsidRPr="00402756">
              <w:rPr>
                <w:rFonts w:ascii="Arial" w:hAnsi="Arial" w:cs="Arial"/>
              </w:rPr>
              <w:t>2.85</w:t>
            </w:r>
          </w:p>
        </w:tc>
        <w:tc>
          <w:tcPr>
            <w:tcW w:w="1795" w:type="dxa"/>
            <w:tcBorders>
              <w:top w:val="nil"/>
              <w:left w:val="nil"/>
              <w:bottom w:val="nil"/>
            </w:tcBorders>
          </w:tcPr>
          <w:p w14:paraId="7C7F30AD" w14:textId="77777777" w:rsidR="00364832" w:rsidRPr="00402756" w:rsidRDefault="00364832" w:rsidP="009F5F18">
            <w:pPr>
              <w:jc w:val="both"/>
              <w:rPr>
                <w:rFonts w:ascii="Arial" w:hAnsi="Arial" w:cs="Arial"/>
              </w:rPr>
            </w:pPr>
            <w:r w:rsidRPr="00402756">
              <w:rPr>
                <w:rFonts w:ascii="Arial" w:hAnsi="Arial" w:cs="Arial"/>
              </w:rPr>
              <w:t>0.92-8.79</w:t>
            </w:r>
          </w:p>
        </w:tc>
      </w:tr>
      <w:tr w:rsidR="00364832" w:rsidRPr="00402756" w14:paraId="5D4D7C4F" w14:textId="77777777" w:rsidTr="009F5F18">
        <w:tc>
          <w:tcPr>
            <w:tcW w:w="2695" w:type="dxa"/>
            <w:tcBorders>
              <w:top w:val="nil"/>
              <w:bottom w:val="nil"/>
              <w:right w:val="nil"/>
            </w:tcBorders>
          </w:tcPr>
          <w:p w14:paraId="3676C46B" w14:textId="77777777" w:rsidR="00364832" w:rsidRPr="00402756" w:rsidRDefault="00364832" w:rsidP="009F5F18">
            <w:pPr>
              <w:jc w:val="both"/>
              <w:rPr>
                <w:rFonts w:ascii="Arial" w:hAnsi="Arial" w:cs="Arial"/>
              </w:rPr>
            </w:pPr>
            <w:r w:rsidRPr="00402756">
              <w:rPr>
                <w:rFonts w:ascii="Arial" w:hAnsi="Arial" w:cs="Arial"/>
              </w:rPr>
              <w:t>FVC</w:t>
            </w:r>
            <w:r>
              <w:rPr>
                <w:rFonts w:ascii="Arial" w:hAnsi="Arial" w:cs="Arial"/>
              </w:rPr>
              <w:t xml:space="preserve"> (% predicted)</w:t>
            </w:r>
          </w:p>
        </w:tc>
        <w:tc>
          <w:tcPr>
            <w:tcW w:w="1530" w:type="dxa"/>
            <w:tcBorders>
              <w:top w:val="nil"/>
              <w:left w:val="nil"/>
              <w:bottom w:val="nil"/>
              <w:right w:val="nil"/>
            </w:tcBorders>
          </w:tcPr>
          <w:p w14:paraId="055A094D" w14:textId="77777777" w:rsidR="00364832" w:rsidRPr="00402756" w:rsidRDefault="00364832" w:rsidP="009F5F18">
            <w:pPr>
              <w:jc w:val="both"/>
              <w:rPr>
                <w:rFonts w:ascii="Arial" w:hAnsi="Arial" w:cs="Arial"/>
              </w:rPr>
            </w:pPr>
            <w:r>
              <w:rPr>
                <w:rFonts w:ascii="Arial" w:hAnsi="Arial" w:cs="Arial"/>
              </w:rPr>
              <w:t>1.04</w:t>
            </w:r>
          </w:p>
        </w:tc>
        <w:tc>
          <w:tcPr>
            <w:tcW w:w="1890" w:type="dxa"/>
            <w:tcBorders>
              <w:top w:val="nil"/>
              <w:left w:val="nil"/>
              <w:bottom w:val="nil"/>
              <w:right w:val="nil"/>
            </w:tcBorders>
          </w:tcPr>
          <w:p w14:paraId="6A238CF0" w14:textId="77777777" w:rsidR="00364832" w:rsidRPr="00402756" w:rsidRDefault="00364832" w:rsidP="009F5F18">
            <w:pPr>
              <w:jc w:val="both"/>
              <w:rPr>
                <w:rFonts w:ascii="Arial" w:hAnsi="Arial" w:cs="Arial"/>
              </w:rPr>
            </w:pPr>
            <w:r>
              <w:rPr>
                <w:rFonts w:ascii="Arial" w:hAnsi="Arial" w:cs="Arial"/>
              </w:rPr>
              <w:t>1.01-1.08</w:t>
            </w:r>
          </w:p>
        </w:tc>
        <w:tc>
          <w:tcPr>
            <w:tcW w:w="1440" w:type="dxa"/>
            <w:tcBorders>
              <w:top w:val="nil"/>
              <w:left w:val="nil"/>
              <w:bottom w:val="nil"/>
              <w:right w:val="nil"/>
            </w:tcBorders>
          </w:tcPr>
          <w:p w14:paraId="70E2B557" w14:textId="77777777" w:rsidR="00364832" w:rsidRPr="00402756" w:rsidRDefault="00364832" w:rsidP="009F5F18">
            <w:pPr>
              <w:jc w:val="both"/>
              <w:rPr>
                <w:rFonts w:ascii="Arial" w:hAnsi="Arial" w:cs="Arial"/>
              </w:rPr>
            </w:pPr>
            <w:r>
              <w:rPr>
                <w:rFonts w:ascii="Arial" w:hAnsi="Arial" w:cs="Arial"/>
              </w:rPr>
              <w:t>1.04</w:t>
            </w:r>
          </w:p>
        </w:tc>
        <w:tc>
          <w:tcPr>
            <w:tcW w:w="1795" w:type="dxa"/>
            <w:tcBorders>
              <w:top w:val="nil"/>
              <w:left w:val="nil"/>
              <w:bottom w:val="nil"/>
            </w:tcBorders>
          </w:tcPr>
          <w:p w14:paraId="4453C8DC" w14:textId="77777777" w:rsidR="00364832" w:rsidRPr="00402756" w:rsidRDefault="00364832" w:rsidP="009F5F18">
            <w:pPr>
              <w:jc w:val="both"/>
              <w:rPr>
                <w:rFonts w:ascii="Arial" w:hAnsi="Arial" w:cs="Arial"/>
              </w:rPr>
            </w:pPr>
            <w:r>
              <w:rPr>
                <w:rFonts w:ascii="Arial" w:hAnsi="Arial" w:cs="Arial"/>
              </w:rPr>
              <w:t>1.01, 1.08</w:t>
            </w:r>
          </w:p>
        </w:tc>
      </w:tr>
      <w:tr w:rsidR="00364832" w:rsidRPr="00402756" w14:paraId="07BBBC0D" w14:textId="77777777" w:rsidTr="009F5F18">
        <w:tc>
          <w:tcPr>
            <w:tcW w:w="2695" w:type="dxa"/>
            <w:tcBorders>
              <w:top w:val="nil"/>
              <w:bottom w:val="nil"/>
              <w:right w:val="nil"/>
            </w:tcBorders>
          </w:tcPr>
          <w:p w14:paraId="00A6BB1E" w14:textId="77777777" w:rsidR="00364832" w:rsidRPr="00402756" w:rsidRDefault="00364832" w:rsidP="009F5F18">
            <w:pPr>
              <w:jc w:val="both"/>
              <w:rPr>
                <w:rFonts w:ascii="Arial" w:hAnsi="Arial" w:cs="Arial"/>
              </w:rPr>
            </w:pPr>
          </w:p>
          <w:p w14:paraId="17652E44" w14:textId="77777777" w:rsidR="00364832" w:rsidRPr="00402756" w:rsidRDefault="00364832" w:rsidP="009F5F18">
            <w:pPr>
              <w:jc w:val="both"/>
              <w:rPr>
                <w:rFonts w:ascii="Arial" w:hAnsi="Arial" w:cs="Arial"/>
              </w:rPr>
            </w:pPr>
            <w:r w:rsidRPr="00402756">
              <w:rPr>
                <w:rFonts w:ascii="Arial" w:hAnsi="Arial" w:cs="Arial"/>
              </w:rPr>
              <w:t>DLCO</w:t>
            </w:r>
            <w:r>
              <w:rPr>
                <w:rFonts w:ascii="Arial" w:hAnsi="Arial" w:cs="Arial"/>
              </w:rPr>
              <w:t xml:space="preserve"> (% predicted)</w:t>
            </w:r>
          </w:p>
          <w:p w14:paraId="1FAC9B4E" w14:textId="77777777" w:rsidR="00364832" w:rsidRPr="00402756" w:rsidRDefault="00364832" w:rsidP="009F5F18">
            <w:pPr>
              <w:jc w:val="both"/>
              <w:rPr>
                <w:rFonts w:ascii="Arial" w:hAnsi="Arial" w:cs="Arial"/>
              </w:rPr>
            </w:pPr>
          </w:p>
        </w:tc>
        <w:tc>
          <w:tcPr>
            <w:tcW w:w="1530" w:type="dxa"/>
            <w:tcBorders>
              <w:top w:val="nil"/>
              <w:left w:val="nil"/>
              <w:bottom w:val="nil"/>
              <w:right w:val="nil"/>
            </w:tcBorders>
          </w:tcPr>
          <w:p w14:paraId="3BCED1F2" w14:textId="77777777" w:rsidR="00364832" w:rsidRPr="00402756" w:rsidRDefault="00364832" w:rsidP="009F5F18">
            <w:pPr>
              <w:jc w:val="both"/>
              <w:rPr>
                <w:rFonts w:ascii="Arial" w:hAnsi="Arial" w:cs="Arial"/>
              </w:rPr>
            </w:pPr>
          </w:p>
          <w:p w14:paraId="08590181" w14:textId="77777777" w:rsidR="00364832" w:rsidRPr="00402756" w:rsidRDefault="00364832" w:rsidP="009F5F18">
            <w:pPr>
              <w:jc w:val="both"/>
              <w:rPr>
                <w:rFonts w:ascii="Arial" w:hAnsi="Arial" w:cs="Arial"/>
              </w:rPr>
            </w:pPr>
            <w:r>
              <w:rPr>
                <w:rFonts w:ascii="Arial" w:hAnsi="Arial" w:cs="Arial"/>
              </w:rPr>
              <w:t>1.04</w:t>
            </w:r>
          </w:p>
        </w:tc>
        <w:tc>
          <w:tcPr>
            <w:tcW w:w="1890" w:type="dxa"/>
            <w:tcBorders>
              <w:top w:val="nil"/>
              <w:left w:val="nil"/>
              <w:bottom w:val="nil"/>
              <w:right w:val="nil"/>
            </w:tcBorders>
          </w:tcPr>
          <w:p w14:paraId="599B5FB8" w14:textId="77777777" w:rsidR="00364832" w:rsidRPr="00402756" w:rsidRDefault="00364832" w:rsidP="009F5F18">
            <w:pPr>
              <w:jc w:val="both"/>
              <w:rPr>
                <w:rFonts w:ascii="Arial" w:hAnsi="Arial" w:cs="Arial"/>
              </w:rPr>
            </w:pPr>
          </w:p>
          <w:p w14:paraId="38B3F5FA" w14:textId="77777777" w:rsidR="00364832" w:rsidRPr="00402756" w:rsidRDefault="00364832" w:rsidP="009F5F18">
            <w:pPr>
              <w:jc w:val="both"/>
              <w:rPr>
                <w:rFonts w:ascii="Arial" w:hAnsi="Arial" w:cs="Arial"/>
              </w:rPr>
            </w:pPr>
            <w:r>
              <w:rPr>
                <w:rFonts w:ascii="Arial" w:hAnsi="Arial" w:cs="Arial"/>
              </w:rPr>
              <w:t>1.01</w:t>
            </w:r>
            <w:r w:rsidRPr="00402756">
              <w:rPr>
                <w:rFonts w:ascii="Arial" w:hAnsi="Arial" w:cs="Arial"/>
              </w:rPr>
              <w:t>-</w:t>
            </w:r>
            <w:r>
              <w:rPr>
                <w:rFonts w:ascii="Arial" w:hAnsi="Arial" w:cs="Arial"/>
              </w:rPr>
              <w:t>1.07</w:t>
            </w:r>
          </w:p>
        </w:tc>
        <w:tc>
          <w:tcPr>
            <w:tcW w:w="1440" w:type="dxa"/>
            <w:tcBorders>
              <w:top w:val="nil"/>
              <w:left w:val="nil"/>
              <w:bottom w:val="nil"/>
              <w:right w:val="nil"/>
            </w:tcBorders>
          </w:tcPr>
          <w:p w14:paraId="6AF05361" w14:textId="77777777" w:rsidR="00364832" w:rsidRPr="00402756" w:rsidRDefault="00364832" w:rsidP="009F5F18">
            <w:pPr>
              <w:jc w:val="both"/>
              <w:rPr>
                <w:rFonts w:ascii="Arial" w:hAnsi="Arial" w:cs="Arial"/>
              </w:rPr>
            </w:pPr>
          </w:p>
          <w:p w14:paraId="20BBAF18" w14:textId="77777777" w:rsidR="00364832" w:rsidRPr="00402756" w:rsidRDefault="00364832" w:rsidP="009F5F18">
            <w:pPr>
              <w:jc w:val="both"/>
              <w:rPr>
                <w:rFonts w:ascii="Arial" w:hAnsi="Arial" w:cs="Arial"/>
              </w:rPr>
            </w:pPr>
            <w:r>
              <w:rPr>
                <w:rFonts w:ascii="Arial" w:hAnsi="Arial" w:cs="Arial"/>
              </w:rPr>
              <w:t>1.04</w:t>
            </w:r>
          </w:p>
        </w:tc>
        <w:tc>
          <w:tcPr>
            <w:tcW w:w="1795" w:type="dxa"/>
            <w:tcBorders>
              <w:top w:val="nil"/>
              <w:left w:val="nil"/>
              <w:bottom w:val="nil"/>
            </w:tcBorders>
          </w:tcPr>
          <w:p w14:paraId="5B38F320" w14:textId="77777777" w:rsidR="00364832" w:rsidRPr="00402756" w:rsidRDefault="00364832" w:rsidP="009F5F18">
            <w:pPr>
              <w:jc w:val="both"/>
              <w:rPr>
                <w:rFonts w:ascii="Arial" w:hAnsi="Arial" w:cs="Arial"/>
              </w:rPr>
            </w:pPr>
          </w:p>
          <w:p w14:paraId="32D3F070" w14:textId="77777777" w:rsidR="00364832" w:rsidRPr="00402756" w:rsidRDefault="00364832" w:rsidP="009F5F18">
            <w:pPr>
              <w:jc w:val="both"/>
              <w:rPr>
                <w:rFonts w:ascii="Arial" w:hAnsi="Arial" w:cs="Arial"/>
              </w:rPr>
            </w:pPr>
            <w:r>
              <w:rPr>
                <w:rFonts w:ascii="Arial" w:hAnsi="Arial" w:cs="Arial"/>
              </w:rPr>
              <w:t>1.01, 1.07</w:t>
            </w:r>
          </w:p>
        </w:tc>
      </w:tr>
      <w:tr w:rsidR="00364832" w:rsidRPr="00402756" w14:paraId="400A193E" w14:textId="77777777" w:rsidTr="009F5F18">
        <w:tc>
          <w:tcPr>
            <w:tcW w:w="2695" w:type="dxa"/>
            <w:tcBorders>
              <w:top w:val="nil"/>
              <w:bottom w:val="nil"/>
              <w:right w:val="nil"/>
            </w:tcBorders>
          </w:tcPr>
          <w:p w14:paraId="4829FD83" w14:textId="77777777" w:rsidR="00364832" w:rsidRPr="00402756" w:rsidRDefault="00364832" w:rsidP="009F5F18">
            <w:pPr>
              <w:jc w:val="both"/>
              <w:rPr>
                <w:rFonts w:ascii="Arial" w:hAnsi="Arial" w:cs="Arial"/>
              </w:rPr>
            </w:pPr>
            <w:r>
              <w:rPr>
                <w:rFonts w:ascii="Arial" w:hAnsi="Arial" w:cs="Arial"/>
              </w:rPr>
              <w:t>C</w:t>
            </w:r>
            <w:r w:rsidRPr="00402756">
              <w:rPr>
                <w:rFonts w:ascii="Arial" w:hAnsi="Arial" w:cs="Arial"/>
              </w:rPr>
              <w:t>onstipation</w:t>
            </w:r>
            <w:r>
              <w:rPr>
                <w:rFonts w:ascii="Arial" w:hAnsi="Arial" w:cs="Arial"/>
              </w:rPr>
              <w:t>, severe**</w:t>
            </w:r>
          </w:p>
        </w:tc>
        <w:tc>
          <w:tcPr>
            <w:tcW w:w="1530" w:type="dxa"/>
            <w:tcBorders>
              <w:top w:val="nil"/>
              <w:left w:val="nil"/>
              <w:bottom w:val="nil"/>
              <w:right w:val="nil"/>
            </w:tcBorders>
          </w:tcPr>
          <w:p w14:paraId="0DEF6CAD" w14:textId="77777777" w:rsidR="00364832" w:rsidRPr="00402756" w:rsidRDefault="00364832" w:rsidP="009F5F18">
            <w:pPr>
              <w:jc w:val="both"/>
              <w:rPr>
                <w:rFonts w:ascii="Arial" w:hAnsi="Arial" w:cs="Arial"/>
              </w:rPr>
            </w:pPr>
            <w:r>
              <w:rPr>
                <w:rFonts w:ascii="Arial" w:hAnsi="Arial" w:cs="Arial"/>
              </w:rPr>
              <w:t>4.79</w:t>
            </w:r>
          </w:p>
        </w:tc>
        <w:tc>
          <w:tcPr>
            <w:tcW w:w="1890" w:type="dxa"/>
            <w:tcBorders>
              <w:top w:val="nil"/>
              <w:left w:val="nil"/>
              <w:bottom w:val="nil"/>
              <w:right w:val="nil"/>
            </w:tcBorders>
          </w:tcPr>
          <w:p w14:paraId="3528D368" w14:textId="77777777" w:rsidR="00364832" w:rsidRPr="00402756" w:rsidRDefault="00364832" w:rsidP="009F5F18">
            <w:pPr>
              <w:jc w:val="both"/>
              <w:rPr>
                <w:rFonts w:ascii="Arial" w:hAnsi="Arial" w:cs="Arial"/>
              </w:rPr>
            </w:pPr>
            <w:r w:rsidRPr="00402756">
              <w:rPr>
                <w:rFonts w:ascii="Arial" w:hAnsi="Arial" w:cs="Arial"/>
              </w:rPr>
              <w:t>1.</w:t>
            </w:r>
            <w:r>
              <w:rPr>
                <w:rFonts w:ascii="Arial" w:hAnsi="Arial" w:cs="Arial"/>
              </w:rPr>
              <w:t>47</w:t>
            </w:r>
            <w:r w:rsidRPr="00402756">
              <w:rPr>
                <w:rFonts w:ascii="Arial" w:hAnsi="Arial" w:cs="Arial"/>
              </w:rPr>
              <w:t>-</w:t>
            </w:r>
            <w:r>
              <w:rPr>
                <w:rFonts w:ascii="Arial" w:hAnsi="Arial" w:cs="Arial"/>
              </w:rPr>
              <w:t>15.61</w:t>
            </w:r>
          </w:p>
        </w:tc>
        <w:tc>
          <w:tcPr>
            <w:tcW w:w="1440" w:type="dxa"/>
            <w:tcBorders>
              <w:top w:val="nil"/>
              <w:left w:val="nil"/>
              <w:bottom w:val="nil"/>
              <w:right w:val="nil"/>
            </w:tcBorders>
          </w:tcPr>
          <w:p w14:paraId="7A431D36" w14:textId="77777777" w:rsidR="00364832" w:rsidRPr="00402756" w:rsidRDefault="00364832" w:rsidP="009F5F18">
            <w:pPr>
              <w:jc w:val="both"/>
              <w:rPr>
                <w:rFonts w:ascii="Arial" w:hAnsi="Arial" w:cs="Arial"/>
              </w:rPr>
            </w:pPr>
            <w:r>
              <w:rPr>
                <w:rFonts w:ascii="Arial" w:hAnsi="Arial" w:cs="Arial"/>
              </w:rPr>
              <w:t>4.74</w:t>
            </w:r>
          </w:p>
        </w:tc>
        <w:tc>
          <w:tcPr>
            <w:tcW w:w="1795" w:type="dxa"/>
            <w:tcBorders>
              <w:top w:val="nil"/>
              <w:left w:val="nil"/>
              <w:bottom w:val="nil"/>
            </w:tcBorders>
          </w:tcPr>
          <w:p w14:paraId="110352F2" w14:textId="77777777" w:rsidR="00364832" w:rsidRDefault="00364832" w:rsidP="009F5F18">
            <w:pPr>
              <w:jc w:val="both"/>
              <w:rPr>
                <w:rFonts w:ascii="Arial" w:hAnsi="Arial" w:cs="Arial"/>
              </w:rPr>
            </w:pPr>
            <w:r>
              <w:rPr>
                <w:rFonts w:ascii="Arial" w:hAnsi="Arial" w:cs="Arial"/>
              </w:rPr>
              <w:t>1.45, 15.47</w:t>
            </w:r>
          </w:p>
          <w:p w14:paraId="7BC4980D" w14:textId="5BE59148" w:rsidR="00364832" w:rsidRPr="00402756" w:rsidRDefault="00364832" w:rsidP="009F5F18">
            <w:pPr>
              <w:jc w:val="both"/>
              <w:rPr>
                <w:rFonts w:ascii="Arial" w:hAnsi="Arial" w:cs="Arial"/>
              </w:rPr>
            </w:pPr>
          </w:p>
        </w:tc>
      </w:tr>
      <w:tr w:rsidR="00364832" w:rsidRPr="00402756" w14:paraId="2A17E7EC" w14:textId="77777777" w:rsidTr="009F5F18">
        <w:tc>
          <w:tcPr>
            <w:tcW w:w="2695" w:type="dxa"/>
            <w:tcBorders>
              <w:top w:val="nil"/>
              <w:bottom w:val="single" w:sz="4" w:space="0" w:color="auto"/>
              <w:right w:val="nil"/>
            </w:tcBorders>
          </w:tcPr>
          <w:p w14:paraId="5E77365D" w14:textId="77777777" w:rsidR="00364832" w:rsidRPr="00402756" w:rsidRDefault="00364832" w:rsidP="009F5F18">
            <w:pPr>
              <w:rPr>
                <w:rFonts w:ascii="Arial" w:hAnsi="Arial" w:cs="Arial"/>
              </w:rPr>
            </w:pPr>
            <w:r>
              <w:rPr>
                <w:rFonts w:ascii="Arial" w:hAnsi="Arial" w:cs="Arial"/>
              </w:rPr>
              <w:t xml:space="preserve">Distention/ bloating, severe** </w:t>
            </w:r>
          </w:p>
        </w:tc>
        <w:tc>
          <w:tcPr>
            <w:tcW w:w="1530" w:type="dxa"/>
            <w:tcBorders>
              <w:top w:val="nil"/>
              <w:left w:val="nil"/>
              <w:bottom w:val="single" w:sz="4" w:space="0" w:color="auto"/>
              <w:right w:val="nil"/>
            </w:tcBorders>
          </w:tcPr>
          <w:p w14:paraId="1E6D7BA2" w14:textId="77777777" w:rsidR="00364832" w:rsidRPr="00402756" w:rsidRDefault="00364832" w:rsidP="009F5F18">
            <w:pPr>
              <w:jc w:val="both"/>
              <w:rPr>
                <w:rFonts w:ascii="Arial" w:hAnsi="Arial" w:cs="Arial"/>
              </w:rPr>
            </w:pPr>
            <w:r>
              <w:rPr>
                <w:rFonts w:ascii="Arial" w:hAnsi="Arial" w:cs="Arial"/>
              </w:rPr>
              <w:t>3.56</w:t>
            </w:r>
          </w:p>
        </w:tc>
        <w:tc>
          <w:tcPr>
            <w:tcW w:w="1890" w:type="dxa"/>
            <w:tcBorders>
              <w:top w:val="nil"/>
              <w:left w:val="nil"/>
              <w:bottom w:val="single" w:sz="4" w:space="0" w:color="auto"/>
              <w:right w:val="nil"/>
            </w:tcBorders>
          </w:tcPr>
          <w:p w14:paraId="692CB444" w14:textId="77777777" w:rsidR="00364832" w:rsidRPr="00402756" w:rsidRDefault="00364832" w:rsidP="009F5F18">
            <w:pPr>
              <w:jc w:val="both"/>
              <w:rPr>
                <w:rFonts w:ascii="Arial" w:hAnsi="Arial" w:cs="Arial"/>
              </w:rPr>
            </w:pPr>
            <w:r w:rsidRPr="00402756">
              <w:rPr>
                <w:rFonts w:ascii="Arial" w:hAnsi="Arial" w:cs="Arial"/>
              </w:rPr>
              <w:t>1.</w:t>
            </w:r>
            <w:r>
              <w:rPr>
                <w:rFonts w:ascii="Arial" w:hAnsi="Arial" w:cs="Arial"/>
              </w:rPr>
              <w:t>12</w:t>
            </w:r>
            <w:r w:rsidRPr="00402756">
              <w:rPr>
                <w:rFonts w:ascii="Arial" w:hAnsi="Arial" w:cs="Arial"/>
              </w:rPr>
              <w:t>-</w:t>
            </w:r>
            <w:r>
              <w:rPr>
                <w:rFonts w:ascii="Arial" w:hAnsi="Arial" w:cs="Arial"/>
              </w:rPr>
              <w:t>11.30</w:t>
            </w:r>
          </w:p>
        </w:tc>
        <w:tc>
          <w:tcPr>
            <w:tcW w:w="1440" w:type="dxa"/>
            <w:tcBorders>
              <w:top w:val="nil"/>
              <w:left w:val="nil"/>
              <w:bottom w:val="single" w:sz="4" w:space="0" w:color="auto"/>
              <w:right w:val="nil"/>
            </w:tcBorders>
          </w:tcPr>
          <w:p w14:paraId="730C7A4E" w14:textId="77777777" w:rsidR="00364832" w:rsidRPr="00402756" w:rsidRDefault="00364832" w:rsidP="009F5F18">
            <w:pPr>
              <w:jc w:val="both"/>
              <w:rPr>
                <w:rFonts w:ascii="Arial" w:hAnsi="Arial" w:cs="Arial"/>
              </w:rPr>
            </w:pPr>
            <w:r>
              <w:rPr>
                <w:rFonts w:ascii="Arial" w:hAnsi="Arial" w:cs="Arial"/>
              </w:rPr>
              <w:t>3.71</w:t>
            </w:r>
          </w:p>
        </w:tc>
        <w:tc>
          <w:tcPr>
            <w:tcW w:w="1795" w:type="dxa"/>
            <w:tcBorders>
              <w:top w:val="nil"/>
              <w:left w:val="nil"/>
              <w:bottom w:val="single" w:sz="4" w:space="0" w:color="auto"/>
            </w:tcBorders>
          </w:tcPr>
          <w:p w14:paraId="40BCE7DD" w14:textId="77777777" w:rsidR="00364832" w:rsidRPr="00402756" w:rsidRDefault="00364832" w:rsidP="009F5F18">
            <w:pPr>
              <w:jc w:val="both"/>
              <w:rPr>
                <w:rFonts w:ascii="Arial" w:hAnsi="Arial" w:cs="Arial"/>
              </w:rPr>
            </w:pPr>
            <w:r>
              <w:rPr>
                <w:rFonts w:ascii="Arial" w:hAnsi="Arial" w:cs="Arial"/>
              </w:rPr>
              <w:t>1.16, 11.86</w:t>
            </w:r>
          </w:p>
        </w:tc>
      </w:tr>
      <w:tr w:rsidR="00364832" w:rsidRPr="00402756" w14:paraId="2BBEFA01" w14:textId="77777777" w:rsidTr="009F5F18">
        <w:tc>
          <w:tcPr>
            <w:tcW w:w="9350" w:type="dxa"/>
            <w:gridSpan w:val="5"/>
            <w:tcBorders>
              <w:top w:val="single" w:sz="4" w:space="0" w:color="auto"/>
            </w:tcBorders>
          </w:tcPr>
          <w:p w14:paraId="72290C04" w14:textId="77777777" w:rsidR="00364832" w:rsidRPr="000C3238" w:rsidRDefault="00364832" w:rsidP="009F5F18">
            <w:pPr>
              <w:jc w:val="both"/>
              <w:rPr>
                <w:rFonts w:ascii="Arial" w:hAnsi="Arial" w:cs="Arial"/>
                <w:i/>
                <w:sz w:val="18"/>
                <w:szCs w:val="18"/>
              </w:rPr>
            </w:pPr>
            <w:r w:rsidRPr="000C3238">
              <w:rPr>
                <w:rFonts w:ascii="Arial" w:hAnsi="Arial" w:cs="Arial"/>
                <w:i/>
                <w:sz w:val="18"/>
                <w:szCs w:val="18"/>
              </w:rPr>
              <w:t>FVC = Forced Vital Capacity on PFT; DLCO = Diffusion Capacity on PFT; *adjusted for disease duration</w:t>
            </w:r>
            <w:r>
              <w:rPr>
                <w:rFonts w:ascii="Arial" w:hAnsi="Arial" w:cs="Arial"/>
                <w:i/>
                <w:sz w:val="18"/>
                <w:szCs w:val="18"/>
              </w:rPr>
              <w:t xml:space="preserve"> **UCLA GIT 2.0</w:t>
            </w:r>
          </w:p>
        </w:tc>
      </w:tr>
    </w:tbl>
    <w:p w14:paraId="002598DD" w14:textId="6422F39C" w:rsidR="00A54378" w:rsidRDefault="00A54378" w:rsidP="00FF153F"/>
    <w:sectPr w:rsidR="00A54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9C"/>
    <w:rsid w:val="000128E1"/>
    <w:rsid w:val="00026D99"/>
    <w:rsid w:val="0003025C"/>
    <w:rsid w:val="00036026"/>
    <w:rsid w:val="00040D2E"/>
    <w:rsid w:val="000430DA"/>
    <w:rsid w:val="00062938"/>
    <w:rsid w:val="0008267D"/>
    <w:rsid w:val="00082E48"/>
    <w:rsid w:val="000A0E05"/>
    <w:rsid w:val="000A2488"/>
    <w:rsid w:val="000B0AF1"/>
    <w:rsid w:val="000B2D5D"/>
    <w:rsid w:val="000B6E4E"/>
    <w:rsid w:val="000C554E"/>
    <w:rsid w:val="00100AD4"/>
    <w:rsid w:val="00103D37"/>
    <w:rsid w:val="001175B4"/>
    <w:rsid w:val="001201B0"/>
    <w:rsid w:val="00127E4A"/>
    <w:rsid w:val="001344F1"/>
    <w:rsid w:val="00137E48"/>
    <w:rsid w:val="001448AC"/>
    <w:rsid w:val="0015160A"/>
    <w:rsid w:val="001627EB"/>
    <w:rsid w:val="00186D66"/>
    <w:rsid w:val="00187751"/>
    <w:rsid w:val="001B130C"/>
    <w:rsid w:val="001B4359"/>
    <w:rsid w:val="001B6920"/>
    <w:rsid w:val="001B71DA"/>
    <w:rsid w:val="001D4242"/>
    <w:rsid w:val="001D73B6"/>
    <w:rsid w:val="001E7DDF"/>
    <w:rsid w:val="001F29DA"/>
    <w:rsid w:val="001F41AF"/>
    <w:rsid w:val="0020457B"/>
    <w:rsid w:val="002216A7"/>
    <w:rsid w:val="00221A98"/>
    <w:rsid w:val="00224A86"/>
    <w:rsid w:val="002316E1"/>
    <w:rsid w:val="0023740C"/>
    <w:rsid w:val="00243002"/>
    <w:rsid w:val="0024702C"/>
    <w:rsid w:val="00251C7B"/>
    <w:rsid w:val="00256A83"/>
    <w:rsid w:val="00257A05"/>
    <w:rsid w:val="00260FC2"/>
    <w:rsid w:val="0026373A"/>
    <w:rsid w:val="00270339"/>
    <w:rsid w:val="00270A14"/>
    <w:rsid w:val="00276052"/>
    <w:rsid w:val="00281437"/>
    <w:rsid w:val="0028604B"/>
    <w:rsid w:val="00297414"/>
    <w:rsid w:val="002979A6"/>
    <w:rsid w:val="002B453E"/>
    <w:rsid w:val="002C105D"/>
    <w:rsid w:val="002C4249"/>
    <w:rsid w:val="002C6F4F"/>
    <w:rsid w:val="002E1D43"/>
    <w:rsid w:val="002E1DCB"/>
    <w:rsid w:val="002F1FE9"/>
    <w:rsid w:val="002F5727"/>
    <w:rsid w:val="002F70CA"/>
    <w:rsid w:val="00314866"/>
    <w:rsid w:val="00316F1A"/>
    <w:rsid w:val="0033295A"/>
    <w:rsid w:val="00333DD9"/>
    <w:rsid w:val="003373DB"/>
    <w:rsid w:val="00340688"/>
    <w:rsid w:val="0034086F"/>
    <w:rsid w:val="00356725"/>
    <w:rsid w:val="00360659"/>
    <w:rsid w:val="00364832"/>
    <w:rsid w:val="0037622F"/>
    <w:rsid w:val="00380C1F"/>
    <w:rsid w:val="003825E1"/>
    <w:rsid w:val="00392152"/>
    <w:rsid w:val="003A3C9C"/>
    <w:rsid w:val="003A67FA"/>
    <w:rsid w:val="003A6A78"/>
    <w:rsid w:val="003B12B0"/>
    <w:rsid w:val="003C747E"/>
    <w:rsid w:val="003E6F65"/>
    <w:rsid w:val="00404A20"/>
    <w:rsid w:val="00406442"/>
    <w:rsid w:val="00421B5C"/>
    <w:rsid w:val="00451603"/>
    <w:rsid w:val="00460A2E"/>
    <w:rsid w:val="00467E0F"/>
    <w:rsid w:val="0047226E"/>
    <w:rsid w:val="00472A1C"/>
    <w:rsid w:val="00477BCD"/>
    <w:rsid w:val="00477CFF"/>
    <w:rsid w:val="004A1F68"/>
    <w:rsid w:val="004A7AF5"/>
    <w:rsid w:val="004E0310"/>
    <w:rsid w:val="004E4AA1"/>
    <w:rsid w:val="004F0B57"/>
    <w:rsid w:val="00503ABD"/>
    <w:rsid w:val="005042AC"/>
    <w:rsid w:val="00511D76"/>
    <w:rsid w:val="00513391"/>
    <w:rsid w:val="005156CE"/>
    <w:rsid w:val="00525438"/>
    <w:rsid w:val="00547481"/>
    <w:rsid w:val="00553199"/>
    <w:rsid w:val="00575D11"/>
    <w:rsid w:val="00581CAD"/>
    <w:rsid w:val="005B1401"/>
    <w:rsid w:val="005C2F27"/>
    <w:rsid w:val="005D1546"/>
    <w:rsid w:val="005D1C66"/>
    <w:rsid w:val="005E6B82"/>
    <w:rsid w:val="005F5D52"/>
    <w:rsid w:val="0060409D"/>
    <w:rsid w:val="006041D6"/>
    <w:rsid w:val="00612664"/>
    <w:rsid w:val="00643EB8"/>
    <w:rsid w:val="0064701D"/>
    <w:rsid w:val="00656436"/>
    <w:rsid w:val="0066236D"/>
    <w:rsid w:val="00665DAB"/>
    <w:rsid w:val="00693707"/>
    <w:rsid w:val="006A05F6"/>
    <w:rsid w:val="006A393F"/>
    <w:rsid w:val="006C30DB"/>
    <w:rsid w:val="006C40CE"/>
    <w:rsid w:val="006C588C"/>
    <w:rsid w:val="006C6B87"/>
    <w:rsid w:val="006D3C34"/>
    <w:rsid w:val="006D3F52"/>
    <w:rsid w:val="006D488A"/>
    <w:rsid w:val="006D6426"/>
    <w:rsid w:val="007326D0"/>
    <w:rsid w:val="00777785"/>
    <w:rsid w:val="00786F18"/>
    <w:rsid w:val="00787033"/>
    <w:rsid w:val="007A2DD6"/>
    <w:rsid w:val="007A442A"/>
    <w:rsid w:val="007A4658"/>
    <w:rsid w:val="007B6283"/>
    <w:rsid w:val="00845243"/>
    <w:rsid w:val="0085593A"/>
    <w:rsid w:val="00884A57"/>
    <w:rsid w:val="00891AFE"/>
    <w:rsid w:val="00894137"/>
    <w:rsid w:val="00894F16"/>
    <w:rsid w:val="00895205"/>
    <w:rsid w:val="00897BE9"/>
    <w:rsid w:val="008B3014"/>
    <w:rsid w:val="008B52E3"/>
    <w:rsid w:val="008C3043"/>
    <w:rsid w:val="008E10D0"/>
    <w:rsid w:val="008F68CA"/>
    <w:rsid w:val="00900A51"/>
    <w:rsid w:val="00903A2A"/>
    <w:rsid w:val="00903AE9"/>
    <w:rsid w:val="00912652"/>
    <w:rsid w:val="00913607"/>
    <w:rsid w:val="00933BE8"/>
    <w:rsid w:val="009423AB"/>
    <w:rsid w:val="00952329"/>
    <w:rsid w:val="009643E9"/>
    <w:rsid w:val="009971AA"/>
    <w:rsid w:val="009A5F03"/>
    <w:rsid w:val="009B2E51"/>
    <w:rsid w:val="009C3997"/>
    <w:rsid w:val="009D0FED"/>
    <w:rsid w:val="009D682A"/>
    <w:rsid w:val="009F2C30"/>
    <w:rsid w:val="009F7D03"/>
    <w:rsid w:val="00A0325F"/>
    <w:rsid w:val="00A3208C"/>
    <w:rsid w:val="00A36AD2"/>
    <w:rsid w:val="00A427A5"/>
    <w:rsid w:val="00A44BF0"/>
    <w:rsid w:val="00A5121D"/>
    <w:rsid w:val="00A5233F"/>
    <w:rsid w:val="00A53D1F"/>
    <w:rsid w:val="00A54378"/>
    <w:rsid w:val="00A56613"/>
    <w:rsid w:val="00A57149"/>
    <w:rsid w:val="00A62EE5"/>
    <w:rsid w:val="00A7448F"/>
    <w:rsid w:val="00A808D0"/>
    <w:rsid w:val="00A959AA"/>
    <w:rsid w:val="00AB0AC3"/>
    <w:rsid w:val="00AB4A46"/>
    <w:rsid w:val="00AC1A24"/>
    <w:rsid w:val="00AC3F10"/>
    <w:rsid w:val="00AD2583"/>
    <w:rsid w:val="00AF38E4"/>
    <w:rsid w:val="00AF76D4"/>
    <w:rsid w:val="00B0095D"/>
    <w:rsid w:val="00B07FD5"/>
    <w:rsid w:val="00B15AAC"/>
    <w:rsid w:val="00B15DAF"/>
    <w:rsid w:val="00B20AD1"/>
    <w:rsid w:val="00B23421"/>
    <w:rsid w:val="00B24335"/>
    <w:rsid w:val="00B44F19"/>
    <w:rsid w:val="00B4630A"/>
    <w:rsid w:val="00B47900"/>
    <w:rsid w:val="00B71EEA"/>
    <w:rsid w:val="00B7257F"/>
    <w:rsid w:val="00B8159D"/>
    <w:rsid w:val="00B936BB"/>
    <w:rsid w:val="00BA0F01"/>
    <w:rsid w:val="00BD1C53"/>
    <w:rsid w:val="00BD2652"/>
    <w:rsid w:val="00BD6D79"/>
    <w:rsid w:val="00BE102B"/>
    <w:rsid w:val="00BF25FF"/>
    <w:rsid w:val="00BF2C7F"/>
    <w:rsid w:val="00BF3292"/>
    <w:rsid w:val="00C01078"/>
    <w:rsid w:val="00C14899"/>
    <w:rsid w:val="00C1705A"/>
    <w:rsid w:val="00C227CC"/>
    <w:rsid w:val="00C25185"/>
    <w:rsid w:val="00C37B97"/>
    <w:rsid w:val="00C4224B"/>
    <w:rsid w:val="00C42C52"/>
    <w:rsid w:val="00C54A15"/>
    <w:rsid w:val="00C70C93"/>
    <w:rsid w:val="00C805EA"/>
    <w:rsid w:val="00C81C2D"/>
    <w:rsid w:val="00CA213B"/>
    <w:rsid w:val="00CB75BC"/>
    <w:rsid w:val="00CC6CDC"/>
    <w:rsid w:val="00CD289F"/>
    <w:rsid w:val="00CD3DD9"/>
    <w:rsid w:val="00CD67F2"/>
    <w:rsid w:val="00CD74BE"/>
    <w:rsid w:val="00CE45E1"/>
    <w:rsid w:val="00CF5558"/>
    <w:rsid w:val="00D02775"/>
    <w:rsid w:val="00D05010"/>
    <w:rsid w:val="00D13728"/>
    <w:rsid w:val="00D14EBC"/>
    <w:rsid w:val="00D233F5"/>
    <w:rsid w:val="00D35E9B"/>
    <w:rsid w:val="00D40655"/>
    <w:rsid w:val="00D52929"/>
    <w:rsid w:val="00D55D9D"/>
    <w:rsid w:val="00D6175E"/>
    <w:rsid w:val="00D6183A"/>
    <w:rsid w:val="00D62D16"/>
    <w:rsid w:val="00D810CA"/>
    <w:rsid w:val="00D8192D"/>
    <w:rsid w:val="00D82118"/>
    <w:rsid w:val="00D905A6"/>
    <w:rsid w:val="00DB0839"/>
    <w:rsid w:val="00DC4D2B"/>
    <w:rsid w:val="00DC5D82"/>
    <w:rsid w:val="00DD0D12"/>
    <w:rsid w:val="00DD5B9E"/>
    <w:rsid w:val="00DD62EB"/>
    <w:rsid w:val="00DE40D5"/>
    <w:rsid w:val="00DE509F"/>
    <w:rsid w:val="00E0521D"/>
    <w:rsid w:val="00E0579D"/>
    <w:rsid w:val="00E07CE8"/>
    <w:rsid w:val="00E161AE"/>
    <w:rsid w:val="00E33E8F"/>
    <w:rsid w:val="00E3708D"/>
    <w:rsid w:val="00E4292B"/>
    <w:rsid w:val="00E462C1"/>
    <w:rsid w:val="00E54008"/>
    <w:rsid w:val="00E66B1A"/>
    <w:rsid w:val="00E67671"/>
    <w:rsid w:val="00E75326"/>
    <w:rsid w:val="00E823E1"/>
    <w:rsid w:val="00E85256"/>
    <w:rsid w:val="00EA49BC"/>
    <w:rsid w:val="00EB046E"/>
    <w:rsid w:val="00EB2CEB"/>
    <w:rsid w:val="00EB7F9A"/>
    <w:rsid w:val="00EC3D71"/>
    <w:rsid w:val="00EC48A1"/>
    <w:rsid w:val="00EC490B"/>
    <w:rsid w:val="00EE54E9"/>
    <w:rsid w:val="00EF36CB"/>
    <w:rsid w:val="00F01C3B"/>
    <w:rsid w:val="00F065F2"/>
    <w:rsid w:val="00F17D7D"/>
    <w:rsid w:val="00F21284"/>
    <w:rsid w:val="00F233EC"/>
    <w:rsid w:val="00F6720B"/>
    <w:rsid w:val="00F72FBD"/>
    <w:rsid w:val="00F74CAB"/>
    <w:rsid w:val="00F76469"/>
    <w:rsid w:val="00F83B5D"/>
    <w:rsid w:val="00F939C5"/>
    <w:rsid w:val="00FA62A3"/>
    <w:rsid w:val="00FB4F77"/>
    <w:rsid w:val="00FC0AE9"/>
    <w:rsid w:val="00FC554B"/>
    <w:rsid w:val="00FD160F"/>
    <w:rsid w:val="00FD4DB2"/>
    <w:rsid w:val="00FF153F"/>
    <w:rsid w:val="00FF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90C1"/>
  <w15:chartTrackingRefBased/>
  <w15:docId w15:val="{2CB283E7-706D-433E-81FA-54CDBEC1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2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1141</Words>
  <Characters>6504</Characters>
  <Application>Microsoft Office Word</Application>
  <DocSecurity>0</DocSecurity>
  <Lines>54</Lines>
  <Paragraphs>15</Paragraphs>
  <ScaleCrop>false</ScaleCrop>
  <Company>Johns Hopkins</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H McMahan</dc:creator>
  <cp:keywords/>
  <dc:description/>
  <cp:lastModifiedBy>Zsuzsanna H McMahan</cp:lastModifiedBy>
  <cp:revision>2</cp:revision>
  <dcterms:created xsi:type="dcterms:W3CDTF">2022-08-26T18:25:00Z</dcterms:created>
  <dcterms:modified xsi:type="dcterms:W3CDTF">2022-08-26T18:25:00Z</dcterms:modified>
</cp:coreProperties>
</file>