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17856" w14:textId="68775371" w:rsidR="00432634" w:rsidRDefault="005753E2" w:rsidP="008359DA">
      <w:pPr>
        <w:jc w:val="center"/>
        <w:rPr>
          <w:rFonts w:ascii="Arial" w:hAnsi="Arial" w:cs="Arial"/>
          <w:sz w:val="28"/>
          <w:szCs w:val="28"/>
        </w:rPr>
      </w:pPr>
      <w:r w:rsidRPr="005753E2">
        <w:rPr>
          <w:rFonts w:ascii="Arial" w:hAnsi="Arial" w:cs="Arial"/>
          <w:b/>
          <w:bCs/>
          <w:sz w:val="28"/>
          <w:szCs w:val="28"/>
        </w:rPr>
        <w:t>Induction of poxviral immunity by synthetic MVA-based dual-antigen COVID-19 vaccine COH04S1</w:t>
      </w:r>
    </w:p>
    <w:p w14:paraId="7F1FD0C9" w14:textId="734B3430" w:rsidR="008359DA" w:rsidRPr="005070BF" w:rsidRDefault="008359DA" w:rsidP="008359D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070BF">
        <w:rPr>
          <w:rFonts w:ascii="Arial" w:hAnsi="Arial" w:cs="Arial"/>
          <w:b/>
          <w:bCs/>
          <w:sz w:val="28"/>
          <w:szCs w:val="28"/>
        </w:rPr>
        <w:t>Supplementary Material</w:t>
      </w:r>
    </w:p>
    <w:p w14:paraId="2BF4479C" w14:textId="7F6C770B" w:rsidR="00AB4670" w:rsidRDefault="00AB4670">
      <w:r>
        <w:br w:type="page"/>
      </w:r>
    </w:p>
    <w:p w14:paraId="51085271" w14:textId="479CBCCD" w:rsidR="00AB4670" w:rsidRPr="00AB4670" w:rsidRDefault="00AB4670" w:rsidP="00AB4670">
      <w:pPr>
        <w:jc w:val="both"/>
        <w:rPr>
          <w:rFonts w:ascii="Arial" w:hAnsi="Arial" w:cs="Arial"/>
        </w:rPr>
      </w:pPr>
      <w:bookmarkStart w:id="0" w:name="_Hlk90278324"/>
      <w:r w:rsidRPr="00AB4670">
        <w:rPr>
          <w:rFonts w:ascii="Arial" w:hAnsi="Arial" w:cs="Arial"/>
        </w:rPr>
        <w:lastRenderedPageBreak/>
        <w:t>Table S1</w:t>
      </w:r>
      <w:r w:rsidR="0091296B">
        <w:rPr>
          <w:rFonts w:ascii="Arial" w:hAnsi="Arial" w:cs="Arial"/>
        </w:rPr>
        <w:t>.</w:t>
      </w:r>
      <w:r w:rsidRPr="00AB4670">
        <w:rPr>
          <w:rFonts w:ascii="Arial" w:hAnsi="Arial" w:cs="Arial"/>
        </w:rPr>
        <w:t xml:space="preserve"> Volunteers characteristics</w:t>
      </w:r>
    </w:p>
    <w:tbl>
      <w:tblPr>
        <w:tblW w:w="10063" w:type="dxa"/>
        <w:jc w:val="center"/>
        <w:tblLayout w:type="fixed"/>
        <w:tblLook w:val="0420" w:firstRow="1" w:lastRow="0" w:firstColumn="0" w:lastColumn="0" w:noHBand="0" w:noVBand="1"/>
      </w:tblPr>
      <w:tblGrid>
        <w:gridCol w:w="2433"/>
        <w:gridCol w:w="1321"/>
        <w:gridCol w:w="1268"/>
        <w:gridCol w:w="1238"/>
        <w:gridCol w:w="1284"/>
        <w:gridCol w:w="1440"/>
        <w:gridCol w:w="1079"/>
      </w:tblGrid>
      <w:tr w:rsidR="00AB4670" w:rsidRPr="008E53DC" w14:paraId="5F28A7EC" w14:textId="77777777" w:rsidTr="005F4610">
        <w:trPr>
          <w:gridAfter w:val="1"/>
          <w:wAfter w:w="1079" w:type="dxa"/>
          <w:cantSplit/>
          <w:tblHeader/>
          <w:jc w:val="center"/>
        </w:trPr>
        <w:tc>
          <w:tcPr>
            <w:tcW w:w="2433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FA612" w14:textId="77777777" w:rsidR="00AB4670" w:rsidRPr="008E53DC" w:rsidRDefault="00AB4670" w:rsidP="002F7CD9">
            <w:pPr>
              <w:spacing w:before="40" w:after="40" w:line="240" w:lineRule="auto"/>
              <w:ind w:left="6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Characteristic</w:t>
            </w:r>
          </w:p>
        </w:tc>
        <w:tc>
          <w:tcPr>
            <w:tcW w:w="1321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26AE1C" w14:textId="77777777" w:rsidR="000B1B7F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COH04S1,</w:t>
            </w:r>
          </w:p>
          <w:p w14:paraId="55A2E564" w14:textId="60C04BBE" w:rsidR="00AB4670" w:rsidRP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 N = </w:t>
            </w:r>
            <w:r w:rsidR="00331408">
              <w:rPr>
                <w:rFonts w:ascii="Arial" w:eastAsia="Arial" w:hAnsi="Arial" w:cs="Arial"/>
                <w:color w:val="000000"/>
              </w:rPr>
              <w:t>20</w:t>
            </w:r>
          </w:p>
        </w:tc>
        <w:tc>
          <w:tcPr>
            <w:tcW w:w="126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70905" w14:textId="77777777" w:rsid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DL1, </w:t>
            </w:r>
          </w:p>
          <w:p w14:paraId="654719E6" w14:textId="25112E17" w:rsidR="00AB4670" w:rsidRP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N = </w:t>
            </w:r>
            <w:r w:rsidR="00331408">
              <w:rPr>
                <w:rFonts w:ascii="Arial" w:eastAsia="Arial" w:hAnsi="Arial" w:cs="Arial"/>
                <w:color w:val="000000"/>
              </w:rPr>
              <w:t>10</w:t>
            </w:r>
          </w:p>
        </w:tc>
        <w:tc>
          <w:tcPr>
            <w:tcW w:w="1238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DDAAC" w14:textId="77777777" w:rsid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DL2, </w:t>
            </w:r>
          </w:p>
          <w:p w14:paraId="73B96DF5" w14:textId="2E77DCDC" w:rsidR="00AB4670" w:rsidRP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N = </w:t>
            </w:r>
            <w:r w:rsidR="0033140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284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3A6C8" w14:textId="77777777" w:rsid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DL3, </w:t>
            </w:r>
          </w:p>
          <w:p w14:paraId="2BBC554E" w14:textId="2439E0EE" w:rsidR="00AB4670" w:rsidRP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N = </w:t>
            </w:r>
            <w:r w:rsidR="00331408">
              <w:rPr>
                <w:rFonts w:ascii="Arial" w:eastAsia="Arial" w:hAnsi="Arial" w:cs="Arial"/>
                <w:color w:val="000000"/>
              </w:rPr>
              <w:t>5</w:t>
            </w:r>
          </w:p>
        </w:tc>
        <w:tc>
          <w:tcPr>
            <w:tcW w:w="1440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7F800" w14:textId="77777777" w:rsidR="00A24213" w:rsidRDefault="00A24213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placebo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, </w:t>
            </w:r>
          </w:p>
          <w:p w14:paraId="73214A34" w14:textId="61A3CF00" w:rsidR="00AB4670" w:rsidRPr="008E53DC" w:rsidRDefault="00AB4670" w:rsidP="002F7CD9">
            <w:pPr>
              <w:spacing w:before="40" w:after="4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 xml:space="preserve">N = </w:t>
            </w:r>
            <w:r w:rsidR="00A24213">
              <w:rPr>
                <w:rFonts w:ascii="Arial" w:eastAsia="Arial" w:hAnsi="Arial" w:cs="Arial"/>
                <w:color w:val="000000"/>
              </w:rPr>
              <w:t>4</w:t>
            </w:r>
          </w:p>
        </w:tc>
      </w:tr>
      <w:tr w:rsidR="00AB4670" w:rsidRPr="008E53DC" w14:paraId="57ECFD31" w14:textId="77777777" w:rsidTr="005F4610">
        <w:trPr>
          <w:gridAfter w:val="1"/>
          <w:wAfter w:w="1079" w:type="dxa"/>
          <w:cantSplit/>
          <w:jc w:val="center"/>
        </w:trPr>
        <w:tc>
          <w:tcPr>
            <w:tcW w:w="24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BEEC77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Age</w:t>
            </w:r>
            <w:r w:rsidRPr="008E53DC">
              <w:rPr>
                <w:rFonts w:ascii="Arial" w:eastAsia="Arial" w:hAnsi="Arial" w:cs="Arial"/>
                <w:color w:val="000000"/>
                <w:vertAlign w:val="superscript"/>
              </w:rPr>
              <w:t>1</w:t>
            </w:r>
          </w:p>
        </w:tc>
        <w:tc>
          <w:tcPr>
            <w:tcW w:w="13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826200" w14:textId="24B4DD6F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3</w:t>
            </w:r>
            <w:r w:rsidR="00331408">
              <w:rPr>
                <w:rFonts w:ascii="Arial" w:eastAsia="Arial" w:hAnsi="Arial" w:cs="Arial"/>
                <w:color w:val="000000"/>
              </w:rPr>
              <w:t>6</w:t>
            </w:r>
            <w:r w:rsidRPr="008E53DC">
              <w:rPr>
                <w:rFonts w:ascii="Arial" w:eastAsia="Arial" w:hAnsi="Arial" w:cs="Arial"/>
                <w:color w:val="000000"/>
              </w:rPr>
              <w:t xml:space="preserve"> (22, 54)</w:t>
            </w:r>
          </w:p>
        </w:tc>
        <w:tc>
          <w:tcPr>
            <w:tcW w:w="12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692DC" w14:textId="44F33A16" w:rsidR="00AB4670" w:rsidRPr="008E53DC" w:rsidRDefault="00331408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39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(2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, 50)</w:t>
            </w:r>
          </w:p>
        </w:tc>
        <w:tc>
          <w:tcPr>
            <w:tcW w:w="12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CDB4F" w14:textId="6C5D109F" w:rsidR="00AB4670" w:rsidRPr="008E53DC" w:rsidRDefault="00331408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40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(28, 54)</w:t>
            </w:r>
          </w:p>
        </w:tc>
        <w:tc>
          <w:tcPr>
            <w:tcW w:w="12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265A4A" w14:textId="268242A0" w:rsidR="00AB4670" w:rsidRPr="008E53DC" w:rsidRDefault="00331408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32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(2</w:t>
            </w:r>
            <w:r>
              <w:rPr>
                <w:rFonts w:ascii="Arial" w:eastAsia="Arial" w:hAnsi="Arial" w:cs="Arial"/>
                <w:color w:val="000000"/>
              </w:rPr>
              <w:t>6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, 41)</w:t>
            </w:r>
          </w:p>
        </w:tc>
        <w:tc>
          <w:tcPr>
            <w:tcW w:w="14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6294A2" w14:textId="262FA3F9" w:rsidR="00AB4670" w:rsidRPr="008E53DC" w:rsidRDefault="00331408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31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(24, </w:t>
            </w:r>
            <w:r>
              <w:rPr>
                <w:rFonts w:ascii="Arial" w:eastAsia="Arial" w:hAnsi="Arial" w:cs="Arial"/>
                <w:color w:val="000000"/>
              </w:rPr>
              <w:t>41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)</w:t>
            </w:r>
          </w:p>
        </w:tc>
      </w:tr>
      <w:tr w:rsidR="00AB4670" w:rsidRPr="008E53DC" w14:paraId="3D7770C8" w14:textId="77777777" w:rsidTr="005F4610">
        <w:trPr>
          <w:gridAfter w:val="1"/>
          <w:wAfter w:w="1079" w:type="dxa"/>
          <w:cantSplit/>
          <w:jc w:val="center"/>
        </w:trPr>
        <w:tc>
          <w:tcPr>
            <w:tcW w:w="24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A21AF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Gender</w:t>
            </w:r>
          </w:p>
        </w:tc>
        <w:tc>
          <w:tcPr>
            <w:tcW w:w="13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AB0B18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</w:p>
        </w:tc>
        <w:tc>
          <w:tcPr>
            <w:tcW w:w="12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D56D5D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</w:p>
        </w:tc>
        <w:tc>
          <w:tcPr>
            <w:tcW w:w="12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D153DD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</w:p>
        </w:tc>
        <w:tc>
          <w:tcPr>
            <w:tcW w:w="12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8B1F47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</w:p>
        </w:tc>
        <w:tc>
          <w:tcPr>
            <w:tcW w:w="14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BA00A" w14:textId="77777777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</w:p>
        </w:tc>
      </w:tr>
      <w:tr w:rsidR="00AB4670" w:rsidRPr="008E53DC" w14:paraId="5D9F2053" w14:textId="77777777" w:rsidTr="005F4610">
        <w:trPr>
          <w:gridAfter w:val="1"/>
          <w:wAfter w:w="1079" w:type="dxa"/>
          <w:cantSplit/>
          <w:jc w:val="center"/>
        </w:trPr>
        <w:tc>
          <w:tcPr>
            <w:tcW w:w="243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2E77A2" w14:textId="77777777" w:rsidR="00AB4670" w:rsidRPr="008E53DC" w:rsidRDefault="00AB4670" w:rsidP="002F7CD9">
            <w:pPr>
              <w:spacing w:before="60" w:after="60" w:line="240" w:lineRule="auto"/>
              <w:ind w:left="30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Female</w:t>
            </w:r>
            <w:r w:rsidRPr="008E53DC">
              <w:rPr>
                <w:rFonts w:ascii="Arial" w:eastAsia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132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0468F" w14:textId="09787824" w:rsidR="00AB4670" w:rsidRPr="008E53DC" w:rsidRDefault="00331408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  <w:r w:rsidR="000B1B7F"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 w:rsidR="000B1B7F">
              <w:rPr>
                <w:rFonts w:ascii="Arial" w:eastAsia="Arial" w:hAnsi="Arial" w:cs="Arial"/>
                <w:color w:val="000000"/>
              </w:rPr>
              <w:t>60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6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FCB72" w14:textId="6082D1F1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6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60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3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C92AE" w14:textId="5A21013D" w:rsidR="00AB4670" w:rsidRPr="008E53DC" w:rsidRDefault="00AB4670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3 (</w:t>
            </w:r>
            <w:r w:rsidR="000B1B7F">
              <w:rPr>
                <w:rFonts w:ascii="Arial" w:eastAsia="Arial" w:hAnsi="Arial" w:cs="Arial"/>
                <w:color w:val="000000"/>
              </w:rPr>
              <w:t>60</w:t>
            </w:r>
            <w:r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8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13F4E0" w14:textId="65E93706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60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4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A62326" w14:textId="79471747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50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</w:tr>
      <w:tr w:rsidR="00AB4670" w:rsidRPr="008E53DC" w14:paraId="68242DD8" w14:textId="77777777" w:rsidTr="00331408">
        <w:trPr>
          <w:gridAfter w:val="1"/>
          <w:wAfter w:w="1079" w:type="dxa"/>
          <w:cantSplit/>
          <w:jc w:val="center"/>
        </w:trPr>
        <w:tc>
          <w:tcPr>
            <w:tcW w:w="2433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A800D9" w14:textId="77777777" w:rsidR="00AB4670" w:rsidRPr="008E53DC" w:rsidRDefault="00AB4670" w:rsidP="002F7CD9">
            <w:pPr>
              <w:spacing w:before="60" w:after="60" w:line="240" w:lineRule="auto"/>
              <w:ind w:left="30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</w:rPr>
              <w:t>Male</w:t>
            </w:r>
            <w:r w:rsidRPr="008E53DC">
              <w:rPr>
                <w:rFonts w:ascii="Arial" w:eastAsia="Arial" w:hAnsi="Arial" w:cs="Arial"/>
                <w:color w:val="000000"/>
                <w:vertAlign w:val="superscript"/>
              </w:rPr>
              <w:t>2</w:t>
            </w:r>
          </w:p>
        </w:tc>
        <w:tc>
          <w:tcPr>
            <w:tcW w:w="132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54AF8" w14:textId="07D21081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8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(4</w:t>
            </w:r>
            <w:r>
              <w:rPr>
                <w:rFonts w:ascii="Arial" w:eastAsia="Arial" w:hAnsi="Arial" w:cs="Arial"/>
                <w:color w:val="000000"/>
              </w:rPr>
              <w:t>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9C02B" w14:textId="3270CE28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4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40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E14AD" w14:textId="52C47EBB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40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8C0FA2" w14:textId="47183FBD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40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08B14" w14:textId="60B928C0" w:rsidR="00AB4670" w:rsidRPr="008E53DC" w:rsidRDefault="000B1B7F" w:rsidP="002F7CD9">
            <w:pPr>
              <w:spacing w:before="60" w:after="60" w:line="240" w:lineRule="auto"/>
              <w:ind w:left="60" w:right="60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 xml:space="preserve"> (</w:t>
            </w:r>
            <w:r>
              <w:rPr>
                <w:rFonts w:ascii="Arial" w:eastAsia="Arial" w:hAnsi="Arial" w:cs="Arial"/>
                <w:color w:val="000000"/>
              </w:rPr>
              <w:t>50</w:t>
            </w:r>
            <w:r w:rsidR="00AB4670" w:rsidRPr="008E53DC">
              <w:rPr>
                <w:rFonts w:ascii="Arial" w:eastAsia="Arial" w:hAnsi="Arial" w:cs="Arial"/>
                <w:color w:val="000000"/>
              </w:rPr>
              <w:t>%)</w:t>
            </w:r>
          </w:p>
        </w:tc>
      </w:tr>
      <w:tr w:rsidR="00AB4670" w:rsidRPr="008E53DC" w14:paraId="6F75387C" w14:textId="77777777" w:rsidTr="005F4610">
        <w:trPr>
          <w:cantSplit/>
          <w:jc w:val="center"/>
        </w:trPr>
        <w:tc>
          <w:tcPr>
            <w:tcW w:w="10063" w:type="dxa"/>
            <w:gridSpan w:val="7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19746" w14:textId="3D2ADE4F" w:rsidR="00AB4670" w:rsidRPr="008E53DC" w:rsidRDefault="00AB4670" w:rsidP="002F7CD9">
            <w:pPr>
              <w:spacing w:before="60" w:after="60" w:line="240" w:lineRule="auto"/>
              <w:ind w:left="60" w:right="60"/>
              <w:rPr>
                <w:rFonts w:ascii="Arial" w:eastAsia="MS Mincho" w:hAnsi="Arial" w:cs="Arial"/>
              </w:rPr>
            </w:pPr>
            <w:r w:rsidRPr="008E53DC">
              <w:rPr>
                <w:rFonts w:ascii="Arial" w:eastAsia="Arial" w:hAnsi="Arial" w:cs="Arial"/>
                <w:color w:val="000000"/>
                <w:vertAlign w:val="superscript"/>
              </w:rPr>
              <w:t>1</w:t>
            </w:r>
            <w:r w:rsidRPr="008E53DC">
              <w:rPr>
                <w:rFonts w:ascii="Arial" w:eastAsia="Arial" w:hAnsi="Arial" w:cs="Arial"/>
                <w:color w:val="000000"/>
              </w:rPr>
              <w:t xml:space="preserve">Median (Range); </w:t>
            </w:r>
            <w:r w:rsidRPr="008E53DC">
              <w:rPr>
                <w:rFonts w:ascii="Arial" w:eastAsia="Arial" w:hAnsi="Arial" w:cs="Arial"/>
                <w:color w:val="000000"/>
                <w:vertAlign w:val="superscript"/>
              </w:rPr>
              <w:t>2</w:t>
            </w:r>
            <w:r w:rsidRPr="008E53DC">
              <w:rPr>
                <w:rFonts w:ascii="Arial" w:eastAsia="Arial" w:hAnsi="Arial" w:cs="Arial"/>
                <w:color w:val="000000"/>
              </w:rPr>
              <w:t>n (%)</w:t>
            </w:r>
            <w:r w:rsidR="00A4529D">
              <w:rPr>
                <w:rFonts w:ascii="Arial" w:eastAsia="Arial" w:hAnsi="Arial" w:cs="Arial"/>
                <w:color w:val="000000"/>
              </w:rPr>
              <w:t>. DL= dose level</w:t>
            </w:r>
          </w:p>
        </w:tc>
      </w:tr>
      <w:bookmarkEnd w:id="0"/>
    </w:tbl>
    <w:p w14:paraId="7F04E800" w14:textId="77777777" w:rsidR="00AB4670" w:rsidRDefault="00AB4670" w:rsidP="00AB4670"/>
    <w:p w14:paraId="50EDE21D" w14:textId="77777777" w:rsidR="00AB4670" w:rsidRDefault="00AB4670"/>
    <w:p w14:paraId="23EC4D5C" w14:textId="502BC18E" w:rsidR="00AB4670" w:rsidRPr="00BC1F3E" w:rsidRDefault="00AB4670" w:rsidP="00AB4670">
      <w:r>
        <w:br w:type="page"/>
      </w:r>
    </w:p>
    <w:p w14:paraId="28715545" w14:textId="609BF265" w:rsidR="00532D5F" w:rsidRDefault="00295398" w:rsidP="00532D5F">
      <w:pPr>
        <w:jc w:val="center"/>
      </w:pPr>
      <w:r>
        <w:rPr>
          <w:noProof/>
        </w:rPr>
        <w:lastRenderedPageBreak/>
        <w:drawing>
          <wp:inline distT="0" distB="0" distL="0" distR="0" wp14:anchorId="7E794415" wp14:editId="433999C7">
            <wp:extent cx="3453765" cy="51206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DC6A" w14:textId="1CE7C0D8" w:rsidR="00532D5F" w:rsidRDefault="00004C75" w:rsidP="00CF0C1D">
      <w:pPr>
        <w:jc w:val="both"/>
        <w:rPr>
          <w:rFonts w:ascii="Arial" w:hAnsi="Arial" w:cs="Arial"/>
        </w:rPr>
      </w:pPr>
      <w:bookmarkStart w:id="1" w:name="OLE_LINK1"/>
      <w:r w:rsidRPr="00004C75">
        <w:rPr>
          <w:rFonts w:ascii="Arial" w:hAnsi="Arial" w:cs="Arial"/>
          <w:b/>
          <w:bCs/>
        </w:rPr>
        <w:t xml:space="preserve">Figure S1. </w:t>
      </w:r>
      <w:r w:rsidR="006934D1">
        <w:rPr>
          <w:rFonts w:ascii="Arial" w:hAnsi="Arial" w:cs="Arial"/>
          <w:b/>
          <w:bCs/>
        </w:rPr>
        <w:t xml:space="preserve">Related to Figure 1. </w:t>
      </w:r>
      <w:r w:rsidR="00D73ED7">
        <w:rPr>
          <w:rFonts w:ascii="Arial" w:hAnsi="Arial" w:cs="Arial"/>
          <w:b/>
          <w:bCs/>
        </w:rPr>
        <w:t>MVA</w:t>
      </w:r>
      <w:r w:rsidRPr="00004C75">
        <w:rPr>
          <w:rFonts w:ascii="Arial" w:hAnsi="Arial" w:cs="Arial"/>
          <w:b/>
          <w:bCs/>
        </w:rPr>
        <w:t xml:space="preserve">-specific binding </w:t>
      </w:r>
      <w:r w:rsidR="00693998">
        <w:rPr>
          <w:rFonts w:ascii="Arial" w:hAnsi="Arial" w:cs="Arial"/>
          <w:b/>
          <w:bCs/>
        </w:rPr>
        <w:t xml:space="preserve">IgG in </w:t>
      </w:r>
      <w:r w:rsidR="00D73ED7" w:rsidRPr="00004C75">
        <w:rPr>
          <w:rFonts w:ascii="Arial" w:hAnsi="Arial" w:cs="Arial"/>
          <w:b/>
          <w:bCs/>
        </w:rPr>
        <w:t xml:space="preserve">COH04S1 </w:t>
      </w:r>
      <w:r w:rsidR="00693998">
        <w:rPr>
          <w:rFonts w:ascii="Arial" w:hAnsi="Arial" w:cs="Arial"/>
          <w:b/>
          <w:bCs/>
        </w:rPr>
        <w:t>vaccinees</w:t>
      </w:r>
      <w:r w:rsidRPr="00004C75">
        <w:rPr>
          <w:rFonts w:ascii="Arial" w:hAnsi="Arial" w:cs="Arial"/>
          <w:b/>
          <w:bCs/>
        </w:rPr>
        <w:t xml:space="preserve">. </w:t>
      </w:r>
      <w:r w:rsidR="00D73ED7" w:rsidRPr="00D73ED7">
        <w:rPr>
          <w:rFonts w:ascii="Arial" w:hAnsi="Arial" w:cs="Arial"/>
        </w:rPr>
        <w:t>MVA-specific</w:t>
      </w:r>
      <w:r w:rsidR="00D73ED7">
        <w:rPr>
          <w:rFonts w:ascii="Arial" w:hAnsi="Arial" w:cs="Arial"/>
          <w:b/>
          <w:bCs/>
        </w:rPr>
        <w:t xml:space="preserve"> </w:t>
      </w:r>
      <w:r w:rsidR="00D73ED7">
        <w:rPr>
          <w:rFonts w:ascii="Arial" w:hAnsi="Arial" w:cs="Arial"/>
        </w:rPr>
        <w:t>b</w:t>
      </w:r>
      <w:r w:rsidR="00CF0C1D" w:rsidRPr="00CF0C1D">
        <w:rPr>
          <w:rFonts w:ascii="Arial" w:hAnsi="Arial" w:cs="Arial"/>
        </w:rPr>
        <w:t xml:space="preserve">inding </w:t>
      </w:r>
      <w:r w:rsidR="009E79E0">
        <w:rPr>
          <w:rFonts w:ascii="Arial" w:hAnsi="Arial" w:cs="Arial"/>
        </w:rPr>
        <w:t xml:space="preserve">IgG </w:t>
      </w:r>
      <w:r w:rsidR="00CF0C1D" w:rsidRPr="00CF0C1D">
        <w:rPr>
          <w:rFonts w:ascii="Arial" w:hAnsi="Arial" w:cs="Arial"/>
        </w:rPr>
        <w:t xml:space="preserve">were measured by ELISA </w:t>
      </w:r>
      <w:bookmarkStart w:id="2" w:name="_Hlk106890824"/>
      <w:r w:rsidR="00D73ED7">
        <w:rPr>
          <w:rFonts w:ascii="Arial" w:hAnsi="Arial" w:cs="Arial"/>
        </w:rPr>
        <w:t>in subjects before vaccination</w:t>
      </w:r>
      <w:r w:rsidR="00D73ED7" w:rsidRPr="005753E2">
        <w:rPr>
          <w:rFonts w:ascii="Arial" w:hAnsi="Arial" w:cs="Arial"/>
        </w:rPr>
        <w:t xml:space="preserve">, </w:t>
      </w:r>
      <w:bookmarkEnd w:id="1"/>
      <w:r w:rsidR="00D73ED7" w:rsidRPr="005753E2">
        <w:rPr>
          <w:rFonts w:ascii="Arial" w:hAnsi="Arial" w:cs="Arial"/>
        </w:rPr>
        <w:t>post-prime</w:t>
      </w:r>
      <w:r w:rsidR="00C25DA3">
        <w:rPr>
          <w:rFonts w:ascii="Arial" w:hAnsi="Arial" w:cs="Arial"/>
        </w:rPr>
        <w:t xml:space="preserve"> vaccination</w:t>
      </w:r>
      <w:r w:rsidR="00D73ED7">
        <w:rPr>
          <w:rFonts w:ascii="Arial" w:hAnsi="Arial" w:cs="Arial"/>
        </w:rPr>
        <w:t xml:space="preserve">, and </w:t>
      </w:r>
      <w:r w:rsidR="00C25DA3">
        <w:rPr>
          <w:rFonts w:ascii="Arial" w:hAnsi="Arial" w:cs="Arial"/>
        </w:rPr>
        <w:t xml:space="preserve">at </w:t>
      </w:r>
      <w:r w:rsidR="00D73ED7">
        <w:rPr>
          <w:rFonts w:ascii="Arial" w:hAnsi="Arial" w:cs="Arial"/>
        </w:rPr>
        <w:t xml:space="preserve">one and five months post-booster vaccination with COH04S1 </w:t>
      </w:r>
      <w:r w:rsidR="00187417" w:rsidRPr="00187417">
        <w:rPr>
          <w:rFonts w:ascii="Arial" w:hAnsi="Arial" w:cs="Arial"/>
        </w:rPr>
        <w:t>at dose-level (DL) 1 (DL1/DL1 and DL1/placebo/DL1), DL2 (DL2/DL2), and DL3 (DL3/DL3)</w:t>
      </w:r>
      <w:r w:rsidR="00D73ED7">
        <w:rPr>
          <w:rFonts w:ascii="Arial" w:hAnsi="Arial" w:cs="Arial"/>
        </w:rPr>
        <w:t>.</w:t>
      </w:r>
      <w:bookmarkEnd w:id="2"/>
      <w:r w:rsidR="00D73ED7">
        <w:rPr>
          <w:rFonts w:ascii="Arial" w:hAnsi="Arial" w:cs="Arial"/>
        </w:rPr>
        <w:t xml:space="preserve"> </w:t>
      </w:r>
      <w:bookmarkStart w:id="3" w:name="_Hlk106890901"/>
      <w:r w:rsidR="00D73ED7">
        <w:rPr>
          <w:rFonts w:ascii="Arial" w:hAnsi="Arial" w:cs="Arial"/>
        </w:rPr>
        <w:t xml:space="preserve">Subjects who received placebo vaccination were used as negative controls. </w:t>
      </w:r>
      <w:bookmarkEnd w:id="3"/>
      <w:r w:rsidR="00CF0C1D" w:rsidRPr="00CF0C1D">
        <w:rPr>
          <w:rFonts w:ascii="Arial" w:hAnsi="Arial" w:cs="Arial"/>
        </w:rPr>
        <w:t xml:space="preserve">Shown are the </w:t>
      </w:r>
      <w:r w:rsidR="00D73ED7">
        <w:rPr>
          <w:rFonts w:ascii="Arial" w:hAnsi="Arial" w:cs="Arial"/>
        </w:rPr>
        <w:t>absorbance readings (OD) at 450 nm using serial dilutions of the serum.</w:t>
      </w:r>
      <w:r w:rsidR="00CF0C1D" w:rsidRPr="00CF0C1D">
        <w:rPr>
          <w:rFonts w:ascii="Arial" w:hAnsi="Arial" w:cs="Arial"/>
        </w:rPr>
        <w:t xml:space="preserve"> </w:t>
      </w:r>
    </w:p>
    <w:p w14:paraId="40E35A20" w14:textId="77777777" w:rsidR="00532D5F" w:rsidRDefault="00532D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A025EA" w14:textId="7FDF9366" w:rsidR="00532D5F" w:rsidRDefault="00295398" w:rsidP="00532D5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92435A4" wp14:editId="73F9CBAF">
            <wp:extent cx="3523805" cy="5120640"/>
            <wp:effectExtent l="0" t="0" r="63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05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71282" w14:textId="0E4CEF29" w:rsidR="00532D5F" w:rsidRDefault="00532D5F" w:rsidP="00532D5F">
      <w:pPr>
        <w:jc w:val="both"/>
        <w:rPr>
          <w:rFonts w:ascii="Arial" w:hAnsi="Arial" w:cs="Arial"/>
        </w:rPr>
      </w:pPr>
      <w:r w:rsidRPr="00004C75">
        <w:rPr>
          <w:rFonts w:ascii="Arial" w:hAnsi="Arial" w:cs="Arial"/>
          <w:b/>
          <w:bCs/>
        </w:rPr>
        <w:t>Figure S</w:t>
      </w:r>
      <w:r w:rsidR="00C75B55">
        <w:rPr>
          <w:rFonts w:ascii="Arial" w:hAnsi="Arial" w:cs="Arial"/>
          <w:b/>
          <w:bCs/>
        </w:rPr>
        <w:t>2</w:t>
      </w:r>
      <w:r w:rsidRPr="00004C75">
        <w:rPr>
          <w:rFonts w:ascii="Arial" w:hAnsi="Arial" w:cs="Arial"/>
          <w:b/>
          <w:bCs/>
        </w:rPr>
        <w:t>.</w:t>
      </w:r>
      <w:r w:rsidR="006934D1">
        <w:rPr>
          <w:rFonts w:ascii="Arial" w:hAnsi="Arial" w:cs="Arial"/>
          <w:b/>
          <w:bCs/>
        </w:rPr>
        <w:t xml:space="preserve"> Related to Figure 2.</w:t>
      </w:r>
      <w:r w:rsidRPr="00004C75">
        <w:rPr>
          <w:rFonts w:ascii="Arial" w:hAnsi="Arial" w:cs="Arial"/>
          <w:b/>
          <w:bCs/>
        </w:rPr>
        <w:t xml:space="preserve"> </w:t>
      </w:r>
      <w:r w:rsidR="00303A69">
        <w:rPr>
          <w:rFonts w:ascii="Arial" w:hAnsi="Arial" w:cs="Arial"/>
          <w:b/>
          <w:bCs/>
        </w:rPr>
        <w:t>MVA</w:t>
      </w:r>
      <w:r w:rsidRPr="00004C75">
        <w:rPr>
          <w:rFonts w:ascii="Arial" w:hAnsi="Arial" w:cs="Arial"/>
          <w:b/>
          <w:bCs/>
        </w:rPr>
        <w:t xml:space="preserve">-specific </w:t>
      </w:r>
      <w:r w:rsidR="00303A69">
        <w:rPr>
          <w:rFonts w:ascii="Arial" w:hAnsi="Arial" w:cs="Arial"/>
          <w:b/>
          <w:bCs/>
        </w:rPr>
        <w:t>NAb</w:t>
      </w:r>
      <w:r>
        <w:rPr>
          <w:rFonts w:ascii="Arial" w:hAnsi="Arial" w:cs="Arial"/>
          <w:b/>
          <w:bCs/>
        </w:rPr>
        <w:t xml:space="preserve"> </w:t>
      </w:r>
      <w:r w:rsidR="00602972">
        <w:rPr>
          <w:rFonts w:ascii="Arial" w:hAnsi="Arial" w:cs="Arial"/>
          <w:b/>
          <w:bCs/>
        </w:rPr>
        <w:t xml:space="preserve">titers </w:t>
      </w:r>
      <w:r w:rsidR="001E6CC9">
        <w:rPr>
          <w:rFonts w:ascii="Arial" w:hAnsi="Arial" w:cs="Arial"/>
          <w:b/>
          <w:bCs/>
        </w:rPr>
        <w:t xml:space="preserve">in </w:t>
      </w:r>
      <w:r w:rsidRPr="00004C75">
        <w:rPr>
          <w:rFonts w:ascii="Arial" w:hAnsi="Arial" w:cs="Arial"/>
          <w:b/>
          <w:bCs/>
        </w:rPr>
        <w:t>COH04S1</w:t>
      </w:r>
      <w:r w:rsidR="001E6CC9">
        <w:rPr>
          <w:rFonts w:ascii="Arial" w:hAnsi="Arial" w:cs="Arial"/>
          <w:b/>
          <w:bCs/>
        </w:rPr>
        <w:t xml:space="preserve"> vaccinees.</w:t>
      </w:r>
      <w:r w:rsidR="00303A69">
        <w:rPr>
          <w:rFonts w:ascii="Arial" w:hAnsi="Arial" w:cs="Arial"/>
          <w:b/>
          <w:bCs/>
        </w:rPr>
        <w:t xml:space="preserve"> </w:t>
      </w:r>
      <w:r w:rsidR="00303A69">
        <w:rPr>
          <w:rFonts w:ascii="Arial" w:hAnsi="Arial" w:cs="Arial"/>
        </w:rPr>
        <w:t>MVA-specific NAb were measured using</w:t>
      </w:r>
      <w:r w:rsidR="00303A69" w:rsidRPr="00303A69">
        <w:rPr>
          <w:rFonts w:ascii="Arial" w:hAnsi="Arial" w:cs="Arial"/>
        </w:rPr>
        <w:t xml:space="preserve"> a high-thruput neutralization assay</w:t>
      </w:r>
      <w:r w:rsidR="00303A69">
        <w:rPr>
          <w:rFonts w:ascii="Arial" w:hAnsi="Arial" w:cs="Arial"/>
        </w:rPr>
        <w:t xml:space="preserve"> in serum samples of</w:t>
      </w:r>
      <w:r w:rsidR="00303A69" w:rsidRPr="00303A69">
        <w:rPr>
          <w:rFonts w:ascii="Arial" w:hAnsi="Arial" w:cs="Arial"/>
        </w:rPr>
        <w:t xml:space="preserve"> subjects before vaccination, </w:t>
      </w:r>
      <w:r w:rsidR="005753E2" w:rsidRPr="005753E2">
        <w:rPr>
          <w:rFonts w:ascii="Arial" w:hAnsi="Arial" w:cs="Arial"/>
        </w:rPr>
        <w:t>post-prime</w:t>
      </w:r>
      <w:r w:rsidR="005753E2">
        <w:rPr>
          <w:rFonts w:ascii="Arial" w:hAnsi="Arial" w:cs="Arial"/>
        </w:rPr>
        <w:t xml:space="preserve"> vaccination</w:t>
      </w:r>
      <w:r w:rsidR="00303A69" w:rsidRPr="00303A69">
        <w:rPr>
          <w:rFonts w:ascii="Arial" w:hAnsi="Arial" w:cs="Arial"/>
        </w:rPr>
        <w:t xml:space="preserve">, and </w:t>
      </w:r>
      <w:r w:rsidR="001E6CC9">
        <w:rPr>
          <w:rFonts w:ascii="Arial" w:hAnsi="Arial" w:cs="Arial"/>
        </w:rPr>
        <w:t xml:space="preserve">at </w:t>
      </w:r>
      <w:r w:rsidR="00303A69" w:rsidRPr="00303A69">
        <w:rPr>
          <w:rFonts w:ascii="Arial" w:hAnsi="Arial" w:cs="Arial"/>
        </w:rPr>
        <w:t xml:space="preserve">one and five months post-booster vaccinations with COH04S1 at dose-level (DL) 1 (DL1/DL1 and DL1/placebo/DL1), DL2 (DL2/DL2), and DL3 (DL3/DL3). Subjects who received placebo vaccination were used as negative controls. </w:t>
      </w:r>
      <w:r w:rsidR="00303A69">
        <w:rPr>
          <w:rFonts w:ascii="Arial" w:hAnsi="Arial" w:cs="Arial"/>
        </w:rPr>
        <w:t xml:space="preserve">Shown are percentages of neutralization using serial dilutions of serum. Dotted lines mark the 50% neutralization used to </w:t>
      </w:r>
      <w:r w:rsidR="005753E2">
        <w:rPr>
          <w:rFonts w:ascii="Arial" w:hAnsi="Arial" w:cs="Arial"/>
        </w:rPr>
        <w:t xml:space="preserve">derive </w:t>
      </w:r>
      <w:r w:rsidR="00303A69">
        <w:rPr>
          <w:rFonts w:ascii="Arial" w:hAnsi="Arial" w:cs="Arial"/>
        </w:rPr>
        <w:t>NT50 titer</w:t>
      </w:r>
      <w:r w:rsidR="003C4F6F">
        <w:rPr>
          <w:rFonts w:ascii="Arial" w:hAnsi="Arial" w:cs="Arial"/>
        </w:rPr>
        <w:t>s</w:t>
      </w:r>
      <w:r w:rsidR="00303A69">
        <w:rPr>
          <w:rFonts w:ascii="Arial" w:hAnsi="Arial" w:cs="Arial"/>
        </w:rPr>
        <w:t xml:space="preserve">. </w:t>
      </w:r>
      <w:r w:rsidR="00303A69" w:rsidRPr="00303A69">
        <w:rPr>
          <w:rFonts w:ascii="Arial" w:hAnsi="Arial" w:cs="Arial"/>
        </w:rPr>
        <w:t xml:space="preserve"> </w:t>
      </w:r>
      <w:r w:rsidR="00303A69">
        <w:rPr>
          <w:rFonts w:ascii="Arial" w:hAnsi="Arial" w:cs="Arial"/>
        </w:rPr>
        <w:t xml:space="preserve"> </w:t>
      </w:r>
    </w:p>
    <w:p w14:paraId="78063D22" w14:textId="1ADB41C6" w:rsidR="0091296B" w:rsidRDefault="0091296B" w:rsidP="00532D5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E978EC2" w14:textId="41688036" w:rsidR="00CF0C1D" w:rsidRDefault="00CF0C1D" w:rsidP="005070BF">
      <w:pPr>
        <w:jc w:val="center"/>
        <w:rPr>
          <w:rFonts w:ascii="Arial" w:hAnsi="Arial" w:cs="Arial"/>
        </w:rPr>
      </w:pPr>
    </w:p>
    <w:p w14:paraId="7E4F2CA9" w14:textId="03FC983A" w:rsidR="006934D1" w:rsidRDefault="006934D1" w:rsidP="005070BF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51F5CE7" wp14:editId="6F4DF7FD">
            <wp:extent cx="5943600" cy="46920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C7455" w14:textId="43522C72" w:rsidR="006934D1" w:rsidRPr="006934D1" w:rsidRDefault="006934D1" w:rsidP="006934D1">
      <w:pPr>
        <w:jc w:val="both"/>
        <w:rPr>
          <w:rFonts w:ascii="Arial" w:hAnsi="Arial" w:cs="Arial"/>
        </w:rPr>
      </w:pPr>
      <w:bookmarkStart w:id="4" w:name="OLE_LINK2"/>
      <w:r w:rsidRPr="00585271">
        <w:rPr>
          <w:rFonts w:ascii="Arial" w:hAnsi="Arial" w:cs="Arial"/>
          <w:b/>
          <w:bCs/>
        </w:rPr>
        <w:t xml:space="preserve">Figure S3. Related to Figure 3. </w:t>
      </w:r>
      <w:r w:rsidR="00585271" w:rsidRPr="005753E2">
        <w:rPr>
          <w:rFonts w:ascii="Arial" w:hAnsi="Arial" w:cs="Arial"/>
          <w:b/>
          <w:bCs/>
        </w:rPr>
        <w:t>MVA-specific T cell response in COH04S1 vaccinees</w:t>
      </w:r>
      <w:r w:rsidR="00585271">
        <w:rPr>
          <w:rFonts w:ascii="Arial" w:hAnsi="Arial" w:cs="Arial"/>
          <w:b/>
          <w:bCs/>
        </w:rPr>
        <w:t xml:space="preserve">. </w:t>
      </w:r>
      <w:r w:rsidRPr="005753E2">
        <w:rPr>
          <w:rFonts w:ascii="Arial" w:hAnsi="Arial" w:cs="Arial"/>
        </w:rPr>
        <w:t xml:space="preserve">Gating strategy. </w:t>
      </w:r>
      <w:r w:rsidRPr="006934D1">
        <w:rPr>
          <w:rFonts w:ascii="Arial" w:hAnsi="Arial" w:cs="Arial"/>
        </w:rPr>
        <w:t xml:space="preserve">Shown is the gating strategy used to identify </w:t>
      </w:r>
      <w:r>
        <w:rPr>
          <w:rFonts w:ascii="Arial" w:hAnsi="Arial" w:cs="Arial"/>
        </w:rPr>
        <w:t>MVA-specific T cells. Gating was performed on single cells&gt;lymphocytes&gt;live cells&gt;CD3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cells&gt;</w:t>
      </w:r>
      <w:r w:rsidRPr="006934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CD8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or CD4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cells&gt;</w:t>
      </w:r>
      <w:r w:rsidRPr="006934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CD107a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/IFNγ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or CD69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/IFNγ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cells. CD69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/IFNγ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double positive cells were used to identify CD8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and CD4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T cell </w:t>
      </w:r>
      <w:r w:rsidR="009419C6">
        <w:rPr>
          <w:rFonts w:ascii="Arial" w:hAnsi="Arial" w:cs="Arial"/>
        </w:rPr>
        <w:t xml:space="preserve">memory </w:t>
      </w:r>
      <w:r>
        <w:rPr>
          <w:rFonts w:ascii="Arial" w:hAnsi="Arial" w:cs="Arial"/>
        </w:rPr>
        <w:t>subsets. Naïve cells were identified as CCR7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/CD45RA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; </w:t>
      </w:r>
      <w:r w:rsidRPr="006934D1">
        <w:rPr>
          <w:rFonts w:ascii="Arial" w:hAnsi="Arial" w:cs="Arial"/>
        </w:rPr>
        <w:t>central memory (T</w:t>
      </w:r>
      <w:r w:rsidRPr="006934D1">
        <w:rPr>
          <w:rFonts w:ascii="Arial" w:hAnsi="Arial" w:cs="Arial"/>
          <w:vertAlign w:val="subscript"/>
        </w:rPr>
        <w:t>CM</w:t>
      </w:r>
      <w:r w:rsidRPr="006934D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cells were identified as CCR7</w:t>
      </w:r>
      <w:r w:rsidRPr="006934D1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/CD45RA</w:t>
      </w:r>
      <w:r>
        <w:rPr>
          <w:rFonts w:ascii="Arial" w:hAnsi="Arial" w:cs="Arial"/>
          <w:vertAlign w:val="superscript"/>
        </w:rPr>
        <w:t>-</w:t>
      </w:r>
      <w:r w:rsidRPr="006934D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effector</w:t>
      </w:r>
      <w:r w:rsidRPr="006934D1">
        <w:rPr>
          <w:rFonts w:ascii="Arial" w:hAnsi="Arial" w:cs="Arial"/>
        </w:rPr>
        <w:t xml:space="preserve"> memory (T</w:t>
      </w:r>
      <w:r>
        <w:rPr>
          <w:rFonts w:ascii="Arial" w:hAnsi="Arial" w:cs="Arial"/>
          <w:vertAlign w:val="subscript"/>
        </w:rPr>
        <w:t>E</w:t>
      </w:r>
      <w:r w:rsidRPr="006934D1">
        <w:rPr>
          <w:rFonts w:ascii="Arial" w:hAnsi="Arial" w:cs="Arial"/>
          <w:vertAlign w:val="subscript"/>
        </w:rPr>
        <w:t>M</w:t>
      </w:r>
      <w:r w:rsidRPr="006934D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cells were identified as CCR7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/CD45RA</w:t>
      </w:r>
      <w:r>
        <w:rPr>
          <w:rFonts w:ascii="Arial" w:hAnsi="Arial" w:cs="Arial"/>
          <w:vertAlign w:val="superscript"/>
        </w:rPr>
        <w:t>-</w:t>
      </w:r>
      <w:r w:rsidRPr="006934D1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and terminally differentiated effector</w:t>
      </w:r>
      <w:r w:rsidRPr="006934D1">
        <w:rPr>
          <w:rFonts w:ascii="Arial" w:hAnsi="Arial" w:cs="Arial"/>
        </w:rPr>
        <w:t xml:space="preserve"> memory (T</w:t>
      </w:r>
      <w:r>
        <w:rPr>
          <w:rFonts w:ascii="Arial" w:hAnsi="Arial" w:cs="Arial"/>
          <w:vertAlign w:val="subscript"/>
        </w:rPr>
        <w:t>EMRA</w:t>
      </w:r>
      <w:r w:rsidRPr="006934D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cells were identified as CCR7</w:t>
      </w:r>
      <w:r>
        <w:rPr>
          <w:rFonts w:ascii="Arial" w:hAnsi="Arial" w:cs="Arial"/>
          <w:vertAlign w:val="superscript"/>
        </w:rPr>
        <w:t>-</w:t>
      </w:r>
      <w:r>
        <w:rPr>
          <w:rFonts w:ascii="Arial" w:hAnsi="Arial" w:cs="Arial"/>
        </w:rPr>
        <w:t>/CD45RA</w:t>
      </w:r>
      <w:r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.</w:t>
      </w:r>
    </w:p>
    <w:bookmarkEnd w:id="4"/>
    <w:p w14:paraId="0439EEC6" w14:textId="77777777" w:rsidR="006934D1" w:rsidRDefault="006934D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530E4D0" w14:textId="434E0C4F" w:rsidR="006934D1" w:rsidRDefault="006934D1" w:rsidP="006934D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2917E4F" wp14:editId="31D59CCE">
            <wp:extent cx="4950427" cy="6646460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35" cy="664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BC03" w14:textId="3362389F" w:rsidR="006934D1" w:rsidRPr="006934D1" w:rsidRDefault="006934D1" w:rsidP="006934D1">
      <w:pPr>
        <w:jc w:val="both"/>
        <w:rPr>
          <w:rFonts w:ascii="Arial" w:hAnsi="Arial" w:cs="Arial"/>
          <w:b/>
          <w:bCs/>
        </w:rPr>
      </w:pPr>
      <w:r w:rsidRPr="00585271">
        <w:rPr>
          <w:rFonts w:ascii="Arial" w:hAnsi="Arial" w:cs="Arial"/>
          <w:b/>
          <w:bCs/>
        </w:rPr>
        <w:t xml:space="preserve">Figure S4. </w:t>
      </w:r>
      <w:r w:rsidR="0064216B" w:rsidRPr="00EF043B">
        <w:rPr>
          <w:rFonts w:ascii="Arial" w:hAnsi="Arial" w:cs="Arial"/>
          <w:b/>
          <w:bCs/>
        </w:rPr>
        <w:t xml:space="preserve">Related to Figure 3. </w:t>
      </w:r>
      <w:r w:rsidR="00585271" w:rsidRPr="005753E2">
        <w:rPr>
          <w:rFonts w:ascii="Arial" w:hAnsi="Arial" w:cs="Arial"/>
          <w:b/>
          <w:bCs/>
        </w:rPr>
        <w:t>MVA-specific T cell response in COH04S1 vaccinees</w:t>
      </w:r>
      <w:r w:rsidR="00585271">
        <w:rPr>
          <w:rFonts w:ascii="Arial" w:hAnsi="Arial" w:cs="Arial"/>
          <w:b/>
          <w:bCs/>
        </w:rPr>
        <w:t xml:space="preserve">. </w:t>
      </w:r>
      <w:r w:rsidRPr="005753E2">
        <w:rPr>
          <w:rFonts w:ascii="Arial" w:hAnsi="Arial" w:cs="Arial"/>
        </w:rPr>
        <w:t>Example of T cell analysis.</w:t>
      </w:r>
      <w:r>
        <w:rPr>
          <w:rFonts w:ascii="Arial" w:hAnsi="Arial" w:cs="Arial"/>
          <w:b/>
          <w:bCs/>
        </w:rPr>
        <w:t xml:space="preserve"> </w:t>
      </w:r>
      <w:r w:rsidRPr="006934D1">
        <w:rPr>
          <w:rFonts w:ascii="Arial" w:hAnsi="Arial" w:cs="Arial"/>
        </w:rPr>
        <w:t xml:space="preserve">Shown </w:t>
      </w:r>
      <w:r>
        <w:rPr>
          <w:rFonts w:ascii="Arial" w:hAnsi="Arial" w:cs="Arial"/>
        </w:rPr>
        <w:t>is an example of gating of double positive CD107a</w:t>
      </w:r>
      <w:r w:rsidR="009419C6" w:rsidRPr="009419C6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/CD69</w:t>
      </w:r>
      <w:r w:rsidR="009419C6" w:rsidRPr="009419C6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and IFNγ</w:t>
      </w:r>
      <w:r w:rsidR="009419C6" w:rsidRPr="009419C6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 xml:space="preserve"> </w:t>
      </w:r>
      <w:r w:rsidRPr="006934D1">
        <w:rPr>
          <w:rFonts w:ascii="Arial" w:hAnsi="Arial" w:cs="Arial"/>
        </w:rPr>
        <w:t>CD8</w:t>
      </w:r>
      <w:r w:rsidRPr="005753E2">
        <w:rPr>
          <w:rFonts w:ascii="Arial" w:hAnsi="Arial" w:cs="Arial"/>
          <w:vertAlign w:val="superscript"/>
        </w:rPr>
        <w:t xml:space="preserve">+ </w:t>
      </w:r>
      <w:r w:rsidRPr="006934D1"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or</w:t>
      </w:r>
      <w:r w:rsidRPr="006934D1">
        <w:rPr>
          <w:rFonts w:ascii="Arial" w:hAnsi="Arial" w:cs="Arial"/>
        </w:rPr>
        <w:t xml:space="preserve"> CD4</w:t>
      </w:r>
      <w:r w:rsidRPr="006934D1">
        <w:rPr>
          <w:rFonts w:ascii="Arial" w:hAnsi="Arial" w:cs="Arial"/>
          <w:vertAlign w:val="superscript"/>
        </w:rPr>
        <w:t>+</w:t>
      </w:r>
      <w:r w:rsidRPr="006934D1">
        <w:rPr>
          <w:rFonts w:ascii="Arial" w:hAnsi="Arial" w:cs="Arial"/>
        </w:rPr>
        <w:t xml:space="preserve"> (B)</w:t>
      </w:r>
      <w:r>
        <w:rPr>
          <w:rFonts w:ascii="Arial" w:hAnsi="Arial" w:cs="Arial"/>
        </w:rPr>
        <w:t xml:space="preserve"> T cells measured in </w:t>
      </w:r>
      <w:r w:rsidRPr="006934D1">
        <w:rPr>
          <w:rFonts w:ascii="Arial" w:hAnsi="Arial" w:cs="Arial"/>
        </w:rPr>
        <w:t>unstimulated or MVA-stimulated</w:t>
      </w:r>
      <w:r>
        <w:rPr>
          <w:rFonts w:ascii="Arial" w:hAnsi="Arial" w:cs="Arial"/>
        </w:rPr>
        <w:t xml:space="preserve"> PBMC samples of</w:t>
      </w:r>
      <w:r>
        <w:rPr>
          <w:rFonts w:ascii="Arial" w:hAnsi="Arial" w:cs="Arial"/>
          <w:b/>
          <w:bCs/>
        </w:rPr>
        <w:t xml:space="preserve"> </w:t>
      </w:r>
      <w:r w:rsidRPr="006934D1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volunteer </w:t>
      </w:r>
      <w:r w:rsidR="009419C6">
        <w:rPr>
          <w:rFonts w:ascii="Arial" w:hAnsi="Arial" w:cs="Arial"/>
        </w:rPr>
        <w:t>(</w:t>
      </w:r>
      <w:r w:rsidR="005753E2">
        <w:rPr>
          <w:rFonts w:ascii="Arial" w:hAnsi="Arial" w:cs="Arial"/>
        </w:rPr>
        <w:t>DL1</w:t>
      </w:r>
      <w:r w:rsidR="009419C6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before and after vaccination</w:t>
      </w:r>
      <w:r w:rsidRPr="006934D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with COH04S1. </w:t>
      </w:r>
      <w:r>
        <w:rPr>
          <w:rFonts w:ascii="Arial" w:hAnsi="Arial" w:cs="Arial"/>
          <w:b/>
          <w:bCs/>
        </w:rPr>
        <w:t xml:space="preserve"> </w:t>
      </w:r>
      <w:r w:rsidRPr="006934D1">
        <w:rPr>
          <w:rFonts w:ascii="Arial" w:hAnsi="Arial" w:cs="Arial"/>
          <w:b/>
          <w:bCs/>
        </w:rPr>
        <w:t xml:space="preserve"> </w:t>
      </w:r>
    </w:p>
    <w:p w14:paraId="1C12F1D0" w14:textId="0E984FCC" w:rsidR="006934D1" w:rsidRDefault="006934D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8E7788D" w14:textId="241122D3" w:rsidR="006934D1" w:rsidRDefault="001B24B5" w:rsidP="006934D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0361675B" wp14:editId="79B4B1AD">
            <wp:extent cx="5947410" cy="3160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EE4A4" w14:textId="723FE014" w:rsidR="001B24B5" w:rsidRDefault="006934D1" w:rsidP="006934D1">
      <w:pPr>
        <w:jc w:val="both"/>
        <w:rPr>
          <w:rFonts w:ascii="Arial" w:hAnsi="Arial" w:cs="Arial"/>
        </w:rPr>
      </w:pPr>
      <w:r w:rsidRPr="00EF043B">
        <w:rPr>
          <w:rFonts w:ascii="Arial" w:hAnsi="Arial" w:cs="Arial"/>
          <w:b/>
          <w:bCs/>
        </w:rPr>
        <w:t xml:space="preserve">Figure S5. </w:t>
      </w:r>
      <w:r w:rsidR="0064216B" w:rsidRPr="00EF043B">
        <w:rPr>
          <w:rFonts w:ascii="Arial" w:hAnsi="Arial" w:cs="Arial"/>
          <w:b/>
          <w:bCs/>
        </w:rPr>
        <w:t xml:space="preserve">Related to Figure 3. </w:t>
      </w:r>
      <w:r w:rsidR="00EF043B" w:rsidRPr="005753E2">
        <w:rPr>
          <w:rFonts w:ascii="Arial" w:hAnsi="Arial" w:cs="Arial"/>
          <w:b/>
          <w:bCs/>
        </w:rPr>
        <w:t>MVA-specific T cell response in COH04S1 vaccinees</w:t>
      </w:r>
      <w:r w:rsidR="00EF043B">
        <w:rPr>
          <w:rFonts w:ascii="Arial" w:hAnsi="Arial" w:cs="Arial"/>
          <w:b/>
          <w:bCs/>
        </w:rPr>
        <w:t xml:space="preserve">. </w:t>
      </w:r>
      <w:r w:rsidR="00EF043B" w:rsidRPr="005753E2">
        <w:rPr>
          <w:rFonts w:ascii="Arial" w:hAnsi="Arial" w:cs="Arial"/>
        </w:rPr>
        <w:t xml:space="preserve">Shown are </w:t>
      </w:r>
      <w:r w:rsidR="00EF043B">
        <w:rPr>
          <w:rFonts w:ascii="Arial" w:hAnsi="Arial" w:cs="Arial"/>
        </w:rPr>
        <w:t>a</w:t>
      </w:r>
      <w:r w:rsidR="00EF043B" w:rsidRPr="005753E2">
        <w:rPr>
          <w:rFonts w:ascii="Arial" w:hAnsi="Arial" w:cs="Arial"/>
        </w:rPr>
        <w:t xml:space="preserve">ctivated </w:t>
      </w:r>
      <w:r w:rsidRPr="005753E2">
        <w:rPr>
          <w:rFonts w:ascii="Arial" w:hAnsi="Arial" w:cs="Arial"/>
        </w:rPr>
        <w:t>MVA-specific T cells after vaccination with COH04S1.</w:t>
      </w:r>
      <w:r w:rsidR="00537C49">
        <w:rPr>
          <w:rFonts w:ascii="Arial" w:hAnsi="Arial" w:cs="Arial"/>
          <w:b/>
          <w:bCs/>
        </w:rPr>
        <w:t xml:space="preserve"> </w:t>
      </w:r>
      <w:r w:rsidR="00537C49" w:rsidRPr="00537C49">
        <w:rPr>
          <w:rFonts w:ascii="Arial" w:hAnsi="Arial" w:cs="Arial"/>
        </w:rPr>
        <w:t>Percentages of MVA-specific IFNγ</w:t>
      </w:r>
      <w:r w:rsidR="00537C49" w:rsidRPr="0064116D">
        <w:rPr>
          <w:rFonts w:ascii="Arial" w:hAnsi="Arial" w:cs="Arial"/>
          <w:vertAlign w:val="superscript"/>
        </w:rPr>
        <w:t>+</w:t>
      </w:r>
      <w:r w:rsidR="00537C49" w:rsidRPr="00537C49">
        <w:rPr>
          <w:rFonts w:ascii="Arial" w:hAnsi="Arial" w:cs="Arial"/>
        </w:rPr>
        <w:t>/</w:t>
      </w:r>
      <w:r w:rsidR="0064116D">
        <w:rPr>
          <w:rFonts w:ascii="Arial" w:hAnsi="Arial" w:cs="Arial"/>
        </w:rPr>
        <w:t>CD69</w:t>
      </w:r>
      <w:r w:rsidR="0064116D" w:rsidRPr="0064116D">
        <w:rPr>
          <w:rFonts w:ascii="Arial" w:hAnsi="Arial" w:cs="Arial"/>
          <w:vertAlign w:val="superscript"/>
        </w:rPr>
        <w:t>+</w:t>
      </w:r>
      <w:r w:rsidR="0064116D">
        <w:rPr>
          <w:rFonts w:ascii="Arial" w:hAnsi="Arial" w:cs="Arial"/>
          <w:vertAlign w:val="superscript"/>
        </w:rPr>
        <w:t xml:space="preserve"> </w:t>
      </w:r>
      <w:r w:rsidR="00537C49" w:rsidRPr="00537C49">
        <w:rPr>
          <w:rFonts w:ascii="Arial" w:hAnsi="Arial" w:cs="Arial"/>
        </w:rPr>
        <w:t>CD8</w:t>
      </w:r>
      <w:r w:rsidR="0064116D" w:rsidRPr="0064116D">
        <w:rPr>
          <w:rFonts w:ascii="Arial" w:hAnsi="Arial" w:cs="Arial"/>
          <w:vertAlign w:val="superscript"/>
        </w:rPr>
        <w:t>+</w:t>
      </w:r>
      <w:r w:rsidR="00537C49" w:rsidRPr="00537C49">
        <w:rPr>
          <w:rFonts w:ascii="Arial" w:hAnsi="Arial" w:cs="Arial"/>
        </w:rPr>
        <w:t xml:space="preserve"> (A) and CD4</w:t>
      </w:r>
      <w:r w:rsidR="0064116D" w:rsidRPr="0064116D">
        <w:rPr>
          <w:rFonts w:ascii="Arial" w:hAnsi="Arial" w:cs="Arial"/>
          <w:vertAlign w:val="superscript"/>
        </w:rPr>
        <w:t>+</w:t>
      </w:r>
      <w:r w:rsidR="00537C49" w:rsidRPr="00537C49">
        <w:rPr>
          <w:rFonts w:ascii="Arial" w:hAnsi="Arial" w:cs="Arial"/>
        </w:rPr>
        <w:t xml:space="preserve"> (B) T cells</w:t>
      </w:r>
      <w:r w:rsidR="001B24B5">
        <w:rPr>
          <w:rFonts w:ascii="Arial" w:hAnsi="Arial" w:cs="Arial"/>
        </w:rPr>
        <w:t xml:space="preserve">, and </w:t>
      </w:r>
      <w:r w:rsidR="001B24B5" w:rsidRPr="00537C49">
        <w:rPr>
          <w:rFonts w:ascii="Arial" w:hAnsi="Arial" w:cs="Arial"/>
        </w:rPr>
        <w:t>MVA-specific IFNγ</w:t>
      </w:r>
      <w:r w:rsidR="001B24B5" w:rsidRPr="0064116D">
        <w:rPr>
          <w:rFonts w:ascii="Arial" w:hAnsi="Arial" w:cs="Arial"/>
          <w:vertAlign w:val="superscript"/>
        </w:rPr>
        <w:t>+</w:t>
      </w:r>
      <w:r w:rsidR="001B24B5" w:rsidRPr="00537C49">
        <w:rPr>
          <w:rFonts w:ascii="Arial" w:hAnsi="Arial" w:cs="Arial"/>
        </w:rPr>
        <w:t>/</w:t>
      </w:r>
      <w:r w:rsidR="001B24B5">
        <w:rPr>
          <w:rFonts w:ascii="Arial" w:hAnsi="Arial" w:cs="Arial"/>
        </w:rPr>
        <w:t>CD107</w:t>
      </w:r>
      <w:r w:rsidR="001B24B5" w:rsidRPr="0064116D">
        <w:rPr>
          <w:rFonts w:ascii="Arial" w:hAnsi="Arial" w:cs="Arial"/>
          <w:vertAlign w:val="superscript"/>
        </w:rPr>
        <w:t>+</w:t>
      </w:r>
      <w:r w:rsidR="001B24B5">
        <w:rPr>
          <w:rFonts w:ascii="Arial" w:hAnsi="Arial" w:cs="Arial"/>
          <w:vertAlign w:val="superscript"/>
        </w:rPr>
        <w:t xml:space="preserve"> </w:t>
      </w:r>
      <w:r w:rsidR="001B24B5" w:rsidRPr="00537C49">
        <w:rPr>
          <w:rFonts w:ascii="Arial" w:hAnsi="Arial" w:cs="Arial"/>
        </w:rPr>
        <w:t>CD8</w:t>
      </w:r>
      <w:r w:rsidR="001B24B5" w:rsidRPr="0064116D">
        <w:rPr>
          <w:rFonts w:ascii="Arial" w:hAnsi="Arial" w:cs="Arial"/>
          <w:vertAlign w:val="superscript"/>
        </w:rPr>
        <w:t>+</w:t>
      </w:r>
      <w:r w:rsidR="001B24B5" w:rsidRPr="00537C49">
        <w:rPr>
          <w:rFonts w:ascii="Arial" w:hAnsi="Arial" w:cs="Arial"/>
        </w:rPr>
        <w:t xml:space="preserve"> (</w:t>
      </w:r>
      <w:r w:rsidR="001B24B5">
        <w:rPr>
          <w:rFonts w:ascii="Arial" w:hAnsi="Arial" w:cs="Arial"/>
        </w:rPr>
        <w:t>C</w:t>
      </w:r>
      <w:r w:rsidR="001B24B5" w:rsidRPr="00537C49">
        <w:rPr>
          <w:rFonts w:ascii="Arial" w:hAnsi="Arial" w:cs="Arial"/>
        </w:rPr>
        <w:t>) and CD4</w:t>
      </w:r>
      <w:r w:rsidR="001B24B5" w:rsidRPr="0064116D">
        <w:rPr>
          <w:rFonts w:ascii="Arial" w:hAnsi="Arial" w:cs="Arial"/>
          <w:vertAlign w:val="superscript"/>
        </w:rPr>
        <w:t>+</w:t>
      </w:r>
      <w:r w:rsidR="001B24B5" w:rsidRPr="00537C49">
        <w:rPr>
          <w:rFonts w:ascii="Arial" w:hAnsi="Arial" w:cs="Arial"/>
        </w:rPr>
        <w:t xml:space="preserve"> (</w:t>
      </w:r>
      <w:r w:rsidR="001B24B5">
        <w:rPr>
          <w:rFonts w:ascii="Arial" w:hAnsi="Arial" w:cs="Arial"/>
        </w:rPr>
        <w:t>D</w:t>
      </w:r>
      <w:r w:rsidR="001B24B5" w:rsidRPr="00537C49">
        <w:rPr>
          <w:rFonts w:ascii="Arial" w:hAnsi="Arial" w:cs="Arial"/>
        </w:rPr>
        <w:t xml:space="preserve">) T cells </w:t>
      </w:r>
      <w:r w:rsidR="00537C49" w:rsidRPr="00537C49">
        <w:rPr>
          <w:rFonts w:ascii="Arial" w:hAnsi="Arial" w:cs="Arial"/>
        </w:rPr>
        <w:t xml:space="preserve">were measured in PBMC samples by cytofluorimetry at </w:t>
      </w:r>
      <w:r w:rsidR="001B24B5">
        <w:rPr>
          <w:rFonts w:ascii="Arial" w:hAnsi="Arial" w:cs="Arial"/>
        </w:rPr>
        <w:t xml:space="preserve">baseline, </w:t>
      </w:r>
      <w:r w:rsidR="00537C49" w:rsidRPr="00537C49">
        <w:rPr>
          <w:rFonts w:ascii="Arial" w:hAnsi="Arial" w:cs="Arial"/>
        </w:rPr>
        <w:t>and one and five months post-booster vaccinations with COH04S1 at dose-level (DL) 1 (DL1/DL1 and DL1/placebo/DL1), DL2 (DL2/DL2), and DL3 (DL3/DL3). Subjects who received placebo vaccination were used as negative controls.</w:t>
      </w:r>
      <w:r w:rsidR="005753E2">
        <w:rPr>
          <w:rFonts w:ascii="Arial" w:hAnsi="Arial" w:cs="Arial"/>
        </w:rPr>
        <w:t xml:space="preserve"> Only one DL3 volunteer had available PBMC samples for the analysis.</w:t>
      </w:r>
    </w:p>
    <w:p w14:paraId="651D235B" w14:textId="77777777" w:rsidR="001B24B5" w:rsidRDefault="001B24B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5ACA06" w14:textId="4AA80987" w:rsidR="006934D1" w:rsidRPr="00537C49" w:rsidRDefault="001B24B5" w:rsidP="006934D1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8ED380E" wp14:editId="2A0019D4">
            <wp:extent cx="5932805" cy="40747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565E" w14:textId="6880D10E" w:rsidR="001B24B5" w:rsidRPr="00537C49" w:rsidRDefault="001B24B5" w:rsidP="001B24B5">
      <w:pPr>
        <w:jc w:val="both"/>
        <w:rPr>
          <w:rFonts w:ascii="Arial" w:hAnsi="Arial" w:cs="Arial"/>
        </w:rPr>
      </w:pPr>
      <w:r w:rsidRPr="001A3C35">
        <w:rPr>
          <w:rFonts w:ascii="Arial" w:hAnsi="Arial" w:cs="Arial"/>
          <w:b/>
          <w:bCs/>
        </w:rPr>
        <w:t xml:space="preserve">Figure S6. Related to Figure 3. </w:t>
      </w:r>
      <w:r w:rsidR="001A3C35" w:rsidRPr="005753E2">
        <w:rPr>
          <w:rFonts w:ascii="Arial" w:hAnsi="Arial" w:cs="Arial"/>
          <w:b/>
          <w:bCs/>
        </w:rPr>
        <w:t>MVA-specific T cell response in COH04S1 vaccinees</w:t>
      </w:r>
      <w:r w:rsidR="001A3C35">
        <w:rPr>
          <w:rFonts w:ascii="Arial" w:hAnsi="Arial" w:cs="Arial"/>
          <w:b/>
          <w:bCs/>
        </w:rPr>
        <w:t xml:space="preserve">.  </w:t>
      </w:r>
      <w:r w:rsidR="001A3C35" w:rsidRPr="005753E2">
        <w:rPr>
          <w:rFonts w:ascii="Arial" w:hAnsi="Arial" w:cs="Arial"/>
        </w:rPr>
        <w:t>Shown are a</w:t>
      </w:r>
      <w:r w:rsidRPr="005753E2">
        <w:rPr>
          <w:rFonts w:ascii="Arial" w:hAnsi="Arial" w:cs="Arial"/>
        </w:rPr>
        <w:t>ctivated T cell memory subtypes after vaccination with COH04S1.</w:t>
      </w:r>
      <w:r>
        <w:rPr>
          <w:rFonts w:ascii="Arial" w:hAnsi="Arial" w:cs="Arial"/>
          <w:b/>
          <w:bCs/>
        </w:rPr>
        <w:t xml:space="preserve"> A</w:t>
      </w:r>
      <w:r w:rsidRPr="00537C49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>B</w:t>
      </w:r>
      <w:r w:rsidRPr="00537C49">
        <w:rPr>
          <w:rFonts w:ascii="Arial" w:hAnsi="Arial" w:cs="Arial"/>
          <w:b/>
          <w:bCs/>
        </w:rPr>
        <w:t>.</w:t>
      </w:r>
      <w:r w:rsidRPr="00537C49">
        <w:rPr>
          <w:rFonts w:ascii="Arial" w:hAnsi="Arial" w:cs="Arial"/>
        </w:rPr>
        <w:t xml:space="preserve"> Phenotypic analysis of antigen-specific T lymphocytes was performed using samples collected </w:t>
      </w:r>
      <w:r>
        <w:rPr>
          <w:rFonts w:ascii="Arial" w:hAnsi="Arial" w:cs="Arial"/>
        </w:rPr>
        <w:t>one month after the second dose of</w:t>
      </w:r>
      <w:r w:rsidRPr="00537C49">
        <w:rPr>
          <w:rFonts w:ascii="Arial" w:hAnsi="Arial" w:cs="Arial"/>
        </w:rPr>
        <w:t xml:space="preserve"> COH04S1 at dose-level (DL) 1 (DL1/DL1 and DL1/placebo/DL1), DL2 (DL2/DL2), and DL3 (DL3/DL3). Shown are percentages of naïve, central memory (TCM), effector memory (TEM), and terminally differentiated effector memory (TEMRA) T cells measured in IFNγ+/CD69+ CD8+ (</w:t>
      </w:r>
      <w:r>
        <w:rPr>
          <w:rFonts w:ascii="Arial" w:hAnsi="Arial" w:cs="Arial"/>
        </w:rPr>
        <w:t>A</w:t>
      </w:r>
      <w:r w:rsidRPr="00537C49">
        <w:rPr>
          <w:rFonts w:ascii="Arial" w:hAnsi="Arial" w:cs="Arial"/>
        </w:rPr>
        <w:t>) and CD4+ (</w:t>
      </w:r>
      <w:r>
        <w:rPr>
          <w:rFonts w:ascii="Arial" w:hAnsi="Arial" w:cs="Arial"/>
        </w:rPr>
        <w:t>B</w:t>
      </w:r>
      <w:r w:rsidRPr="00537C49">
        <w:rPr>
          <w:rFonts w:ascii="Arial" w:hAnsi="Arial" w:cs="Arial"/>
        </w:rPr>
        <w:t>) T cell populations.</w:t>
      </w:r>
      <w:r>
        <w:rPr>
          <w:rFonts w:ascii="Arial" w:hAnsi="Arial" w:cs="Arial"/>
        </w:rPr>
        <w:t xml:space="preserve"> Median values are indicated with lines. </w:t>
      </w:r>
      <w:r>
        <w:rPr>
          <w:rFonts w:ascii="Arial" w:hAnsi="Arial" w:cs="Arial"/>
          <w:b/>
          <w:bCs/>
        </w:rPr>
        <w:t>C</w:t>
      </w:r>
      <w:r w:rsidRPr="00537C49">
        <w:rPr>
          <w:rFonts w:ascii="Arial" w:hAnsi="Arial" w:cs="Arial"/>
          <w:b/>
          <w:bCs/>
        </w:rPr>
        <w:t>-</w:t>
      </w:r>
      <w:r>
        <w:rPr>
          <w:rFonts w:ascii="Arial" w:hAnsi="Arial" w:cs="Arial"/>
          <w:b/>
          <w:bCs/>
        </w:rPr>
        <w:t>D</w:t>
      </w:r>
      <w:r w:rsidRPr="00537C49">
        <w:rPr>
          <w:rFonts w:ascii="Arial" w:hAnsi="Arial" w:cs="Arial"/>
          <w:b/>
          <w:bCs/>
        </w:rPr>
        <w:t>.</w:t>
      </w:r>
      <w:r w:rsidRPr="00537C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Percentages of activated </w:t>
      </w:r>
      <w:r w:rsidRPr="00537C49">
        <w:rPr>
          <w:rFonts w:ascii="Arial" w:hAnsi="Arial" w:cs="Arial"/>
        </w:rPr>
        <w:t>CD8+ (</w:t>
      </w:r>
      <w:r>
        <w:rPr>
          <w:rFonts w:ascii="Arial" w:hAnsi="Arial" w:cs="Arial"/>
        </w:rPr>
        <w:t>C</w:t>
      </w:r>
      <w:r w:rsidRPr="00537C49">
        <w:rPr>
          <w:rFonts w:ascii="Arial" w:hAnsi="Arial" w:cs="Arial"/>
        </w:rPr>
        <w:t>) and CD4+ (</w:t>
      </w:r>
      <w:r>
        <w:rPr>
          <w:rFonts w:ascii="Arial" w:hAnsi="Arial" w:cs="Arial"/>
        </w:rPr>
        <w:t>D</w:t>
      </w:r>
      <w:r w:rsidRPr="00537C4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T cell memory subtypes in subjects vaccinated with COH04S1 at baseline, and </w:t>
      </w:r>
      <w:r w:rsidRPr="00537C49">
        <w:rPr>
          <w:rFonts w:ascii="Arial" w:hAnsi="Arial" w:cs="Arial"/>
        </w:rPr>
        <w:t>one</w:t>
      </w:r>
      <w:r>
        <w:rPr>
          <w:rFonts w:ascii="Arial" w:hAnsi="Arial" w:cs="Arial"/>
        </w:rPr>
        <w:t xml:space="preserve"> and five</w:t>
      </w:r>
      <w:r w:rsidRPr="00537C49">
        <w:rPr>
          <w:rFonts w:ascii="Arial" w:hAnsi="Arial" w:cs="Arial"/>
        </w:rPr>
        <w:t xml:space="preserve"> month</w:t>
      </w:r>
      <w:r>
        <w:rPr>
          <w:rFonts w:ascii="Arial" w:hAnsi="Arial" w:cs="Arial"/>
        </w:rPr>
        <w:t>s</w:t>
      </w:r>
      <w:r w:rsidRPr="00537C49">
        <w:rPr>
          <w:rFonts w:ascii="Arial" w:hAnsi="Arial" w:cs="Arial"/>
        </w:rPr>
        <w:t xml:space="preserve"> post-second dose. </w:t>
      </w:r>
      <w:r>
        <w:rPr>
          <w:rFonts w:ascii="Arial" w:hAnsi="Arial" w:cs="Arial"/>
        </w:rPr>
        <w:t xml:space="preserve">Bars represent mean </w:t>
      </w:r>
      <w:r w:rsidR="005753E2">
        <w:rPr>
          <w:rFonts w:ascii="Arial" w:hAnsi="Arial" w:cs="Arial"/>
        </w:rPr>
        <w:t>values</w:t>
      </w:r>
      <w:r>
        <w:rPr>
          <w:rFonts w:ascii="Arial" w:hAnsi="Arial" w:cs="Arial"/>
        </w:rPr>
        <w:t>-SD.</w:t>
      </w:r>
    </w:p>
    <w:p w14:paraId="5725FC4A" w14:textId="77777777" w:rsidR="006934D1" w:rsidRDefault="006934D1" w:rsidP="005070BF">
      <w:pPr>
        <w:jc w:val="both"/>
        <w:rPr>
          <w:rFonts w:ascii="Arial" w:hAnsi="Arial" w:cs="Arial"/>
        </w:rPr>
      </w:pPr>
    </w:p>
    <w:sectPr w:rsidR="00693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0B1BF" w14:textId="77777777" w:rsidR="001A0095" w:rsidRDefault="001A0095" w:rsidP="007C445F">
      <w:pPr>
        <w:spacing w:after="0" w:line="240" w:lineRule="auto"/>
      </w:pPr>
      <w:r>
        <w:separator/>
      </w:r>
    </w:p>
  </w:endnote>
  <w:endnote w:type="continuationSeparator" w:id="0">
    <w:p w14:paraId="3EE54424" w14:textId="77777777" w:rsidR="001A0095" w:rsidRDefault="001A0095" w:rsidP="007C4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009ED" w14:textId="77777777" w:rsidR="001A0095" w:rsidRDefault="001A0095" w:rsidP="007C445F">
      <w:pPr>
        <w:spacing w:after="0" w:line="240" w:lineRule="auto"/>
      </w:pPr>
      <w:r>
        <w:separator/>
      </w:r>
    </w:p>
  </w:footnote>
  <w:footnote w:type="continuationSeparator" w:id="0">
    <w:p w14:paraId="634F373F" w14:textId="77777777" w:rsidR="001A0095" w:rsidRDefault="001A0095" w:rsidP="007C4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45F"/>
    <w:rsid w:val="00004C75"/>
    <w:rsid w:val="000566EE"/>
    <w:rsid w:val="000934FD"/>
    <w:rsid w:val="000B1B7F"/>
    <w:rsid w:val="0011184A"/>
    <w:rsid w:val="00157CAA"/>
    <w:rsid w:val="00187417"/>
    <w:rsid w:val="001A0095"/>
    <w:rsid w:val="001A3C35"/>
    <w:rsid w:val="001B24B5"/>
    <w:rsid w:val="001E6CC9"/>
    <w:rsid w:val="00232C8B"/>
    <w:rsid w:val="00280B46"/>
    <w:rsid w:val="00290EF3"/>
    <w:rsid w:val="00295398"/>
    <w:rsid w:val="00303A69"/>
    <w:rsid w:val="0031208E"/>
    <w:rsid w:val="00331408"/>
    <w:rsid w:val="0036635B"/>
    <w:rsid w:val="003C4F6F"/>
    <w:rsid w:val="003C686C"/>
    <w:rsid w:val="0040618B"/>
    <w:rsid w:val="00416658"/>
    <w:rsid w:val="00430C8A"/>
    <w:rsid w:val="00431EE4"/>
    <w:rsid w:val="00432634"/>
    <w:rsid w:val="004A761D"/>
    <w:rsid w:val="005070BF"/>
    <w:rsid w:val="00532D5F"/>
    <w:rsid w:val="00537C49"/>
    <w:rsid w:val="005753E2"/>
    <w:rsid w:val="00585271"/>
    <w:rsid w:val="0058751A"/>
    <w:rsid w:val="005C0BA5"/>
    <w:rsid w:val="005F4610"/>
    <w:rsid w:val="00602972"/>
    <w:rsid w:val="00612019"/>
    <w:rsid w:val="0064116D"/>
    <w:rsid w:val="0064216B"/>
    <w:rsid w:val="00661AFC"/>
    <w:rsid w:val="006934D1"/>
    <w:rsid w:val="00693998"/>
    <w:rsid w:val="006C2D1C"/>
    <w:rsid w:val="006E458D"/>
    <w:rsid w:val="007749F8"/>
    <w:rsid w:val="007A7936"/>
    <w:rsid w:val="007C445F"/>
    <w:rsid w:val="008359DA"/>
    <w:rsid w:val="008B3166"/>
    <w:rsid w:val="008E39B4"/>
    <w:rsid w:val="008E53DC"/>
    <w:rsid w:val="0091296B"/>
    <w:rsid w:val="00915702"/>
    <w:rsid w:val="0092171D"/>
    <w:rsid w:val="009419C6"/>
    <w:rsid w:val="009625A1"/>
    <w:rsid w:val="00996C26"/>
    <w:rsid w:val="009E79E0"/>
    <w:rsid w:val="00A24213"/>
    <w:rsid w:val="00A330F4"/>
    <w:rsid w:val="00A4529D"/>
    <w:rsid w:val="00AB4670"/>
    <w:rsid w:val="00AE2123"/>
    <w:rsid w:val="00BC1F3E"/>
    <w:rsid w:val="00BC2CB0"/>
    <w:rsid w:val="00C25DA3"/>
    <w:rsid w:val="00C75B55"/>
    <w:rsid w:val="00CA0F94"/>
    <w:rsid w:val="00CF0C1D"/>
    <w:rsid w:val="00CF2FA3"/>
    <w:rsid w:val="00D73ED7"/>
    <w:rsid w:val="00E14971"/>
    <w:rsid w:val="00E34550"/>
    <w:rsid w:val="00E743B5"/>
    <w:rsid w:val="00EB1E0B"/>
    <w:rsid w:val="00EF043B"/>
    <w:rsid w:val="00F30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FBE71"/>
  <w15:chartTrackingRefBased/>
  <w15:docId w15:val="{E694D5A6-55E8-4EDE-957E-46450F9FA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4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45F"/>
  </w:style>
  <w:style w:type="paragraph" w:styleId="Footer">
    <w:name w:val="footer"/>
    <w:basedOn w:val="Normal"/>
    <w:link w:val="FooterChar"/>
    <w:uiPriority w:val="99"/>
    <w:unhideWhenUsed/>
    <w:rsid w:val="007C4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45F"/>
  </w:style>
  <w:style w:type="table" w:styleId="TableGrid">
    <w:name w:val="Table Grid"/>
    <w:basedOn w:val="TableNormal"/>
    <w:uiPriority w:val="39"/>
    <w:rsid w:val="007C4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F0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3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39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39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3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399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743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6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Chiuppesi PhD</dc:creator>
  <cp:keywords/>
  <dc:description/>
  <cp:lastModifiedBy>Flavia Chiuppesi PhD</cp:lastModifiedBy>
  <cp:revision>2</cp:revision>
  <dcterms:created xsi:type="dcterms:W3CDTF">2022-07-25T23:21:00Z</dcterms:created>
  <dcterms:modified xsi:type="dcterms:W3CDTF">2022-07-25T23:21:00Z</dcterms:modified>
</cp:coreProperties>
</file>