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 w:cs="Times New Roman"/>
          <w:b/>
          <w:bCs/>
          <w:sz w:val="24"/>
        </w:rPr>
      </w:pPr>
      <w:r>
        <w:rPr>
          <w:rFonts w:ascii="Times New Roman" w:hAnsi="Times New Roman" w:cs="Times New Roman"/>
          <w:b/>
          <w:bCs/>
          <w:sz w:val="24"/>
        </w:rPr>
        <w:t>The Role of Children in SARS-CoV-2 Variant of Concerns Transmission within Households: A Meta-analysis</w:t>
      </w:r>
    </w:p>
    <w:p>
      <w:pPr>
        <w:adjustRightInd w:val="0"/>
        <w:snapToGrid w:val="0"/>
        <w:spacing w:after="0" w:line="360" w:lineRule="auto"/>
        <w:contextualSpacing/>
        <w:rPr>
          <w:rFonts w:ascii="Times New Roman" w:hAnsi="Times New Roman" w:cs="Times New Roman"/>
          <w:szCs w:val="21"/>
          <w:vertAlign w:val="superscript"/>
        </w:rPr>
      </w:pPr>
      <w:r>
        <w:rPr>
          <w:rFonts w:ascii="Times New Roman" w:hAnsi="Times New Roman" w:cs="Times New Roman"/>
          <w:szCs w:val="21"/>
        </w:rPr>
        <w:t>Yanshan Zhu</w:t>
      </w:r>
      <w:r>
        <w:rPr>
          <w:rFonts w:ascii="Times New Roman" w:hAnsi="Times New Roman" w:cs="Times New Roman"/>
          <w:szCs w:val="21"/>
          <w:vertAlign w:val="superscript"/>
        </w:rPr>
        <w:t>1#</w:t>
      </w:r>
      <w:r>
        <w:rPr>
          <w:rFonts w:ascii="Times New Roman" w:hAnsi="Times New Roman" w:cs="Times New Roman"/>
          <w:szCs w:val="21"/>
        </w:rPr>
        <w:t>, Yao Xia</w:t>
      </w:r>
      <w:r>
        <w:rPr>
          <w:rFonts w:ascii="Times New Roman" w:hAnsi="Times New Roman" w:cs="Times New Roman"/>
          <w:szCs w:val="21"/>
          <w:vertAlign w:val="superscript"/>
        </w:rPr>
        <w:t>2,3#</w:t>
      </w:r>
      <w:r>
        <w:rPr>
          <w:rFonts w:ascii="Times New Roman" w:hAnsi="Times New Roman" w:cs="Times New Roman"/>
          <w:szCs w:val="21"/>
        </w:rPr>
        <w:t>, Janessa Pickering</w:t>
      </w:r>
      <w:r>
        <w:rPr>
          <w:rFonts w:ascii="Times New Roman" w:hAnsi="Times New Roman" w:cs="Times New Roman"/>
          <w:szCs w:val="21"/>
          <w:vertAlign w:val="superscript"/>
        </w:rPr>
        <w:t>4</w:t>
      </w:r>
      <w:r>
        <w:rPr>
          <w:rFonts w:ascii="Times New Roman" w:hAnsi="Times New Roman" w:cs="Times New Roman"/>
          <w:szCs w:val="21"/>
        </w:rPr>
        <w:t>, Asha C. Bowen</w:t>
      </w:r>
      <w:r>
        <w:rPr>
          <w:rFonts w:ascii="Times New Roman" w:hAnsi="Times New Roman" w:cs="Times New Roman"/>
          <w:szCs w:val="21"/>
          <w:vertAlign w:val="superscript"/>
        </w:rPr>
        <w:t>4,5</w:t>
      </w:r>
      <w:r>
        <w:rPr>
          <w:rFonts w:ascii="Times New Roman" w:hAnsi="Times New Roman" w:cs="Times New Roman"/>
          <w:szCs w:val="21"/>
        </w:rPr>
        <w:t xml:space="preserve"> &amp; </w:t>
      </w:r>
      <w:r>
        <w:fldChar w:fldCharType="begin"/>
      </w:r>
      <w:r>
        <w:instrText xml:space="preserve"> HYPERLINK "about:blank" \l "xce9e4f69" </w:instrText>
      </w:r>
      <w:r>
        <w:fldChar w:fldCharType="separate"/>
      </w:r>
      <w:r>
        <w:rPr>
          <w:rFonts w:ascii="Times New Roman" w:hAnsi="Times New Roman" w:cs="Times New Roman"/>
          <w:szCs w:val="21"/>
        </w:rPr>
        <w:t>Kirsty R. Short</w:t>
      </w:r>
      <w:r>
        <w:rPr>
          <w:rFonts w:ascii="Times New Roman" w:hAnsi="Times New Roman" w:cs="Times New Roman"/>
          <w:szCs w:val="21"/>
        </w:rPr>
        <w:fldChar w:fldCharType="end"/>
      </w:r>
      <w:r>
        <w:rPr>
          <w:rFonts w:ascii="Times New Roman" w:hAnsi="Times New Roman" w:cs="Times New Roman"/>
          <w:szCs w:val="21"/>
          <w:vertAlign w:val="superscript"/>
        </w:rPr>
        <w:t>1,6*</w:t>
      </w:r>
    </w:p>
    <w:p>
      <w:pPr>
        <w:rPr>
          <w:rFonts w:hint="default" w:ascii="Times New Roman" w:hAnsi="Times New Roman"/>
          <w:b/>
          <w:bCs/>
          <w:sz w:val="22"/>
          <w:szCs w:val="28"/>
        </w:rPr>
      </w:pPr>
    </w:p>
    <w:p>
      <w:pPr>
        <w:rPr>
          <w:rFonts w:hint="default" w:ascii="Times New Roman" w:hAnsi="Times New Roman"/>
          <w:b/>
          <w:bCs/>
          <w:sz w:val="22"/>
          <w:szCs w:val="28"/>
        </w:rPr>
      </w:pPr>
    </w:p>
    <w:p>
      <w:pPr>
        <w:rPr>
          <w:rFonts w:hint="default" w:ascii="Times New Roman" w:hAnsi="Times New Roman" w:cs="Times New Roman"/>
          <w:b/>
          <w:bCs/>
        </w:rPr>
      </w:pPr>
      <w:r>
        <w:rPr>
          <w:rFonts w:hint="default" w:ascii="Times New Roman" w:hAnsi="Times New Roman"/>
          <w:b/>
          <w:bCs/>
          <w:sz w:val="22"/>
          <w:szCs w:val="28"/>
        </w:rPr>
        <w:t>Supplementary Figures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2405" cy="4686300"/>
            <wp:effectExtent l="0" t="0" r="10795" b="12700"/>
            <wp:docPr id="4" name="Picture 4" descr="ka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ka index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sz w:val="22"/>
          <w:szCs w:val="28"/>
        </w:rPr>
      </w:pPr>
      <w:r>
        <w:rPr>
          <w:rFonts w:hint="default" w:ascii="Times New Roman" w:hAnsi="Times New Roman"/>
          <w:b/>
          <w:bCs/>
          <w:sz w:val="22"/>
          <w:szCs w:val="28"/>
        </w:rPr>
        <w:t>Fig</w:t>
      </w:r>
      <w:r>
        <w:rPr>
          <w:rFonts w:hint="default" w:ascii="Times New Roman" w:hAnsi="Times New Roman"/>
          <w:b/>
          <w:bCs/>
          <w:sz w:val="22"/>
          <w:szCs w:val="28"/>
        </w:rPr>
        <w:t>.</w:t>
      </w:r>
      <w:r>
        <w:rPr>
          <w:rFonts w:hint="default" w:ascii="Times New Roman" w:hAnsi="Times New Roman"/>
          <w:b/>
          <w:bCs/>
          <w:sz w:val="22"/>
          <w:szCs w:val="28"/>
        </w:rPr>
        <w:t xml:space="preserve"> </w:t>
      </w:r>
      <w:r>
        <w:rPr>
          <w:rFonts w:hint="default" w:ascii="Times New Roman" w:hAnsi="Times New Roman"/>
          <w:b/>
          <w:bCs/>
          <w:sz w:val="22"/>
          <w:szCs w:val="28"/>
        </w:rPr>
        <w:t>S</w:t>
      </w:r>
      <w:r>
        <w:rPr>
          <w:rFonts w:hint="default" w:ascii="Times New Roman" w:hAnsi="Times New Roman"/>
          <w:b/>
          <w:bCs/>
          <w:sz w:val="22"/>
          <w:szCs w:val="28"/>
        </w:rPr>
        <w:t>1</w:t>
      </w:r>
      <w:r>
        <w:rPr>
          <w:rFonts w:hint="default" w:ascii="Times New Roman" w:hAnsi="Times New Roman"/>
          <w:sz w:val="22"/>
          <w:szCs w:val="28"/>
        </w:rPr>
        <w:t xml:space="preserve"> Relative risk (RR) for the </w:t>
      </w:r>
      <w:r>
        <w:rPr>
          <w:rFonts w:hint="default" w:ascii="Times New Roman" w:hAnsi="Times New Roman"/>
        </w:rPr>
        <w:t>secondary attack rate</w:t>
      </w:r>
      <w:r>
        <w:rPr>
          <w:rFonts w:hint="default" w:ascii="Times New Roman" w:hAnsi="Times New Roman"/>
          <w:sz w:val="22"/>
          <w:szCs w:val="28"/>
        </w:rPr>
        <w:t xml:space="preserve"> of household members when an adult or a child was identified as the index case. </w:t>
      </w:r>
      <w:r>
        <w:rPr>
          <w:rFonts w:hint="default" w:ascii="Times New Roman Regular" w:hAnsi="Times New Roman Regular" w:cs="Times New Roman Regular"/>
          <w:sz w:val="22"/>
          <w:szCs w:val="28"/>
        </w:rPr>
        <w:t>Cases describe the number of SARS-CoV-2 secondary infection identified in the study. Abbreviation: CI, confidence interval.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67325" cy="4042410"/>
            <wp:effectExtent l="0" t="0" r="15875" b="21590"/>
            <wp:docPr id="3" name="Picture 3" descr="kk inde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kk index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" w:hAnsi="Times New Roman" w:cs="Times New Roman"/>
          <w:i w:val="0"/>
          <w:iCs/>
          <w:sz w:val="22"/>
          <w:szCs w:val="22"/>
        </w:rPr>
      </w:pPr>
      <w:r>
        <w:rPr>
          <w:rFonts w:hint="default" w:ascii="Times New Roman" w:hAnsi="Times New Roman"/>
          <w:b/>
          <w:bCs/>
          <w:sz w:val="22"/>
          <w:szCs w:val="28"/>
        </w:rPr>
        <w:t>Fig. S</w:t>
      </w:r>
      <w:r>
        <w:rPr>
          <w:rFonts w:hint="default" w:ascii="Times New Roman" w:hAnsi="Times New Roman"/>
          <w:b/>
          <w:bCs/>
          <w:sz w:val="22"/>
          <w:szCs w:val="28"/>
        </w:rPr>
        <w:t>2</w:t>
      </w:r>
      <w:r>
        <w:rPr>
          <w:rFonts w:hint="default" w:ascii="Times New Roman" w:hAnsi="Times New Roman" w:cs="Times New Roman"/>
          <w:i w:val="0"/>
          <w:iCs/>
          <w:sz w:val="22"/>
          <w:szCs w:val="22"/>
        </w:rPr>
        <w:t xml:space="preserve"> Relative risk (RR) of the secondary attack rate of household members when a younger or older child was identified as the index case. Cases describe the number of SARS-CoV-2 secondary infection identified in the study. Abbreviation: CI, confidence interval.</w:t>
      </w:r>
    </w:p>
    <w:p/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2405" cy="7498080"/>
            <wp:effectExtent l="0" t="0" r="10795" b="20320"/>
            <wp:docPr id="5" name="Picture 5" descr="kid_c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kid_csar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9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 w:ascii="Times New Roman" w:hAnsi="Times New Roman"/>
          <w:b/>
          <w:bCs/>
          <w:sz w:val="22"/>
          <w:szCs w:val="28"/>
        </w:rPr>
        <w:t>Fig. S</w:t>
      </w:r>
      <w:r>
        <w:rPr>
          <w:rFonts w:hint="default" w:ascii="Times New Roman" w:hAnsi="Times New Roman"/>
          <w:b/>
          <w:bCs/>
          <w:sz w:val="22"/>
          <w:szCs w:val="28"/>
        </w:rPr>
        <w:t>3</w:t>
      </w:r>
      <w:r>
        <w:rPr>
          <w:rFonts w:hint="default" w:ascii="Times New Roman Regular" w:hAnsi="Times New Roman Regular" w:cs="Times New Roman Regular"/>
          <w:sz w:val="22"/>
          <w:szCs w:val="28"/>
        </w:rPr>
        <w:t xml:space="preserve"> </w:t>
      </w:r>
      <w:r>
        <w:rPr>
          <w:rFonts w:hint="default" w:ascii="Times New Roman Regular" w:hAnsi="Times New Roman Regular"/>
          <w:sz w:val="22"/>
          <w:szCs w:val="28"/>
        </w:rPr>
        <w:t>The secondary attack rate of children contact in household severe acute respiratory syndrome coronavirus 2 (SARS-CoV-2) transmission stratified by the pre and post VOCs period.</w:t>
      </w:r>
    </w:p>
    <w:p>
      <w:pPr>
        <w:rPr>
          <w:rFonts w:hint="default"/>
        </w:rPr>
      </w:pPr>
    </w:p>
    <w:p>
      <w:pPr>
        <w:rPr>
          <w:rFonts w:hint="default"/>
        </w:rPr>
      </w:pPr>
      <w:bookmarkStart w:id="0" w:name="_GoBack"/>
      <w:bookmarkEnd w:id="0"/>
    </w:p>
    <w:p>
      <w:pPr>
        <w:rPr>
          <w:rFonts w:hint="default"/>
        </w:rPr>
      </w:pP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72405" cy="7029450"/>
            <wp:effectExtent l="0" t="0" r="10795" b="6350"/>
            <wp:docPr id="6" name="Picture 6" descr="adult_c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dult_csa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02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/>
        </w:rPr>
      </w:pPr>
      <w:r>
        <w:rPr>
          <w:rFonts w:hint="default" w:ascii="Times New Roman" w:hAnsi="Times New Roman"/>
          <w:b/>
          <w:bCs/>
          <w:sz w:val="22"/>
          <w:szCs w:val="28"/>
        </w:rPr>
        <w:t>Fig. S</w:t>
      </w:r>
      <w:r>
        <w:rPr>
          <w:rFonts w:hint="default" w:ascii="Times New Roman" w:hAnsi="Times New Roman"/>
          <w:b/>
          <w:bCs/>
          <w:sz w:val="22"/>
          <w:szCs w:val="28"/>
        </w:rPr>
        <w:t xml:space="preserve">4 </w:t>
      </w:r>
      <w:r>
        <w:rPr>
          <w:rFonts w:hint="default" w:ascii="Times New Roman Regular" w:hAnsi="Times New Roman Regular"/>
          <w:sz w:val="22"/>
          <w:szCs w:val="28"/>
        </w:rPr>
        <w:t>The secondary attack rate of adults contact in household severe acute respiratory syndrome coronavirus 2 (SARS-CoV-2) transmission stratified by the pre and post VOCs period.</w:t>
      </w:r>
    </w:p>
    <w:p>
      <w:pPr>
        <w:rPr>
          <w:rFonts w:hint="default"/>
        </w:rPr>
      </w:pPr>
      <w:r>
        <w:rPr>
          <w:rFonts w:hint="default"/>
        </w:rPr>
        <w:drawing>
          <wp:inline distT="0" distB="0" distL="114300" distR="114300">
            <wp:extent cx="5257165" cy="8854440"/>
            <wp:effectExtent l="0" t="0" r="635" b="10160"/>
            <wp:docPr id="7" name="Picture 7" descr="KA_R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KA_RR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8854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Times New Roman Regular" w:hAnsi="Times New Roman Regular" w:cs="Times New Roman Regular"/>
          <w:sz w:val="22"/>
          <w:szCs w:val="28"/>
        </w:rPr>
      </w:pPr>
      <w:r>
        <w:rPr>
          <w:rFonts w:hint="default" w:ascii="Times New Roman" w:hAnsi="Times New Roman"/>
          <w:b/>
          <w:bCs/>
          <w:sz w:val="22"/>
          <w:szCs w:val="28"/>
        </w:rPr>
        <w:t>Fig. S</w:t>
      </w:r>
      <w:r>
        <w:rPr>
          <w:rFonts w:hint="default" w:ascii="Times New Roman" w:hAnsi="Times New Roman"/>
          <w:b/>
          <w:bCs/>
          <w:sz w:val="22"/>
          <w:szCs w:val="28"/>
        </w:rPr>
        <w:t>5</w:t>
      </w:r>
      <w:r>
        <w:rPr>
          <w:rFonts w:hint="default" w:ascii="Times New Roman Regular" w:hAnsi="Times New Roman Regular" w:cs="Times New Roman Regular"/>
          <w:sz w:val="22"/>
          <w:szCs w:val="28"/>
        </w:rPr>
        <w:t xml:space="preserve"> Relative risk (RR) of child contact and adult contact in household transmission of Alpha, Delta, Multi-VOCs or Omicron variants compare with the Pre-VOCs period. Cases describe the number of SARS-CoV-2 secondary infection identified in the study. Abbreviation: CI, confidence interval.</w:t>
      </w:r>
    </w:p>
    <w:sectPr>
      <w:pgSz w:w="11906" w:h="16838"/>
      <w:pgMar w:top="1440" w:right="1800" w:bottom="1440" w:left="180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altName w:val="宋体-简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宋体-简">
    <w:panose1 w:val="02010600040101010101"/>
    <w:charset w:val="86"/>
    <w:family w:val="auto"/>
    <w:pitch w:val="default"/>
    <w:sig w:usb0="00000000" w:usb1="00000000" w:usb2="00000000" w:usb3="00000000" w:csb0="00160000" w:csb1="00000000"/>
  </w:font>
  <w:font w:name="Arial">
    <w:panose1 w:val="020B0604020202020204"/>
    <w:charset w:val="00"/>
    <w:family w:val="swiss"/>
    <w:pitch w:val="default"/>
    <w:sig w:usb0="00000000" w:usb1="00000000" w:usb2="00000000" w:usb3="00000000" w:csb0="00000000" w:csb1="00000000"/>
  </w:font>
  <w:font w:name="黑体">
    <w:altName w:val="黑体-简"/>
    <w:panose1 w:val="02010600030101010101"/>
    <w:charset w:val="00"/>
    <w:family w:val="auto"/>
    <w:pitch w:val="default"/>
    <w:sig w:usb0="00000001" w:usb1="080E0000" w:usb2="00000010" w:usb3="00000000" w:csb0="00040000" w:csb1="00000000"/>
  </w:font>
  <w:font w:name="黑体-简">
    <w:panose1 w:val="02000000000000000000"/>
    <w:charset w:val="86"/>
    <w:family w:val="auto"/>
    <w:pitch w:val="default"/>
    <w:sig w:usb0="00000000" w:usb1="00000000" w:usb2="00000000" w:usb3="00000000" w:csb0="00160000" w:csb1="00000000"/>
  </w:font>
  <w:font w:name="Courier New">
    <w:panose1 w:val="02070309020205020404"/>
    <w:charset w:val="00"/>
    <w:family w:val="modern"/>
    <w:pitch w:val="default"/>
    <w:sig w:usb0="00000000" w:usb1="00000000" w:usb2="00000000" w:usb3="00000000" w:csb0="00000000" w:csb1="00000000"/>
  </w:font>
  <w:font w:name="Wingdings">
    <w:panose1 w:val="05000000000000000000"/>
    <w:charset w:val="00"/>
    <w:family w:val="auto"/>
    <w:pitch w:val="default"/>
    <w:sig w:usb0="00000000" w:usb1="00000000" w:usb2="00000000" w:usb3="00000000" w:csb0="0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SimSun">
    <w:altName w:val="宋体-简"/>
    <w:panose1 w:val="02010600030101010101"/>
    <w:charset w:val="86"/>
    <w:family w:val="auto"/>
    <w:pitch w:val="default"/>
    <w:sig w:usb0="00000000" w:usb1="00000000" w:usb2="00000016" w:usb3="00000000" w:csb0="00040001" w:csb1="00000000"/>
  </w:font>
  <w:font w:name="Times New Roman Regular">
    <w:panose1 w:val="02020603050405020304"/>
    <w:charset w:val="00"/>
    <w:family w:val="auto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4"/>
  <w:embedSystemFonts/>
  <w:bordersDoNotSurroundHeader w:val="1"/>
  <w:bordersDoNotSurroundFooter w:val="1"/>
  <w:documentProtection w:enforcement="0"/>
  <w:defaultTabStop w:val="720"/>
  <w:drawingGridVerticalSpacing w:val="156"/>
  <w:displayHorizontalDrawingGridEvery w:val="0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FCF5D24"/>
    <w:rsid w:val="0EFE56B7"/>
    <w:rsid w:val="5FCF5D24"/>
    <w:rsid w:val="7BBFA6CF"/>
    <w:rsid w:val="7BFD6737"/>
    <w:rsid w:val="AFB54DD4"/>
    <w:rsid w:val="F75D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3.tiff"/><Relationship Id="rId7" Type="http://schemas.openxmlformats.org/officeDocument/2006/relationships/image" Target="media/image2.tiff"/><Relationship Id="rId6" Type="http://schemas.openxmlformats.org/officeDocument/2006/relationships/image" Target="media/image1.tiff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Office_4.1.0.7501_F1E327BC-269C-435d-A152-05C5408002CA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2022-07-03T11:28:00Z</dcterms:created>
  <dc:creator>Yao Xia</dc:creator>
  <cp:lastModifiedBy>Yao Xia</cp:lastModifiedBy>
  <dcterms:modified xsi:type="dcterms:W3CDTF">2022-07-22T11:20:42Z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1033-4.1.0.7501</vt:lpwstr>
  </property>
</Properties>
</file>