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Supplementary Table 1. List of study sites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Pilot stage (37 sites):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Adachi Kyosai Hospital; Ahiko Otolaryngology Clinic; Asahiyama Hospital; Clinic Kashiwanoha; Dozenkai Clinic; Ebisu Clinic; Fukazawa Clinic; Fukuda Clinic (Internal medicine); Funai Ear Nose Throat Clinic; Iguchi Clinic; Irie Child Clinic; Kamei Internal Medicine and Respiratory Clinic; Kamoike ENT Allergy Clinic; Kanagawa Himawari Clinic; Kaneko Clinic; Kanna Hospital; Kawaguchi Kogyo General Hospital; Megumi Clinic; Minami Clinic; Miyazaki RC Clinic; Moriyama Otolaryngology Clinic; Musashino General Hospital; Nishimura Clinic; Nomura Clinic; Okura Otolaryngology Clinic; Rokujizo General Hospital; Ryuto Otolaryngology Clinic; Sawayama Clinic; Shinnakama Hospital; Someya Clinic; Takahashi Clinic; Terada Clinic, Respiratory Medicine and General Practice; Yamagata Clinic; Yamashita Child Clinic; Yasuda Clinic; Yokoyama Children’s Clinic; Yoshimura Child Clinic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Training stage (64 sites):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Aozora Children’s Hospital; Association of Healthcare Corporation Meiko-kai Ohishi Naika Clinic; Clinic Kashiwanoha; Den-en-tyofu Family Clinic; Dozenkai Clinic; Ebisu Clinic; Eifukuchoekimae Minnano Clinic; Fukuda Clinic (Internal medicine); Himeno Hospital; Ikeda Naika Clinic; Ito ENT Clinic; Kamoike ENT Allergy Clinic; Kanagawa Himawari Clinic; Kikumori Ear, Nose and Throat Clinic; Kimura Clinic; Kumeda Clinic; Kunisaki Makoto Clinic; Maekawa Medical Clinic; Marunouchi Hospital; Mashiki Clinic; Matsuda Pediatric Clinic; Medical Corporation Association Kanwakai Musashikoganei Clinic; Medical Corporation Hitomikai Motomachi Takatsuka Naika Clinic; Medical Corporation Houmankai Umezu Clinic; Medical Corporation Segawa Hospital; Medical Corporation Yuhokai Miho-Clinic; Medical Square Kuhonji Clinic; Megumi Clinic; Miuraiin; Miyanosawa Clinic of Internal Medicine and Cardiology; Miyazaki RC Clinic; Morimoto ENT Clinic; Moriyama Otolaryngology Clinic; Nakamura Cardiovascular Clinic; Nakano Clinic; Nanko Clinic; Nishiyamadou Keiwa Hospital; Nomura Clinic; Okura Otolaryngology Clinic; Primula Clinic; Saino Clinic; Sakata ENT Clinic; Sakura Hospital; Sannou Yamate Clinic; Sasaki Clinic; Sato ENT Clinic; Shimada Clinic; Shirao Clinic of Pediatrics and Pediatric Allergy; Someya Clinic; Sone Clinic Shinjuku; Suzuki Clinic; Suzuki Internal Medicine Clinic; Tanabe Pediatrics; Terada Clinic, Respiratory medicine and General Practice; Ueyama Child Clinic; Umemotokodomo Clinic; Uranishi Clinic; Wada Clinic; Yaesu Clinic; Yamada Clinic; Yamaichi Building Medical Clinic; Yokoyama Children’s Clinic; Yoshimura Child Clinic; YOSHIMURA CLiNiC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Validation stage (11 sites):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Dozenkai Clinic; Fukuda Clinic (Internal medicine); Himeno Hospital; Kimura Clinic; Nakano Clinic; Sato ENT Clinic; Shimada Clinic; Terada Clinic, Respiratory Medicine and General Practice; Ueyama Child Clinic; Uranishi Clinic; Yaesu Clinic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Supplementary Figure 1. Feature importance of pharyngeal images and clinical information in the LightGBM model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731200" cy="429260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Abbreviation: BT: body temperature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*multi-view convolutional neural network (MV-CNN) influenza probability based on pharyngeal images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Supplementary Figure 2. Feature importance of pharyngeal images and clinical information in the CatBoost model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</w:rPr>
        <w:drawing>
          <wp:inline distB="114300" distT="114300" distL="114300" distR="114300">
            <wp:extent cx="5731200" cy="429260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Abbreviation: BT: body temperature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*multi-view convolutional neural network (MV-CNN) influenza probability based on pharyngeal images</w:t>
      </w:r>
    </w:p>
    <w:p w:rsidR="00000000" w:rsidDel="00000000" w:rsidP="00000000" w:rsidRDefault="00000000" w:rsidRPr="00000000" w14:paraId="00000010">
      <w:pPr>
        <w:widowControl w:val="1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Supplementary Figure 3. Receiver operating characteristic curve of the diagnostic prediction model in the artificial intelligence-assisted diagnosis device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  <w:sectPr>
          <w:headerReference r:id="rId9" w:type="default"/>
          <w:footerReference r:id="rId10" w:type="default"/>
          <w:pgSz w:h="16838" w:w="11906" w:orient="portrait"/>
          <w:pgMar w:bottom="1440" w:top="1440" w:left="1440" w:right="1440" w:header="851" w:footer="992"/>
          <w:pgNumType w:start="1"/>
        </w:sect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731200" cy="572770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Supplementary Table 2. Validity of the artificial intelligence-assisted device compared with the gold-standard diagnosis of influenza virus infection based on reverse transcription polymerase chain reaction</w:t>
      </w:r>
    </w:p>
    <w:p w:rsidR="00000000" w:rsidDel="00000000" w:rsidP="00000000" w:rsidRDefault="00000000" w:rsidRPr="00000000" w14:paraId="00000014">
      <w:pPr>
        <w:widowControl w:val="1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99"/>
        <w:gridCol w:w="974"/>
        <w:gridCol w:w="1681"/>
        <w:gridCol w:w="1761"/>
        <w:gridCol w:w="844"/>
        <w:gridCol w:w="2198"/>
        <w:tblGridChange w:id="0">
          <w:tblGrid>
            <w:gridCol w:w="1899"/>
            <w:gridCol w:w="974"/>
            <w:gridCol w:w="1681"/>
            <w:gridCol w:w="1761"/>
            <w:gridCol w:w="844"/>
            <w:gridCol w:w="2198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Influenza virus infection based on RT-PCR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PPV and NPV</w:t>
            </w:r>
          </w:p>
          <w:p w:rsidR="00000000" w:rsidDel="00000000" w:rsidP="00000000" w:rsidRDefault="00000000" w:rsidRPr="00000000" w14:paraId="0000001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(95% CI), %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Prediction by the AI-assisted device*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ind w:left="-67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Positive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204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PPV: 73 (67–79)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ind w:left="-67" w:right="-71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Negative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408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455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NPV: 90 (87–92)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463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659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Sensitivity and specificity</w:t>
            </w:r>
          </w:p>
          <w:p w:rsidR="00000000" w:rsidDel="00000000" w:rsidP="00000000" w:rsidRDefault="00000000" w:rsidRPr="00000000" w14:paraId="00000035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(95% CI), %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Sensitivity:</w:t>
            </w:r>
          </w:p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76 (70–82)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Specificity:</w:t>
            </w:r>
          </w:p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88 (85–91)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1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*According to the selected cut-off point on the receiver operating curve of the diagnostic prediction model of the AI-assisted device shown in Supplementary Fig. 3.</w:t>
      </w:r>
    </w:p>
    <w:p w:rsidR="00000000" w:rsidDel="00000000" w:rsidP="00000000" w:rsidRDefault="00000000" w:rsidRPr="00000000" w14:paraId="0000003E">
      <w:pPr>
        <w:widowControl w:val="1"/>
        <w:jc w:val="left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38" w:w="11906" w:orient="portrait"/>
          <w:pgMar w:bottom="1440" w:top="1440" w:left="1440" w:right="1440" w:header="851" w:footer="992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Abbreviations: AI: artificial intelligence, CI: confidence interval, PPV: positive predictive value, NPV: negative predictive value, RT-PCR: reverse transcription polymerase chain reaction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551A4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551A46"/>
  </w:style>
  <w:style w:type="paragraph" w:styleId="a6">
    <w:name w:val="footer"/>
    <w:basedOn w:val="a"/>
    <w:link w:val="a7"/>
    <w:uiPriority w:val="99"/>
    <w:unhideWhenUsed w:val="1"/>
    <w:rsid w:val="00551A4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551A46"/>
  </w:style>
  <w:style w:type="character" w:styleId="a8">
    <w:name w:val="annotation reference"/>
    <w:basedOn w:val="a0"/>
    <w:uiPriority w:val="99"/>
    <w:semiHidden w:val="1"/>
    <w:unhideWhenUsed w:val="1"/>
    <w:rsid w:val="00B01EF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 w:val="1"/>
    <w:rsid w:val="00B01EFC"/>
    <w:pPr>
      <w:jc w:val="left"/>
    </w:pPr>
  </w:style>
  <w:style w:type="character" w:styleId="aa" w:customStyle="1">
    <w:name w:val="コメント文字列 (文字)"/>
    <w:basedOn w:val="a0"/>
    <w:link w:val="a9"/>
    <w:uiPriority w:val="99"/>
    <w:rsid w:val="00B01EFC"/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B01EFC"/>
    <w:rPr>
      <w:b w:val="1"/>
      <w:bCs w:val="1"/>
    </w:rPr>
  </w:style>
  <w:style w:type="character" w:styleId="ac" w:customStyle="1">
    <w:name w:val="コメント内容 (文字)"/>
    <w:basedOn w:val="aa"/>
    <w:link w:val="ab"/>
    <w:uiPriority w:val="99"/>
    <w:semiHidden w:val="1"/>
    <w:rsid w:val="00B01EFC"/>
    <w:rPr>
      <w:b w:val="1"/>
      <w:bCs w:val="1"/>
    </w:rPr>
  </w:style>
  <w:style w:type="paragraph" w:styleId="ad">
    <w:name w:val="Revision"/>
    <w:hidden w:val="1"/>
    <w:uiPriority w:val="99"/>
    <w:semiHidden w:val="1"/>
    <w:rsid w:val="00550FC4"/>
  </w:style>
  <w:style w:type="table" w:styleId="ae">
    <w:name w:val="Table Grid"/>
    <w:basedOn w:val="a1"/>
    <w:uiPriority w:val="39"/>
    <w:rsid w:val="00AC7F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2">
    <w:name w:val="Balloon Text"/>
    <w:basedOn w:val="a"/>
    <w:link w:val="af3"/>
    <w:uiPriority w:val="99"/>
    <w:semiHidden w:val="1"/>
    <w:unhideWhenUsed w:val="1"/>
    <w:rsid w:val="00012A7C"/>
    <w:rPr>
      <w:rFonts w:ascii="Tahoma" w:cs="Tahoma" w:hAnsi="Tahoma"/>
      <w:sz w:val="16"/>
      <w:szCs w:val="16"/>
    </w:rPr>
  </w:style>
  <w:style w:type="character" w:styleId="af3" w:customStyle="1">
    <w:name w:val="吹き出し (文字)"/>
    <w:basedOn w:val="a0"/>
    <w:link w:val="af2"/>
    <w:uiPriority w:val="99"/>
    <w:semiHidden w:val="1"/>
    <w:rsid w:val="00012A7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k9l5R5OBRTV30F9oMKRPL1u4iA==">AMUW2mWFN5I+9vlatNQmppkkXj6wvwhVpEj9Y9/K3YJMPTQF1hETlzePQIX1WyJXJ8ChGba33mFRySIcBxMhxlKk2IEmem5q1orRSLNTsxJ0H9hgfQ7AFi4=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2021-10-15T09:56:00Z</dcterms:created>
  <dc:creator>将夫 岩</dc:creator>
</cp:coreProperties>
</file>