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97A4" w14:textId="0DAA8EB7" w:rsidR="00A6630C" w:rsidRPr="003455C9" w:rsidRDefault="00A6630C" w:rsidP="003455C9">
      <w:pPr>
        <w:pStyle w:val="Heading1"/>
        <w:spacing w:line="360" w:lineRule="auto"/>
        <w:ind w:left="-5"/>
        <w:rPr>
          <w:rFonts w:asciiTheme="majorHAnsi" w:hAnsiTheme="majorHAnsi" w:cstheme="majorHAnsi"/>
        </w:rPr>
      </w:pPr>
      <w:r w:rsidRPr="003455C9">
        <w:rPr>
          <w:rFonts w:asciiTheme="majorHAnsi" w:hAnsiTheme="majorHAnsi" w:cstheme="majorHAnsi"/>
        </w:rPr>
        <w:t>GWAS:</w:t>
      </w:r>
    </w:p>
    <w:p w14:paraId="67489609" w14:textId="57BAAC37" w:rsidR="00A6630C" w:rsidRPr="003455C9" w:rsidRDefault="00A6630C" w:rsidP="003455C9">
      <w:pPr>
        <w:pStyle w:val="Heading1"/>
        <w:spacing w:line="360" w:lineRule="auto"/>
        <w:ind w:left="-5"/>
        <w:rPr>
          <w:rFonts w:asciiTheme="majorHAnsi" w:hAnsiTheme="majorHAnsi" w:cstheme="majorHAnsi"/>
        </w:rPr>
      </w:pPr>
      <w:r w:rsidRPr="003455C9">
        <w:rPr>
          <w:rFonts w:asciiTheme="majorHAnsi" w:hAnsiTheme="majorHAnsi" w:cstheme="majorHAnsi"/>
        </w:rPr>
        <w:t xml:space="preserve">Genotyping and imputation </w:t>
      </w:r>
    </w:p>
    <w:p w14:paraId="66B0B514" w14:textId="77777777" w:rsidR="00A6630C" w:rsidRPr="003455C9" w:rsidRDefault="00A6630C" w:rsidP="003455C9">
      <w:pPr>
        <w:spacing w:line="360" w:lineRule="auto"/>
        <w:ind w:left="-5" w:right="49"/>
        <w:rPr>
          <w:rFonts w:asciiTheme="majorHAnsi" w:hAnsiTheme="majorHAnsi" w:cstheme="majorHAnsi"/>
        </w:rPr>
      </w:pPr>
      <w:r w:rsidRPr="003455C9">
        <w:rPr>
          <w:rFonts w:asciiTheme="majorHAnsi" w:hAnsiTheme="majorHAnsi" w:cstheme="majorHAnsi"/>
        </w:rPr>
        <w:t>The data release for this analysis contains the cohort of successfully genotyped samples (n=488,377). 49,979 individuals were genotyped using the UK BiLEVE array and 438,398 using the UK Biobank axiom array. Pre-imputation QC, phasing and imputation are described elsewhere.</w:t>
      </w:r>
      <w:r w:rsidRPr="003455C9">
        <w:rPr>
          <w:rFonts w:asciiTheme="majorHAnsi" w:hAnsiTheme="majorHAnsi" w:cstheme="majorHAnsi"/>
          <w:vertAlign w:val="superscript"/>
        </w:rPr>
        <w:t>23</w:t>
      </w:r>
      <w:r w:rsidRPr="003455C9">
        <w:rPr>
          <w:rFonts w:asciiTheme="majorHAnsi" w:hAnsiTheme="majorHAnsi" w:cstheme="majorHAnsi"/>
        </w:rPr>
        <w:t xml:space="preserve"> In brief, prior to phasing, multiallelic SNPs or those with MAF ≤1% were removed. Phasing of genotype data was performed using a modified version of the SHAPEIT2 algorithm. Genotype imputation to a reference set combining the UK10K haplotype and HRC reference panels was performed using IMPUTE2 algorithms. </w:t>
      </w:r>
    </w:p>
    <w:p w14:paraId="241FA9FE" w14:textId="77777777" w:rsidR="00A6630C" w:rsidRPr="003455C9" w:rsidRDefault="00A6630C" w:rsidP="003455C9">
      <w:pPr>
        <w:spacing w:line="360" w:lineRule="auto"/>
        <w:ind w:left="-5" w:right="49"/>
        <w:rPr>
          <w:rFonts w:asciiTheme="majorHAnsi" w:hAnsiTheme="majorHAnsi" w:cstheme="majorHAnsi"/>
        </w:rPr>
      </w:pPr>
      <w:r w:rsidRPr="003455C9">
        <w:rPr>
          <w:rFonts w:asciiTheme="majorHAnsi" w:hAnsiTheme="majorHAnsi" w:cstheme="majorHAnsi"/>
        </w:rPr>
        <w:t>The analyses presented here were restricted to autosomal variants using a graded filtering with varying imputation quality for different allele frequency ranges. Therefore, rarer genetic variants are required to have a higher imputation INFO score (Info&gt;0.3 for MAF &gt;3%; Info&gt;0.6 for MAF 1-3%; Info&gt;0.8 for MAF 0.5-1%; Info&gt;0.9 for MAF 0.1-0.5%) with MAF and Info scores having been recalculated on an in-house derived ‘European’ subset.</w:t>
      </w:r>
      <w:r w:rsidRPr="003455C9">
        <w:rPr>
          <w:rFonts w:asciiTheme="majorHAnsi" w:hAnsiTheme="majorHAnsi" w:cstheme="majorHAnsi"/>
          <w:vertAlign w:val="superscript"/>
        </w:rPr>
        <w:t>23</w:t>
      </w:r>
      <w:r w:rsidRPr="003455C9">
        <w:rPr>
          <w:rFonts w:asciiTheme="majorHAnsi" w:hAnsiTheme="majorHAnsi" w:cstheme="majorHAnsi"/>
        </w:rPr>
        <w:t xml:space="preserve">  </w:t>
      </w:r>
    </w:p>
    <w:p w14:paraId="6DC93410" w14:textId="77777777" w:rsidR="00A6630C" w:rsidRPr="003455C9" w:rsidRDefault="00A6630C" w:rsidP="003455C9">
      <w:pPr>
        <w:pStyle w:val="Heading1"/>
        <w:spacing w:line="360" w:lineRule="auto"/>
        <w:ind w:left="-5"/>
        <w:rPr>
          <w:rFonts w:asciiTheme="majorHAnsi" w:hAnsiTheme="majorHAnsi" w:cstheme="majorHAnsi"/>
        </w:rPr>
      </w:pPr>
      <w:r w:rsidRPr="003455C9">
        <w:rPr>
          <w:rFonts w:asciiTheme="majorHAnsi" w:hAnsiTheme="majorHAnsi" w:cstheme="majorHAnsi"/>
        </w:rPr>
        <w:t xml:space="preserve">Data quality control  </w:t>
      </w:r>
    </w:p>
    <w:p w14:paraId="5ADF2BE4" w14:textId="77777777" w:rsidR="00A6630C" w:rsidRPr="003455C9" w:rsidRDefault="00A6630C" w:rsidP="003455C9">
      <w:pPr>
        <w:spacing w:line="360" w:lineRule="auto"/>
        <w:ind w:left="-5" w:right="49"/>
        <w:rPr>
          <w:rFonts w:asciiTheme="majorHAnsi" w:hAnsiTheme="majorHAnsi" w:cstheme="majorHAnsi"/>
        </w:rPr>
      </w:pPr>
      <w:r w:rsidRPr="003455C9">
        <w:rPr>
          <w:rFonts w:asciiTheme="majorHAnsi" w:hAnsiTheme="majorHAnsi" w:cstheme="majorHAnsi"/>
        </w:rPr>
        <w:t xml:space="preserve">Individuals with sex-mismatch (derived by comparing genetic sex and reported sex) or individuals with sex-chromosome aneuploidy were excluded from the analysis (n=814).  </w:t>
      </w:r>
    </w:p>
    <w:p w14:paraId="3EA3C130" w14:textId="77777777" w:rsidR="00A6630C" w:rsidRPr="003455C9" w:rsidRDefault="00A6630C" w:rsidP="003455C9">
      <w:pPr>
        <w:pStyle w:val="Heading1"/>
        <w:spacing w:line="360" w:lineRule="auto"/>
        <w:ind w:left="-5"/>
        <w:rPr>
          <w:rFonts w:asciiTheme="majorHAnsi" w:hAnsiTheme="majorHAnsi" w:cstheme="majorHAnsi"/>
        </w:rPr>
      </w:pPr>
      <w:r w:rsidRPr="003455C9">
        <w:rPr>
          <w:rFonts w:asciiTheme="majorHAnsi" w:hAnsiTheme="majorHAnsi" w:cstheme="majorHAnsi"/>
        </w:rPr>
        <w:t xml:space="preserve">Ancestry </w:t>
      </w:r>
    </w:p>
    <w:p w14:paraId="2B3735D7" w14:textId="77777777" w:rsidR="00A6630C" w:rsidRPr="003455C9" w:rsidRDefault="00A6630C" w:rsidP="003455C9">
      <w:pPr>
        <w:spacing w:after="198" w:line="360" w:lineRule="auto"/>
        <w:ind w:left="-5" w:right="49"/>
        <w:rPr>
          <w:rFonts w:asciiTheme="majorHAnsi" w:hAnsiTheme="majorHAnsi" w:cstheme="majorHAnsi"/>
        </w:rPr>
      </w:pPr>
      <w:r w:rsidRPr="003455C9">
        <w:rPr>
          <w:rFonts w:asciiTheme="majorHAnsi" w:hAnsiTheme="majorHAnsi" w:cstheme="majorHAnsi"/>
        </w:rPr>
        <w:t>We restricted the sample to individuals of ‘European’ ancestry as defined by an in-house kmeans cluster analysis performed using the first 4 principal components provided by UK Biobank in the statistical software environment R. The current analysis includes the largest cluster from this analysis (n=464,708).</w:t>
      </w:r>
      <w:r w:rsidRPr="003455C9">
        <w:rPr>
          <w:rFonts w:asciiTheme="majorHAnsi" w:hAnsiTheme="majorHAnsi" w:cstheme="majorHAnsi"/>
          <w:vertAlign w:val="superscript"/>
        </w:rPr>
        <w:t>23</w:t>
      </w:r>
      <w:r w:rsidRPr="003455C9">
        <w:rPr>
          <w:rFonts w:asciiTheme="majorHAnsi" w:hAnsiTheme="majorHAnsi" w:cstheme="majorHAnsi"/>
        </w:rPr>
        <w:t xml:space="preserve"> </w:t>
      </w:r>
    </w:p>
    <w:p w14:paraId="00194610" w14:textId="77777777" w:rsidR="00A6630C" w:rsidRPr="003455C9" w:rsidRDefault="00A6630C" w:rsidP="003455C9">
      <w:pPr>
        <w:pStyle w:val="Heading1"/>
        <w:spacing w:after="159" w:line="360" w:lineRule="auto"/>
        <w:ind w:left="-5"/>
        <w:rPr>
          <w:rFonts w:asciiTheme="majorHAnsi" w:hAnsiTheme="majorHAnsi" w:cstheme="majorHAnsi"/>
        </w:rPr>
      </w:pPr>
      <w:r w:rsidRPr="003455C9">
        <w:rPr>
          <w:rFonts w:asciiTheme="majorHAnsi" w:hAnsiTheme="majorHAnsi" w:cstheme="majorHAnsi"/>
        </w:rPr>
        <w:t xml:space="preserve">GWAS methodology </w:t>
      </w:r>
    </w:p>
    <w:p w14:paraId="64A175D4" w14:textId="77777777" w:rsidR="00A6630C" w:rsidRPr="003455C9" w:rsidRDefault="00A6630C" w:rsidP="003455C9">
      <w:pPr>
        <w:spacing w:after="159" w:line="360" w:lineRule="auto"/>
        <w:ind w:left="0" w:firstLine="0"/>
        <w:rPr>
          <w:rFonts w:asciiTheme="majorHAnsi" w:hAnsiTheme="majorHAnsi" w:cstheme="majorHAnsi"/>
        </w:rPr>
      </w:pPr>
      <w:r w:rsidRPr="003455C9">
        <w:rPr>
          <w:rFonts w:asciiTheme="majorHAnsi" w:hAnsiTheme="majorHAnsi" w:cstheme="majorHAnsi"/>
          <w:i/>
        </w:rPr>
        <w:t xml:space="preserve"> </w:t>
      </w:r>
    </w:p>
    <w:p w14:paraId="213231B1" w14:textId="77777777" w:rsidR="00A6630C" w:rsidRPr="003455C9" w:rsidRDefault="00A6630C" w:rsidP="003455C9">
      <w:pPr>
        <w:spacing w:after="191" w:line="360" w:lineRule="auto"/>
        <w:ind w:left="-5" w:right="49"/>
        <w:rPr>
          <w:rFonts w:asciiTheme="majorHAnsi" w:hAnsiTheme="majorHAnsi" w:cstheme="majorHAnsi"/>
        </w:rPr>
      </w:pPr>
      <w:r w:rsidRPr="003455C9">
        <w:rPr>
          <w:rFonts w:asciiTheme="majorHAnsi" w:hAnsiTheme="majorHAnsi" w:cstheme="majorHAnsi"/>
        </w:rPr>
        <w:t xml:space="preserve">regenie was chosen to perform GWAS as it reduces type 1 error when there is significant case control imbalance, as compared to linear mixed model approaches, with prior data </w:t>
      </w:r>
      <w:r w:rsidRPr="003455C9">
        <w:rPr>
          <w:rFonts w:asciiTheme="majorHAnsi" w:hAnsiTheme="majorHAnsi" w:cstheme="majorHAnsi"/>
        </w:rPr>
        <w:lastRenderedPageBreak/>
        <w:t>suggesting good performance with case-control ratios as high as 1:660 in UK Biobank, as well as controlling for relatedness.</w:t>
      </w:r>
      <w:r w:rsidRPr="003455C9">
        <w:rPr>
          <w:rFonts w:asciiTheme="majorHAnsi" w:hAnsiTheme="majorHAnsi" w:cstheme="majorHAnsi"/>
          <w:vertAlign w:val="superscript"/>
        </w:rPr>
        <w:t>24</w:t>
      </w:r>
      <w:r w:rsidRPr="003455C9">
        <w:rPr>
          <w:rFonts w:asciiTheme="majorHAnsi" w:hAnsiTheme="majorHAnsi" w:cstheme="majorHAnsi"/>
        </w:rPr>
        <w:t xml:space="preserve"> </w:t>
      </w:r>
    </w:p>
    <w:p w14:paraId="4B19D2EC" w14:textId="588B3F38" w:rsidR="00EF2DDE" w:rsidRPr="003455C9" w:rsidRDefault="00A6630C" w:rsidP="003455C9">
      <w:pPr>
        <w:spacing w:line="360" w:lineRule="auto"/>
        <w:rPr>
          <w:rFonts w:asciiTheme="majorHAnsi" w:hAnsiTheme="majorHAnsi" w:cstheme="majorHAnsi"/>
          <w:vertAlign w:val="superscript"/>
        </w:rPr>
      </w:pPr>
      <w:r w:rsidRPr="003455C9">
        <w:rPr>
          <w:rFonts w:asciiTheme="majorHAnsi" w:hAnsiTheme="majorHAnsi" w:cstheme="majorHAnsi"/>
        </w:rPr>
        <w:t>GWAS was performed using regenie 2.2.2 adjusting for age, sex, genetic chip, UK Biobank assessment centre and the first ten principal components, with further details in the supplement. LD Score regression (v1.0.1) was then used to calculate genomic inflation.</w:t>
      </w:r>
      <w:r w:rsidRPr="003455C9">
        <w:rPr>
          <w:rFonts w:asciiTheme="majorHAnsi" w:hAnsiTheme="majorHAnsi" w:cstheme="majorHAnsi"/>
          <w:vertAlign w:val="superscript"/>
        </w:rPr>
        <w:t>25</w:t>
      </w:r>
    </w:p>
    <w:p w14:paraId="71052E11" w14:textId="6EC54380" w:rsidR="00151A80" w:rsidRPr="003455C9" w:rsidRDefault="00151A80" w:rsidP="003455C9">
      <w:pPr>
        <w:spacing w:line="360" w:lineRule="auto"/>
        <w:rPr>
          <w:rFonts w:asciiTheme="majorHAnsi" w:hAnsiTheme="majorHAnsi" w:cstheme="majorHAnsi"/>
          <w:vertAlign w:val="superscript"/>
        </w:rPr>
      </w:pPr>
    </w:p>
    <w:p w14:paraId="20BB731F" w14:textId="57CA2D7D" w:rsidR="00151A80" w:rsidRPr="003455C9" w:rsidRDefault="00151A80" w:rsidP="003455C9">
      <w:pPr>
        <w:spacing w:line="360" w:lineRule="auto"/>
        <w:rPr>
          <w:rFonts w:asciiTheme="majorHAnsi" w:hAnsiTheme="majorHAnsi" w:cstheme="majorHAnsi"/>
          <w:i/>
          <w:iCs/>
        </w:rPr>
      </w:pPr>
      <w:r w:rsidRPr="003455C9">
        <w:rPr>
          <w:rFonts w:asciiTheme="majorHAnsi" w:hAnsiTheme="majorHAnsi" w:cstheme="majorHAnsi"/>
          <w:i/>
          <w:iCs/>
        </w:rPr>
        <w:t xml:space="preserve">Definition and justification of instrument </w:t>
      </w:r>
    </w:p>
    <w:p w14:paraId="697E809A" w14:textId="77777777" w:rsidR="00151A80" w:rsidRPr="003455C9" w:rsidRDefault="00151A80" w:rsidP="003455C9">
      <w:pPr>
        <w:spacing w:after="5" w:line="360" w:lineRule="auto"/>
        <w:ind w:left="-5" w:right="49"/>
        <w:rPr>
          <w:rFonts w:asciiTheme="majorHAnsi" w:hAnsiTheme="majorHAnsi" w:cstheme="majorHAnsi"/>
        </w:rPr>
      </w:pPr>
      <w:r w:rsidRPr="003455C9">
        <w:rPr>
          <w:rFonts w:asciiTheme="majorHAnsi" w:hAnsiTheme="majorHAnsi" w:cstheme="majorHAnsi"/>
        </w:rPr>
        <w:t>We chose to weight this downregulation by the effect of each variant on hsCRP. The weighting on hsCRP was performed for multiple reasons. Firstly, IL6 is responsible for the production of hsCRP in hepatocytes and hsCRP is directly downstream of IL6, and hsCRP levels therefore reflect the activity of the IL6 pathway.</w:t>
      </w:r>
      <w:r w:rsidRPr="003455C9">
        <w:rPr>
          <w:rFonts w:asciiTheme="majorHAnsi" w:hAnsiTheme="majorHAnsi" w:cstheme="majorHAnsi"/>
          <w:vertAlign w:val="superscript"/>
        </w:rPr>
        <w:t>19,44,45</w:t>
      </w:r>
      <w:r w:rsidRPr="003455C9">
        <w:rPr>
          <w:rFonts w:asciiTheme="majorHAnsi" w:hAnsiTheme="majorHAnsi" w:cstheme="majorHAnsi"/>
        </w:rPr>
        <w:t xml:space="preserve"> Secondly, trial data shows large effects of IL6RAs on circulating hsCRP in a wide range of clinical settings, with hsCRP levels often correlating with clinical outcomes.</w:t>
      </w:r>
      <w:r w:rsidRPr="003455C9">
        <w:rPr>
          <w:rFonts w:asciiTheme="majorHAnsi" w:hAnsiTheme="majorHAnsi" w:cstheme="majorHAnsi"/>
          <w:vertAlign w:val="superscript"/>
        </w:rPr>
        <w:t>12,13,46,47</w:t>
      </w:r>
      <w:r w:rsidRPr="003455C9">
        <w:rPr>
          <w:rFonts w:asciiTheme="majorHAnsi" w:hAnsiTheme="majorHAnsi" w:cstheme="majorHAnsi"/>
        </w:rPr>
        <w:t>. Finally, this approach (</w:t>
      </w:r>
      <w:r w:rsidRPr="003455C9">
        <w:rPr>
          <w:rFonts w:asciiTheme="majorHAnsi" w:hAnsiTheme="majorHAnsi" w:cstheme="majorHAnsi"/>
          <w:i/>
        </w:rPr>
        <w:t>IL6R</w:t>
      </w:r>
      <w:r w:rsidRPr="003455C9">
        <w:rPr>
          <w:rFonts w:asciiTheme="majorHAnsi" w:hAnsiTheme="majorHAnsi" w:cstheme="majorHAnsi"/>
        </w:rPr>
        <w:t xml:space="preserve"> variants weighted by CRP to proxy IL6RA therapy) has been recommend and/or utilised in multiple recent studies, and there are large-scale GWAS available to provide precise estimates.</w:t>
      </w:r>
      <w:r w:rsidRPr="003455C9">
        <w:rPr>
          <w:rFonts w:asciiTheme="majorHAnsi" w:hAnsiTheme="majorHAnsi" w:cstheme="majorHAnsi"/>
          <w:vertAlign w:val="superscript"/>
        </w:rPr>
        <w:t>18–</w:t>
      </w:r>
    </w:p>
    <w:p w14:paraId="35187C8C" w14:textId="77777777" w:rsidR="00151A80" w:rsidRPr="003455C9" w:rsidRDefault="00151A80" w:rsidP="003455C9">
      <w:pPr>
        <w:spacing w:after="426" w:line="360" w:lineRule="auto"/>
        <w:ind w:left="0" w:firstLine="0"/>
        <w:rPr>
          <w:rFonts w:asciiTheme="majorHAnsi" w:hAnsiTheme="majorHAnsi" w:cstheme="majorHAnsi"/>
        </w:rPr>
      </w:pPr>
      <w:r w:rsidRPr="003455C9">
        <w:rPr>
          <w:rFonts w:asciiTheme="majorHAnsi" w:hAnsiTheme="majorHAnsi" w:cstheme="majorHAnsi"/>
        </w:rPr>
        <w:t xml:space="preserve">20,30,33,44,45  </w:t>
      </w:r>
    </w:p>
    <w:p w14:paraId="076EE739" w14:textId="77777777" w:rsidR="00151A80" w:rsidRPr="003455C9" w:rsidRDefault="00151A80" w:rsidP="003455C9">
      <w:pPr>
        <w:spacing w:line="360" w:lineRule="auto"/>
        <w:ind w:left="-5" w:right="49"/>
        <w:rPr>
          <w:rFonts w:asciiTheme="majorHAnsi" w:hAnsiTheme="majorHAnsi" w:cstheme="majorHAnsi"/>
        </w:rPr>
      </w:pPr>
      <w:r w:rsidRPr="003455C9">
        <w:rPr>
          <w:rFonts w:asciiTheme="majorHAnsi" w:hAnsiTheme="majorHAnsi" w:cstheme="majorHAnsi"/>
        </w:rPr>
        <w:t xml:space="preserve">This weighting on CRP therefore does not </w:t>
      </w:r>
      <w:proofErr w:type="gramStart"/>
      <w:r w:rsidRPr="003455C9">
        <w:rPr>
          <w:rFonts w:asciiTheme="majorHAnsi" w:hAnsiTheme="majorHAnsi" w:cstheme="majorHAnsi"/>
        </w:rPr>
        <w:t>make an assumption</w:t>
      </w:r>
      <w:proofErr w:type="gramEnd"/>
      <w:r w:rsidRPr="003455C9">
        <w:rPr>
          <w:rFonts w:asciiTheme="majorHAnsi" w:hAnsiTheme="majorHAnsi" w:cstheme="majorHAnsi"/>
        </w:rPr>
        <w:t xml:space="preserve"> of any causal pathway, however, reflects a best-available handle on the functional effect of each IL6R variant on IL6 downregulation and hence the appropriate weight for inclusion in follow up MR analysis. In further analyses, described below, we assess whether hsCRP might be mediating the IL6R effect using </w:t>
      </w:r>
      <w:r w:rsidRPr="003455C9">
        <w:rPr>
          <w:rFonts w:asciiTheme="majorHAnsi" w:hAnsiTheme="majorHAnsi" w:cstheme="majorHAnsi"/>
          <w:i/>
        </w:rPr>
        <w:t>cis</w:t>
      </w:r>
      <w:r w:rsidRPr="003455C9">
        <w:rPr>
          <w:rFonts w:asciiTheme="majorHAnsi" w:hAnsiTheme="majorHAnsi" w:cstheme="majorHAnsi"/>
        </w:rPr>
        <w:t xml:space="preserve">CRP variants. </w:t>
      </w:r>
    </w:p>
    <w:p w14:paraId="44A91973" w14:textId="77777777" w:rsidR="00151A80" w:rsidRPr="003455C9" w:rsidRDefault="00151A80" w:rsidP="003455C9">
      <w:pPr>
        <w:spacing w:after="132" w:line="360" w:lineRule="auto"/>
        <w:ind w:left="-5" w:right="49"/>
        <w:rPr>
          <w:rFonts w:asciiTheme="majorHAnsi" w:hAnsiTheme="majorHAnsi" w:cstheme="majorHAnsi"/>
        </w:rPr>
      </w:pPr>
      <w:r w:rsidRPr="003455C9">
        <w:rPr>
          <w:rFonts w:asciiTheme="majorHAnsi" w:hAnsiTheme="majorHAnsi" w:cstheme="majorHAnsi"/>
        </w:rPr>
        <w:t>Conceptually our genetic instrument is similar to the action of anti-IL6R monoclonal antibodies (</w:t>
      </w:r>
      <w:proofErr w:type="gramStart"/>
      <w:r w:rsidRPr="003455C9">
        <w:rPr>
          <w:rFonts w:asciiTheme="majorHAnsi" w:hAnsiTheme="majorHAnsi" w:cstheme="majorHAnsi"/>
        </w:rPr>
        <w:t>e.g.</w:t>
      </w:r>
      <w:proofErr w:type="gramEnd"/>
      <w:r w:rsidRPr="003455C9">
        <w:rPr>
          <w:rFonts w:asciiTheme="majorHAnsi" w:hAnsiTheme="majorHAnsi" w:cstheme="majorHAnsi"/>
        </w:rPr>
        <w:t xml:space="preserve"> tocilizumab) that lead to complete inhibition of IL6R signalling by blocking both IL6 classical and trans signalling.</w:t>
      </w:r>
      <w:r w:rsidRPr="003455C9">
        <w:rPr>
          <w:rFonts w:asciiTheme="majorHAnsi" w:hAnsiTheme="majorHAnsi" w:cstheme="majorHAnsi"/>
          <w:vertAlign w:val="superscript"/>
        </w:rPr>
        <w:t>17–19,44,45</w:t>
      </w:r>
      <w:r w:rsidRPr="003455C9">
        <w:rPr>
          <w:rFonts w:asciiTheme="majorHAnsi" w:hAnsiTheme="majorHAnsi" w:cstheme="majorHAnsi"/>
        </w:rPr>
        <w:t xml:space="preserve"> For simplicity we henceforth refer to this exposure as “IL6R blockade”. It is recognised that this is an oversimplification of the IL6 pathway, with evidence that effects on health outcomes are mediated by classical and trans signalling in differing ways, and that the effect of our instrument may not act in the same way as IL6RAs.</w:t>
      </w:r>
      <w:proofErr w:type="gramStart"/>
      <w:r w:rsidRPr="003455C9">
        <w:rPr>
          <w:rFonts w:asciiTheme="majorHAnsi" w:hAnsiTheme="majorHAnsi" w:cstheme="majorHAnsi"/>
          <w:vertAlign w:val="superscript"/>
        </w:rPr>
        <w:t>8</w:t>
      </w:r>
      <w:r w:rsidRPr="003455C9">
        <w:rPr>
          <w:rFonts w:asciiTheme="majorHAnsi" w:hAnsiTheme="majorHAnsi" w:cstheme="majorHAnsi"/>
        </w:rPr>
        <w:t xml:space="preserve">  In</w:t>
      </w:r>
      <w:proofErr w:type="gramEnd"/>
      <w:r w:rsidRPr="003455C9">
        <w:rPr>
          <w:rFonts w:asciiTheme="majorHAnsi" w:hAnsiTheme="majorHAnsi" w:cstheme="majorHAnsi"/>
        </w:rPr>
        <w:t xml:space="preserve"> our sensitivity analyses (below), we explore other ways of defining our exposure, including alternative weighting strategies.  </w:t>
      </w:r>
    </w:p>
    <w:p w14:paraId="46CAF6F0" w14:textId="33D116A3" w:rsidR="00151A80" w:rsidRPr="003455C9" w:rsidRDefault="00E570C4" w:rsidP="003455C9">
      <w:pPr>
        <w:spacing w:after="284" w:line="360" w:lineRule="auto"/>
        <w:ind w:left="0" w:firstLine="0"/>
        <w:rPr>
          <w:rFonts w:asciiTheme="majorHAnsi" w:hAnsiTheme="majorHAnsi" w:cstheme="majorHAnsi"/>
          <w:i/>
          <w:iCs/>
        </w:rPr>
      </w:pPr>
      <w:r w:rsidRPr="003455C9">
        <w:rPr>
          <w:rFonts w:asciiTheme="majorHAnsi" w:hAnsiTheme="majorHAnsi" w:cstheme="majorHAnsi"/>
          <w:i/>
          <w:iCs/>
        </w:rPr>
        <w:lastRenderedPageBreak/>
        <w:t>Secondary cohorts</w:t>
      </w:r>
    </w:p>
    <w:p w14:paraId="5E635779" w14:textId="1041D6CC" w:rsidR="001D4B8F" w:rsidRDefault="00E570C4" w:rsidP="001D4B8F">
      <w:pPr>
        <w:spacing w:after="6" w:line="360" w:lineRule="auto"/>
        <w:ind w:left="-5" w:right="49"/>
        <w:rPr>
          <w:rFonts w:asciiTheme="majorHAnsi" w:hAnsiTheme="majorHAnsi" w:cstheme="majorHAnsi"/>
          <w:b/>
          <w:bCs/>
        </w:rPr>
      </w:pPr>
      <w:r w:rsidRPr="003455C9">
        <w:rPr>
          <w:rFonts w:asciiTheme="majorHAnsi" w:hAnsiTheme="majorHAnsi" w:cstheme="majorHAnsi"/>
        </w:rPr>
        <w:t>We included</w:t>
      </w:r>
      <w:r w:rsidR="001D4B8F">
        <w:rPr>
          <w:rFonts w:asciiTheme="majorHAnsi" w:hAnsiTheme="majorHAnsi" w:cstheme="majorHAnsi"/>
        </w:rPr>
        <w:t xml:space="preserve"> three</w:t>
      </w:r>
      <w:r w:rsidRPr="003455C9">
        <w:rPr>
          <w:rFonts w:asciiTheme="majorHAnsi" w:hAnsiTheme="majorHAnsi" w:cstheme="majorHAnsi"/>
        </w:rPr>
        <w:t xml:space="preserve"> secondary cohorts in this study</w:t>
      </w:r>
      <w:r w:rsidR="003455C9" w:rsidRPr="003455C9">
        <w:rPr>
          <w:rFonts w:asciiTheme="majorHAnsi" w:hAnsiTheme="majorHAnsi" w:cstheme="majorHAnsi"/>
        </w:rPr>
        <w:t>:</w:t>
      </w:r>
      <w:r w:rsidR="004400DE" w:rsidRPr="00973AD4">
        <w:rPr>
          <w:rFonts w:asciiTheme="majorHAnsi" w:hAnsiTheme="majorHAnsi" w:cstheme="majorHAnsi"/>
        </w:rPr>
        <w:t xml:space="preserve"> Firstly, we extracted GWAS summary statistics from R6 of the FinnGen consortium for each of the infections included </w:t>
      </w:r>
      <w:r w:rsidR="004400DE">
        <w:rPr>
          <w:rFonts w:asciiTheme="majorHAnsi" w:hAnsiTheme="majorHAnsi" w:cstheme="majorHAnsi"/>
        </w:rPr>
        <w:t>in the UK Biobank analysis</w:t>
      </w:r>
      <w:r w:rsidR="004400DE" w:rsidRPr="00973AD4">
        <w:rPr>
          <w:rFonts w:asciiTheme="majorHAnsi" w:hAnsiTheme="majorHAnsi" w:cstheme="majorHAnsi"/>
        </w:rPr>
        <w:t xml:space="preserve"> and for sepsis. Code lists used to define each outcome, variants included, and GWAS methodology are available at the FinnGen website</w:t>
      </w:r>
      <w:r w:rsidR="004400DE">
        <w:rPr>
          <w:rFonts w:asciiTheme="majorHAnsi" w:hAnsiTheme="majorHAnsi" w:cstheme="majorHAnsi"/>
        </w:rPr>
        <w:fldChar w:fldCharType="begin" w:fldLock="1"/>
      </w:r>
      <w:r w:rsidR="001E41E6">
        <w:rPr>
          <w:rFonts w:asciiTheme="majorHAnsi" w:hAnsiTheme="majorHAnsi" w:cstheme="majorHAnsi"/>
        </w:rPr>
        <w:instrText>ADDIN paperpile_citation &lt;clusterId&gt;G479U436Q127N541&lt;/clusterId&gt;&lt;metadata&gt;&lt;citation&gt;&lt;id&gt;a82d0b32-148c-42f8-8e3d-47d0c40a1051&lt;/id&gt;&lt;/citation&gt;&lt;/metadata&gt;&lt;data&gt;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&lt;/data&gt; \* MERGEFORMAT</w:instrText>
      </w:r>
      <w:r w:rsidR="004400DE">
        <w:rPr>
          <w:rFonts w:asciiTheme="majorHAnsi" w:hAnsiTheme="majorHAnsi" w:cstheme="majorHAnsi"/>
        </w:rPr>
        <w:fldChar w:fldCharType="separate"/>
      </w:r>
      <w:r w:rsidR="001E41E6" w:rsidRPr="001E41E6">
        <w:rPr>
          <w:rFonts w:asciiTheme="majorHAnsi" w:hAnsiTheme="majorHAnsi" w:cstheme="majorHAnsi"/>
          <w:noProof/>
          <w:vertAlign w:val="superscript"/>
        </w:rPr>
        <w:t>1</w:t>
      </w:r>
      <w:r w:rsidR="004400DE">
        <w:rPr>
          <w:rFonts w:asciiTheme="majorHAnsi" w:hAnsiTheme="majorHAnsi" w:cstheme="majorHAnsi"/>
        </w:rPr>
        <w:fldChar w:fldCharType="end"/>
      </w:r>
      <w:r w:rsidR="004400DE">
        <w:rPr>
          <w:rFonts w:asciiTheme="majorHAnsi" w:hAnsiTheme="majorHAnsi" w:cstheme="majorHAnsi"/>
        </w:rPr>
        <w:t xml:space="preserve"> and in </w:t>
      </w:r>
      <w:r w:rsidR="004400DE">
        <w:rPr>
          <w:rFonts w:asciiTheme="majorHAnsi" w:hAnsiTheme="majorHAnsi" w:cstheme="majorHAnsi"/>
          <w:b/>
          <w:bCs/>
        </w:rPr>
        <w:t>Supplementary Table 2</w:t>
      </w:r>
    </w:p>
    <w:p w14:paraId="38F7B04D" w14:textId="77777777" w:rsidR="001E41E6" w:rsidRDefault="001E41E6" w:rsidP="004400DE">
      <w:pPr>
        <w:spacing w:after="6" w:line="360" w:lineRule="auto"/>
        <w:ind w:left="-5" w:right="49"/>
        <w:rPr>
          <w:rFonts w:asciiTheme="majorHAnsi" w:hAnsiTheme="majorHAnsi" w:cstheme="majorHAnsi"/>
        </w:rPr>
      </w:pPr>
    </w:p>
    <w:p w14:paraId="68F364C4" w14:textId="301958EE" w:rsidR="001D4B8F" w:rsidRDefault="004400DE" w:rsidP="001E41E6">
      <w:pPr>
        <w:spacing w:after="6" w:line="360" w:lineRule="auto"/>
        <w:ind w:left="-5" w:right="49"/>
        <w:rPr>
          <w:rFonts w:asciiTheme="majorHAnsi" w:hAnsiTheme="majorHAnsi" w:cstheme="majorHAnsi"/>
        </w:rPr>
      </w:pPr>
      <w:r>
        <w:rPr>
          <w:rFonts w:asciiTheme="majorHAnsi" w:hAnsiTheme="majorHAnsi" w:cstheme="majorHAnsi"/>
        </w:rPr>
        <w:t xml:space="preserve">For our COVID-19 analysis, </w:t>
      </w:r>
      <w:r w:rsidR="001D4B8F">
        <w:rPr>
          <w:rFonts w:asciiTheme="majorHAnsi" w:hAnsiTheme="majorHAnsi" w:cstheme="majorHAnsi"/>
        </w:rPr>
        <w:t>w</w:t>
      </w:r>
      <w:r w:rsidR="001D4B8F" w:rsidRPr="003455C9">
        <w:rPr>
          <w:rFonts w:asciiTheme="majorHAnsi" w:hAnsiTheme="majorHAnsi" w:cstheme="majorHAnsi"/>
        </w:rPr>
        <w:t>e extracted summary statistics from the COVID Host Genetics Initiative Round 7, a worldwide consortium that included patients with COVID-19 from a variety of studies.</w:t>
      </w:r>
      <w:r w:rsidR="001D4B8F" w:rsidRPr="003455C9">
        <w:rPr>
          <w:rFonts w:asciiTheme="majorHAnsi" w:hAnsiTheme="majorHAnsi" w:cstheme="majorHAnsi"/>
          <w:vertAlign w:val="superscript"/>
        </w:rPr>
        <w:t>27</w:t>
      </w:r>
      <w:r w:rsidR="001D4B8F" w:rsidRPr="003455C9">
        <w:rPr>
          <w:rFonts w:asciiTheme="majorHAnsi" w:hAnsiTheme="majorHAnsi" w:cstheme="majorHAnsi"/>
        </w:rPr>
        <w:t xml:space="preserve"> Four separate case-control meta-analyses were run: a) very severe confirmed COVID-19 requiring respiratory support vs population; 18,152 cases vs 1,145,546 controls b)  hospitalised COVID-19 vs population (44,968 cases vs 2,356,386 controls), and c) COVID-19 cases vs population (159,840 cases vs 2,782,977 controls). Details on included studies, populations, and methodology are available with the relevant publication.</w:t>
      </w:r>
      <w:r w:rsidR="001D4B8F" w:rsidRPr="003455C9">
        <w:rPr>
          <w:rFonts w:asciiTheme="majorHAnsi" w:hAnsiTheme="majorHAnsi" w:cstheme="majorHAnsi"/>
          <w:vertAlign w:val="superscript"/>
        </w:rPr>
        <w:t>27</w:t>
      </w:r>
      <w:r w:rsidR="001D4B8F" w:rsidRPr="003455C9">
        <w:rPr>
          <w:rFonts w:asciiTheme="majorHAnsi" w:hAnsiTheme="majorHAnsi" w:cstheme="majorHAnsi"/>
        </w:rPr>
        <w:t xml:space="preserve"> </w:t>
      </w:r>
    </w:p>
    <w:p w14:paraId="57757ABA" w14:textId="77777777" w:rsidR="001E41E6" w:rsidRPr="003455C9" w:rsidRDefault="001E41E6" w:rsidP="001E41E6">
      <w:pPr>
        <w:spacing w:after="6" w:line="360" w:lineRule="auto"/>
        <w:ind w:left="-5" w:right="49"/>
        <w:rPr>
          <w:rFonts w:asciiTheme="majorHAnsi" w:hAnsiTheme="majorHAnsi" w:cstheme="majorHAnsi"/>
        </w:rPr>
      </w:pPr>
    </w:p>
    <w:p w14:paraId="5C6D97E8" w14:textId="77777777" w:rsidR="001D4B8F" w:rsidRPr="003455C9" w:rsidRDefault="001D4B8F" w:rsidP="001D4B8F">
      <w:pPr>
        <w:spacing w:line="360" w:lineRule="auto"/>
        <w:ind w:left="-5" w:right="49"/>
        <w:rPr>
          <w:rFonts w:asciiTheme="majorHAnsi" w:hAnsiTheme="majorHAnsi" w:cstheme="majorHAnsi"/>
        </w:rPr>
      </w:pPr>
      <w:r w:rsidRPr="003455C9">
        <w:rPr>
          <w:rFonts w:asciiTheme="majorHAnsi" w:hAnsiTheme="majorHAnsi" w:cstheme="majorHAnsi"/>
        </w:rPr>
        <w:t>Finally, we included summary statistics from a recent genome wide association study on survival from sepsis, which included 2,553 patients from three cohorts, with various definitions of case and control, kindly provided by the GenOSept consortium.</w:t>
      </w:r>
      <w:r w:rsidRPr="003455C9">
        <w:rPr>
          <w:rFonts w:asciiTheme="majorHAnsi" w:hAnsiTheme="majorHAnsi" w:cstheme="majorHAnsi"/>
          <w:vertAlign w:val="superscript"/>
        </w:rPr>
        <w:t>29</w:t>
      </w:r>
      <w:r w:rsidRPr="003455C9">
        <w:rPr>
          <w:rFonts w:asciiTheme="majorHAnsi" w:hAnsiTheme="majorHAnsi" w:cstheme="majorHAnsi"/>
        </w:rPr>
        <w:t xml:space="preserve"> For their main analysis, they performed a GWAS of 28-day survival in sepsis due to pneumonia (359 cases vs 1,194 controls). As this GWAS was performed using SNPTEST2, it did not account for population structure as well as more recent GWAS approaches, leading to inflated p-values at low minimum allele frequencies. Therefore, LD score regression was performed, and estimates adjusted by the LD score regression where required, as described in Supplement S1.  </w:t>
      </w:r>
    </w:p>
    <w:p w14:paraId="73697DEA" w14:textId="77777777" w:rsidR="001D4B8F" w:rsidRPr="003455C9" w:rsidRDefault="001D4B8F" w:rsidP="001D4B8F">
      <w:pPr>
        <w:spacing w:after="16" w:line="360" w:lineRule="auto"/>
        <w:ind w:left="-5" w:right="49"/>
        <w:rPr>
          <w:rFonts w:asciiTheme="majorHAnsi" w:hAnsiTheme="majorHAnsi" w:cstheme="majorHAnsi"/>
        </w:rPr>
      </w:pPr>
      <w:r w:rsidRPr="003455C9">
        <w:rPr>
          <w:rFonts w:asciiTheme="majorHAnsi" w:hAnsiTheme="majorHAnsi" w:cstheme="majorHAnsi"/>
        </w:rPr>
        <w:t>For all secondary cohorts, if SNPs were not available in the outcome GWAS, SNP proxies (R</w:t>
      </w:r>
      <w:r w:rsidRPr="003455C9">
        <w:rPr>
          <w:rFonts w:asciiTheme="majorHAnsi" w:hAnsiTheme="majorHAnsi" w:cstheme="majorHAnsi"/>
          <w:vertAlign w:val="superscript"/>
        </w:rPr>
        <w:t>2</w:t>
      </w:r>
      <w:r w:rsidRPr="003455C9">
        <w:rPr>
          <w:rFonts w:asciiTheme="majorHAnsi" w:hAnsiTheme="majorHAnsi" w:cstheme="majorHAnsi"/>
        </w:rPr>
        <w:t xml:space="preserve"> &gt; 0.8) were generated, with effect alleles harmonised using the</w:t>
      </w:r>
      <w:r w:rsidRPr="003455C9">
        <w:rPr>
          <w:rFonts w:asciiTheme="majorHAnsi" w:hAnsiTheme="majorHAnsi" w:cstheme="majorHAnsi"/>
          <w:i/>
        </w:rPr>
        <w:t xml:space="preserve"> TwoSampleMR</w:t>
      </w:r>
      <w:r w:rsidRPr="003455C9">
        <w:rPr>
          <w:rFonts w:asciiTheme="majorHAnsi" w:hAnsiTheme="majorHAnsi" w:cstheme="majorHAnsi"/>
        </w:rPr>
        <w:t xml:space="preserve"> package in R, v </w:t>
      </w:r>
    </w:p>
    <w:p w14:paraId="311063A8" w14:textId="77777777" w:rsidR="001D4B8F" w:rsidRPr="003455C9" w:rsidRDefault="001D4B8F" w:rsidP="001D4B8F">
      <w:pPr>
        <w:spacing w:after="285" w:line="360" w:lineRule="auto"/>
        <w:ind w:left="-5" w:right="49"/>
        <w:rPr>
          <w:rFonts w:asciiTheme="majorHAnsi" w:hAnsiTheme="majorHAnsi" w:cstheme="majorHAnsi"/>
        </w:rPr>
      </w:pPr>
      <w:r w:rsidRPr="003455C9">
        <w:rPr>
          <w:rFonts w:asciiTheme="majorHAnsi" w:hAnsiTheme="majorHAnsi" w:cstheme="majorHAnsi"/>
        </w:rPr>
        <w:t xml:space="preserve">0.5.6). </w:t>
      </w:r>
    </w:p>
    <w:p w14:paraId="3E738E3D" w14:textId="27F2A9FB" w:rsidR="003455C9" w:rsidRPr="001E41E6" w:rsidRDefault="001E41E6" w:rsidP="001E41E6">
      <w:pPr>
        <w:spacing w:after="284" w:line="360" w:lineRule="auto"/>
        <w:ind w:left="0" w:firstLine="0"/>
        <w:rPr>
          <w:rFonts w:asciiTheme="majorHAnsi" w:hAnsiTheme="majorHAnsi" w:cstheme="majorHAnsi"/>
          <w:i/>
          <w:iCs/>
        </w:rPr>
      </w:pPr>
      <w:r>
        <w:rPr>
          <w:rFonts w:asciiTheme="majorHAnsi" w:hAnsiTheme="majorHAnsi" w:cstheme="majorHAnsi"/>
          <w:i/>
          <w:iCs/>
        </w:rPr>
        <w:t>Details on genetic approach</w:t>
      </w:r>
    </w:p>
    <w:p w14:paraId="3E7F5141" w14:textId="468B1590" w:rsidR="003455C9" w:rsidRPr="003455C9" w:rsidRDefault="003455C9" w:rsidP="003455C9">
      <w:pPr>
        <w:spacing w:line="360" w:lineRule="auto"/>
        <w:ind w:left="-5" w:right="49"/>
        <w:rPr>
          <w:rFonts w:asciiTheme="majorHAnsi" w:hAnsiTheme="majorHAnsi" w:cstheme="majorHAnsi"/>
          <w:i/>
          <w:iCs/>
        </w:rPr>
      </w:pPr>
      <w:r w:rsidRPr="003455C9">
        <w:rPr>
          <w:rFonts w:asciiTheme="majorHAnsi" w:hAnsiTheme="majorHAnsi" w:cstheme="majorHAnsi"/>
          <w:i/>
          <w:iCs/>
        </w:rPr>
        <w:t>FinnGEN</w:t>
      </w:r>
      <w:r w:rsidR="00E570C4" w:rsidRPr="003455C9">
        <w:rPr>
          <w:rFonts w:asciiTheme="majorHAnsi" w:hAnsiTheme="majorHAnsi" w:cstheme="majorHAnsi"/>
          <w:i/>
          <w:iCs/>
        </w:rPr>
        <w:t xml:space="preserve"> </w:t>
      </w:r>
    </w:p>
    <w:p w14:paraId="49CEC6DA" w14:textId="77777777" w:rsidR="003455C9" w:rsidRPr="003455C9" w:rsidRDefault="003455C9" w:rsidP="003455C9">
      <w:pPr>
        <w:spacing w:line="360" w:lineRule="auto"/>
        <w:ind w:left="0" w:firstLine="0"/>
        <w:rPr>
          <w:rFonts w:asciiTheme="majorHAnsi" w:hAnsiTheme="majorHAnsi" w:cstheme="majorHAnsi"/>
        </w:rPr>
      </w:pPr>
    </w:p>
    <w:p w14:paraId="1CAF6A32" w14:textId="2B1BB99D" w:rsidR="003455C9" w:rsidRPr="003455C9" w:rsidRDefault="00F1674C" w:rsidP="003455C9">
      <w:pPr>
        <w:spacing w:line="360" w:lineRule="auto"/>
        <w:rPr>
          <w:rFonts w:asciiTheme="majorHAnsi" w:hAnsiTheme="majorHAnsi" w:cstheme="majorHAnsi"/>
        </w:rPr>
      </w:pPr>
      <w:r>
        <w:rPr>
          <w:rFonts w:asciiTheme="majorHAnsi" w:hAnsiTheme="majorHAnsi" w:cstheme="majorHAnsi"/>
        </w:rPr>
        <w:lastRenderedPageBreak/>
        <w:t>A d</w:t>
      </w:r>
      <w:r w:rsidR="003455C9" w:rsidRPr="003455C9">
        <w:rPr>
          <w:rFonts w:asciiTheme="majorHAnsi" w:hAnsiTheme="majorHAnsi" w:cstheme="majorHAnsi"/>
        </w:rPr>
        <w:t>etailed genetic QC approach is detailed</w:t>
      </w:r>
      <w:r w:rsidR="003455C9" w:rsidRPr="003455C9">
        <w:rPr>
          <w:rFonts w:asciiTheme="majorHAnsi" w:hAnsiTheme="majorHAnsi" w:cstheme="majorHAnsi"/>
        </w:rPr>
        <w:t xml:space="preserve"> here: </w:t>
      </w:r>
      <w:r w:rsidR="003455C9" w:rsidRPr="003455C9">
        <w:rPr>
          <w:rFonts w:asciiTheme="majorHAnsi" w:hAnsiTheme="majorHAnsi" w:cstheme="majorHAnsi"/>
        </w:rPr>
        <w:t>https://finngen.gitbook.io/documentation/methods/phewas/quality-checks.</w:t>
      </w:r>
    </w:p>
    <w:p w14:paraId="5E3F3960" w14:textId="1CA027B7" w:rsidR="003455C9" w:rsidRPr="003455C9" w:rsidRDefault="003455C9" w:rsidP="007F187A">
      <w:pPr>
        <w:spacing w:line="360" w:lineRule="auto"/>
        <w:ind w:left="0" w:firstLine="0"/>
        <w:rPr>
          <w:rFonts w:asciiTheme="majorHAnsi" w:hAnsiTheme="majorHAnsi" w:cstheme="majorHAnsi"/>
        </w:rPr>
      </w:pPr>
      <w:r w:rsidRPr="003455C9">
        <w:rPr>
          <w:rFonts w:asciiTheme="majorHAnsi" w:hAnsiTheme="majorHAnsi" w:cstheme="majorHAnsi"/>
        </w:rPr>
        <w:t>Full details of the GWAS methodology are available at the FinnGEN website (</w:t>
      </w:r>
      <w:hyperlink r:id="rId4" w:history="1">
        <w:r w:rsidRPr="003455C9">
          <w:rPr>
            <w:rStyle w:val="Hyperlink"/>
            <w:rFonts w:asciiTheme="majorHAnsi" w:hAnsiTheme="majorHAnsi" w:cstheme="majorHAnsi"/>
          </w:rPr>
          <w:t>https://finngen.gitbook.io/documentation/methods/phewas</w:t>
        </w:r>
      </w:hyperlink>
      <w:r w:rsidRPr="003455C9">
        <w:rPr>
          <w:rFonts w:asciiTheme="majorHAnsi" w:hAnsiTheme="majorHAnsi" w:cstheme="majorHAnsi"/>
        </w:rPr>
        <w:t xml:space="preserve">).  Briefly, SAIGE v 0.39.1, a </w:t>
      </w:r>
      <w:r w:rsidR="00F1674C">
        <w:rPr>
          <w:rFonts w:asciiTheme="majorHAnsi" w:hAnsiTheme="majorHAnsi" w:cstheme="majorHAnsi"/>
        </w:rPr>
        <w:t>was used</w:t>
      </w:r>
      <w:r w:rsidRPr="003455C9">
        <w:rPr>
          <w:rFonts w:asciiTheme="majorHAnsi" w:hAnsiTheme="majorHAnsi" w:cstheme="majorHAnsi"/>
        </w:rPr>
        <w:t xml:space="preserve"> correcting for age, sex, the first ten principal components, and genotyping batch</w:t>
      </w:r>
      <w:r w:rsidR="00F1674C">
        <w:rPr>
          <w:rFonts w:asciiTheme="majorHAnsi" w:hAnsiTheme="majorHAnsi" w:cstheme="majorHAnsi"/>
        </w:rPr>
        <w:t>.</w:t>
      </w:r>
    </w:p>
    <w:p w14:paraId="3A8901E6" w14:textId="4D733BF1" w:rsidR="003455C9" w:rsidRDefault="00F1674C" w:rsidP="003455C9">
      <w:pPr>
        <w:spacing w:line="360" w:lineRule="auto"/>
        <w:rPr>
          <w:rFonts w:asciiTheme="majorHAnsi" w:hAnsiTheme="majorHAnsi" w:cstheme="majorHAnsi"/>
        </w:rPr>
      </w:pPr>
      <w:r>
        <w:rPr>
          <w:rFonts w:asciiTheme="majorHAnsi" w:hAnsiTheme="majorHAnsi" w:cstheme="majorHAnsi"/>
          <w:i/>
          <w:iCs/>
        </w:rPr>
        <w:t>COVID-19 HGI</w:t>
      </w:r>
    </w:p>
    <w:p w14:paraId="0DB38EB1" w14:textId="7CB2AE77" w:rsidR="00F1674C" w:rsidRDefault="00F1674C" w:rsidP="003455C9">
      <w:pPr>
        <w:spacing w:line="360" w:lineRule="auto"/>
        <w:rPr>
          <w:rFonts w:asciiTheme="majorHAnsi" w:hAnsiTheme="majorHAnsi" w:cstheme="majorHAnsi"/>
        </w:rPr>
      </w:pPr>
      <w:r>
        <w:rPr>
          <w:rFonts w:asciiTheme="majorHAnsi" w:hAnsiTheme="majorHAnsi" w:cstheme="majorHAnsi"/>
        </w:rPr>
        <w:t>Full details on the COVID-19 HGI analysis are detailed in their publication and at the COVID HGI website.</w:t>
      </w:r>
      <w:r>
        <w:rPr>
          <w:rFonts w:asciiTheme="majorHAnsi" w:hAnsiTheme="majorHAnsi" w:cstheme="majorHAnsi"/>
        </w:rPr>
        <w:fldChar w:fldCharType="begin" w:fldLock="1"/>
      </w:r>
      <w:r w:rsidR="003F318E">
        <w:rPr>
          <w:rFonts w:asciiTheme="majorHAnsi" w:hAnsiTheme="majorHAnsi" w:cstheme="majorHAnsi"/>
        </w:rPr>
        <w:instrText>ADDIN paperpile_citation &lt;clusterId&gt;B594O574K964I655&lt;/clusterId&gt;&lt;metadata&gt;&lt;citation&gt;&lt;id&gt;765a87f3-43d7-46d1-800c-a632775d69d6&lt;/id&gt;&lt;/citation&gt;&lt;/metadata&gt;&lt;data&gt;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&lt;/data&gt; \* MERGEFORMAT</w:instrText>
      </w:r>
      <w:r>
        <w:rPr>
          <w:rFonts w:asciiTheme="majorHAnsi" w:hAnsiTheme="majorHAnsi" w:cstheme="majorHAnsi"/>
        </w:rPr>
        <w:fldChar w:fldCharType="separate"/>
      </w:r>
      <w:r w:rsidR="003F318E" w:rsidRPr="003F318E">
        <w:rPr>
          <w:rFonts w:asciiTheme="majorHAnsi" w:hAnsiTheme="majorHAnsi" w:cstheme="majorHAnsi"/>
          <w:noProof/>
          <w:vertAlign w:val="superscript"/>
        </w:rPr>
        <w:t>2</w:t>
      </w:r>
      <w:r>
        <w:rPr>
          <w:rFonts w:asciiTheme="majorHAnsi" w:hAnsiTheme="majorHAnsi" w:cstheme="majorHAnsi"/>
        </w:rPr>
        <w:fldChar w:fldCharType="end"/>
      </w:r>
      <w:r>
        <w:rPr>
          <w:rFonts w:asciiTheme="majorHAnsi" w:hAnsiTheme="majorHAnsi" w:cstheme="majorHAnsi"/>
        </w:rPr>
        <w:t xml:space="preserve"> Briefly, studies performed their own GWAS methodology (preferentially using regenie, and adjusting for relevant covariates), and these were meta-analysed to generate summary statistics.</w:t>
      </w:r>
    </w:p>
    <w:p w14:paraId="378E86D8" w14:textId="77777777" w:rsidR="003F318E" w:rsidRPr="00F1674C" w:rsidRDefault="003F318E" w:rsidP="003455C9">
      <w:pPr>
        <w:spacing w:line="360" w:lineRule="auto"/>
        <w:rPr>
          <w:rFonts w:asciiTheme="majorHAnsi" w:hAnsiTheme="majorHAnsi" w:cstheme="majorHAnsi"/>
        </w:rPr>
      </w:pPr>
    </w:p>
    <w:p w14:paraId="351AAF38" w14:textId="77777777" w:rsidR="003455C9" w:rsidRPr="003455C9" w:rsidRDefault="003455C9" w:rsidP="003455C9">
      <w:pPr>
        <w:spacing w:line="360" w:lineRule="auto"/>
        <w:rPr>
          <w:rFonts w:asciiTheme="majorHAnsi" w:hAnsiTheme="majorHAnsi" w:cstheme="majorHAnsi"/>
          <w:i/>
          <w:iCs/>
        </w:rPr>
      </w:pPr>
      <w:r w:rsidRPr="003455C9">
        <w:rPr>
          <w:rFonts w:asciiTheme="majorHAnsi" w:hAnsiTheme="majorHAnsi" w:cstheme="majorHAnsi"/>
          <w:i/>
          <w:iCs/>
        </w:rPr>
        <w:t>Sepsis survival GWAS – GenOSept and GAiNS.</w:t>
      </w:r>
    </w:p>
    <w:p w14:paraId="0DE997FA" w14:textId="0AB847AF" w:rsidR="003455C9" w:rsidRPr="003455C9" w:rsidRDefault="003455C9" w:rsidP="007F187A">
      <w:pPr>
        <w:spacing w:line="360" w:lineRule="auto"/>
        <w:ind w:left="0" w:firstLine="0"/>
        <w:rPr>
          <w:rFonts w:asciiTheme="majorHAnsi" w:hAnsiTheme="majorHAnsi" w:cstheme="majorHAnsi"/>
        </w:rPr>
      </w:pPr>
      <w:r w:rsidRPr="003455C9">
        <w:rPr>
          <w:rFonts w:asciiTheme="majorHAnsi" w:hAnsiTheme="majorHAnsi" w:cstheme="majorHAnsi"/>
        </w:rPr>
        <w:t>This data was kindly provided by the authors</w:t>
      </w:r>
      <w:r>
        <w:rPr>
          <w:rFonts w:asciiTheme="majorHAnsi" w:hAnsiTheme="majorHAnsi" w:cstheme="majorHAnsi"/>
        </w:rPr>
        <w:t xml:space="preserve"> (</w:t>
      </w:r>
      <w:r w:rsidR="007B1879">
        <w:rPr>
          <w:rFonts w:asciiTheme="majorHAnsi" w:hAnsiTheme="majorHAnsi" w:cstheme="majorHAnsi"/>
        </w:rPr>
        <w:t>Professor Charles Hinds)</w:t>
      </w:r>
      <w:r w:rsidRPr="003455C9">
        <w:rPr>
          <w:rFonts w:asciiTheme="majorHAnsi" w:hAnsiTheme="majorHAnsi" w:cstheme="majorHAnsi"/>
        </w:rPr>
        <w:t xml:space="preserve"> of a recent GWAS on sepsis survival in intensive care units, described here. As this represented separate cohorts, their initial analysis involved imputing variants using SNPTEST2 for both GAinS and GeNoSept together. Details on their methodology are </w:t>
      </w:r>
      <w:r w:rsidR="007F187A">
        <w:rPr>
          <w:rFonts w:asciiTheme="majorHAnsi" w:hAnsiTheme="majorHAnsi" w:cstheme="majorHAnsi"/>
        </w:rPr>
        <w:t>at</w:t>
      </w:r>
      <w:r w:rsidRPr="003455C9">
        <w:rPr>
          <w:rFonts w:asciiTheme="majorHAnsi" w:hAnsiTheme="majorHAnsi" w:cstheme="majorHAnsi"/>
        </w:rPr>
        <w:t xml:space="preserve"> </w:t>
      </w:r>
      <w:r w:rsidR="007F187A">
        <w:rPr>
          <w:rFonts w:asciiTheme="majorHAnsi" w:hAnsiTheme="majorHAnsi" w:cstheme="majorHAnsi"/>
        </w:rPr>
        <w:t xml:space="preserve">the </w:t>
      </w:r>
      <w:r w:rsidRPr="003455C9">
        <w:rPr>
          <w:rFonts w:asciiTheme="majorHAnsi" w:hAnsiTheme="majorHAnsi" w:cstheme="majorHAnsi"/>
        </w:rPr>
        <w:t>relevant publication.</w:t>
      </w:r>
      <w:r w:rsidR="007B1879">
        <w:rPr>
          <w:rFonts w:asciiTheme="majorHAnsi" w:hAnsiTheme="majorHAnsi" w:cstheme="majorHAnsi"/>
        </w:rPr>
        <w:fldChar w:fldCharType="begin" w:fldLock="1"/>
      </w:r>
      <w:r w:rsidR="00CD5E47">
        <w:rPr>
          <w:rFonts w:asciiTheme="majorHAnsi" w:hAnsiTheme="majorHAnsi" w:cstheme="majorHAnsi"/>
        </w:rPr>
        <w:instrText>ADDIN paperpile_citation &lt;clusterId&gt;W676K736G426E847&lt;/clusterId&gt;&lt;metadata&gt;&lt;citation&gt;&lt;id&gt;1cc18572-7207-49a9-8a10-f70dee6f47ac&lt;/id&gt;&lt;/citation&gt;&lt;/metadata&gt;&lt;data&gt;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&lt;/data&gt; \* MERGEFORMAT</w:instrText>
      </w:r>
      <w:r w:rsidR="007B1879">
        <w:rPr>
          <w:rFonts w:asciiTheme="majorHAnsi" w:hAnsiTheme="majorHAnsi" w:cstheme="majorHAnsi"/>
        </w:rPr>
        <w:fldChar w:fldCharType="separate"/>
      </w:r>
      <w:r w:rsidR="003F318E" w:rsidRPr="003F318E">
        <w:rPr>
          <w:rFonts w:asciiTheme="majorHAnsi" w:hAnsiTheme="majorHAnsi" w:cstheme="majorHAnsi"/>
          <w:noProof/>
          <w:vertAlign w:val="superscript"/>
        </w:rPr>
        <w:t>3</w:t>
      </w:r>
      <w:r w:rsidR="007B1879">
        <w:rPr>
          <w:rFonts w:asciiTheme="majorHAnsi" w:hAnsiTheme="majorHAnsi" w:cstheme="majorHAnsi"/>
        </w:rPr>
        <w:fldChar w:fldCharType="end"/>
      </w:r>
    </w:p>
    <w:p w14:paraId="0A8B9D69" w14:textId="77777777" w:rsidR="003455C9" w:rsidRPr="00CD5E47" w:rsidRDefault="003455C9" w:rsidP="003455C9">
      <w:pPr>
        <w:spacing w:line="360" w:lineRule="auto"/>
        <w:rPr>
          <w:rFonts w:asciiTheme="majorHAnsi" w:hAnsiTheme="majorHAnsi" w:cstheme="majorHAnsi"/>
          <w:i/>
          <w:iCs/>
        </w:rPr>
      </w:pPr>
      <w:r w:rsidRPr="00CD5E47">
        <w:rPr>
          <w:rFonts w:asciiTheme="majorHAnsi" w:hAnsiTheme="majorHAnsi" w:cstheme="majorHAnsi"/>
          <w:i/>
          <w:iCs/>
        </w:rPr>
        <w:t>LDSC regression</w:t>
      </w:r>
    </w:p>
    <w:p w14:paraId="2A2CA0ED" w14:textId="3D8CFC17" w:rsidR="003455C9" w:rsidRPr="003455C9" w:rsidRDefault="00CD5E47" w:rsidP="001D4B8F">
      <w:pPr>
        <w:spacing w:line="360" w:lineRule="auto"/>
        <w:ind w:left="0" w:firstLine="0"/>
        <w:rPr>
          <w:rFonts w:asciiTheme="majorHAnsi" w:hAnsiTheme="majorHAnsi" w:cstheme="majorHAnsi"/>
        </w:rPr>
      </w:pPr>
      <w:r>
        <w:rPr>
          <w:rFonts w:asciiTheme="majorHAnsi" w:hAnsiTheme="majorHAnsi" w:cstheme="majorHAnsi"/>
        </w:rPr>
        <w:t>For th</w:t>
      </w:r>
      <w:r w:rsidR="00EA4FE9">
        <w:rPr>
          <w:rFonts w:asciiTheme="majorHAnsi" w:hAnsiTheme="majorHAnsi" w:cstheme="majorHAnsi"/>
        </w:rPr>
        <w:t>is analysis, we also performed LD Score regression to adjust test statistics</w:t>
      </w:r>
      <w:r w:rsidR="001D4B8F">
        <w:rPr>
          <w:rFonts w:asciiTheme="majorHAnsi" w:hAnsiTheme="majorHAnsi" w:cstheme="majorHAnsi"/>
        </w:rPr>
        <w:t xml:space="preserve">. </w:t>
      </w:r>
      <w:r w:rsidR="003455C9" w:rsidRPr="003455C9">
        <w:rPr>
          <w:rFonts w:asciiTheme="majorHAnsi" w:hAnsiTheme="majorHAnsi" w:cstheme="majorHAnsi"/>
        </w:rPr>
        <w:t>As this data includes low number of participants, and our exposures included some SNPs with low MAF ~ 0.01, there was significant risk of p value inflation. QQ plots for a representative analysis (GaINS CAP subset) are shown below for each MAF.</w:t>
      </w:r>
    </w:p>
    <w:p w14:paraId="0D2679AB" w14:textId="77777777" w:rsidR="003455C9" w:rsidRPr="003455C9" w:rsidRDefault="003455C9" w:rsidP="003455C9">
      <w:pPr>
        <w:spacing w:line="360" w:lineRule="auto"/>
        <w:rPr>
          <w:rFonts w:asciiTheme="majorHAnsi" w:hAnsiTheme="majorHAnsi" w:cstheme="majorHAnsi"/>
        </w:rPr>
      </w:pPr>
    </w:p>
    <w:p w14:paraId="1816593C" w14:textId="77777777" w:rsidR="003455C9" w:rsidRPr="003455C9" w:rsidRDefault="003455C9" w:rsidP="003455C9">
      <w:pPr>
        <w:spacing w:line="360" w:lineRule="auto"/>
        <w:rPr>
          <w:rFonts w:asciiTheme="majorHAnsi" w:hAnsiTheme="majorHAnsi" w:cstheme="majorHAnsi"/>
        </w:rPr>
      </w:pPr>
      <w:r w:rsidRPr="003455C9">
        <w:rPr>
          <w:rFonts w:asciiTheme="majorHAnsi" w:hAnsiTheme="majorHAnsi" w:cstheme="majorHAnsi"/>
        </w:rPr>
        <w:t>MAF &gt; 0.05</w:t>
      </w:r>
    </w:p>
    <w:p w14:paraId="2C6A0A8C" w14:textId="77777777" w:rsidR="003455C9" w:rsidRPr="003455C9" w:rsidRDefault="003455C9" w:rsidP="003455C9">
      <w:pPr>
        <w:spacing w:line="360" w:lineRule="auto"/>
        <w:rPr>
          <w:rFonts w:asciiTheme="majorHAnsi" w:hAnsiTheme="majorHAnsi" w:cstheme="majorHAnsi"/>
        </w:rPr>
      </w:pPr>
    </w:p>
    <w:p w14:paraId="7B2355BA" w14:textId="77777777" w:rsidR="003455C9" w:rsidRPr="003455C9" w:rsidRDefault="003455C9" w:rsidP="003455C9">
      <w:pPr>
        <w:spacing w:line="360" w:lineRule="auto"/>
        <w:rPr>
          <w:rFonts w:asciiTheme="majorHAnsi" w:hAnsiTheme="majorHAnsi" w:cstheme="majorHAnsi"/>
        </w:rPr>
      </w:pPr>
      <w:r w:rsidRPr="003455C9">
        <w:rPr>
          <w:rFonts w:asciiTheme="majorHAnsi" w:hAnsiTheme="majorHAnsi" w:cstheme="majorHAnsi"/>
          <w:noProof/>
        </w:rPr>
        <w:lastRenderedPageBreak/>
        <w:drawing>
          <wp:inline distT="0" distB="0" distL="0" distR="0" wp14:anchorId="0ABF32BB" wp14:editId="6409F8D6">
            <wp:extent cx="3403600" cy="36703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5"/>
                    <a:stretch>
                      <a:fillRect/>
                    </a:stretch>
                  </pic:blipFill>
                  <pic:spPr>
                    <a:xfrm>
                      <a:off x="0" y="0"/>
                      <a:ext cx="3403600" cy="3670300"/>
                    </a:xfrm>
                    <a:prstGeom prst="rect">
                      <a:avLst/>
                    </a:prstGeom>
                  </pic:spPr>
                </pic:pic>
              </a:graphicData>
            </a:graphic>
          </wp:inline>
        </w:drawing>
      </w:r>
      <w:r w:rsidRPr="003455C9">
        <w:rPr>
          <w:rFonts w:asciiTheme="majorHAnsi" w:hAnsiTheme="majorHAnsi" w:cstheme="majorHAnsi"/>
        </w:rPr>
        <w:t xml:space="preserve"> </w:t>
      </w:r>
    </w:p>
    <w:p w14:paraId="159CBB9B" w14:textId="77777777" w:rsidR="003455C9" w:rsidRPr="003455C9" w:rsidRDefault="003455C9" w:rsidP="003455C9">
      <w:pPr>
        <w:spacing w:line="360" w:lineRule="auto"/>
        <w:rPr>
          <w:rFonts w:asciiTheme="majorHAnsi" w:hAnsiTheme="majorHAnsi" w:cstheme="majorHAnsi"/>
        </w:rPr>
      </w:pPr>
    </w:p>
    <w:p w14:paraId="38D5E6AD" w14:textId="77777777" w:rsidR="003455C9" w:rsidRPr="003455C9" w:rsidRDefault="003455C9" w:rsidP="003455C9">
      <w:pPr>
        <w:spacing w:line="360" w:lineRule="auto"/>
        <w:rPr>
          <w:rFonts w:asciiTheme="majorHAnsi" w:hAnsiTheme="majorHAnsi" w:cstheme="majorHAnsi"/>
        </w:rPr>
      </w:pPr>
      <w:r w:rsidRPr="003455C9">
        <w:rPr>
          <w:rFonts w:asciiTheme="majorHAnsi" w:hAnsiTheme="majorHAnsi" w:cstheme="majorHAnsi"/>
        </w:rPr>
        <w:t>MAF &lt; 0.05</w:t>
      </w:r>
    </w:p>
    <w:p w14:paraId="00FF4BA0" w14:textId="77777777" w:rsidR="003455C9" w:rsidRPr="003455C9" w:rsidRDefault="003455C9" w:rsidP="003455C9">
      <w:pPr>
        <w:spacing w:line="360" w:lineRule="auto"/>
        <w:rPr>
          <w:rFonts w:asciiTheme="majorHAnsi" w:hAnsiTheme="majorHAnsi" w:cstheme="majorHAnsi"/>
        </w:rPr>
      </w:pPr>
    </w:p>
    <w:p w14:paraId="5D04E542" w14:textId="77777777" w:rsidR="003455C9" w:rsidRPr="003455C9" w:rsidRDefault="003455C9" w:rsidP="003455C9">
      <w:pPr>
        <w:spacing w:line="360" w:lineRule="auto"/>
        <w:rPr>
          <w:rFonts w:asciiTheme="majorHAnsi" w:hAnsiTheme="majorHAnsi" w:cstheme="majorHAnsi"/>
        </w:rPr>
      </w:pPr>
      <w:r w:rsidRPr="003455C9">
        <w:rPr>
          <w:rFonts w:asciiTheme="majorHAnsi" w:hAnsiTheme="majorHAnsi" w:cstheme="majorHAnsi"/>
          <w:noProof/>
        </w:rPr>
        <w:drawing>
          <wp:anchor distT="0" distB="0" distL="114300" distR="114300" simplePos="0" relativeHeight="251659264" behindDoc="0" locked="0" layoutInCell="1" allowOverlap="1" wp14:anchorId="6D9C1FD4" wp14:editId="197DEC0C">
            <wp:simplePos x="914400" y="914400"/>
            <wp:positionH relativeFrom="column">
              <wp:align>left</wp:align>
            </wp:positionH>
            <wp:positionV relativeFrom="paragraph">
              <wp:align>top</wp:align>
            </wp:positionV>
            <wp:extent cx="3429000" cy="3441700"/>
            <wp:effectExtent l="0" t="0" r="0" b="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29000" cy="3441700"/>
                    </a:xfrm>
                    <a:prstGeom prst="rect">
                      <a:avLst/>
                    </a:prstGeom>
                  </pic:spPr>
                </pic:pic>
              </a:graphicData>
            </a:graphic>
          </wp:anchor>
        </w:drawing>
      </w:r>
    </w:p>
    <w:p w14:paraId="1FDBEE4B" w14:textId="77777777" w:rsidR="003455C9" w:rsidRPr="003455C9" w:rsidRDefault="003455C9" w:rsidP="003455C9">
      <w:pPr>
        <w:spacing w:line="360" w:lineRule="auto"/>
        <w:rPr>
          <w:rFonts w:asciiTheme="majorHAnsi" w:hAnsiTheme="majorHAnsi" w:cstheme="majorHAnsi"/>
        </w:rPr>
      </w:pPr>
    </w:p>
    <w:p w14:paraId="535185F7" w14:textId="77777777" w:rsidR="003455C9" w:rsidRPr="003455C9" w:rsidRDefault="003455C9" w:rsidP="003455C9">
      <w:pPr>
        <w:spacing w:line="360" w:lineRule="auto"/>
        <w:rPr>
          <w:rFonts w:asciiTheme="majorHAnsi" w:hAnsiTheme="majorHAnsi" w:cstheme="majorHAnsi"/>
        </w:rPr>
      </w:pPr>
    </w:p>
    <w:p w14:paraId="798D42F2" w14:textId="77777777" w:rsidR="003455C9" w:rsidRPr="003455C9" w:rsidRDefault="003455C9" w:rsidP="003455C9">
      <w:pPr>
        <w:spacing w:line="360" w:lineRule="auto"/>
        <w:rPr>
          <w:rFonts w:asciiTheme="majorHAnsi" w:hAnsiTheme="majorHAnsi" w:cstheme="majorHAnsi"/>
        </w:rPr>
      </w:pPr>
    </w:p>
    <w:p w14:paraId="3B4E4589" w14:textId="77777777" w:rsidR="003455C9" w:rsidRPr="003455C9" w:rsidRDefault="003455C9" w:rsidP="003455C9">
      <w:pPr>
        <w:spacing w:line="360" w:lineRule="auto"/>
        <w:rPr>
          <w:rFonts w:asciiTheme="majorHAnsi" w:hAnsiTheme="majorHAnsi" w:cstheme="majorHAnsi"/>
        </w:rPr>
      </w:pPr>
    </w:p>
    <w:p w14:paraId="44CE69EB" w14:textId="77777777" w:rsidR="003455C9" w:rsidRPr="003455C9" w:rsidRDefault="003455C9" w:rsidP="003455C9">
      <w:pPr>
        <w:spacing w:line="360" w:lineRule="auto"/>
        <w:rPr>
          <w:rFonts w:asciiTheme="majorHAnsi" w:hAnsiTheme="majorHAnsi" w:cstheme="majorHAnsi"/>
        </w:rPr>
      </w:pPr>
    </w:p>
    <w:p w14:paraId="3DC22B59" w14:textId="77777777" w:rsidR="003455C9" w:rsidRPr="003455C9" w:rsidRDefault="003455C9" w:rsidP="003455C9">
      <w:pPr>
        <w:spacing w:line="360" w:lineRule="auto"/>
        <w:rPr>
          <w:rFonts w:asciiTheme="majorHAnsi" w:hAnsiTheme="majorHAnsi" w:cstheme="majorHAnsi"/>
        </w:rPr>
      </w:pPr>
    </w:p>
    <w:p w14:paraId="5D05BA0A" w14:textId="77777777" w:rsidR="003455C9" w:rsidRPr="003455C9" w:rsidRDefault="003455C9" w:rsidP="003455C9">
      <w:pPr>
        <w:spacing w:line="360" w:lineRule="auto"/>
        <w:rPr>
          <w:rFonts w:asciiTheme="majorHAnsi" w:hAnsiTheme="majorHAnsi" w:cstheme="majorHAnsi"/>
        </w:rPr>
      </w:pPr>
    </w:p>
    <w:p w14:paraId="3FBF0120" w14:textId="77777777" w:rsidR="003455C9" w:rsidRPr="003455C9" w:rsidRDefault="003455C9" w:rsidP="003455C9">
      <w:pPr>
        <w:spacing w:line="360" w:lineRule="auto"/>
        <w:rPr>
          <w:rFonts w:asciiTheme="majorHAnsi" w:hAnsiTheme="majorHAnsi" w:cstheme="majorHAnsi"/>
        </w:rPr>
      </w:pPr>
    </w:p>
    <w:p w14:paraId="1D9B0D42" w14:textId="77777777" w:rsidR="003455C9" w:rsidRPr="003455C9" w:rsidRDefault="003455C9" w:rsidP="003455C9">
      <w:pPr>
        <w:spacing w:line="360" w:lineRule="auto"/>
        <w:rPr>
          <w:rFonts w:asciiTheme="majorHAnsi" w:hAnsiTheme="majorHAnsi" w:cstheme="majorHAnsi"/>
        </w:rPr>
      </w:pPr>
    </w:p>
    <w:p w14:paraId="391443C7" w14:textId="3FE9CB38" w:rsidR="003455C9" w:rsidRPr="003455C9" w:rsidRDefault="003455C9" w:rsidP="001D4B8F">
      <w:pPr>
        <w:tabs>
          <w:tab w:val="left" w:pos="2600"/>
        </w:tabs>
        <w:spacing w:line="360" w:lineRule="auto"/>
        <w:ind w:left="0" w:firstLine="0"/>
        <w:rPr>
          <w:rFonts w:asciiTheme="majorHAnsi" w:hAnsiTheme="majorHAnsi" w:cstheme="majorHAnsi"/>
        </w:rPr>
      </w:pPr>
      <w:r w:rsidRPr="003455C9">
        <w:rPr>
          <w:rFonts w:asciiTheme="majorHAnsi" w:hAnsiTheme="majorHAnsi" w:cstheme="majorHAnsi"/>
        </w:rPr>
        <w:lastRenderedPageBreak/>
        <w:t xml:space="preserve">As this was likely to lead to inflated effect estimates, driven by inappropriately low p-values, we performed LD Score Regression on each dataset, using LDSC </w:t>
      </w:r>
      <w:r w:rsidR="001D4B8F">
        <w:rPr>
          <w:rFonts w:asciiTheme="majorHAnsi" w:hAnsiTheme="majorHAnsi" w:cstheme="majorHAnsi"/>
        </w:rPr>
        <w:t>v</w:t>
      </w:r>
      <w:r w:rsidRPr="003455C9">
        <w:rPr>
          <w:rFonts w:asciiTheme="majorHAnsi" w:hAnsiTheme="majorHAnsi" w:cstheme="majorHAnsi"/>
        </w:rPr>
        <w:t>1.0.1, and generated the LDSC intercept. LDSC intercepts for each GWAS are here:</w:t>
      </w:r>
    </w:p>
    <w:p w14:paraId="5978EBFA" w14:textId="77777777" w:rsidR="003455C9" w:rsidRPr="003455C9" w:rsidRDefault="003455C9" w:rsidP="003455C9">
      <w:pPr>
        <w:tabs>
          <w:tab w:val="left" w:pos="2600"/>
        </w:tabs>
        <w:spacing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4272"/>
        <w:gridCol w:w="4744"/>
      </w:tblGrid>
      <w:tr w:rsidR="003455C9" w:rsidRPr="003455C9" w14:paraId="51E60C9C" w14:textId="77777777" w:rsidTr="001B1DDA">
        <w:tc>
          <w:tcPr>
            <w:tcW w:w="4272" w:type="dxa"/>
          </w:tcPr>
          <w:p w14:paraId="0F01C8FD"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GAINS (CAP subset)</w:t>
            </w:r>
          </w:p>
        </w:tc>
        <w:tc>
          <w:tcPr>
            <w:tcW w:w="4744" w:type="dxa"/>
          </w:tcPr>
          <w:p w14:paraId="52884C5A"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Intercept: 1.0391 (0.0061)</w:t>
            </w:r>
          </w:p>
        </w:tc>
      </w:tr>
      <w:tr w:rsidR="003455C9" w:rsidRPr="003455C9" w14:paraId="63CE06D7" w14:textId="77777777" w:rsidTr="001B1DDA">
        <w:tc>
          <w:tcPr>
            <w:tcW w:w="4272" w:type="dxa"/>
          </w:tcPr>
          <w:p w14:paraId="017E9671"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GAinS (All cases)</w:t>
            </w:r>
          </w:p>
        </w:tc>
        <w:tc>
          <w:tcPr>
            <w:tcW w:w="4744" w:type="dxa"/>
          </w:tcPr>
          <w:p w14:paraId="705E1163"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Intercept: 1.0682 (0.0063)</w:t>
            </w:r>
          </w:p>
        </w:tc>
      </w:tr>
      <w:tr w:rsidR="003455C9" w:rsidRPr="003455C9" w14:paraId="5414F089" w14:textId="77777777" w:rsidTr="001B1DDA">
        <w:tc>
          <w:tcPr>
            <w:tcW w:w="4272" w:type="dxa"/>
          </w:tcPr>
          <w:p w14:paraId="71E93F7E"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GeoSept (CAP subset)</w:t>
            </w:r>
          </w:p>
        </w:tc>
        <w:tc>
          <w:tcPr>
            <w:tcW w:w="4744" w:type="dxa"/>
          </w:tcPr>
          <w:p w14:paraId="1C35B95D"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Intercept: 1.001 (0.0069)</w:t>
            </w:r>
          </w:p>
        </w:tc>
      </w:tr>
      <w:tr w:rsidR="003455C9" w:rsidRPr="003455C9" w14:paraId="53584E9B" w14:textId="77777777" w:rsidTr="001B1DDA">
        <w:tc>
          <w:tcPr>
            <w:tcW w:w="4272" w:type="dxa"/>
          </w:tcPr>
          <w:p w14:paraId="425CAA1C"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GenoSept (All cases)</w:t>
            </w:r>
          </w:p>
        </w:tc>
        <w:tc>
          <w:tcPr>
            <w:tcW w:w="4744" w:type="dxa"/>
          </w:tcPr>
          <w:p w14:paraId="77F6D50D"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Intercept: 1.005 (0.0073)</w:t>
            </w:r>
          </w:p>
        </w:tc>
      </w:tr>
    </w:tbl>
    <w:p w14:paraId="7DCC65F3" w14:textId="77777777" w:rsidR="003455C9" w:rsidRPr="003455C9" w:rsidRDefault="003455C9" w:rsidP="003455C9">
      <w:pPr>
        <w:tabs>
          <w:tab w:val="left" w:pos="2600"/>
        </w:tabs>
        <w:spacing w:line="360" w:lineRule="auto"/>
        <w:rPr>
          <w:rFonts w:asciiTheme="majorHAnsi" w:hAnsiTheme="majorHAnsi" w:cstheme="majorHAnsi"/>
        </w:rPr>
      </w:pPr>
    </w:p>
    <w:p w14:paraId="25700CB9" w14:textId="77777777" w:rsidR="003455C9" w:rsidRPr="003455C9" w:rsidRDefault="003455C9" w:rsidP="003455C9">
      <w:pPr>
        <w:tabs>
          <w:tab w:val="left" w:pos="2600"/>
        </w:tabs>
        <w:spacing w:line="360" w:lineRule="auto"/>
        <w:rPr>
          <w:rFonts w:asciiTheme="majorHAnsi" w:hAnsiTheme="majorHAnsi" w:cstheme="majorHAnsi"/>
        </w:rPr>
      </w:pPr>
      <w:r w:rsidRPr="003455C9">
        <w:rPr>
          <w:rFonts w:asciiTheme="majorHAnsi" w:hAnsiTheme="majorHAnsi" w:cstheme="majorHAnsi"/>
        </w:rPr>
        <w:t>As the GAiNS cohort had regression intercepts significantly more than 1, we adjusted each chi-sq test statistic by dividing it by the intercept and recalculated the p value. This has the effect of making the p value slightly larger.</w:t>
      </w:r>
    </w:p>
    <w:p w14:paraId="56A4C8FB" w14:textId="77777777" w:rsidR="003455C9" w:rsidRPr="003455C9" w:rsidRDefault="003455C9" w:rsidP="003455C9">
      <w:pPr>
        <w:tabs>
          <w:tab w:val="left" w:pos="2600"/>
        </w:tabs>
        <w:spacing w:line="360" w:lineRule="auto"/>
        <w:rPr>
          <w:rFonts w:asciiTheme="majorHAnsi" w:hAnsiTheme="majorHAnsi" w:cstheme="majorHAnsi"/>
        </w:rPr>
      </w:pPr>
    </w:p>
    <w:p w14:paraId="76B9F9B0" w14:textId="52700E9A" w:rsidR="00E570C4" w:rsidRPr="001D4B8F" w:rsidRDefault="00E570C4" w:rsidP="003455C9">
      <w:pPr>
        <w:spacing w:line="360" w:lineRule="auto"/>
        <w:ind w:left="-5" w:right="49"/>
        <w:rPr>
          <w:rFonts w:asciiTheme="majorHAnsi" w:hAnsiTheme="majorHAnsi" w:cstheme="majorHAnsi"/>
          <w:i/>
          <w:iCs/>
        </w:rPr>
      </w:pPr>
      <w:r w:rsidRPr="003455C9">
        <w:rPr>
          <w:rFonts w:asciiTheme="majorHAnsi" w:hAnsiTheme="majorHAnsi" w:cstheme="majorHAnsi"/>
        </w:rPr>
        <w:t xml:space="preserve"> </w:t>
      </w:r>
      <w:r w:rsidR="001D4B8F">
        <w:rPr>
          <w:rFonts w:asciiTheme="majorHAnsi" w:hAnsiTheme="majorHAnsi" w:cstheme="majorHAnsi"/>
          <w:i/>
          <w:iCs/>
        </w:rPr>
        <w:t>COVID-19 HGI</w:t>
      </w:r>
    </w:p>
    <w:p w14:paraId="023FED47" w14:textId="3518A651" w:rsidR="00151A80" w:rsidRDefault="00151A80" w:rsidP="003455C9">
      <w:pPr>
        <w:spacing w:line="360" w:lineRule="auto"/>
        <w:rPr>
          <w:rFonts w:asciiTheme="majorHAnsi" w:hAnsiTheme="majorHAnsi" w:cstheme="majorHAnsi"/>
          <w:i/>
          <w:iCs/>
        </w:rPr>
      </w:pPr>
    </w:p>
    <w:p w14:paraId="0DB14AAB" w14:textId="658A4268" w:rsidR="00CD5E47" w:rsidRDefault="00CD5E47" w:rsidP="003455C9">
      <w:pPr>
        <w:spacing w:line="360" w:lineRule="auto"/>
        <w:rPr>
          <w:rFonts w:asciiTheme="majorHAnsi" w:hAnsiTheme="majorHAnsi" w:cstheme="majorHAnsi"/>
          <w:i/>
          <w:iCs/>
        </w:rPr>
      </w:pPr>
    </w:p>
    <w:p w14:paraId="657D11DA" w14:textId="7CEB3025" w:rsidR="003F318E" w:rsidRDefault="00CD5E47" w:rsidP="00CD5E47">
      <w:pPr>
        <w:tabs>
          <w:tab w:val="left" w:pos="480"/>
        </w:tabs>
        <w:spacing w:after="240" w:line="240" w:lineRule="auto"/>
        <w:ind w:left="480" w:hanging="480"/>
        <w:rPr>
          <w:rFonts w:asciiTheme="majorHAnsi" w:hAnsiTheme="majorHAnsi" w:cstheme="majorHAnsi"/>
          <w:iCs/>
          <w:noProof/>
        </w:rPr>
      </w:pPr>
      <w:r>
        <w:rPr>
          <w:rFonts w:asciiTheme="majorHAnsi" w:hAnsiTheme="majorHAnsi" w:cstheme="majorHAnsi"/>
          <w:i/>
          <w:iCs/>
        </w:rPr>
        <w:fldChar w:fldCharType="begin" w:fldLock="1"/>
      </w:r>
      <w:r w:rsidR="003F318E">
        <w:rPr>
          <w:rFonts w:asciiTheme="majorHAnsi" w:hAnsiTheme="majorHAnsi" w:cstheme="majorHAnsi"/>
          <w:i/>
          <w:iCs/>
        </w:rPr>
        <w:instrText>ADDIN paperpile_bibliography &lt;pp-bibliography&gt;&lt;first-reference-indices&gt;&lt;formatting&gt;1&lt;/formatting&gt;&lt;space-after&gt;1&lt;/space-after&gt;&lt;/first-reference-indices&gt;&lt;/pp-bibliography&gt; \* MERGEFORMAT</w:instrText>
      </w:r>
      <w:r>
        <w:rPr>
          <w:rFonts w:asciiTheme="majorHAnsi" w:hAnsiTheme="majorHAnsi" w:cstheme="majorHAnsi"/>
          <w:i/>
          <w:iCs/>
        </w:rPr>
        <w:fldChar w:fldCharType="separate"/>
      </w:r>
      <w:r w:rsidR="003F318E">
        <w:rPr>
          <w:rFonts w:asciiTheme="majorHAnsi" w:hAnsiTheme="majorHAnsi" w:cstheme="majorHAnsi"/>
          <w:iCs/>
          <w:noProof/>
        </w:rPr>
        <w:t xml:space="preserve">1. </w:t>
      </w:r>
      <w:r w:rsidR="003F318E">
        <w:rPr>
          <w:rFonts w:asciiTheme="majorHAnsi" w:hAnsiTheme="majorHAnsi" w:cstheme="majorHAnsi"/>
          <w:iCs/>
          <w:noProof/>
        </w:rPr>
        <w:tab/>
        <w:t>Risteys FinnGen R5 - AB1_SEPSIS [Internet]. [cited 2022 Jun 21];Available from: https://r5.risteys.finngen.fi/phenocode/AB1_SEPSIS</w:t>
      </w:r>
    </w:p>
    <w:p w14:paraId="34CEFE66" w14:textId="77777777" w:rsidR="003F318E" w:rsidRDefault="003F318E" w:rsidP="00CD5E47">
      <w:pPr>
        <w:tabs>
          <w:tab w:val="left" w:pos="480"/>
        </w:tabs>
        <w:spacing w:after="240" w:line="240" w:lineRule="auto"/>
        <w:ind w:left="480" w:hanging="480"/>
        <w:rPr>
          <w:rFonts w:asciiTheme="majorHAnsi" w:hAnsiTheme="majorHAnsi" w:cstheme="majorHAnsi"/>
          <w:iCs/>
          <w:noProof/>
        </w:rPr>
      </w:pPr>
      <w:r>
        <w:rPr>
          <w:rFonts w:asciiTheme="majorHAnsi" w:hAnsiTheme="majorHAnsi" w:cstheme="majorHAnsi"/>
          <w:iCs/>
          <w:noProof/>
        </w:rPr>
        <w:t xml:space="preserve">2. </w:t>
      </w:r>
      <w:r>
        <w:rPr>
          <w:rFonts w:asciiTheme="majorHAnsi" w:hAnsiTheme="majorHAnsi" w:cstheme="majorHAnsi"/>
          <w:iCs/>
          <w:noProof/>
        </w:rPr>
        <w:tab/>
        <w:t>COVID-19 Host Genetics Initiative. Mapping the human genetic architecture of COVID-19. Nature [Internet] 2021;600(7889):472–7. Available from: http://dx.doi.org/10.1038/s41586-021-03767-x</w:t>
      </w:r>
    </w:p>
    <w:p w14:paraId="04228A25" w14:textId="6B7EEADC" w:rsidR="00CD5E47" w:rsidRPr="003455C9" w:rsidRDefault="003F318E" w:rsidP="00CD5E47">
      <w:pPr>
        <w:tabs>
          <w:tab w:val="left" w:pos="480"/>
        </w:tabs>
        <w:spacing w:after="240" w:line="240" w:lineRule="auto"/>
        <w:ind w:left="480" w:hanging="480"/>
        <w:rPr>
          <w:rFonts w:asciiTheme="majorHAnsi" w:hAnsiTheme="majorHAnsi" w:cstheme="majorHAnsi"/>
          <w:i/>
          <w:iCs/>
        </w:rPr>
      </w:pPr>
      <w:r>
        <w:rPr>
          <w:rFonts w:asciiTheme="majorHAnsi" w:hAnsiTheme="majorHAnsi" w:cstheme="majorHAnsi"/>
          <w:iCs/>
          <w:noProof/>
        </w:rPr>
        <w:t xml:space="preserve">3. </w:t>
      </w:r>
      <w:r>
        <w:rPr>
          <w:rFonts w:asciiTheme="majorHAnsi" w:hAnsiTheme="majorHAnsi" w:cstheme="majorHAnsi"/>
          <w:iCs/>
          <w:noProof/>
        </w:rPr>
        <w:tab/>
        <w:t>Rautanen A, Mills TC, Gordon AC, et al. Genome-wide association study of survival from sepsis due to pneumonia: an observational cohort study. Lancet Respir Med [Internet] 2015;3(1):53–60. Available from: http://dx.doi.org/10.1016/S2213-2600(14)70290-5</w:t>
      </w:r>
      <w:r w:rsidR="00CD5E47">
        <w:rPr>
          <w:rFonts w:asciiTheme="majorHAnsi" w:hAnsiTheme="majorHAnsi" w:cstheme="majorHAnsi"/>
          <w:i/>
          <w:iCs/>
        </w:rPr>
        <w:fldChar w:fldCharType="end"/>
      </w:r>
    </w:p>
    <w:sectPr w:rsidR="00CD5E47" w:rsidRPr="00345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Headings)">
    <w:altName w:val="Calibri Light"/>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L965Z952O643S336"/>
    <w:docVar w:name="paperpile-doc-name" w:val="LRM Supplementary methods.docx"/>
    <w:docVar w:name="paperpile-includeDoi" w:val="true"/>
    <w:docVar w:name="paperpile-styleFile" w:val="the-new-england-journal-of-medicine.csl"/>
    <w:docVar w:name="paperpile-styleId" w:val="the-new-england-journal-of-medicine"/>
    <w:docVar w:name="paperpile-styleLabel" w:val="The New England Journal of Medicine"/>
    <w:docVar w:name="paperpile-styleLocale" w:val="en-US"/>
  </w:docVars>
  <w:rsids>
    <w:rsidRoot w:val="00FD1841"/>
    <w:rsid w:val="00103A33"/>
    <w:rsid w:val="00151A80"/>
    <w:rsid w:val="001D4B8F"/>
    <w:rsid w:val="001E41E6"/>
    <w:rsid w:val="003455C9"/>
    <w:rsid w:val="003F318E"/>
    <w:rsid w:val="004400DE"/>
    <w:rsid w:val="007B1879"/>
    <w:rsid w:val="007F187A"/>
    <w:rsid w:val="00A6630C"/>
    <w:rsid w:val="00BD54A2"/>
    <w:rsid w:val="00C43F21"/>
    <w:rsid w:val="00CD5E47"/>
    <w:rsid w:val="00E570C4"/>
    <w:rsid w:val="00EA4FE9"/>
    <w:rsid w:val="00EF2DDE"/>
    <w:rsid w:val="00F1674C"/>
    <w:rsid w:val="00FD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28FEAA"/>
  <w15:chartTrackingRefBased/>
  <w15:docId w15:val="{E71E30EB-893F-A144-9778-500212DB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Heading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0C"/>
    <w:pPr>
      <w:spacing w:after="164" w:line="356" w:lineRule="auto"/>
      <w:ind w:left="10" w:hanging="10"/>
    </w:pPr>
    <w:rPr>
      <w:rFonts w:ascii="Calibri" w:eastAsia="Calibri" w:hAnsi="Calibri" w:cs="Calibri"/>
      <w:color w:val="000000"/>
      <w:sz w:val="24"/>
      <w:szCs w:val="24"/>
      <w:lang w:eastAsia="en-GB"/>
    </w:rPr>
  </w:style>
  <w:style w:type="paragraph" w:styleId="Heading1">
    <w:name w:val="heading 1"/>
    <w:next w:val="Normal"/>
    <w:link w:val="Heading1Char"/>
    <w:uiPriority w:val="9"/>
    <w:qFormat/>
    <w:rsid w:val="00A6630C"/>
    <w:pPr>
      <w:keepNext/>
      <w:keepLines/>
      <w:spacing w:after="281" w:line="259" w:lineRule="auto"/>
      <w:ind w:left="10" w:hanging="10"/>
      <w:outlineLvl w:val="0"/>
    </w:pPr>
    <w:rPr>
      <w:rFonts w:ascii="Calibri" w:eastAsia="Calibri" w:hAnsi="Calibri" w:cs="Calibri"/>
      <w:i/>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30C"/>
    <w:rPr>
      <w:rFonts w:ascii="Calibri" w:eastAsia="Calibri" w:hAnsi="Calibri" w:cs="Calibri"/>
      <w:i/>
      <w:color w:val="000000"/>
      <w:sz w:val="24"/>
      <w:szCs w:val="24"/>
      <w:lang w:eastAsia="en-GB"/>
    </w:rPr>
  </w:style>
  <w:style w:type="paragraph" w:styleId="NormalWeb">
    <w:name w:val="Normal (Web)"/>
    <w:basedOn w:val="Normal"/>
    <w:uiPriority w:val="99"/>
    <w:semiHidden/>
    <w:unhideWhenUsed/>
    <w:rsid w:val="003455C9"/>
    <w:pPr>
      <w:spacing w:before="100" w:beforeAutospacing="1" w:after="100" w:afterAutospacing="1" w:line="240" w:lineRule="auto"/>
      <w:ind w:left="0" w:firstLine="0"/>
    </w:pPr>
    <w:rPr>
      <w:rFonts w:ascii="Times New Roman" w:eastAsia="Times New Roman" w:hAnsi="Times New Roman" w:cs="Times New Roman"/>
      <w:color w:val="auto"/>
    </w:rPr>
  </w:style>
  <w:style w:type="character" w:styleId="Hyperlink">
    <w:name w:val="Hyperlink"/>
    <w:basedOn w:val="DefaultParagraphFont"/>
    <w:uiPriority w:val="99"/>
    <w:unhideWhenUsed/>
    <w:rsid w:val="003455C9"/>
    <w:rPr>
      <w:color w:val="0563C1" w:themeColor="hyperlink"/>
      <w:u w:val="single"/>
    </w:rPr>
  </w:style>
  <w:style w:type="table" w:styleId="TableGrid">
    <w:name w:val="Table Grid"/>
    <w:basedOn w:val="TableNormal"/>
    <w:uiPriority w:val="39"/>
    <w:rsid w:val="003455C9"/>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finngen.gitbook.io/documentation/methods/phew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2673</Words>
  <Characters>15560</Characters>
  <Application>Microsoft Office Word</Application>
  <DocSecurity>0</DocSecurity>
  <Lines>317</Lines>
  <Paragraphs>118</Paragraphs>
  <ScaleCrop>false</ScaleCrop>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Hamilton</dc:creator>
  <cp:keywords/>
  <dc:description/>
  <cp:lastModifiedBy>Fergus Hamilton</cp:lastModifiedBy>
  <cp:revision>15</cp:revision>
  <dcterms:created xsi:type="dcterms:W3CDTF">2022-07-04T07:46:00Z</dcterms:created>
  <dcterms:modified xsi:type="dcterms:W3CDTF">2022-07-04T10:04:00Z</dcterms:modified>
</cp:coreProperties>
</file>